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7D" w:rsidRPr="00C34679" w:rsidRDefault="00F50D81">
      <w:pPr>
        <w:pStyle w:val="1"/>
        <w:spacing w:line="620" w:lineRule="exact"/>
        <w:ind w:firstLineChars="0" w:firstLine="487"/>
        <w:jc w:val="center"/>
        <w:rPr>
          <w:rFonts w:ascii="黑体" w:eastAsia="黑体" w:hAnsi="黑体" w:cs="宋体"/>
          <w:b/>
          <w:bCs/>
          <w:sz w:val="24"/>
          <w:szCs w:val="24"/>
        </w:rPr>
      </w:pPr>
      <w:r w:rsidRPr="00C34679">
        <w:rPr>
          <w:rFonts w:ascii="黑体" w:eastAsia="黑体" w:cs="黑体" w:hint="eastAsia"/>
          <w:b/>
          <w:sz w:val="34"/>
          <w:szCs w:val="34"/>
          <w:shd w:val="clear" w:color="auto" w:fill="FFFFFF"/>
        </w:rPr>
        <w:t>盐城市水情监测系统建设项目项目需求</w:t>
      </w:r>
    </w:p>
    <w:p w:rsidR="0051687D" w:rsidRPr="00C34679" w:rsidRDefault="00F50D81">
      <w:pPr>
        <w:pStyle w:val="1"/>
        <w:spacing w:line="620" w:lineRule="exact"/>
        <w:ind w:firstLineChars="0" w:firstLine="487"/>
        <w:rPr>
          <w:rFonts w:ascii="黑体" w:eastAsia="黑体" w:hAnsi="黑体" w:cs="宋体"/>
          <w:b/>
          <w:bCs/>
          <w:sz w:val="24"/>
          <w:szCs w:val="24"/>
        </w:rPr>
      </w:pPr>
      <w:r w:rsidRPr="00C34679">
        <w:rPr>
          <w:rFonts w:ascii="黑体" w:eastAsia="黑体" w:hAnsi="黑体" w:cs="宋体" w:hint="eastAsia"/>
          <w:b/>
          <w:bCs/>
          <w:sz w:val="24"/>
          <w:szCs w:val="24"/>
        </w:rPr>
        <w:t>一、项目内容</w:t>
      </w:r>
    </w:p>
    <w:p w:rsidR="0051687D" w:rsidRPr="00C34679" w:rsidRDefault="00F50D81">
      <w:pPr>
        <w:pStyle w:val="1"/>
        <w:ind w:firstLine="487"/>
        <w:rPr>
          <w:rFonts w:ascii="宋体" w:eastAsia="宋体" w:cs="宋体"/>
          <w:b/>
          <w:sz w:val="24"/>
          <w:szCs w:val="24"/>
        </w:rPr>
      </w:pPr>
      <w:r w:rsidRPr="00C34679">
        <w:rPr>
          <w:rFonts w:ascii="宋体" w:eastAsia="宋体" w:cs="宋体" w:hint="eastAsia"/>
          <w:b/>
          <w:sz w:val="24"/>
          <w:szCs w:val="24"/>
        </w:rPr>
        <w:t>（一）新建水位自动测报站点</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在通榆河大新河闸站、通榆河小洋河东支闸站、西冈河与草堰河交界处、潭洋河与六子河交界处、通榆河与潭洋河交界处、冈沟河与蚌蜒河交界处新建6个单水位浮子式水位自动测报站点，并按照废黄河口高程系，对这6个水位站点高程进行水准校核，安装水尺，并缴纳2年的数据通信费用。</w:t>
      </w:r>
    </w:p>
    <w:p w:rsidR="0051687D" w:rsidRPr="00C34679" w:rsidRDefault="00F50D81" w:rsidP="00C34679">
      <w:pPr>
        <w:pStyle w:val="1"/>
        <w:spacing w:afterLines="50" w:line="540" w:lineRule="exact"/>
        <w:ind w:firstLineChars="0" w:firstLine="0"/>
        <w:jc w:val="center"/>
        <w:rPr>
          <w:rFonts w:ascii="宋体" w:eastAsia="宋体" w:cs="宋体"/>
          <w:b/>
          <w:sz w:val="24"/>
          <w:szCs w:val="24"/>
        </w:rPr>
      </w:pPr>
      <w:r w:rsidRPr="00C34679">
        <w:rPr>
          <w:rFonts w:ascii="宋体" w:eastAsia="宋体" w:cs="宋体" w:hint="eastAsia"/>
          <w:b/>
          <w:sz w:val="24"/>
          <w:szCs w:val="24"/>
        </w:rPr>
        <w:t>新建水位自动测报站点分布表</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582"/>
        <w:gridCol w:w="5192"/>
        <w:gridCol w:w="1509"/>
      </w:tblGrid>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序号</w:t>
            </w:r>
          </w:p>
        </w:tc>
        <w:tc>
          <w:tcPr>
            <w:tcW w:w="1582"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所在地区</w:t>
            </w:r>
          </w:p>
        </w:tc>
        <w:tc>
          <w:tcPr>
            <w:tcW w:w="5192"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站点名称</w:t>
            </w:r>
          </w:p>
        </w:tc>
        <w:tc>
          <w:tcPr>
            <w:tcW w:w="1509"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数量（处）</w:t>
            </w:r>
          </w:p>
        </w:tc>
      </w:tr>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c>
          <w:tcPr>
            <w:tcW w:w="158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亭湖区</w:t>
            </w:r>
          </w:p>
        </w:tc>
        <w:tc>
          <w:tcPr>
            <w:tcW w:w="519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通榆河大新河闸站</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2</w:t>
            </w:r>
          </w:p>
        </w:tc>
        <w:tc>
          <w:tcPr>
            <w:tcW w:w="158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亭湖区</w:t>
            </w:r>
          </w:p>
        </w:tc>
        <w:tc>
          <w:tcPr>
            <w:tcW w:w="519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通榆河小洋河东支闸站</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c>
          <w:tcPr>
            <w:tcW w:w="158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亭湖区</w:t>
            </w:r>
          </w:p>
        </w:tc>
        <w:tc>
          <w:tcPr>
            <w:tcW w:w="519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西冈河与草堰河交界处</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4</w:t>
            </w:r>
          </w:p>
        </w:tc>
        <w:tc>
          <w:tcPr>
            <w:tcW w:w="158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亭湖区</w:t>
            </w:r>
          </w:p>
        </w:tc>
        <w:tc>
          <w:tcPr>
            <w:tcW w:w="519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潭洋河与六子河交界处</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5</w:t>
            </w:r>
          </w:p>
        </w:tc>
        <w:tc>
          <w:tcPr>
            <w:tcW w:w="158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亭湖区</w:t>
            </w:r>
          </w:p>
        </w:tc>
        <w:tc>
          <w:tcPr>
            <w:tcW w:w="519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通榆河与潭洋河交界处</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105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6</w:t>
            </w:r>
          </w:p>
        </w:tc>
        <w:tc>
          <w:tcPr>
            <w:tcW w:w="158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盐都区</w:t>
            </w:r>
          </w:p>
        </w:tc>
        <w:tc>
          <w:tcPr>
            <w:tcW w:w="519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冈沟河与蚌蜒河交界处</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7830" w:type="dxa"/>
            <w:gridSpan w:val="3"/>
            <w:noWrap/>
            <w:vAlign w:val="center"/>
          </w:tcPr>
          <w:p w:rsidR="0051687D" w:rsidRPr="00C34679" w:rsidRDefault="00F50D81">
            <w:pPr>
              <w:pStyle w:val="1"/>
              <w:spacing w:line="360" w:lineRule="exact"/>
              <w:ind w:firstLineChars="0" w:firstLine="0"/>
              <w:jc w:val="center"/>
              <w:rPr>
                <w:rFonts w:ascii="宋体" w:eastAsia="宋体" w:cs="宋体"/>
                <w:b/>
                <w:sz w:val="21"/>
                <w:szCs w:val="21"/>
              </w:rPr>
            </w:pPr>
            <w:r w:rsidRPr="00C34679">
              <w:rPr>
                <w:rFonts w:ascii="宋体" w:eastAsia="宋体" w:cs="宋体" w:hint="eastAsia"/>
                <w:b/>
                <w:sz w:val="21"/>
                <w:szCs w:val="21"/>
              </w:rPr>
              <w:t>合  计</w:t>
            </w:r>
          </w:p>
        </w:tc>
        <w:tc>
          <w:tcPr>
            <w:tcW w:w="150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6</w:t>
            </w:r>
          </w:p>
        </w:tc>
      </w:tr>
    </w:tbl>
    <w:p w:rsidR="0051687D" w:rsidRPr="00C34679" w:rsidRDefault="00F50D81">
      <w:pPr>
        <w:pStyle w:val="1"/>
        <w:ind w:firstLine="487"/>
        <w:rPr>
          <w:rFonts w:ascii="宋体" w:eastAsia="宋体" w:cs="宋体"/>
          <w:b/>
          <w:sz w:val="24"/>
          <w:szCs w:val="24"/>
        </w:rPr>
      </w:pPr>
      <w:r w:rsidRPr="00C34679">
        <w:rPr>
          <w:rFonts w:ascii="宋体" w:eastAsia="宋体" w:cs="宋体" w:hint="eastAsia"/>
          <w:b/>
          <w:sz w:val="24"/>
          <w:szCs w:val="24"/>
        </w:rPr>
        <w:t>（二）增加水位监测功能</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在总渠滨海县境内的姚湾地涵（渠北）、陈涛地龙（渠北）、通济地龙（渠北）等3处河道视频监控点增加水位监测功能，并按废黄河口高程系进行水准校核，通过视频监控读取水位。</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具体详见下表：</w:t>
      </w:r>
    </w:p>
    <w:p w:rsidR="0051687D" w:rsidRPr="00C34679" w:rsidRDefault="00F50D81" w:rsidP="00C34679">
      <w:pPr>
        <w:pStyle w:val="1"/>
        <w:spacing w:afterLines="50" w:line="540" w:lineRule="exact"/>
        <w:ind w:firstLineChars="0" w:firstLine="0"/>
        <w:jc w:val="center"/>
        <w:rPr>
          <w:rFonts w:ascii="宋体" w:eastAsia="宋体" w:cs="宋体"/>
          <w:b/>
          <w:sz w:val="24"/>
          <w:szCs w:val="24"/>
        </w:rPr>
      </w:pPr>
      <w:r w:rsidRPr="00C34679">
        <w:rPr>
          <w:rFonts w:ascii="宋体" w:eastAsia="宋体" w:cs="宋体" w:hint="eastAsia"/>
          <w:b/>
          <w:sz w:val="24"/>
          <w:szCs w:val="24"/>
        </w:rPr>
        <w:t>增加水位监测功能站点分布表</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053"/>
        <w:gridCol w:w="1276"/>
        <w:gridCol w:w="5467"/>
        <w:gridCol w:w="1297"/>
      </w:tblGrid>
      <w:tr w:rsidR="0051687D" w:rsidRPr="00C34679">
        <w:trPr>
          <w:trHeight w:hRule="exact" w:val="567"/>
          <w:jc w:val="center"/>
        </w:trPr>
        <w:tc>
          <w:tcPr>
            <w:tcW w:w="704"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序号</w:t>
            </w:r>
          </w:p>
        </w:tc>
        <w:tc>
          <w:tcPr>
            <w:tcW w:w="1053"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河系</w:t>
            </w:r>
          </w:p>
        </w:tc>
        <w:tc>
          <w:tcPr>
            <w:tcW w:w="1276"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所在地区</w:t>
            </w:r>
          </w:p>
        </w:tc>
        <w:tc>
          <w:tcPr>
            <w:tcW w:w="5467"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站点名称</w:t>
            </w:r>
          </w:p>
        </w:tc>
        <w:tc>
          <w:tcPr>
            <w:tcW w:w="1297" w:type="dxa"/>
            <w:noWrap/>
            <w:vAlign w:val="center"/>
          </w:tcPr>
          <w:p w:rsidR="0051687D" w:rsidRPr="00C34679" w:rsidRDefault="00F50D81">
            <w:pPr>
              <w:pStyle w:val="1"/>
              <w:spacing w:line="360" w:lineRule="exact"/>
              <w:ind w:firstLineChars="0" w:firstLine="0"/>
              <w:jc w:val="center"/>
              <w:rPr>
                <w:rFonts w:ascii="黑体" w:eastAsia="黑体" w:hAnsi="黑体" w:cs="宋体"/>
                <w:sz w:val="21"/>
                <w:szCs w:val="21"/>
              </w:rPr>
            </w:pPr>
            <w:r w:rsidRPr="00C34679">
              <w:rPr>
                <w:rFonts w:ascii="黑体" w:eastAsia="黑体" w:hAnsi="黑体" w:cs="宋体" w:hint="eastAsia"/>
                <w:sz w:val="21"/>
                <w:szCs w:val="21"/>
              </w:rPr>
              <w:t>数量（处）</w:t>
            </w:r>
          </w:p>
        </w:tc>
      </w:tr>
      <w:tr w:rsidR="0051687D" w:rsidRPr="00C34679">
        <w:trPr>
          <w:trHeight w:hRule="exact" w:val="567"/>
          <w:jc w:val="center"/>
        </w:trPr>
        <w:tc>
          <w:tcPr>
            <w:tcW w:w="704"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c>
          <w:tcPr>
            <w:tcW w:w="1053"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总渠</w:t>
            </w:r>
          </w:p>
        </w:tc>
        <w:tc>
          <w:tcPr>
            <w:tcW w:w="1276"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滨海县</w:t>
            </w:r>
          </w:p>
        </w:tc>
        <w:tc>
          <w:tcPr>
            <w:tcW w:w="5467"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姚湾地涵（渠北）、陈涛地龙（渠北）、通济地龙（渠北）</w:t>
            </w:r>
          </w:p>
        </w:tc>
        <w:tc>
          <w:tcPr>
            <w:tcW w:w="1297"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r>
      <w:tr w:rsidR="0051687D" w:rsidRPr="00C34679">
        <w:trPr>
          <w:trHeight w:hRule="exact" w:val="567"/>
          <w:jc w:val="center"/>
        </w:trPr>
        <w:tc>
          <w:tcPr>
            <w:tcW w:w="8500" w:type="dxa"/>
            <w:gridSpan w:val="4"/>
            <w:noWrap/>
            <w:vAlign w:val="center"/>
          </w:tcPr>
          <w:p w:rsidR="0051687D" w:rsidRPr="00C34679" w:rsidRDefault="00F50D81">
            <w:pPr>
              <w:pStyle w:val="1"/>
              <w:spacing w:line="360" w:lineRule="exact"/>
              <w:ind w:firstLineChars="0" w:firstLine="0"/>
              <w:jc w:val="center"/>
              <w:rPr>
                <w:rFonts w:ascii="宋体" w:eastAsia="宋体" w:cs="宋体"/>
                <w:b/>
                <w:sz w:val="21"/>
                <w:szCs w:val="21"/>
              </w:rPr>
            </w:pPr>
            <w:r w:rsidRPr="00C34679">
              <w:rPr>
                <w:rFonts w:ascii="宋体" w:eastAsia="宋体" w:cs="宋体" w:hint="eastAsia"/>
                <w:b/>
                <w:sz w:val="21"/>
                <w:szCs w:val="21"/>
              </w:rPr>
              <w:t>合  计</w:t>
            </w:r>
          </w:p>
        </w:tc>
        <w:tc>
          <w:tcPr>
            <w:tcW w:w="1297"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r>
    </w:tbl>
    <w:p w:rsidR="0051687D" w:rsidRPr="00C34679" w:rsidRDefault="00F50D81">
      <w:pPr>
        <w:pStyle w:val="1"/>
        <w:ind w:firstLine="487"/>
        <w:rPr>
          <w:rFonts w:ascii="宋体" w:eastAsia="宋体" w:cs="宋体"/>
          <w:b/>
          <w:sz w:val="24"/>
          <w:szCs w:val="24"/>
        </w:rPr>
      </w:pPr>
      <w:r w:rsidRPr="00C34679">
        <w:rPr>
          <w:rFonts w:ascii="宋体" w:eastAsia="宋体" w:cs="宋体" w:hint="eastAsia"/>
          <w:b/>
          <w:sz w:val="24"/>
          <w:szCs w:val="24"/>
        </w:rPr>
        <w:lastRenderedPageBreak/>
        <w:t>（三）高程校核</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按照废黄河口高程系，对阜宁童营翻水站进水侧、李舍泵站取水口、响水中舍泵站等3个水位站点高程进行水准校核，以保证水位数据准确，满足全市防汛防旱精准调度的要求。</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具体详见下表：</w:t>
      </w:r>
    </w:p>
    <w:p w:rsidR="0051687D" w:rsidRPr="00C34679" w:rsidRDefault="00F50D81" w:rsidP="00C34679">
      <w:pPr>
        <w:pStyle w:val="1"/>
        <w:spacing w:afterLines="50" w:line="540" w:lineRule="exact"/>
        <w:ind w:firstLineChars="0" w:firstLine="0"/>
        <w:jc w:val="center"/>
        <w:rPr>
          <w:rFonts w:ascii="宋体" w:eastAsia="宋体" w:cs="宋体"/>
          <w:b/>
          <w:sz w:val="24"/>
          <w:szCs w:val="24"/>
        </w:rPr>
      </w:pPr>
      <w:r w:rsidRPr="00C34679">
        <w:rPr>
          <w:rFonts w:ascii="宋体" w:eastAsia="宋体" w:cs="宋体" w:hint="eastAsia"/>
          <w:b/>
          <w:sz w:val="24"/>
          <w:szCs w:val="24"/>
        </w:rPr>
        <w:t>高程校核站点分布表</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394"/>
        <w:gridCol w:w="1299"/>
        <w:gridCol w:w="4662"/>
        <w:gridCol w:w="1365"/>
      </w:tblGrid>
      <w:tr w:rsidR="0051687D" w:rsidRPr="00C34679">
        <w:trPr>
          <w:trHeight w:hRule="exact" w:val="567"/>
          <w:jc w:val="center"/>
        </w:trPr>
        <w:tc>
          <w:tcPr>
            <w:tcW w:w="735" w:type="dxa"/>
            <w:noWrap/>
            <w:vAlign w:val="center"/>
          </w:tcPr>
          <w:p w:rsidR="0051687D" w:rsidRPr="00C34679" w:rsidRDefault="00F50D81">
            <w:pPr>
              <w:widowControl/>
              <w:spacing w:line="360" w:lineRule="auto"/>
              <w:jc w:val="center"/>
              <w:rPr>
                <w:rFonts w:ascii="黑体" w:eastAsia="黑体" w:hAnsi="黑体" w:cs="宋体"/>
                <w:szCs w:val="21"/>
              </w:rPr>
            </w:pPr>
            <w:r w:rsidRPr="00C34679">
              <w:rPr>
                <w:rFonts w:ascii="黑体" w:eastAsia="黑体" w:hAnsi="黑体" w:cs="宋体" w:hint="eastAsia"/>
                <w:szCs w:val="21"/>
              </w:rPr>
              <w:t>序号</w:t>
            </w:r>
          </w:p>
        </w:tc>
        <w:tc>
          <w:tcPr>
            <w:tcW w:w="1394" w:type="dxa"/>
            <w:noWrap/>
            <w:vAlign w:val="center"/>
          </w:tcPr>
          <w:p w:rsidR="0051687D" w:rsidRPr="00C34679" w:rsidRDefault="00F50D81">
            <w:pPr>
              <w:widowControl/>
              <w:spacing w:line="360" w:lineRule="auto"/>
              <w:jc w:val="center"/>
              <w:rPr>
                <w:rFonts w:ascii="黑体" w:eastAsia="黑体" w:hAnsi="黑体" w:cs="宋体"/>
                <w:szCs w:val="21"/>
              </w:rPr>
            </w:pPr>
            <w:r w:rsidRPr="00C34679">
              <w:rPr>
                <w:rFonts w:ascii="黑体" w:eastAsia="黑体" w:hAnsi="黑体" w:cs="宋体" w:hint="eastAsia"/>
                <w:szCs w:val="21"/>
              </w:rPr>
              <w:t>河系</w:t>
            </w:r>
          </w:p>
        </w:tc>
        <w:tc>
          <w:tcPr>
            <w:tcW w:w="1299" w:type="dxa"/>
            <w:noWrap/>
            <w:vAlign w:val="center"/>
          </w:tcPr>
          <w:p w:rsidR="0051687D" w:rsidRPr="00C34679" w:rsidRDefault="00F50D81">
            <w:pPr>
              <w:widowControl/>
              <w:spacing w:line="360" w:lineRule="auto"/>
              <w:jc w:val="center"/>
              <w:rPr>
                <w:rFonts w:ascii="黑体" w:eastAsia="黑体" w:hAnsi="黑体" w:cs="宋体"/>
                <w:szCs w:val="21"/>
              </w:rPr>
            </w:pPr>
            <w:r w:rsidRPr="00C34679">
              <w:rPr>
                <w:rFonts w:ascii="黑体" w:eastAsia="黑体" w:hAnsi="黑体" w:cs="宋体" w:hint="eastAsia"/>
                <w:szCs w:val="21"/>
              </w:rPr>
              <w:t>所在地区</w:t>
            </w:r>
          </w:p>
        </w:tc>
        <w:tc>
          <w:tcPr>
            <w:tcW w:w="4662" w:type="dxa"/>
            <w:noWrap/>
            <w:vAlign w:val="center"/>
          </w:tcPr>
          <w:p w:rsidR="0051687D" w:rsidRPr="00C34679" w:rsidRDefault="00F50D81">
            <w:pPr>
              <w:widowControl/>
              <w:spacing w:line="360" w:lineRule="auto"/>
              <w:jc w:val="center"/>
              <w:rPr>
                <w:rFonts w:ascii="黑体" w:eastAsia="黑体" w:hAnsi="黑体" w:cs="宋体"/>
                <w:szCs w:val="21"/>
              </w:rPr>
            </w:pPr>
            <w:r w:rsidRPr="00C34679">
              <w:rPr>
                <w:rFonts w:ascii="黑体" w:eastAsia="黑体" w:hAnsi="黑体" w:cs="宋体" w:hint="eastAsia"/>
                <w:szCs w:val="21"/>
              </w:rPr>
              <w:t>站点名称</w:t>
            </w:r>
          </w:p>
        </w:tc>
        <w:tc>
          <w:tcPr>
            <w:tcW w:w="1365" w:type="dxa"/>
            <w:noWrap/>
            <w:vAlign w:val="center"/>
          </w:tcPr>
          <w:p w:rsidR="0051687D" w:rsidRPr="00C34679" w:rsidRDefault="00F50D81">
            <w:pPr>
              <w:spacing w:line="360" w:lineRule="auto"/>
              <w:jc w:val="center"/>
              <w:rPr>
                <w:rFonts w:ascii="黑体" w:eastAsia="黑体" w:hAnsi="黑体" w:cs="宋体"/>
                <w:szCs w:val="21"/>
              </w:rPr>
            </w:pPr>
            <w:r w:rsidRPr="00C34679">
              <w:rPr>
                <w:rFonts w:ascii="黑体" w:eastAsia="黑体" w:hAnsi="黑体" w:cs="宋体" w:hint="eastAsia"/>
                <w:szCs w:val="21"/>
              </w:rPr>
              <w:t>数量（个）</w:t>
            </w:r>
          </w:p>
        </w:tc>
      </w:tr>
      <w:tr w:rsidR="0051687D" w:rsidRPr="00C34679">
        <w:trPr>
          <w:trHeight w:hRule="exact" w:val="567"/>
          <w:jc w:val="center"/>
        </w:trPr>
        <w:tc>
          <w:tcPr>
            <w:tcW w:w="735"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c>
          <w:tcPr>
            <w:tcW w:w="1394"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废黄河</w:t>
            </w:r>
          </w:p>
        </w:tc>
        <w:tc>
          <w:tcPr>
            <w:tcW w:w="129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阜宁县</w:t>
            </w:r>
          </w:p>
        </w:tc>
        <w:tc>
          <w:tcPr>
            <w:tcW w:w="466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童营翻水站进水侧、李舍泵站取水口</w:t>
            </w:r>
          </w:p>
        </w:tc>
        <w:tc>
          <w:tcPr>
            <w:tcW w:w="1365"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2</w:t>
            </w:r>
          </w:p>
        </w:tc>
      </w:tr>
      <w:tr w:rsidR="0051687D" w:rsidRPr="00C34679">
        <w:trPr>
          <w:trHeight w:hRule="exact" w:val="567"/>
          <w:jc w:val="center"/>
        </w:trPr>
        <w:tc>
          <w:tcPr>
            <w:tcW w:w="735"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2</w:t>
            </w:r>
          </w:p>
        </w:tc>
        <w:tc>
          <w:tcPr>
            <w:tcW w:w="1394"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通榆河北段</w:t>
            </w:r>
          </w:p>
        </w:tc>
        <w:tc>
          <w:tcPr>
            <w:tcW w:w="1299"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响水县</w:t>
            </w:r>
          </w:p>
        </w:tc>
        <w:tc>
          <w:tcPr>
            <w:tcW w:w="4662"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中舍泵站</w:t>
            </w:r>
          </w:p>
        </w:tc>
        <w:tc>
          <w:tcPr>
            <w:tcW w:w="1365"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r>
      <w:tr w:rsidR="0051687D" w:rsidRPr="00C34679">
        <w:trPr>
          <w:trHeight w:hRule="exact" w:val="567"/>
          <w:jc w:val="center"/>
        </w:trPr>
        <w:tc>
          <w:tcPr>
            <w:tcW w:w="8090" w:type="dxa"/>
            <w:gridSpan w:val="4"/>
            <w:noWrap/>
            <w:vAlign w:val="center"/>
          </w:tcPr>
          <w:p w:rsidR="0051687D" w:rsidRPr="00C34679" w:rsidRDefault="00F50D81">
            <w:pPr>
              <w:widowControl/>
              <w:spacing w:line="360" w:lineRule="auto"/>
              <w:ind w:firstLineChars="150" w:firstLine="315"/>
              <w:jc w:val="center"/>
              <w:rPr>
                <w:rFonts w:ascii="宋体" w:hAnsi="宋体" w:cs="宋体"/>
                <w:b/>
                <w:szCs w:val="21"/>
              </w:rPr>
            </w:pPr>
            <w:r w:rsidRPr="00C34679">
              <w:rPr>
                <w:rFonts w:ascii="宋体" w:hAnsi="宋体" w:cs="宋体" w:hint="eastAsia"/>
                <w:b/>
                <w:szCs w:val="21"/>
              </w:rPr>
              <w:t>合</w:t>
            </w:r>
            <w:r w:rsidRPr="00C34679">
              <w:rPr>
                <w:rFonts w:ascii="宋体" w:hAnsi="宋体" w:cs="宋体" w:hint="eastAsia"/>
                <w:b/>
                <w:szCs w:val="21"/>
              </w:rPr>
              <w:t xml:space="preserve">  </w:t>
            </w:r>
            <w:r w:rsidRPr="00C34679">
              <w:rPr>
                <w:rFonts w:ascii="宋体" w:hAnsi="宋体" w:cs="宋体" w:hint="eastAsia"/>
                <w:b/>
                <w:szCs w:val="21"/>
              </w:rPr>
              <w:t>计</w:t>
            </w:r>
          </w:p>
        </w:tc>
        <w:tc>
          <w:tcPr>
            <w:tcW w:w="1365" w:type="dxa"/>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r>
    </w:tbl>
    <w:p w:rsidR="0051687D" w:rsidRPr="00C34679" w:rsidRDefault="00F50D81" w:rsidP="00C34679">
      <w:pPr>
        <w:pStyle w:val="1"/>
        <w:spacing w:afterLines="50" w:line="540" w:lineRule="exact"/>
        <w:ind w:firstLineChars="0" w:firstLine="0"/>
        <w:jc w:val="center"/>
        <w:rPr>
          <w:rFonts w:ascii="宋体" w:eastAsia="宋体" w:cs="宋体"/>
          <w:b/>
          <w:sz w:val="24"/>
          <w:szCs w:val="24"/>
        </w:rPr>
      </w:pPr>
      <w:r w:rsidRPr="00C34679">
        <w:rPr>
          <w:rFonts w:ascii="宋体" w:eastAsia="宋体" w:cs="宋体" w:hint="eastAsia"/>
          <w:b/>
          <w:sz w:val="24"/>
          <w:szCs w:val="24"/>
        </w:rPr>
        <w:t>盐城市水情监测系统建设项目建设内容</w:t>
      </w:r>
    </w:p>
    <w:tbl>
      <w:tblPr>
        <w:tblW w:w="8984" w:type="dxa"/>
        <w:jc w:val="center"/>
        <w:tblLayout w:type="fixed"/>
        <w:tblLook w:val="04A0"/>
      </w:tblPr>
      <w:tblGrid>
        <w:gridCol w:w="1611"/>
        <w:gridCol w:w="5086"/>
        <w:gridCol w:w="2287"/>
      </w:tblGrid>
      <w:tr w:rsidR="0051687D" w:rsidRPr="00C34679">
        <w:trPr>
          <w:trHeight w:hRule="exact" w:val="567"/>
          <w:jc w:val="center"/>
        </w:trPr>
        <w:tc>
          <w:tcPr>
            <w:tcW w:w="1611" w:type="dxa"/>
            <w:tcBorders>
              <w:top w:val="single" w:sz="4" w:space="0" w:color="auto"/>
              <w:left w:val="single" w:sz="4" w:space="0" w:color="auto"/>
              <w:bottom w:val="single" w:sz="4" w:space="0" w:color="auto"/>
              <w:right w:val="single" w:sz="4" w:space="0" w:color="auto"/>
            </w:tcBorders>
            <w:noWrap/>
            <w:vAlign w:val="center"/>
          </w:tcPr>
          <w:p w:rsidR="0051687D" w:rsidRPr="00C34679" w:rsidRDefault="00F50D81">
            <w:pPr>
              <w:widowControl/>
              <w:jc w:val="center"/>
              <w:rPr>
                <w:rFonts w:ascii="黑体" w:eastAsia="黑体" w:hAnsi="黑体" w:cs="宋体"/>
                <w:kern w:val="0"/>
                <w:szCs w:val="21"/>
              </w:rPr>
            </w:pPr>
            <w:r w:rsidRPr="00C34679">
              <w:rPr>
                <w:rFonts w:ascii="黑体" w:eastAsia="黑体" w:hAnsi="黑体" w:cs="宋体" w:hint="eastAsia"/>
                <w:kern w:val="0"/>
                <w:szCs w:val="21"/>
              </w:rPr>
              <w:t>序号</w:t>
            </w:r>
          </w:p>
        </w:tc>
        <w:tc>
          <w:tcPr>
            <w:tcW w:w="5086" w:type="dxa"/>
            <w:tcBorders>
              <w:top w:val="single" w:sz="4" w:space="0" w:color="auto"/>
              <w:left w:val="nil"/>
              <w:bottom w:val="single" w:sz="4" w:space="0" w:color="auto"/>
              <w:right w:val="single" w:sz="4" w:space="0" w:color="auto"/>
            </w:tcBorders>
            <w:noWrap/>
            <w:vAlign w:val="center"/>
          </w:tcPr>
          <w:p w:rsidR="0051687D" w:rsidRPr="00C34679" w:rsidRDefault="00F50D81">
            <w:pPr>
              <w:widowControl/>
              <w:jc w:val="center"/>
              <w:rPr>
                <w:rFonts w:ascii="黑体" w:eastAsia="黑体" w:hAnsi="黑体" w:cs="宋体"/>
                <w:kern w:val="0"/>
                <w:szCs w:val="21"/>
              </w:rPr>
            </w:pPr>
            <w:r w:rsidRPr="00C34679">
              <w:rPr>
                <w:rFonts w:ascii="黑体" w:eastAsia="黑体" w:hAnsi="黑体" w:cs="宋体" w:hint="eastAsia"/>
                <w:kern w:val="0"/>
                <w:szCs w:val="21"/>
              </w:rPr>
              <w:t>建设内容</w:t>
            </w:r>
          </w:p>
        </w:tc>
        <w:tc>
          <w:tcPr>
            <w:tcW w:w="2287" w:type="dxa"/>
            <w:tcBorders>
              <w:top w:val="single" w:sz="4" w:space="0" w:color="auto"/>
              <w:left w:val="nil"/>
              <w:bottom w:val="single" w:sz="4" w:space="0" w:color="auto"/>
              <w:right w:val="single" w:sz="4" w:space="0" w:color="auto"/>
            </w:tcBorders>
            <w:noWrap/>
            <w:vAlign w:val="center"/>
          </w:tcPr>
          <w:p w:rsidR="0051687D" w:rsidRPr="00C34679" w:rsidRDefault="00F50D81">
            <w:pPr>
              <w:widowControl/>
              <w:jc w:val="center"/>
              <w:rPr>
                <w:rFonts w:ascii="黑体" w:eastAsia="黑体" w:hAnsi="黑体" w:cs="宋体"/>
                <w:kern w:val="0"/>
                <w:szCs w:val="21"/>
              </w:rPr>
            </w:pPr>
            <w:r w:rsidRPr="00C34679">
              <w:rPr>
                <w:rFonts w:ascii="黑体" w:eastAsia="黑体" w:hAnsi="黑体" w:cs="宋体" w:hint="eastAsia"/>
                <w:kern w:val="0"/>
                <w:szCs w:val="21"/>
              </w:rPr>
              <w:t>数量（处）</w:t>
            </w:r>
          </w:p>
        </w:tc>
      </w:tr>
      <w:tr w:rsidR="0051687D" w:rsidRPr="00C34679">
        <w:trPr>
          <w:trHeight w:hRule="exact" w:val="567"/>
          <w:jc w:val="center"/>
        </w:trPr>
        <w:tc>
          <w:tcPr>
            <w:tcW w:w="1611" w:type="dxa"/>
            <w:tcBorders>
              <w:top w:val="single" w:sz="4" w:space="0" w:color="auto"/>
              <w:left w:val="single" w:sz="4" w:space="0" w:color="auto"/>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1</w:t>
            </w:r>
          </w:p>
        </w:tc>
        <w:tc>
          <w:tcPr>
            <w:tcW w:w="5086" w:type="dxa"/>
            <w:tcBorders>
              <w:top w:val="single" w:sz="4" w:space="0" w:color="auto"/>
              <w:left w:val="nil"/>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新建水位自动测报站点（包含2年数据通信费）</w:t>
            </w:r>
          </w:p>
        </w:tc>
        <w:tc>
          <w:tcPr>
            <w:tcW w:w="2287" w:type="dxa"/>
            <w:tcBorders>
              <w:top w:val="single" w:sz="4" w:space="0" w:color="auto"/>
              <w:left w:val="nil"/>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6</w:t>
            </w:r>
          </w:p>
        </w:tc>
      </w:tr>
      <w:tr w:rsidR="0051687D" w:rsidRPr="00C34679">
        <w:trPr>
          <w:trHeight w:hRule="exact" w:val="567"/>
          <w:jc w:val="center"/>
        </w:trPr>
        <w:tc>
          <w:tcPr>
            <w:tcW w:w="1611" w:type="dxa"/>
            <w:tcBorders>
              <w:top w:val="nil"/>
              <w:left w:val="single" w:sz="4" w:space="0" w:color="auto"/>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2</w:t>
            </w:r>
          </w:p>
        </w:tc>
        <w:tc>
          <w:tcPr>
            <w:tcW w:w="5086" w:type="dxa"/>
            <w:tcBorders>
              <w:top w:val="nil"/>
              <w:left w:val="nil"/>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增加水位监测功能</w:t>
            </w:r>
          </w:p>
        </w:tc>
        <w:tc>
          <w:tcPr>
            <w:tcW w:w="2287" w:type="dxa"/>
            <w:tcBorders>
              <w:top w:val="nil"/>
              <w:left w:val="nil"/>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r>
      <w:tr w:rsidR="0051687D" w:rsidRPr="00C34679">
        <w:trPr>
          <w:trHeight w:hRule="exact" w:val="567"/>
          <w:jc w:val="center"/>
        </w:trPr>
        <w:tc>
          <w:tcPr>
            <w:tcW w:w="1611" w:type="dxa"/>
            <w:tcBorders>
              <w:top w:val="nil"/>
              <w:left w:val="single" w:sz="4" w:space="0" w:color="auto"/>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c>
          <w:tcPr>
            <w:tcW w:w="5086" w:type="dxa"/>
            <w:tcBorders>
              <w:top w:val="nil"/>
              <w:left w:val="nil"/>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水位站点高程校核</w:t>
            </w:r>
          </w:p>
        </w:tc>
        <w:tc>
          <w:tcPr>
            <w:tcW w:w="2287" w:type="dxa"/>
            <w:tcBorders>
              <w:top w:val="nil"/>
              <w:left w:val="nil"/>
              <w:bottom w:val="single" w:sz="4" w:space="0" w:color="auto"/>
              <w:right w:val="single" w:sz="4" w:space="0" w:color="auto"/>
            </w:tcBorders>
            <w:noWrap/>
            <w:vAlign w:val="center"/>
          </w:tcPr>
          <w:p w:rsidR="0051687D" w:rsidRPr="00C34679" w:rsidRDefault="00F50D81">
            <w:pPr>
              <w:pStyle w:val="1"/>
              <w:spacing w:line="360" w:lineRule="exact"/>
              <w:ind w:firstLineChars="0" w:firstLine="0"/>
              <w:jc w:val="center"/>
              <w:rPr>
                <w:rFonts w:ascii="宋体" w:eastAsia="宋体" w:cs="宋体"/>
                <w:sz w:val="21"/>
                <w:szCs w:val="21"/>
              </w:rPr>
            </w:pPr>
            <w:r w:rsidRPr="00C34679">
              <w:rPr>
                <w:rFonts w:ascii="宋体" w:eastAsia="宋体" w:cs="宋体" w:hint="eastAsia"/>
                <w:sz w:val="21"/>
                <w:szCs w:val="21"/>
              </w:rPr>
              <w:t>3</w:t>
            </w:r>
          </w:p>
        </w:tc>
      </w:tr>
    </w:tbl>
    <w:p w:rsidR="0051687D" w:rsidRPr="00C34679" w:rsidRDefault="00F50D81">
      <w:pPr>
        <w:spacing w:line="360" w:lineRule="auto"/>
        <w:ind w:firstLineChars="200" w:firstLine="482"/>
        <w:rPr>
          <w:rFonts w:ascii="宋体" w:eastAsia="宋体" w:hAnsi="宋体"/>
          <w:sz w:val="24"/>
          <w:highlight w:val="white"/>
        </w:rPr>
      </w:pPr>
      <w:r w:rsidRPr="00C34679">
        <w:rPr>
          <w:rFonts w:ascii="黑体" w:eastAsia="黑体" w:hAnsi="黑体" w:hint="eastAsia"/>
          <w:b/>
          <w:bCs/>
          <w:sz w:val="24"/>
        </w:rPr>
        <w:t>二、免费服务质保期：验收合格后的24个月。</w:t>
      </w:r>
    </w:p>
    <w:p w:rsidR="0051687D" w:rsidRPr="00C34679" w:rsidRDefault="00F50D81">
      <w:pPr>
        <w:spacing w:line="360" w:lineRule="auto"/>
        <w:ind w:firstLineChars="200" w:firstLine="482"/>
        <w:rPr>
          <w:rFonts w:ascii="黑体" w:eastAsia="黑体" w:hAnsi="黑体"/>
          <w:b/>
          <w:bCs/>
          <w:sz w:val="24"/>
        </w:rPr>
      </w:pPr>
      <w:r w:rsidRPr="00C34679">
        <w:rPr>
          <w:rFonts w:ascii="黑体" w:eastAsia="黑体" w:hAnsi="黑体" w:hint="eastAsia"/>
          <w:b/>
          <w:bCs/>
          <w:sz w:val="24"/>
        </w:rPr>
        <w:t>三、新建水位自动测报站点技术要求</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(一)水位遥测系统功能</w:t>
      </w:r>
    </w:p>
    <w:p w:rsidR="0051687D" w:rsidRPr="00C34679" w:rsidRDefault="00F50D81">
      <w:pPr>
        <w:pStyle w:val="scyzw0"/>
        <w:spacing w:line="360" w:lineRule="auto"/>
        <w:ind w:firstLineChars="245" w:firstLine="588"/>
        <w:jc w:val="both"/>
        <w:outlineLvl w:val="1"/>
        <w:rPr>
          <w:rFonts w:ascii="宋体" w:eastAsia="宋体" w:cs="宋体"/>
          <w:sz w:val="24"/>
          <w:szCs w:val="24"/>
        </w:rPr>
      </w:pPr>
      <w:r w:rsidRPr="00C34679">
        <w:rPr>
          <w:rFonts w:ascii="宋体" w:eastAsia="宋体" w:cs="宋体" w:hint="eastAsia"/>
          <w:sz w:val="24"/>
          <w:szCs w:val="24"/>
        </w:rPr>
        <w:t>本次新建的测报站点数据接入现有的ACSCOM采集平台，并在盐城市防汛掌上通平台上进行展示，其数据的准确性应符合《水位观测标准》（GB/T 50138-2010）的要求。具体功能如下：</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1、遥测终端的数据采集、通信、指令应答等技术规范应符合《江苏省水情自动测报系统数据传输规约》（</w:t>
      </w:r>
      <w:r w:rsidRPr="00C34679">
        <w:rPr>
          <w:rFonts w:ascii="宋体" w:eastAsia="宋体" w:cs="宋体"/>
          <w:sz w:val="24"/>
          <w:szCs w:val="24"/>
        </w:rPr>
        <w:t>DB32∕T 2197-2012</w:t>
      </w:r>
      <w:r w:rsidRPr="00C34679">
        <w:rPr>
          <w:rFonts w:ascii="宋体" w:eastAsia="宋体" w:cs="宋体" w:hint="eastAsia"/>
          <w:sz w:val="24"/>
          <w:szCs w:val="24"/>
        </w:rPr>
        <w:t>），需提供水利部水文仪器及岩土工程仪器质量监督检验测试中心的规约检测报告；并接入现有的ACSCOMM采集平台，报汛通信采用定时自报、加报和召测兼容的工作体制。</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为确保数据平滑接入ACSCOMM采集平台，中标方需提前同平台所属方盐城水文分局沟通，做好站点8位编码的编制和报批工作，平台站点审批等相关工作，</w:t>
      </w:r>
      <w:r w:rsidRPr="00C34679">
        <w:rPr>
          <w:rFonts w:ascii="宋体" w:eastAsia="宋体" w:cs="宋体" w:hint="eastAsia"/>
          <w:sz w:val="24"/>
          <w:szCs w:val="24"/>
        </w:rPr>
        <w:lastRenderedPageBreak/>
        <w:t>所有施工中的问题协调、矛盾调处及发生的相关费用由中标人自行解决。</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2、定时自动报汛</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按照设定频次定时自报该时间段内所有采集数据。</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3、水位超限自报</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当水位的变速超过设定的参数时，自动加报。当水位超过历史最高水位或历史最低水位时随时自报。当水位超过警戒水位、低于抗旱水位应在第一次出现时自报一次（整点则不加报）。自报段次等于采集频次的测站不加报。</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4、接收并响应补数指令及召测指令</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自动接收并响应补数指令，按指令要求的数据类型、数据时间报送采集的信息，如寄存器内无该项信息应按照《江苏省水文自动测报系统数据传输规约》DB32/T 2197-2012的要求发送无数据确认信息。</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自动响应召测指令，及时采集水情信息并及时传输至ACSCOM采集软件。</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5、存储与数据下载</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存贮数据应能保存测站不少于3个月的所有数据。具有现场、远程下载数据的功能。</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6、具有现场置数功能，能通过配带的键盘和显示器进行</w:t>
      </w:r>
      <w:r w:rsidRPr="00C34679">
        <w:rPr>
          <w:rFonts w:ascii="宋体" w:eastAsia="宋体" w:cs="宋体"/>
          <w:sz w:val="24"/>
          <w:szCs w:val="24"/>
        </w:rPr>
        <w:t>ASCII码字符输入</w:t>
      </w:r>
      <w:r w:rsidRPr="00C34679">
        <w:rPr>
          <w:rFonts w:ascii="宋体" w:eastAsia="宋体" w:cs="宋体" w:hint="eastAsia"/>
          <w:sz w:val="24"/>
          <w:szCs w:val="24"/>
        </w:rPr>
        <w:t>，</w:t>
      </w:r>
      <w:r w:rsidRPr="00C34679">
        <w:rPr>
          <w:rFonts w:ascii="宋体" w:eastAsia="宋体" w:cs="宋体"/>
          <w:sz w:val="24"/>
          <w:szCs w:val="24"/>
        </w:rPr>
        <w:t>或自带无线功能，</w:t>
      </w:r>
      <w:r w:rsidRPr="00C34679">
        <w:rPr>
          <w:rFonts w:ascii="宋体" w:eastAsia="宋体" w:cs="宋体" w:hint="eastAsia"/>
          <w:sz w:val="24"/>
          <w:szCs w:val="24"/>
        </w:rPr>
        <w:t>可</w:t>
      </w:r>
      <w:r w:rsidRPr="00C34679">
        <w:rPr>
          <w:rFonts w:ascii="宋体" w:eastAsia="宋体" w:cs="宋体"/>
          <w:sz w:val="24"/>
          <w:szCs w:val="24"/>
        </w:rPr>
        <w:t>于手机或平板连接进行人工置数和参数设定</w:t>
      </w:r>
      <w:r w:rsidRPr="00C34679">
        <w:rPr>
          <w:rFonts w:ascii="宋体" w:eastAsia="宋体" w:cs="宋体" w:hint="eastAsia"/>
          <w:sz w:val="24"/>
          <w:szCs w:val="24"/>
        </w:rPr>
        <w:t>。</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7、为有效防止雷电的破坏及外部电磁信号的影响，RTU的外接接口应具有物理隔离功能。遥测终端采集数据时，RS485信号线才供电，平时RS485信号线、RS485供电电源处于断电状态。</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8、具有硬件或软件“调试开关”。当设备在安装调试或维护维修时，把“调试开关”置在“调试”位置，此时输入的数据，RTU仅用于显示，不存储、不发送。</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9、每个测站采集量都附加时间标签存贮。</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10、遥测终端具有存储转发功能。</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11、遥测终端具有自动校时功能。</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12、遥测终端对水位应能进行消浪处理（消浪时间、采样次数等参数可设置），投标方应给出处理方案。</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lastRenderedPageBreak/>
        <w:t>13、遥测终端对测站管理平台下达的指令均予以响应，遥测站参数配置发生变动后，应立即发送至测站管理平台，以保证遥测站运行参数与管理平台参数一致。</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（二）遥测终端（RTU）</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1、符合（一）中关于RTU的功能、性能要求。</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2、采用《江苏省水文自动测报系统数据传输规约》DB32/T 2197-2012的数据传输规范，并能平滑接入现有的ACSCOM采集平台。</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3、遥测终端可连接各种类型的传感器（如：RS232、RS485、无源触点脉冲信号等），能完成各信息采集站的水情信息采集、存贮和数据传输。遥测终端（RTU）的全部组件（至少包括主控模块组、通信模块、避雷器、接线端子等）要装在同一机箱内，箱内线路整齐、规范，主线路轴应配置过线槽。机箱应配有高质量的箱门锁，整机具有良好的防潮、防霉、防水、防腐蚀、抗震和安全防护性能。采用蓄电池与机箱分离的方式，蓄电池需有专门的蓄电池箱（塑料材质）。</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4、防止错误操作造成设备的损坏。</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5、具有可供便携式计算机提取存储数据的接口(RS232口或USB)。</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6、RS</w:t>
      </w:r>
      <w:r w:rsidRPr="00C34679">
        <w:rPr>
          <w:rFonts w:ascii="宋体" w:eastAsia="宋体" w:cs="宋体"/>
          <w:sz w:val="24"/>
          <w:szCs w:val="24"/>
        </w:rPr>
        <w:t>485口1个，</w:t>
      </w:r>
      <w:r w:rsidRPr="00C34679">
        <w:rPr>
          <w:rFonts w:ascii="宋体" w:eastAsia="宋体" w:cs="宋体" w:hint="eastAsia"/>
          <w:sz w:val="24"/>
          <w:szCs w:val="24"/>
        </w:rPr>
        <w:t>SDI</w:t>
      </w:r>
      <w:r w:rsidRPr="00C34679">
        <w:rPr>
          <w:rFonts w:ascii="宋体" w:eastAsia="宋体" w:cs="宋体"/>
          <w:sz w:val="24"/>
          <w:szCs w:val="24"/>
        </w:rPr>
        <w:t>12口1个</w:t>
      </w:r>
      <w:r w:rsidRPr="00C34679">
        <w:rPr>
          <w:rFonts w:ascii="宋体" w:eastAsia="宋体" w:cs="宋体" w:hint="eastAsia"/>
          <w:sz w:val="24"/>
          <w:szCs w:val="24"/>
        </w:rPr>
        <w:t>，RS232接口数量不少于4个，开关信号输入输出口不少于1个，受控12V供电口不少于1个。</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7、存储器要求：所有采集的系列数据均能保存90天，内置不小于32M的工业级Flash 数据存储器。</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8、具有掉电数据保护功能。</w:t>
      </w:r>
      <w:bookmarkStart w:id="0" w:name="_GoBack"/>
      <w:bookmarkEnd w:id="0"/>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9、供电方式：蓄电池向设备供电，太阳能电池板浮充供电，供电电压12V DC。</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10、设备平均无故障工作时间：MTBF＞25,000小时。</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11、工作温度：－40℃～＋70℃。</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12、通讯方式支持GPRS、GSM短信息、卫星通信。</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13、遥测终端静态功耗≤ 60uA @ 12V DC，工作功耗≤ 120mA @ 12V DC。</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14、配带显示置数模块配置置数键盘及 LCD中文显示器或内置无线模块。</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（三）</w:t>
      </w:r>
      <w:r w:rsidRPr="00C34679">
        <w:rPr>
          <w:rFonts w:ascii="宋体" w:eastAsia="宋体" w:cs="宋体" w:hint="eastAsia"/>
          <w:b/>
          <w:bCs w:val="0"/>
          <w:sz w:val="24"/>
          <w:szCs w:val="24"/>
        </w:rPr>
        <w:t>4G通信模块</w:t>
      </w:r>
    </w:p>
    <w:p w:rsidR="0051687D" w:rsidRPr="00C34679" w:rsidRDefault="00F50D81">
      <w:pPr>
        <w:pStyle w:val="1"/>
        <w:ind w:firstLine="485"/>
        <w:rPr>
          <w:rFonts w:ascii="宋体" w:eastAsia="宋体" w:cs="宋体"/>
          <w:sz w:val="24"/>
          <w:szCs w:val="24"/>
        </w:rPr>
      </w:pPr>
      <w:r w:rsidRPr="00C34679">
        <w:rPr>
          <w:rFonts w:ascii="宋体" w:eastAsia="宋体" w:cs="宋体" w:hint="eastAsia"/>
          <w:sz w:val="24"/>
          <w:szCs w:val="24"/>
        </w:rPr>
        <w:t>1、支持4G（全网通）。</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2、供电电源：DC 5-12V。</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lastRenderedPageBreak/>
        <w:t>3、寻址方式：支持固定IP地址，动态IP地址、DNS域名寻址。</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4、串行数据接口：RS-232。</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5、工作频段：900/1800MHz双频。</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6、功耗：峰值电流≤11mA@+12VDC；通信时平均电流≤48mA@+12VDC。</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7、工作环境温度：-30℃～+70℃；相对湿度：95%(无凝结)。</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（四）浮子式水位传感器</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1、测量范围：0至40m</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2、分辨率：1cm</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3、测量误差：10m变幅范围内最大误差不大于2cm的概率≥95%</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4、最大变率：100cm/分</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5、编码方式：格雷码</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6、信号输出：SDI12、RS485，投标人自行配置信号转换器</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6、环境温度：-10℃～+45℃</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（五）太阳能供电系统</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1、蓄电池组采用12V、38AH酸性胶质免维护电池。</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2、采用60W太阳能板。</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3、系统包含太阳能板、太阳能充电器、蓄电池组，并安装支架及附属构件和基础件。</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4、太阳能板安装于不低于3m的镀锌钢管杆（壁厚4.5mm，DN125）上，钢管立于60cm×60cm×80cm的混凝土基座上，基座预埋4根Φ16螺栓。</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（六）避雷器</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12V电源避雷器：可直接安装在机箱里；额定负载电流: 4A ；标称放电电流: 10KA；标称电压: 12V；最大可持续工作电压: 14.5V。</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RS485信号避雷器：可直接安装在机箱里；额定负载电流: 0.45A；标称放电电流: 10KA；标称电压: 5V；最大可持续工作电压: 6V。</w:t>
      </w:r>
    </w:p>
    <w:p w:rsidR="0051687D" w:rsidRPr="00C34679" w:rsidRDefault="00F50D81">
      <w:pPr>
        <w:pStyle w:val="scyzw0"/>
        <w:spacing w:line="360" w:lineRule="auto"/>
        <w:ind w:firstLineChars="196" w:firstLine="472"/>
        <w:jc w:val="both"/>
        <w:outlineLvl w:val="1"/>
        <w:rPr>
          <w:rFonts w:ascii="宋体" w:eastAsia="宋体" w:cs="宋体"/>
          <w:b/>
          <w:sz w:val="24"/>
          <w:szCs w:val="24"/>
        </w:rPr>
      </w:pPr>
      <w:r w:rsidRPr="00C34679">
        <w:rPr>
          <w:rFonts w:ascii="宋体" w:eastAsia="宋体" w:cs="宋体" w:hint="eastAsia"/>
          <w:b/>
          <w:sz w:val="24"/>
          <w:szCs w:val="24"/>
        </w:rPr>
        <w:t>（七）简易水位井</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简易水位井依附闸站翼墙或河道驳岸或桥墩安装水位观测管井，管井顶端设置水位计安装盒（具有防盗功能），水位计与遥测终端之间采用短距离有线传输。简易自记井采用高强度、防腐的PE管，其管材质量需达相应国家标准。工程主</w:t>
      </w:r>
      <w:r w:rsidRPr="00C34679">
        <w:rPr>
          <w:rFonts w:ascii="宋体" w:eastAsia="宋体" w:cs="宋体" w:hint="eastAsia"/>
          <w:sz w:val="24"/>
          <w:szCs w:val="24"/>
        </w:rPr>
        <w:lastRenderedPageBreak/>
        <w:t>要包括简易管井的制作及安装、设备箱的制作及安装等部分。井管长度根据测站安装位置的具体情况确定。井管及水位计保护盒的盒体压印有“盐城防汛”字样。设备箱采用8K不锈钢镜面板(δ1mm)定制，简易水位井管采用PE管(Φ300内径,δ不小于16.6mm)。</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井筒接头处使用环状螺栓进行加固连接。简易井设计考虑防污，在进水口设计过滤网、安装地点考虑防撞。固定件采用热镀锌4*40的扁钢加工焊接而成，焊接处涂有防水漆和沥青进行防锈处理。</w:t>
      </w:r>
    </w:p>
    <w:p w:rsidR="0051687D" w:rsidRPr="00C34679" w:rsidRDefault="00F50D81">
      <w:pPr>
        <w:pStyle w:val="scyzw0"/>
        <w:spacing w:line="360" w:lineRule="auto"/>
        <w:ind w:firstLine="480"/>
        <w:jc w:val="both"/>
        <w:rPr>
          <w:rFonts w:ascii="宋体" w:eastAsia="宋体" w:cs="宋体"/>
          <w:sz w:val="24"/>
          <w:szCs w:val="24"/>
        </w:rPr>
      </w:pPr>
      <w:r w:rsidRPr="00C34679">
        <w:rPr>
          <w:rFonts w:ascii="宋体" w:eastAsia="宋体" w:cs="宋体" w:hint="eastAsia"/>
          <w:sz w:val="24"/>
          <w:szCs w:val="24"/>
        </w:rPr>
        <w:t>井身进水口设于背离来水方向，自下而上每50厘米设置1个，进水口面积不大于管体内截面积的2%。管口高程大于3米（废黄河口），管底高程不高于0（废黄河口），如有历史数据，需低于历史最低水位以下0.5米（废黄河口）。。</w:t>
      </w:r>
    </w:p>
    <w:p w:rsidR="0051687D" w:rsidRPr="00C34679" w:rsidRDefault="0051687D">
      <w:pPr>
        <w:spacing w:line="360" w:lineRule="auto"/>
        <w:jc w:val="center"/>
        <w:rPr>
          <w:rFonts w:ascii="宋体" w:hAnsi="宋体" w:cs="宋体"/>
          <w:sz w:val="24"/>
        </w:rPr>
      </w:pPr>
      <w:r w:rsidRPr="00C34679">
        <w:rPr>
          <w:rFonts w:ascii="宋体" w:hAnsi="宋体" w:cs="宋体" w:hint="eastAsia"/>
          <w:sz w:val="24"/>
        </w:rPr>
        <w:object w:dxaOrig="11916"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76pt" o:ole="">
            <v:imagedata r:id="rId7" o:title="" cropright="21168f"/>
          </v:shape>
          <o:OLEObject Type="Embed" ProgID="Visio.Drawing.11" ShapeID="_x0000_i1025" DrawAspect="Content" ObjectID="_1661088724" r:id="rId8"/>
        </w:object>
      </w:r>
    </w:p>
    <w:p w:rsidR="0051687D" w:rsidRPr="00C34679" w:rsidRDefault="00F50D81">
      <w:pPr>
        <w:spacing w:line="360" w:lineRule="auto"/>
        <w:jc w:val="center"/>
        <w:rPr>
          <w:rFonts w:ascii="宋体" w:hAnsi="宋体" w:cs="宋体"/>
          <w:b/>
          <w:kern w:val="0"/>
          <w:sz w:val="24"/>
        </w:rPr>
      </w:pPr>
      <w:r w:rsidRPr="00C34679">
        <w:rPr>
          <w:rFonts w:ascii="宋体" w:hAnsi="宋体" w:cs="宋体" w:hint="eastAsia"/>
          <w:b/>
          <w:kern w:val="0"/>
          <w:sz w:val="24"/>
        </w:rPr>
        <w:t>简易水位井安装参考示意图</w:t>
      </w:r>
    </w:p>
    <w:p w:rsidR="0051687D" w:rsidRPr="00C34679" w:rsidRDefault="00F50D81" w:rsidP="00C34679">
      <w:pPr>
        <w:pStyle w:val="scyzw0"/>
        <w:spacing w:beforeLines="50" w:afterLines="50"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（八）水尺桩</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采用直立式水尺，由靠桩和水尺牌两部分组成。水尺牌采用铝合金材质，固定于靠桩上，水尺安装于河道驳岸或桥墩或测井上，要求水尺零高为0。</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（九）防雷接地</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lastRenderedPageBreak/>
        <w:t>1、各测站建设避雷接地网，对遥测设备及太阳能板进行接地。设备接地电阻不大于10Ω。避雷接地设一组闭合的接地网，接地极及接地网须可靠地焊接。避雷接地网与设备接地体之间的间距大于5m。</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2、置于闸站内的遥测设备，室内所有设备的金属外壳均与接地体可靠连接。</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3、当室外线架空长度超过9m时，其悬持的钢绞线增加接地引下线。</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4、不采用长距离架空的信号传输线。</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（十）室外一体化机箱</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1、机箱固定在太阳能板支撑杆上，离地面2米以上，箱体尺寸应大于：高500 mm×宽400 mm×厚200 mm。</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2、箱体采用不锈钢材料，厚度δ不小于1.5mm，其材料质量符合相应国家标准。</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3、机箱外型设计美观、大方，外形比例协调；箱体为焊接件，焊接处应牢靠，不能有夹渣、气孔等缺陷，外观无疤痕和敲打痕迹。表面有一定的圆度、平行度、平面度、光洁度；整体具有水密特性，特别是门缝装有水密胶条。机箱表面刻绘水利行业标志、系统名称、建设单位、警示标语等字样。</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4、除传感器、太阳能电池板、通讯天线等必须置于机箱外，其余如遥测终端机、人工置数仪、通讯模块、蓄电池、充电控制器等设备与模块应连同自身包装一起安装于机箱内，这些设备与模块在机箱内的安装应符合规范，布局紧凑合理，在满足安装检修方便的前提下，可以平装，也可以分层安装。进入机箱的电缆统一从箱体下部进出(防灌水)，进出口应有防护措施(防割伤电缆、防虫进入)。箱体内的电缆应分类排列和布设，避免产生电气相互干扰。同时，线缆应沿箱底两侧垂直布设，采用线槽固定，各钟线缆应规范使用颜色或专门的标识，以便安装和维修，与设备的接插件应具备防误插接能力；蓄电池与其他模块或部件应有一定的间隔空间，有防止蓄电池意外短路、蓄电池电源连接桩腐蚀氧化、蓄电池排放气体腐蚀其他模块或部件的措施。</w:t>
      </w:r>
    </w:p>
    <w:p w:rsidR="0051687D" w:rsidRPr="00C34679" w:rsidRDefault="00F50D81">
      <w:pPr>
        <w:pStyle w:val="scyzw0"/>
        <w:spacing w:line="360" w:lineRule="auto"/>
        <w:ind w:firstLineChars="196" w:firstLine="470"/>
        <w:outlineLvl w:val="1"/>
        <w:rPr>
          <w:rFonts w:ascii="宋体" w:eastAsia="宋体" w:cs="宋体"/>
          <w:sz w:val="24"/>
          <w:szCs w:val="24"/>
        </w:rPr>
      </w:pPr>
      <w:r w:rsidRPr="00C34679">
        <w:rPr>
          <w:rFonts w:ascii="宋体" w:eastAsia="宋体" w:cs="宋体" w:hint="eastAsia"/>
          <w:sz w:val="24"/>
          <w:szCs w:val="24"/>
        </w:rPr>
        <w:t>5、箱体具有防盗功能。</w:t>
      </w:r>
    </w:p>
    <w:p w:rsidR="0051687D" w:rsidRPr="00C34679" w:rsidRDefault="00F50D81">
      <w:pPr>
        <w:pStyle w:val="scyzw0"/>
        <w:spacing w:line="360" w:lineRule="auto"/>
        <w:ind w:firstLineChars="196" w:firstLine="472"/>
        <w:outlineLvl w:val="1"/>
        <w:rPr>
          <w:rFonts w:ascii="宋体" w:eastAsia="宋体" w:cs="宋体"/>
          <w:b/>
          <w:sz w:val="24"/>
          <w:szCs w:val="24"/>
        </w:rPr>
      </w:pPr>
      <w:r w:rsidRPr="00C34679">
        <w:rPr>
          <w:rFonts w:ascii="宋体" w:eastAsia="宋体" w:cs="宋体" w:hint="eastAsia"/>
          <w:b/>
          <w:sz w:val="24"/>
          <w:szCs w:val="24"/>
        </w:rPr>
        <w:t>（十一）传输线路</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1、水位信号电缆为RVVP4*0.</w:t>
      </w:r>
      <w:r w:rsidR="00283447" w:rsidRPr="00C34679">
        <w:rPr>
          <w:rFonts w:ascii="宋体" w:eastAsia="宋体" w:cs="宋体" w:hint="eastAsia"/>
          <w:sz w:val="24"/>
          <w:szCs w:val="24"/>
        </w:rPr>
        <w:t>7</w:t>
      </w:r>
      <w:r w:rsidRPr="00C34679">
        <w:rPr>
          <w:rFonts w:ascii="宋体" w:eastAsia="宋体" w:cs="宋体" w:hint="eastAsia"/>
          <w:sz w:val="24"/>
          <w:szCs w:val="24"/>
        </w:rPr>
        <w:t>5电缆；电源线缆为RVVP</w:t>
      </w:r>
      <w:r w:rsidR="00283447" w:rsidRPr="00C34679">
        <w:rPr>
          <w:rFonts w:ascii="宋体" w:eastAsia="宋体" w:cs="宋体" w:hint="eastAsia"/>
          <w:sz w:val="24"/>
          <w:szCs w:val="24"/>
        </w:rPr>
        <w:t>2</w:t>
      </w:r>
      <w:r w:rsidRPr="00C34679">
        <w:rPr>
          <w:rFonts w:ascii="宋体" w:eastAsia="宋体" w:cs="宋体" w:hint="eastAsia"/>
          <w:sz w:val="24"/>
          <w:szCs w:val="24"/>
        </w:rPr>
        <w:t>*0.</w:t>
      </w:r>
      <w:r w:rsidR="00283447" w:rsidRPr="00C34679">
        <w:rPr>
          <w:rFonts w:ascii="宋体" w:eastAsia="宋体" w:cs="宋体" w:hint="eastAsia"/>
          <w:sz w:val="24"/>
          <w:szCs w:val="24"/>
        </w:rPr>
        <w:t>7</w:t>
      </w:r>
      <w:r w:rsidRPr="00C34679">
        <w:rPr>
          <w:rFonts w:ascii="宋体" w:eastAsia="宋体" w:cs="宋体" w:hint="eastAsia"/>
          <w:sz w:val="24"/>
          <w:szCs w:val="24"/>
        </w:rPr>
        <w:t>5电缆。</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lastRenderedPageBreak/>
        <w:t>2、端与端连接导线使用连续的整根导线，在使用不连续的多根导线连接时，导线连接满足相应的工艺和规范要求。</w:t>
      </w:r>
    </w:p>
    <w:p w:rsidR="0051687D" w:rsidRPr="00C34679" w:rsidRDefault="00F50D81">
      <w:pPr>
        <w:pStyle w:val="scyzw0"/>
        <w:spacing w:line="360" w:lineRule="auto"/>
        <w:ind w:firstLine="480"/>
        <w:rPr>
          <w:rFonts w:ascii="宋体" w:eastAsia="宋体" w:cs="宋体"/>
          <w:sz w:val="24"/>
          <w:szCs w:val="24"/>
        </w:rPr>
      </w:pPr>
      <w:r w:rsidRPr="00C34679">
        <w:rPr>
          <w:rFonts w:ascii="宋体" w:eastAsia="宋体" w:cs="宋体" w:hint="eastAsia"/>
          <w:sz w:val="24"/>
          <w:szCs w:val="24"/>
        </w:rPr>
        <w:t>3、所有室外敷设的导线具有一定强度的保护层和良好的防水性能，根据现场情况采用电缆沟槽、金属套管、塑料套管等保护措施，架空明线采用钢绞线悬吊。</w:t>
      </w:r>
    </w:p>
    <w:p w:rsidR="0051687D" w:rsidRPr="00C34679" w:rsidRDefault="00F50D81">
      <w:pPr>
        <w:spacing w:line="360" w:lineRule="auto"/>
        <w:rPr>
          <w:rFonts w:ascii="黑体" w:eastAsia="黑体" w:hAnsi="黑体" w:cs="宋体"/>
          <w:b/>
          <w:sz w:val="24"/>
        </w:rPr>
      </w:pPr>
      <w:r w:rsidRPr="00C34679">
        <w:rPr>
          <w:rFonts w:ascii="黑体" w:eastAsia="黑体" w:hAnsi="黑体" w:cs="宋体" w:hint="eastAsia"/>
          <w:b/>
          <w:sz w:val="24"/>
        </w:rPr>
        <w:t xml:space="preserve">    四、增加水位监测功能技术要求</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1、安装水尺前需先进行水准测量，每处站点按照《国家三、四等水准测量规范》（GB 12898-2009）和《水文测量规范》（SL 58-2014）等国家或行业规范要求，从附近的国家三等及以上引据点引测至安装水尺处，并按规范在附近坚硬稳固的地方设置临时水准点。</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2、水准测量应按要求使用精密水准仪，并进行往返测量，保证量测精度符合规范要求。高程统一采用废黄河口基面，并考虑地面沉降对水位数值的影响，应保证所测得的水位数据处于区域上下游河道现有报汛水位的合理区间。</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3、采用直立式水尺安装法，由靠桩和水尺板两部分组成。靠桩采用10#热镀锌槽钢(国标)制成，并在槽钢内嵌入8×3cm木方，靠桩与基座结合应牢固、稳定，不得有下沉或倾斜。水尺板采用铝合金</w:t>
      </w:r>
      <w:r w:rsidRPr="00C34679">
        <w:rPr>
          <w:rFonts w:ascii="宋体" w:eastAsia="宋体" w:hAnsi="宋体" w:cs="宋体"/>
          <w:sz w:val="24"/>
        </w:rPr>
        <w:t>夜光</w:t>
      </w:r>
      <w:r w:rsidRPr="00C34679">
        <w:rPr>
          <w:rFonts w:ascii="宋体" w:eastAsia="宋体" w:hAnsi="宋体" w:cs="宋体" w:hint="eastAsia"/>
          <w:sz w:val="24"/>
        </w:rPr>
        <w:t>水尺，红蓝间隔垂直安装在靠桩上。水尺板、木方、槽钢三者紧密结合。</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4、水尺的刻度必须清晰，数字清楚，水尺的刻度为1cm，误差不大于0.5mm，数字的下边缘应在靠近相应的刻度处。水尺读数零点应与换算后的废黄河口高程零点保持重合，便于直接读取实时水位数据。</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5、水尺安装前，中标方应及时与甲方进行安装位置确认，调整好水尺与河道视频监控摄像机之间的角度，确保能通过河道视频监控设备清晰、准确、方便地读取水位数据。水尺安装完成后，应再次与甲方进行确认，保证观测效果。</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6、提交成果：（1）施工技术方案；（2）成果手册（含水准点之记、水准测量成果及其分析报告、水尺安装点基本情况、水尺零点高程换算、施工总结等）；（3）水位监测装置。</w:t>
      </w:r>
    </w:p>
    <w:p w:rsidR="0051687D" w:rsidRPr="00C34679" w:rsidRDefault="00F50D81">
      <w:pPr>
        <w:spacing w:line="360" w:lineRule="auto"/>
        <w:ind w:firstLineChars="200" w:firstLine="480"/>
        <w:rPr>
          <w:rFonts w:ascii="宋体" w:eastAsia="宋体" w:hAnsi="宋体" w:cs="宋体"/>
          <w:sz w:val="24"/>
        </w:rPr>
      </w:pPr>
      <w:r w:rsidRPr="00C34679">
        <w:rPr>
          <w:rFonts w:ascii="宋体" w:eastAsia="宋体" w:hAnsi="宋体" w:cs="宋体" w:hint="eastAsia"/>
          <w:sz w:val="24"/>
        </w:rPr>
        <w:t>7、所有施工中的问题协调、矛盾调处及发生的相关费用，由中标方自行解决。</w:t>
      </w:r>
    </w:p>
    <w:p w:rsidR="0051687D" w:rsidRPr="00C34679" w:rsidRDefault="00F50D81">
      <w:pPr>
        <w:spacing w:line="360" w:lineRule="auto"/>
        <w:ind w:firstLineChars="196" w:firstLine="472"/>
        <w:rPr>
          <w:rFonts w:ascii="黑体" w:eastAsia="黑体" w:hAnsi="黑体" w:cs="宋体"/>
          <w:b/>
          <w:sz w:val="24"/>
        </w:rPr>
      </w:pPr>
      <w:r w:rsidRPr="00C34679">
        <w:rPr>
          <w:rFonts w:ascii="黑体" w:eastAsia="黑体" w:hAnsi="黑体" w:cs="宋体" w:hint="eastAsia"/>
          <w:b/>
          <w:sz w:val="24"/>
        </w:rPr>
        <w:t>五、高程校核技术要求</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lastRenderedPageBreak/>
        <w:t>1、每处水位站点按照《国家三、四等水准测量规范》（GB 12898-2009）和《水文测量规范》（SL 58-2014）等国家或行业规范要求，从附近的国家三等以上引据点引测至待校核水准点，并在站点附近坚硬稳固的地方设置临时水准点。</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2、测量仪器要求使用精密水准仪，并进行往返测量。</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3、高程统一采用废黄河口基面，并考虑地面沉降对水位数值的影响。</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4、所测水位数据应与现有站点自动测报值进行校验并协助站点现场管理人员调整到位，需保证区域上下游河道现有报汛水位合理。</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5、城市防洪水位站点要采用环形网状设计及施测，需往返测量。</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6、提交成果：（1）水准测量技术设计书；（2）水准测量成果手册（含水准点之记、水尺零点高程、引测值与现有自动测报数据差值、水准测量小结、水准测量成果分析报告等）。</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7、实施高程校核应具备测绘专业资质。</w:t>
      </w:r>
    </w:p>
    <w:p w:rsidR="0051687D" w:rsidRPr="00C34679" w:rsidRDefault="00F50D81">
      <w:pPr>
        <w:spacing w:line="360" w:lineRule="auto"/>
        <w:ind w:firstLineChars="200" w:firstLine="480"/>
        <w:rPr>
          <w:rFonts w:ascii="宋体" w:eastAsia="宋体" w:hAnsi="宋体"/>
          <w:sz w:val="24"/>
        </w:rPr>
      </w:pPr>
      <w:r w:rsidRPr="00C34679">
        <w:rPr>
          <w:rFonts w:ascii="宋体" w:eastAsia="宋体" w:hAnsi="宋体" w:hint="eastAsia"/>
          <w:sz w:val="24"/>
        </w:rPr>
        <w:t>8、中标方应做好水准点引测、废黄河口高程换算、沉降数值调整等工作，所有施工中的问题协调、矛盾调处及发生的相关费用由中标人自行解决。</w:t>
      </w:r>
    </w:p>
    <w:p w:rsidR="0051687D" w:rsidRPr="00C34679" w:rsidRDefault="0051687D"/>
    <w:p w:rsidR="0051687D" w:rsidRPr="00C34679" w:rsidRDefault="0051687D"/>
    <w:sectPr w:rsidR="0051687D" w:rsidRPr="00C34679" w:rsidSect="005168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0D" w:rsidRDefault="00B1730D" w:rsidP="00B23B41">
      <w:r>
        <w:separator/>
      </w:r>
    </w:p>
  </w:endnote>
  <w:endnote w:type="continuationSeparator" w:id="1">
    <w:p w:rsidR="00B1730D" w:rsidRDefault="00B1730D" w:rsidP="00B23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0D" w:rsidRDefault="00B1730D" w:rsidP="00B23B41">
      <w:r>
        <w:separator/>
      </w:r>
    </w:p>
  </w:footnote>
  <w:footnote w:type="continuationSeparator" w:id="1">
    <w:p w:rsidR="00B1730D" w:rsidRDefault="00B1730D" w:rsidP="00B23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687D"/>
    <w:rsid w:val="00283447"/>
    <w:rsid w:val="004E29F0"/>
    <w:rsid w:val="0051687D"/>
    <w:rsid w:val="005B3205"/>
    <w:rsid w:val="00974900"/>
    <w:rsid w:val="00B1730D"/>
    <w:rsid w:val="00B23B41"/>
    <w:rsid w:val="00C34679"/>
    <w:rsid w:val="00F50D81"/>
    <w:rsid w:val="0F813B1F"/>
    <w:rsid w:val="110E5D7B"/>
    <w:rsid w:val="1FC1152F"/>
    <w:rsid w:val="656E6D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1687D"/>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51687D"/>
    <w:rPr>
      <w:rFonts w:ascii="楷体_GB2312" w:eastAsia="楷体_GB2312" w:hAnsi="Arial"/>
      <w:sz w:val="28"/>
      <w:szCs w:val="20"/>
    </w:rPr>
  </w:style>
  <w:style w:type="paragraph" w:customStyle="1" w:styleId="1">
    <w:name w:val="正文1"/>
    <w:basedOn w:val="a"/>
    <w:next w:val="a"/>
    <w:qFormat/>
    <w:rsid w:val="0051687D"/>
    <w:pPr>
      <w:spacing w:line="360" w:lineRule="auto"/>
      <w:ind w:firstLineChars="202" w:firstLine="566"/>
    </w:pPr>
    <w:rPr>
      <w:rFonts w:ascii="仿宋_GB2312" w:eastAsia="仿宋_GB2312" w:hAnsi="宋体"/>
      <w:kern w:val="0"/>
      <w:sz w:val="28"/>
      <w:szCs w:val="20"/>
    </w:rPr>
  </w:style>
  <w:style w:type="paragraph" w:customStyle="1" w:styleId="scyzw0">
    <w:name w:val="scyzw0"/>
    <w:basedOn w:val="a"/>
    <w:qFormat/>
    <w:rsid w:val="0051687D"/>
    <w:pPr>
      <w:widowControl/>
      <w:spacing w:line="520" w:lineRule="exact"/>
      <w:ind w:firstLineChars="200" w:firstLine="200"/>
      <w:jc w:val="left"/>
    </w:pPr>
    <w:rPr>
      <w:rFonts w:ascii="仿宋_GB2312" w:eastAsia="仿宋_GB2312" w:hAnsi="宋体"/>
      <w:bCs/>
      <w:kern w:val="0"/>
      <w:sz w:val="28"/>
      <w:szCs w:val="18"/>
    </w:rPr>
  </w:style>
  <w:style w:type="paragraph" w:styleId="a4">
    <w:name w:val="header"/>
    <w:basedOn w:val="a"/>
    <w:link w:val="Char"/>
    <w:rsid w:val="00B23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23B41"/>
    <w:rPr>
      <w:rFonts w:ascii="等线" w:eastAsia="等线" w:hAnsi="等线"/>
      <w:kern w:val="2"/>
      <w:sz w:val="18"/>
      <w:szCs w:val="18"/>
    </w:rPr>
  </w:style>
  <w:style w:type="paragraph" w:styleId="a5">
    <w:name w:val="footer"/>
    <w:basedOn w:val="a"/>
    <w:link w:val="Char0"/>
    <w:rsid w:val="00B23B41"/>
    <w:pPr>
      <w:tabs>
        <w:tab w:val="center" w:pos="4153"/>
        <w:tab w:val="right" w:pos="8306"/>
      </w:tabs>
      <w:snapToGrid w:val="0"/>
      <w:jc w:val="left"/>
    </w:pPr>
    <w:rPr>
      <w:sz w:val="18"/>
      <w:szCs w:val="18"/>
    </w:rPr>
  </w:style>
  <w:style w:type="character" w:customStyle="1" w:styleId="Char0">
    <w:name w:val="页脚 Char"/>
    <w:basedOn w:val="a1"/>
    <w:link w:val="a5"/>
    <w:rsid w:val="00B23B41"/>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7</cp:revision>
  <cp:lastPrinted>2020-09-08T05:03:00Z</cp:lastPrinted>
  <dcterms:created xsi:type="dcterms:W3CDTF">2014-10-29T12:08:00Z</dcterms:created>
  <dcterms:modified xsi:type="dcterms:W3CDTF">2020-09-08T08:46:00Z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