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CE" w:rsidRPr="006C4AAC" w:rsidRDefault="001201CE" w:rsidP="001201CE">
      <w:pPr>
        <w:spacing w:line="276" w:lineRule="auto"/>
        <w:ind w:firstLineChars="150" w:firstLine="360"/>
        <w:rPr>
          <w:rFonts w:hAnsi="宋体"/>
        </w:rPr>
      </w:pPr>
      <w:r w:rsidRPr="006C4AAC">
        <w:rPr>
          <w:rFonts w:hAnsi="宋体" w:hint="eastAsia"/>
        </w:rPr>
        <w:t>我单位愿意按照本竞争性谈判文件的要求和下面的报价提供所需商品和服务，并保证所供商品为原厂原配产品。</w:t>
      </w:r>
    </w:p>
    <w:p w:rsidR="001201CE" w:rsidRDefault="001201CE" w:rsidP="001201CE">
      <w:pPr>
        <w:pStyle w:val="2"/>
      </w:pPr>
      <w:bookmarkStart w:id="0" w:name="_Toc47888278"/>
      <w:r>
        <w:t>1.</w:t>
      </w:r>
      <w:r w:rsidRPr="00A219BC">
        <w:rPr>
          <w:rFonts w:hint="eastAsia"/>
        </w:rPr>
        <w:t>盐城市伍佑中学计算机房设备采购项目</w:t>
      </w:r>
      <w:r w:rsidRPr="00F469E3">
        <w:rPr>
          <w:rFonts w:hint="eastAsia"/>
        </w:rPr>
        <w:t>报价单</w:t>
      </w:r>
      <w:bookmarkEnd w:id="0"/>
    </w:p>
    <w:p w:rsidR="001201CE" w:rsidRDefault="001201CE" w:rsidP="001201CE">
      <w:pPr>
        <w:pStyle w:val="a5"/>
        <w:spacing w:line="276" w:lineRule="auto"/>
        <w:ind w:left="480" w:firstLineChars="2300" w:firstLine="5520"/>
        <w:rPr>
          <w:rFonts w:hAnsi="宋体"/>
        </w:rPr>
      </w:pPr>
      <w:r w:rsidRPr="006C4AAC">
        <w:rPr>
          <w:rFonts w:hAnsi="宋体" w:hint="eastAsia"/>
        </w:rPr>
        <w:t>货币单位：人民币元</w:t>
      </w:r>
    </w:p>
    <w:p w:rsidR="001201CE" w:rsidRPr="00BA08E1" w:rsidRDefault="001201CE" w:rsidP="001201CE">
      <w:pPr>
        <w:pStyle w:val="a5"/>
        <w:spacing w:line="276" w:lineRule="auto"/>
        <w:ind w:left="480" w:firstLineChars="2300" w:firstLine="5520"/>
        <w:rPr>
          <w:rFonts w:hAnsi="宋体"/>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1236"/>
        <w:gridCol w:w="848"/>
        <w:gridCol w:w="1070"/>
        <w:gridCol w:w="1096"/>
        <w:gridCol w:w="684"/>
        <w:gridCol w:w="649"/>
        <w:gridCol w:w="883"/>
        <w:gridCol w:w="954"/>
        <w:gridCol w:w="1280"/>
      </w:tblGrid>
      <w:tr w:rsidR="001201CE" w:rsidRPr="00523A70" w:rsidTr="006C4A8C">
        <w:trPr>
          <w:trHeight w:val="1091"/>
          <w:jc w:val="center"/>
        </w:trPr>
        <w:tc>
          <w:tcPr>
            <w:tcW w:w="718"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序号</w:t>
            </w:r>
          </w:p>
        </w:tc>
        <w:tc>
          <w:tcPr>
            <w:tcW w:w="1236"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商品名称</w:t>
            </w:r>
          </w:p>
        </w:tc>
        <w:tc>
          <w:tcPr>
            <w:tcW w:w="848"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品牌</w:t>
            </w:r>
          </w:p>
        </w:tc>
        <w:tc>
          <w:tcPr>
            <w:tcW w:w="1070"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型号</w:t>
            </w:r>
          </w:p>
        </w:tc>
        <w:tc>
          <w:tcPr>
            <w:tcW w:w="1096"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相关说明(可附页)</w:t>
            </w:r>
          </w:p>
        </w:tc>
        <w:tc>
          <w:tcPr>
            <w:tcW w:w="684"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单位</w:t>
            </w:r>
          </w:p>
        </w:tc>
        <w:tc>
          <w:tcPr>
            <w:tcW w:w="649"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数量</w:t>
            </w:r>
          </w:p>
        </w:tc>
        <w:tc>
          <w:tcPr>
            <w:tcW w:w="883"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投标</w:t>
            </w:r>
          </w:p>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单价</w:t>
            </w:r>
          </w:p>
        </w:tc>
        <w:tc>
          <w:tcPr>
            <w:tcW w:w="954"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投标</w:t>
            </w:r>
          </w:p>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金额</w:t>
            </w:r>
          </w:p>
        </w:tc>
        <w:tc>
          <w:tcPr>
            <w:tcW w:w="1280" w:type="dxa"/>
            <w:vAlign w:val="center"/>
          </w:tcPr>
          <w:p w:rsidR="001201CE" w:rsidRPr="00523A70" w:rsidRDefault="001201CE" w:rsidP="006C4A8C">
            <w:pPr>
              <w:snapToGrid w:val="0"/>
              <w:spacing w:line="240" w:lineRule="exact"/>
              <w:jc w:val="center"/>
              <w:rPr>
                <w:rFonts w:hAnsi="宋体"/>
                <w:color w:val="0C0C0C"/>
                <w:sz w:val="21"/>
                <w:szCs w:val="21"/>
              </w:rPr>
            </w:pPr>
            <w:r w:rsidRPr="00523A70">
              <w:rPr>
                <w:rFonts w:hAnsi="宋体" w:hint="eastAsia"/>
                <w:color w:val="0C0C0C"/>
                <w:sz w:val="21"/>
                <w:szCs w:val="21"/>
              </w:rPr>
              <w:t>不同于项目需求的说明</w:t>
            </w:r>
          </w:p>
        </w:tc>
      </w:tr>
      <w:tr w:rsidR="001201CE" w:rsidRPr="00054EE7" w:rsidTr="006C4A8C">
        <w:trPr>
          <w:trHeight w:val="748"/>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推拉绿板</w:t>
            </w:r>
          </w:p>
        </w:tc>
        <w:tc>
          <w:tcPr>
            <w:tcW w:w="848" w:type="dxa"/>
            <w:vAlign w:val="center"/>
          </w:tcPr>
          <w:p w:rsidR="001201CE" w:rsidRDefault="001201CE" w:rsidP="006C4A8C">
            <w:pPr>
              <w:widowControl/>
              <w:jc w:val="center"/>
              <w:rPr>
                <w:rFonts w:hAnsi="宋体"/>
                <w:color w:val="000000"/>
                <w:sz w:val="21"/>
                <w:szCs w:val="21"/>
              </w:rPr>
            </w:pPr>
            <w:r>
              <w:rPr>
                <w:rFonts w:hAnsi="宋体" w:hint="eastAsia"/>
                <w:color w:val="000000"/>
                <w:sz w:val="21"/>
                <w:szCs w:val="21"/>
              </w:rPr>
              <w:t>蓝贝</w:t>
            </w:r>
          </w:p>
          <w:p w:rsidR="001201CE" w:rsidRPr="00523A70" w:rsidRDefault="001201CE" w:rsidP="006C4A8C">
            <w:pPr>
              <w:widowControl/>
              <w:jc w:val="center"/>
              <w:rPr>
                <w:rFonts w:hAnsi="宋体"/>
                <w:color w:val="000000"/>
                <w:sz w:val="21"/>
                <w:szCs w:val="21"/>
              </w:rPr>
            </w:pPr>
            <w:r>
              <w:rPr>
                <w:rFonts w:hAnsi="宋体" w:hint="eastAsia"/>
                <w:color w:val="000000"/>
                <w:sz w:val="21"/>
                <w:szCs w:val="21"/>
              </w:rPr>
              <w:t>思特</w:t>
            </w:r>
          </w:p>
        </w:tc>
        <w:tc>
          <w:tcPr>
            <w:tcW w:w="1070" w:type="dxa"/>
            <w:vAlign w:val="center"/>
          </w:tcPr>
          <w:p w:rsidR="001201CE" w:rsidRPr="00054EE7" w:rsidRDefault="001201CE" w:rsidP="006C4A8C">
            <w:pPr>
              <w:widowControl/>
              <w:jc w:val="center"/>
              <w:rPr>
                <w:rFonts w:hAnsi="宋体"/>
                <w:color w:val="000000"/>
                <w:sz w:val="21"/>
                <w:szCs w:val="21"/>
              </w:rPr>
            </w:pPr>
            <w:r w:rsidRPr="009E2A13">
              <w:rPr>
                <w:rFonts w:hAnsi="宋体"/>
                <w:color w:val="000000"/>
                <w:sz w:val="21"/>
                <w:szCs w:val="21"/>
              </w:rPr>
              <w:t>ZY100-29</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个</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1250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2500</w:t>
            </w:r>
          </w:p>
        </w:tc>
        <w:tc>
          <w:tcPr>
            <w:tcW w:w="1280" w:type="dxa"/>
            <w:vAlign w:val="center"/>
          </w:tcPr>
          <w:p w:rsidR="001201CE" w:rsidRPr="00054EE7" w:rsidRDefault="001201CE" w:rsidP="006C4A8C">
            <w:pPr>
              <w:spacing w:line="260" w:lineRule="exact"/>
              <w:jc w:val="center"/>
              <w:rPr>
                <w:rFonts w:hAnsi="宋体"/>
                <w:color w:val="0C0C0C"/>
                <w:sz w:val="21"/>
                <w:szCs w:val="21"/>
              </w:rPr>
            </w:pPr>
            <w:r w:rsidRPr="00054EE7">
              <w:rPr>
                <w:rFonts w:hAnsi="宋体" w:hint="eastAsia"/>
                <w:color w:val="0C0C0C"/>
                <w:sz w:val="21"/>
                <w:szCs w:val="21"/>
              </w:rPr>
              <w:t>无</w:t>
            </w:r>
          </w:p>
        </w:tc>
      </w:tr>
      <w:tr w:rsidR="001201CE" w:rsidRPr="00054EE7" w:rsidTr="006C4A8C">
        <w:trPr>
          <w:trHeight w:val="774"/>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2</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学生电脑</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联想</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启天M420(C)</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台</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112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3540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396480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5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3</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教师电脑</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联想</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启天M420</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台</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4500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9000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62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4</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防静电地板</w:t>
            </w:r>
          </w:p>
        </w:tc>
        <w:tc>
          <w:tcPr>
            <w:tcW w:w="848" w:type="dxa"/>
            <w:vAlign w:val="center"/>
          </w:tcPr>
          <w:p w:rsidR="001201CE" w:rsidRPr="00523A70" w:rsidRDefault="001201CE" w:rsidP="006C4A8C">
            <w:pPr>
              <w:jc w:val="center"/>
              <w:rPr>
                <w:rFonts w:hAnsi="宋体"/>
                <w:color w:val="000000"/>
                <w:sz w:val="21"/>
                <w:szCs w:val="21"/>
              </w:rPr>
            </w:pPr>
            <w:r>
              <w:rPr>
                <w:rFonts w:ascii="等线" w:eastAsia="等线" w:hAnsi="等线" w:hint="eastAsia"/>
                <w:color w:val="000000"/>
                <w:sz w:val="22"/>
                <w:szCs w:val="22"/>
              </w:rPr>
              <w:t>方胜</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FS-DB08</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平</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200</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175</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35000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58"/>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5</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净化电源</w:t>
            </w:r>
          </w:p>
        </w:tc>
        <w:tc>
          <w:tcPr>
            <w:tcW w:w="848" w:type="dxa"/>
            <w:vAlign w:val="center"/>
          </w:tcPr>
          <w:p w:rsidR="001201CE" w:rsidRPr="00523A70" w:rsidRDefault="001201CE" w:rsidP="006C4A8C">
            <w:pPr>
              <w:jc w:val="center"/>
              <w:rPr>
                <w:rFonts w:hAnsi="宋体"/>
                <w:color w:val="000000"/>
                <w:sz w:val="21"/>
                <w:szCs w:val="21"/>
              </w:rPr>
            </w:pPr>
            <w:r w:rsidRPr="00F95527">
              <w:rPr>
                <w:rFonts w:hAnsi="宋体" w:hint="eastAsia"/>
                <w:color w:val="000000"/>
                <w:sz w:val="21"/>
                <w:szCs w:val="21"/>
              </w:rPr>
              <w:t>鸿宝</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JJW-10KVA</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台</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3500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7000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56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6</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交换机</w:t>
            </w:r>
          </w:p>
        </w:tc>
        <w:tc>
          <w:tcPr>
            <w:tcW w:w="848" w:type="dxa"/>
            <w:vAlign w:val="center"/>
          </w:tcPr>
          <w:p w:rsidR="001201CE" w:rsidRPr="00523A70" w:rsidRDefault="001201CE" w:rsidP="006C4A8C">
            <w:pPr>
              <w:jc w:val="center"/>
              <w:rPr>
                <w:rFonts w:hAnsi="宋体"/>
                <w:color w:val="000000"/>
                <w:sz w:val="21"/>
                <w:szCs w:val="21"/>
              </w:rPr>
            </w:pPr>
            <w:r>
              <w:rPr>
                <w:rFonts w:ascii="等线" w:eastAsia="等线" w:hAnsi="等线" w:hint="eastAsia"/>
                <w:color w:val="000000"/>
                <w:sz w:val="22"/>
                <w:szCs w:val="22"/>
              </w:rPr>
              <w:t>H3C</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S5024PV3-EI</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台</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6</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1250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7500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69"/>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7</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学生方凳</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勤达</w:t>
            </w:r>
          </w:p>
        </w:tc>
        <w:tc>
          <w:tcPr>
            <w:tcW w:w="1070" w:type="dxa"/>
            <w:vAlign w:val="center"/>
          </w:tcPr>
          <w:p w:rsidR="001201CE" w:rsidRPr="00054EE7" w:rsidRDefault="001201CE" w:rsidP="006C4A8C">
            <w:pPr>
              <w:rPr>
                <w:rFonts w:hAnsi="宋体"/>
                <w:color w:val="000000"/>
                <w:sz w:val="21"/>
                <w:szCs w:val="21"/>
              </w:rPr>
            </w:pPr>
            <w:r>
              <w:rPr>
                <w:rFonts w:ascii="等线" w:eastAsia="等线" w:hAnsi="等线" w:hint="eastAsia"/>
                <w:color w:val="000000"/>
                <w:sz w:val="22"/>
                <w:szCs w:val="22"/>
              </w:rPr>
              <w:t>QD-FD</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只</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112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95</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10640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79"/>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8</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学生电脑桌</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勤达</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QD-DNZ</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张</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56</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560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31360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60"/>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lastRenderedPageBreak/>
              <w:t>9</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教师桌</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勤达</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QD-JSZ</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张</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850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1700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71"/>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10</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教师椅</w:t>
            </w:r>
          </w:p>
        </w:tc>
        <w:tc>
          <w:tcPr>
            <w:tcW w:w="848" w:type="dxa"/>
            <w:vAlign w:val="center"/>
          </w:tcPr>
          <w:p w:rsidR="001201CE" w:rsidRPr="00523A70" w:rsidRDefault="001201CE" w:rsidP="006C4A8C">
            <w:pPr>
              <w:jc w:val="center"/>
              <w:rPr>
                <w:rFonts w:hAnsi="宋体"/>
                <w:color w:val="000000"/>
                <w:sz w:val="21"/>
                <w:szCs w:val="21"/>
              </w:rPr>
            </w:pP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国优</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个</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580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1160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67"/>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11</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插座</w:t>
            </w:r>
          </w:p>
        </w:tc>
        <w:tc>
          <w:tcPr>
            <w:tcW w:w="848" w:type="dxa"/>
            <w:vAlign w:val="center"/>
          </w:tcPr>
          <w:p w:rsidR="001201CE" w:rsidRPr="00523A70" w:rsidRDefault="001201CE" w:rsidP="006C4A8C">
            <w:pPr>
              <w:jc w:val="center"/>
              <w:rPr>
                <w:rFonts w:hAnsi="宋体"/>
                <w:color w:val="000000"/>
                <w:sz w:val="21"/>
                <w:szCs w:val="21"/>
              </w:rPr>
            </w:pPr>
            <w:r>
              <w:rPr>
                <w:rFonts w:ascii="等线" w:eastAsia="等线" w:hAnsi="等线" w:hint="eastAsia"/>
                <w:color w:val="000000"/>
                <w:sz w:val="22"/>
                <w:szCs w:val="22"/>
              </w:rPr>
              <w:t>公牛</w:t>
            </w:r>
          </w:p>
        </w:tc>
        <w:tc>
          <w:tcPr>
            <w:tcW w:w="1070" w:type="dxa"/>
            <w:vAlign w:val="center"/>
          </w:tcPr>
          <w:p w:rsidR="001201CE" w:rsidRPr="00054EE7" w:rsidRDefault="001201CE" w:rsidP="006C4A8C">
            <w:pPr>
              <w:jc w:val="center"/>
              <w:rPr>
                <w:rFonts w:hAnsi="宋体"/>
                <w:color w:val="000000"/>
                <w:sz w:val="21"/>
                <w:szCs w:val="21"/>
              </w:rPr>
            </w:pPr>
            <w:r>
              <w:rPr>
                <w:rFonts w:ascii="等线" w:eastAsia="等线" w:hAnsi="等线" w:hint="eastAsia"/>
                <w:color w:val="000000"/>
                <w:sz w:val="22"/>
                <w:szCs w:val="22"/>
              </w:rPr>
              <w:t>GN-402</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个</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112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80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8960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61"/>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12</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电源护套线</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东强</w:t>
            </w:r>
          </w:p>
        </w:tc>
        <w:tc>
          <w:tcPr>
            <w:tcW w:w="1070" w:type="dxa"/>
            <w:vAlign w:val="center"/>
          </w:tcPr>
          <w:p w:rsidR="001201CE" w:rsidRPr="00054EE7" w:rsidRDefault="001201CE" w:rsidP="006C4A8C">
            <w:pPr>
              <w:jc w:val="center"/>
              <w:rPr>
                <w:rFonts w:hAnsi="宋体"/>
                <w:sz w:val="21"/>
                <w:szCs w:val="21"/>
              </w:rPr>
            </w:pPr>
            <w:r>
              <w:rPr>
                <w:rFonts w:ascii="等线" w:eastAsia="等线" w:hAnsi="等线" w:hint="eastAsia"/>
                <w:color w:val="000000"/>
                <w:sz w:val="22"/>
                <w:szCs w:val="22"/>
              </w:rPr>
              <w:t>电源线</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卷</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450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5400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758"/>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13</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机柜</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图腾</w:t>
            </w:r>
          </w:p>
        </w:tc>
        <w:tc>
          <w:tcPr>
            <w:tcW w:w="1070" w:type="dxa"/>
            <w:vAlign w:val="center"/>
          </w:tcPr>
          <w:p w:rsidR="001201CE" w:rsidRPr="00054EE7" w:rsidRDefault="001201CE" w:rsidP="006C4A8C">
            <w:pPr>
              <w:jc w:val="center"/>
              <w:rPr>
                <w:rFonts w:hAnsi="宋体"/>
                <w:sz w:val="21"/>
                <w:szCs w:val="21"/>
              </w:rPr>
            </w:pPr>
            <w:r w:rsidRPr="001475FF">
              <w:rPr>
                <w:rFonts w:ascii="等线" w:eastAsia="等线" w:hAnsi="等线"/>
                <w:color w:val="000000"/>
                <w:sz w:val="22"/>
                <w:szCs w:val="22"/>
              </w:rPr>
              <w:t>G26822</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个</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1500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3000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628"/>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14</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超五类网线</w:t>
            </w:r>
          </w:p>
        </w:tc>
        <w:tc>
          <w:tcPr>
            <w:tcW w:w="848" w:type="dxa"/>
            <w:vAlign w:val="center"/>
          </w:tcPr>
          <w:p w:rsidR="001201CE" w:rsidRPr="00523A70" w:rsidRDefault="001201CE" w:rsidP="006C4A8C">
            <w:pPr>
              <w:jc w:val="center"/>
              <w:rPr>
                <w:rFonts w:hAnsi="宋体"/>
                <w:color w:val="000000"/>
                <w:sz w:val="21"/>
                <w:szCs w:val="21"/>
              </w:rPr>
            </w:pPr>
            <w:r>
              <w:rPr>
                <w:rFonts w:hAnsi="宋体" w:hint="eastAsia"/>
                <w:color w:val="000000"/>
                <w:sz w:val="21"/>
                <w:szCs w:val="21"/>
              </w:rPr>
              <w:t>东强</w:t>
            </w:r>
          </w:p>
        </w:tc>
        <w:tc>
          <w:tcPr>
            <w:tcW w:w="1070" w:type="dxa"/>
            <w:vAlign w:val="center"/>
          </w:tcPr>
          <w:p w:rsidR="001201CE" w:rsidRPr="00054EE7" w:rsidRDefault="001201CE" w:rsidP="006C4A8C">
            <w:pPr>
              <w:jc w:val="center"/>
              <w:rPr>
                <w:rFonts w:hAnsi="宋体"/>
                <w:sz w:val="21"/>
                <w:szCs w:val="21"/>
              </w:rPr>
            </w:pPr>
            <w:r>
              <w:rPr>
                <w:rFonts w:ascii="等线" w:eastAsia="等线" w:hAnsi="等线" w:hint="eastAsia"/>
                <w:color w:val="000000"/>
                <w:sz w:val="22"/>
                <w:szCs w:val="22"/>
              </w:rPr>
              <w:t>超五类</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箱</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10</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480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4800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56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15</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遮光窗帘</w:t>
            </w:r>
          </w:p>
        </w:tc>
        <w:tc>
          <w:tcPr>
            <w:tcW w:w="848" w:type="dxa"/>
            <w:vAlign w:val="center"/>
          </w:tcPr>
          <w:p w:rsidR="001201CE" w:rsidRPr="00523A70" w:rsidRDefault="001201CE" w:rsidP="006C4A8C">
            <w:pPr>
              <w:jc w:val="center"/>
              <w:rPr>
                <w:rFonts w:hAnsi="宋体"/>
                <w:sz w:val="21"/>
                <w:szCs w:val="21"/>
              </w:rPr>
            </w:pPr>
          </w:p>
        </w:tc>
        <w:tc>
          <w:tcPr>
            <w:tcW w:w="1070" w:type="dxa"/>
            <w:vAlign w:val="center"/>
          </w:tcPr>
          <w:p w:rsidR="001201CE" w:rsidRPr="00054EE7" w:rsidRDefault="001201CE" w:rsidP="006C4A8C">
            <w:pPr>
              <w:jc w:val="center"/>
              <w:rPr>
                <w:rFonts w:hAnsi="宋体"/>
                <w:sz w:val="21"/>
                <w:szCs w:val="21"/>
              </w:rPr>
            </w:pPr>
            <w:r>
              <w:rPr>
                <w:rFonts w:ascii="等线" w:eastAsia="等线" w:hAnsi="等线" w:hint="eastAsia"/>
                <w:color w:val="000000"/>
                <w:sz w:val="22"/>
                <w:szCs w:val="22"/>
              </w:rPr>
              <w:t>国优</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间</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8500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17000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56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16</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立式空调</w:t>
            </w:r>
          </w:p>
        </w:tc>
        <w:tc>
          <w:tcPr>
            <w:tcW w:w="848" w:type="dxa"/>
            <w:vAlign w:val="center"/>
          </w:tcPr>
          <w:p w:rsidR="001201CE" w:rsidRPr="00523A70" w:rsidRDefault="001201CE" w:rsidP="006C4A8C">
            <w:pPr>
              <w:jc w:val="center"/>
              <w:rPr>
                <w:rFonts w:hAnsi="宋体" w:cs="宋体"/>
                <w:color w:val="000000"/>
                <w:sz w:val="21"/>
                <w:szCs w:val="21"/>
              </w:rPr>
            </w:pPr>
            <w:r>
              <w:rPr>
                <w:rFonts w:hAnsi="宋体" w:cs="宋体" w:hint="eastAsia"/>
                <w:color w:val="000000"/>
                <w:sz w:val="21"/>
                <w:szCs w:val="21"/>
              </w:rPr>
              <w:t>格力</w:t>
            </w:r>
          </w:p>
        </w:tc>
        <w:tc>
          <w:tcPr>
            <w:tcW w:w="1070" w:type="dxa"/>
            <w:vAlign w:val="center"/>
          </w:tcPr>
          <w:p w:rsidR="001201CE" w:rsidRPr="00B03011" w:rsidRDefault="001201CE" w:rsidP="006C4A8C">
            <w:pPr>
              <w:jc w:val="center"/>
              <w:rPr>
                <w:rFonts w:hAnsi="宋体"/>
                <w:sz w:val="21"/>
                <w:szCs w:val="21"/>
              </w:rPr>
            </w:pPr>
            <w:r w:rsidRPr="00CB783E">
              <w:rPr>
                <w:rFonts w:hAnsi="宋体" w:hint="eastAsia"/>
                <w:sz w:val="21"/>
                <w:szCs w:val="21"/>
              </w:rPr>
              <w:t>72532NhAa-3[3P]</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台</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4</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5200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20800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56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17</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拆迁</w:t>
            </w:r>
          </w:p>
        </w:tc>
        <w:tc>
          <w:tcPr>
            <w:tcW w:w="848" w:type="dxa"/>
            <w:vAlign w:val="center"/>
          </w:tcPr>
          <w:p w:rsidR="001201CE" w:rsidRPr="00523A70" w:rsidRDefault="001201CE" w:rsidP="006C4A8C">
            <w:pPr>
              <w:jc w:val="center"/>
              <w:rPr>
                <w:rFonts w:hAnsi="宋体"/>
                <w:color w:val="000000"/>
                <w:sz w:val="21"/>
                <w:szCs w:val="21"/>
              </w:rPr>
            </w:pPr>
          </w:p>
        </w:tc>
        <w:tc>
          <w:tcPr>
            <w:tcW w:w="1070" w:type="dxa"/>
            <w:vAlign w:val="center"/>
          </w:tcPr>
          <w:p w:rsidR="001201CE" w:rsidRPr="00054EE7" w:rsidRDefault="001201CE" w:rsidP="006C4A8C">
            <w:pPr>
              <w:jc w:val="center"/>
              <w:rPr>
                <w:rFonts w:hAnsi="宋体"/>
                <w:sz w:val="21"/>
                <w:szCs w:val="21"/>
              </w:rPr>
            </w:pPr>
            <w:r>
              <w:rPr>
                <w:rFonts w:ascii="等线" w:eastAsia="等线" w:hAnsi="等线" w:hint="eastAsia"/>
                <w:color w:val="000000"/>
                <w:sz w:val="22"/>
                <w:szCs w:val="22"/>
              </w:rPr>
              <w:t>国优</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项</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5000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5000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054EE7" w:rsidTr="006C4A8C">
        <w:trPr>
          <w:trHeight w:val="565"/>
          <w:jc w:val="center"/>
        </w:trPr>
        <w:tc>
          <w:tcPr>
            <w:tcW w:w="718"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18</w:t>
            </w:r>
          </w:p>
        </w:tc>
        <w:tc>
          <w:tcPr>
            <w:tcW w:w="1236" w:type="dxa"/>
            <w:vAlign w:val="center"/>
          </w:tcPr>
          <w:p w:rsidR="001201CE" w:rsidRPr="00523A70" w:rsidRDefault="001201CE" w:rsidP="006C4A8C">
            <w:pPr>
              <w:widowControl/>
              <w:jc w:val="center"/>
              <w:rPr>
                <w:rFonts w:hAnsi="宋体" w:cs="宋体"/>
                <w:color w:val="000000"/>
                <w:kern w:val="0"/>
                <w:sz w:val="21"/>
                <w:szCs w:val="21"/>
              </w:rPr>
            </w:pPr>
            <w:r w:rsidRPr="00523A70">
              <w:rPr>
                <w:rFonts w:hAnsi="宋体" w:cs="宋体" w:hint="eastAsia"/>
                <w:color w:val="000000"/>
                <w:kern w:val="0"/>
                <w:sz w:val="21"/>
                <w:szCs w:val="21"/>
              </w:rPr>
              <w:t xml:space="preserve"> 辅材、机房集成</w:t>
            </w:r>
          </w:p>
        </w:tc>
        <w:tc>
          <w:tcPr>
            <w:tcW w:w="848" w:type="dxa"/>
            <w:vAlign w:val="center"/>
          </w:tcPr>
          <w:p w:rsidR="001201CE" w:rsidRPr="00523A70" w:rsidRDefault="001201CE" w:rsidP="006C4A8C">
            <w:pPr>
              <w:jc w:val="center"/>
              <w:rPr>
                <w:rFonts w:hAnsi="宋体"/>
                <w:sz w:val="21"/>
                <w:szCs w:val="21"/>
              </w:rPr>
            </w:pPr>
          </w:p>
        </w:tc>
        <w:tc>
          <w:tcPr>
            <w:tcW w:w="1070" w:type="dxa"/>
            <w:vAlign w:val="center"/>
          </w:tcPr>
          <w:p w:rsidR="001201CE" w:rsidRPr="00054EE7" w:rsidRDefault="001201CE" w:rsidP="006C4A8C">
            <w:pPr>
              <w:jc w:val="center"/>
              <w:rPr>
                <w:rFonts w:hAnsi="宋体"/>
                <w:sz w:val="21"/>
                <w:szCs w:val="21"/>
              </w:rPr>
            </w:pPr>
            <w:r>
              <w:rPr>
                <w:rFonts w:ascii="等线" w:eastAsia="等线" w:hAnsi="等线" w:hint="eastAsia"/>
                <w:color w:val="000000"/>
                <w:sz w:val="22"/>
                <w:szCs w:val="22"/>
              </w:rPr>
              <w:t>国优</w:t>
            </w:r>
          </w:p>
        </w:tc>
        <w:tc>
          <w:tcPr>
            <w:tcW w:w="1096" w:type="dxa"/>
            <w:vAlign w:val="center"/>
          </w:tcPr>
          <w:p w:rsidR="001201CE" w:rsidRPr="00054EE7" w:rsidRDefault="001201CE" w:rsidP="006C4A8C">
            <w:pPr>
              <w:spacing w:line="260" w:lineRule="exact"/>
              <w:jc w:val="center"/>
              <w:rPr>
                <w:rFonts w:hAnsi="宋体"/>
                <w:color w:val="0C0C0C"/>
                <w:sz w:val="21"/>
                <w:szCs w:val="21"/>
              </w:rPr>
            </w:pPr>
            <w:r>
              <w:rPr>
                <w:rFonts w:hAnsi="宋体" w:hint="eastAsia"/>
                <w:color w:val="0C0C0C"/>
                <w:sz w:val="21"/>
                <w:szCs w:val="21"/>
              </w:rPr>
              <w:t>见技术响应偏离表</w:t>
            </w:r>
          </w:p>
        </w:tc>
        <w:tc>
          <w:tcPr>
            <w:tcW w:w="684"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项</w:t>
            </w:r>
          </w:p>
        </w:tc>
        <w:tc>
          <w:tcPr>
            <w:tcW w:w="649" w:type="dxa"/>
            <w:vAlign w:val="center"/>
          </w:tcPr>
          <w:p w:rsidR="001201CE" w:rsidRPr="00054EE7" w:rsidRDefault="001201CE" w:rsidP="006C4A8C">
            <w:pPr>
              <w:widowControl/>
              <w:jc w:val="center"/>
              <w:rPr>
                <w:rFonts w:hAnsi="宋体" w:cs="宋体"/>
                <w:color w:val="000000"/>
                <w:kern w:val="0"/>
                <w:sz w:val="21"/>
                <w:szCs w:val="21"/>
              </w:rPr>
            </w:pPr>
            <w:r w:rsidRPr="00054EE7">
              <w:rPr>
                <w:rFonts w:hAnsi="宋体" w:cs="宋体" w:hint="eastAsia"/>
                <w:color w:val="000000"/>
                <w:kern w:val="0"/>
                <w:sz w:val="21"/>
                <w:szCs w:val="21"/>
              </w:rPr>
              <w:t>1</w:t>
            </w:r>
          </w:p>
        </w:tc>
        <w:tc>
          <w:tcPr>
            <w:tcW w:w="883" w:type="dxa"/>
            <w:tcBorders>
              <w:top w:val="single" w:sz="4" w:space="0" w:color="auto"/>
              <w:left w:val="nil"/>
              <w:bottom w:val="single" w:sz="4" w:space="0" w:color="auto"/>
              <w:right w:val="single" w:sz="4" w:space="0" w:color="auto"/>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sidRPr="00B93068">
              <w:rPr>
                <w:rFonts w:hAnsi="宋体" w:cs="宋体" w:hint="eastAsia"/>
                <w:color w:val="000000"/>
                <w:kern w:val="0"/>
                <w:sz w:val="21"/>
                <w:szCs w:val="21"/>
              </w:rPr>
              <w:t>90000</w:t>
            </w:r>
          </w:p>
        </w:tc>
        <w:tc>
          <w:tcPr>
            <w:tcW w:w="954" w:type="dxa"/>
            <w:tcBorders>
              <w:top w:val="single" w:sz="4" w:space="0" w:color="auto"/>
              <w:left w:val="single" w:sz="4" w:space="0" w:color="auto"/>
              <w:bottom w:val="single" w:sz="4" w:space="0" w:color="auto"/>
              <w:right w:val="nil"/>
            </w:tcBorders>
            <w:shd w:val="clear" w:color="auto" w:fill="auto"/>
            <w:vAlign w:val="center"/>
          </w:tcPr>
          <w:p w:rsidR="001201CE" w:rsidRPr="00B93068" w:rsidRDefault="001201CE" w:rsidP="006C4A8C">
            <w:pPr>
              <w:widowControl/>
              <w:jc w:val="center"/>
              <w:rPr>
                <w:rFonts w:hAnsi="宋体" w:cs="宋体"/>
                <w:color w:val="000000"/>
                <w:kern w:val="0"/>
                <w:sz w:val="21"/>
                <w:szCs w:val="21"/>
              </w:rPr>
            </w:pPr>
            <w:r>
              <w:rPr>
                <w:rFonts w:hAnsi="宋体" w:cs="宋体" w:hint="eastAsia"/>
                <w:color w:val="000000"/>
                <w:kern w:val="0"/>
                <w:sz w:val="21"/>
                <w:szCs w:val="21"/>
              </w:rPr>
              <w:t>9</w:t>
            </w:r>
            <w:r>
              <w:rPr>
                <w:rFonts w:hAnsi="宋体" w:cs="宋体"/>
                <w:color w:val="000000"/>
                <w:kern w:val="0"/>
                <w:sz w:val="21"/>
                <w:szCs w:val="21"/>
              </w:rPr>
              <w:t>0000</w:t>
            </w:r>
          </w:p>
        </w:tc>
        <w:tc>
          <w:tcPr>
            <w:tcW w:w="1280" w:type="dxa"/>
            <w:vAlign w:val="center"/>
          </w:tcPr>
          <w:p w:rsidR="001201CE" w:rsidRPr="00054EE7" w:rsidRDefault="001201CE" w:rsidP="006C4A8C">
            <w:pPr>
              <w:jc w:val="center"/>
              <w:rPr>
                <w:rFonts w:hAnsi="宋体"/>
                <w:sz w:val="21"/>
                <w:szCs w:val="21"/>
              </w:rPr>
            </w:pPr>
            <w:r w:rsidRPr="00054EE7">
              <w:rPr>
                <w:rFonts w:hAnsi="宋体" w:hint="eastAsia"/>
                <w:color w:val="0C0C0C"/>
                <w:sz w:val="21"/>
                <w:szCs w:val="21"/>
              </w:rPr>
              <w:t>无</w:t>
            </w:r>
          </w:p>
        </w:tc>
      </w:tr>
      <w:tr w:rsidR="001201CE" w:rsidRPr="00523A70" w:rsidTr="006C4A8C">
        <w:trPr>
          <w:trHeight w:val="1344"/>
          <w:jc w:val="center"/>
        </w:trPr>
        <w:tc>
          <w:tcPr>
            <w:tcW w:w="9418" w:type="dxa"/>
            <w:gridSpan w:val="10"/>
            <w:vAlign w:val="center"/>
          </w:tcPr>
          <w:p w:rsidR="001201CE" w:rsidRPr="00523A70" w:rsidRDefault="001201CE" w:rsidP="006C4A8C">
            <w:pPr>
              <w:snapToGrid w:val="0"/>
              <w:spacing w:line="276" w:lineRule="auto"/>
              <w:jc w:val="left"/>
              <w:rPr>
                <w:rFonts w:hAnsi="宋体"/>
                <w:color w:val="0C0C0C"/>
                <w:sz w:val="21"/>
                <w:szCs w:val="21"/>
              </w:rPr>
            </w:pPr>
            <w:r w:rsidRPr="00523A70">
              <w:rPr>
                <w:rFonts w:hAnsi="宋体" w:hint="eastAsia"/>
                <w:color w:val="0C0C0C"/>
                <w:sz w:val="21"/>
                <w:szCs w:val="21"/>
              </w:rPr>
              <w:t>合计人民币（大写）：</w:t>
            </w:r>
            <w:r>
              <w:rPr>
                <w:rFonts w:hAnsi="宋体" w:hint="eastAsia"/>
                <w:color w:val="0C0C0C"/>
                <w:sz w:val="21"/>
                <w:szCs w:val="21"/>
              </w:rPr>
              <w:t>陆拾伍万柒仟叁佰元整</w:t>
            </w:r>
            <w:r w:rsidRPr="00523A70">
              <w:rPr>
                <w:rFonts w:hAnsi="宋体" w:hint="eastAsia"/>
                <w:color w:val="0C0C0C"/>
                <w:sz w:val="21"/>
                <w:szCs w:val="21"/>
              </w:rPr>
              <w:t xml:space="preserve">   小写：</w:t>
            </w:r>
            <w:r>
              <w:rPr>
                <w:rFonts w:hAnsi="宋体" w:hint="eastAsia"/>
                <w:color w:val="0C0C0C"/>
                <w:sz w:val="21"/>
                <w:szCs w:val="21"/>
              </w:rPr>
              <w:t>￥</w:t>
            </w:r>
            <w:r w:rsidRPr="00B93068">
              <w:rPr>
                <w:rFonts w:hAnsi="宋体"/>
                <w:color w:val="0C0C0C"/>
                <w:sz w:val="21"/>
                <w:szCs w:val="21"/>
              </w:rPr>
              <w:t>657300</w:t>
            </w:r>
            <w:r>
              <w:rPr>
                <w:rFonts w:hAnsi="宋体"/>
                <w:color w:val="0C0C0C"/>
                <w:sz w:val="21"/>
                <w:szCs w:val="21"/>
              </w:rPr>
              <w:t>.00</w:t>
            </w:r>
            <w:r>
              <w:rPr>
                <w:rFonts w:hAnsi="宋体" w:hint="eastAsia"/>
                <w:color w:val="0C0C0C"/>
                <w:sz w:val="21"/>
                <w:szCs w:val="21"/>
              </w:rPr>
              <w:t>元  二轮报价：</w:t>
            </w:r>
            <w:r w:rsidRPr="001201CE">
              <w:rPr>
                <w:rFonts w:hAnsi="宋体" w:hint="eastAsia"/>
                <w:color w:val="0C0C0C"/>
                <w:sz w:val="21"/>
                <w:szCs w:val="21"/>
              </w:rPr>
              <w:t>626000.00</w:t>
            </w:r>
            <w:r w:rsidR="000C3CE9">
              <w:rPr>
                <w:rFonts w:hAnsi="宋体" w:hint="eastAsia"/>
                <w:color w:val="0C0C0C"/>
                <w:sz w:val="21"/>
                <w:szCs w:val="21"/>
              </w:rPr>
              <w:t>元</w:t>
            </w:r>
          </w:p>
          <w:p w:rsidR="001201CE" w:rsidRPr="00523A70" w:rsidRDefault="001201CE" w:rsidP="006C4A8C">
            <w:pPr>
              <w:snapToGrid w:val="0"/>
              <w:spacing w:line="276" w:lineRule="auto"/>
              <w:jc w:val="left"/>
              <w:rPr>
                <w:rFonts w:hAnsi="宋体"/>
                <w:color w:val="0C0C0C"/>
                <w:sz w:val="21"/>
                <w:szCs w:val="21"/>
              </w:rPr>
            </w:pPr>
            <w:r w:rsidRPr="00523A70">
              <w:rPr>
                <w:rFonts w:hAnsi="宋体" w:hint="eastAsia"/>
                <w:color w:val="0C0C0C"/>
                <w:sz w:val="21"/>
                <w:szCs w:val="21"/>
              </w:rPr>
              <w:t>供货期限：合同签定后</w:t>
            </w:r>
            <w:r w:rsidRPr="00523A70">
              <w:rPr>
                <w:rFonts w:hAnsi="宋体" w:hint="eastAsia"/>
                <w:color w:val="0C0C0C"/>
                <w:sz w:val="21"/>
                <w:szCs w:val="21"/>
                <w:u w:val="single"/>
              </w:rPr>
              <w:t xml:space="preserve"> 15 </w:t>
            </w:r>
            <w:r w:rsidRPr="00523A70">
              <w:rPr>
                <w:rFonts w:hAnsi="宋体" w:hint="eastAsia"/>
                <w:color w:val="0C0C0C"/>
                <w:sz w:val="21"/>
                <w:szCs w:val="21"/>
              </w:rPr>
              <w:t>日内交货并安装调试完毕。</w:t>
            </w:r>
          </w:p>
          <w:p w:rsidR="001201CE" w:rsidRPr="00523A70" w:rsidRDefault="001201CE" w:rsidP="006C4A8C">
            <w:pPr>
              <w:spacing w:line="276" w:lineRule="auto"/>
              <w:jc w:val="left"/>
              <w:rPr>
                <w:rFonts w:hAnsi="宋体"/>
                <w:bCs/>
                <w:color w:val="0C0C0C"/>
                <w:sz w:val="21"/>
                <w:szCs w:val="21"/>
              </w:rPr>
            </w:pPr>
            <w:r w:rsidRPr="00523A70">
              <w:rPr>
                <w:rFonts w:hAnsi="宋体" w:hint="eastAsia"/>
                <w:color w:val="0C0C0C"/>
                <w:sz w:val="21"/>
                <w:szCs w:val="21"/>
              </w:rPr>
              <w:t>质保期：</w:t>
            </w:r>
            <w:r w:rsidRPr="005A426E">
              <w:rPr>
                <w:rFonts w:hint="eastAsia"/>
                <w:u w:val="single"/>
              </w:rPr>
              <w:t>三</w:t>
            </w:r>
            <w:r w:rsidRPr="00523A70">
              <w:rPr>
                <w:rFonts w:hAnsi="宋体" w:hint="eastAsia"/>
                <w:color w:val="0C0C0C"/>
                <w:sz w:val="21"/>
                <w:szCs w:val="21"/>
              </w:rPr>
              <w:t>年。</w:t>
            </w:r>
          </w:p>
        </w:tc>
      </w:tr>
    </w:tbl>
    <w:p w:rsidR="001201CE" w:rsidRPr="0075457A" w:rsidRDefault="001201CE" w:rsidP="001201CE">
      <w:pPr>
        <w:rPr>
          <w:rFonts w:hAnsi="宋体"/>
          <w:sz w:val="21"/>
          <w:szCs w:val="21"/>
        </w:rPr>
      </w:pPr>
      <w:r w:rsidRPr="0075457A">
        <w:rPr>
          <w:rFonts w:hAnsi="宋体" w:hint="eastAsia"/>
          <w:sz w:val="21"/>
          <w:szCs w:val="21"/>
        </w:rPr>
        <w:t>注：1.报价单必须认真填写，包括产品的品牌、价格、数量、质保、培训、项目实施时间等逐项详细填写。</w:t>
      </w:r>
    </w:p>
    <w:p w:rsidR="001201CE" w:rsidRPr="0075457A" w:rsidRDefault="001201CE" w:rsidP="001201CE">
      <w:pPr>
        <w:ind w:firstLineChars="200" w:firstLine="420"/>
        <w:rPr>
          <w:rFonts w:hAnsi="宋体"/>
          <w:sz w:val="21"/>
          <w:szCs w:val="21"/>
        </w:rPr>
      </w:pPr>
      <w:r w:rsidRPr="0075457A">
        <w:rPr>
          <w:rFonts w:hAnsi="宋体" w:hint="eastAsia"/>
          <w:sz w:val="21"/>
          <w:szCs w:val="21"/>
        </w:rPr>
        <w:t>2.单价和总价均应包括运输、安装、吊装、调试、培训、技术服务、必不可少的部件、标准备件、专用工具等费用，以及已支付或将支付的营业税和其它税费。</w:t>
      </w:r>
    </w:p>
    <w:p w:rsidR="001201CE" w:rsidRPr="006C4AAC" w:rsidRDefault="001201CE" w:rsidP="001201CE">
      <w:pPr>
        <w:ind w:firstLineChars="200" w:firstLine="420"/>
        <w:rPr>
          <w:rFonts w:hAnsi="宋体"/>
        </w:rPr>
      </w:pPr>
      <w:r w:rsidRPr="0075457A">
        <w:rPr>
          <w:rFonts w:hAnsi="宋体" w:hint="eastAsia"/>
          <w:sz w:val="21"/>
          <w:szCs w:val="21"/>
        </w:rPr>
        <w:t>3.请提供本标书要求设备详细的配置清单及分项报价，包括标准件及选购件，自行添行。</w:t>
      </w:r>
    </w:p>
    <w:p w:rsidR="001201CE" w:rsidRDefault="001201CE" w:rsidP="001201CE">
      <w:pPr>
        <w:spacing w:line="276" w:lineRule="auto"/>
        <w:rPr>
          <w:rFonts w:hAnsi="宋体"/>
        </w:rPr>
      </w:pPr>
    </w:p>
    <w:p w:rsidR="001201CE" w:rsidRDefault="001201CE" w:rsidP="001201CE">
      <w:pPr>
        <w:pStyle w:val="2"/>
      </w:pPr>
      <w:bookmarkStart w:id="1" w:name="_Toc47888279"/>
      <w:r>
        <w:t>2.</w:t>
      </w:r>
      <w:r w:rsidRPr="004E446D">
        <w:rPr>
          <w:rFonts w:hint="eastAsia"/>
        </w:rPr>
        <w:t>售后服务承诺及说明</w:t>
      </w:r>
      <w:bookmarkEnd w:id="1"/>
    </w:p>
    <w:p w:rsidR="001201CE" w:rsidRPr="00E860EE" w:rsidRDefault="001201CE" w:rsidP="001201CE">
      <w:pPr>
        <w:widowControl/>
        <w:spacing w:line="300" w:lineRule="auto"/>
        <w:ind w:firstLineChars="100" w:firstLine="240"/>
        <w:jc w:val="left"/>
        <w:rPr>
          <w:rFonts w:hAnsi="宋体"/>
          <w:bCs/>
        </w:rPr>
      </w:pPr>
      <w:r w:rsidRPr="00E860EE">
        <w:rPr>
          <w:rFonts w:hAnsi="宋体" w:hint="eastAsia"/>
          <w:bCs/>
        </w:rPr>
        <w:t>公司和设备原厂商设有各自专门的技术支持与售后服务机构—客服中心，客服中心具有优秀的技术人员和雄厚的技术力量，双方的客服中心分别形成各自独立的两级支持服务组织体系。我公司和设备原厂商将分别指定专职服务经理来负责本项目的技术支持与售后服务的统一协调工作。在技术支持与售后服务过程中，我公司、设备原厂商与用户三者之间是一种互相配合的关系。</w:t>
      </w:r>
    </w:p>
    <w:p w:rsidR="001201CE" w:rsidRPr="00E860EE" w:rsidRDefault="001201CE" w:rsidP="001201CE">
      <w:pPr>
        <w:widowControl/>
        <w:spacing w:line="300" w:lineRule="auto"/>
        <w:jc w:val="left"/>
        <w:rPr>
          <w:rFonts w:hAnsi="宋体"/>
          <w:bCs/>
        </w:rPr>
      </w:pPr>
      <w:r w:rsidRPr="00E860EE">
        <w:rPr>
          <w:rFonts w:hAnsi="宋体" w:hint="eastAsia"/>
          <w:bCs/>
        </w:rPr>
        <w:t>1、公司客服中心</w:t>
      </w:r>
    </w:p>
    <w:p w:rsidR="001201CE" w:rsidRPr="00E860EE" w:rsidRDefault="001201CE" w:rsidP="001201CE">
      <w:pPr>
        <w:widowControl/>
        <w:spacing w:line="300" w:lineRule="auto"/>
        <w:jc w:val="left"/>
        <w:rPr>
          <w:rFonts w:hAnsi="宋体"/>
          <w:bCs/>
        </w:rPr>
      </w:pPr>
      <w:r w:rsidRPr="00E860EE">
        <w:rPr>
          <w:rFonts w:hAnsi="宋体" w:hint="eastAsia"/>
          <w:bCs/>
        </w:rPr>
        <w:lastRenderedPageBreak/>
        <w:t>作为专业的项目与技术公司，公司十分重视技术支持与售后服务工作。我公司在承担多项类似设备项目建设后，已经成立了客服中心，专门为各类项目提供统一的技术支持和服务。</w:t>
      </w:r>
    </w:p>
    <w:p w:rsidR="001201CE" w:rsidRPr="00E860EE" w:rsidRDefault="001201CE" w:rsidP="001201CE">
      <w:pPr>
        <w:widowControl/>
        <w:spacing w:line="300" w:lineRule="auto"/>
        <w:jc w:val="left"/>
        <w:rPr>
          <w:rFonts w:hAnsi="宋体"/>
          <w:bCs/>
        </w:rPr>
      </w:pPr>
      <w:r w:rsidRPr="00E860EE">
        <w:rPr>
          <w:rFonts w:hAnsi="宋体" w:hint="eastAsia"/>
          <w:bCs/>
        </w:rPr>
        <w:t>客服中心成员均具备如下基本条件：</w:t>
      </w:r>
    </w:p>
    <w:p w:rsidR="001201CE" w:rsidRPr="00E860EE" w:rsidRDefault="001201CE" w:rsidP="001201CE">
      <w:pPr>
        <w:widowControl/>
        <w:spacing w:line="300" w:lineRule="auto"/>
        <w:jc w:val="left"/>
        <w:rPr>
          <w:rFonts w:hAnsi="宋体"/>
          <w:bCs/>
        </w:rPr>
      </w:pPr>
      <w:r w:rsidRPr="00E860EE">
        <w:rPr>
          <w:rFonts w:hAnsi="宋体" w:hint="eastAsia"/>
          <w:bCs/>
        </w:rPr>
        <w:t>具有独立工作能力，能够独立地分析问题、解决问题；</w:t>
      </w:r>
    </w:p>
    <w:p w:rsidR="001201CE" w:rsidRPr="00E860EE" w:rsidRDefault="001201CE" w:rsidP="001201CE">
      <w:pPr>
        <w:widowControl/>
        <w:spacing w:line="300" w:lineRule="auto"/>
        <w:jc w:val="left"/>
        <w:rPr>
          <w:rFonts w:hAnsi="宋体"/>
          <w:bCs/>
        </w:rPr>
      </w:pPr>
      <w:r w:rsidRPr="00E860EE">
        <w:rPr>
          <w:rFonts w:hAnsi="宋体" w:hint="eastAsia"/>
          <w:bCs/>
        </w:rPr>
        <w:t>具有良好的表达、理解和沟通能力；</w:t>
      </w:r>
    </w:p>
    <w:p w:rsidR="001201CE" w:rsidRPr="00E860EE" w:rsidRDefault="001201CE" w:rsidP="001201CE">
      <w:pPr>
        <w:widowControl/>
        <w:spacing w:line="300" w:lineRule="auto"/>
        <w:jc w:val="left"/>
        <w:rPr>
          <w:rFonts w:hAnsi="宋体"/>
          <w:bCs/>
        </w:rPr>
      </w:pPr>
      <w:r w:rsidRPr="00E860EE">
        <w:rPr>
          <w:rFonts w:hAnsi="宋体" w:hint="eastAsia"/>
          <w:bCs/>
        </w:rPr>
        <w:t>对待工作认真负责，信守“客户至上”的原则。</w:t>
      </w:r>
    </w:p>
    <w:p w:rsidR="001201CE" w:rsidRPr="00E860EE" w:rsidRDefault="001201CE" w:rsidP="001201CE">
      <w:pPr>
        <w:widowControl/>
        <w:spacing w:line="300" w:lineRule="auto"/>
        <w:jc w:val="left"/>
        <w:rPr>
          <w:rFonts w:hAnsi="宋体"/>
          <w:bCs/>
        </w:rPr>
      </w:pPr>
      <w:r w:rsidRPr="00E860EE">
        <w:rPr>
          <w:rFonts w:hAnsi="宋体" w:hint="eastAsia"/>
          <w:bCs/>
        </w:rPr>
        <w:t>我公司客服中心将竭诚为用户提供技术支持与售后服务，它会为本项目的顺利实施和稳定运行提供强有力的保证。</w:t>
      </w:r>
    </w:p>
    <w:p w:rsidR="001201CE" w:rsidRPr="00E860EE" w:rsidRDefault="001201CE" w:rsidP="001201CE">
      <w:pPr>
        <w:widowControl/>
        <w:spacing w:line="300" w:lineRule="auto"/>
        <w:jc w:val="left"/>
        <w:rPr>
          <w:rFonts w:hAnsi="宋体"/>
          <w:bCs/>
        </w:rPr>
      </w:pPr>
      <w:r w:rsidRPr="00E860EE">
        <w:rPr>
          <w:rFonts w:hAnsi="宋体" w:hint="eastAsia"/>
          <w:bCs/>
        </w:rPr>
        <w:t>我公司专职售后服务组织</w:t>
      </w:r>
    </w:p>
    <w:p w:rsidR="001201CE" w:rsidRPr="00E860EE" w:rsidRDefault="001201CE" w:rsidP="001201CE">
      <w:pPr>
        <w:widowControl/>
        <w:spacing w:line="300" w:lineRule="auto"/>
        <w:jc w:val="left"/>
        <w:rPr>
          <w:rFonts w:hAnsi="宋体"/>
          <w:bCs/>
        </w:rPr>
      </w:pPr>
      <w:r w:rsidRPr="00E860EE">
        <w:rPr>
          <w:rFonts w:hAnsi="宋体" w:hint="eastAsia"/>
          <w:bCs/>
        </w:rPr>
        <w:t>我公司客服中心将为本项目设置一名专职服务经理，专门负责本项目技术支持与售后服务的接口与协调工作。</w:t>
      </w:r>
    </w:p>
    <w:p w:rsidR="001201CE" w:rsidRPr="00E860EE" w:rsidRDefault="001201CE" w:rsidP="001201CE">
      <w:pPr>
        <w:widowControl/>
        <w:spacing w:line="300" w:lineRule="auto"/>
        <w:jc w:val="left"/>
        <w:rPr>
          <w:rFonts w:hAnsi="宋体"/>
          <w:bCs/>
        </w:rPr>
      </w:pPr>
      <w:r w:rsidRPr="00E860EE">
        <w:rPr>
          <w:rFonts w:hAnsi="宋体" w:hint="eastAsia"/>
          <w:bCs/>
        </w:rPr>
        <w:t>客服中心经理助理：协助客服中心经理完成具体工作，维护技术支持知识库。</w:t>
      </w:r>
    </w:p>
    <w:p w:rsidR="001201CE" w:rsidRPr="00E860EE" w:rsidRDefault="001201CE" w:rsidP="001201CE">
      <w:pPr>
        <w:widowControl/>
        <w:spacing w:line="300" w:lineRule="auto"/>
        <w:jc w:val="left"/>
        <w:rPr>
          <w:rFonts w:hAnsi="宋体"/>
          <w:bCs/>
        </w:rPr>
      </w:pPr>
      <w:r w:rsidRPr="00E860EE">
        <w:rPr>
          <w:rFonts w:hAnsi="宋体" w:hint="eastAsia"/>
          <w:bCs/>
        </w:rPr>
        <w:t>专职服务经理：负责与相关用户沟通，协调技术人员完成技术支持与售后服务的具体工作。</w:t>
      </w:r>
    </w:p>
    <w:p w:rsidR="001201CE" w:rsidRPr="00E860EE" w:rsidRDefault="001201CE" w:rsidP="001201CE">
      <w:pPr>
        <w:widowControl/>
        <w:spacing w:line="300" w:lineRule="auto"/>
        <w:jc w:val="left"/>
        <w:rPr>
          <w:rFonts w:hAnsi="宋体"/>
          <w:bCs/>
        </w:rPr>
      </w:pPr>
      <w:r w:rsidRPr="00E860EE">
        <w:rPr>
          <w:rFonts w:hAnsi="宋体" w:hint="eastAsia"/>
          <w:bCs/>
        </w:rPr>
        <w:t>技术支持与售后服务组：负责技术支持与售后服务的具体技术工作。</w:t>
      </w:r>
    </w:p>
    <w:p w:rsidR="001201CE" w:rsidRPr="00E860EE" w:rsidRDefault="001201CE" w:rsidP="001201CE">
      <w:pPr>
        <w:widowControl/>
        <w:spacing w:line="300" w:lineRule="auto"/>
        <w:jc w:val="left"/>
        <w:rPr>
          <w:rFonts w:hAnsi="宋体"/>
          <w:bCs/>
        </w:rPr>
      </w:pPr>
      <w:r w:rsidRPr="00E860EE">
        <w:rPr>
          <w:rFonts w:hAnsi="宋体" w:hint="eastAsia"/>
          <w:bCs/>
        </w:rPr>
        <w:t>专职技术人员：为用户提供本地化服务。专职技术人员将参加项目的实施工作，以使其熟悉整个系统的技术细节，更好地承担技术支持与售后服务工作。</w:t>
      </w:r>
    </w:p>
    <w:p w:rsidR="001201CE" w:rsidRPr="00E860EE" w:rsidRDefault="001201CE" w:rsidP="001201CE">
      <w:pPr>
        <w:widowControl/>
        <w:spacing w:line="300" w:lineRule="auto"/>
        <w:jc w:val="left"/>
        <w:rPr>
          <w:rFonts w:hAnsi="宋体"/>
          <w:bCs/>
        </w:rPr>
      </w:pPr>
      <w:r w:rsidRPr="00E860EE">
        <w:rPr>
          <w:rFonts w:hAnsi="宋体" w:hint="eastAsia"/>
          <w:bCs/>
        </w:rPr>
        <w:t>客服中心技术支持与售后服务人员由实施组中的技术人员组成。</w:t>
      </w:r>
    </w:p>
    <w:p w:rsidR="001201CE" w:rsidRPr="00E860EE" w:rsidRDefault="001201CE" w:rsidP="001201CE">
      <w:pPr>
        <w:widowControl/>
        <w:spacing w:line="300" w:lineRule="auto"/>
        <w:jc w:val="left"/>
        <w:rPr>
          <w:rFonts w:hAnsi="宋体"/>
          <w:bCs/>
        </w:rPr>
      </w:pPr>
      <w:r w:rsidRPr="00E860EE">
        <w:rPr>
          <w:rFonts w:hAnsi="宋体" w:hint="eastAsia"/>
          <w:bCs/>
        </w:rPr>
        <w:t>公司客服中心响应流程</w:t>
      </w:r>
    </w:p>
    <w:p w:rsidR="001201CE" w:rsidRPr="00E860EE" w:rsidRDefault="001201CE" w:rsidP="001201CE">
      <w:pPr>
        <w:widowControl/>
        <w:spacing w:line="300" w:lineRule="auto"/>
        <w:jc w:val="left"/>
        <w:rPr>
          <w:rFonts w:hAnsi="宋体"/>
          <w:bCs/>
        </w:rPr>
      </w:pPr>
      <w:r w:rsidRPr="00E860EE">
        <w:rPr>
          <w:rFonts w:hAnsi="宋体" w:hint="eastAsia"/>
          <w:bCs/>
        </w:rPr>
        <w:t>在出现技术支持与售后服务需求时，用户可以先与客服中心的技术人员取得联系，技术人员会根据用户的需求给予相应的解答和处理，对于无法解决的问题，客服中心将直接与的专职服务经理取得联系，得到相应的技术支持与售后服务。</w:t>
      </w:r>
    </w:p>
    <w:p w:rsidR="001201CE" w:rsidRPr="00E860EE" w:rsidRDefault="001201CE" w:rsidP="001201CE">
      <w:pPr>
        <w:widowControl/>
        <w:spacing w:line="300" w:lineRule="auto"/>
        <w:jc w:val="left"/>
        <w:rPr>
          <w:rFonts w:hAnsi="宋体"/>
          <w:bCs/>
        </w:rPr>
      </w:pPr>
      <w:r w:rsidRPr="00E860EE">
        <w:rPr>
          <w:rFonts w:hAnsi="宋体" w:hint="eastAsia"/>
          <w:bCs/>
        </w:rPr>
        <w:t>对于客服中心接收到的一切支持与服务需求，客服中心都会对需求内容、处理办法进行汇总，并录入客服中心的技术支持知识库中。</w:t>
      </w:r>
    </w:p>
    <w:p w:rsidR="001201CE" w:rsidRPr="00E860EE" w:rsidRDefault="001201CE" w:rsidP="001201CE">
      <w:pPr>
        <w:widowControl/>
        <w:spacing w:line="300" w:lineRule="auto"/>
        <w:jc w:val="left"/>
        <w:rPr>
          <w:rFonts w:hAnsi="宋体"/>
          <w:bCs/>
        </w:rPr>
      </w:pPr>
      <w:bookmarkStart w:id="2" w:name="_Toc12980132"/>
      <w:bookmarkStart w:id="3" w:name="_Toc12976688"/>
      <w:bookmarkStart w:id="4" w:name="_Toc12976443"/>
      <w:bookmarkStart w:id="5" w:name="_Toc12975181"/>
      <w:bookmarkStart w:id="6" w:name="_Toc31259"/>
      <w:bookmarkStart w:id="7" w:name="_Toc522222625"/>
      <w:bookmarkStart w:id="8" w:name="_Toc520018091"/>
      <w:bookmarkStart w:id="9" w:name="_Toc2815"/>
      <w:r w:rsidRPr="00E860EE">
        <w:rPr>
          <w:rFonts w:hAnsi="宋体"/>
          <w:bCs/>
        </w:rPr>
        <w:t>2</w:t>
      </w:r>
      <w:r w:rsidRPr="00E860EE">
        <w:rPr>
          <w:rFonts w:hAnsi="宋体" w:hint="eastAsia"/>
          <w:bCs/>
        </w:rPr>
        <w:t>、服务内容</w:t>
      </w:r>
      <w:bookmarkEnd w:id="2"/>
      <w:bookmarkEnd w:id="3"/>
      <w:bookmarkEnd w:id="4"/>
      <w:bookmarkEnd w:id="5"/>
      <w:bookmarkEnd w:id="6"/>
      <w:bookmarkEnd w:id="7"/>
      <w:bookmarkEnd w:id="8"/>
      <w:bookmarkEnd w:id="9"/>
    </w:p>
    <w:p w:rsidR="001201CE" w:rsidRPr="00E860EE" w:rsidRDefault="001201CE" w:rsidP="001201CE">
      <w:pPr>
        <w:widowControl/>
        <w:spacing w:line="300" w:lineRule="auto"/>
        <w:jc w:val="left"/>
        <w:rPr>
          <w:rFonts w:hAnsi="宋体"/>
          <w:bCs/>
        </w:rPr>
      </w:pPr>
      <w:r w:rsidRPr="00E860EE">
        <w:rPr>
          <w:rFonts w:hAnsi="宋体" w:hint="eastAsia"/>
          <w:bCs/>
        </w:rPr>
        <w:t>1</w:t>
      </w:r>
      <w:r w:rsidRPr="00E860EE">
        <w:rPr>
          <w:rFonts w:hAnsi="宋体"/>
          <w:bCs/>
        </w:rPr>
        <w:t>.</w:t>
      </w:r>
      <w:r w:rsidRPr="00E860EE">
        <w:rPr>
          <w:rFonts w:hAnsi="宋体" w:hint="eastAsia"/>
          <w:bCs/>
        </w:rPr>
        <w:t>设备保修</w:t>
      </w:r>
    </w:p>
    <w:p w:rsidR="001201CE" w:rsidRPr="00E860EE" w:rsidRDefault="001201CE" w:rsidP="001201CE">
      <w:pPr>
        <w:widowControl/>
        <w:spacing w:line="300" w:lineRule="auto"/>
        <w:jc w:val="left"/>
        <w:rPr>
          <w:rFonts w:hAnsi="宋体"/>
          <w:bCs/>
        </w:rPr>
      </w:pPr>
      <w:r w:rsidRPr="00E860EE">
        <w:rPr>
          <w:rFonts w:hAnsi="宋体" w:hint="eastAsia"/>
          <w:bCs/>
        </w:rPr>
        <w:t>我公司承诺对本次招标所提供的整套设备按国家“三包服务政策”、招标文件条例提供</w:t>
      </w:r>
      <w:r w:rsidRPr="00E860EE">
        <w:rPr>
          <w:rFonts w:hAnsi="宋体" w:hint="eastAsia"/>
          <w:b/>
          <w:bCs/>
        </w:rPr>
        <w:t>三年免费质保</w:t>
      </w:r>
      <w:r w:rsidRPr="00E860EE">
        <w:rPr>
          <w:rFonts w:hAnsi="宋体" w:hint="eastAsia"/>
          <w:bCs/>
        </w:rPr>
        <w:t>，免费提供上门服务。</w:t>
      </w:r>
    </w:p>
    <w:p w:rsidR="001201CE" w:rsidRPr="00E860EE" w:rsidRDefault="001201CE" w:rsidP="001201CE">
      <w:pPr>
        <w:widowControl/>
        <w:spacing w:line="300" w:lineRule="auto"/>
        <w:jc w:val="left"/>
        <w:rPr>
          <w:rFonts w:hAnsi="宋体"/>
          <w:bCs/>
        </w:rPr>
      </w:pPr>
      <w:r w:rsidRPr="00E860EE">
        <w:rPr>
          <w:rFonts w:hAnsi="宋体" w:hint="eastAsia"/>
          <w:bCs/>
        </w:rPr>
        <w:t>质量保修期内免费提供所需易损件、备品备件。</w:t>
      </w:r>
    </w:p>
    <w:p w:rsidR="001201CE" w:rsidRPr="00E860EE" w:rsidRDefault="001201CE" w:rsidP="001201CE">
      <w:pPr>
        <w:widowControl/>
        <w:spacing w:line="300" w:lineRule="auto"/>
        <w:jc w:val="left"/>
        <w:rPr>
          <w:rFonts w:hAnsi="宋体"/>
          <w:bCs/>
        </w:rPr>
      </w:pPr>
      <w:r w:rsidRPr="00E860EE">
        <w:rPr>
          <w:rFonts w:hAnsi="宋体" w:hint="eastAsia"/>
          <w:bCs/>
        </w:rPr>
        <w:t>质量保修期外提供的易损件、备品备件和耗材均按成本价格供应，免费提供上门服务。</w:t>
      </w:r>
    </w:p>
    <w:p w:rsidR="001201CE" w:rsidRPr="00E860EE" w:rsidRDefault="001201CE" w:rsidP="001201CE">
      <w:pPr>
        <w:widowControl/>
        <w:spacing w:line="300" w:lineRule="auto"/>
        <w:jc w:val="left"/>
        <w:rPr>
          <w:rFonts w:hAnsi="宋体"/>
          <w:bCs/>
        </w:rPr>
      </w:pPr>
      <w:r w:rsidRPr="00E860EE">
        <w:rPr>
          <w:rFonts w:hAnsi="宋体" w:hint="eastAsia"/>
          <w:bCs/>
        </w:rPr>
        <w:t>2</w:t>
      </w:r>
      <w:r w:rsidRPr="00E860EE">
        <w:rPr>
          <w:rFonts w:hAnsi="宋体"/>
          <w:bCs/>
        </w:rPr>
        <w:t>.</w:t>
      </w:r>
      <w:r w:rsidRPr="00E860EE">
        <w:rPr>
          <w:rFonts w:hAnsi="宋体" w:hint="eastAsia"/>
          <w:bCs/>
        </w:rPr>
        <w:t>定期维护保养</w:t>
      </w:r>
    </w:p>
    <w:p w:rsidR="001201CE" w:rsidRPr="00E860EE" w:rsidRDefault="001201CE" w:rsidP="001201CE">
      <w:pPr>
        <w:widowControl/>
        <w:spacing w:line="300" w:lineRule="auto"/>
        <w:jc w:val="left"/>
        <w:rPr>
          <w:rFonts w:hAnsi="宋体"/>
          <w:bCs/>
        </w:rPr>
      </w:pPr>
      <w:r w:rsidRPr="00E860EE">
        <w:rPr>
          <w:rFonts w:hAnsi="宋体" w:hint="eastAsia"/>
          <w:bCs/>
        </w:rPr>
        <w:t>公司将根据设备特点及经验提出建议与学校协商，对部分关键设备进行定期上门3</w:t>
      </w:r>
      <w:r w:rsidRPr="00E860EE">
        <w:rPr>
          <w:rFonts w:hAnsi="宋体"/>
          <w:bCs/>
        </w:rPr>
        <w:t>.</w:t>
      </w:r>
      <w:r w:rsidRPr="00E860EE">
        <w:rPr>
          <w:rFonts w:hAnsi="宋体" w:hint="eastAsia"/>
          <w:bCs/>
        </w:rPr>
        <w:t>维护保养。</w:t>
      </w:r>
    </w:p>
    <w:p w:rsidR="001201CE" w:rsidRPr="00E860EE" w:rsidRDefault="001201CE" w:rsidP="001201CE">
      <w:pPr>
        <w:widowControl/>
        <w:spacing w:line="300" w:lineRule="auto"/>
        <w:jc w:val="left"/>
        <w:rPr>
          <w:rFonts w:hAnsi="宋体"/>
          <w:bCs/>
        </w:rPr>
      </w:pPr>
      <w:r w:rsidRPr="00E860EE">
        <w:rPr>
          <w:rFonts w:hAnsi="宋体" w:hint="eastAsia"/>
          <w:bCs/>
        </w:rPr>
        <w:lastRenderedPageBreak/>
        <w:t>现场排除故障或技术指导应学校要求，我公司派遣专业技术人员及时前往现场解决用户的各种问题。</w:t>
      </w:r>
    </w:p>
    <w:p w:rsidR="001201CE" w:rsidRPr="00E860EE" w:rsidRDefault="001201CE" w:rsidP="001201CE">
      <w:pPr>
        <w:widowControl/>
        <w:spacing w:line="300" w:lineRule="auto"/>
        <w:jc w:val="left"/>
        <w:rPr>
          <w:rFonts w:hAnsi="宋体"/>
          <w:bCs/>
        </w:rPr>
      </w:pPr>
      <w:r w:rsidRPr="00E860EE">
        <w:rPr>
          <w:rFonts w:hAnsi="宋体" w:hint="eastAsia"/>
          <w:bCs/>
        </w:rPr>
        <w:t>用户随时与我公司技术人员直接电话联系，及时向用户提供专业的技术咨询，提供全天候、无周末、30分钟响应、7*24小时服务,必要时4小时内到达现场，迅速解决用户使用中出现的问题。</w:t>
      </w:r>
    </w:p>
    <w:p w:rsidR="001201CE" w:rsidRPr="00E860EE" w:rsidRDefault="001201CE" w:rsidP="001201CE">
      <w:pPr>
        <w:widowControl/>
        <w:spacing w:line="300" w:lineRule="auto"/>
        <w:jc w:val="left"/>
        <w:rPr>
          <w:rFonts w:hAnsi="宋体"/>
          <w:bCs/>
        </w:rPr>
      </w:pPr>
      <w:r w:rsidRPr="00E860EE">
        <w:rPr>
          <w:rFonts w:hAnsi="宋体" w:hint="eastAsia"/>
          <w:bCs/>
        </w:rPr>
        <w:t>在技术支持与售后服务期满后，我公司和设备原厂商将在本系统的生命周期内，一如既往地为用户提供优质的技术支持与售后服务。提供与技术服务期中同样的技术支持与售后服务方式，保证及时响应用户提出的技术支持与售后服务需求。</w:t>
      </w:r>
    </w:p>
    <w:p w:rsidR="001201CE" w:rsidRPr="00E860EE" w:rsidRDefault="001201CE" w:rsidP="001201CE">
      <w:pPr>
        <w:widowControl/>
        <w:spacing w:line="300" w:lineRule="auto"/>
        <w:jc w:val="left"/>
        <w:rPr>
          <w:rFonts w:hAnsi="宋体"/>
          <w:bCs/>
        </w:rPr>
      </w:pPr>
      <w:r w:rsidRPr="00E860EE">
        <w:rPr>
          <w:rFonts w:hAnsi="宋体" w:hint="eastAsia"/>
          <w:bCs/>
        </w:rPr>
        <w:t>完工工期:我公司保证在合同签定后</w:t>
      </w:r>
      <w:r>
        <w:rPr>
          <w:rFonts w:hAnsi="宋体"/>
          <w:bCs/>
          <w:u w:val="single"/>
        </w:rPr>
        <w:t>15</w:t>
      </w:r>
      <w:r w:rsidRPr="00E860EE">
        <w:rPr>
          <w:rFonts w:hAnsi="宋体" w:hint="eastAsia"/>
          <w:bCs/>
        </w:rPr>
        <w:t>日历天内完工。</w:t>
      </w:r>
    </w:p>
    <w:p w:rsidR="001201CE" w:rsidRPr="00E860EE" w:rsidRDefault="001201CE" w:rsidP="001201CE">
      <w:pPr>
        <w:widowControl/>
        <w:spacing w:line="300" w:lineRule="auto"/>
        <w:jc w:val="left"/>
        <w:rPr>
          <w:rFonts w:hAnsi="宋体"/>
          <w:bCs/>
        </w:rPr>
      </w:pPr>
      <w:r w:rsidRPr="00E860EE">
        <w:rPr>
          <w:rFonts w:hAnsi="宋体" w:hint="eastAsia"/>
          <w:bCs/>
        </w:rPr>
        <w:t>  地  址：盐城市城南新区新河街道办事处文港南路49号6幢204-1室</w:t>
      </w:r>
    </w:p>
    <w:p w:rsidR="001201CE" w:rsidRPr="00E860EE" w:rsidRDefault="001201CE" w:rsidP="001201CE">
      <w:pPr>
        <w:widowControl/>
        <w:spacing w:line="300" w:lineRule="auto"/>
        <w:jc w:val="left"/>
        <w:rPr>
          <w:rFonts w:hAnsi="宋体"/>
          <w:bCs/>
        </w:rPr>
      </w:pPr>
      <w:r w:rsidRPr="00E860EE">
        <w:rPr>
          <w:rFonts w:hAnsi="宋体" w:hint="eastAsia"/>
          <w:bCs/>
        </w:rPr>
        <w:t>售后服务热线：19962373788</w:t>
      </w:r>
    </w:p>
    <w:p w:rsidR="001201CE" w:rsidRPr="00E860EE" w:rsidRDefault="001201CE" w:rsidP="001201CE">
      <w:pPr>
        <w:widowControl/>
        <w:spacing w:line="300" w:lineRule="auto"/>
        <w:jc w:val="left"/>
        <w:rPr>
          <w:rFonts w:hAnsi="宋体"/>
          <w:bCs/>
        </w:rPr>
      </w:pPr>
      <w:r w:rsidRPr="00E860EE">
        <w:rPr>
          <w:rFonts w:hAnsi="宋体" w:hint="eastAsia"/>
          <w:bCs/>
        </w:rPr>
        <w:t>  联系人：顾飞飞</w:t>
      </w:r>
    </w:p>
    <w:p w:rsidR="001201CE" w:rsidRPr="00E860EE" w:rsidRDefault="001201CE" w:rsidP="001201CE">
      <w:pPr>
        <w:widowControl/>
        <w:spacing w:line="300" w:lineRule="auto"/>
        <w:jc w:val="left"/>
        <w:rPr>
          <w:rFonts w:hAnsi="宋体"/>
          <w:bCs/>
        </w:rPr>
      </w:pPr>
      <w:r w:rsidRPr="00E860EE">
        <w:rPr>
          <w:rFonts w:hAnsi="宋体"/>
          <w:bCs/>
        </w:rPr>
        <w:t>3</w:t>
      </w:r>
      <w:r w:rsidRPr="00E860EE">
        <w:rPr>
          <w:rFonts w:hAnsi="宋体" w:hint="eastAsia"/>
          <w:bCs/>
        </w:rPr>
        <w:t>、投标产品的质量保证期</w:t>
      </w:r>
    </w:p>
    <w:p w:rsidR="001201CE" w:rsidRPr="00E860EE" w:rsidRDefault="001201CE" w:rsidP="001201CE">
      <w:pPr>
        <w:widowControl/>
        <w:spacing w:line="300" w:lineRule="auto"/>
        <w:jc w:val="left"/>
        <w:rPr>
          <w:rFonts w:hAnsi="宋体"/>
          <w:bCs/>
        </w:rPr>
      </w:pPr>
      <w:r w:rsidRPr="00E860EE">
        <w:rPr>
          <w:rFonts w:hAnsi="宋体" w:hint="eastAsia"/>
          <w:bCs/>
        </w:rPr>
        <w:t>系统从招标人验收合格之日起，进入质量保证期。 在质量保证期内，对任何因安装工艺、材料和产品质量或其它任何原因而造成的设备或部件的损坏，由 我公司提供无偿的更换和维修。在质量保证期内，我公司负责系统维护，系统维护及时、高效。</w:t>
      </w:r>
    </w:p>
    <w:p w:rsidR="001201CE" w:rsidRPr="00E860EE" w:rsidRDefault="001201CE" w:rsidP="001201CE">
      <w:pPr>
        <w:widowControl/>
        <w:spacing w:line="300" w:lineRule="auto"/>
        <w:jc w:val="left"/>
        <w:rPr>
          <w:rFonts w:hAnsi="宋体"/>
          <w:bCs/>
        </w:rPr>
      </w:pPr>
      <w:r w:rsidRPr="00E860EE">
        <w:rPr>
          <w:rFonts w:hAnsi="宋体" w:hint="eastAsia"/>
          <w:bCs/>
        </w:rPr>
        <w:t>免费保修维护期时间为三年，质保期自验收合格之日起计算共三年 。</w:t>
      </w:r>
    </w:p>
    <w:p w:rsidR="001201CE" w:rsidRPr="00E860EE" w:rsidRDefault="001201CE" w:rsidP="001201CE">
      <w:pPr>
        <w:widowControl/>
        <w:spacing w:line="300" w:lineRule="auto"/>
        <w:jc w:val="left"/>
        <w:rPr>
          <w:rFonts w:hAnsi="宋体"/>
          <w:bCs/>
        </w:rPr>
      </w:pPr>
      <w:r w:rsidRPr="00E860EE">
        <w:rPr>
          <w:rFonts w:hAnsi="宋体"/>
          <w:bCs/>
        </w:rPr>
        <w:t>4</w:t>
      </w:r>
      <w:r w:rsidRPr="00E860EE">
        <w:rPr>
          <w:rFonts w:hAnsi="宋体" w:hint="eastAsia"/>
          <w:bCs/>
        </w:rPr>
        <w:t xml:space="preserve"> 、故障维修响应时间</w:t>
      </w:r>
    </w:p>
    <w:p w:rsidR="001201CE" w:rsidRPr="001A113B" w:rsidRDefault="001201CE" w:rsidP="001201CE">
      <w:pPr>
        <w:widowControl/>
        <w:spacing w:line="300" w:lineRule="auto"/>
        <w:jc w:val="left"/>
        <w:rPr>
          <w:rFonts w:hAnsi="宋体"/>
          <w:bCs/>
        </w:rPr>
      </w:pPr>
      <w:r w:rsidRPr="00E860EE">
        <w:rPr>
          <w:rFonts w:hAnsi="宋体" w:hint="eastAsia"/>
          <w:bCs/>
        </w:rPr>
        <w:t>从系统验收合格之日起。在免费保修维护期内，对招标人提出的服务请求，立即做出响应，对系统提供免费值班人员，值班时间为早 8</w:t>
      </w:r>
      <w:r w:rsidRPr="00E860EE">
        <w:rPr>
          <w:rFonts w:hAnsi="宋体"/>
          <w:bCs/>
        </w:rPr>
        <w:t>:</w:t>
      </w:r>
      <w:r w:rsidRPr="00E860EE">
        <w:rPr>
          <w:rFonts w:hAnsi="宋体" w:hint="eastAsia"/>
          <w:bCs/>
        </w:rPr>
        <w:t>00 至晚 12:00 ；接到 现场维护要求后，8小时内派维护人员到达维修现场，24小时及时修复故障。保证有充足的备品备件。</w:t>
      </w:r>
    </w:p>
    <w:p w:rsidR="001201CE" w:rsidRDefault="001201CE" w:rsidP="001201CE">
      <w:pPr>
        <w:widowControl/>
        <w:spacing w:line="300" w:lineRule="auto"/>
        <w:jc w:val="left"/>
        <w:rPr>
          <w:rFonts w:hAnsi="宋体"/>
        </w:rPr>
      </w:pPr>
    </w:p>
    <w:p w:rsidR="00D15E3A" w:rsidRDefault="00D15E3A"/>
    <w:sectPr w:rsidR="00D15E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3A" w:rsidRDefault="00D15E3A" w:rsidP="001201CE">
      <w:r>
        <w:separator/>
      </w:r>
    </w:p>
  </w:endnote>
  <w:endnote w:type="continuationSeparator" w:id="1">
    <w:p w:rsidR="00D15E3A" w:rsidRDefault="00D15E3A" w:rsidP="00120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3A" w:rsidRDefault="00D15E3A" w:rsidP="001201CE">
      <w:r>
        <w:separator/>
      </w:r>
    </w:p>
  </w:footnote>
  <w:footnote w:type="continuationSeparator" w:id="1">
    <w:p w:rsidR="00D15E3A" w:rsidRDefault="00D15E3A" w:rsidP="00120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1CE"/>
    <w:rsid w:val="000C3CE9"/>
    <w:rsid w:val="001201CE"/>
    <w:rsid w:val="00D15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CE"/>
    <w:pPr>
      <w:widowControl w:val="0"/>
      <w:jc w:val="both"/>
    </w:pPr>
    <w:rPr>
      <w:rFonts w:ascii="宋体" w:eastAsia="宋体" w:hAnsi="Times New Roman" w:cs="Times New Roman"/>
      <w:sz w:val="24"/>
      <w:szCs w:val="24"/>
    </w:rPr>
  </w:style>
  <w:style w:type="paragraph" w:styleId="2">
    <w:name w:val="heading 2"/>
    <w:basedOn w:val="a"/>
    <w:next w:val="a"/>
    <w:link w:val="2Char"/>
    <w:uiPriority w:val="9"/>
    <w:unhideWhenUsed/>
    <w:qFormat/>
    <w:rsid w:val="001201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01CE"/>
    <w:rPr>
      <w:sz w:val="18"/>
      <w:szCs w:val="18"/>
    </w:rPr>
  </w:style>
  <w:style w:type="paragraph" w:styleId="a4">
    <w:name w:val="footer"/>
    <w:basedOn w:val="a"/>
    <w:link w:val="Char0"/>
    <w:uiPriority w:val="99"/>
    <w:semiHidden/>
    <w:unhideWhenUsed/>
    <w:rsid w:val="001201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01CE"/>
    <w:rPr>
      <w:sz w:val="18"/>
      <w:szCs w:val="18"/>
    </w:rPr>
  </w:style>
  <w:style w:type="character" w:customStyle="1" w:styleId="2Char">
    <w:name w:val="标题 2 Char"/>
    <w:basedOn w:val="a0"/>
    <w:link w:val="2"/>
    <w:uiPriority w:val="9"/>
    <w:rsid w:val="001201CE"/>
    <w:rPr>
      <w:rFonts w:asciiTheme="majorHAnsi" w:eastAsiaTheme="majorEastAsia" w:hAnsiTheme="majorHAnsi" w:cstheme="majorBidi"/>
      <w:b/>
      <w:bCs/>
      <w:sz w:val="32"/>
      <w:szCs w:val="32"/>
    </w:rPr>
  </w:style>
  <w:style w:type="paragraph" w:styleId="a5">
    <w:name w:val="List Paragraph"/>
    <w:basedOn w:val="a"/>
    <w:uiPriority w:val="34"/>
    <w:qFormat/>
    <w:rsid w:val="001201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2411</Characters>
  <Application>Microsoft Office Word</Application>
  <DocSecurity>0</DocSecurity>
  <Lines>20</Lines>
  <Paragraphs>5</Paragraphs>
  <ScaleCrop>false</ScaleCrop>
  <Company>Microsoft</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2020-08-11T03:01:00Z</dcterms:created>
  <dcterms:modified xsi:type="dcterms:W3CDTF">2020-08-11T03:29:00Z</dcterms:modified>
</cp:coreProperties>
</file>