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96" w:rsidRPr="00A8251D" w:rsidRDefault="00A8251D" w:rsidP="00A8251D">
      <w:pPr>
        <w:jc w:val="center"/>
        <w:rPr>
          <w:rFonts w:hint="eastAsia"/>
          <w:b/>
          <w:sz w:val="32"/>
          <w:szCs w:val="32"/>
        </w:rPr>
      </w:pPr>
      <w:r w:rsidRPr="00A8251D">
        <w:rPr>
          <w:rFonts w:hint="eastAsia"/>
          <w:b/>
          <w:sz w:val="32"/>
          <w:szCs w:val="32"/>
        </w:rPr>
        <w:t>《采购人的采购需求》</w:t>
      </w:r>
    </w:p>
    <w:p w:rsidR="00A8251D" w:rsidRPr="000B04A4" w:rsidRDefault="00A8251D" w:rsidP="00A8251D">
      <w:pPr>
        <w:spacing w:line="400" w:lineRule="exact"/>
        <w:ind w:firstLineChars="200" w:firstLine="422"/>
        <w:rPr>
          <w:rFonts w:ascii="宋体" w:hAnsi="宋体" w:hint="eastAsia"/>
          <w:b/>
          <w:color w:val="000000"/>
          <w:szCs w:val="21"/>
        </w:rPr>
      </w:pPr>
      <w:r>
        <w:rPr>
          <w:rFonts w:ascii="宋体" w:hAnsi="宋体" w:hint="eastAsia"/>
          <w:b/>
          <w:color w:val="000000"/>
          <w:szCs w:val="21"/>
        </w:rPr>
        <w:t>一</w:t>
      </w:r>
      <w:r w:rsidRPr="000B04A4">
        <w:rPr>
          <w:rFonts w:ascii="宋体" w:hAnsi="宋体" w:hint="eastAsia"/>
          <w:b/>
          <w:color w:val="000000"/>
          <w:szCs w:val="21"/>
        </w:rPr>
        <w:t>、项目概况及采购（项目）需求</w:t>
      </w:r>
    </w:p>
    <w:tbl>
      <w:tblPr>
        <w:tblW w:w="0" w:type="auto"/>
        <w:jc w:val="center"/>
        <w:tblLayout w:type="fixed"/>
        <w:tblLook w:val="0000"/>
      </w:tblPr>
      <w:tblGrid>
        <w:gridCol w:w="674"/>
        <w:gridCol w:w="1064"/>
        <w:gridCol w:w="709"/>
        <w:gridCol w:w="6557"/>
      </w:tblGrid>
      <w:tr w:rsidR="00A8251D" w:rsidRPr="000B04A4" w:rsidTr="00D849C3">
        <w:trPr>
          <w:trHeight w:val="454"/>
          <w:jc w:val="center"/>
        </w:trPr>
        <w:tc>
          <w:tcPr>
            <w:tcW w:w="674" w:type="dxa"/>
            <w:tcBorders>
              <w:top w:val="single" w:sz="4" w:space="0" w:color="auto"/>
              <w:left w:val="single" w:sz="4" w:space="0" w:color="auto"/>
              <w:bottom w:val="single" w:sz="4" w:space="0" w:color="auto"/>
              <w:right w:val="single" w:sz="4" w:space="0" w:color="auto"/>
            </w:tcBorders>
            <w:vAlign w:val="center"/>
          </w:tcPr>
          <w:p w:rsidR="00A8251D" w:rsidRPr="000B04A4" w:rsidRDefault="00A8251D" w:rsidP="00D849C3">
            <w:pPr>
              <w:wordWrap w:val="0"/>
              <w:spacing w:line="400" w:lineRule="exact"/>
              <w:jc w:val="center"/>
              <w:rPr>
                <w:rFonts w:ascii="宋体" w:hAnsi="宋体"/>
                <w:b/>
                <w:bCs/>
                <w:color w:val="000000"/>
                <w:szCs w:val="21"/>
              </w:rPr>
            </w:pPr>
            <w:r w:rsidRPr="000B04A4">
              <w:rPr>
                <w:rFonts w:ascii="宋体" w:hAnsi="宋体"/>
                <w:b/>
                <w:bCs/>
                <w:color w:val="000000"/>
                <w:szCs w:val="21"/>
              </w:rPr>
              <w:t>序号</w:t>
            </w:r>
          </w:p>
        </w:tc>
        <w:tc>
          <w:tcPr>
            <w:tcW w:w="1064" w:type="dxa"/>
            <w:tcBorders>
              <w:top w:val="single" w:sz="4" w:space="0" w:color="auto"/>
              <w:left w:val="nil"/>
              <w:bottom w:val="single" w:sz="4" w:space="0" w:color="auto"/>
              <w:right w:val="single" w:sz="4" w:space="0" w:color="auto"/>
            </w:tcBorders>
            <w:vAlign w:val="center"/>
          </w:tcPr>
          <w:p w:rsidR="00A8251D" w:rsidRPr="000B04A4" w:rsidRDefault="00A8251D" w:rsidP="00D849C3">
            <w:pPr>
              <w:wordWrap w:val="0"/>
              <w:spacing w:line="400" w:lineRule="exact"/>
              <w:jc w:val="center"/>
              <w:rPr>
                <w:rFonts w:ascii="宋体" w:hAnsi="宋体"/>
                <w:b/>
                <w:bCs/>
                <w:color w:val="000000"/>
                <w:szCs w:val="21"/>
              </w:rPr>
            </w:pPr>
            <w:r w:rsidRPr="000B04A4">
              <w:rPr>
                <w:rFonts w:ascii="宋体" w:hAnsi="宋体"/>
                <w:b/>
                <w:bCs/>
                <w:color w:val="000000"/>
                <w:szCs w:val="21"/>
              </w:rPr>
              <w:t>货物名称</w:t>
            </w:r>
          </w:p>
        </w:tc>
        <w:tc>
          <w:tcPr>
            <w:tcW w:w="709" w:type="dxa"/>
            <w:tcBorders>
              <w:top w:val="single" w:sz="4" w:space="0" w:color="auto"/>
              <w:left w:val="nil"/>
              <w:bottom w:val="single" w:sz="4" w:space="0" w:color="auto"/>
              <w:right w:val="single" w:sz="4" w:space="0" w:color="auto"/>
            </w:tcBorders>
            <w:vAlign w:val="center"/>
          </w:tcPr>
          <w:p w:rsidR="00A8251D" w:rsidRPr="000B04A4" w:rsidRDefault="00A8251D" w:rsidP="00D849C3">
            <w:pPr>
              <w:wordWrap w:val="0"/>
              <w:spacing w:line="300" w:lineRule="exact"/>
              <w:jc w:val="center"/>
              <w:rPr>
                <w:rFonts w:ascii="宋体" w:hAnsi="宋体" w:cs="宋体"/>
                <w:b/>
                <w:bCs/>
                <w:color w:val="000000"/>
                <w:szCs w:val="21"/>
              </w:rPr>
            </w:pPr>
            <w:r w:rsidRPr="000B04A4">
              <w:rPr>
                <w:rFonts w:ascii="宋体" w:hAnsi="宋体" w:cs="宋体" w:hint="eastAsia"/>
                <w:b/>
                <w:bCs/>
                <w:color w:val="000000"/>
                <w:szCs w:val="21"/>
              </w:rPr>
              <w:t>数量</w:t>
            </w:r>
          </w:p>
        </w:tc>
        <w:tc>
          <w:tcPr>
            <w:tcW w:w="6557" w:type="dxa"/>
            <w:tcBorders>
              <w:top w:val="single" w:sz="4" w:space="0" w:color="auto"/>
              <w:left w:val="nil"/>
              <w:bottom w:val="single" w:sz="4" w:space="0" w:color="auto"/>
              <w:right w:val="single" w:sz="4" w:space="0" w:color="auto"/>
            </w:tcBorders>
            <w:vAlign w:val="center"/>
          </w:tcPr>
          <w:p w:rsidR="00A8251D" w:rsidRPr="000B04A4" w:rsidRDefault="00A8251D" w:rsidP="00D849C3">
            <w:pPr>
              <w:wordWrap w:val="0"/>
              <w:spacing w:line="300" w:lineRule="exact"/>
              <w:jc w:val="center"/>
              <w:rPr>
                <w:rFonts w:ascii="宋体" w:hAnsi="宋体" w:cs="宋体"/>
                <w:b/>
                <w:bCs/>
                <w:color w:val="000000"/>
                <w:szCs w:val="21"/>
              </w:rPr>
            </w:pPr>
            <w:r w:rsidRPr="000B04A4">
              <w:rPr>
                <w:rFonts w:ascii="宋体" w:hAnsi="宋体"/>
                <w:b/>
                <w:bCs/>
                <w:color w:val="000000"/>
                <w:szCs w:val="21"/>
              </w:rPr>
              <w:t>需求或性能描述</w:t>
            </w:r>
          </w:p>
        </w:tc>
      </w:tr>
      <w:tr w:rsidR="00A8251D" w:rsidRPr="000B04A4" w:rsidTr="00D849C3">
        <w:trPr>
          <w:trHeight w:val="454"/>
          <w:jc w:val="center"/>
        </w:trPr>
        <w:tc>
          <w:tcPr>
            <w:tcW w:w="674" w:type="dxa"/>
            <w:tcBorders>
              <w:top w:val="single" w:sz="4" w:space="0" w:color="auto"/>
              <w:left w:val="single" w:sz="4" w:space="0" w:color="auto"/>
              <w:bottom w:val="single" w:sz="4" w:space="0" w:color="auto"/>
              <w:right w:val="single" w:sz="4" w:space="0" w:color="auto"/>
            </w:tcBorders>
            <w:vAlign w:val="center"/>
          </w:tcPr>
          <w:p w:rsidR="00A8251D" w:rsidRPr="000B04A4" w:rsidRDefault="00A8251D" w:rsidP="00D849C3">
            <w:pPr>
              <w:wordWrap w:val="0"/>
              <w:spacing w:line="360" w:lineRule="auto"/>
              <w:jc w:val="center"/>
              <w:rPr>
                <w:rFonts w:ascii="宋体" w:hAnsi="宋体"/>
                <w:color w:val="000000"/>
                <w:szCs w:val="21"/>
              </w:rPr>
            </w:pPr>
            <w:r w:rsidRPr="000B04A4">
              <w:rPr>
                <w:rFonts w:ascii="宋体" w:hAnsi="宋体"/>
                <w:color w:val="000000"/>
                <w:szCs w:val="21"/>
              </w:rPr>
              <w:t>1</w:t>
            </w:r>
          </w:p>
        </w:tc>
        <w:tc>
          <w:tcPr>
            <w:tcW w:w="1064" w:type="dxa"/>
            <w:tcBorders>
              <w:top w:val="single" w:sz="4" w:space="0" w:color="auto"/>
              <w:left w:val="nil"/>
              <w:bottom w:val="single" w:sz="4" w:space="0" w:color="auto"/>
              <w:right w:val="single" w:sz="4" w:space="0" w:color="auto"/>
            </w:tcBorders>
            <w:vAlign w:val="center"/>
          </w:tcPr>
          <w:p w:rsidR="00A8251D" w:rsidRPr="000B04A4" w:rsidRDefault="00A8251D" w:rsidP="00D849C3">
            <w:pPr>
              <w:jc w:val="center"/>
              <w:rPr>
                <w:rFonts w:ascii="宋体" w:hAnsi="宋体"/>
                <w:color w:val="000000"/>
                <w:szCs w:val="21"/>
              </w:rPr>
            </w:pPr>
            <w:r w:rsidRPr="000B04A4">
              <w:rPr>
                <w:rFonts w:ascii="宋体" w:hAnsi="宋体" w:hint="eastAsia"/>
                <w:color w:val="000000"/>
                <w:szCs w:val="21"/>
              </w:rPr>
              <w:t>警用特种摩托车</w:t>
            </w:r>
          </w:p>
        </w:tc>
        <w:tc>
          <w:tcPr>
            <w:tcW w:w="709" w:type="dxa"/>
            <w:tcBorders>
              <w:top w:val="single" w:sz="4" w:space="0" w:color="auto"/>
              <w:left w:val="nil"/>
              <w:bottom w:val="single" w:sz="4" w:space="0" w:color="auto"/>
              <w:right w:val="single" w:sz="4" w:space="0" w:color="auto"/>
            </w:tcBorders>
            <w:vAlign w:val="center"/>
          </w:tcPr>
          <w:p w:rsidR="00A8251D" w:rsidRPr="000B04A4" w:rsidRDefault="00A8251D" w:rsidP="00D849C3">
            <w:pPr>
              <w:wordWrap w:val="0"/>
              <w:snapToGrid w:val="0"/>
              <w:rPr>
                <w:rFonts w:ascii="宋体" w:hAnsi="宋体"/>
                <w:color w:val="000000"/>
                <w:szCs w:val="21"/>
              </w:rPr>
            </w:pPr>
            <w:r w:rsidRPr="000B04A4">
              <w:rPr>
                <w:rFonts w:ascii="宋体" w:hAnsi="宋体"/>
                <w:color w:val="000000"/>
                <w:szCs w:val="21"/>
              </w:rPr>
              <w:t>6</w:t>
            </w:r>
            <w:r w:rsidRPr="000B04A4">
              <w:rPr>
                <w:rFonts w:ascii="宋体" w:hAnsi="宋体" w:hint="eastAsia"/>
                <w:color w:val="000000"/>
                <w:szCs w:val="21"/>
              </w:rPr>
              <w:t>台</w:t>
            </w:r>
          </w:p>
        </w:tc>
        <w:tc>
          <w:tcPr>
            <w:tcW w:w="6557" w:type="dxa"/>
            <w:tcBorders>
              <w:top w:val="single" w:sz="4" w:space="0" w:color="auto"/>
              <w:left w:val="nil"/>
              <w:bottom w:val="single" w:sz="4" w:space="0" w:color="auto"/>
              <w:right w:val="single" w:sz="4" w:space="0" w:color="auto"/>
            </w:tcBorders>
            <w:vAlign w:val="center"/>
          </w:tcPr>
          <w:p w:rsidR="00A8251D" w:rsidRPr="000B04A4" w:rsidRDefault="00A8251D" w:rsidP="00D849C3">
            <w:pPr>
              <w:wordWrap w:val="0"/>
              <w:snapToGrid w:val="0"/>
              <w:rPr>
                <w:rFonts w:ascii="宋体" w:hAnsi="宋体"/>
                <w:color w:val="000000"/>
                <w:szCs w:val="21"/>
              </w:rPr>
            </w:pPr>
            <w:proofErr w:type="gramStart"/>
            <w:r w:rsidRPr="000B04A4">
              <w:rPr>
                <w:rFonts w:ascii="宋体" w:hAnsi="宋体" w:hint="eastAsia"/>
                <w:color w:val="000000"/>
                <w:szCs w:val="21"/>
              </w:rPr>
              <w:t>一</w:t>
            </w:r>
            <w:proofErr w:type="gramEnd"/>
            <w:r w:rsidRPr="000B04A4">
              <w:rPr>
                <w:rFonts w:ascii="宋体" w:hAnsi="宋体" w:hint="eastAsia"/>
                <w:color w:val="000000"/>
                <w:szCs w:val="21"/>
              </w:rPr>
              <w:t>.警用原厂参数：</w:t>
            </w:r>
          </w:p>
          <w:p w:rsidR="00A8251D" w:rsidRPr="000B04A4" w:rsidRDefault="00A8251D" w:rsidP="00D849C3">
            <w:pPr>
              <w:wordWrap w:val="0"/>
              <w:snapToGrid w:val="0"/>
              <w:rPr>
                <w:rFonts w:ascii="宋体" w:hAnsi="宋体"/>
                <w:color w:val="000000"/>
                <w:szCs w:val="21"/>
              </w:rPr>
            </w:pPr>
            <w:r w:rsidRPr="000B04A4">
              <w:rPr>
                <w:rFonts w:ascii="宋体" w:hAnsi="宋体" w:cs="Arial"/>
                <w:color w:val="000000"/>
                <w:szCs w:val="21"/>
                <w:shd w:val="clear" w:color="auto" w:fill="FFFFFF"/>
              </w:rPr>
              <w:t>▲</w:t>
            </w:r>
            <w:r w:rsidRPr="000B04A4">
              <w:rPr>
                <w:rFonts w:ascii="宋体" w:hAnsi="宋体" w:hint="eastAsia"/>
                <w:color w:val="000000"/>
                <w:szCs w:val="21"/>
              </w:rPr>
              <w:t>外形尺寸长宽高mm：（</w:t>
            </w:r>
            <w:r w:rsidRPr="000B04A4">
              <w:rPr>
                <w:rFonts w:ascii="宋体" w:hAnsi="宋体" w:cs="Arial"/>
                <w:color w:val="000000"/>
                <w:szCs w:val="21"/>
                <w:shd w:val="clear" w:color="auto" w:fill="FFFFFF"/>
              </w:rPr>
              <w:t>≥</w:t>
            </w:r>
            <w:r w:rsidRPr="000B04A4">
              <w:rPr>
                <w:rFonts w:ascii="宋体" w:hAnsi="宋体" w:hint="eastAsia"/>
                <w:color w:val="000000"/>
                <w:szCs w:val="21"/>
              </w:rPr>
              <w:t>2183*</w:t>
            </w:r>
            <w:r w:rsidRPr="000B04A4">
              <w:rPr>
                <w:rFonts w:ascii="宋体" w:hAnsi="宋体" w:cs="Arial"/>
                <w:color w:val="000000"/>
                <w:szCs w:val="21"/>
                <w:shd w:val="clear" w:color="auto" w:fill="FFFFFF"/>
              </w:rPr>
              <w:t>≥</w:t>
            </w:r>
            <w:r w:rsidRPr="000B04A4">
              <w:rPr>
                <w:rFonts w:ascii="宋体" w:hAnsi="宋体" w:hint="eastAsia"/>
                <w:color w:val="000000"/>
                <w:szCs w:val="21"/>
              </w:rPr>
              <w:t>978*</w:t>
            </w:r>
            <w:r w:rsidRPr="000B04A4">
              <w:rPr>
                <w:rFonts w:ascii="宋体" w:hAnsi="宋体" w:cs="Arial"/>
                <w:color w:val="000000"/>
                <w:szCs w:val="21"/>
                <w:shd w:val="clear" w:color="auto" w:fill="FFFFFF"/>
              </w:rPr>
              <w:t>≥</w:t>
            </w:r>
            <w:r w:rsidRPr="000B04A4">
              <w:rPr>
                <w:rFonts w:ascii="宋体" w:hAnsi="宋体" w:hint="eastAsia"/>
                <w:color w:val="000000"/>
                <w:szCs w:val="21"/>
              </w:rPr>
              <w:t>1377</w:t>
            </w:r>
            <w:r w:rsidRPr="000B04A4">
              <w:rPr>
                <w:rFonts w:ascii="宋体" w:hAnsi="宋体"/>
                <w:color w:val="000000"/>
                <w:szCs w:val="21"/>
              </w:rPr>
              <w:t>）</w:t>
            </w:r>
          </w:p>
          <w:p w:rsidR="00A8251D" w:rsidRPr="000B04A4" w:rsidRDefault="00A8251D" w:rsidP="00D849C3">
            <w:pPr>
              <w:wordWrap w:val="0"/>
              <w:snapToGrid w:val="0"/>
              <w:rPr>
                <w:rFonts w:ascii="宋体" w:hAnsi="宋体"/>
                <w:color w:val="000000"/>
                <w:szCs w:val="21"/>
              </w:rPr>
            </w:pPr>
            <w:r w:rsidRPr="000B04A4">
              <w:rPr>
                <w:rFonts w:ascii="宋体" w:hAnsi="宋体" w:cs="Arial"/>
                <w:color w:val="000000"/>
                <w:szCs w:val="21"/>
                <w:shd w:val="clear" w:color="auto" w:fill="FFFFFF"/>
              </w:rPr>
              <w:t>▲</w:t>
            </w:r>
            <w:r w:rsidRPr="000B04A4">
              <w:rPr>
                <w:rFonts w:ascii="宋体" w:hAnsi="宋体" w:hint="eastAsia"/>
                <w:color w:val="000000"/>
                <w:szCs w:val="21"/>
              </w:rPr>
              <w:t>轴距mm：</w:t>
            </w:r>
            <w:r w:rsidRPr="000B04A4">
              <w:rPr>
                <w:rFonts w:ascii="宋体" w:hAnsi="宋体" w:cs="Arial"/>
                <w:color w:val="000000"/>
                <w:szCs w:val="21"/>
                <w:shd w:val="clear" w:color="auto" w:fill="FFFFFF"/>
              </w:rPr>
              <w:t>≥</w:t>
            </w:r>
            <w:r w:rsidRPr="000B04A4">
              <w:rPr>
                <w:rFonts w:ascii="宋体" w:hAnsi="宋体" w:hint="eastAsia"/>
                <w:color w:val="000000"/>
                <w:szCs w:val="21"/>
              </w:rPr>
              <w:t>1488</w:t>
            </w:r>
          </w:p>
          <w:p w:rsidR="00A8251D" w:rsidRPr="000B04A4" w:rsidRDefault="00A8251D" w:rsidP="00D849C3">
            <w:pPr>
              <w:wordWrap w:val="0"/>
              <w:snapToGrid w:val="0"/>
              <w:rPr>
                <w:rFonts w:ascii="宋体" w:hAnsi="宋体"/>
                <w:color w:val="000000"/>
                <w:szCs w:val="21"/>
              </w:rPr>
            </w:pPr>
            <w:r w:rsidRPr="000B04A4">
              <w:rPr>
                <w:rFonts w:ascii="宋体" w:hAnsi="宋体" w:cs="Arial"/>
                <w:color w:val="000000"/>
                <w:szCs w:val="21"/>
                <w:shd w:val="clear" w:color="auto" w:fill="FFFFFF"/>
              </w:rPr>
              <w:t>▲</w:t>
            </w:r>
            <w:r w:rsidRPr="000B04A4">
              <w:rPr>
                <w:rFonts w:ascii="宋体" w:hAnsi="宋体" w:hint="eastAsia"/>
                <w:color w:val="000000"/>
                <w:szCs w:val="21"/>
              </w:rPr>
              <w:t>发动机排量：</w:t>
            </w:r>
            <w:r w:rsidRPr="000B04A4">
              <w:rPr>
                <w:rFonts w:ascii="宋体" w:hAnsi="宋体" w:cs="Arial"/>
                <w:color w:val="000000"/>
                <w:szCs w:val="21"/>
                <w:shd w:val="clear" w:color="auto" w:fill="FFFFFF"/>
              </w:rPr>
              <w:t>≥</w:t>
            </w:r>
            <w:r w:rsidRPr="000B04A4">
              <w:rPr>
                <w:rFonts w:ascii="宋体" w:hAnsi="宋体" w:hint="eastAsia"/>
                <w:color w:val="000000"/>
                <w:szCs w:val="21"/>
              </w:rPr>
              <w:t>1166ml</w:t>
            </w:r>
          </w:p>
          <w:p w:rsidR="00A8251D" w:rsidRPr="000B04A4" w:rsidRDefault="00A8251D" w:rsidP="00D849C3">
            <w:pPr>
              <w:wordWrap w:val="0"/>
              <w:snapToGrid w:val="0"/>
              <w:rPr>
                <w:rFonts w:ascii="宋体" w:hAnsi="宋体" w:cs="Arial"/>
                <w:color w:val="000000"/>
                <w:szCs w:val="21"/>
                <w:shd w:val="clear" w:color="auto" w:fill="FFFFFF"/>
              </w:rPr>
            </w:pPr>
            <w:r w:rsidRPr="000B04A4">
              <w:rPr>
                <w:rFonts w:ascii="宋体" w:hAnsi="宋体" w:cs="Arial"/>
                <w:color w:val="000000"/>
                <w:szCs w:val="21"/>
                <w:shd w:val="clear" w:color="auto" w:fill="FFFFFF"/>
              </w:rPr>
              <w:t>▲</w:t>
            </w:r>
            <w:r w:rsidRPr="000B04A4">
              <w:rPr>
                <w:rFonts w:ascii="宋体" w:hAnsi="宋体" w:cs="Arial" w:hint="eastAsia"/>
                <w:color w:val="000000"/>
                <w:szCs w:val="21"/>
                <w:shd w:val="clear" w:color="auto" w:fill="FFFFFF"/>
              </w:rPr>
              <w:t>厂</w:t>
            </w:r>
            <w:proofErr w:type="gramStart"/>
            <w:r w:rsidRPr="000B04A4">
              <w:rPr>
                <w:rFonts w:ascii="宋体" w:hAnsi="宋体" w:cs="Arial" w:hint="eastAsia"/>
                <w:color w:val="000000"/>
                <w:szCs w:val="21"/>
                <w:shd w:val="clear" w:color="auto" w:fill="FFFFFF"/>
              </w:rPr>
              <w:t>定最大总</w:t>
            </w:r>
            <w:proofErr w:type="gramEnd"/>
            <w:r w:rsidRPr="000B04A4">
              <w:rPr>
                <w:rFonts w:ascii="宋体" w:hAnsi="宋体" w:cs="Arial" w:hint="eastAsia"/>
                <w:color w:val="000000"/>
                <w:szCs w:val="21"/>
                <w:shd w:val="clear" w:color="auto" w:fill="FFFFFF"/>
              </w:rPr>
              <w:t>质量在前轮轴的分配（KG）：</w:t>
            </w:r>
            <w:r w:rsidRPr="000B04A4">
              <w:rPr>
                <w:rFonts w:ascii="宋体" w:hAnsi="宋体" w:cs="Arial"/>
                <w:color w:val="000000"/>
                <w:szCs w:val="21"/>
                <w:shd w:val="clear" w:color="auto" w:fill="FFFFFF"/>
              </w:rPr>
              <w:t>≥175</w:t>
            </w:r>
          </w:p>
          <w:p w:rsidR="00A8251D" w:rsidRPr="000B04A4" w:rsidRDefault="00A8251D" w:rsidP="00D849C3">
            <w:pPr>
              <w:wordWrap w:val="0"/>
              <w:snapToGrid w:val="0"/>
              <w:rPr>
                <w:rFonts w:ascii="宋体" w:hAnsi="宋体"/>
                <w:color w:val="000000"/>
                <w:szCs w:val="21"/>
              </w:rPr>
            </w:pPr>
            <w:r w:rsidRPr="000B04A4">
              <w:rPr>
                <w:rFonts w:ascii="宋体" w:hAnsi="宋体" w:cs="Arial"/>
                <w:color w:val="000000"/>
                <w:szCs w:val="21"/>
                <w:shd w:val="clear" w:color="auto" w:fill="FFFFFF"/>
              </w:rPr>
              <w:t>▲</w:t>
            </w:r>
            <w:r w:rsidRPr="000B04A4">
              <w:rPr>
                <w:rFonts w:ascii="宋体" w:hAnsi="宋体" w:cs="Arial" w:hint="eastAsia"/>
                <w:color w:val="000000"/>
                <w:szCs w:val="21"/>
                <w:shd w:val="clear" w:color="auto" w:fill="FFFFFF"/>
              </w:rPr>
              <w:t>厂</w:t>
            </w:r>
            <w:proofErr w:type="gramStart"/>
            <w:r w:rsidRPr="000B04A4">
              <w:rPr>
                <w:rFonts w:ascii="宋体" w:hAnsi="宋体" w:cs="Arial" w:hint="eastAsia"/>
                <w:color w:val="000000"/>
                <w:szCs w:val="21"/>
                <w:shd w:val="clear" w:color="auto" w:fill="FFFFFF"/>
              </w:rPr>
              <w:t>定最大总</w:t>
            </w:r>
            <w:proofErr w:type="gramEnd"/>
            <w:r w:rsidRPr="000B04A4">
              <w:rPr>
                <w:rFonts w:ascii="宋体" w:hAnsi="宋体" w:cs="Arial" w:hint="eastAsia"/>
                <w:color w:val="000000"/>
                <w:szCs w:val="21"/>
                <w:shd w:val="clear" w:color="auto" w:fill="FFFFFF"/>
              </w:rPr>
              <w:t>质量在后轮轴的分配（KG）：</w:t>
            </w:r>
            <w:r w:rsidRPr="000B04A4">
              <w:rPr>
                <w:rFonts w:ascii="宋体" w:hAnsi="宋体" w:cs="Arial"/>
                <w:color w:val="000000"/>
                <w:szCs w:val="21"/>
                <w:shd w:val="clear" w:color="auto" w:fill="FFFFFF"/>
              </w:rPr>
              <w:t>≥316</w:t>
            </w:r>
          </w:p>
          <w:p w:rsidR="00A8251D" w:rsidRPr="000B04A4" w:rsidRDefault="00A8251D" w:rsidP="00D849C3">
            <w:pPr>
              <w:wordWrap w:val="0"/>
              <w:snapToGrid w:val="0"/>
              <w:rPr>
                <w:rFonts w:ascii="宋体" w:hAnsi="宋体" w:cs="Arial"/>
                <w:color w:val="000000"/>
                <w:szCs w:val="21"/>
                <w:shd w:val="clear" w:color="auto" w:fill="FFFFFF"/>
              </w:rPr>
            </w:pPr>
            <w:r w:rsidRPr="000B04A4">
              <w:rPr>
                <w:rFonts w:ascii="宋体" w:hAnsi="宋体" w:cs="Arial" w:hint="eastAsia"/>
                <w:color w:val="000000"/>
                <w:szCs w:val="21"/>
                <w:shd w:val="clear" w:color="auto" w:fill="FFFFFF"/>
              </w:rPr>
              <w:t>最高车速km/h：</w:t>
            </w:r>
            <w:r w:rsidRPr="000B04A4">
              <w:rPr>
                <w:rFonts w:ascii="宋体" w:hAnsi="宋体" w:cs="Arial"/>
                <w:color w:val="000000"/>
                <w:szCs w:val="21"/>
                <w:shd w:val="clear" w:color="auto" w:fill="FFFFFF"/>
              </w:rPr>
              <w:t>≥180</w:t>
            </w:r>
          </w:p>
          <w:p w:rsidR="00A8251D" w:rsidRPr="000B04A4" w:rsidRDefault="00A8251D" w:rsidP="00D849C3">
            <w:pPr>
              <w:wordWrap w:val="0"/>
              <w:snapToGrid w:val="0"/>
              <w:rPr>
                <w:rFonts w:ascii="宋体" w:hAnsi="宋体" w:cs="Arial"/>
                <w:color w:val="000000"/>
                <w:szCs w:val="21"/>
                <w:shd w:val="clear" w:color="auto" w:fill="FFFFFF"/>
              </w:rPr>
            </w:pPr>
            <w:r w:rsidRPr="000B04A4">
              <w:rPr>
                <w:rFonts w:ascii="宋体" w:hAnsi="宋体" w:cs="Arial" w:hint="eastAsia"/>
                <w:color w:val="000000"/>
                <w:szCs w:val="21"/>
                <w:shd w:val="clear" w:color="auto" w:fill="FFFFFF"/>
              </w:rPr>
              <w:t xml:space="preserve">.工作原理：4冲程     </w:t>
            </w:r>
          </w:p>
          <w:p w:rsidR="00A8251D" w:rsidRPr="000B04A4" w:rsidRDefault="00A8251D" w:rsidP="00D849C3">
            <w:pPr>
              <w:wordWrap w:val="0"/>
              <w:snapToGrid w:val="0"/>
              <w:rPr>
                <w:rFonts w:ascii="宋体" w:hAnsi="宋体"/>
                <w:color w:val="000000"/>
                <w:szCs w:val="21"/>
              </w:rPr>
            </w:pPr>
            <w:r w:rsidRPr="000B04A4">
              <w:rPr>
                <w:rFonts w:ascii="宋体" w:hAnsi="宋体" w:cs="Arial" w:hint="eastAsia"/>
                <w:color w:val="000000"/>
                <w:szCs w:val="21"/>
                <w:shd w:val="clear" w:color="auto" w:fill="FFFFFF"/>
              </w:rPr>
              <w:t>.</w:t>
            </w:r>
            <w:r w:rsidRPr="000B04A4">
              <w:rPr>
                <w:rFonts w:ascii="宋体" w:hAnsi="宋体" w:hint="eastAsia"/>
                <w:color w:val="000000"/>
                <w:szCs w:val="21"/>
              </w:rPr>
              <w:t>气缸数：2</w:t>
            </w:r>
          </w:p>
          <w:p w:rsidR="00A8251D" w:rsidRPr="000B04A4" w:rsidRDefault="00A8251D" w:rsidP="00D849C3">
            <w:pPr>
              <w:wordWrap w:val="0"/>
              <w:snapToGrid w:val="0"/>
              <w:rPr>
                <w:rFonts w:ascii="宋体" w:hAnsi="宋体"/>
                <w:color w:val="000000"/>
                <w:szCs w:val="21"/>
              </w:rPr>
            </w:pPr>
            <w:r w:rsidRPr="000B04A4">
              <w:rPr>
                <w:rFonts w:ascii="宋体" w:hAnsi="宋体" w:hint="eastAsia"/>
                <w:color w:val="000000"/>
                <w:szCs w:val="21"/>
              </w:rPr>
              <w:t>轮胎数：2</w:t>
            </w:r>
          </w:p>
          <w:p w:rsidR="00A8251D" w:rsidRPr="000B04A4" w:rsidRDefault="00A8251D" w:rsidP="00D849C3">
            <w:pPr>
              <w:wordWrap w:val="0"/>
              <w:snapToGrid w:val="0"/>
              <w:rPr>
                <w:rFonts w:ascii="宋体" w:hAnsi="宋体"/>
                <w:color w:val="000000"/>
                <w:szCs w:val="21"/>
              </w:rPr>
            </w:pPr>
            <w:r w:rsidRPr="000B04A4">
              <w:rPr>
                <w:rFonts w:ascii="宋体" w:hAnsi="宋体" w:hint="eastAsia"/>
                <w:color w:val="000000"/>
                <w:szCs w:val="21"/>
              </w:rPr>
              <w:t>.整车整备质量</w:t>
            </w:r>
            <w:r w:rsidRPr="000B04A4">
              <w:rPr>
                <w:rFonts w:ascii="宋体" w:hAnsi="宋体" w:cs="Arial"/>
                <w:color w:val="000000"/>
                <w:szCs w:val="21"/>
                <w:shd w:val="clear" w:color="auto" w:fill="FFFFFF"/>
              </w:rPr>
              <w:t>≥30</w:t>
            </w:r>
            <w:r w:rsidRPr="000B04A4">
              <w:rPr>
                <w:rFonts w:ascii="宋体" w:hAnsi="宋体" w:cs="Arial" w:hint="eastAsia"/>
                <w:color w:val="000000"/>
                <w:szCs w:val="21"/>
                <w:shd w:val="clear" w:color="auto" w:fill="FFFFFF"/>
              </w:rPr>
              <w:t>0</w:t>
            </w:r>
            <w:r w:rsidRPr="000B04A4">
              <w:rPr>
                <w:rFonts w:ascii="宋体" w:hAnsi="宋体" w:hint="eastAsia"/>
                <w:color w:val="000000"/>
                <w:szCs w:val="21"/>
              </w:rPr>
              <w:t>KG</w:t>
            </w:r>
          </w:p>
          <w:p w:rsidR="00A8251D" w:rsidRPr="000B04A4" w:rsidRDefault="00A8251D" w:rsidP="00D849C3">
            <w:pPr>
              <w:wordWrap w:val="0"/>
              <w:snapToGrid w:val="0"/>
              <w:rPr>
                <w:rFonts w:ascii="宋体" w:hAnsi="宋体" w:cs="Arial"/>
                <w:color w:val="000000"/>
                <w:szCs w:val="21"/>
                <w:shd w:val="clear" w:color="auto" w:fill="FFFFFF"/>
              </w:rPr>
            </w:pPr>
            <w:r w:rsidRPr="000B04A4">
              <w:rPr>
                <w:rFonts w:ascii="宋体" w:hAnsi="宋体" w:hint="eastAsia"/>
                <w:color w:val="000000"/>
                <w:szCs w:val="21"/>
              </w:rPr>
              <w:t>.前后轮规格</w:t>
            </w:r>
            <w:r w:rsidRPr="000B04A4">
              <w:rPr>
                <w:rFonts w:ascii="宋体" w:hAnsi="宋体" w:cs="Arial"/>
                <w:color w:val="000000"/>
                <w:szCs w:val="21"/>
                <w:shd w:val="clear" w:color="auto" w:fill="FFFFFF"/>
              </w:rPr>
              <w:t>≥</w:t>
            </w:r>
            <w:r w:rsidRPr="000B04A4">
              <w:rPr>
                <w:rFonts w:ascii="宋体" w:hAnsi="宋体" w:cs="Arial" w:hint="eastAsia"/>
                <w:color w:val="000000"/>
                <w:szCs w:val="21"/>
                <w:shd w:val="clear" w:color="auto" w:fill="FFFFFF"/>
              </w:rPr>
              <w:t>R17</w:t>
            </w:r>
          </w:p>
          <w:p w:rsidR="00A8251D" w:rsidRPr="000B04A4" w:rsidRDefault="00A8251D" w:rsidP="00D849C3">
            <w:pPr>
              <w:wordWrap w:val="0"/>
              <w:snapToGrid w:val="0"/>
              <w:rPr>
                <w:rFonts w:ascii="宋体" w:hAnsi="宋体" w:cs="Arial"/>
                <w:color w:val="000000"/>
                <w:szCs w:val="21"/>
                <w:shd w:val="clear" w:color="auto" w:fill="FFFFFF"/>
              </w:rPr>
            </w:pPr>
            <w:r w:rsidRPr="000B04A4">
              <w:rPr>
                <w:rFonts w:ascii="宋体" w:hAnsi="宋体" w:cs="Arial" w:hint="eastAsia"/>
                <w:color w:val="000000"/>
                <w:szCs w:val="21"/>
                <w:shd w:val="clear" w:color="auto" w:fill="FFFFFF"/>
              </w:rPr>
              <w:t>.厂</w:t>
            </w:r>
            <w:proofErr w:type="gramStart"/>
            <w:r w:rsidRPr="000B04A4">
              <w:rPr>
                <w:rFonts w:ascii="宋体" w:hAnsi="宋体" w:cs="Arial" w:hint="eastAsia"/>
                <w:color w:val="000000"/>
                <w:szCs w:val="21"/>
                <w:shd w:val="clear" w:color="auto" w:fill="FFFFFF"/>
              </w:rPr>
              <w:t>定最大总</w:t>
            </w:r>
            <w:proofErr w:type="gramEnd"/>
            <w:r w:rsidRPr="000B04A4">
              <w:rPr>
                <w:rFonts w:ascii="宋体" w:hAnsi="宋体" w:cs="Arial" w:hint="eastAsia"/>
                <w:color w:val="000000"/>
                <w:szCs w:val="21"/>
                <w:shd w:val="clear" w:color="auto" w:fill="FFFFFF"/>
              </w:rPr>
              <w:t>质量</w:t>
            </w:r>
            <w:r w:rsidRPr="000B04A4">
              <w:rPr>
                <w:rFonts w:ascii="宋体" w:hAnsi="宋体" w:cs="Arial"/>
                <w:color w:val="000000"/>
                <w:szCs w:val="21"/>
                <w:shd w:val="clear" w:color="auto" w:fill="FFFFFF"/>
              </w:rPr>
              <w:t>≥</w:t>
            </w:r>
            <w:r w:rsidRPr="000B04A4">
              <w:rPr>
                <w:rFonts w:ascii="宋体" w:hAnsi="宋体" w:cs="Arial" w:hint="eastAsia"/>
                <w:color w:val="000000"/>
                <w:szCs w:val="21"/>
                <w:shd w:val="clear" w:color="auto" w:fill="FFFFFF"/>
              </w:rPr>
              <w:t>490</w:t>
            </w:r>
          </w:p>
          <w:p w:rsidR="00A8251D" w:rsidRPr="000B04A4" w:rsidRDefault="00A8251D" w:rsidP="00D849C3">
            <w:pPr>
              <w:wordWrap w:val="0"/>
              <w:snapToGrid w:val="0"/>
              <w:rPr>
                <w:rFonts w:ascii="宋体" w:hAnsi="宋体"/>
                <w:color w:val="000000"/>
                <w:szCs w:val="21"/>
              </w:rPr>
            </w:pPr>
            <w:r w:rsidRPr="000B04A4">
              <w:rPr>
                <w:rFonts w:ascii="宋体" w:hAnsi="宋体" w:cs="Arial" w:hint="eastAsia"/>
                <w:color w:val="000000"/>
                <w:szCs w:val="21"/>
                <w:shd w:val="clear" w:color="auto" w:fill="FFFFFF"/>
              </w:rPr>
              <w:t>.</w:t>
            </w:r>
            <w:r w:rsidRPr="000B04A4">
              <w:rPr>
                <w:rFonts w:ascii="宋体" w:hAnsi="宋体" w:hint="eastAsia"/>
                <w:color w:val="000000"/>
                <w:szCs w:val="21"/>
              </w:rPr>
              <w:t>座椅数目：1</w:t>
            </w:r>
          </w:p>
          <w:p w:rsidR="00A8251D" w:rsidRPr="000B04A4" w:rsidRDefault="00A8251D" w:rsidP="00D849C3">
            <w:pPr>
              <w:wordWrap w:val="0"/>
              <w:snapToGrid w:val="0"/>
              <w:rPr>
                <w:rFonts w:ascii="宋体" w:hAnsi="宋体" w:cs="Arial"/>
                <w:color w:val="000000"/>
                <w:szCs w:val="21"/>
                <w:shd w:val="clear" w:color="auto" w:fill="FFFFFF"/>
              </w:rPr>
            </w:pPr>
            <w:r w:rsidRPr="000B04A4">
              <w:rPr>
                <w:rFonts w:ascii="宋体" w:hAnsi="宋体" w:hint="eastAsia"/>
                <w:color w:val="000000"/>
                <w:szCs w:val="21"/>
              </w:rPr>
              <w:t>前轮轴最大技术承载能力（N）</w:t>
            </w:r>
            <w:r w:rsidRPr="000B04A4">
              <w:rPr>
                <w:rFonts w:ascii="宋体" w:hAnsi="宋体" w:cs="Arial"/>
                <w:color w:val="000000"/>
                <w:szCs w:val="21"/>
                <w:shd w:val="clear" w:color="auto" w:fill="FFFFFF"/>
              </w:rPr>
              <w:t>≥1730</w:t>
            </w:r>
          </w:p>
          <w:p w:rsidR="00A8251D" w:rsidRPr="000B04A4" w:rsidRDefault="00A8251D" w:rsidP="00D849C3">
            <w:pPr>
              <w:wordWrap w:val="0"/>
              <w:snapToGrid w:val="0"/>
              <w:rPr>
                <w:rFonts w:ascii="宋体" w:hAnsi="宋体"/>
                <w:color w:val="000000"/>
                <w:szCs w:val="21"/>
              </w:rPr>
            </w:pPr>
            <w:r w:rsidRPr="000B04A4">
              <w:rPr>
                <w:rFonts w:ascii="宋体" w:hAnsi="宋体" w:cs="Arial" w:hint="eastAsia"/>
                <w:color w:val="000000"/>
                <w:szCs w:val="21"/>
                <w:shd w:val="clear" w:color="auto" w:fill="FFFFFF"/>
              </w:rPr>
              <w:t>后轮轴最大技术承载能力（N）</w:t>
            </w:r>
            <w:r w:rsidRPr="000B04A4">
              <w:rPr>
                <w:rFonts w:ascii="宋体" w:hAnsi="宋体" w:cs="Arial"/>
                <w:color w:val="000000"/>
                <w:szCs w:val="21"/>
                <w:shd w:val="clear" w:color="auto" w:fill="FFFFFF"/>
              </w:rPr>
              <w:t>≥3115</w:t>
            </w:r>
          </w:p>
          <w:p w:rsidR="00A8251D" w:rsidRPr="000B04A4" w:rsidRDefault="00A8251D" w:rsidP="00D849C3">
            <w:pPr>
              <w:wordWrap w:val="0"/>
              <w:snapToGrid w:val="0"/>
              <w:rPr>
                <w:rFonts w:ascii="宋体" w:hAnsi="宋体"/>
                <w:color w:val="000000"/>
                <w:szCs w:val="21"/>
              </w:rPr>
            </w:pPr>
            <w:r w:rsidRPr="000B04A4">
              <w:rPr>
                <w:rFonts w:ascii="宋体" w:hAnsi="宋体" w:hint="eastAsia"/>
                <w:color w:val="000000"/>
                <w:szCs w:val="21"/>
              </w:rPr>
              <w:t>二</w:t>
            </w:r>
            <w:r w:rsidRPr="000B04A4">
              <w:rPr>
                <w:rFonts w:ascii="宋体" w:hAnsi="宋体"/>
                <w:color w:val="000000"/>
                <w:szCs w:val="21"/>
              </w:rPr>
              <w:t>.</w:t>
            </w:r>
            <w:r w:rsidRPr="000B04A4">
              <w:rPr>
                <w:rFonts w:ascii="宋体" w:hAnsi="宋体" w:hint="eastAsia"/>
                <w:color w:val="000000"/>
                <w:szCs w:val="21"/>
              </w:rPr>
              <w:t>原厂要求</w:t>
            </w:r>
          </w:p>
          <w:p w:rsidR="00A8251D" w:rsidRPr="000B04A4" w:rsidRDefault="00A8251D" w:rsidP="00D849C3">
            <w:pPr>
              <w:wordWrap w:val="0"/>
              <w:snapToGrid w:val="0"/>
              <w:rPr>
                <w:rFonts w:ascii="宋体" w:hAnsi="宋体"/>
                <w:color w:val="000000"/>
                <w:szCs w:val="21"/>
              </w:rPr>
            </w:pPr>
            <w:r w:rsidRPr="000B04A4">
              <w:rPr>
                <w:rFonts w:ascii="宋体" w:hAnsi="宋体" w:hint="eastAsia"/>
                <w:color w:val="000000"/>
                <w:szCs w:val="21"/>
              </w:rPr>
              <w:t>原厂自带预留警用电台安装位</w:t>
            </w:r>
          </w:p>
          <w:p w:rsidR="00A8251D" w:rsidRPr="000B04A4" w:rsidRDefault="00A8251D" w:rsidP="00D849C3">
            <w:pPr>
              <w:wordWrap w:val="0"/>
              <w:snapToGrid w:val="0"/>
              <w:rPr>
                <w:rFonts w:ascii="宋体" w:hAnsi="宋体"/>
                <w:color w:val="000000"/>
                <w:szCs w:val="21"/>
              </w:rPr>
            </w:pPr>
            <w:r w:rsidRPr="000B04A4">
              <w:rPr>
                <w:rFonts w:ascii="宋体" w:hAnsi="宋体" w:hint="eastAsia"/>
                <w:color w:val="000000"/>
                <w:szCs w:val="21"/>
              </w:rPr>
              <w:t>三升级要求</w:t>
            </w:r>
          </w:p>
          <w:p w:rsidR="00A8251D" w:rsidRPr="000B04A4" w:rsidRDefault="00A8251D" w:rsidP="00D849C3">
            <w:pPr>
              <w:wordWrap w:val="0"/>
              <w:snapToGrid w:val="0"/>
              <w:rPr>
                <w:rFonts w:ascii="宋体" w:hAnsi="宋体" w:cs="宋体"/>
                <w:color w:val="000000"/>
                <w:kern w:val="0"/>
                <w:szCs w:val="21"/>
              </w:rPr>
            </w:pPr>
            <w:r w:rsidRPr="000B04A4">
              <w:rPr>
                <w:rFonts w:ascii="宋体" w:hAnsi="宋体" w:cs="宋体" w:hint="eastAsia"/>
                <w:color w:val="000000"/>
                <w:kern w:val="0"/>
                <w:szCs w:val="21"/>
              </w:rPr>
              <w:t>1、按文件要求执行，无级电控变速系统，电控辅助转向助力系统，液冷电喷引擎，加强型球头拖钩，防暴加强型风镜，</w:t>
            </w:r>
            <w:r w:rsidRPr="000B04A4">
              <w:rPr>
                <w:rFonts w:ascii="宋体" w:hAnsi="宋体" w:hint="eastAsia"/>
                <w:color w:val="000000"/>
                <w:szCs w:val="21"/>
              </w:rPr>
              <w:t>警用（五合一）</w:t>
            </w:r>
            <w:r w:rsidRPr="000B04A4">
              <w:rPr>
                <w:rFonts w:ascii="宋体" w:hAnsi="宋体"/>
                <w:color w:val="000000"/>
                <w:szCs w:val="21"/>
              </w:rPr>
              <w:t>LED</w:t>
            </w:r>
            <w:r w:rsidRPr="000B04A4">
              <w:rPr>
                <w:rFonts w:ascii="宋体" w:hAnsi="宋体" w:hint="eastAsia"/>
                <w:color w:val="000000"/>
                <w:szCs w:val="21"/>
              </w:rPr>
              <w:t>强光明视系统，</w:t>
            </w:r>
            <w:r w:rsidRPr="000B04A4">
              <w:rPr>
                <w:rFonts w:ascii="宋体" w:hAnsi="宋体" w:cs="宋体" w:hint="eastAsia"/>
                <w:color w:val="000000"/>
                <w:kern w:val="0"/>
                <w:szCs w:val="21"/>
              </w:rPr>
              <w:t>特种警用单车装备集成预置解决方案系统；</w:t>
            </w:r>
            <w:r w:rsidRPr="000B04A4">
              <w:rPr>
                <w:rFonts w:ascii="宋体" w:hAnsi="宋体" w:cs="宋体" w:hint="eastAsia"/>
                <w:color w:val="000000"/>
                <w:kern w:val="0"/>
                <w:szCs w:val="21"/>
              </w:rPr>
              <w:br/>
              <w:t>2独立承载式悬挂系统方案（可手动调节）；</w:t>
            </w:r>
            <w:r w:rsidRPr="000B04A4">
              <w:rPr>
                <w:rFonts w:ascii="宋体" w:hAnsi="宋体" w:cs="宋体" w:hint="eastAsia"/>
                <w:color w:val="000000"/>
                <w:kern w:val="0"/>
                <w:szCs w:val="21"/>
              </w:rPr>
              <w:br/>
              <w:t>3需PS-FI微电脑车载自检系统；</w:t>
            </w:r>
            <w:r w:rsidRPr="000B04A4">
              <w:rPr>
                <w:rFonts w:ascii="宋体" w:hAnsi="宋体" w:cs="宋体" w:hint="eastAsia"/>
                <w:color w:val="000000"/>
                <w:kern w:val="0"/>
                <w:szCs w:val="21"/>
              </w:rPr>
              <w:br/>
              <w:t>4需锥形金属车架，高强度精加工铸造合金铝轮；</w:t>
            </w:r>
            <w:r w:rsidRPr="000B04A4">
              <w:rPr>
                <w:rFonts w:ascii="宋体" w:hAnsi="宋体" w:cs="宋体" w:hint="eastAsia"/>
                <w:color w:val="000000"/>
                <w:kern w:val="0"/>
                <w:szCs w:val="21"/>
              </w:rPr>
              <w:br/>
              <w:t>5需辅助</w:t>
            </w:r>
            <w:proofErr w:type="gramStart"/>
            <w:r w:rsidRPr="000B04A4">
              <w:rPr>
                <w:rFonts w:ascii="宋体" w:hAnsi="宋体" w:cs="宋体" w:hint="eastAsia"/>
                <w:color w:val="000000"/>
                <w:kern w:val="0"/>
                <w:szCs w:val="21"/>
              </w:rPr>
              <w:t>灯保护</w:t>
            </w:r>
            <w:proofErr w:type="gramEnd"/>
            <w:r w:rsidRPr="000B04A4">
              <w:rPr>
                <w:rFonts w:ascii="宋体" w:hAnsi="宋体" w:cs="宋体" w:hint="eastAsia"/>
                <w:color w:val="000000"/>
                <w:kern w:val="0"/>
                <w:szCs w:val="21"/>
              </w:rPr>
              <w:t>方案集成系统，并预留高功率警用线束雾灯集成方案系统；</w:t>
            </w:r>
            <w:r w:rsidRPr="000B04A4">
              <w:rPr>
                <w:rFonts w:ascii="宋体" w:hAnsi="宋体" w:cs="宋体" w:hint="eastAsia"/>
                <w:color w:val="000000"/>
                <w:kern w:val="0"/>
                <w:szCs w:val="21"/>
              </w:rPr>
              <w:br/>
              <w:t>6需配置无级液压离合器，并预留使用电控无级离合器套件配合弥补因为改装增加的体重与轮胎的直径；</w:t>
            </w:r>
            <w:r w:rsidRPr="000B04A4">
              <w:rPr>
                <w:rFonts w:ascii="宋体" w:hAnsi="宋体" w:cs="宋体" w:hint="eastAsia"/>
                <w:color w:val="000000"/>
                <w:kern w:val="0"/>
                <w:szCs w:val="21"/>
              </w:rPr>
              <w:br/>
              <w:t>7需配置预留可调组合式工具包系统，允许用户自行调整离合器；</w:t>
            </w:r>
            <w:r w:rsidRPr="000B04A4">
              <w:rPr>
                <w:rFonts w:ascii="宋体" w:hAnsi="宋体" w:cs="宋体" w:hint="eastAsia"/>
                <w:color w:val="000000"/>
                <w:kern w:val="0"/>
                <w:szCs w:val="21"/>
              </w:rPr>
              <w:br/>
              <w:t>8需配置双层复合碳纤防爆油箱，可调节座椅，可调节转向系统；</w:t>
            </w:r>
          </w:p>
          <w:p w:rsidR="00A8251D" w:rsidRPr="000B04A4" w:rsidRDefault="00A8251D" w:rsidP="00D849C3">
            <w:pPr>
              <w:widowControl/>
              <w:jc w:val="left"/>
              <w:rPr>
                <w:rFonts w:ascii="宋体" w:hAnsi="宋体" w:cs="宋体"/>
                <w:color w:val="000000"/>
                <w:kern w:val="0"/>
                <w:szCs w:val="21"/>
              </w:rPr>
            </w:pPr>
            <w:r w:rsidRPr="000B04A4">
              <w:rPr>
                <w:rFonts w:ascii="宋体" w:hAnsi="宋体" w:cs="宋体"/>
                <w:color w:val="000000"/>
                <w:kern w:val="0"/>
                <w:szCs w:val="21"/>
              </w:rPr>
              <w:t>9</w:t>
            </w:r>
            <w:r w:rsidRPr="000B04A4">
              <w:rPr>
                <w:rFonts w:ascii="宋体" w:hAnsi="宋体" w:cs="宋体" w:hint="eastAsia"/>
                <w:color w:val="000000"/>
                <w:kern w:val="0"/>
                <w:szCs w:val="21"/>
              </w:rPr>
              <w:t>需采用LED液晶360冷光源HQCDJ</w:t>
            </w:r>
            <w:proofErr w:type="gramStart"/>
            <w:r w:rsidRPr="000B04A4">
              <w:rPr>
                <w:rFonts w:ascii="宋体" w:hAnsi="宋体" w:cs="宋体" w:hint="eastAsia"/>
                <w:color w:val="000000"/>
                <w:kern w:val="0"/>
                <w:szCs w:val="21"/>
              </w:rPr>
              <w:t>一</w:t>
            </w:r>
            <w:proofErr w:type="gramEnd"/>
            <w:r w:rsidRPr="000B04A4">
              <w:rPr>
                <w:rFonts w:ascii="宋体" w:hAnsi="宋体" w:cs="宋体" w:hint="eastAsia"/>
                <w:color w:val="000000"/>
                <w:kern w:val="0"/>
                <w:szCs w:val="21"/>
              </w:rPr>
              <w:t>体式顶置组合警具（寿命大于10W小时）；</w:t>
            </w:r>
            <w:r w:rsidRPr="000B04A4">
              <w:rPr>
                <w:rFonts w:ascii="宋体" w:hAnsi="宋体" w:cs="宋体" w:hint="eastAsia"/>
                <w:color w:val="000000"/>
                <w:kern w:val="0"/>
                <w:szCs w:val="21"/>
              </w:rPr>
              <w:br/>
              <w:t>10需预置GPS/北斗特种警用电台等专用系统集成解决方案；</w:t>
            </w:r>
            <w:r w:rsidRPr="000B04A4">
              <w:rPr>
                <w:rFonts w:ascii="宋体" w:hAnsi="宋体" w:cs="宋体" w:hint="eastAsia"/>
                <w:color w:val="000000"/>
                <w:kern w:val="0"/>
                <w:szCs w:val="21"/>
              </w:rPr>
              <w:br/>
              <w:t>11需采用LED液晶360冷光源HQCDJ前后</w:t>
            </w:r>
            <w:proofErr w:type="gramStart"/>
            <w:r w:rsidRPr="000B04A4">
              <w:rPr>
                <w:rFonts w:ascii="宋体" w:hAnsi="宋体" w:cs="宋体" w:hint="eastAsia"/>
                <w:color w:val="000000"/>
                <w:kern w:val="0"/>
                <w:szCs w:val="21"/>
              </w:rPr>
              <w:t>一</w:t>
            </w:r>
            <w:proofErr w:type="gramEnd"/>
            <w:r w:rsidRPr="000B04A4">
              <w:rPr>
                <w:rFonts w:ascii="宋体" w:hAnsi="宋体" w:cs="宋体" w:hint="eastAsia"/>
                <w:color w:val="000000"/>
                <w:kern w:val="0"/>
                <w:szCs w:val="21"/>
              </w:rPr>
              <w:t>体式组合警具（寿命大于10W小时）；</w:t>
            </w:r>
            <w:r w:rsidRPr="000B04A4">
              <w:rPr>
                <w:rFonts w:ascii="宋体" w:hAnsi="宋体" w:cs="宋体" w:hint="eastAsia"/>
                <w:color w:val="000000"/>
                <w:kern w:val="0"/>
                <w:szCs w:val="21"/>
              </w:rPr>
              <w:br/>
              <w:t>12需</w:t>
            </w:r>
            <w:proofErr w:type="gramStart"/>
            <w:r w:rsidRPr="000B04A4">
              <w:rPr>
                <w:rFonts w:ascii="宋体" w:hAnsi="宋体" w:cs="宋体" w:hint="eastAsia"/>
                <w:color w:val="000000"/>
                <w:kern w:val="0"/>
                <w:szCs w:val="21"/>
              </w:rPr>
              <w:t>预置备留车载</w:t>
            </w:r>
            <w:proofErr w:type="gramEnd"/>
            <w:r w:rsidRPr="000B04A4">
              <w:rPr>
                <w:rFonts w:ascii="宋体" w:hAnsi="宋体" w:cs="宋体" w:hint="eastAsia"/>
                <w:color w:val="000000"/>
                <w:kern w:val="0"/>
                <w:szCs w:val="21"/>
              </w:rPr>
              <w:t>监控（包括云台、显示录像、4G、5G传输）等系统集成解决方案</w:t>
            </w:r>
          </w:p>
          <w:p w:rsidR="00A8251D" w:rsidRPr="000B04A4" w:rsidRDefault="00A8251D" w:rsidP="00D849C3">
            <w:pPr>
              <w:widowControl/>
              <w:jc w:val="left"/>
              <w:rPr>
                <w:rFonts w:ascii="宋体" w:hAnsi="宋体" w:cs="宋体"/>
                <w:color w:val="000000"/>
                <w:kern w:val="0"/>
                <w:szCs w:val="21"/>
              </w:rPr>
            </w:pPr>
            <w:r w:rsidRPr="000B04A4">
              <w:rPr>
                <w:rFonts w:ascii="宋体" w:hAnsi="宋体" w:cs="宋体" w:hint="eastAsia"/>
                <w:color w:val="000000"/>
                <w:kern w:val="0"/>
                <w:szCs w:val="21"/>
              </w:rPr>
              <w:t>13需配置特种警用单车装备集成预置解决方案系统；</w:t>
            </w:r>
          </w:p>
          <w:p w:rsidR="00A8251D" w:rsidRPr="000B04A4" w:rsidRDefault="00A8251D" w:rsidP="00D849C3">
            <w:pPr>
              <w:widowControl/>
              <w:jc w:val="left"/>
              <w:rPr>
                <w:rFonts w:ascii="宋体" w:hAnsi="宋体" w:cs="宋体"/>
                <w:color w:val="000000"/>
                <w:kern w:val="0"/>
                <w:szCs w:val="21"/>
              </w:rPr>
            </w:pPr>
            <w:r w:rsidRPr="000B04A4">
              <w:rPr>
                <w:rFonts w:ascii="宋体" w:hAnsi="宋体" w:cs="宋体" w:hint="eastAsia"/>
                <w:color w:val="000000"/>
                <w:kern w:val="0"/>
                <w:szCs w:val="21"/>
              </w:rPr>
              <w:t>14装备所有警具、线索、接插件需实施定制改造，并预留改装升级方案（以配合各使用单位数字传输网络的配套实施）；</w:t>
            </w:r>
          </w:p>
          <w:p w:rsidR="00A8251D" w:rsidRPr="000B04A4" w:rsidRDefault="00A8251D" w:rsidP="00D849C3">
            <w:pPr>
              <w:widowControl/>
              <w:jc w:val="left"/>
              <w:rPr>
                <w:rFonts w:ascii="宋体" w:hAnsi="宋体" w:cs="宋体"/>
                <w:color w:val="000000"/>
                <w:kern w:val="0"/>
                <w:szCs w:val="21"/>
              </w:rPr>
            </w:pPr>
            <w:r w:rsidRPr="000B04A4">
              <w:rPr>
                <w:rFonts w:ascii="宋体" w:hAnsi="宋体" w:cs="宋体" w:hint="eastAsia"/>
                <w:color w:val="000000"/>
                <w:kern w:val="0"/>
                <w:szCs w:val="21"/>
              </w:rPr>
              <w:t>15需装备后尾箱、3M钻石级覆膜</w:t>
            </w:r>
          </w:p>
          <w:p w:rsidR="00A8251D" w:rsidRPr="000B04A4" w:rsidRDefault="00A8251D" w:rsidP="00D849C3">
            <w:pPr>
              <w:widowControl/>
              <w:jc w:val="left"/>
              <w:rPr>
                <w:rFonts w:ascii="宋体" w:hAnsi="宋体" w:cs="宋体"/>
                <w:color w:val="000000"/>
                <w:kern w:val="0"/>
                <w:szCs w:val="21"/>
              </w:rPr>
            </w:pPr>
            <w:r w:rsidRPr="000B04A4">
              <w:rPr>
                <w:rFonts w:ascii="宋体" w:hAnsi="宋体" w:cs="宋体"/>
                <w:color w:val="000000"/>
                <w:kern w:val="0"/>
                <w:szCs w:val="21"/>
              </w:rPr>
              <w:t>16</w:t>
            </w:r>
            <w:r w:rsidRPr="000B04A4">
              <w:rPr>
                <w:rFonts w:ascii="宋体" w:hAnsi="宋体" w:cs="宋体" w:hint="eastAsia"/>
                <w:color w:val="000000"/>
                <w:kern w:val="0"/>
                <w:szCs w:val="21"/>
              </w:rPr>
              <w:t>配备高中低亮度</w:t>
            </w:r>
            <w:proofErr w:type="gramStart"/>
            <w:r w:rsidRPr="000B04A4">
              <w:rPr>
                <w:rFonts w:ascii="宋体" w:hAnsi="宋体" w:cs="宋体" w:hint="eastAsia"/>
                <w:color w:val="000000"/>
                <w:kern w:val="0"/>
                <w:szCs w:val="21"/>
              </w:rPr>
              <w:t>变频爆闪系统</w:t>
            </w:r>
            <w:proofErr w:type="gramEnd"/>
          </w:p>
          <w:p w:rsidR="00A8251D" w:rsidRPr="000B04A4" w:rsidRDefault="00A8251D" w:rsidP="00D849C3">
            <w:pPr>
              <w:wordWrap w:val="0"/>
              <w:snapToGrid w:val="0"/>
              <w:rPr>
                <w:rFonts w:ascii="宋体" w:hAnsi="宋体"/>
                <w:color w:val="000000"/>
                <w:szCs w:val="21"/>
              </w:rPr>
            </w:pPr>
            <w:r w:rsidRPr="000B04A4">
              <w:rPr>
                <w:rFonts w:ascii="宋体" w:hAnsi="宋体" w:cs="宋体"/>
                <w:color w:val="000000"/>
                <w:kern w:val="0"/>
                <w:szCs w:val="21"/>
              </w:rPr>
              <w:lastRenderedPageBreak/>
              <w:t>17</w:t>
            </w:r>
            <w:r w:rsidRPr="000B04A4">
              <w:rPr>
                <w:rFonts w:ascii="宋体" w:hAnsi="宋体" w:cs="宋体" w:hint="eastAsia"/>
                <w:color w:val="000000"/>
                <w:kern w:val="0"/>
                <w:szCs w:val="21"/>
              </w:rPr>
              <w:t>此</w:t>
            </w:r>
            <w:proofErr w:type="gramStart"/>
            <w:r w:rsidRPr="000B04A4">
              <w:rPr>
                <w:rFonts w:ascii="宋体" w:hAnsi="宋体" w:cs="宋体" w:hint="eastAsia"/>
                <w:color w:val="000000"/>
                <w:kern w:val="0"/>
                <w:szCs w:val="21"/>
              </w:rPr>
              <w:t>装备按</w:t>
            </w:r>
            <w:proofErr w:type="gramEnd"/>
            <w:r w:rsidRPr="000B04A4">
              <w:rPr>
                <w:rFonts w:ascii="宋体" w:hAnsi="宋体" w:cs="宋体" w:hint="eastAsia"/>
                <w:color w:val="000000"/>
                <w:kern w:val="0"/>
                <w:szCs w:val="21"/>
              </w:rPr>
              <w:t>19公安部新标准制式执行；</w:t>
            </w:r>
          </w:p>
        </w:tc>
      </w:tr>
    </w:tbl>
    <w:p w:rsidR="00A8251D" w:rsidRPr="000B04A4" w:rsidRDefault="00A8251D" w:rsidP="00A8251D">
      <w:pPr>
        <w:spacing w:line="400" w:lineRule="exact"/>
        <w:rPr>
          <w:rFonts w:ascii="宋体" w:hAnsi="宋体" w:cs="仿宋" w:hint="eastAsia"/>
          <w:b/>
          <w:bCs/>
          <w:color w:val="000000"/>
          <w:szCs w:val="21"/>
        </w:rPr>
      </w:pPr>
      <w:r w:rsidRPr="000B04A4">
        <w:rPr>
          <w:rFonts w:ascii="宋体" w:hAnsi="宋体" w:cs="仿宋" w:hint="eastAsia"/>
          <w:b/>
          <w:bCs/>
          <w:color w:val="000000"/>
          <w:szCs w:val="21"/>
        </w:rPr>
        <w:lastRenderedPageBreak/>
        <w:t>说明：</w:t>
      </w:r>
    </w:p>
    <w:p w:rsidR="00A8251D" w:rsidRPr="000B04A4" w:rsidRDefault="00A8251D" w:rsidP="00A8251D">
      <w:pPr>
        <w:spacing w:line="400" w:lineRule="exact"/>
        <w:ind w:firstLineChars="200" w:firstLine="422"/>
        <w:rPr>
          <w:rFonts w:ascii="宋体" w:hAnsi="宋体" w:cs="宋体" w:hint="eastAsia"/>
          <w:color w:val="000000"/>
          <w:kern w:val="0"/>
          <w:szCs w:val="21"/>
        </w:rPr>
      </w:pPr>
      <w:r w:rsidRPr="000B04A4">
        <w:rPr>
          <w:rFonts w:ascii="宋体" w:hAnsi="宋体" w:cs="仿宋" w:hint="eastAsia"/>
          <w:b/>
          <w:bCs/>
          <w:color w:val="000000"/>
          <w:szCs w:val="21"/>
        </w:rPr>
        <w:t>1、</w:t>
      </w:r>
      <w:r w:rsidRPr="000B04A4">
        <w:rPr>
          <w:rFonts w:ascii="宋体" w:hAnsi="宋体" w:hint="eastAsia"/>
          <w:b/>
          <w:color w:val="000000"/>
          <w:szCs w:val="21"/>
        </w:rPr>
        <w:t>本项目已通过</w:t>
      </w:r>
      <w:r w:rsidRPr="000B04A4">
        <w:rPr>
          <w:rFonts w:ascii="宋体" w:hAnsi="宋体" w:cs="宋体" w:hint="eastAsia"/>
          <w:b/>
          <w:color w:val="000000"/>
          <w:kern w:val="0"/>
          <w:szCs w:val="21"/>
        </w:rPr>
        <w:t>财政部门审核同意购买进口产品，供应商可以以进口产品参加投标。</w:t>
      </w:r>
    </w:p>
    <w:p w:rsidR="00A8251D" w:rsidRPr="000B04A4" w:rsidRDefault="00A8251D" w:rsidP="00A8251D">
      <w:pPr>
        <w:spacing w:line="400" w:lineRule="exact"/>
        <w:ind w:firstLineChars="200" w:firstLine="420"/>
        <w:rPr>
          <w:rFonts w:ascii="宋体" w:hAnsi="宋体" w:cs="宋体" w:hint="eastAsia"/>
          <w:color w:val="000000"/>
          <w:kern w:val="0"/>
          <w:szCs w:val="21"/>
        </w:rPr>
      </w:pPr>
      <w:r w:rsidRPr="000B04A4">
        <w:rPr>
          <w:rFonts w:ascii="宋体" w:hAnsi="宋体" w:cs="宋体" w:hint="eastAsia"/>
          <w:color w:val="000000"/>
          <w:kern w:val="0"/>
          <w:szCs w:val="21"/>
        </w:rPr>
        <w:t>2、</w:t>
      </w:r>
      <w:r w:rsidRPr="000B04A4">
        <w:rPr>
          <w:rFonts w:ascii="宋体" w:hAnsi="宋体" w:cs="仿宋" w:hint="eastAsia"/>
          <w:b/>
          <w:bCs/>
          <w:color w:val="000000"/>
          <w:szCs w:val="21"/>
          <w:lang w:val="zh-TW"/>
        </w:rPr>
        <w:t>投标人投标报价须包含：车价、装卸费用、运输费用及杂费、改装升级部分费用以及免费维修维护费用等不可预见费用（无论是否标出，均视为包含）。中标人需安排专人提供上牌协助服务。</w:t>
      </w:r>
    </w:p>
    <w:p w:rsidR="00A8251D" w:rsidRPr="000B04A4" w:rsidRDefault="00A8251D" w:rsidP="00A8251D">
      <w:pPr>
        <w:spacing w:line="400" w:lineRule="exact"/>
        <w:ind w:firstLineChars="200" w:firstLine="422"/>
        <w:rPr>
          <w:rFonts w:ascii="宋体" w:hAnsi="宋体"/>
          <w:b/>
          <w:color w:val="000000"/>
          <w:szCs w:val="21"/>
        </w:rPr>
      </w:pPr>
      <w:r w:rsidRPr="000B04A4">
        <w:rPr>
          <w:rFonts w:ascii="宋体" w:hAnsi="宋体" w:hint="eastAsia"/>
          <w:b/>
          <w:color w:val="000000"/>
          <w:szCs w:val="21"/>
        </w:rPr>
        <w:t>二、采购内容的质量、技术和服务等要求</w:t>
      </w:r>
    </w:p>
    <w:p w:rsidR="00A8251D" w:rsidRPr="000B04A4" w:rsidRDefault="00A8251D" w:rsidP="00A8251D">
      <w:pPr>
        <w:spacing w:line="400" w:lineRule="exact"/>
        <w:ind w:firstLineChars="200" w:firstLine="420"/>
        <w:jc w:val="left"/>
        <w:rPr>
          <w:rFonts w:ascii="宋体" w:hAnsi="宋体" w:hint="eastAsia"/>
          <w:color w:val="000000"/>
          <w:szCs w:val="21"/>
        </w:rPr>
      </w:pPr>
      <w:r w:rsidRPr="000B04A4">
        <w:rPr>
          <w:rFonts w:ascii="宋体" w:hAnsi="宋体" w:hint="eastAsia"/>
          <w:color w:val="000000"/>
          <w:szCs w:val="21"/>
        </w:rPr>
        <w:t>（1）采购文件中的采购要求为主要要求或最低要求。供应商投标货物须</w:t>
      </w:r>
      <w:r w:rsidRPr="000B04A4">
        <w:rPr>
          <w:rFonts w:ascii="宋体" w:hAnsi="宋体"/>
          <w:color w:val="000000"/>
          <w:szCs w:val="21"/>
        </w:rPr>
        <w:t>是全新的、未使用过的、原包装未拆封的商品，完全符合采购设备规定的质量、规格和性能的要求</w:t>
      </w:r>
      <w:r w:rsidRPr="000B04A4">
        <w:rPr>
          <w:rFonts w:ascii="宋体" w:hAnsi="宋体" w:hint="eastAsia"/>
          <w:color w:val="000000"/>
          <w:szCs w:val="21"/>
        </w:rPr>
        <w:t>。中标人</w:t>
      </w:r>
      <w:r w:rsidRPr="000B04A4">
        <w:rPr>
          <w:rFonts w:ascii="宋体" w:hAnsi="宋体"/>
          <w:color w:val="000000"/>
          <w:szCs w:val="21"/>
        </w:rPr>
        <w:t>应保证其提供的设备在正确安装、正常使用和保养条件下，在规定的使用寿命期内具有满意的性能。</w:t>
      </w:r>
    </w:p>
    <w:p w:rsidR="00A8251D" w:rsidRPr="000B04A4" w:rsidRDefault="00A8251D" w:rsidP="00A8251D">
      <w:pPr>
        <w:spacing w:line="400" w:lineRule="exact"/>
        <w:ind w:firstLineChars="200" w:firstLine="420"/>
        <w:jc w:val="left"/>
        <w:rPr>
          <w:rFonts w:ascii="宋体" w:hAnsi="宋体" w:cs="宋体" w:hint="eastAsia"/>
          <w:color w:val="000000"/>
          <w:szCs w:val="21"/>
        </w:rPr>
      </w:pPr>
      <w:r w:rsidRPr="000B04A4">
        <w:rPr>
          <w:rFonts w:ascii="宋体" w:hAnsi="宋体" w:hint="eastAsia"/>
          <w:color w:val="000000"/>
          <w:szCs w:val="21"/>
        </w:rPr>
        <w:t>（2）中标人</w:t>
      </w:r>
      <w:r w:rsidRPr="000B04A4">
        <w:rPr>
          <w:rFonts w:ascii="宋体" w:hAnsi="宋体" w:cs="宋体" w:hint="eastAsia"/>
          <w:color w:val="000000"/>
          <w:szCs w:val="21"/>
        </w:rPr>
        <w:t>所提供货物（含辅材等）及其有关的服务、工程（施工）质量（技术标准）等与采购内容有关的所有事宜均必须符合国家相关标准（强制性标准）、各项规范要求；国家没有相应标准、规范的，可使用行业标准、规定以及江苏省、盐城市相应地方规范、相关厂家的技术规范的有关要求执行。</w:t>
      </w:r>
    </w:p>
    <w:p w:rsidR="00A8251D" w:rsidRPr="000B04A4" w:rsidRDefault="00A8251D" w:rsidP="00A8251D">
      <w:pPr>
        <w:spacing w:line="400" w:lineRule="exact"/>
        <w:ind w:firstLineChars="200" w:firstLine="420"/>
        <w:jc w:val="left"/>
        <w:rPr>
          <w:rFonts w:ascii="宋体" w:hAnsi="宋体" w:cs="宋体"/>
          <w:color w:val="000000"/>
          <w:szCs w:val="21"/>
        </w:rPr>
      </w:pPr>
      <w:r w:rsidRPr="000B04A4">
        <w:rPr>
          <w:rFonts w:ascii="宋体" w:hAnsi="宋体" w:cs="宋体" w:hint="eastAsia"/>
          <w:color w:val="000000"/>
          <w:szCs w:val="21"/>
        </w:rPr>
        <w:t>如果在合同履行过程中有新的国家或行业（部）规范和标准出台的，</w:t>
      </w:r>
      <w:r w:rsidRPr="000B04A4">
        <w:rPr>
          <w:rFonts w:ascii="宋体" w:hAnsi="宋体" w:hint="eastAsia"/>
          <w:color w:val="000000"/>
          <w:szCs w:val="21"/>
        </w:rPr>
        <w:t>中标人</w:t>
      </w:r>
      <w:r w:rsidRPr="000B04A4">
        <w:rPr>
          <w:rFonts w:ascii="宋体" w:hAnsi="宋体" w:cs="宋体" w:hint="eastAsia"/>
          <w:color w:val="000000"/>
          <w:szCs w:val="21"/>
        </w:rPr>
        <w:t>应确保该合同产品达到并符合新的国家或行业（部）规范和标准。因此而增加的费用及风险已经包含在合同总价中。</w:t>
      </w:r>
    </w:p>
    <w:p w:rsidR="00A8251D" w:rsidRPr="000B04A4" w:rsidRDefault="00A8251D" w:rsidP="00A8251D">
      <w:pPr>
        <w:numPr>
          <w:ilvl w:val="0"/>
          <w:numId w:val="1"/>
        </w:numPr>
        <w:spacing w:line="400" w:lineRule="exact"/>
        <w:ind w:firstLineChars="200" w:firstLine="420"/>
        <w:rPr>
          <w:rFonts w:ascii="宋体" w:hAnsi="宋体" w:hint="eastAsia"/>
          <w:bCs/>
          <w:color w:val="000000"/>
          <w:szCs w:val="21"/>
        </w:rPr>
      </w:pPr>
      <w:r w:rsidRPr="000B04A4">
        <w:rPr>
          <w:rFonts w:ascii="宋体" w:hAnsi="宋体" w:hint="eastAsia"/>
          <w:color w:val="000000"/>
          <w:szCs w:val="21"/>
        </w:rPr>
        <w:t>售后服务要求：</w:t>
      </w:r>
      <w:r w:rsidRPr="000B04A4">
        <w:rPr>
          <w:rFonts w:ascii="宋体" w:hAnsi="宋体" w:cs="仿宋" w:hint="eastAsia"/>
          <w:bCs/>
          <w:color w:val="000000"/>
          <w:szCs w:val="21"/>
          <w:lang w:val="zh-TW"/>
        </w:rPr>
        <w:t>质保期</w:t>
      </w:r>
      <w:r w:rsidRPr="000B04A4">
        <w:rPr>
          <w:rFonts w:ascii="宋体" w:hAnsi="宋体" w:hint="eastAsia"/>
          <w:bCs/>
          <w:color w:val="000000"/>
          <w:szCs w:val="21"/>
        </w:rPr>
        <w:t>（免费质量保证期）</w:t>
      </w:r>
      <w:r w:rsidRPr="000B04A4">
        <w:rPr>
          <w:rFonts w:ascii="宋体" w:hAnsi="宋体" w:cs="仿宋" w:hint="eastAsia"/>
          <w:bCs/>
          <w:color w:val="000000"/>
          <w:szCs w:val="21"/>
          <w:lang w:val="zh-TW"/>
        </w:rPr>
        <w:t>为</w:t>
      </w:r>
      <w:r w:rsidRPr="000B04A4">
        <w:rPr>
          <w:rFonts w:ascii="宋体" w:hAnsi="宋体" w:cs="仿宋" w:hint="eastAsia"/>
          <w:bCs/>
          <w:color w:val="000000"/>
          <w:szCs w:val="21"/>
          <w:u w:val="single"/>
        </w:rPr>
        <w:t>2</w:t>
      </w:r>
      <w:r w:rsidRPr="000B04A4">
        <w:rPr>
          <w:rFonts w:ascii="宋体" w:hAnsi="宋体" w:cs="仿宋" w:hint="eastAsia"/>
          <w:bCs/>
          <w:color w:val="000000"/>
          <w:szCs w:val="21"/>
        </w:rPr>
        <w:t>年</w:t>
      </w:r>
      <w:r w:rsidRPr="000B04A4">
        <w:rPr>
          <w:rFonts w:ascii="宋体" w:hAnsi="宋体" w:cs="仿宋" w:hint="eastAsia"/>
          <w:bCs/>
          <w:color w:val="000000"/>
          <w:szCs w:val="21"/>
          <w:lang w:val="zh-TW"/>
        </w:rPr>
        <w:t>，质保期</w:t>
      </w:r>
      <w:r w:rsidRPr="000B04A4">
        <w:rPr>
          <w:rFonts w:ascii="宋体" w:hAnsi="宋体" w:hint="eastAsia"/>
          <w:bCs/>
          <w:color w:val="000000"/>
          <w:szCs w:val="21"/>
        </w:rPr>
        <w:t>内（自验收合格之日起计算），在维修期间，中标人须免费向采购人提供相关备件（须达到采购人使用需要）。</w:t>
      </w:r>
      <w:r w:rsidRPr="000B04A4">
        <w:rPr>
          <w:rFonts w:ascii="宋体" w:hAnsi="宋体" w:cs="仿宋" w:hint="eastAsia"/>
          <w:bCs/>
          <w:color w:val="000000"/>
          <w:szCs w:val="21"/>
          <w:lang w:val="zh-TW"/>
        </w:rPr>
        <w:t>质保期内，采购人有大型活动时，</w:t>
      </w:r>
      <w:r w:rsidRPr="000B04A4">
        <w:rPr>
          <w:rFonts w:ascii="宋体" w:hAnsi="宋体" w:hint="eastAsia"/>
          <w:color w:val="000000"/>
          <w:szCs w:val="21"/>
        </w:rPr>
        <w:t>中标人</w:t>
      </w:r>
      <w:r w:rsidRPr="000B04A4">
        <w:rPr>
          <w:rFonts w:ascii="宋体" w:hAnsi="宋体" w:cs="仿宋" w:hint="eastAsia"/>
          <w:bCs/>
          <w:color w:val="000000"/>
          <w:szCs w:val="21"/>
          <w:lang w:val="zh-TW"/>
        </w:rPr>
        <w:t>需免费提供（质保期内免费，质保期后按成本单次计费）随行保障服务（不少于2名专业修理人员）。</w:t>
      </w:r>
    </w:p>
    <w:p w:rsidR="00A8251D" w:rsidRPr="00A8251D" w:rsidRDefault="00A8251D" w:rsidP="00A8251D">
      <w:pPr>
        <w:jc w:val="center"/>
        <w:rPr>
          <w:sz w:val="32"/>
          <w:szCs w:val="32"/>
        </w:rPr>
      </w:pPr>
    </w:p>
    <w:sectPr w:rsidR="00A8251D" w:rsidRPr="00A8251D" w:rsidSect="001768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A7" w:rsidRDefault="003C6EA7" w:rsidP="00A8251D">
      <w:r>
        <w:separator/>
      </w:r>
    </w:p>
  </w:endnote>
  <w:endnote w:type="continuationSeparator" w:id="0">
    <w:p w:rsidR="003C6EA7" w:rsidRDefault="003C6EA7" w:rsidP="00A82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A7" w:rsidRDefault="003C6EA7" w:rsidP="00A8251D">
      <w:r>
        <w:separator/>
      </w:r>
    </w:p>
  </w:footnote>
  <w:footnote w:type="continuationSeparator" w:id="0">
    <w:p w:rsidR="003C6EA7" w:rsidRDefault="003C6EA7" w:rsidP="00A82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69A50B"/>
    <w:multiLevelType w:val="singleLevel"/>
    <w:tmpl w:val="9269A50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51D"/>
    <w:rsid w:val="00176896"/>
    <w:rsid w:val="003C6EA7"/>
    <w:rsid w:val="00A8251D"/>
    <w:rsid w:val="00F62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51D"/>
    <w:rPr>
      <w:sz w:val="18"/>
      <w:szCs w:val="18"/>
    </w:rPr>
  </w:style>
  <w:style w:type="paragraph" w:styleId="a4">
    <w:name w:val="footer"/>
    <w:basedOn w:val="a"/>
    <w:link w:val="Char0"/>
    <w:uiPriority w:val="99"/>
    <w:semiHidden/>
    <w:unhideWhenUsed/>
    <w:rsid w:val="00A825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5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盐城市公安局(填报)</dc:creator>
  <cp:keywords/>
  <dc:description/>
  <cp:lastModifiedBy>盐城市公安局(填报)</cp:lastModifiedBy>
  <cp:revision>2</cp:revision>
  <dcterms:created xsi:type="dcterms:W3CDTF">2019-12-31T06:52:00Z</dcterms:created>
  <dcterms:modified xsi:type="dcterms:W3CDTF">2019-12-31T06:53:00Z</dcterms:modified>
</cp:coreProperties>
</file>