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36" w:rsidRDefault="007C5836" w:rsidP="007C5836">
      <w:pPr>
        <w:ind w:left="561"/>
        <w:jc w:val="center"/>
        <w:rPr>
          <w:rFonts w:ascii="楷体_GB2312" w:eastAsia="楷体_GB2312"/>
          <w:sz w:val="40"/>
          <w:szCs w:val="44"/>
        </w:rPr>
      </w:pPr>
      <w:r>
        <w:rPr>
          <w:rFonts w:ascii="方正小标宋简体" w:eastAsia="方正小标宋简体" w:hint="eastAsia"/>
          <w:sz w:val="40"/>
          <w:szCs w:val="44"/>
        </w:rPr>
        <w:t>报价单及有关承诺、说明</w:t>
      </w:r>
    </w:p>
    <w:p w:rsidR="007C5836" w:rsidRDefault="007C5836" w:rsidP="007C5836">
      <w:pPr>
        <w:snapToGrid w:val="0"/>
        <w:ind w:firstLineChars="50" w:firstLine="105"/>
        <w:rPr>
          <w:rFonts w:hAnsi="宋体"/>
          <w:b/>
          <w:sz w:val="21"/>
          <w:szCs w:val="21"/>
        </w:rPr>
      </w:pPr>
      <w:r>
        <w:rPr>
          <w:rFonts w:hAnsi="宋体" w:hint="eastAsia"/>
          <w:b/>
          <w:sz w:val="21"/>
          <w:szCs w:val="21"/>
        </w:rPr>
        <w:t>采购人：</w:t>
      </w:r>
    </w:p>
    <w:p w:rsidR="007C5836" w:rsidRDefault="007C5836" w:rsidP="007C5836">
      <w:pPr>
        <w:snapToGrid w:val="0"/>
        <w:ind w:firstLineChars="200" w:firstLine="480"/>
        <w:rPr>
          <w:b/>
          <w:bCs/>
          <w:sz w:val="28"/>
          <w:szCs w:val="28"/>
        </w:rPr>
      </w:pPr>
      <w:r>
        <w:rPr>
          <w:rFonts w:hint="eastAsia"/>
        </w:rPr>
        <w:t xml:space="preserve">我单位愿意按照本询价文件（  </w:t>
      </w:r>
      <w:r w:rsidRPr="00EB629C">
        <w:rPr>
          <w:rFonts w:hint="eastAsia"/>
        </w:rPr>
        <w:t>盐城市亭湖高级中学校园网络升级维护</w:t>
      </w:r>
      <w:r>
        <w:rPr>
          <w:rFonts w:hint="eastAsia"/>
        </w:rPr>
        <w:t>）的要求和下面的报价提供所需商品和服务，并保证所供商品为原厂原配产品。</w:t>
      </w:r>
    </w:p>
    <w:p w:rsidR="007C5836" w:rsidRDefault="007C5836" w:rsidP="007C5836">
      <w:pPr>
        <w:snapToGrid w:val="0"/>
        <w:spacing w:beforeLines="50"/>
        <w:rPr>
          <w:rFonts w:ascii="黑体" w:eastAsia="黑体"/>
          <w:szCs w:val="21"/>
        </w:rPr>
      </w:pPr>
      <w:r>
        <w:rPr>
          <w:rFonts w:hint="eastAsia"/>
        </w:rPr>
        <w:t>一、</w:t>
      </w:r>
      <w:r>
        <w:rPr>
          <w:rFonts w:hint="eastAsia"/>
          <w:u w:val="single"/>
        </w:rPr>
        <w:t>产品</w:t>
      </w:r>
      <w:r>
        <w:rPr>
          <w:rFonts w:hint="eastAsia"/>
        </w:rPr>
        <w:t>报价单</w:t>
      </w:r>
      <w:r>
        <w:rPr>
          <w:rFonts w:hint="eastAsia"/>
          <w:szCs w:val="21"/>
        </w:rPr>
        <w:t xml:space="preserve"> 货币单位：人民币元</w:t>
      </w:r>
    </w:p>
    <w:tbl>
      <w:tblPr>
        <w:tblW w:w="1399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260"/>
        <w:gridCol w:w="412"/>
        <w:gridCol w:w="458"/>
        <w:gridCol w:w="352"/>
        <w:gridCol w:w="103"/>
        <w:gridCol w:w="1371"/>
        <w:gridCol w:w="7687"/>
        <w:gridCol w:w="487"/>
        <w:gridCol w:w="741"/>
        <w:gridCol w:w="741"/>
        <w:gridCol w:w="816"/>
      </w:tblGrid>
      <w:tr w:rsidR="007C5836" w:rsidTr="00CE43B4">
        <w:trPr>
          <w:cantSplit/>
          <w:trHeight w:val="567"/>
        </w:trPr>
        <w:tc>
          <w:tcPr>
            <w:tcW w:w="754" w:type="dxa"/>
            <w:vAlign w:val="center"/>
          </w:tcPr>
          <w:p w:rsidR="007C5836" w:rsidRDefault="007C5836" w:rsidP="007C5836">
            <w:pPr>
              <w:snapToGrid w:val="0"/>
              <w:spacing w:beforeLines="50"/>
              <w:jc w:val="center"/>
              <w:rPr>
                <w:rFonts w:ascii="黑体" w:eastAsia="黑体"/>
                <w:sz w:val="21"/>
                <w:szCs w:val="21"/>
              </w:rPr>
            </w:pPr>
            <w:r>
              <w:rPr>
                <w:rFonts w:ascii="黑体" w:eastAsia="黑体" w:hint="eastAsia"/>
                <w:sz w:val="21"/>
                <w:szCs w:val="21"/>
              </w:rPr>
              <w:t>采购号</w:t>
            </w:r>
          </w:p>
        </w:tc>
        <w:tc>
          <w:tcPr>
            <w:tcW w:w="992" w:type="dxa"/>
            <w:gridSpan w:val="2"/>
            <w:vAlign w:val="center"/>
          </w:tcPr>
          <w:p w:rsidR="007C5836" w:rsidRDefault="007C5836" w:rsidP="007C5836">
            <w:pPr>
              <w:snapToGrid w:val="0"/>
              <w:spacing w:beforeLines="50"/>
              <w:jc w:val="center"/>
              <w:rPr>
                <w:rFonts w:ascii="黑体" w:eastAsia="黑体"/>
                <w:sz w:val="21"/>
                <w:szCs w:val="21"/>
              </w:rPr>
            </w:pPr>
            <w:r>
              <w:rPr>
                <w:rFonts w:ascii="黑体" w:eastAsia="黑体" w:hint="eastAsia"/>
                <w:sz w:val="21"/>
                <w:szCs w:val="21"/>
              </w:rPr>
              <w:t>采购商品</w:t>
            </w:r>
          </w:p>
        </w:tc>
        <w:tc>
          <w:tcPr>
            <w:tcW w:w="992" w:type="dxa"/>
            <w:gridSpan w:val="2"/>
            <w:vAlign w:val="center"/>
          </w:tcPr>
          <w:p w:rsidR="007C5836" w:rsidRDefault="007C5836" w:rsidP="007C5836">
            <w:pPr>
              <w:snapToGrid w:val="0"/>
              <w:spacing w:beforeLines="50"/>
              <w:jc w:val="center"/>
              <w:rPr>
                <w:rFonts w:ascii="黑体" w:eastAsia="黑体"/>
                <w:sz w:val="21"/>
                <w:szCs w:val="21"/>
              </w:rPr>
            </w:pPr>
            <w:r>
              <w:rPr>
                <w:rFonts w:ascii="黑体" w:eastAsia="黑体" w:hint="eastAsia"/>
                <w:sz w:val="21"/>
                <w:szCs w:val="21"/>
              </w:rPr>
              <w:t>品牌</w:t>
            </w:r>
          </w:p>
        </w:tc>
        <w:tc>
          <w:tcPr>
            <w:tcW w:w="709" w:type="dxa"/>
            <w:gridSpan w:val="2"/>
            <w:vAlign w:val="center"/>
          </w:tcPr>
          <w:p w:rsidR="007C5836" w:rsidRDefault="007C5836" w:rsidP="007C5836">
            <w:pPr>
              <w:snapToGrid w:val="0"/>
              <w:spacing w:beforeLines="50"/>
              <w:jc w:val="center"/>
              <w:rPr>
                <w:rFonts w:ascii="黑体" w:eastAsia="黑体"/>
                <w:sz w:val="21"/>
                <w:szCs w:val="21"/>
              </w:rPr>
            </w:pPr>
            <w:r>
              <w:rPr>
                <w:rFonts w:ascii="黑体" w:eastAsia="黑体" w:hint="eastAsia"/>
                <w:sz w:val="21"/>
                <w:szCs w:val="21"/>
              </w:rPr>
              <w:t>型号</w:t>
            </w:r>
          </w:p>
        </w:tc>
        <w:tc>
          <w:tcPr>
            <w:tcW w:w="7513" w:type="dxa"/>
            <w:vAlign w:val="center"/>
          </w:tcPr>
          <w:p w:rsidR="007C5836" w:rsidRDefault="007C5836" w:rsidP="007C5836">
            <w:pPr>
              <w:snapToGrid w:val="0"/>
              <w:spacing w:beforeLines="50"/>
              <w:jc w:val="center"/>
              <w:rPr>
                <w:rFonts w:ascii="黑体" w:eastAsia="黑体"/>
                <w:sz w:val="21"/>
                <w:szCs w:val="21"/>
              </w:rPr>
            </w:pPr>
            <w:r>
              <w:rPr>
                <w:rFonts w:ascii="黑体" w:eastAsia="黑体" w:hint="eastAsia"/>
                <w:sz w:val="21"/>
                <w:szCs w:val="21"/>
              </w:rPr>
              <w:t>配置参数相关说明</w:t>
            </w:r>
            <w:r>
              <w:rPr>
                <w:rFonts w:ascii="黑体" w:eastAsia="黑体" w:hAnsi="黑体" w:hint="eastAsia"/>
                <w:sz w:val="21"/>
                <w:szCs w:val="21"/>
              </w:rPr>
              <w:t>（可附页）</w:t>
            </w:r>
          </w:p>
        </w:tc>
        <w:tc>
          <w:tcPr>
            <w:tcW w:w="567" w:type="dxa"/>
            <w:vAlign w:val="center"/>
          </w:tcPr>
          <w:p w:rsidR="007C5836" w:rsidRDefault="007C5836" w:rsidP="007C5836">
            <w:pPr>
              <w:snapToGrid w:val="0"/>
              <w:spacing w:beforeLines="50"/>
              <w:jc w:val="center"/>
              <w:rPr>
                <w:rFonts w:ascii="黑体" w:eastAsia="黑体"/>
                <w:sz w:val="21"/>
                <w:szCs w:val="21"/>
              </w:rPr>
            </w:pPr>
            <w:r>
              <w:rPr>
                <w:rFonts w:ascii="黑体" w:eastAsia="黑体" w:hint="eastAsia"/>
                <w:sz w:val="21"/>
                <w:szCs w:val="21"/>
              </w:rPr>
              <w:t>数量</w:t>
            </w:r>
          </w:p>
        </w:tc>
        <w:tc>
          <w:tcPr>
            <w:tcW w:w="709" w:type="dxa"/>
            <w:vAlign w:val="center"/>
          </w:tcPr>
          <w:p w:rsidR="007C5836" w:rsidRDefault="007C5836" w:rsidP="007C5836">
            <w:pPr>
              <w:snapToGrid w:val="0"/>
              <w:spacing w:beforeLines="50"/>
              <w:jc w:val="center"/>
              <w:rPr>
                <w:rFonts w:ascii="黑体" w:eastAsia="黑体"/>
                <w:sz w:val="21"/>
                <w:szCs w:val="21"/>
              </w:rPr>
            </w:pPr>
            <w:r>
              <w:rPr>
                <w:rFonts w:ascii="黑体" w:eastAsia="黑体" w:hint="eastAsia"/>
                <w:sz w:val="21"/>
                <w:szCs w:val="21"/>
              </w:rPr>
              <w:t>投标单价</w:t>
            </w:r>
          </w:p>
        </w:tc>
        <w:tc>
          <w:tcPr>
            <w:tcW w:w="708" w:type="dxa"/>
            <w:vAlign w:val="center"/>
          </w:tcPr>
          <w:p w:rsidR="007C5836" w:rsidRDefault="007C5836" w:rsidP="007C5836">
            <w:pPr>
              <w:snapToGrid w:val="0"/>
              <w:spacing w:beforeLines="50"/>
              <w:jc w:val="center"/>
              <w:rPr>
                <w:rFonts w:ascii="黑体" w:eastAsia="黑体"/>
                <w:sz w:val="21"/>
                <w:szCs w:val="21"/>
              </w:rPr>
            </w:pPr>
            <w:r>
              <w:rPr>
                <w:rFonts w:ascii="黑体" w:eastAsia="黑体" w:hint="eastAsia"/>
                <w:sz w:val="21"/>
                <w:szCs w:val="21"/>
              </w:rPr>
              <w:t>投标金额</w:t>
            </w:r>
          </w:p>
        </w:tc>
        <w:tc>
          <w:tcPr>
            <w:tcW w:w="1052" w:type="dxa"/>
            <w:vAlign w:val="center"/>
          </w:tcPr>
          <w:p w:rsidR="007C5836" w:rsidRDefault="007C5836" w:rsidP="007C5836">
            <w:pPr>
              <w:snapToGrid w:val="0"/>
              <w:spacing w:beforeLines="50"/>
              <w:jc w:val="center"/>
              <w:rPr>
                <w:rFonts w:ascii="黑体" w:eastAsia="黑体"/>
                <w:sz w:val="21"/>
                <w:szCs w:val="21"/>
              </w:rPr>
            </w:pPr>
            <w:r>
              <w:rPr>
                <w:rFonts w:ascii="黑体" w:eastAsia="黑体" w:hint="eastAsia"/>
                <w:sz w:val="21"/>
                <w:szCs w:val="21"/>
              </w:rPr>
              <w:t>不同于项目需求的说明（技术参数、商务条款偏离情况）（可附页）</w:t>
            </w:r>
          </w:p>
        </w:tc>
      </w:tr>
      <w:tr w:rsidR="007C5836" w:rsidTr="00CE43B4">
        <w:trPr>
          <w:cantSplit/>
          <w:trHeight w:val="567"/>
        </w:trPr>
        <w:tc>
          <w:tcPr>
            <w:tcW w:w="1096" w:type="dxa"/>
            <w:gridSpan w:val="2"/>
            <w:vAlign w:val="center"/>
          </w:tcPr>
          <w:p w:rsidR="007C5836" w:rsidRDefault="007C5836" w:rsidP="00CE43B4">
            <w:pPr>
              <w:jc w:val="center"/>
              <w:rPr>
                <w:sz w:val="21"/>
                <w:szCs w:val="21"/>
              </w:rPr>
            </w:pPr>
            <w:r>
              <w:rPr>
                <w:rFonts w:hint="eastAsia"/>
                <w:sz w:val="21"/>
                <w:szCs w:val="21"/>
              </w:rPr>
              <w:lastRenderedPageBreak/>
              <w:t>1</w:t>
            </w:r>
          </w:p>
        </w:tc>
        <w:tc>
          <w:tcPr>
            <w:tcW w:w="1290" w:type="dxa"/>
            <w:gridSpan w:val="2"/>
            <w:vAlign w:val="center"/>
          </w:tcPr>
          <w:p w:rsidR="007C5836" w:rsidRDefault="007C5836" w:rsidP="00CE43B4">
            <w:pPr>
              <w:jc w:val="center"/>
              <w:rPr>
                <w:sz w:val="21"/>
                <w:szCs w:val="21"/>
              </w:rPr>
            </w:pPr>
            <w:r>
              <w:rPr>
                <w:rFonts w:hAnsi="宋体" w:cs="宋体" w:hint="eastAsia"/>
                <w:color w:val="000000"/>
                <w:kern w:val="0"/>
                <w:sz w:val="21"/>
                <w:szCs w:val="21"/>
                <w:lang/>
              </w:rPr>
              <w:t>第二代防火墙</w:t>
            </w:r>
          </w:p>
        </w:tc>
        <w:tc>
          <w:tcPr>
            <w:tcW w:w="494" w:type="dxa"/>
            <w:gridSpan w:val="2"/>
            <w:vAlign w:val="center"/>
          </w:tcPr>
          <w:p w:rsidR="007C5836" w:rsidRDefault="007C5836" w:rsidP="00CE43B4">
            <w:pPr>
              <w:jc w:val="center"/>
              <w:rPr>
                <w:sz w:val="21"/>
                <w:szCs w:val="21"/>
              </w:rPr>
            </w:pPr>
            <w:r>
              <w:rPr>
                <w:rFonts w:hint="eastAsia"/>
                <w:sz w:val="21"/>
                <w:szCs w:val="21"/>
              </w:rPr>
              <w:t>网神</w:t>
            </w:r>
          </w:p>
        </w:tc>
        <w:tc>
          <w:tcPr>
            <w:tcW w:w="567" w:type="dxa"/>
            <w:vAlign w:val="center"/>
          </w:tcPr>
          <w:p w:rsidR="007C5836" w:rsidRDefault="007C5836" w:rsidP="00CE43B4">
            <w:pPr>
              <w:jc w:val="center"/>
              <w:rPr>
                <w:sz w:val="21"/>
                <w:szCs w:val="21"/>
              </w:rPr>
            </w:pPr>
            <w:r>
              <w:rPr>
                <w:rFonts w:hint="eastAsia"/>
                <w:sz w:val="21"/>
                <w:szCs w:val="21"/>
              </w:rPr>
              <w:t>NSG</w:t>
            </w:r>
            <w:r>
              <w:rPr>
                <w:sz w:val="21"/>
                <w:szCs w:val="21"/>
              </w:rPr>
              <w:t>-1260-Y1</w:t>
            </w:r>
          </w:p>
        </w:tc>
        <w:tc>
          <w:tcPr>
            <w:tcW w:w="7513" w:type="dxa"/>
            <w:vAlign w:val="center"/>
          </w:tcPr>
          <w:tbl>
            <w:tblPr>
              <w:tblW w:w="7461" w:type="dxa"/>
              <w:tblLook w:val="04A0"/>
            </w:tblPr>
            <w:tblGrid>
              <w:gridCol w:w="7461"/>
            </w:tblGrid>
            <w:tr w:rsidR="007C5836" w:rsidRPr="00790FC2" w:rsidTr="00CE43B4">
              <w:trPr>
                <w:trHeight w:val="102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color w:val="000000"/>
                      <w:kern w:val="0"/>
                      <w:sz w:val="21"/>
                      <w:szCs w:val="21"/>
                    </w:rPr>
                  </w:pPr>
                  <w:r w:rsidRPr="00790FC2">
                    <w:rPr>
                      <w:rFonts w:hAnsi="宋体" w:cs="宋体" w:hint="eastAsia"/>
                      <w:color w:val="000000"/>
                      <w:kern w:val="0"/>
                      <w:sz w:val="21"/>
                      <w:szCs w:val="21"/>
                    </w:rPr>
                    <w:t>多核AMP+架构，网络处理能力4G，并发连接≥140万，每秒新建连接5万/秒，1U机箱，单电源，标准配置6个10/100/1000M自适应电口及2个SFP插槽，1个Console口，下一代防火墙系统软件，支持200条VPN隧道，支持控制、URL过滤、病毒防护、入侵防御功能</w:t>
                  </w:r>
                </w:p>
              </w:tc>
            </w:tr>
            <w:tr w:rsidR="007C5836" w:rsidRPr="00790FC2" w:rsidTr="00CE43B4">
              <w:trPr>
                <w:trHeight w:val="27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b/>
                      <w:bCs/>
                      <w:color w:val="000000"/>
                      <w:kern w:val="0"/>
                      <w:sz w:val="21"/>
                      <w:szCs w:val="21"/>
                    </w:rPr>
                  </w:pPr>
                  <w:r w:rsidRPr="00790FC2">
                    <w:rPr>
                      <w:rFonts w:hAnsi="宋体" w:cs="宋体" w:hint="eastAsia"/>
                      <w:b/>
                      <w:bCs/>
                      <w:color w:val="000000"/>
                      <w:kern w:val="0"/>
                      <w:sz w:val="21"/>
                      <w:szCs w:val="21"/>
                    </w:rPr>
                    <w:t>性能要求：</w:t>
                  </w:r>
                </w:p>
              </w:tc>
            </w:tr>
            <w:tr w:rsidR="007C5836" w:rsidRPr="00790FC2" w:rsidTr="00CE43B4">
              <w:trPr>
                <w:trHeight w:val="51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color w:val="000000"/>
                      <w:kern w:val="0"/>
                      <w:sz w:val="21"/>
                      <w:szCs w:val="21"/>
                    </w:rPr>
                  </w:pPr>
                  <w:r w:rsidRPr="00790FC2">
                    <w:rPr>
                      <w:rFonts w:hAnsi="宋体" w:cs="宋体" w:hint="eastAsia"/>
                      <w:color w:val="000000"/>
                      <w:kern w:val="0"/>
                      <w:sz w:val="21"/>
                      <w:szCs w:val="21"/>
                    </w:rPr>
                    <w:t>1.支持路由、透明、交换、旁路以及混合模式接入，满足复杂应用环境的接入需求；</w:t>
                  </w:r>
                </w:p>
              </w:tc>
            </w:tr>
            <w:tr w:rsidR="007C5836" w:rsidRPr="00790FC2" w:rsidTr="00CE43B4">
              <w:trPr>
                <w:trHeight w:val="102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color w:val="000000"/>
                      <w:kern w:val="0"/>
                      <w:sz w:val="21"/>
                      <w:szCs w:val="21"/>
                    </w:rPr>
                  </w:pPr>
                  <w:r w:rsidRPr="00790FC2">
                    <w:rPr>
                      <w:rFonts w:hAnsi="宋体" w:cs="宋体" w:hint="eastAsia"/>
                      <w:color w:val="000000"/>
                      <w:kern w:val="0"/>
                      <w:sz w:val="21"/>
                      <w:szCs w:val="21"/>
                    </w:rPr>
                    <w:t>2.支持物理子接口技术，可以虚拟多个逻辑接口（不依靠vlan区分）；聚合模式（Channel模式）支持三种：轮询、热备、802.3ad；802.3ad方式支持3种负载算法：根据源目的mac组合、根据mac和ip组合、根据ip和TCP/UDP端口组合</w:t>
                  </w:r>
                </w:p>
              </w:tc>
            </w:tr>
            <w:tr w:rsidR="007C5836" w:rsidRPr="00790FC2" w:rsidTr="00CE43B4">
              <w:trPr>
                <w:trHeight w:val="51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color w:val="000000"/>
                      <w:kern w:val="0"/>
                      <w:sz w:val="21"/>
                      <w:szCs w:val="21"/>
                    </w:rPr>
                  </w:pPr>
                  <w:r w:rsidRPr="00790FC2">
                    <w:rPr>
                      <w:rFonts w:hAnsi="宋体" w:cs="宋体" w:hint="eastAsia"/>
                      <w:color w:val="000000"/>
                      <w:kern w:val="0"/>
                      <w:sz w:val="21"/>
                      <w:szCs w:val="21"/>
                    </w:rPr>
                    <w:t>3.支持DHCP地址绑定（根据MAC地址静态分配IP地址）；支持DHCP Server、DHCP Client和DHCP中继功能；</w:t>
                  </w:r>
                </w:p>
              </w:tc>
            </w:tr>
            <w:tr w:rsidR="007C5836" w:rsidRPr="00790FC2" w:rsidTr="00CE43B4">
              <w:trPr>
                <w:trHeight w:val="765"/>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ind w:firstLineChars="100" w:firstLine="210"/>
                    <w:jc w:val="left"/>
                    <w:rPr>
                      <w:rFonts w:hAnsi="宋体" w:cs="宋体"/>
                      <w:color w:val="000000"/>
                      <w:kern w:val="0"/>
                      <w:sz w:val="21"/>
                      <w:szCs w:val="21"/>
                    </w:rPr>
                  </w:pPr>
                  <w:r w:rsidRPr="00790FC2">
                    <w:rPr>
                      <w:rFonts w:hAnsi="宋体" w:cs="宋体" w:hint="eastAsia"/>
                      <w:color w:val="000000"/>
                      <w:kern w:val="0"/>
                      <w:sz w:val="21"/>
                      <w:szCs w:val="21"/>
                    </w:rPr>
                    <w:t>★4.支持DNS透明代理，防火墙收到客户端DNS请求报文时，防火墙会将请求报文中的DNS地址替换为防火墙指定的代理DNS地址，帮助其实现DNS解析</w:t>
                  </w:r>
                </w:p>
              </w:tc>
            </w:tr>
            <w:tr w:rsidR="007C5836" w:rsidRPr="00790FC2" w:rsidTr="00CE43B4">
              <w:trPr>
                <w:trHeight w:val="27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ind w:firstLineChars="100" w:firstLine="210"/>
                    <w:jc w:val="left"/>
                    <w:rPr>
                      <w:rFonts w:hAnsi="宋体" w:cs="宋体"/>
                      <w:color w:val="000000"/>
                      <w:kern w:val="0"/>
                      <w:sz w:val="21"/>
                      <w:szCs w:val="21"/>
                    </w:rPr>
                  </w:pPr>
                  <w:r w:rsidRPr="00790FC2">
                    <w:rPr>
                      <w:rFonts w:hAnsi="宋体" w:cs="宋体" w:hint="eastAsia"/>
                      <w:color w:val="000000"/>
                      <w:kern w:val="0"/>
                      <w:sz w:val="21"/>
                      <w:szCs w:val="21"/>
                    </w:rPr>
                    <w:t>5.支持使用命令对策略路由默认优先级进行调整</w:t>
                  </w:r>
                </w:p>
              </w:tc>
            </w:tr>
            <w:tr w:rsidR="007C5836" w:rsidRPr="00790FC2" w:rsidTr="00CE43B4">
              <w:trPr>
                <w:trHeight w:val="765"/>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ind w:firstLineChars="100" w:firstLine="210"/>
                    <w:jc w:val="left"/>
                    <w:rPr>
                      <w:rFonts w:hAnsi="宋体" w:cs="宋体"/>
                      <w:color w:val="000000"/>
                      <w:kern w:val="0"/>
                      <w:sz w:val="21"/>
                      <w:szCs w:val="21"/>
                    </w:rPr>
                  </w:pPr>
                  <w:r w:rsidRPr="00790FC2">
                    <w:rPr>
                      <w:rFonts w:hAnsi="宋体" w:cs="宋体" w:hint="eastAsia"/>
                      <w:color w:val="000000"/>
                      <w:kern w:val="0"/>
                      <w:sz w:val="21"/>
                      <w:szCs w:val="21"/>
                    </w:rPr>
                    <w:t>6.支持基于权重的路由负载均衡，算法支持：源地址目的地址哈希、轮询、源地址哈希、目的地址哈希、源地址轮询、备份、随机、流量均衡、最优链路带宽负载、最优链路带宽备份、时延负载、跳数负载</w:t>
                  </w:r>
                </w:p>
              </w:tc>
            </w:tr>
            <w:tr w:rsidR="007C5836" w:rsidRPr="00790FC2" w:rsidTr="00CE43B4">
              <w:trPr>
                <w:trHeight w:val="51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color w:val="000000"/>
                      <w:kern w:val="0"/>
                      <w:sz w:val="21"/>
                      <w:szCs w:val="21"/>
                    </w:rPr>
                  </w:pPr>
                  <w:r w:rsidRPr="00790FC2">
                    <w:rPr>
                      <w:rFonts w:hAnsi="宋体" w:cs="宋体" w:hint="eastAsia"/>
                      <w:color w:val="000000"/>
                      <w:kern w:val="0"/>
                      <w:sz w:val="21"/>
                      <w:szCs w:val="21"/>
                    </w:rPr>
                    <w:t>7.支持静态路由，支持策略路由，支持对称路由；支持ISP路由，并支持手动导入；支持动态路由协议RIPv1/v2、OSPF、BGP；</w:t>
                  </w:r>
                </w:p>
              </w:tc>
            </w:tr>
            <w:tr w:rsidR="007C5836" w:rsidRPr="00790FC2" w:rsidTr="00CE43B4">
              <w:trPr>
                <w:trHeight w:val="51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color w:val="000000"/>
                      <w:kern w:val="0"/>
                      <w:sz w:val="21"/>
                      <w:szCs w:val="21"/>
                    </w:rPr>
                  </w:pPr>
                  <w:r w:rsidRPr="00790FC2">
                    <w:rPr>
                      <w:rFonts w:hAnsi="宋体" w:cs="宋体" w:hint="eastAsia"/>
                      <w:color w:val="000000"/>
                      <w:kern w:val="0"/>
                      <w:sz w:val="21"/>
                      <w:szCs w:val="21"/>
                    </w:rPr>
                    <w:t>8.支持IPv6地址配置，支持IPV6手动及自动的IP/MAC探测及绑定，支持IPV6的本地认证；支持IPV6下静态路由及策略路由；</w:t>
                  </w:r>
                </w:p>
              </w:tc>
            </w:tr>
            <w:tr w:rsidR="007C5836" w:rsidRPr="00790FC2" w:rsidTr="00CE43B4">
              <w:trPr>
                <w:trHeight w:val="102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color w:val="000000"/>
                      <w:kern w:val="0"/>
                      <w:sz w:val="21"/>
                      <w:szCs w:val="21"/>
                    </w:rPr>
                  </w:pPr>
                  <w:r w:rsidRPr="00790FC2">
                    <w:rPr>
                      <w:rFonts w:hAnsi="宋体" w:cs="宋体" w:hint="eastAsia"/>
                      <w:color w:val="000000"/>
                      <w:kern w:val="0"/>
                      <w:sz w:val="21"/>
                      <w:szCs w:val="21"/>
                    </w:rPr>
                    <w:t>9.支持基于源目的IP地址、源目的安全域、VLAN ID、MAC地址、时间、用户、地理区域、服务协议及应用等多种方式进行访问控制；支持通过一条安全策略配置应用控制、入侵防护、URL过滤、病毒检测、内容过滤、网络行为管理等高级访问控制功能，且无需编辑即可直观审计策略配置</w:t>
                  </w:r>
                </w:p>
              </w:tc>
            </w:tr>
            <w:tr w:rsidR="007C5836" w:rsidRPr="00790FC2" w:rsidTr="00CE43B4">
              <w:trPr>
                <w:trHeight w:val="51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ind w:firstLineChars="100" w:firstLine="210"/>
                    <w:jc w:val="left"/>
                    <w:rPr>
                      <w:rFonts w:hAnsi="宋体" w:cs="宋体"/>
                      <w:color w:val="000000"/>
                      <w:kern w:val="0"/>
                      <w:sz w:val="21"/>
                      <w:szCs w:val="21"/>
                    </w:rPr>
                  </w:pPr>
                  <w:r w:rsidRPr="00790FC2">
                    <w:rPr>
                      <w:rFonts w:hAnsi="宋体" w:cs="宋体" w:hint="eastAsia"/>
                      <w:color w:val="000000"/>
                      <w:kern w:val="0"/>
                      <w:sz w:val="21"/>
                      <w:szCs w:val="21"/>
                    </w:rPr>
                    <w:t>10.支持八种会话长连接自定义设置，每种长连接可以被任意安全策略引用，实现不同的业务、不同的会话保持时长最长可达50天</w:t>
                  </w:r>
                </w:p>
              </w:tc>
            </w:tr>
            <w:tr w:rsidR="007C5836" w:rsidRPr="00790FC2" w:rsidTr="00CE43B4">
              <w:trPr>
                <w:trHeight w:val="51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color w:val="000000"/>
                      <w:kern w:val="0"/>
                      <w:sz w:val="21"/>
                      <w:szCs w:val="21"/>
                    </w:rPr>
                  </w:pPr>
                  <w:r w:rsidRPr="00790FC2">
                    <w:rPr>
                      <w:rFonts w:hAnsi="宋体" w:cs="宋体" w:hint="eastAsia"/>
                      <w:color w:val="000000"/>
                      <w:kern w:val="0"/>
                      <w:sz w:val="21"/>
                      <w:szCs w:val="21"/>
                    </w:rPr>
                    <w:t>11.支持按源目的IP、源目的接口、用户、地理区域及应用进行流量排名，并显示流量统计</w:t>
                  </w:r>
                </w:p>
              </w:tc>
            </w:tr>
            <w:tr w:rsidR="007C5836" w:rsidRPr="00790FC2" w:rsidTr="00CE43B4">
              <w:trPr>
                <w:trHeight w:val="51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color w:val="000000"/>
                      <w:kern w:val="0"/>
                      <w:sz w:val="21"/>
                      <w:szCs w:val="21"/>
                    </w:rPr>
                  </w:pPr>
                  <w:r w:rsidRPr="00790FC2">
                    <w:rPr>
                      <w:rFonts w:hAnsi="宋体" w:cs="宋体" w:hint="eastAsia"/>
                      <w:color w:val="000000"/>
                      <w:kern w:val="0"/>
                      <w:sz w:val="21"/>
                      <w:szCs w:val="21"/>
                    </w:rPr>
                    <w:t>12.支持全面的NAT转换能力，支持对源目的地址、端口的转换；包括一对一，一对多，多对一，多对多地址转换方式</w:t>
                  </w:r>
                </w:p>
              </w:tc>
            </w:tr>
            <w:tr w:rsidR="007C5836" w:rsidRPr="00790FC2" w:rsidTr="00CE43B4">
              <w:trPr>
                <w:trHeight w:val="51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ind w:firstLineChars="100" w:firstLine="210"/>
                    <w:jc w:val="left"/>
                    <w:rPr>
                      <w:rFonts w:hAnsi="宋体" w:cs="宋体"/>
                      <w:color w:val="000000"/>
                      <w:kern w:val="0"/>
                      <w:sz w:val="21"/>
                      <w:szCs w:val="21"/>
                    </w:rPr>
                  </w:pPr>
                  <w:r w:rsidRPr="00790FC2">
                    <w:rPr>
                      <w:rFonts w:hAnsi="宋体" w:cs="宋体" w:hint="eastAsia"/>
                      <w:color w:val="000000"/>
                      <w:kern w:val="0"/>
                      <w:sz w:val="21"/>
                      <w:szCs w:val="21"/>
                    </w:rPr>
                    <w:t>★13.支持FULL_CONE和SYMMETRIC两种类型的转换方法，默认为SYMMETRIC</w:t>
                  </w:r>
                </w:p>
              </w:tc>
            </w:tr>
            <w:tr w:rsidR="007C5836" w:rsidRPr="00790FC2" w:rsidTr="00CE43B4">
              <w:trPr>
                <w:trHeight w:val="27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color w:val="000000"/>
                      <w:kern w:val="0"/>
                      <w:sz w:val="21"/>
                      <w:szCs w:val="21"/>
                    </w:rPr>
                  </w:pPr>
                  <w:r w:rsidRPr="00790FC2">
                    <w:rPr>
                      <w:rFonts w:hAnsi="宋体" w:cs="宋体" w:hint="eastAsia"/>
                      <w:color w:val="000000"/>
                      <w:kern w:val="0"/>
                      <w:sz w:val="21"/>
                      <w:szCs w:val="21"/>
                    </w:rPr>
                    <w:t>14.支持基于优先级的链路备份，具有备援网关功能</w:t>
                  </w:r>
                </w:p>
              </w:tc>
            </w:tr>
            <w:tr w:rsidR="007C5836" w:rsidRPr="00790FC2" w:rsidTr="00CE43B4">
              <w:trPr>
                <w:trHeight w:val="51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color w:val="000000"/>
                      <w:kern w:val="0"/>
                      <w:sz w:val="21"/>
                      <w:szCs w:val="21"/>
                    </w:rPr>
                  </w:pPr>
                  <w:r w:rsidRPr="00790FC2">
                    <w:rPr>
                      <w:rFonts w:hAnsi="宋体" w:cs="宋体" w:hint="eastAsia"/>
                      <w:color w:val="000000"/>
                      <w:kern w:val="0"/>
                      <w:sz w:val="21"/>
                      <w:szCs w:val="21"/>
                    </w:rPr>
                    <w:t>15.支持基于web的无客户端方式用户认证；在使用web认证客户端时支持NAT探测；</w:t>
                  </w:r>
                </w:p>
              </w:tc>
            </w:tr>
            <w:tr w:rsidR="007C5836" w:rsidRPr="00790FC2" w:rsidTr="00CE43B4">
              <w:trPr>
                <w:trHeight w:val="765"/>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color w:val="000000"/>
                      <w:kern w:val="0"/>
                      <w:sz w:val="21"/>
                      <w:szCs w:val="21"/>
                    </w:rPr>
                  </w:pPr>
                  <w:r w:rsidRPr="00790FC2">
                    <w:rPr>
                      <w:rFonts w:hAnsi="宋体" w:cs="宋体" w:hint="eastAsia"/>
                      <w:color w:val="000000"/>
                      <w:kern w:val="0"/>
                      <w:sz w:val="21"/>
                      <w:szCs w:val="21"/>
                    </w:rPr>
                    <w:t>16.实现HTTP、FTP、POP3、SMTP、IMAP五种应用协议的双向内容过滤，支持预定义敏感信息库及自定义敏感信息库两种方式进行敏感信息定义，支持阻断及日志两种处理动作；</w:t>
                  </w:r>
                </w:p>
              </w:tc>
            </w:tr>
            <w:tr w:rsidR="007C5836" w:rsidRPr="00790FC2" w:rsidTr="00CE43B4">
              <w:trPr>
                <w:trHeight w:val="765"/>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color w:val="000000"/>
                      <w:kern w:val="0"/>
                      <w:sz w:val="21"/>
                      <w:szCs w:val="21"/>
                    </w:rPr>
                  </w:pPr>
                  <w:r w:rsidRPr="00790FC2">
                    <w:rPr>
                      <w:rFonts w:hAnsi="宋体" w:cs="宋体" w:hint="eastAsia"/>
                      <w:color w:val="000000"/>
                      <w:kern w:val="0"/>
                      <w:sz w:val="21"/>
                      <w:szCs w:val="21"/>
                    </w:rPr>
                    <w:t>17.支持自定义添加关键字，并设置每一个关键字的权重值。当命中的关键字权重相加超过警戒值之后，将会触发内容过滤策略，数据会依据内容过滤策略的动作判断是允许还是拒绝</w:t>
                  </w:r>
                </w:p>
              </w:tc>
            </w:tr>
            <w:tr w:rsidR="007C5836" w:rsidRPr="00790FC2" w:rsidTr="00CE43B4">
              <w:trPr>
                <w:trHeight w:val="765"/>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color w:val="000000"/>
                      <w:kern w:val="0"/>
                      <w:sz w:val="21"/>
                      <w:szCs w:val="21"/>
                    </w:rPr>
                  </w:pPr>
                  <w:r w:rsidRPr="00790FC2">
                    <w:rPr>
                      <w:rFonts w:hAnsi="宋体" w:cs="宋体" w:hint="eastAsia"/>
                      <w:color w:val="000000"/>
                      <w:kern w:val="0"/>
                      <w:sz w:val="21"/>
                      <w:szCs w:val="21"/>
                    </w:rPr>
                    <w:t>18.支持根据IP地址、用户、服务、应用、时间等信息划分虚拟QoS通道进行带宽管理；支持QoS配置向导，支持多层级调度类嵌套，支持优先级设置实现差分服务；</w:t>
                  </w:r>
                </w:p>
              </w:tc>
            </w:tr>
            <w:tr w:rsidR="007C5836" w:rsidRPr="00790FC2" w:rsidTr="00CE43B4">
              <w:trPr>
                <w:trHeight w:val="102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ind w:firstLineChars="100" w:firstLine="210"/>
                    <w:jc w:val="left"/>
                    <w:rPr>
                      <w:rFonts w:hAnsi="宋体" w:cs="宋体"/>
                      <w:color w:val="000000"/>
                      <w:kern w:val="0"/>
                      <w:sz w:val="21"/>
                      <w:szCs w:val="21"/>
                    </w:rPr>
                  </w:pPr>
                  <w:r w:rsidRPr="00790FC2">
                    <w:rPr>
                      <w:rFonts w:hAnsi="宋体" w:cs="宋体" w:hint="eastAsia"/>
                      <w:color w:val="000000"/>
                      <w:kern w:val="0"/>
                      <w:sz w:val="21"/>
                      <w:szCs w:val="21"/>
                    </w:rPr>
                    <w:t>19.支持对应用层 Flood攻击进行五种处理动作：警告、阻断、普通防护、增强防护及授权服务器防护；支持局域网广播防护，支持全局配置的局域网广播防护及基于二层接口的局域网广播防护，可以防止局域网内广播和多播数据包泛滥，保障网络正常通信</w:t>
                  </w:r>
                </w:p>
              </w:tc>
            </w:tr>
            <w:tr w:rsidR="007C5836" w:rsidRPr="00790FC2" w:rsidTr="00CE43B4">
              <w:trPr>
                <w:trHeight w:val="51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color w:val="000000"/>
                      <w:kern w:val="0"/>
                      <w:sz w:val="21"/>
                      <w:szCs w:val="21"/>
                    </w:rPr>
                  </w:pPr>
                  <w:r w:rsidRPr="00790FC2">
                    <w:rPr>
                      <w:rFonts w:hAnsi="宋体" w:cs="宋体" w:hint="eastAsia"/>
                      <w:color w:val="000000"/>
                      <w:kern w:val="0"/>
                      <w:sz w:val="21"/>
                      <w:szCs w:val="21"/>
                    </w:rPr>
                    <w:t>20.支持对拒绝服务、缓冲区溢出、恶意扫描、木马后门、病毒蠕虫、僵尸网络、跨站脚本、SQL注入、WEB攻击等的防御；</w:t>
                  </w:r>
                </w:p>
              </w:tc>
            </w:tr>
            <w:tr w:rsidR="007C5836" w:rsidRPr="00790FC2" w:rsidTr="00CE43B4">
              <w:trPr>
                <w:trHeight w:val="102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ind w:firstLineChars="100" w:firstLine="210"/>
                    <w:jc w:val="left"/>
                    <w:rPr>
                      <w:rFonts w:hAnsi="宋体" w:cs="宋体"/>
                      <w:color w:val="000000"/>
                      <w:kern w:val="0"/>
                      <w:sz w:val="21"/>
                      <w:szCs w:val="21"/>
                    </w:rPr>
                  </w:pPr>
                  <w:r w:rsidRPr="00790FC2">
                    <w:rPr>
                      <w:rFonts w:hAnsi="宋体" w:cs="宋体" w:hint="eastAsia"/>
                      <w:color w:val="000000"/>
                      <w:kern w:val="0"/>
                      <w:sz w:val="21"/>
                      <w:szCs w:val="21"/>
                    </w:rPr>
                    <w:t>21.支持病毒云查杀（要求提供截图） ；支持通过与终端安全管理系统联动及木马云查杀功能生成日志或者动态策略。生成的木马专项查杀动态策略可以在数据被监测携带木马时，根据动态策略配置阻断数据或者记录日志，IPS特征库不少于3000条特征值</w:t>
                  </w:r>
                </w:p>
              </w:tc>
            </w:tr>
            <w:tr w:rsidR="007C5836" w:rsidRPr="00790FC2" w:rsidTr="00CE43B4">
              <w:trPr>
                <w:trHeight w:val="765"/>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color w:val="000000"/>
                      <w:kern w:val="0"/>
                      <w:sz w:val="21"/>
                      <w:szCs w:val="21"/>
                    </w:rPr>
                  </w:pPr>
                  <w:r w:rsidRPr="00790FC2">
                    <w:rPr>
                      <w:rFonts w:hAnsi="宋体" w:cs="宋体" w:hint="eastAsia"/>
                      <w:color w:val="000000"/>
                      <w:kern w:val="0"/>
                      <w:sz w:val="21"/>
                      <w:szCs w:val="21"/>
                    </w:rPr>
                    <w:t>22.支持对拒绝服务、缓冲区溢出、恶意扫描、木马后门、病毒蠕虫、僵尸网络、跨站脚本、SQL注入、WEB攻击等的防御，具备针对DNS、FTP、ICMP、IMAP、SQL、NNTP、POP、SMTP、SNMP等协议类型的入侵检测与防御</w:t>
                  </w:r>
                </w:p>
              </w:tc>
            </w:tr>
            <w:tr w:rsidR="007C5836" w:rsidRPr="00790FC2" w:rsidTr="00CE43B4">
              <w:trPr>
                <w:trHeight w:val="51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jc w:val="left"/>
                    <w:rPr>
                      <w:rFonts w:hAnsi="宋体" w:cs="宋体"/>
                      <w:color w:val="000000"/>
                      <w:kern w:val="0"/>
                      <w:sz w:val="21"/>
                      <w:szCs w:val="21"/>
                    </w:rPr>
                  </w:pPr>
                  <w:r w:rsidRPr="00790FC2">
                    <w:rPr>
                      <w:rFonts w:hAnsi="宋体" w:cs="宋体" w:hint="eastAsia"/>
                      <w:color w:val="000000"/>
                      <w:kern w:val="0"/>
                      <w:sz w:val="21"/>
                      <w:szCs w:val="21"/>
                    </w:rPr>
                    <w:t>23.支持基于防护类型及防护级别的预定义IPS模板；基于行业类型特点的预定义URL模板</w:t>
                  </w:r>
                </w:p>
              </w:tc>
            </w:tr>
            <w:tr w:rsidR="007C5836" w:rsidRPr="00790FC2" w:rsidTr="00CE43B4">
              <w:trPr>
                <w:trHeight w:val="1020"/>
              </w:trPr>
              <w:tc>
                <w:tcPr>
                  <w:tcW w:w="7461" w:type="dxa"/>
                  <w:tcBorders>
                    <w:top w:val="nil"/>
                    <w:left w:val="nil"/>
                    <w:bottom w:val="nil"/>
                    <w:right w:val="single" w:sz="8" w:space="0" w:color="000000"/>
                  </w:tcBorders>
                  <w:shd w:val="clear" w:color="auto" w:fill="auto"/>
                  <w:vAlign w:val="center"/>
                  <w:hideMark/>
                </w:tcPr>
                <w:p w:rsidR="007C5836" w:rsidRPr="00790FC2" w:rsidRDefault="007C5836" w:rsidP="00CE43B4">
                  <w:pPr>
                    <w:widowControl/>
                    <w:ind w:firstLineChars="100" w:firstLine="210"/>
                    <w:jc w:val="left"/>
                    <w:rPr>
                      <w:rFonts w:hAnsi="宋体" w:cs="宋体"/>
                      <w:color w:val="000000"/>
                      <w:kern w:val="0"/>
                      <w:sz w:val="21"/>
                      <w:szCs w:val="21"/>
                    </w:rPr>
                  </w:pPr>
                  <w:r w:rsidRPr="00790FC2">
                    <w:rPr>
                      <w:rFonts w:hAnsi="宋体" w:cs="宋体" w:hint="eastAsia"/>
                      <w:color w:val="000000"/>
                      <w:kern w:val="0"/>
                      <w:sz w:val="21"/>
                      <w:szCs w:val="21"/>
                    </w:rPr>
                    <w:t>★24.防火墙动态策略功能，可以通过与入侵防护策略、防弱口令扫描、威胁情报中心、终端安全管理系统的联动，生成动态策略信息，根据用户在基本配置中配置的动态策略动作，命中动态策略的数据将会被阻断或者记录日志</w:t>
                  </w:r>
                </w:p>
              </w:tc>
            </w:tr>
            <w:tr w:rsidR="007C5836" w:rsidRPr="00790FC2" w:rsidTr="00CE43B4">
              <w:trPr>
                <w:trHeight w:val="1035"/>
              </w:trPr>
              <w:tc>
                <w:tcPr>
                  <w:tcW w:w="7461" w:type="dxa"/>
                  <w:tcBorders>
                    <w:top w:val="nil"/>
                    <w:left w:val="nil"/>
                    <w:bottom w:val="single" w:sz="8" w:space="0" w:color="000000"/>
                    <w:right w:val="single" w:sz="8" w:space="0" w:color="000000"/>
                  </w:tcBorders>
                  <w:shd w:val="clear" w:color="auto" w:fill="auto"/>
                  <w:vAlign w:val="center"/>
                  <w:hideMark/>
                </w:tcPr>
                <w:p w:rsidR="007C5836" w:rsidRPr="00790FC2" w:rsidRDefault="007C5836" w:rsidP="00CE43B4">
                  <w:pPr>
                    <w:widowControl/>
                    <w:ind w:firstLineChars="100" w:firstLine="210"/>
                    <w:jc w:val="left"/>
                    <w:rPr>
                      <w:rFonts w:hAnsi="宋体" w:cs="宋体"/>
                      <w:color w:val="000000"/>
                      <w:kern w:val="0"/>
                      <w:sz w:val="21"/>
                      <w:szCs w:val="21"/>
                    </w:rPr>
                  </w:pPr>
                  <w:r w:rsidRPr="00790FC2">
                    <w:rPr>
                      <w:rFonts w:hAnsi="宋体" w:cs="宋体" w:hint="eastAsia"/>
                      <w:color w:val="000000"/>
                      <w:kern w:val="0"/>
                      <w:sz w:val="21"/>
                      <w:szCs w:val="21"/>
                    </w:rPr>
                    <w:t>25.支持针对FTP、SMTP、POP3、IMAP、MYSQL协议防弱口令扫描功能，可以帮助用户记录或者拦截网络中猜测FTP用户名密码，邮件用户名密码的行为。并支持生成动态策略，下发给防火墙，再次受到相同攻击时，用户可以选择禁止还是允许口令猜测的行为</w:t>
                  </w:r>
                </w:p>
              </w:tc>
            </w:tr>
          </w:tbl>
          <w:p w:rsidR="007C5836" w:rsidRPr="00790FC2" w:rsidRDefault="007C5836" w:rsidP="00CE43B4">
            <w:pPr>
              <w:jc w:val="center"/>
              <w:rPr>
                <w:sz w:val="21"/>
                <w:szCs w:val="21"/>
              </w:rPr>
            </w:pPr>
          </w:p>
        </w:tc>
        <w:tc>
          <w:tcPr>
            <w:tcW w:w="567" w:type="dxa"/>
            <w:vAlign w:val="center"/>
          </w:tcPr>
          <w:p w:rsidR="007C5836" w:rsidRDefault="007C5836" w:rsidP="00CE43B4">
            <w:pPr>
              <w:jc w:val="center"/>
              <w:rPr>
                <w:sz w:val="21"/>
                <w:szCs w:val="21"/>
              </w:rPr>
            </w:pPr>
            <w:r>
              <w:rPr>
                <w:rFonts w:hint="eastAsia"/>
                <w:sz w:val="21"/>
                <w:szCs w:val="21"/>
              </w:rPr>
              <w:t>1</w:t>
            </w:r>
          </w:p>
        </w:tc>
        <w:tc>
          <w:tcPr>
            <w:tcW w:w="709" w:type="dxa"/>
            <w:vAlign w:val="center"/>
          </w:tcPr>
          <w:p w:rsidR="007C5836" w:rsidRDefault="007C5836" w:rsidP="00CE43B4">
            <w:pPr>
              <w:snapToGrid w:val="0"/>
              <w:jc w:val="center"/>
              <w:rPr>
                <w:sz w:val="21"/>
                <w:szCs w:val="21"/>
              </w:rPr>
            </w:pPr>
            <w:r>
              <w:rPr>
                <w:rFonts w:hint="eastAsia"/>
                <w:sz w:val="21"/>
                <w:szCs w:val="21"/>
              </w:rPr>
              <w:t>50000</w:t>
            </w:r>
          </w:p>
        </w:tc>
        <w:tc>
          <w:tcPr>
            <w:tcW w:w="708" w:type="dxa"/>
            <w:vAlign w:val="center"/>
          </w:tcPr>
          <w:p w:rsidR="007C5836" w:rsidRDefault="007C5836" w:rsidP="00CE43B4">
            <w:pPr>
              <w:snapToGrid w:val="0"/>
              <w:jc w:val="center"/>
              <w:rPr>
                <w:sz w:val="21"/>
                <w:szCs w:val="21"/>
              </w:rPr>
            </w:pPr>
            <w:r>
              <w:rPr>
                <w:rFonts w:hint="eastAsia"/>
                <w:sz w:val="21"/>
                <w:szCs w:val="21"/>
              </w:rPr>
              <w:t>50000</w:t>
            </w:r>
          </w:p>
        </w:tc>
        <w:tc>
          <w:tcPr>
            <w:tcW w:w="1052" w:type="dxa"/>
            <w:vAlign w:val="center"/>
          </w:tcPr>
          <w:p w:rsidR="007C5836" w:rsidRDefault="007C5836" w:rsidP="00CE43B4">
            <w:pPr>
              <w:snapToGrid w:val="0"/>
              <w:jc w:val="center"/>
              <w:rPr>
                <w:bCs/>
                <w:sz w:val="21"/>
                <w:szCs w:val="21"/>
              </w:rPr>
            </w:pPr>
            <w:r>
              <w:rPr>
                <w:rFonts w:hint="eastAsia"/>
                <w:bCs/>
                <w:sz w:val="21"/>
                <w:szCs w:val="21"/>
              </w:rPr>
              <w:t>无偏离</w:t>
            </w:r>
          </w:p>
        </w:tc>
      </w:tr>
      <w:tr w:rsidR="007C5836" w:rsidTr="00CE43B4">
        <w:trPr>
          <w:cantSplit/>
          <w:trHeight w:val="567"/>
        </w:trPr>
        <w:tc>
          <w:tcPr>
            <w:tcW w:w="1096" w:type="dxa"/>
            <w:gridSpan w:val="2"/>
            <w:vAlign w:val="center"/>
          </w:tcPr>
          <w:p w:rsidR="007C5836" w:rsidRDefault="007C5836" w:rsidP="00CE43B4">
            <w:pPr>
              <w:jc w:val="center"/>
              <w:rPr>
                <w:sz w:val="21"/>
                <w:szCs w:val="21"/>
              </w:rPr>
            </w:pPr>
            <w:r>
              <w:rPr>
                <w:rFonts w:hint="eastAsia"/>
                <w:sz w:val="21"/>
                <w:szCs w:val="21"/>
              </w:rPr>
              <w:lastRenderedPageBreak/>
              <w:t>2</w:t>
            </w:r>
          </w:p>
        </w:tc>
        <w:tc>
          <w:tcPr>
            <w:tcW w:w="1290" w:type="dxa"/>
            <w:gridSpan w:val="2"/>
            <w:vAlign w:val="center"/>
          </w:tcPr>
          <w:p w:rsidR="007C5836" w:rsidRDefault="007C5836" w:rsidP="00CE43B4">
            <w:pPr>
              <w:jc w:val="center"/>
              <w:rPr>
                <w:rFonts w:hAnsi="宋体" w:cs="宋体"/>
                <w:color w:val="000000"/>
                <w:kern w:val="0"/>
                <w:sz w:val="21"/>
                <w:szCs w:val="21"/>
                <w:lang/>
              </w:rPr>
            </w:pPr>
            <w:r w:rsidRPr="00E06F79">
              <w:rPr>
                <w:rFonts w:hAnsi="宋体" w:cs="宋体" w:hint="eastAsia"/>
                <w:color w:val="000000"/>
                <w:kern w:val="0"/>
                <w:sz w:val="21"/>
                <w:szCs w:val="21"/>
                <w:lang/>
              </w:rPr>
              <w:t>Web应用防火墙</w:t>
            </w:r>
          </w:p>
        </w:tc>
        <w:tc>
          <w:tcPr>
            <w:tcW w:w="494" w:type="dxa"/>
            <w:gridSpan w:val="2"/>
            <w:vAlign w:val="center"/>
          </w:tcPr>
          <w:p w:rsidR="007C5836" w:rsidRDefault="007C5836" w:rsidP="00CE43B4">
            <w:pPr>
              <w:jc w:val="center"/>
              <w:rPr>
                <w:sz w:val="21"/>
                <w:szCs w:val="21"/>
              </w:rPr>
            </w:pPr>
            <w:r w:rsidRPr="00E06F79">
              <w:rPr>
                <w:rFonts w:hint="eastAsia"/>
                <w:sz w:val="21"/>
                <w:szCs w:val="21"/>
              </w:rPr>
              <w:t>实茂</w:t>
            </w:r>
          </w:p>
        </w:tc>
        <w:tc>
          <w:tcPr>
            <w:tcW w:w="567" w:type="dxa"/>
            <w:vAlign w:val="center"/>
          </w:tcPr>
          <w:p w:rsidR="007C5836" w:rsidRDefault="007C5836" w:rsidP="00CE43B4">
            <w:pPr>
              <w:jc w:val="center"/>
              <w:rPr>
                <w:sz w:val="21"/>
                <w:szCs w:val="21"/>
              </w:rPr>
            </w:pPr>
            <w:r>
              <w:rPr>
                <w:rFonts w:hint="eastAsia"/>
                <w:sz w:val="21"/>
                <w:szCs w:val="21"/>
              </w:rPr>
              <w:t>WAF</w:t>
            </w:r>
            <w:r>
              <w:rPr>
                <w:sz w:val="21"/>
                <w:szCs w:val="21"/>
              </w:rPr>
              <w:t>-2610</w:t>
            </w:r>
          </w:p>
        </w:tc>
        <w:tc>
          <w:tcPr>
            <w:tcW w:w="7513" w:type="dxa"/>
            <w:vAlign w:val="center"/>
          </w:tcPr>
          <w:p w:rsidR="007C5836" w:rsidRDefault="007C5836" w:rsidP="00CE43B4">
            <w:pPr>
              <w:jc w:val="left"/>
              <w:rPr>
                <w:rFonts w:hAnsi="宋体"/>
                <w:b/>
                <w:sz w:val="21"/>
                <w:szCs w:val="21"/>
              </w:rPr>
            </w:pPr>
            <w:r>
              <w:rPr>
                <w:rFonts w:hAnsi="宋体" w:hint="eastAsia"/>
                <w:sz w:val="21"/>
                <w:szCs w:val="21"/>
              </w:rPr>
              <w:t>产品采用1U专用机架式硬件设备，系统硬件为全内置封闭式结构,非NGFW</w:t>
            </w:r>
            <w:r>
              <w:rPr>
                <w:rFonts w:hAnsi="宋体"/>
                <w:sz w:val="21"/>
                <w:szCs w:val="21"/>
              </w:rPr>
              <w:t>、NGAF等</w:t>
            </w:r>
            <w:r>
              <w:rPr>
                <w:rFonts w:hAnsi="宋体" w:hint="eastAsia"/>
                <w:sz w:val="21"/>
                <w:szCs w:val="21"/>
              </w:rPr>
              <w:t>下一代</w:t>
            </w:r>
            <w:r>
              <w:rPr>
                <w:rFonts w:hAnsi="宋体"/>
                <w:sz w:val="21"/>
                <w:szCs w:val="21"/>
              </w:rPr>
              <w:t>防火墙或</w:t>
            </w:r>
            <w:r>
              <w:rPr>
                <w:rFonts w:hAnsi="宋体" w:hint="eastAsia"/>
                <w:sz w:val="21"/>
                <w:szCs w:val="21"/>
              </w:rPr>
              <w:t>UTM</w:t>
            </w:r>
            <w:r>
              <w:rPr>
                <w:rFonts w:hAnsi="宋体"/>
                <w:sz w:val="21"/>
                <w:szCs w:val="21"/>
              </w:rPr>
              <w:t>安全网关产品</w:t>
            </w:r>
            <w:r>
              <w:rPr>
                <w:rFonts w:hAnsi="宋体" w:hint="eastAsia"/>
                <w:sz w:val="21"/>
                <w:szCs w:val="21"/>
              </w:rPr>
              <w:t>，自动学习并构建网站的URL模型，禁止违反现有模型的尝试行为，支持更新、修正现有URL模型，IPv6协议通过和防护，支持</w:t>
            </w:r>
            <w:r>
              <w:rPr>
                <w:rFonts w:hAnsi="宋体"/>
                <w:sz w:val="21"/>
                <w:szCs w:val="21"/>
              </w:rPr>
              <w:t>解析</w:t>
            </w:r>
            <w:r>
              <w:rPr>
                <w:rFonts w:hAnsi="宋体" w:hint="eastAsia"/>
                <w:sz w:val="21"/>
                <w:szCs w:val="21"/>
              </w:rPr>
              <w:t>通过代理</w:t>
            </w:r>
            <w:r>
              <w:rPr>
                <w:rFonts w:hAnsi="宋体"/>
                <w:sz w:val="21"/>
                <w:szCs w:val="21"/>
              </w:rPr>
              <w:t>服务器</w:t>
            </w:r>
            <w:r>
              <w:rPr>
                <w:rFonts w:hAnsi="宋体" w:hint="eastAsia"/>
                <w:sz w:val="21"/>
                <w:szCs w:val="21"/>
              </w:rPr>
              <w:t>访问</w:t>
            </w:r>
            <w:r>
              <w:rPr>
                <w:rFonts w:hAnsi="宋体"/>
                <w:sz w:val="21"/>
                <w:szCs w:val="21"/>
              </w:rPr>
              <w:t>用户的真实IP地址，</w:t>
            </w:r>
            <w:r>
              <w:rPr>
                <w:rFonts w:hAnsi="宋体" w:hint="eastAsia"/>
                <w:sz w:val="21"/>
                <w:szCs w:val="21"/>
              </w:rPr>
              <w:t>默认支持X-Real-IP或X-Forwarded-For</w:t>
            </w:r>
            <w:r>
              <w:rPr>
                <w:rFonts w:hAnsi="宋体"/>
                <w:sz w:val="21"/>
                <w:szCs w:val="21"/>
              </w:rPr>
              <w:t>字段的值作为真实来源IP地址</w:t>
            </w:r>
            <w:r>
              <w:rPr>
                <w:rFonts w:hAnsi="宋体" w:hint="eastAsia"/>
                <w:sz w:val="21"/>
                <w:szCs w:val="21"/>
              </w:rPr>
              <w:t>，同时</w:t>
            </w:r>
            <w:r>
              <w:rPr>
                <w:rFonts w:hAnsi="宋体"/>
                <w:sz w:val="21"/>
                <w:szCs w:val="21"/>
              </w:rPr>
              <w:t>支持用户自定义字段名称。</w:t>
            </w:r>
            <w:r>
              <w:rPr>
                <w:rFonts w:hAnsi="宋体" w:cs="宋体" w:hint="eastAsia"/>
                <w:sz w:val="21"/>
                <w:szCs w:val="21"/>
              </w:rPr>
              <w:t>支持</w:t>
            </w:r>
            <w:r>
              <w:rPr>
                <w:rFonts w:hAnsi="宋体" w:cs="宋体"/>
                <w:sz w:val="21"/>
                <w:szCs w:val="21"/>
              </w:rPr>
              <w:t>用户自定义</w:t>
            </w:r>
            <w:r>
              <w:rPr>
                <w:rFonts w:hAnsi="宋体" w:cs="宋体" w:hint="eastAsia"/>
                <w:sz w:val="21"/>
                <w:szCs w:val="21"/>
              </w:rPr>
              <w:t>防护</w:t>
            </w:r>
            <w:r>
              <w:rPr>
                <w:rFonts w:hAnsi="宋体" w:cs="宋体"/>
                <w:sz w:val="21"/>
                <w:szCs w:val="21"/>
              </w:rPr>
              <w:t>策略集，针对不同的</w:t>
            </w:r>
            <w:r>
              <w:rPr>
                <w:rFonts w:hAnsi="宋体" w:cs="宋体" w:hint="eastAsia"/>
                <w:sz w:val="21"/>
                <w:szCs w:val="21"/>
              </w:rPr>
              <w:t>来源/目的</w:t>
            </w:r>
            <w:r>
              <w:rPr>
                <w:rFonts w:hAnsi="宋体" w:cs="宋体"/>
                <w:sz w:val="21"/>
                <w:szCs w:val="21"/>
              </w:rPr>
              <w:t>IP，</w:t>
            </w:r>
            <w:r>
              <w:rPr>
                <w:rFonts w:hAnsi="宋体" w:cs="宋体" w:hint="eastAsia"/>
                <w:sz w:val="21"/>
                <w:szCs w:val="21"/>
              </w:rPr>
              <w:t>目的</w:t>
            </w:r>
            <w:r>
              <w:rPr>
                <w:rFonts w:hAnsi="宋体" w:cs="宋体"/>
                <w:sz w:val="21"/>
                <w:szCs w:val="21"/>
              </w:rPr>
              <w:t>URL</w:t>
            </w:r>
            <w:r>
              <w:rPr>
                <w:rFonts w:hAnsi="宋体" w:cs="宋体" w:hint="eastAsia"/>
                <w:sz w:val="21"/>
                <w:szCs w:val="21"/>
              </w:rPr>
              <w:t>选择</w:t>
            </w:r>
            <w:r>
              <w:rPr>
                <w:rFonts w:hAnsi="宋体" w:cs="宋体"/>
                <w:sz w:val="21"/>
                <w:szCs w:val="21"/>
              </w:rPr>
              <w:t>不用的策略集。</w:t>
            </w:r>
            <w:r>
              <w:rPr>
                <w:rFonts w:hAnsi="宋体" w:hint="eastAsia"/>
                <w:sz w:val="21"/>
                <w:szCs w:val="21"/>
              </w:rPr>
              <w:t>提供高度灵活的自定义规则向导，适用于高级用户，支持超长报文组包（默认30M），支持对恶意</w:t>
            </w:r>
            <w:r>
              <w:rPr>
                <w:rFonts w:hAnsi="宋体"/>
                <w:sz w:val="21"/>
                <w:szCs w:val="21"/>
              </w:rPr>
              <w:t>扫描</w:t>
            </w:r>
            <w:r>
              <w:rPr>
                <w:rFonts w:hAnsi="宋体" w:hint="eastAsia"/>
                <w:sz w:val="21"/>
                <w:szCs w:val="21"/>
              </w:rPr>
              <w:t>行为开启</w:t>
            </w:r>
            <w:r>
              <w:rPr>
                <w:rFonts w:hAnsi="宋体"/>
                <w:sz w:val="21"/>
                <w:szCs w:val="21"/>
              </w:rPr>
              <w:t>防扫描功能，</w:t>
            </w:r>
            <w:r>
              <w:rPr>
                <w:rFonts w:hAnsi="宋体" w:hint="eastAsia"/>
                <w:sz w:val="21"/>
                <w:szCs w:val="21"/>
              </w:rPr>
              <w:t>用户</w:t>
            </w:r>
            <w:r>
              <w:rPr>
                <w:rFonts w:hAnsi="宋体"/>
                <w:sz w:val="21"/>
                <w:szCs w:val="21"/>
              </w:rPr>
              <w:t>可自定义防护等级</w:t>
            </w:r>
            <w:r>
              <w:rPr>
                <w:rFonts w:hAnsi="宋体" w:hint="eastAsia"/>
                <w:sz w:val="21"/>
                <w:szCs w:val="21"/>
              </w:rPr>
              <w:t>，支持木马</w:t>
            </w:r>
            <w:r>
              <w:rPr>
                <w:rFonts w:hAnsi="宋体"/>
                <w:sz w:val="21"/>
                <w:szCs w:val="21"/>
              </w:rPr>
              <w:t>上传日志，记录</w:t>
            </w:r>
            <w:r>
              <w:rPr>
                <w:rFonts w:hAnsi="宋体" w:hint="eastAsia"/>
                <w:sz w:val="21"/>
                <w:szCs w:val="21"/>
              </w:rPr>
              <w:t>上传</w:t>
            </w:r>
            <w:r>
              <w:rPr>
                <w:rFonts w:hAnsi="宋体"/>
                <w:sz w:val="21"/>
                <w:szCs w:val="21"/>
              </w:rPr>
              <w:t>时间，</w:t>
            </w:r>
            <w:r>
              <w:rPr>
                <w:rFonts w:hAnsi="宋体" w:hint="eastAsia"/>
                <w:sz w:val="21"/>
                <w:szCs w:val="21"/>
              </w:rPr>
              <w:t>源地址，</w:t>
            </w:r>
            <w:r>
              <w:rPr>
                <w:rFonts w:hAnsi="宋体"/>
                <w:sz w:val="21"/>
                <w:szCs w:val="21"/>
              </w:rPr>
              <w:t>目的地址</w:t>
            </w:r>
            <w:r>
              <w:rPr>
                <w:rFonts w:hAnsi="宋体" w:hint="eastAsia"/>
                <w:sz w:val="21"/>
                <w:szCs w:val="21"/>
              </w:rPr>
              <w:t>，</w:t>
            </w:r>
            <w:r>
              <w:rPr>
                <w:rFonts w:hAnsi="宋体"/>
                <w:sz w:val="21"/>
                <w:szCs w:val="21"/>
              </w:rPr>
              <w:t>目的URL</w:t>
            </w:r>
            <w:r>
              <w:rPr>
                <w:rFonts w:hAnsi="宋体" w:hint="eastAsia"/>
                <w:sz w:val="21"/>
                <w:szCs w:val="21"/>
              </w:rPr>
              <w:t>，</w:t>
            </w:r>
            <w:r>
              <w:rPr>
                <w:rFonts w:hAnsi="宋体"/>
                <w:sz w:val="21"/>
                <w:szCs w:val="21"/>
              </w:rPr>
              <w:t>拦截原因。支持</w:t>
            </w:r>
            <w:r>
              <w:rPr>
                <w:rFonts w:hAnsi="宋体" w:hint="eastAsia"/>
                <w:sz w:val="21"/>
                <w:szCs w:val="21"/>
              </w:rPr>
              <w:t>将木马</w:t>
            </w:r>
            <w:r>
              <w:rPr>
                <w:rFonts w:hAnsi="宋体"/>
                <w:sz w:val="21"/>
                <w:szCs w:val="21"/>
              </w:rPr>
              <w:t>文件直接下载至本地进行人工分析。</w:t>
            </w:r>
            <w:r>
              <w:rPr>
                <w:rFonts w:hAnsi="宋体" w:hint="eastAsia"/>
                <w:sz w:val="21"/>
                <w:szCs w:val="21"/>
              </w:rPr>
              <w:t>支持</w:t>
            </w:r>
            <w:r>
              <w:rPr>
                <w:rFonts w:hAnsi="宋体" w:hint="eastAsia"/>
                <w:b/>
                <w:sz w:val="21"/>
                <w:szCs w:val="21"/>
              </w:rPr>
              <w:t>网页篡改防护，支持数据库防篡改，</w:t>
            </w:r>
            <w:r>
              <w:rPr>
                <w:rFonts w:hAnsi="宋体" w:hint="eastAsia"/>
                <w:sz w:val="21"/>
                <w:szCs w:val="21"/>
              </w:rPr>
              <w:t>支持敏感关键字过滤</w:t>
            </w:r>
            <w:r>
              <w:rPr>
                <w:rFonts w:hAnsi="宋体"/>
                <w:sz w:val="21"/>
                <w:szCs w:val="21"/>
              </w:rPr>
              <w:t>，用户可自定义</w:t>
            </w:r>
            <w:r>
              <w:rPr>
                <w:rFonts w:hAnsi="宋体" w:hint="eastAsia"/>
                <w:sz w:val="21"/>
                <w:szCs w:val="21"/>
              </w:rPr>
              <w:t>关键字</w:t>
            </w:r>
            <w:r>
              <w:rPr>
                <w:rFonts w:hAnsi="宋体"/>
                <w:sz w:val="21"/>
                <w:szCs w:val="21"/>
              </w:rPr>
              <w:t>内容</w:t>
            </w:r>
            <w:r>
              <w:rPr>
                <w:rFonts w:hAnsi="宋体" w:hint="eastAsia"/>
                <w:sz w:val="21"/>
                <w:szCs w:val="21"/>
              </w:rPr>
              <w:t>，记录登陆过程中使用的弱密码，检测网站的备案情况，对于通过备案网站放行，未通过备案禁止访问，</w:t>
            </w:r>
            <w:r>
              <w:rPr>
                <w:rFonts w:hAnsi="宋体" w:hint="eastAsia"/>
                <w:b/>
                <w:sz w:val="21"/>
                <w:szCs w:val="21"/>
              </w:rPr>
              <w:t>防CC攻击防护，抗拒绝服务攻击，</w:t>
            </w:r>
            <w:r>
              <w:rPr>
                <w:rFonts w:hAnsi="宋体" w:hint="eastAsia"/>
                <w:sz w:val="21"/>
                <w:szCs w:val="21"/>
              </w:rPr>
              <w:t>支持端口汇聚（Trunk），显著提高设备间的吞吐能力，支持VLAN解码，在Trunk线路上部署并提供防护，统计</w:t>
            </w:r>
            <w:r>
              <w:rPr>
                <w:rFonts w:hAnsi="宋体"/>
                <w:sz w:val="21"/>
                <w:szCs w:val="21"/>
              </w:rPr>
              <w:t>每天访问</w:t>
            </w:r>
            <w:r>
              <w:rPr>
                <w:rFonts w:hAnsi="宋体" w:hint="eastAsia"/>
                <w:sz w:val="21"/>
                <w:szCs w:val="21"/>
              </w:rPr>
              <w:t>所有</w:t>
            </w:r>
            <w:r>
              <w:rPr>
                <w:rFonts w:hAnsi="宋体"/>
                <w:sz w:val="21"/>
                <w:szCs w:val="21"/>
              </w:rPr>
              <w:t>站点</w:t>
            </w:r>
            <w:r>
              <w:rPr>
                <w:rFonts w:hAnsi="宋体" w:hint="eastAsia"/>
                <w:sz w:val="21"/>
                <w:szCs w:val="21"/>
              </w:rPr>
              <w:t>或</w:t>
            </w:r>
            <w:r>
              <w:rPr>
                <w:rFonts w:hAnsi="宋体"/>
                <w:sz w:val="21"/>
                <w:szCs w:val="21"/>
              </w:rPr>
              <w:t>某个站点的</w:t>
            </w:r>
            <w:r>
              <w:rPr>
                <w:rFonts w:hAnsi="宋体" w:hint="eastAsia"/>
                <w:sz w:val="21"/>
                <w:szCs w:val="21"/>
              </w:rPr>
              <w:t>地域</w:t>
            </w:r>
            <w:r>
              <w:rPr>
                <w:rFonts w:hAnsi="宋体"/>
                <w:sz w:val="21"/>
                <w:szCs w:val="21"/>
              </w:rPr>
              <w:t>统计，</w:t>
            </w:r>
            <w:r>
              <w:rPr>
                <w:rFonts w:hAnsi="宋体" w:hint="eastAsia"/>
                <w:sz w:val="21"/>
                <w:szCs w:val="21"/>
              </w:rPr>
              <w:t>并以地理热点分布</w:t>
            </w:r>
            <w:r>
              <w:rPr>
                <w:rFonts w:hAnsi="宋体"/>
                <w:sz w:val="21"/>
                <w:szCs w:val="21"/>
              </w:rPr>
              <w:t>图的</w:t>
            </w:r>
            <w:r>
              <w:rPr>
                <w:rFonts w:hAnsi="宋体" w:hint="eastAsia"/>
                <w:sz w:val="21"/>
                <w:szCs w:val="21"/>
              </w:rPr>
              <w:t>形式</w:t>
            </w:r>
            <w:r>
              <w:rPr>
                <w:rFonts w:hAnsi="宋体"/>
                <w:sz w:val="21"/>
                <w:szCs w:val="21"/>
              </w:rPr>
              <w:t>体现</w:t>
            </w:r>
            <w:r>
              <w:rPr>
                <w:rFonts w:hAnsi="宋体" w:hint="eastAsia"/>
                <w:sz w:val="21"/>
                <w:szCs w:val="21"/>
              </w:rPr>
              <w:t>。统计</w:t>
            </w:r>
            <w:r>
              <w:rPr>
                <w:rFonts w:hAnsi="宋体"/>
                <w:sz w:val="21"/>
                <w:szCs w:val="21"/>
              </w:rPr>
              <w:t>每天访问</w:t>
            </w:r>
            <w:r>
              <w:rPr>
                <w:rFonts w:hAnsi="宋体" w:hint="eastAsia"/>
                <w:sz w:val="21"/>
                <w:szCs w:val="21"/>
              </w:rPr>
              <w:t>所有</w:t>
            </w:r>
            <w:r>
              <w:rPr>
                <w:rFonts w:hAnsi="宋体"/>
                <w:sz w:val="21"/>
                <w:szCs w:val="21"/>
              </w:rPr>
              <w:t>站点</w:t>
            </w:r>
            <w:r>
              <w:rPr>
                <w:rFonts w:hAnsi="宋体" w:hint="eastAsia"/>
                <w:sz w:val="21"/>
                <w:szCs w:val="21"/>
              </w:rPr>
              <w:t>或</w:t>
            </w:r>
            <w:r>
              <w:rPr>
                <w:rFonts w:hAnsi="宋体"/>
                <w:sz w:val="21"/>
                <w:szCs w:val="21"/>
              </w:rPr>
              <w:t>某个站点的</w:t>
            </w:r>
            <w:r>
              <w:rPr>
                <w:rFonts w:hAnsi="宋体" w:hint="eastAsia"/>
                <w:sz w:val="21"/>
                <w:szCs w:val="21"/>
              </w:rPr>
              <w:t>浏览器</w:t>
            </w:r>
            <w:r>
              <w:rPr>
                <w:rFonts w:hAnsi="宋体"/>
                <w:sz w:val="21"/>
                <w:szCs w:val="21"/>
              </w:rPr>
              <w:t>类型和比例，</w:t>
            </w:r>
            <w:r>
              <w:rPr>
                <w:rFonts w:hAnsi="宋体" w:hint="eastAsia"/>
                <w:sz w:val="21"/>
                <w:szCs w:val="21"/>
              </w:rPr>
              <w:t>并以图表方式</w:t>
            </w:r>
            <w:r>
              <w:rPr>
                <w:rFonts w:hAnsi="宋体"/>
                <w:sz w:val="21"/>
                <w:szCs w:val="21"/>
              </w:rPr>
              <w:t>体现</w:t>
            </w:r>
            <w:r>
              <w:rPr>
                <w:rFonts w:hAnsi="宋体" w:hint="eastAsia"/>
                <w:sz w:val="21"/>
                <w:szCs w:val="21"/>
              </w:rPr>
              <w:t>。统计</w:t>
            </w:r>
            <w:r>
              <w:rPr>
                <w:rFonts w:hAnsi="宋体"/>
                <w:sz w:val="21"/>
                <w:szCs w:val="21"/>
              </w:rPr>
              <w:t>每天访问</w:t>
            </w:r>
            <w:r>
              <w:rPr>
                <w:rFonts w:hAnsi="宋体" w:hint="eastAsia"/>
                <w:sz w:val="21"/>
                <w:szCs w:val="21"/>
              </w:rPr>
              <w:t>所有</w:t>
            </w:r>
            <w:r>
              <w:rPr>
                <w:rFonts w:hAnsi="宋体"/>
                <w:sz w:val="21"/>
                <w:szCs w:val="21"/>
              </w:rPr>
              <w:t>站点</w:t>
            </w:r>
            <w:r>
              <w:rPr>
                <w:rFonts w:hAnsi="宋体" w:hint="eastAsia"/>
                <w:sz w:val="21"/>
                <w:szCs w:val="21"/>
              </w:rPr>
              <w:t>或</w:t>
            </w:r>
            <w:r>
              <w:rPr>
                <w:rFonts w:hAnsi="宋体"/>
                <w:sz w:val="21"/>
                <w:szCs w:val="21"/>
              </w:rPr>
              <w:t>某个站点的</w:t>
            </w:r>
            <w:r>
              <w:rPr>
                <w:rFonts w:hAnsi="宋体" w:hint="eastAsia"/>
                <w:sz w:val="21"/>
                <w:szCs w:val="21"/>
              </w:rPr>
              <w:t>操作系统</w:t>
            </w:r>
            <w:r>
              <w:rPr>
                <w:rFonts w:hAnsi="宋体"/>
                <w:sz w:val="21"/>
                <w:szCs w:val="21"/>
              </w:rPr>
              <w:t>类型和比例，</w:t>
            </w:r>
            <w:r>
              <w:rPr>
                <w:rFonts w:hAnsi="宋体" w:hint="eastAsia"/>
                <w:sz w:val="21"/>
                <w:szCs w:val="21"/>
              </w:rPr>
              <w:t>并以图表方式</w:t>
            </w:r>
            <w:r>
              <w:rPr>
                <w:rFonts w:hAnsi="宋体"/>
                <w:sz w:val="21"/>
                <w:szCs w:val="21"/>
              </w:rPr>
              <w:t>体现</w:t>
            </w:r>
            <w:r>
              <w:rPr>
                <w:rFonts w:hAnsi="宋体" w:hint="eastAsia"/>
                <w:sz w:val="21"/>
                <w:szCs w:val="21"/>
              </w:rPr>
              <w:t>。内置bypass模块，设备故障直接切换到bypass模式。</w:t>
            </w:r>
          </w:p>
          <w:p w:rsidR="007C5836" w:rsidRPr="00073C71" w:rsidRDefault="007C5836" w:rsidP="00CE43B4">
            <w:pPr>
              <w:rPr>
                <w:sz w:val="21"/>
                <w:szCs w:val="21"/>
              </w:rPr>
            </w:pPr>
          </w:p>
        </w:tc>
        <w:tc>
          <w:tcPr>
            <w:tcW w:w="567" w:type="dxa"/>
            <w:vAlign w:val="center"/>
          </w:tcPr>
          <w:p w:rsidR="007C5836" w:rsidRDefault="007C5836" w:rsidP="00CE43B4">
            <w:pPr>
              <w:jc w:val="center"/>
              <w:rPr>
                <w:sz w:val="21"/>
                <w:szCs w:val="21"/>
              </w:rPr>
            </w:pPr>
            <w:r>
              <w:rPr>
                <w:rFonts w:hint="eastAsia"/>
                <w:sz w:val="21"/>
                <w:szCs w:val="21"/>
              </w:rPr>
              <w:t>1</w:t>
            </w:r>
          </w:p>
        </w:tc>
        <w:tc>
          <w:tcPr>
            <w:tcW w:w="709" w:type="dxa"/>
            <w:vAlign w:val="center"/>
          </w:tcPr>
          <w:p w:rsidR="007C5836" w:rsidRDefault="007C5836" w:rsidP="00CE43B4">
            <w:pPr>
              <w:snapToGrid w:val="0"/>
              <w:jc w:val="center"/>
              <w:rPr>
                <w:sz w:val="21"/>
                <w:szCs w:val="21"/>
              </w:rPr>
            </w:pPr>
            <w:r>
              <w:rPr>
                <w:rFonts w:hint="eastAsia"/>
                <w:sz w:val="21"/>
                <w:szCs w:val="21"/>
              </w:rPr>
              <w:t>80000</w:t>
            </w:r>
          </w:p>
        </w:tc>
        <w:tc>
          <w:tcPr>
            <w:tcW w:w="708" w:type="dxa"/>
            <w:vAlign w:val="center"/>
          </w:tcPr>
          <w:p w:rsidR="007C5836" w:rsidRDefault="007C5836" w:rsidP="00CE43B4">
            <w:pPr>
              <w:snapToGrid w:val="0"/>
              <w:jc w:val="center"/>
              <w:rPr>
                <w:sz w:val="21"/>
                <w:szCs w:val="21"/>
              </w:rPr>
            </w:pPr>
            <w:r>
              <w:rPr>
                <w:rFonts w:hint="eastAsia"/>
                <w:sz w:val="21"/>
                <w:szCs w:val="21"/>
              </w:rPr>
              <w:t>80000</w:t>
            </w:r>
          </w:p>
        </w:tc>
        <w:tc>
          <w:tcPr>
            <w:tcW w:w="1052" w:type="dxa"/>
            <w:vAlign w:val="center"/>
          </w:tcPr>
          <w:p w:rsidR="007C5836" w:rsidRDefault="007C5836" w:rsidP="00CE43B4">
            <w:pPr>
              <w:snapToGrid w:val="0"/>
              <w:jc w:val="center"/>
              <w:rPr>
                <w:bCs/>
                <w:sz w:val="21"/>
                <w:szCs w:val="21"/>
              </w:rPr>
            </w:pPr>
            <w:r>
              <w:rPr>
                <w:rFonts w:hint="eastAsia"/>
                <w:bCs/>
                <w:sz w:val="21"/>
                <w:szCs w:val="21"/>
              </w:rPr>
              <w:t>无偏离</w:t>
            </w:r>
          </w:p>
        </w:tc>
      </w:tr>
      <w:tr w:rsidR="007C5836" w:rsidTr="00CE43B4">
        <w:trPr>
          <w:cantSplit/>
          <w:trHeight w:val="567"/>
        </w:trPr>
        <w:tc>
          <w:tcPr>
            <w:tcW w:w="1096" w:type="dxa"/>
            <w:gridSpan w:val="2"/>
            <w:vAlign w:val="center"/>
          </w:tcPr>
          <w:p w:rsidR="007C5836" w:rsidRDefault="007C5836" w:rsidP="00CE43B4">
            <w:pPr>
              <w:jc w:val="center"/>
              <w:rPr>
                <w:sz w:val="21"/>
                <w:szCs w:val="21"/>
              </w:rPr>
            </w:pPr>
            <w:r>
              <w:rPr>
                <w:rFonts w:hint="eastAsia"/>
                <w:sz w:val="21"/>
                <w:szCs w:val="21"/>
              </w:rPr>
              <w:lastRenderedPageBreak/>
              <w:t>3</w:t>
            </w:r>
          </w:p>
        </w:tc>
        <w:tc>
          <w:tcPr>
            <w:tcW w:w="1290" w:type="dxa"/>
            <w:gridSpan w:val="2"/>
            <w:vAlign w:val="center"/>
          </w:tcPr>
          <w:p w:rsidR="007C5836" w:rsidRPr="00E06F79" w:rsidRDefault="007C5836" w:rsidP="00CE43B4">
            <w:pPr>
              <w:jc w:val="center"/>
              <w:rPr>
                <w:rFonts w:hAnsi="宋体" w:cs="宋体"/>
                <w:color w:val="000000"/>
                <w:kern w:val="0"/>
                <w:sz w:val="21"/>
                <w:szCs w:val="21"/>
                <w:lang/>
              </w:rPr>
            </w:pPr>
            <w:r w:rsidRPr="00E06F79">
              <w:rPr>
                <w:rFonts w:hAnsi="宋体" w:cs="宋体" w:hint="eastAsia"/>
                <w:color w:val="000000"/>
                <w:kern w:val="0"/>
                <w:sz w:val="21"/>
                <w:szCs w:val="21"/>
                <w:lang/>
              </w:rPr>
              <w:t>日志审计系统</w:t>
            </w:r>
          </w:p>
        </w:tc>
        <w:tc>
          <w:tcPr>
            <w:tcW w:w="494" w:type="dxa"/>
            <w:gridSpan w:val="2"/>
            <w:vAlign w:val="center"/>
          </w:tcPr>
          <w:p w:rsidR="007C5836" w:rsidRDefault="007C5836" w:rsidP="00CE43B4">
            <w:pPr>
              <w:jc w:val="center"/>
              <w:rPr>
                <w:sz w:val="21"/>
                <w:szCs w:val="21"/>
              </w:rPr>
            </w:pPr>
            <w:r w:rsidRPr="00E06F79">
              <w:rPr>
                <w:rFonts w:hint="eastAsia"/>
                <w:sz w:val="21"/>
                <w:szCs w:val="21"/>
              </w:rPr>
              <w:t>实茂</w:t>
            </w:r>
          </w:p>
        </w:tc>
        <w:tc>
          <w:tcPr>
            <w:tcW w:w="567" w:type="dxa"/>
            <w:vAlign w:val="center"/>
          </w:tcPr>
          <w:p w:rsidR="007C5836" w:rsidRDefault="007C5836" w:rsidP="00CE43B4">
            <w:pPr>
              <w:jc w:val="center"/>
              <w:rPr>
                <w:sz w:val="21"/>
                <w:szCs w:val="21"/>
              </w:rPr>
            </w:pPr>
            <w:r>
              <w:rPr>
                <w:rFonts w:hint="eastAsia"/>
                <w:sz w:val="21"/>
                <w:szCs w:val="21"/>
              </w:rPr>
              <w:t>2</w:t>
            </w:r>
            <w:r>
              <w:rPr>
                <w:sz w:val="21"/>
                <w:szCs w:val="21"/>
              </w:rPr>
              <w:t>00AH</w:t>
            </w:r>
            <w:bookmarkStart w:id="0" w:name="_GoBack"/>
            <w:bookmarkEnd w:id="0"/>
          </w:p>
        </w:tc>
        <w:tc>
          <w:tcPr>
            <w:tcW w:w="7513" w:type="dxa"/>
            <w:vAlign w:val="center"/>
          </w:tcPr>
          <w:p w:rsidR="007C5836" w:rsidRPr="003A7F28" w:rsidRDefault="007C5836" w:rsidP="00CE43B4">
            <w:pPr>
              <w:widowControl/>
              <w:spacing w:line="200" w:lineRule="atLeast"/>
              <w:ind w:left="360"/>
              <w:jc w:val="left"/>
              <w:rPr>
                <w:rFonts w:hAnsi="宋体"/>
                <w:sz w:val="21"/>
                <w:szCs w:val="21"/>
              </w:rPr>
            </w:pPr>
            <w:r>
              <w:rPr>
                <w:rFonts w:hAnsi="宋体" w:hint="eastAsia"/>
                <w:sz w:val="21"/>
                <w:szCs w:val="21"/>
              </w:rPr>
              <w:t>标准机架式硬件设备，无需在目标系统上安装任何软件；产品功能的实现无需额外增加服务器等设备。要求系统能够稳定运行，系统应用程序能够提供持续稳定的服务。支持集中和分布式部署、集群部署、热扩容，采用旁路接入模式，设备部署不影响原有网络结构。支持</w:t>
            </w:r>
            <w:r>
              <w:rPr>
                <w:rFonts w:hAnsi="宋体" w:hint="eastAsia"/>
                <w:b/>
                <w:sz w:val="21"/>
                <w:szCs w:val="21"/>
              </w:rPr>
              <w:t>资产管理，</w:t>
            </w:r>
            <w:r>
              <w:rPr>
                <w:rFonts w:hAnsi="宋体" w:hint="eastAsia"/>
                <w:sz w:val="21"/>
                <w:szCs w:val="21"/>
              </w:rPr>
              <w:t>对日志格式进行标准化操作时，将不破坏原始日志内容。</w:t>
            </w:r>
            <w:r w:rsidRPr="009B79F1">
              <w:rPr>
                <w:rFonts w:hAnsi="宋体" w:hint="eastAsia"/>
                <w:sz w:val="21"/>
                <w:szCs w:val="21"/>
              </w:rPr>
              <w:t>标准化自动识别系统类型至少达到</w:t>
            </w:r>
            <w:r w:rsidRPr="009B79F1">
              <w:rPr>
                <w:rFonts w:hAnsi="宋体"/>
                <w:sz w:val="21"/>
                <w:szCs w:val="21"/>
              </w:rPr>
              <w:t>200</w:t>
            </w:r>
            <w:r w:rsidRPr="009B79F1">
              <w:rPr>
                <w:rFonts w:hAnsi="宋体" w:hint="eastAsia"/>
                <w:sz w:val="21"/>
                <w:szCs w:val="21"/>
              </w:rPr>
              <w:t>种</w:t>
            </w:r>
            <w:r>
              <w:rPr>
                <w:rFonts w:hAnsi="宋体" w:hint="eastAsia"/>
                <w:sz w:val="21"/>
                <w:szCs w:val="21"/>
              </w:rPr>
              <w:t>，</w:t>
            </w:r>
            <w:r w:rsidRPr="009B79F1">
              <w:rPr>
                <w:rFonts w:hAnsi="宋体" w:hint="eastAsia"/>
                <w:sz w:val="21"/>
                <w:szCs w:val="21"/>
              </w:rPr>
              <w:t>系统从不同设备或系统中所获得的各类日志、事件中抽取相关片段准确和完整地映射至安全事件的标准字段，日志清洗后的标准化字段粒度至少达到90</w:t>
            </w:r>
            <w:r>
              <w:rPr>
                <w:rFonts w:hAnsi="宋体" w:hint="eastAsia"/>
                <w:sz w:val="21"/>
                <w:szCs w:val="21"/>
              </w:rPr>
              <w:t>个字段。</w:t>
            </w:r>
            <w:r w:rsidRPr="009B79F1">
              <w:rPr>
                <w:rFonts w:hAnsi="宋体" w:hint="eastAsia"/>
                <w:sz w:val="21"/>
                <w:szCs w:val="21"/>
              </w:rPr>
              <w:t>对安全事件重新定级。能根据统一的安全策略，按照安全设备识别名、事件类别、事件级别等所有可能的条件及各种条件的组合对事件严重级别进行重定义</w:t>
            </w:r>
            <w:r>
              <w:rPr>
                <w:rFonts w:hAnsi="宋体" w:hint="eastAsia"/>
                <w:sz w:val="21"/>
                <w:szCs w:val="21"/>
              </w:rPr>
              <w:t>，</w:t>
            </w:r>
            <w:r w:rsidRPr="009B79F1">
              <w:rPr>
                <w:rFonts w:hAnsi="宋体" w:hint="eastAsia"/>
                <w:sz w:val="21"/>
                <w:szCs w:val="21"/>
              </w:rPr>
              <w:t>系统能够将标准格式的事件写入存储设备</w:t>
            </w:r>
            <w:r>
              <w:rPr>
                <w:rFonts w:hAnsi="宋体" w:hint="eastAsia"/>
                <w:sz w:val="21"/>
                <w:szCs w:val="21"/>
              </w:rPr>
              <w:t>，</w:t>
            </w:r>
            <w:r w:rsidRPr="009B79F1">
              <w:rPr>
                <w:rFonts w:hAnsi="宋体" w:hint="eastAsia"/>
                <w:sz w:val="21"/>
                <w:szCs w:val="21"/>
              </w:rPr>
              <w:t>系统的标准化策略具备良好的可扩展性，可通过配置文件或界面实现管理功能</w:t>
            </w:r>
            <w:r>
              <w:rPr>
                <w:rFonts w:hAnsi="宋体" w:hint="eastAsia"/>
                <w:sz w:val="21"/>
                <w:szCs w:val="21"/>
              </w:rPr>
              <w:t>，</w:t>
            </w:r>
            <w:r w:rsidRPr="009B79F1">
              <w:rPr>
                <w:rFonts w:hAnsi="宋体" w:hint="eastAsia"/>
                <w:sz w:val="21"/>
                <w:szCs w:val="21"/>
              </w:rPr>
              <w:t>支持不同设备相同IP的日志识别。</w:t>
            </w:r>
            <w:r>
              <w:rPr>
                <w:rFonts w:hAnsi="宋体" w:hint="eastAsia"/>
                <w:sz w:val="21"/>
                <w:szCs w:val="21"/>
              </w:rPr>
              <w:t>支持</w:t>
            </w:r>
            <w:r>
              <w:rPr>
                <w:rFonts w:hAnsi="宋体" w:hint="eastAsia"/>
                <w:b/>
                <w:sz w:val="21"/>
                <w:szCs w:val="21"/>
              </w:rPr>
              <w:t>日志处理，</w:t>
            </w:r>
            <w:r>
              <w:rPr>
                <w:rFonts w:hAnsi="宋体" w:hint="eastAsia"/>
                <w:sz w:val="21"/>
                <w:szCs w:val="21"/>
              </w:rPr>
              <w:t>系统需</w:t>
            </w:r>
            <w:r>
              <w:rPr>
                <w:rFonts w:hAnsi="宋体"/>
                <w:sz w:val="21"/>
                <w:szCs w:val="21"/>
              </w:rPr>
              <w:t>具有归并技术</w:t>
            </w:r>
            <w:r>
              <w:rPr>
                <w:rFonts w:hAnsi="宋体" w:hint="eastAsia"/>
                <w:sz w:val="21"/>
                <w:szCs w:val="21"/>
              </w:rPr>
              <w:t>，</w:t>
            </w:r>
            <w:r>
              <w:rPr>
                <w:rFonts w:hAnsi="宋体"/>
                <w:sz w:val="21"/>
                <w:szCs w:val="21"/>
              </w:rPr>
              <w:t>安全事件收集代理会在一段时间内比较收到的安全事件，如果安全事件相同，则只需发送一条安全事件，该安全事件应包括安全事件详情及该安全事件发生的次数，这样可以减少安全事件通信量</w:t>
            </w:r>
            <w:r>
              <w:rPr>
                <w:rFonts w:hAnsi="宋体" w:hint="eastAsia"/>
                <w:sz w:val="21"/>
                <w:szCs w:val="21"/>
              </w:rPr>
              <w:t>，支持</w:t>
            </w:r>
            <w:r>
              <w:rPr>
                <w:rFonts w:hAnsi="宋体" w:hint="eastAsia"/>
                <w:b/>
                <w:sz w:val="21"/>
                <w:szCs w:val="21"/>
              </w:rPr>
              <w:t>实时</w:t>
            </w:r>
            <w:r>
              <w:rPr>
                <w:rFonts w:hAnsi="宋体"/>
                <w:b/>
                <w:sz w:val="21"/>
                <w:szCs w:val="21"/>
              </w:rPr>
              <w:t>监控</w:t>
            </w:r>
            <w:r>
              <w:rPr>
                <w:rFonts w:hAnsi="宋体" w:hint="eastAsia"/>
                <w:b/>
                <w:sz w:val="21"/>
                <w:szCs w:val="21"/>
              </w:rPr>
              <w:t>、日志查询、关联</w:t>
            </w:r>
            <w:r>
              <w:rPr>
                <w:rFonts w:hAnsi="宋体"/>
                <w:b/>
                <w:sz w:val="21"/>
                <w:szCs w:val="21"/>
              </w:rPr>
              <w:t>策略</w:t>
            </w:r>
            <w:r>
              <w:rPr>
                <w:rFonts w:hAnsi="宋体" w:hint="eastAsia"/>
                <w:b/>
                <w:sz w:val="21"/>
                <w:szCs w:val="21"/>
              </w:rPr>
              <w:t>，</w:t>
            </w:r>
            <w:r>
              <w:rPr>
                <w:rFonts w:hAnsi="宋体" w:hint="eastAsia"/>
                <w:sz w:val="21"/>
                <w:szCs w:val="21"/>
              </w:rPr>
              <w:t>为了挖掘不同类型、来源于不同设备或系统的日志或安全事件之间可能存在的关联关系，系统提供了GUI方式的关联规则设置功能，关联的类型包括基于规则和基于统计的，支持基于因果式的状态关联分析，支持显示审计事件分类统计列表，</w:t>
            </w:r>
            <w:r>
              <w:rPr>
                <w:rFonts w:hAnsi="宋体"/>
                <w:sz w:val="21"/>
                <w:szCs w:val="21"/>
              </w:rPr>
              <w:t>根据</w:t>
            </w:r>
            <w:r>
              <w:rPr>
                <w:rFonts w:hAnsi="宋体" w:hint="eastAsia"/>
                <w:sz w:val="21"/>
                <w:szCs w:val="21"/>
              </w:rPr>
              <w:t>审计策略名称、审计事件类型、被</w:t>
            </w:r>
            <w:r>
              <w:rPr>
                <w:rFonts w:hAnsi="宋体"/>
                <w:sz w:val="21"/>
                <w:szCs w:val="21"/>
              </w:rPr>
              <w:t>审计人员、目标设备地址</w:t>
            </w:r>
            <w:r>
              <w:rPr>
                <w:rFonts w:hAnsi="宋体" w:hint="eastAsia"/>
                <w:sz w:val="21"/>
                <w:szCs w:val="21"/>
              </w:rPr>
              <w:t>四个</w:t>
            </w:r>
            <w:r>
              <w:rPr>
                <w:rFonts w:hAnsi="宋体"/>
                <w:sz w:val="21"/>
                <w:szCs w:val="21"/>
              </w:rPr>
              <w:t>维度展现</w:t>
            </w:r>
            <w:r>
              <w:rPr>
                <w:rFonts w:hAnsi="宋体" w:hint="eastAsia"/>
                <w:sz w:val="21"/>
                <w:szCs w:val="21"/>
              </w:rPr>
              <w:t>。</w:t>
            </w:r>
            <w:r>
              <w:rPr>
                <w:rFonts w:hAnsi="宋体"/>
                <w:sz w:val="21"/>
                <w:szCs w:val="21"/>
              </w:rPr>
              <w:t>提供可视化方式进行策略制定</w:t>
            </w:r>
            <w:r>
              <w:rPr>
                <w:rFonts w:hAnsi="宋体" w:hint="eastAsia"/>
                <w:sz w:val="21"/>
                <w:szCs w:val="21"/>
              </w:rPr>
              <w:t>。可</w:t>
            </w:r>
            <w:r>
              <w:rPr>
                <w:rFonts w:hAnsi="宋体"/>
                <w:sz w:val="21"/>
                <w:szCs w:val="21"/>
              </w:rPr>
              <w:t>通过事件的任意字段制定规则创建策略</w:t>
            </w:r>
            <w:r>
              <w:rPr>
                <w:rFonts w:hAnsi="宋体" w:hint="eastAsia"/>
                <w:sz w:val="21"/>
                <w:szCs w:val="21"/>
              </w:rPr>
              <w:t>。支持告警响应联动防火墙等安全设备。系统提供全文检索功能。能对系统内的对象提供全文检索功能，对于海量数据的检索可限定检索时间段（主要针对安全事件）。全文检索提供一个输入栏，需要置顶，在任何页面都能够看到。包括报表内置实例管理和报表任务管理。支持根据三权分立的原则和要求进行职、权分离，对系统本身进行分角色定义，如管理员只负责完成设备的初始配置，规则配置员只负责审计规则的建立，审计员只负责查看相关的审计结果及告警内容；日志员只负责完成对系统本身的用户操作日志管理。</w:t>
            </w:r>
          </w:p>
        </w:tc>
        <w:tc>
          <w:tcPr>
            <w:tcW w:w="567" w:type="dxa"/>
            <w:vAlign w:val="center"/>
          </w:tcPr>
          <w:p w:rsidR="007C5836" w:rsidRDefault="007C5836" w:rsidP="00CE43B4">
            <w:pPr>
              <w:jc w:val="center"/>
              <w:rPr>
                <w:sz w:val="21"/>
                <w:szCs w:val="21"/>
              </w:rPr>
            </w:pPr>
            <w:r>
              <w:rPr>
                <w:rFonts w:hint="eastAsia"/>
                <w:sz w:val="21"/>
                <w:szCs w:val="21"/>
              </w:rPr>
              <w:t>1</w:t>
            </w:r>
          </w:p>
        </w:tc>
        <w:tc>
          <w:tcPr>
            <w:tcW w:w="709" w:type="dxa"/>
            <w:vAlign w:val="center"/>
          </w:tcPr>
          <w:p w:rsidR="007C5836" w:rsidRDefault="007C5836" w:rsidP="00CE43B4">
            <w:pPr>
              <w:snapToGrid w:val="0"/>
              <w:jc w:val="center"/>
              <w:rPr>
                <w:sz w:val="21"/>
                <w:szCs w:val="21"/>
              </w:rPr>
            </w:pPr>
            <w:r>
              <w:rPr>
                <w:rFonts w:hint="eastAsia"/>
                <w:sz w:val="21"/>
                <w:szCs w:val="21"/>
              </w:rPr>
              <w:t>80000</w:t>
            </w:r>
          </w:p>
        </w:tc>
        <w:tc>
          <w:tcPr>
            <w:tcW w:w="708" w:type="dxa"/>
            <w:vAlign w:val="center"/>
          </w:tcPr>
          <w:p w:rsidR="007C5836" w:rsidRDefault="007C5836" w:rsidP="00CE43B4">
            <w:pPr>
              <w:snapToGrid w:val="0"/>
              <w:jc w:val="center"/>
              <w:rPr>
                <w:sz w:val="21"/>
                <w:szCs w:val="21"/>
              </w:rPr>
            </w:pPr>
            <w:r>
              <w:rPr>
                <w:rFonts w:hint="eastAsia"/>
                <w:sz w:val="21"/>
                <w:szCs w:val="21"/>
              </w:rPr>
              <w:t>80000</w:t>
            </w:r>
          </w:p>
        </w:tc>
        <w:tc>
          <w:tcPr>
            <w:tcW w:w="1052" w:type="dxa"/>
            <w:vAlign w:val="center"/>
          </w:tcPr>
          <w:p w:rsidR="007C5836" w:rsidRDefault="007C5836" w:rsidP="00CE43B4">
            <w:pPr>
              <w:snapToGrid w:val="0"/>
              <w:jc w:val="center"/>
              <w:rPr>
                <w:bCs/>
                <w:sz w:val="21"/>
                <w:szCs w:val="21"/>
              </w:rPr>
            </w:pPr>
            <w:r>
              <w:rPr>
                <w:rFonts w:hint="eastAsia"/>
                <w:bCs/>
                <w:sz w:val="21"/>
                <w:szCs w:val="21"/>
              </w:rPr>
              <w:t>无偏离</w:t>
            </w:r>
          </w:p>
        </w:tc>
      </w:tr>
      <w:tr w:rsidR="007C5836" w:rsidTr="00CE43B4">
        <w:trPr>
          <w:cantSplit/>
          <w:trHeight w:val="567"/>
        </w:trPr>
        <w:tc>
          <w:tcPr>
            <w:tcW w:w="1096" w:type="dxa"/>
            <w:gridSpan w:val="2"/>
            <w:vAlign w:val="center"/>
          </w:tcPr>
          <w:p w:rsidR="007C5836" w:rsidRDefault="007C5836" w:rsidP="00CE43B4">
            <w:pPr>
              <w:jc w:val="center"/>
              <w:rPr>
                <w:sz w:val="21"/>
                <w:szCs w:val="21"/>
              </w:rPr>
            </w:pPr>
            <w:r>
              <w:rPr>
                <w:rFonts w:hint="eastAsia"/>
                <w:sz w:val="21"/>
                <w:szCs w:val="21"/>
              </w:rPr>
              <w:lastRenderedPageBreak/>
              <w:t>4</w:t>
            </w:r>
          </w:p>
        </w:tc>
        <w:tc>
          <w:tcPr>
            <w:tcW w:w="1290" w:type="dxa"/>
            <w:gridSpan w:val="2"/>
            <w:vAlign w:val="center"/>
          </w:tcPr>
          <w:p w:rsidR="007C5836" w:rsidRPr="00E06F79" w:rsidRDefault="007C5836" w:rsidP="00CE43B4">
            <w:pPr>
              <w:jc w:val="center"/>
              <w:rPr>
                <w:rFonts w:hAnsi="宋体" w:cs="宋体"/>
                <w:color w:val="000000"/>
                <w:kern w:val="0"/>
                <w:sz w:val="21"/>
                <w:szCs w:val="21"/>
                <w:lang/>
              </w:rPr>
            </w:pPr>
            <w:r w:rsidRPr="00E06F79">
              <w:rPr>
                <w:rFonts w:hAnsi="宋体" w:cs="宋体" w:hint="eastAsia"/>
                <w:color w:val="000000"/>
                <w:kern w:val="0"/>
                <w:sz w:val="21"/>
                <w:szCs w:val="21"/>
                <w:lang/>
              </w:rPr>
              <w:t>软件版Web应用防火墙</w:t>
            </w:r>
          </w:p>
        </w:tc>
        <w:tc>
          <w:tcPr>
            <w:tcW w:w="494" w:type="dxa"/>
            <w:gridSpan w:val="2"/>
            <w:vAlign w:val="center"/>
          </w:tcPr>
          <w:p w:rsidR="007C5836" w:rsidRDefault="007C5836" w:rsidP="00CE43B4">
            <w:pPr>
              <w:jc w:val="center"/>
              <w:rPr>
                <w:sz w:val="21"/>
                <w:szCs w:val="21"/>
              </w:rPr>
            </w:pPr>
            <w:r w:rsidRPr="00E06F79">
              <w:rPr>
                <w:rFonts w:hint="eastAsia"/>
                <w:sz w:val="21"/>
                <w:szCs w:val="21"/>
              </w:rPr>
              <w:t>实茂</w:t>
            </w:r>
          </w:p>
        </w:tc>
        <w:tc>
          <w:tcPr>
            <w:tcW w:w="567" w:type="dxa"/>
            <w:vAlign w:val="center"/>
          </w:tcPr>
          <w:p w:rsidR="007C5836" w:rsidRDefault="007C5836" w:rsidP="00CE43B4">
            <w:pPr>
              <w:jc w:val="center"/>
              <w:rPr>
                <w:sz w:val="21"/>
                <w:szCs w:val="21"/>
              </w:rPr>
            </w:pPr>
            <w:r>
              <w:rPr>
                <w:rFonts w:hint="eastAsia"/>
                <w:sz w:val="21"/>
                <w:szCs w:val="21"/>
              </w:rPr>
              <w:t>无</w:t>
            </w:r>
          </w:p>
        </w:tc>
        <w:tc>
          <w:tcPr>
            <w:tcW w:w="7513" w:type="dxa"/>
            <w:vAlign w:val="center"/>
          </w:tcPr>
          <w:p w:rsidR="007C5836" w:rsidRDefault="007C5836" w:rsidP="00CE43B4">
            <w:pPr>
              <w:jc w:val="center"/>
              <w:rPr>
                <w:sz w:val="21"/>
                <w:szCs w:val="21"/>
              </w:rPr>
            </w:pPr>
            <w:r>
              <w:rPr>
                <w:rFonts w:hAnsi="宋体" w:cs="宋体" w:hint="eastAsia"/>
                <w:sz w:val="21"/>
                <w:szCs w:val="21"/>
              </w:rPr>
              <w:t>与</w:t>
            </w:r>
            <w:r>
              <w:rPr>
                <w:rFonts w:hAnsi="宋体" w:cs="宋体"/>
                <w:sz w:val="21"/>
                <w:szCs w:val="21"/>
              </w:rPr>
              <w:t>防火墙</w:t>
            </w:r>
            <w:r>
              <w:rPr>
                <w:rFonts w:hAnsi="宋体" w:cs="宋体" w:hint="eastAsia"/>
                <w:sz w:val="21"/>
                <w:szCs w:val="21"/>
              </w:rPr>
              <w:t>同品牌专业网站防护软件，可深度解析http协议，可防护Sql注入，xss，命令执行等常见应用层攻击。</w:t>
            </w:r>
          </w:p>
        </w:tc>
        <w:tc>
          <w:tcPr>
            <w:tcW w:w="567" w:type="dxa"/>
            <w:vAlign w:val="center"/>
          </w:tcPr>
          <w:p w:rsidR="007C5836" w:rsidRDefault="007C5836" w:rsidP="00CE43B4">
            <w:pPr>
              <w:jc w:val="center"/>
              <w:rPr>
                <w:sz w:val="21"/>
                <w:szCs w:val="21"/>
              </w:rPr>
            </w:pPr>
            <w:r>
              <w:rPr>
                <w:rFonts w:hint="eastAsia"/>
                <w:sz w:val="21"/>
                <w:szCs w:val="21"/>
              </w:rPr>
              <w:t>10</w:t>
            </w:r>
          </w:p>
        </w:tc>
        <w:tc>
          <w:tcPr>
            <w:tcW w:w="709" w:type="dxa"/>
            <w:vAlign w:val="center"/>
          </w:tcPr>
          <w:p w:rsidR="007C5836" w:rsidRDefault="007C5836" w:rsidP="00CE43B4">
            <w:pPr>
              <w:snapToGrid w:val="0"/>
              <w:jc w:val="center"/>
              <w:rPr>
                <w:sz w:val="21"/>
                <w:szCs w:val="21"/>
              </w:rPr>
            </w:pPr>
            <w:r>
              <w:rPr>
                <w:rFonts w:hint="eastAsia"/>
                <w:sz w:val="21"/>
                <w:szCs w:val="21"/>
              </w:rPr>
              <w:t>2000</w:t>
            </w:r>
          </w:p>
        </w:tc>
        <w:tc>
          <w:tcPr>
            <w:tcW w:w="708" w:type="dxa"/>
            <w:vAlign w:val="center"/>
          </w:tcPr>
          <w:p w:rsidR="007C5836" w:rsidRDefault="007C5836" w:rsidP="00CE43B4">
            <w:pPr>
              <w:snapToGrid w:val="0"/>
              <w:jc w:val="center"/>
              <w:rPr>
                <w:bCs/>
                <w:sz w:val="21"/>
                <w:szCs w:val="21"/>
              </w:rPr>
            </w:pPr>
            <w:r>
              <w:rPr>
                <w:rFonts w:hint="eastAsia"/>
                <w:bCs/>
                <w:sz w:val="21"/>
                <w:szCs w:val="21"/>
              </w:rPr>
              <w:t>20000</w:t>
            </w:r>
          </w:p>
        </w:tc>
        <w:tc>
          <w:tcPr>
            <w:tcW w:w="1052" w:type="dxa"/>
            <w:vAlign w:val="center"/>
          </w:tcPr>
          <w:p w:rsidR="007C5836" w:rsidRDefault="007C5836" w:rsidP="00CE43B4">
            <w:pPr>
              <w:snapToGrid w:val="0"/>
              <w:jc w:val="center"/>
              <w:rPr>
                <w:bCs/>
                <w:sz w:val="21"/>
                <w:szCs w:val="21"/>
              </w:rPr>
            </w:pPr>
            <w:r>
              <w:rPr>
                <w:rFonts w:hint="eastAsia"/>
                <w:bCs/>
                <w:sz w:val="21"/>
                <w:szCs w:val="21"/>
              </w:rPr>
              <w:t>无偏离</w:t>
            </w:r>
          </w:p>
        </w:tc>
      </w:tr>
      <w:tr w:rsidR="007C5836" w:rsidTr="00CE43B4">
        <w:trPr>
          <w:cantSplit/>
          <w:trHeight w:val="567"/>
        </w:trPr>
        <w:tc>
          <w:tcPr>
            <w:tcW w:w="1096" w:type="dxa"/>
            <w:gridSpan w:val="2"/>
            <w:vAlign w:val="center"/>
          </w:tcPr>
          <w:p w:rsidR="007C5836" w:rsidRDefault="007C5836" w:rsidP="00CE43B4">
            <w:pPr>
              <w:jc w:val="center"/>
              <w:rPr>
                <w:sz w:val="21"/>
                <w:szCs w:val="21"/>
              </w:rPr>
            </w:pPr>
            <w:r>
              <w:rPr>
                <w:rFonts w:hint="eastAsia"/>
                <w:sz w:val="21"/>
                <w:szCs w:val="21"/>
              </w:rPr>
              <w:t>5</w:t>
            </w:r>
          </w:p>
        </w:tc>
        <w:tc>
          <w:tcPr>
            <w:tcW w:w="1290" w:type="dxa"/>
            <w:gridSpan w:val="2"/>
            <w:vAlign w:val="center"/>
          </w:tcPr>
          <w:p w:rsidR="007C5836" w:rsidRPr="00E06F79" w:rsidRDefault="007C5836" w:rsidP="00CE43B4">
            <w:pPr>
              <w:jc w:val="center"/>
              <w:rPr>
                <w:rFonts w:hAnsi="宋体" w:cs="宋体"/>
                <w:color w:val="000000"/>
                <w:kern w:val="0"/>
                <w:sz w:val="21"/>
                <w:szCs w:val="21"/>
                <w:lang/>
              </w:rPr>
            </w:pPr>
            <w:r w:rsidRPr="00E06F79">
              <w:rPr>
                <w:rFonts w:hAnsi="宋体" w:cs="宋体" w:hint="eastAsia"/>
                <w:color w:val="000000"/>
                <w:kern w:val="0"/>
                <w:sz w:val="21"/>
                <w:szCs w:val="21"/>
                <w:lang/>
              </w:rPr>
              <w:t>短信</w:t>
            </w:r>
          </w:p>
        </w:tc>
        <w:tc>
          <w:tcPr>
            <w:tcW w:w="494" w:type="dxa"/>
            <w:gridSpan w:val="2"/>
            <w:vAlign w:val="center"/>
          </w:tcPr>
          <w:p w:rsidR="007C5836" w:rsidRDefault="007C5836" w:rsidP="00CE43B4">
            <w:pPr>
              <w:jc w:val="center"/>
              <w:rPr>
                <w:sz w:val="21"/>
                <w:szCs w:val="21"/>
              </w:rPr>
            </w:pPr>
            <w:r>
              <w:rPr>
                <w:rFonts w:hint="eastAsia"/>
                <w:sz w:val="21"/>
                <w:szCs w:val="21"/>
              </w:rPr>
              <w:t>移动</w:t>
            </w:r>
          </w:p>
        </w:tc>
        <w:tc>
          <w:tcPr>
            <w:tcW w:w="567" w:type="dxa"/>
            <w:vAlign w:val="center"/>
          </w:tcPr>
          <w:p w:rsidR="007C5836" w:rsidRDefault="007C5836" w:rsidP="00CE43B4">
            <w:pPr>
              <w:jc w:val="center"/>
              <w:rPr>
                <w:sz w:val="21"/>
                <w:szCs w:val="21"/>
              </w:rPr>
            </w:pPr>
            <w:r>
              <w:rPr>
                <w:rFonts w:hint="eastAsia"/>
                <w:sz w:val="21"/>
                <w:szCs w:val="21"/>
              </w:rPr>
              <w:t>无</w:t>
            </w:r>
          </w:p>
        </w:tc>
        <w:tc>
          <w:tcPr>
            <w:tcW w:w="7513" w:type="dxa"/>
            <w:vAlign w:val="center"/>
          </w:tcPr>
          <w:p w:rsidR="007C5836" w:rsidRDefault="007C5836" w:rsidP="00CE43B4">
            <w:pPr>
              <w:jc w:val="center"/>
              <w:rPr>
                <w:sz w:val="21"/>
                <w:szCs w:val="21"/>
              </w:rPr>
            </w:pPr>
            <w:r>
              <w:rPr>
                <w:rFonts w:hint="eastAsia"/>
                <w:sz w:val="21"/>
                <w:szCs w:val="21"/>
              </w:rPr>
              <w:t>免费</w:t>
            </w:r>
            <w:r>
              <w:rPr>
                <w:sz w:val="21"/>
                <w:szCs w:val="21"/>
              </w:rPr>
              <w:t>提供</w:t>
            </w:r>
            <w:r>
              <w:rPr>
                <w:rFonts w:hint="eastAsia"/>
                <w:sz w:val="21"/>
                <w:szCs w:val="21"/>
              </w:rPr>
              <w:t>100000条</w:t>
            </w:r>
            <w:r>
              <w:rPr>
                <w:sz w:val="21"/>
                <w:szCs w:val="21"/>
              </w:rPr>
              <w:t>短信服务</w:t>
            </w:r>
          </w:p>
        </w:tc>
        <w:tc>
          <w:tcPr>
            <w:tcW w:w="567" w:type="dxa"/>
            <w:vAlign w:val="center"/>
          </w:tcPr>
          <w:p w:rsidR="007C5836" w:rsidRDefault="007C5836" w:rsidP="00CE43B4">
            <w:pPr>
              <w:jc w:val="center"/>
              <w:rPr>
                <w:sz w:val="21"/>
                <w:szCs w:val="21"/>
              </w:rPr>
            </w:pPr>
            <w:r>
              <w:rPr>
                <w:rFonts w:hint="eastAsia"/>
                <w:sz w:val="21"/>
                <w:szCs w:val="21"/>
              </w:rPr>
              <w:t>1</w:t>
            </w:r>
          </w:p>
        </w:tc>
        <w:tc>
          <w:tcPr>
            <w:tcW w:w="709" w:type="dxa"/>
            <w:vAlign w:val="center"/>
          </w:tcPr>
          <w:p w:rsidR="007C5836" w:rsidRDefault="007C5836" w:rsidP="00CE43B4">
            <w:pPr>
              <w:snapToGrid w:val="0"/>
              <w:jc w:val="center"/>
              <w:rPr>
                <w:sz w:val="21"/>
                <w:szCs w:val="21"/>
              </w:rPr>
            </w:pPr>
            <w:r>
              <w:rPr>
                <w:sz w:val="21"/>
                <w:szCs w:val="21"/>
              </w:rPr>
              <w:t>0</w:t>
            </w:r>
          </w:p>
        </w:tc>
        <w:tc>
          <w:tcPr>
            <w:tcW w:w="708" w:type="dxa"/>
            <w:vAlign w:val="center"/>
          </w:tcPr>
          <w:p w:rsidR="007C5836" w:rsidRDefault="007C5836" w:rsidP="00CE43B4">
            <w:pPr>
              <w:snapToGrid w:val="0"/>
              <w:jc w:val="center"/>
              <w:rPr>
                <w:bCs/>
                <w:sz w:val="21"/>
                <w:szCs w:val="21"/>
              </w:rPr>
            </w:pPr>
            <w:r>
              <w:rPr>
                <w:bCs/>
                <w:sz w:val="21"/>
                <w:szCs w:val="21"/>
              </w:rPr>
              <w:t>0</w:t>
            </w:r>
          </w:p>
        </w:tc>
        <w:tc>
          <w:tcPr>
            <w:tcW w:w="1052" w:type="dxa"/>
            <w:vAlign w:val="center"/>
          </w:tcPr>
          <w:p w:rsidR="007C5836" w:rsidRDefault="007C5836" w:rsidP="00CE43B4">
            <w:pPr>
              <w:snapToGrid w:val="0"/>
              <w:jc w:val="center"/>
              <w:rPr>
                <w:bCs/>
                <w:sz w:val="21"/>
                <w:szCs w:val="21"/>
              </w:rPr>
            </w:pPr>
            <w:r>
              <w:rPr>
                <w:rFonts w:hint="eastAsia"/>
                <w:bCs/>
                <w:sz w:val="21"/>
                <w:szCs w:val="21"/>
              </w:rPr>
              <w:t>无偏离</w:t>
            </w:r>
          </w:p>
        </w:tc>
      </w:tr>
      <w:tr w:rsidR="007C5836" w:rsidTr="00CE43B4">
        <w:trPr>
          <w:cantSplit/>
          <w:trHeight w:val="567"/>
        </w:trPr>
        <w:tc>
          <w:tcPr>
            <w:tcW w:w="13996" w:type="dxa"/>
            <w:gridSpan w:val="12"/>
            <w:vAlign w:val="center"/>
          </w:tcPr>
          <w:p w:rsidR="007C5836" w:rsidRDefault="007C5836" w:rsidP="007C5836">
            <w:pPr>
              <w:snapToGrid w:val="0"/>
              <w:spacing w:beforeLines="50"/>
              <w:jc w:val="left"/>
              <w:rPr>
                <w:rFonts w:ascii="黑体" w:eastAsia="黑体"/>
                <w:sz w:val="21"/>
                <w:szCs w:val="21"/>
              </w:rPr>
            </w:pPr>
            <w:r>
              <w:rPr>
                <w:rFonts w:ascii="黑体" w:eastAsia="黑体" w:hint="eastAsia"/>
                <w:sz w:val="21"/>
                <w:szCs w:val="21"/>
              </w:rPr>
              <w:t>合计人民币（大写）：    贰拾叁万                                  小写：230000</w:t>
            </w:r>
          </w:p>
        </w:tc>
      </w:tr>
      <w:tr w:rsidR="007C5836" w:rsidTr="00CE43B4">
        <w:trPr>
          <w:cantSplit/>
          <w:trHeight w:val="567"/>
        </w:trPr>
        <w:tc>
          <w:tcPr>
            <w:tcW w:w="13996" w:type="dxa"/>
            <w:gridSpan w:val="12"/>
            <w:vAlign w:val="center"/>
          </w:tcPr>
          <w:p w:rsidR="007C5836" w:rsidRDefault="007C5836" w:rsidP="00CE43B4">
            <w:pPr>
              <w:snapToGrid w:val="0"/>
              <w:jc w:val="center"/>
              <w:rPr>
                <w:rFonts w:ascii="黑体" w:eastAsia="黑体"/>
                <w:sz w:val="21"/>
                <w:szCs w:val="21"/>
              </w:rPr>
            </w:pPr>
            <w:r>
              <w:rPr>
                <w:rFonts w:ascii="黑体" w:eastAsia="黑体" w:hint="eastAsia"/>
                <w:sz w:val="21"/>
                <w:szCs w:val="21"/>
              </w:rPr>
              <w:t xml:space="preserve">供货期限：合同签定后 </w:t>
            </w:r>
            <w:r>
              <w:rPr>
                <w:rFonts w:ascii="黑体" w:eastAsia="黑体"/>
                <w:sz w:val="21"/>
                <w:szCs w:val="21"/>
                <w:u w:val="single"/>
              </w:rPr>
              <w:t>20</w:t>
            </w:r>
            <w:r>
              <w:rPr>
                <w:rFonts w:ascii="黑体" w:eastAsia="黑体" w:hint="eastAsia"/>
                <w:sz w:val="21"/>
                <w:szCs w:val="21"/>
              </w:rPr>
              <w:t>个（工作日或日历）日内交货并安装调试完毕。</w:t>
            </w:r>
          </w:p>
        </w:tc>
      </w:tr>
    </w:tbl>
    <w:p w:rsidR="007C5836" w:rsidRDefault="007C5836" w:rsidP="007C5836">
      <w:pPr>
        <w:spacing w:beforeLines="50"/>
      </w:pPr>
      <w:r>
        <w:rPr>
          <w:rFonts w:hint="eastAsia"/>
        </w:rPr>
        <w:t>二、详细方案、承诺及说明：</w:t>
      </w:r>
    </w:p>
    <w:p w:rsidR="007C5836" w:rsidRDefault="007C5836" w:rsidP="007C5836">
      <w:pPr>
        <w:autoSpaceDE w:val="0"/>
        <w:autoSpaceDN w:val="0"/>
        <w:ind w:firstLineChars="200" w:firstLine="480"/>
        <w:rPr>
          <w:rFonts w:hAnsi="宋体" w:cs="Courier New"/>
        </w:rPr>
      </w:pPr>
      <w:r>
        <w:rPr>
          <w:rFonts w:hAnsi="宋体" w:cs="Courier New" w:hint="eastAsia"/>
        </w:rPr>
        <w:t>为甲方提供免费培训服务，并指派专人负责与甲方联系售后服务事宜。主要培训内容为货物的基本结构、性能、主要部件的构造及处理。</w:t>
      </w:r>
    </w:p>
    <w:p w:rsidR="007C5836" w:rsidRDefault="007C5836" w:rsidP="007C5836">
      <w:pPr>
        <w:autoSpaceDE w:val="0"/>
        <w:autoSpaceDN w:val="0"/>
        <w:ind w:firstLineChars="200" w:firstLine="480"/>
        <w:rPr>
          <w:rFonts w:hAnsi="宋体" w:cs="Courier New"/>
        </w:rPr>
      </w:pPr>
      <w:r>
        <w:rPr>
          <w:rFonts w:hAnsi="宋体" w:cs="Courier New" w:hint="eastAsia"/>
        </w:rPr>
        <w:t>所购货物按乙方承诺24小时内解决故障。保修期内，负责对其提供的货物整机进行维修和系统维护，不再收取任何费用，但不可抗力（如火灾、雷击等）造成的故障除外。</w:t>
      </w:r>
    </w:p>
    <w:p w:rsidR="007C5836" w:rsidRDefault="007C5836" w:rsidP="007C5836">
      <w:pPr>
        <w:autoSpaceDE w:val="0"/>
        <w:autoSpaceDN w:val="0"/>
        <w:ind w:firstLineChars="200" w:firstLine="480"/>
        <w:rPr>
          <w:rFonts w:hAnsi="宋体" w:cs="Courier New"/>
        </w:rPr>
      </w:pPr>
      <w:r>
        <w:rPr>
          <w:rFonts w:hAnsi="宋体" w:cs="Courier New" w:hint="eastAsia"/>
        </w:rPr>
        <w:t>若货物故障在检修</w:t>
      </w:r>
      <w:r>
        <w:rPr>
          <w:rFonts w:hAnsi="宋体" w:cs="Courier New"/>
        </w:rPr>
        <w:t>8</w:t>
      </w:r>
      <w:r>
        <w:rPr>
          <w:rFonts w:hAnsi="宋体" w:cs="Courier New" w:hint="eastAsia"/>
        </w:rPr>
        <w:t>工作小时后仍无法排除，我单位在24小时内免费提供不低于故障货物规格型号档次的备用货物供甲方使用，直至故障货物修复。</w:t>
      </w:r>
    </w:p>
    <w:p w:rsidR="007C5836" w:rsidRPr="003A7F28" w:rsidRDefault="007C5836" w:rsidP="007C5836">
      <w:pPr>
        <w:pStyle w:val="a0"/>
        <w:ind w:firstLine="240"/>
      </w:pPr>
    </w:p>
    <w:p w:rsidR="007C5836" w:rsidRDefault="007C5836" w:rsidP="007C5836">
      <w:pPr>
        <w:rPr>
          <w:b/>
          <w:bCs/>
          <w:szCs w:val="21"/>
        </w:rPr>
      </w:pPr>
    </w:p>
    <w:p w:rsidR="007C5836" w:rsidRDefault="007C5836" w:rsidP="007C5836">
      <w:pPr>
        <w:rPr>
          <w:rFonts w:cs="宋体"/>
          <w:kern w:val="0"/>
          <w:szCs w:val="21"/>
        </w:rPr>
      </w:pPr>
      <w:r>
        <w:rPr>
          <w:rFonts w:hAnsi="宋体" w:hint="eastAsia"/>
          <w:szCs w:val="21"/>
        </w:rPr>
        <w:t>投标人（单位公章）：</w:t>
      </w:r>
    </w:p>
    <w:p w:rsidR="007C5836" w:rsidRDefault="007C5836" w:rsidP="007C5836">
      <w:pPr>
        <w:ind w:firstLineChars="2000" w:firstLine="4800"/>
        <w:rPr>
          <w:rFonts w:cs="宋体"/>
          <w:kern w:val="0"/>
          <w:szCs w:val="21"/>
        </w:rPr>
      </w:pPr>
    </w:p>
    <w:p w:rsidR="007C5836" w:rsidRDefault="007C5836" w:rsidP="007C5836">
      <w:pPr>
        <w:ind w:firstLineChars="3900" w:firstLine="9360"/>
        <w:rPr>
          <w:rFonts w:hAnsi="宋体"/>
          <w:szCs w:val="21"/>
        </w:rPr>
      </w:pPr>
      <w:r>
        <w:rPr>
          <w:rFonts w:hAnsi="宋体" w:hint="eastAsia"/>
          <w:szCs w:val="21"/>
        </w:rPr>
        <w:t>法定代表人或授权代表（签字或盖章）：</w:t>
      </w:r>
    </w:p>
    <w:p w:rsidR="007C5836" w:rsidRDefault="007C5836" w:rsidP="007C5836">
      <w:pPr>
        <w:ind w:right="504" w:firstLineChars="3800" w:firstLine="9120"/>
        <w:rPr>
          <w:rFonts w:cs="宋体"/>
          <w:kern w:val="0"/>
          <w:szCs w:val="21"/>
        </w:rPr>
      </w:pPr>
    </w:p>
    <w:p w:rsidR="007C5836" w:rsidRDefault="007C5836" w:rsidP="007C5836">
      <w:pPr>
        <w:ind w:right="504"/>
        <w:jc w:val="center"/>
        <w:rPr>
          <w:rFonts w:cs="宋体"/>
          <w:kern w:val="0"/>
          <w:szCs w:val="21"/>
        </w:rPr>
      </w:pPr>
      <w:r>
        <w:rPr>
          <w:rFonts w:cs="宋体" w:hint="eastAsia"/>
          <w:kern w:val="0"/>
          <w:szCs w:val="21"/>
        </w:rPr>
        <w:t>年月 日</w:t>
      </w:r>
    </w:p>
    <w:p w:rsidR="00444938" w:rsidRDefault="00444938"/>
    <w:sectPr w:rsidR="00444938" w:rsidSect="007C5836">
      <w:pgSz w:w="16838" w:h="11906" w:orient="landscape"/>
      <w:pgMar w:top="1800" w:right="1440" w:bottom="1800" w:left="144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938" w:rsidRDefault="00444938" w:rsidP="007C5836">
      <w:r>
        <w:separator/>
      </w:r>
    </w:p>
  </w:endnote>
  <w:endnote w:type="continuationSeparator" w:id="1">
    <w:p w:rsidR="00444938" w:rsidRDefault="00444938" w:rsidP="007C58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938" w:rsidRDefault="00444938" w:rsidP="007C5836">
      <w:r>
        <w:separator/>
      </w:r>
    </w:p>
  </w:footnote>
  <w:footnote w:type="continuationSeparator" w:id="1">
    <w:p w:rsidR="00444938" w:rsidRDefault="00444938" w:rsidP="007C58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5836"/>
    <w:rsid w:val="00444938"/>
    <w:rsid w:val="007C58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C5836"/>
    <w:pPr>
      <w:widowControl w:val="0"/>
      <w:jc w:val="both"/>
    </w:pPr>
    <w:rPr>
      <w:rFonts w:ascii="宋体" w:eastAsia="宋体"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7C58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7C5836"/>
    <w:rPr>
      <w:sz w:val="18"/>
      <w:szCs w:val="18"/>
    </w:rPr>
  </w:style>
  <w:style w:type="paragraph" w:styleId="a5">
    <w:name w:val="footer"/>
    <w:basedOn w:val="a"/>
    <w:link w:val="Char0"/>
    <w:uiPriority w:val="99"/>
    <w:semiHidden/>
    <w:unhideWhenUsed/>
    <w:rsid w:val="007C58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7C5836"/>
    <w:rPr>
      <w:sz w:val="18"/>
      <w:szCs w:val="18"/>
    </w:rPr>
  </w:style>
  <w:style w:type="paragraph" w:styleId="a6">
    <w:name w:val="Body Text"/>
    <w:basedOn w:val="a"/>
    <w:link w:val="Char1"/>
    <w:uiPriority w:val="99"/>
    <w:semiHidden/>
    <w:unhideWhenUsed/>
    <w:rsid w:val="007C5836"/>
    <w:pPr>
      <w:spacing w:after="120"/>
    </w:pPr>
  </w:style>
  <w:style w:type="character" w:customStyle="1" w:styleId="Char1">
    <w:name w:val="正文文本 Char"/>
    <w:basedOn w:val="a1"/>
    <w:link w:val="a6"/>
    <w:uiPriority w:val="99"/>
    <w:semiHidden/>
    <w:rsid w:val="007C5836"/>
    <w:rPr>
      <w:rFonts w:ascii="宋体" w:eastAsia="宋体" w:hAnsi="Calibri" w:cs="Times New Roman"/>
      <w:sz w:val="24"/>
      <w:szCs w:val="24"/>
    </w:rPr>
  </w:style>
  <w:style w:type="paragraph" w:styleId="a0">
    <w:name w:val="Body Text First Indent"/>
    <w:basedOn w:val="a6"/>
    <w:link w:val="Char2"/>
    <w:uiPriority w:val="99"/>
    <w:semiHidden/>
    <w:unhideWhenUsed/>
    <w:rsid w:val="007C5836"/>
    <w:pPr>
      <w:ind w:firstLineChars="100" w:firstLine="420"/>
    </w:pPr>
  </w:style>
  <w:style w:type="character" w:customStyle="1" w:styleId="Char2">
    <w:name w:val="正文首行缩进 Char"/>
    <w:basedOn w:val="Char1"/>
    <w:link w:val="a0"/>
    <w:uiPriority w:val="99"/>
    <w:semiHidden/>
    <w:rsid w:val="007C58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657</Words>
  <Characters>3750</Characters>
  <Application>Microsoft Office Word</Application>
  <DocSecurity>0</DocSecurity>
  <Lines>31</Lines>
  <Paragraphs>8</Paragraphs>
  <ScaleCrop>false</ScaleCrop>
  <Company>Microsoft</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2019-11-26T08:06:00Z</dcterms:created>
  <dcterms:modified xsi:type="dcterms:W3CDTF">2019-11-26T08:06:00Z</dcterms:modified>
</cp:coreProperties>
</file>