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4"/>
        <w:jc w:val="center"/>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jc w:val="center"/>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b/>
          <w:color w:val="auto"/>
          <w:sz w:val="84"/>
          <w:szCs w:val="84"/>
          <w:highlight w:val="none"/>
        </w:rPr>
        <w:t xml:space="preserve">招 标 文 件</w:t>
      </w:r>
      <w:r/>
    </w:p>
    <w:p>
      <w:pPr>
        <w:pStyle w:val="734"/>
        <w:spacing w:before="120" w:beforeAutospacing="0" w:after="12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34"/>
        <w:spacing w:before="120" w:beforeAutospacing="0" w:after="12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34"/>
        <w:spacing w:before="120" w:beforeAutospacing="0" w:after="12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34"/>
        <w:ind w:firstLine="643"/>
        <w:spacing w:before="120" w:beforeAutospacing="0" w:after="120" w:afterAutospacing="0" w:line="360" w:lineRule="auto"/>
        <w:rPr>
          <w:rFonts w:hint="eastAsia" w:ascii="宋体" w:hAnsi="宋体" w:eastAsia="宋体" w:cs="宋体"/>
          <w:color w:val="auto"/>
          <w:highlight w:val="none"/>
          <w:lang w:eastAsia="zh-CN"/>
        </w:rPr>
      </w:pPr>
      <w:r>
        <w:rPr>
          <w:rFonts w:hint="eastAsia" w:ascii="宋体" w:hAnsi="宋体" w:eastAsia="宋体" w:cs="宋体"/>
          <w:b/>
          <w:color w:val="auto"/>
          <w:sz w:val="32"/>
          <w:szCs w:val="32"/>
          <w:highlight w:val="none"/>
        </w:rPr>
        <w:t xml:space="preserve">项目名称：</w:t>
      </w:r>
      <w:r>
        <w:rPr>
          <w:rFonts w:hint="eastAsia" w:ascii="宋体" w:hAnsi="宋体" w:eastAsia="宋体" w:cs="宋体"/>
          <w:b/>
          <w:color w:val="auto"/>
          <w:sz w:val="32"/>
          <w:szCs w:val="32"/>
          <w:highlight w:val="none"/>
          <w:lang w:eastAsia="zh-CN"/>
        </w:rPr>
        <w:t xml:space="preserve">盐南高新区新都街道辖区拆迁安置小区和老旧小区选聘物业服务项目</w:t>
      </w:r>
      <w:r/>
    </w:p>
    <w:p>
      <w:pPr>
        <w:pStyle w:val="734"/>
        <w:ind w:firstLine="643"/>
        <w:jc w:val="left"/>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项目编号：JSZC-320992-JZCG-G2026-0001</w:t>
      </w:r>
      <w:r/>
    </w:p>
    <w:p>
      <w:pPr>
        <w:pStyle w:val="734"/>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spacing w:beforeAutospacing="0" w:afterAutospacing="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34"/>
        <w:spacing w:beforeAutospacing="0" w:afterAutospacing="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34"/>
        <w:spacing w:beforeAutospacing="0" w:afterAutospacing="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34"/>
        <w:spacing w:beforeAutospacing="0" w:afterAutospacing="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34"/>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jc w:val="center"/>
        <w:spacing w:before="120" w:beforeAutospacing="0" w:after="12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江苏省盐南高新技术产业开发区</w:t>
      </w:r>
      <w:r>
        <w:rPr>
          <w:rFonts w:hint="eastAsia" w:ascii="宋体" w:hAnsi="宋体" w:eastAsia="宋体" w:cs="宋体"/>
          <w:b/>
          <w:color w:val="auto"/>
          <w:sz w:val="32"/>
          <w:szCs w:val="32"/>
          <w:highlight w:val="none"/>
          <w:lang w:eastAsia="zh-CN"/>
        </w:rPr>
        <w:t xml:space="preserve">新都街道</w:t>
      </w:r>
      <w:r>
        <w:rPr>
          <w:rFonts w:hint="eastAsia" w:ascii="宋体" w:hAnsi="宋体" w:eastAsia="宋体" w:cs="宋体"/>
          <w:b/>
          <w:color w:val="auto"/>
          <w:sz w:val="32"/>
          <w:szCs w:val="32"/>
          <w:highlight w:val="none"/>
        </w:rPr>
        <w:t xml:space="preserve">办事处</w:t>
      </w:r>
      <w:r/>
    </w:p>
    <w:p>
      <w:pPr>
        <w:pStyle w:val="734"/>
        <w:jc w:val="center"/>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b/>
          <w:color w:val="auto"/>
          <w:sz w:val="32"/>
          <w:szCs w:val="32"/>
          <w:highlight w:val="none"/>
          <w:lang w:val="en-US" w:eastAsia="zh-CN"/>
        </w:rPr>
        <w:t xml:space="preserve">202</w:t>
      </w:r>
      <w:r>
        <w:rPr>
          <w:rFonts w:hint="eastAsia" w:ascii="宋体" w:hAnsi="宋体" w:cs="宋体"/>
          <w:b/>
          <w:color w:val="auto"/>
          <w:sz w:val="32"/>
          <w:szCs w:val="32"/>
          <w:highlight w:val="none"/>
          <w:lang w:val="en-US" w:eastAsia="zh-CN"/>
        </w:rPr>
        <w:t xml:space="preserve">6</w:t>
      </w:r>
      <w:r>
        <w:rPr>
          <w:rFonts w:hint="eastAsia" w:ascii="宋体" w:hAnsi="宋体" w:eastAsia="宋体" w:cs="宋体"/>
          <w:b/>
          <w:color w:val="auto"/>
          <w:sz w:val="32"/>
          <w:szCs w:val="32"/>
          <w:highlight w:val="none"/>
        </w:rPr>
        <w:t xml:space="preserve">年</w:t>
      </w:r>
      <w:r>
        <w:rPr>
          <w:rFonts w:hint="eastAsia" w:ascii="宋体" w:hAnsi="宋体" w:cs="宋体"/>
          <w:b/>
          <w:color w:val="auto"/>
          <w:sz w:val="32"/>
          <w:szCs w:val="32"/>
          <w:highlight w:val="none"/>
          <w:lang w:val="en-US" w:eastAsia="zh-CN"/>
        </w:rPr>
        <w:t xml:space="preserve">2</w:t>
      </w:r>
      <w:r>
        <w:rPr>
          <w:rFonts w:hint="eastAsia" w:ascii="宋体" w:hAnsi="宋体" w:eastAsia="宋体" w:cs="宋体"/>
          <w:b/>
          <w:color w:val="auto"/>
          <w:sz w:val="32"/>
          <w:szCs w:val="32"/>
          <w:highlight w:val="none"/>
        </w:rPr>
        <w:t xml:space="preserve">月</w:t>
      </w:r>
      <w:r/>
    </w:p>
    <w:p>
      <w:pPr>
        <w:pStyle w:val="734"/>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jc w:val="center"/>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jc w:val="center"/>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z w:val="21"/>
          <w:szCs w:val="21"/>
          <w:highlight w:val="none"/>
        </w:rPr>
        <w:t xml:space="preserve"> </w:t>
      </w:r>
      <w:bookmarkStart w:id="0" w:name="_Toc20823272"/>
      <w:r/>
      <w:bookmarkStart w:id="1" w:name="_Toc16938516"/>
      <w:r/>
      <w:bookmarkStart w:id="2" w:name="_Toc479757206"/>
      <w:r/>
      <w:bookmarkStart w:id="3" w:name="_Toc513029200"/>
      <w:r/>
      <w:bookmarkStart w:id="4" w:name="_Toc120614210"/>
      <w:r/>
      <w:bookmarkStart w:id="5" w:name="_Toc523127445"/>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44"/>
          <w:szCs w:val="44"/>
          <w:highlight w:val="none"/>
        </w:rPr>
        <w:t xml:space="preserve">总  目  录</w:t>
      </w:r>
      <w:bookmarkEnd w:id="0"/>
      <w:r/>
      <w:bookmarkEnd w:id="1"/>
      <w:r/>
      <w:bookmarkEnd w:id="2"/>
      <w:r/>
      <w:bookmarkEnd w:id="3"/>
      <w:r/>
      <w:bookmarkEnd w:id="4"/>
      <w:r/>
      <w:bookmarkEnd w:id="5"/>
      <w:r/>
      <w:r/>
    </w:p>
    <w:p>
      <w:pPr>
        <w:pStyle w:val="734"/>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ind w:left="2160" w:hanging="1440"/>
        <w:jc w:val="both"/>
        <w:spacing w:beforeAutospacing="0" w:afterAutospacing="0" w:line="480" w:lineRule="auto"/>
        <w:tabs>
          <w:tab w:val="left" w:pos="1441" w:leader="none"/>
        </w:tabs>
        <w:rPr>
          <w:rFonts w:hint="eastAsia" w:ascii="宋体" w:hAnsi="宋体" w:eastAsia="宋体" w:cs="宋体"/>
          <w:color w:val="auto"/>
          <w:highlight w:val="none"/>
          <w:lang w:val="en-US" w:eastAsia="zh-CN"/>
        </w:rPr>
      </w:pPr>
      <w:r>
        <w:rPr>
          <w:rFonts w:hint="eastAsia" w:ascii="宋体" w:hAnsi="宋体" w:eastAsia="宋体" w:cs="宋体"/>
          <w:color w:val="auto"/>
          <w:sz w:val="36"/>
          <w:szCs w:val="36"/>
          <w:highlight w:val="none"/>
          <w:lang w:val="en-US" w:eastAsia="zh-CN"/>
        </w:rPr>
        <w:t xml:space="preserve">招标公告</w:t>
      </w:r>
      <w:r>
        <w:rPr>
          <w:rFonts w:hint="eastAsia" w:ascii="宋体" w:hAnsi="宋体" w:eastAsia="宋体" w:cs="宋体"/>
          <w:color w:val="auto"/>
          <w:sz w:val="36"/>
          <w:szCs w:val="36"/>
          <w:highlight w:val="none"/>
        </w:rPr>
        <w:t xml:space="preserve">……………………………………</w:t>
      </w:r>
      <w:r>
        <w:rPr>
          <w:rFonts w:hint="eastAsia" w:ascii="宋体" w:hAnsi="宋体" w:eastAsia="宋体" w:cs="宋体"/>
          <w:color w:val="auto"/>
          <w:sz w:val="36"/>
          <w:szCs w:val="36"/>
          <w:highlight w:val="none"/>
          <w:lang w:val="en-US" w:eastAsia="zh-CN"/>
        </w:rPr>
        <w:t xml:space="preserve">3</w:t>
      </w:r>
      <w:r/>
    </w:p>
    <w:p>
      <w:pPr>
        <w:pStyle w:val="734"/>
        <w:ind w:left="2160" w:hanging="1440"/>
        <w:jc w:val="both"/>
        <w:spacing w:beforeAutospacing="0" w:afterAutospacing="0" w:line="480" w:lineRule="auto"/>
        <w:tabs>
          <w:tab w:val="left" w:pos="1441" w:leader="none"/>
        </w:tabs>
        <w:rPr>
          <w:rFonts w:hint="eastAsia"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投标人须知…………………………………</w:t>
      </w:r>
      <w:r>
        <w:rPr>
          <w:rFonts w:hint="eastAsia" w:ascii="宋体" w:hAnsi="宋体" w:eastAsia="宋体" w:cs="宋体"/>
          <w:color w:val="auto"/>
          <w:sz w:val="36"/>
          <w:szCs w:val="36"/>
          <w:highlight w:val="none"/>
          <w:lang w:val="en-US" w:eastAsia="zh-CN"/>
        </w:rPr>
        <w:t xml:space="preserve">6</w:t>
      </w:r>
      <w:r/>
    </w:p>
    <w:p>
      <w:pPr>
        <w:pStyle w:val="734"/>
        <w:ind w:left="2160" w:hanging="1440"/>
        <w:jc w:val="both"/>
        <w:spacing w:beforeAutospacing="0" w:afterAutospacing="0" w:line="480" w:lineRule="auto"/>
        <w:tabs>
          <w:tab w:val="left" w:pos="1441" w:leader="none"/>
        </w:tabs>
        <w:rPr>
          <w:rFonts w:hint="eastAsia"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合同文本……………………………………</w:t>
      </w:r>
      <w:r>
        <w:rPr>
          <w:rFonts w:hint="eastAsia" w:ascii="宋体" w:hAnsi="宋体" w:eastAsia="宋体" w:cs="宋体"/>
          <w:color w:val="auto"/>
          <w:sz w:val="36"/>
          <w:szCs w:val="36"/>
          <w:highlight w:val="none"/>
          <w:lang w:val="en-US" w:eastAsia="zh-CN"/>
        </w:rPr>
        <w:t xml:space="preserve">16</w:t>
      </w:r>
      <w:r/>
    </w:p>
    <w:p>
      <w:pPr>
        <w:pStyle w:val="734"/>
        <w:ind w:left="2160" w:hanging="1440"/>
        <w:jc w:val="both"/>
        <w:spacing w:beforeAutospacing="0" w:afterAutospacing="0" w:line="480" w:lineRule="auto"/>
        <w:tabs>
          <w:tab w:val="left" w:pos="1441" w:leader="none"/>
        </w:tabs>
        <w:rPr>
          <w:rFonts w:hint="eastAsia"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采购需求……………………………………</w:t>
      </w:r>
      <w:r>
        <w:rPr>
          <w:rFonts w:hint="eastAsia" w:ascii="宋体" w:hAnsi="宋体" w:eastAsia="宋体" w:cs="宋体"/>
          <w:color w:val="auto"/>
          <w:sz w:val="36"/>
          <w:szCs w:val="36"/>
          <w:highlight w:val="none"/>
          <w:lang w:val="en-US" w:eastAsia="zh-CN"/>
        </w:rPr>
        <w:t xml:space="preserve">34</w:t>
      </w:r>
      <w:r/>
    </w:p>
    <w:p>
      <w:pPr>
        <w:pStyle w:val="734"/>
        <w:ind w:left="2160" w:hanging="1440"/>
        <w:jc w:val="both"/>
        <w:spacing w:beforeAutospacing="0" w:afterAutospacing="0" w:line="480" w:lineRule="auto"/>
        <w:tabs>
          <w:tab w:val="left" w:pos="1441" w:leader="none"/>
        </w:tabs>
        <w:rPr>
          <w:rFonts w:hint="eastAsia"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评标方法与评标标准………………………</w:t>
      </w:r>
      <w:r>
        <w:rPr>
          <w:rFonts w:hint="eastAsia" w:ascii="宋体" w:hAnsi="宋体" w:eastAsia="宋体" w:cs="宋体"/>
          <w:color w:val="auto"/>
          <w:sz w:val="36"/>
          <w:szCs w:val="36"/>
          <w:highlight w:val="none"/>
          <w:lang w:val="en-US" w:eastAsia="zh-CN"/>
        </w:rPr>
        <w:t xml:space="preserve">41</w:t>
      </w:r>
      <w:r/>
    </w:p>
    <w:p>
      <w:pPr>
        <w:pStyle w:val="734"/>
        <w:ind w:left="2160" w:hanging="1440"/>
        <w:jc w:val="both"/>
        <w:spacing w:beforeAutospacing="0" w:afterAutospacing="0" w:line="480" w:lineRule="auto"/>
        <w:tabs>
          <w:tab w:val="left" w:pos="1441" w:leader="none"/>
        </w:tabs>
        <w:rPr>
          <w:rFonts w:hint="eastAsia"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投标文件格式………………………………</w:t>
      </w:r>
      <w:r>
        <w:rPr>
          <w:rFonts w:hint="eastAsia" w:ascii="宋体" w:hAnsi="宋体" w:eastAsia="宋体" w:cs="宋体"/>
          <w:color w:val="auto"/>
          <w:sz w:val="36"/>
          <w:szCs w:val="36"/>
          <w:highlight w:val="none"/>
          <w:lang w:val="en-US" w:eastAsia="zh-CN"/>
        </w:rPr>
        <w:t xml:space="preserve">45</w:t>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jc w:val="center"/>
        <w:spacing w:beforeAutospacing="0" w:afterAutospacing="0"/>
        <w:rPr>
          <w:rFonts w:hint="eastAsia" w:ascii="宋体" w:hAnsi="宋体" w:eastAsia="宋体" w:cs="宋体"/>
          <w:color w:val="auto"/>
          <w:highlight w:val="none"/>
          <w:lang w:val="en-US" w:eastAsia="zh-CN"/>
        </w:rPr>
      </w:pPr>
      <w:r/>
      <w:bookmarkStart w:id="6" w:name="_Toc28359009"/>
      <w:r>
        <w:rPr>
          <w:rFonts w:hint="eastAsia" w:ascii="宋体" w:hAnsi="宋体" w:eastAsia="宋体" w:cs="宋体"/>
          <w:color w:val="auto"/>
          <w:sz w:val="44"/>
          <w:szCs w:val="44"/>
          <w:highlight w:val="none"/>
        </w:rPr>
        <w:t xml:space="preserve">第一章 </w:t>
      </w:r>
      <w:r>
        <w:rPr>
          <w:rFonts w:hint="eastAsia" w:ascii="宋体" w:hAnsi="宋体" w:eastAsia="宋体" w:cs="宋体"/>
          <w:color w:val="auto"/>
          <w:sz w:val="44"/>
          <w:szCs w:val="44"/>
          <w:highlight w:val="none"/>
          <w:lang w:val="en-US" w:eastAsia="zh-CN"/>
        </w:rPr>
        <w:t xml:space="preserve">招标公告</w:t>
      </w:r>
      <w:r/>
    </w:p>
    <w:p>
      <w:pPr>
        <w:pStyle w:val="734"/>
        <w:ind w:firstLine="480"/>
        <w:jc w:val="both"/>
        <w:spacing w:beforeAutospacing="0" w:afterAutospacing="0"/>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734"/>
        <w:ind w:firstLine="480"/>
        <w:jc w:val="both"/>
        <w:spacing w:beforeAutospacing="0" w:afterAutospacing="0"/>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盐南高新区新都街道辖区拆迁安置小区和老旧小区选聘物业服务项目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招标项目的潜在投标人可</w:t>
      </w:r>
      <w:r>
        <w:rPr>
          <w:rFonts w:hint="eastAsia" w:ascii="宋体" w:hAnsi="宋体" w:eastAsia="宋体" w:cs="宋体"/>
          <w:color w:val="auto"/>
          <w:sz w:val="24"/>
          <w:szCs w:val="24"/>
          <w:highlight w:val="none"/>
          <w:u w:val="none"/>
        </w:rPr>
        <w:t xml:space="preserve">在</w:t>
      </w:r>
      <w:r>
        <w:rPr>
          <w:rFonts w:hint="eastAsia" w:ascii="宋体" w:hAnsi="宋体" w:eastAsia="宋体" w:cs="宋体"/>
          <w:color w:val="auto"/>
          <w:sz w:val="24"/>
          <w:szCs w:val="24"/>
          <w:highlight w:val="none"/>
          <w:u w:val="none"/>
          <w:lang w:val="en-US" w:eastAsia="zh-CN" w:bidi="ar-SA"/>
        </w:rPr>
        <w:t xml:space="preserve">中国政府采购网</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江苏政府采购网、盐城市政府采购网</w:t>
      </w:r>
      <w:r>
        <w:rPr>
          <w:rFonts w:hint="eastAsia" w:ascii="宋体" w:hAnsi="宋体" w:eastAsia="宋体" w:cs="宋体"/>
          <w:color w:val="auto"/>
          <w:sz w:val="24"/>
          <w:szCs w:val="24"/>
          <w:highlight w:val="none"/>
          <w:lang w:val="en-US" w:eastAsia="zh-CN"/>
        </w:rPr>
        <w:t xml:space="preserve">获取</w:t>
      </w:r>
      <w:r>
        <w:rPr>
          <w:rFonts w:hint="eastAsia" w:ascii="宋体" w:hAnsi="宋体" w:eastAsia="宋体" w:cs="宋体"/>
          <w:color w:val="auto"/>
          <w:sz w:val="24"/>
          <w:szCs w:val="24"/>
          <w:highlight w:val="none"/>
        </w:rPr>
        <w:t xml:space="preserve">招标文件，并于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202</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lang w:val="en-US" w:eastAsia="zh-CN"/>
        </w:rPr>
        <w:t xml:space="preserve">月</w:t>
      </w:r>
      <w:r>
        <w:rPr>
          <w:rFonts w:hint="eastAsia" w:ascii="宋体" w:hAnsi="宋体" w:cs="宋体"/>
          <w:color w:val="auto"/>
          <w:sz w:val="24"/>
          <w:szCs w:val="24"/>
          <w:highlight w:val="none"/>
          <w:u w:val="single"/>
          <w:lang w:val="en-US" w:eastAsia="zh-CN"/>
        </w:rPr>
        <w:t xml:space="preserve">27</w:t>
      </w:r>
      <w:r>
        <w:rPr>
          <w:rFonts w:hint="eastAsia" w:ascii="宋体" w:hAnsi="宋体" w:eastAsia="宋体" w:cs="宋体"/>
          <w:color w:val="auto"/>
          <w:sz w:val="24"/>
          <w:szCs w:val="24"/>
          <w:highlight w:val="none"/>
          <w:u w:val="single"/>
        </w:rPr>
        <w:t xml:space="preserve">日</w:t>
      </w:r>
      <w:r>
        <w:rPr>
          <w:rFonts w:hint="eastAsia" w:ascii="宋体" w:hAnsi="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北京时间）前递交投标文件。</w:t>
      </w:r>
      <w:r/>
    </w:p>
    <w:p>
      <w:pPr>
        <w:pStyle w:val="734"/>
        <w:ind w:firstLine="498"/>
        <w:jc w:val="both"/>
        <w:keepLines/>
        <w:keepNext/>
        <w:pageBreakBefore w:val="0"/>
        <w:spacing w:before="145" w:beforeAutospacing="0" w:after="145" w:afterAutospacing="0" w:line="440" w:lineRule="exact"/>
        <w:rPr>
          <w:rFonts w:hint="eastAsia" w:ascii="宋体" w:hAnsi="宋体" w:eastAsia="宋体" w:cs="宋体"/>
          <w:color w:val="auto"/>
          <w:sz w:val="24"/>
          <w:szCs w:val="24"/>
          <w:highlight w:val="none"/>
        </w:rPr>
      </w:pPr>
      <w:r/>
      <w:bookmarkStart w:id="7" w:name="_Toc28359002"/>
      <w:r/>
      <w:bookmarkStart w:id="8" w:name="_Toc38985263"/>
      <w:r/>
      <w:bookmarkStart w:id="9" w:name="_Hlk24379207"/>
      <w:r/>
      <w:bookmarkStart w:id="10" w:name="_Toc35393621"/>
      <w:r/>
      <w:bookmarkStart w:id="11" w:name="_Toc28359079"/>
      <w:r/>
      <w:bookmarkStart w:id="12" w:name="_Toc35393790"/>
      <w:r>
        <w:rPr>
          <w:rFonts w:hint="eastAsia" w:ascii="宋体" w:hAnsi="宋体" w:eastAsia="宋体" w:cs="宋体"/>
          <w:b/>
          <w:color w:val="auto"/>
          <w:sz w:val="24"/>
          <w:szCs w:val="24"/>
          <w:highlight w:val="none"/>
        </w:rPr>
        <w:t xml:space="preserve">一、项目基本情况</w:t>
      </w:r>
      <w:bookmarkEnd w:id="7"/>
      <w:r/>
      <w:bookmarkEnd w:id="8"/>
      <w:r/>
      <w:bookmarkEnd w:id="9"/>
      <w:r/>
      <w:bookmarkEnd w:id="10"/>
      <w:r/>
      <w:bookmarkEnd w:id="11"/>
      <w:r/>
      <w:bookmarkEnd w:id="12"/>
      <w:r/>
      <w:r/>
    </w:p>
    <w:p>
      <w:pPr>
        <w:pStyle w:val="734"/>
        <w:ind w:firstLine="480"/>
        <w:jc w:val="both"/>
        <w:pageBreakBefore w:val="0"/>
        <w:spacing w:beforeAutospacing="0" w:afterAutospacing="0" w:line="440" w:lineRule="exact"/>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 xml:space="preserve">1.项目编号：JSZC-320992-JZCG-G2026-0001</w:t>
      </w:r>
      <w:r/>
    </w:p>
    <w:p>
      <w:pPr>
        <w:pStyle w:val="734"/>
        <w:ind w:firstLine="480"/>
        <w:jc w:val="both"/>
        <w:pageBreakBefore w:val="0"/>
        <w:spacing w:beforeAutospacing="0" w:afterAutospacing="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盐南高新区新都街道辖区拆迁安置小区和老旧小区选聘物业服务项目</w:t>
      </w:r>
      <w:r/>
    </w:p>
    <w:p>
      <w:pPr>
        <w:pStyle w:val="734"/>
        <w:ind w:firstLine="480"/>
        <w:jc w:val="both"/>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734"/>
        <w:ind w:firstLine="480"/>
        <w:jc w:val="both"/>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3923443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val="en-US" w:eastAsia="zh-CN"/>
        </w:rPr>
        <w:t xml:space="preserve">/年</w:t>
      </w:r>
      <w:r/>
    </w:p>
    <w:p>
      <w:pPr>
        <w:pStyle w:val="734"/>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ffff00"/>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最高限价（如有）：</w:t>
      </w:r>
      <w:r>
        <w:rPr>
          <w:rFonts w:hint="eastAsia" w:ascii="宋体" w:hAnsi="宋体" w:cs="宋体"/>
          <w:color w:val="auto"/>
          <w:sz w:val="24"/>
          <w:szCs w:val="24"/>
          <w:highlight w:val="none"/>
          <w:lang w:val="en-US" w:eastAsia="zh-CN"/>
        </w:rPr>
        <w:t xml:space="preserve">3923443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val="en-US" w:eastAsia="zh-CN"/>
        </w:rPr>
        <w:t xml:space="preserve">/年</w:t>
      </w:r>
      <w:r/>
    </w:p>
    <w:p>
      <w:pPr>
        <w:pStyle w:val="734"/>
        <w:ind w:firstLine="480"/>
        <w:jc w:val="both"/>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.采购需求（简介）：</w:t>
      </w:r>
      <w:r>
        <w:rPr>
          <w:rFonts w:hint="eastAsia" w:ascii="宋体" w:hAnsi="宋体" w:eastAsia="宋体" w:cs="宋体"/>
          <w:color w:val="auto"/>
          <w:sz w:val="24"/>
          <w:szCs w:val="24"/>
          <w:highlight w:val="none"/>
          <w:lang w:eastAsia="zh-CN"/>
        </w:rPr>
        <w:t xml:space="preserve">盐南高新区新都街道</w:t>
      </w:r>
      <w:r>
        <w:rPr>
          <w:rFonts w:hint="eastAsia" w:ascii="宋体" w:hAnsi="宋体" w:eastAsia="宋体" w:cs="宋体"/>
          <w:color w:val="auto"/>
          <w:sz w:val="24"/>
          <w:szCs w:val="24"/>
          <w:highlight w:val="none"/>
          <w:lang w:val="en-US" w:eastAsia="zh-CN"/>
        </w:rPr>
        <w:t xml:space="preserve">包括拆迁安置小区</w:t>
      </w:r>
      <w:r>
        <w:rPr>
          <w:rFonts w:hint="eastAsia" w:ascii="宋体" w:hAnsi="宋体" w:eastAsia="宋体" w:cs="宋体"/>
          <w:color w:val="auto"/>
          <w:sz w:val="24"/>
          <w:szCs w:val="24"/>
          <w:highlight w:val="none"/>
          <w:lang w:eastAsia="zh-CN"/>
        </w:rPr>
        <w:t xml:space="preserve">和老旧小区选聘物业服务项目</w:t>
      </w:r>
      <w:r>
        <w:rPr>
          <w:rFonts w:hint="eastAsia" w:ascii="宋体" w:hAnsi="宋体" w:eastAsia="宋体" w:cs="宋体"/>
          <w:color w:val="auto"/>
          <w:sz w:val="24"/>
          <w:szCs w:val="24"/>
          <w:highlight w:val="none"/>
          <w:lang w:val="en-US" w:eastAsia="zh-CN"/>
        </w:rPr>
        <w:t xml:space="preserve">：采购范围包含</w:t>
      </w:r>
      <w:r>
        <w:rPr>
          <w:rFonts w:hint="eastAsia" w:ascii="宋体" w:hAnsi="宋体" w:eastAsia="宋体" w:cs="宋体"/>
          <w:color w:val="auto"/>
          <w:sz w:val="24"/>
          <w:szCs w:val="24"/>
          <w:highlight w:val="none"/>
          <w:lang w:eastAsia="zh-CN"/>
        </w:rPr>
        <w:t xml:space="preserve">镇北路小区、娱乐二三组、新丰花园、香苑小区、康乐苑、先进小区、福裕小区、大宇花园南区；老旧小区：金鹰雅居（高层）、金鹰雅居（多层）、娱乐公寓、娱乐商业街、吉祥综合楼、农贸小区、高登建设组团、热电厂家属区、油脂厂家属区、成华学校家属区等拆迁安置小区物业服务项目</w:t>
      </w:r>
      <w:r>
        <w:rPr>
          <w:rFonts w:hint="eastAsia" w:ascii="宋体" w:hAnsi="宋体" w:eastAsia="宋体" w:cs="宋体"/>
          <w:color w:val="auto"/>
          <w:sz w:val="24"/>
          <w:szCs w:val="24"/>
          <w:highlight w:val="none"/>
        </w:rPr>
        <w:t xml:space="preserve">，具体内容及要求详见招标文件第四章项目需求。</w:t>
      </w:r>
      <w:r/>
    </w:p>
    <w:p>
      <w:pPr>
        <w:pStyle w:val="734"/>
        <w:ind w:firstLine="480"/>
        <w:jc w:val="both"/>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服务期三年，合同一年一签，上一年度经甲方综合考核合格后可续签下一年度合同；每年度综合考核未达到考核要求，采购人可自行终止合同）。</w:t>
      </w:r>
      <w:r/>
    </w:p>
    <w:p>
      <w:pPr>
        <w:pStyle w:val="734"/>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ffff00"/>
          <w:lang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8.</w:t>
      </w:r>
      <w:r>
        <w:rPr>
          <w:rFonts w:hint="eastAsia" w:ascii="宋体" w:hAnsi="宋体" w:eastAsia="宋体" w:cs="宋体"/>
          <w:bCs/>
          <w:color w:val="auto"/>
          <w:sz w:val="24"/>
          <w:szCs w:val="24"/>
          <w:highlight w:val="none"/>
        </w:rPr>
        <w:t xml:space="preserve">本项目</w:t>
      </w:r>
      <w:r>
        <w:rPr>
          <w:rFonts w:hint="eastAsia" w:ascii="宋体" w:hAnsi="宋体" w:eastAsia="宋体" w:cs="宋体"/>
          <w:bCs/>
          <w:color w:val="auto"/>
          <w:sz w:val="24"/>
          <w:szCs w:val="24"/>
          <w:highlight w:val="none"/>
          <w:u w:val="single"/>
        </w:rPr>
        <w:t xml:space="preserve">不接受</w:t>
      </w:r>
      <w:r>
        <w:rPr>
          <w:rFonts w:hint="eastAsia" w:ascii="宋体" w:hAnsi="宋体" w:eastAsia="宋体" w:cs="宋体"/>
          <w:bCs/>
          <w:color w:val="auto"/>
          <w:sz w:val="24"/>
          <w:szCs w:val="24"/>
          <w:highlight w:val="none"/>
        </w:rPr>
        <w:t xml:space="preserve">联合体投标</w:t>
      </w:r>
      <w:r>
        <w:rPr>
          <w:rFonts w:hint="eastAsia" w:ascii="宋体" w:hAnsi="宋体" w:eastAsia="宋体" w:cs="宋体"/>
          <w:bCs/>
          <w:color w:val="auto"/>
          <w:sz w:val="24"/>
          <w:szCs w:val="24"/>
          <w:highlight w:val="none"/>
          <w:lang w:eastAsia="zh-CN"/>
        </w:rPr>
        <w:t xml:space="preserve">。</w:t>
      </w:r>
      <w:r/>
    </w:p>
    <w:p>
      <w:pPr>
        <w:pStyle w:val="734"/>
        <w:ind w:firstLine="498"/>
        <w:jc w:val="both"/>
        <w:keepLines/>
        <w:keepNext/>
        <w:pageBreakBefore w:val="0"/>
        <w:spacing w:before="145" w:beforeAutospacing="0" w:after="145" w:afterAutospacing="0" w:line="440" w:lineRule="exact"/>
        <w:rPr>
          <w:rFonts w:hint="eastAsia" w:ascii="宋体" w:hAnsi="宋体" w:eastAsia="宋体" w:cs="宋体"/>
          <w:color w:val="auto"/>
          <w:sz w:val="24"/>
          <w:szCs w:val="24"/>
          <w:highlight w:val="none"/>
        </w:rPr>
      </w:pPr>
      <w:r/>
      <w:bookmarkStart w:id="13" w:name="_Toc28359003"/>
      <w:r/>
      <w:bookmarkStart w:id="14" w:name="_Toc28359080"/>
      <w:r/>
      <w:bookmarkStart w:id="15" w:name="_Toc35393622"/>
      <w:r/>
      <w:bookmarkStart w:id="16" w:name="_Toc35393791"/>
      <w:r/>
      <w:bookmarkStart w:id="17" w:name="_Toc38985264"/>
      <w:r>
        <w:rPr>
          <w:rFonts w:hint="eastAsia" w:ascii="宋体" w:hAnsi="宋体" w:eastAsia="宋体" w:cs="宋体"/>
          <w:b/>
          <w:color w:val="auto"/>
          <w:sz w:val="24"/>
          <w:szCs w:val="24"/>
          <w:highlight w:val="none"/>
        </w:rPr>
        <w:t xml:space="preserve">二、申请人的资格要求：</w:t>
      </w:r>
      <w:bookmarkEnd w:id="13"/>
      <w:r/>
      <w:bookmarkEnd w:id="14"/>
      <w:r/>
      <w:bookmarkEnd w:id="15"/>
      <w:r/>
      <w:bookmarkEnd w:id="16"/>
      <w:r/>
      <w:bookmarkEnd w:id="17"/>
      <w:r/>
      <w:r/>
    </w:p>
    <w:p>
      <w:pPr>
        <w:pStyle w:val="734"/>
        <w:ind w:firstLine="480"/>
        <w:jc w:val="both"/>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734"/>
        <w:ind w:firstLine="480"/>
        <w:jc w:val="both"/>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pStyle w:val="734"/>
        <w:ind w:firstLine="480"/>
        <w:jc w:val="both"/>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1.2上一年度的财务状况报表（至少提供资产负债表、利润表、现金流量表，投标人成立不满一年无需提供）；</w:t>
      </w:r>
      <w:r/>
    </w:p>
    <w:p>
      <w:pPr>
        <w:pStyle w:val="734"/>
        <w:ind w:firstLine="480"/>
        <w:jc w:val="both"/>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734"/>
        <w:ind w:firstLine="480"/>
        <w:jc w:val="both"/>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34"/>
        <w:ind w:firstLine="480"/>
        <w:jc w:val="both"/>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734"/>
        <w:ind w:firstLine="480"/>
        <w:jc w:val="both"/>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734"/>
        <w:ind w:firstLine="480"/>
        <w:jc w:val="both"/>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34"/>
        <w:ind w:firstLine="480"/>
        <w:jc w:val="both"/>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pStyle w:val="734"/>
        <w:ind w:firstLine="480"/>
        <w:jc w:val="both"/>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cs="宋体"/>
          <w:b/>
          <w:bCs/>
          <w:color w:val="auto"/>
          <w:sz w:val="24"/>
          <w:szCs w:val="20"/>
          <w:highlight w:val="none"/>
        </w:rPr>
        <w:t xml:space="preserve">本项目专门面向中小企业采购。采购标的的所属行业为</w:t>
      </w:r>
      <w:r>
        <w:rPr>
          <w:rFonts w:hint="eastAsia" w:ascii="宋体" w:hAnsi="宋体" w:cs="宋体"/>
          <w:b/>
          <w:bCs/>
          <w:color w:val="auto"/>
          <w:sz w:val="24"/>
          <w:szCs w:val="20"/>
          <w:highlight w:val="none"/>
          <w:u w:val="single"/>
        </w:rPr>
        <w:t xml:space="preserve">物业管理</w:t>
      </w:r>
      <w:r>
        <w:rPr>
          <w:rFonts w:hint="eastAsia" w:ascii="宋体" w:hAnsi="宋体" w:cs="宋体"/>
          <w:b/>
          <w:bCs/>
          <w:color w:val="auto"/>
          <w:sz w:val="24"/>
          <w:szCs w:val="20"/>
          <w:highlight w:val="none"/>
        </w:rPr>
        <w:t xml:space="preserve">，投标人需按照采购文件的要求提供相应的《中小企业声明函》。企业标准请参照《关于印发中小企业划型标准规定的通知》（工信部联企业</w:t>
      </w:r>
      <w:r>
        <w:rPr>
          <w:rFonts w:hint="eastAsia" w:ascii="宋体" w:hAnsi="宋体" w:cs="宋体"/>
          <w:b/>
          <w:bCs/>
          <w:color w:val="auto"/>
          <w:sz w:val="24"/>
          <w:szCs w:val="20"/>
          <w:highlight w:val="none"/>
          <w:lang w:eastAsia="zh-CN"/>
        </w:rPr>
        <w:t xml:space="preserve">〔2011〕300号</w:t>
      </w:r>
      <w:r>
        <w:rPr>
          <w:rFonts w:hint="eastAsia" w:ascii="宋体" w:hAnsi="宋体" w:cs="宋体"/>
          <w:b/>
          <w:bCs/>
          <w:color w:val="auto"/>
          <w:sz w:val="24"/>
          <w:szCs w:val="20"/>
          <w:highlight w:val="none"/>
        </w:rPr>
        <w:t xml:space="preserve">）文件规定自行填写。</w:t>
      </w:r>
      <w:r/>
    </w:p>
    <w:p>
      <w:pPr>
        <w:pStyle w:val="734"/>
        <w:ind w:right="0" w:firstLine="48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 w:val="0"/>
          <w:iCs w:val="0"/>
          <w:caps w:val="0"/>
          <w:color w:val="auto"/>
          <w:spacing w:val="0"/>
          <w:sz w:val="24"/>
          <w:szCs w:val="24"/>
          <w:highlight w:val="none"/>
          <w:u w:val="none"/>
          <w:shd w:val="clear" w:color="auto" w:fill="ffffff"/>
          <w:lang w:val="en-US" w:eastAsia="zh-CN"/>
        </w:rPr>
        <w:t xml:space="preserve">无。</w:t>
      </w:r>
      <w:r/>
    </w:p>
    <w:p>
      <w:pPr>
        <w:pStyle w:val="734"/>
        <w:ind w:firstLine="498"/>
        <w:jc w:val="both"/>
        <w:keepLines/>
        <w:keepNext/>
        <w:pageBreakBefore w:val="0"/>
        <w:spacing w:before="145" w:beforeAutospacing="0" w:after="145" w:afterAutospacing="0" w:line="4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pStyle w:val="734"/>
        <w:ind w:left="0" w:right="0" w:firstLine="54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bookmarkStart w:id="18" w:name="_Toc28359005"/>
      <w:r/>
      <w:bookmarkStart w:id="19" w:name="_Toc38985266"/>
      <w:r/>
      <w:bookmarkStart w:id="20" w:name="_Toc28359082"/>
      <w:r/>
      <w:bookmarkStart w:id="21" w:name="_Toc35393624"/>
      <w:r/>
      <w:bookmarkStart w:id="22" w:name="_Toc35393793"/>
      <w:r>
        <w:rPr>
          <w:rFonts w:hint="eastAsia" w:ascii="宋体" w:hAnsi="宋体" w:eastAsia="宋体" w:cs="宋体"/>
          <w:color w:val="auto"/>
          <w:sz w:val="24"/>
          <w:szCs w:val="24"/>
          <w:highlight w:val="none"/>
        </w:rPr>
        <w:t xml:space="preserve">1.时间：</w:t>
      </w:r>
      <w:bookmarkEnd w:id="18"/>
      <w:r/>
      <w:bookmarkEnd w:id="19"/>
      <w:r/>
      <w:bookmarkEnd w:id="20"/>
      <w:r/>
      <w:bookmarkEnd w:id="21"/>
      <w:r/>
      <w:bookmarkEnd w:id="22"/>
      <w:r>
        <w:rPr>
          <w:rFonts w:hint="eastAsia" w:ascii="宋体" w:hAnsi="宋体" w:eastAsia="宋体" w:cs="宋体"/>
          <w:color w:val="auto"/>
          <w:sz w:val="24"/>
          <w:highlight w:val="none"/>
        </w:rPr>
        <w:t xml:space="preserve">自招标文件公告发布之日起5个工作日</w:t>
      </w:r>
      <w:r>
        <w:rPr>
          <w:rFonts w:hint="eastAsia" w:ascii="宋体" w:hAnsi="宋体" w:eastAsia="宋体" w:cs="宋体"/>
          <w:color w:val="auto"/>
          <w:sz w:val="24"/>
          <w:szCs w:val="24"/>
          <w:highlight w:val="none"/>
        </w:rPr>
        <w:t xml:space="preserve">。</w:t>
      </w:r>
      <w:r/>
    </w:p>
    <w:p>
      <w:pPr>
        <w:ind w:firstLine="480"/>
        <w:jc w:val="left"/>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2.地点：</w:t>
      </w:r>
      <w:r>
        <w:rPr>
          <w:rFonts w:hint="eastAsia" w:ascii="宋体" w:hAnsi="宋体" w:eastAsia="宋体" w:cs="宋体"/>
          <w:color w:val="auto"/>
          <w:sz w:val="24"/>
          <w:szCs w:val="20"/>
          <w:highlight w:val="none"/>
        </w:rPr>
        <w:t xml:space="preserve">“苏采云”系统内免费下载（投标人必须在苏采云系统中获取采购文件，方能参与政府采购项目）</w:t>
      </w:r>
      <w:r/>
    </w:p>
    <w:p>
      <w:pPr>
        <w:pStyle w:val="734"/>
        <w:ind w:firstLine="540"/>
        <w:jc w:val="both"/>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.方式：</w:t>
      </w:r>
      <w:r>
        <w:rPr>
          <w:rFonts w:hint="eastAsia" w:ascii="宋体" w:hAnsi="宋体" w:eastAsia="宋体" w:cs="宋体"/>
          <w:color w:val="auto"/>
          <w:sz w:val="24"/>
          <w:szCs w:val="20"/>
          <w:highlight w:val="none"/>
        </w:rPr>
        <w:t xml:space="preserve">本项目采用网上注册登记方式</w:t>
      </w:r>
      <w:r/>
    </w:p>
    <w:p>
      <w:pPr>
        <w:ind w:firstLine="480"/>
        <w:jc w:val="left"/>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4.售价：0元</w:t>
      </w:r>
      <w:r/>
    </w:p>
    <w:p>
      <w:pPr>
        <w:pStyle w:val="734"/>
        <w:ind w:firstLine="498"/>
        <w:jc w:val="both"/>
        <w:keepLines/>
        <w:keepNext/>
        <w:pageBreakBefore w:val="0"/>
        <w:spacing w:before="145" w:beforeAutospacing="0" w:after="145" w:afterAutospacing="0" w:line="4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pStyle w:val="734"/>
        <w:ind w:firstLine="540"/>
        <w:jc w:val="both"/>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202</w:t>
      </w:r>
      <w:r>
        <w:rPr>
          <w:rFonts w:hint="eastAsia" w:ascii="宋体" w:hAnsi="宋体" w:cs="宋体"/>
          <w:i w:val="0"/>
          <w:iCs w:val="0"/>
          <w:caps w:val="0"/>
          <w:color w:val="auto"/>
          <w:spacing w:val="0"/>
          <w:sz w:val="24"/>
          <w:szCs w:val="24"/>
          <w:highlight w:val="none"/>
          <w:u w:val="single"/>
          <w:shd w:val="clear" w:color="auto" w:fill="ffffff"/>
          <w:lang w:val="en-US" w:eastAsia="zh-CN"/>
        </w:rPr>
        <w:t xml:space="preserve">6</w:t>
      </w:r>
      <w:r>
        <w:rPr>
          <w:rFonts w:hint="eastAsia" w:ascii="宋体" w:hAnsi="宋体" w:eastAsia="宋体" w:cs="宋体"/>
          <w:i w:val="0"/>
          <w:iCs w:val="0"/>
          <w:caps w:val="0"/>
          <w:color w:val="auto"/>
          <w:spacing w:val="0"/>
          <w:sz w:val="24"/>
          <w:szCs w:val="24"/>
          <w:highlight w:val="none"/>
          <w:u w:val="single"/>
          <w:shd w:val="clear" w:color="auto" w:fill="ffffff"/>
        </w:rPr>
        <w:t xml:space="preserve">年</w:t>
      </w:r>
      <w:r>
        <w:rPr>
          <w:rFonts w:hint="eastAsia" w:ascii="宋体" w:hAnsi="宋体" w:cs="宋体"/>
          <w:i w:val="0"/>
          <w:iCs w:val="0"/>
          <w:caps w:val="0"/>
          <w:color w:val="auto"/>
          <w:spacing w:val="0"/>
          <w:sz w:val="24"/>
          <w:szCs w:val="24"/>
          <w:highlight w:val="none"/>
          <w:u w:val="singl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u w:val="single"/>
          <w:shd w:val="clear" w:color="auto" w:fill="ffffff"/>
        </w:rPr>
        <w:t xml:space="preserve">月</w:t>
      </w:r>
      <w:r>
        <w:rPr>
          <w:rFonts w:hint="eastAsia" w:ascii="宋体" w:hAnsi="宋体" w:cs="宋体"/>
          <w:i w:val="0"/>
          <w:iCs w:val="0"/>
          <w:caps w:val="0"/>
          <w:color w:val="auto"/>
          <w:spacing w:val="0"/>
          <w:sz w:val="24"/>
          <w:szCs w:val="24"/>
          <w:highlight w:val="none"/>
          <w:u w:val="single"/>
          <w:shd w:val="clear" w:color="auto" w:fill="ffffff"/>
          <w:lang w:val="en-US" w:eastAsia="zh-CN"/>
        </w:rPr>
        <w:t xml:space="preserve">27</w:t>
      </w:r>
      <w:r>
        <w:rPr>
          <w:rFonts w:hint="eastAsia" w:ascii="宋体" w:hAnsi="宋体" w:eastAsia="宋体" w:cs="宋体"/>
          <w:i w:val="0"/>
          <w:iCs w:val="0"/>
          <w:caps w:val="0"/>
          <w:color w:val="auto"/>
          <w:spacing w:val="0"/>
          <w:sz w:val="24"/>
          <w:szCs w:val="24"/>
          <w:highlight w:val="none"/>
          <w:u w:val="single"/>
          <w:shd w:val="clear" w:color="auto" w:fill="ffffff"/>
        </w:rPr>
        <w:t xml:space="preserve">日</w:t>
      </w:r>
      <w:r>
        <w:rPr>
          <w:rFonts w:hint="eastAsia" w:ascii="宋体" w:hAnsi="宋体" w:cs="宋体"/>
          <w:i w:val="0"/>
          <w:iCs w:val="0"/>
          <w:caps w:val="0"/>
          <w:color w:val="auto"/>
          <w:spacing w:val="0"/>
          <w:sz w:val="24"/>
          <w:szCs w:val="24"/>
          <w:highlight w:val="none"/>
          <w:u w:val="single"/>
          <w:shd w:val="clear" w:color="auto" w:fill="ffffff"/>
          <w:lang w:val="en-US" w:eastAsia="zh-CN"/>
        </w:rPr>
        <w:t xml:space="preserve">9</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:00时</w:t>
      </w:r>
      <w:r>
        <w:rPr>
          <w:rFonts w:hint="eastAsia" w:ascii="宋体" w:hAnsi="宋体" w:eastAsia="宋体" w:cs="宋体"/>
          <w:color w:val="auto"/>
          <w:sz w:val="24"/>
          <w:szCs w:val="24"/>
          <w:highlight w:val="none"/>
        </w:rPr>
        <w:t xml:space="preserve">（北京时间）</w:t>
      </w:r>
      <w:r/>
    </w:p>
    <w:p>
      <w:pPr>
        <w:pStyle w:val="734"/>
        <w:ind w:firstLine="540"/>
        <w:jc w:val="both"/>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pStyle w:val="734"/>
        <w:ind w:firstLine="498"/>
        <w:jc w:val="both"/>
        <w:keepLines/>
        <w:keepNext/>
        <w:pageBreakBefore w:val="0"/>
        <w:spacing w:before="145" w:beforeAutospacing="0" w:after="145" w:afterAutospacing="0" w:line="440" w:lineRule="exact"/>
        <w:rPr>
          <w:rFonts w:hint="eastAsia" w:ascii="宋体" w:hAnsi="宋体" w:eastAsia="宋体" w:cs="宋体"/>
          <w:color w:val="auto"/>
          <w:sz w:val="24"/>
          <w:szCs w:val="24"/>
          <w:highlight w:val="none"/>
        </w:rPr>
      </w:pPr>
      <w:r/>
      <w:bookmarkStart w:id="23" w:name="_Toc38985267"/>
      <w:r/>
      <w:bookmarkStart w:id="24" w:name="_Toc28359007"/>
      <w:r/>
      <w:bookmarkStart w:id="25" w:name="_Toc35393625"/>
      <w:r/>
      <w:bookmarkStart w:id="26" w:name="_Toc28359084"/>
      <w:r/>
      <w:bookmarkStart w:id="27" w:name="_Toc35393794"/>
      <w:r>
        <w:rPr>
          <w:rFonts w:hint="eastAsia" w:ascii="宋体" w:hAnsi="宋体" w:eastAsia="宋体" w:cs="宋体"/>
          <w:b/>
          <w:color w:val="auto"/>
          <w:sz w:val="24"/>
          <w:szCs w:val="24"/>
          <w:highlight w:val="none"/>
        </w:rPr>
        <w:t xml:space="preserve">五、公告期限</w:t>
      </w:r>
      <w:bookmarkEnd w:id="23"/>
      <w:r/>
      <w:bookmarkEnd w:id="24"/>
      <w:r/>
      <w:bookmarkEnd w:id="25"/>
      <w:r/>
      <w:bookmarkEnd w:id="26"/>
      <w:r/>
      <w:bookmarkEnd w:id="27"/>
      <w:r/>
      <w:r/>
    </w:p>
    <w:p>
      <w:pPr>
        <w:pStyle w:val="734"/>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bookmarkStart w:id="28" w:name="_Toc35393795"/>
      <w:r/>
      <w:bookmarkStart w:id="29" w:name="_Toc38985268"/>
      <w:r/>
      <w:bookmarkStart w:id="30" w:name="_Toc35393626"/>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8"/>
      <w:r/>
      <w:bookmarkEnd w:id="29"/>
      <w:r/>
      <w:bookmarkEnd w:id="30"/>
      <w:r/>
      <w:r/>
    </w:p>
    <w:p>
      <w:pPr>
        <w:pStyle w:val="734"/>
        <w:ind w:firstLine="498"/>
        <w:jc w:val="both"/>
        <w:keepLines/>
        <w:keepNext/>
        <w:pageBreakBefore w:val="0"/>
        <w:spacing w:before="145" w:beforeAutospacing="0" w:after="145" w:afterAutospacing="0" w:line="4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734"/>
        <w:ind w:firstLine="540"/>
        <w:jc w:val="both"/>
        <w:pageBreakBefore w:val="0"/>
        <w:spacing w:beforeAutospacing="0" w:afterAutospacing="0" w:line="440" w:lineRule="exact"/>
        <w:rPr>
          <w:rFonts w:hint="eastAsia" w:ascii="宋体" w:hAnsi="宋体" w:eastAsia="宋体" w:cs="宋体"/>
          <w:color w:val="auto"/>
          <w:sz w:val="24"/>
          <w:szCs w:val="20"/>
          <w:highlight w:val="none"/>
        </w:rPr>
      </w:pPr>
      <w:r/>
      <w:bookmarkStart w:id="31" w:name="_Toc28359018"/>
      <w:r>
        <w:rPr>
          <w:rFonts w:hint="eastAsia" w:ascii="宋体" w:hAnsi="宋体" w:eastAsia="宋体" w:cs="宋体"/>
          <w:color w:val="auto"/>
          <w:sz w:val="24"/>
          <w:szCs w:val="20"/>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34"/>
        <w:ind w:firstLine="540"/>
        <w:jc w:val="both"/>
        <w:pageBreakBefore w:val="0"/>
        <w:spacing w:beforeAutospacing="0" w:afterAutospacing="0" w:line="44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《苏采云系统供应商操作手册》：在盐城市政府采购网点击【办事指南】-【供应商参与政府采购活动相关资料】。</w:t>
      </w:r>
      <w:r/>
    </w:p>
    <w:p>
      <w:pPr>
        <w:pStyle w:val="734"/>
        <w:ind w:firstLine="540"/>
        <w:jc w:val="both"/>
        <w:pageBreakBefore w:val="0"/>
        <w:spacing w:beforeAutospacing="0" w:afterAutospacing="0" w:line="44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2.潜在供应商访问电子招标响应交易平台的网络地址和方法： </w:t>
      </w:r>
      <w:r/>
    </w:p>
    <w:p>
      <w:pPr>
        <w:pStyle w:val="734"/>
        <w:ind w:firstLine="540"/>
        <w:jc w:val="both"/>
        <w:pageBreakBefore w:val="0"/>
        <w:spacing w:beforeAutospacing="0" w:afterAutospacing="0" w:line="44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734"/>
        <w:ind w:firstLine="540"/>
        <w:jc w:val="both"/>
        <w:pageBreakBefore w:val="0"/>
        <w:spacing w:beforeAutospacing="0" w:afterAutospacing="0" w:line="44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2.2 潜在投标人访问“苏采云”系统方法：江苏省政府采购网首页-“苏采云”链接。 </w:t>
      </w:r>
      <w:r/>
    </w:p>
    <w:p>
      <w:pPr>
        <w:pStyle w:val="734"/>
        <w:ind w:firstLine="540"/>
        <w:jc w:val="both"/>
        <w:pageBreakBefore w:val="0"/>
        <w:spacing w:beforeAutospacing="0" w:afterAutospacing="0" w:line="44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2.3 采购文件（后缀名为“.kedt”）、供应商操作手册及政府采购客户端 工具可通过“苏采云”系统相应链接进行下载。 </w:t>
      </w:r>
      <w:r/>
    </w:p>
    <w:p>
      <w:pPr>
        <w:pStyle w:val="734"/>
        <w:ind w:firstLine="540"/>
        <w:jc w:val="both"/>
        <w:pageBreakBefore w:val="0"/>
        <w:spacing w:beforeAutospacing="0" w:afterAutospacing="0" w:line="44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2.4 采购代理机构将数据电文形式的采购文件加载至“苏采云”系统，供潜在供应商下载或者查阅。 </w:t>
      </w:r>
      <w:r/>
    </w:p>
    <w:p>
      <w:pPr>
        <w:pStyle w:val="734"/>
        <w:ind w:firstLine="540"/>
        <w:jc w:val="both"/>
        <w:pageBreakBefore w:val="0"/>
        <w:spacing w:beforeAutospacing="0" w:afterAutospacing="0" w:line="44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 请潜在投标单位提前安装相应的控件（详见《“苏采云”系统供应商操作手册》）并使用谷歌浏览器登录“苏采云”系统参与不见面开评标。 </w:t>
      </w:r>
      <w:r/>
    </w:p>
    <w:p>
      <w:pPr>
        <w:pStyle w:val="734"/>
        <w:ind w:firstLine="540"/>
        <w:jc w:val="both"/>
        <w:pageBreakBefore w:val="0"/>
        <w:spacing w:beforeAutospacing="0" w:afterAutospacing="0" w:line="44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如潜在投标人未按上述要求操作，将自行承担所产生的风险。</w:t>
      </w:r>
      <w:r/>
    </w:p>
    <w:p>
      <w:pPr>
        <w:pStyle w:val="734"/>
        <w:ind w:firstLine="540"/>
        <w:jc w:val="both"/>
        <w:pageBreakBefore w:val="0"/>
        <w:spacing w:beforeAutospacing="0" w:afterAutospacing="0" w:line="44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3.有关本次招标的事项若存在变动或修改，敬请及时关注盐城市政府采购中心在“中国政府采购网</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江苏政府采购网</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盐城市政府采购网”发布的更正公告。</w:t>
      </w:r>
      <w:r/>
    </w:p>
    <w:p>
      <w:pPr>
        <w:pStyle w:val="734"/>
        <w:ind w:firstLine="540"/>
        <w:jc w:val="both"/>
        <w:pageBreakBefore w:val="0"/>
        <w:spacing w:beforeAutospacing="0" w:afterAutospacing="0" w:line="440" w:lineRule="exact"/>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color w:val="auto"/>
          <w:sz w:val="24"/>
          <w:szCs w:val="20"/>
          <w:highlight w:val="none"/>
        </w:rPr>
        <w:t xml:space="preserve">4.本次招标不收取投标保证金，不收取质量保证金。</w:t>
      </w:r>
      <w:r/>
    </w:p>
    <w:p>
      <w:pPr>
        <w:pStyle w:val="692"/>
        <w:ind w:left="0" w:right="0" w:firstLine="482"/>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bCs/>
          <w:i w:val="0"/>
          <w:iCs w:val="0"/>
          <w:caps w:val="0"/>
          <w:color w:val="auto"/>
          <w:spacing w:val="0"/>
          <w:sz w:val="24"/>
          <w:szCs w:val="24"/>
          <w:highlight w:val="none"/>
          <w:u w:val="none"/>
          <w:shd w:val="clear" w:color="auto" w:fill="ffffff"/>
        </w:rPr>
        <w:t xml:space="preserve">、对本次</w:t>
      </w:r>
      <w:r>
        <w:rPr>
          <w:rFonts w:hint="eastAsia" w:ascii="宋体" w:hAnsi="宋体" w:eastAsia="宋体" w:cs="宋体"/>
          <w:b/>
          <w:bCs/>
          <w:i w:val="0"/>
          <w:iCs w:val="0"/>
          <w: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bCs/>
          <w:i w:val="0"/>
          <w:iCs w:val="0"/>
          <w:caps w:val="0"/>
          <w:color w:val="auto"/>
          <w:spacing w:val="0"/>
          <w:sz w:val="24"/>
          <w:szCs w:val="24"/>
          <w:highlight w:val="none"/>
          <w:u w:val="none"/>
          <w:shd w:val="clear" w:color="auto" w:fill="ffffff"/>
        </w:rPr>
        <w:t xml:space="preserve">提出询问，请按以下方式联系。</w:t>
      </w:r>
      <w:bookmarkEnd w:id="31"/>
      <w:r/>
      <w:r/>
    </w:p>
    <w:p>
      <w:pPr>
        <w:pStyle w:val="734"/>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1.采购人信息</w:t>
      </w:r>
      <w:r/>
    </w:p>
    <w:p>
      <w:pPr>
        <w:pStyle w:val="734"/>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称：江苏省盐南高新技术产业开发区新都街道办事处</w:t>
      </w:r>
      <w:r/>
    </w:p>
    <w:p>
      <w:pPr>
        <w:pStyle w:val="734"/>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地址：盐南高新区人民南路33号</w:t>
      </w:r>
      <w:r/>
    </w:p>
    <w:p>
      <w:pPr>
        <w:pStyle w:val="734"/>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w:t>
      </w:r>
      <w:r>
        <w:rPr>
          <w:rFonts w:hint="eastAsia" w:ascii="宋体" w:hAnsi="宋体" w:cs="宋体"/>
          <w:i w:val="0"/>
          <w:iCs w:val="0"/>
          <w:caps w:val="0"/>
          <w:color w:val="auto"/>
          <w:spacing w:val="0"/>
          <w:sz w:val="24"/>
          <w:szCs w:val="24"/>
          <w:highlight w:val="none"/>
          <w:shd w:val="clear" w:color="auto" w:fill="ffffff"/>
          <w:lang w:val="en-US" w:eastAsia="zh-CN"/>
        </w:rPr>
        <w:t xml:space="preserve">陈</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先生</w:t>
      </w:r>
      <w:r/>
    </w:p>
    <w:p>
      <w:pPr>
        <w:pStyle w:val="734"/>
        <w:ind w:left="0" w:right="0" w:firstLine="560"/>
        <w:jc w:val="both"/>
        <w:keepLines w:val="0"/>
        <w:keepNext w:val="0"/>
        <w:pageBreakBefore w:val="0"/>
        <w:spacing w:before="0" w:beforeAutospacing="0" w:after="0" w:afterAutospacing="0" w:line="440" w:lineRule="exact"/>
        <w:shd w:val="clear" w:color="auto" w:fill="ffffff"/>
        <w:widowControl/>
        <w:rPr>
          <w:rFonts w:ascii="宋体" w:hAnsi="宋体" w:eastAsia="宋体" w:cs="宋体"/>
          <w:i w:val="0"/>
          <w:iCs w:val="0"/>
          <w:caps w:val="0"/>
          <w:color w:val="auto"/>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联系方式：15705100101</w:t>
      </w:r>
      <w:r/>
    </w:p>
    <w:p>
      <w:pPr>
        <w:pStyle w:val="734"/>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r/>
    </w:p>
    <w:p>
      <w:pPr>
        <w:pStyle w:val="734"/>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称：江苏省盐南高新技术产业开发区政务服务中心</w:t>
      </w:r>
      <w:r/>
    </w:p>
    <w:p>
      <w:pPr>
        <w:pStyle w:val="734"/>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址：盐南高新区新龙广场7号楼</w:t>
      </w:r>
      <w:r/>
    </w:p>
    <w:p>
      <w:pPr>
        <w:pStyle w:val="734"/>
        <w:ind w:left="0" w:right="0" w:firstLine="560"/>
        <w:jc w:val="both"/>
        <w:keepLines w:val="0"/>
        <w:keepNext w:val="0"/>
        <w:pageBreakBefore w:val="0"/>
        <w:spacing w:before="0" w:beforeAutospacing="0" w:after="0" w:afterAutospacing="0" w:line="440" w:lineRule="exact"/>
        <w:shd w:val="clear" w:color="auto" w:fill="ffffff"/>
        <w:widowControl/>
        <w:rPr>
          <w:rFonts w:ascii="宋体" w:hAnsi="宋体" w:eastAsia="宋体" w:cs="宋体"/>
          <w:i w:val="0"/>
          <w:iCs w:val="0"/>
          <w:caps w:val="0"/>
          <w:color w:val="auto"/>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w:t>
      </w:r>
      <w:r>
        <w:rPr>
          <w:rFonts w:hint="eastAsia" w:ascii="宋体" w:hAnsi="宋体" w:cs="宋体"/>
          <w:i w:val="0"/>
          <w:iCs w:val="0"/>
          <w:caps w:val="0"/>
          <w:color w:val="auto"/>
          <w:spacing w:val="0"/>
          <w:sz w:val="24"/>
          <w:szCs w:val="24"/>
          <w:highlight w:val="none"/>
          <w:shd w:val="clear" w:color="auto" w:fill="ffffff"/>
          <w:lang w:val="en-US" w:eastAsia="zh-CN"/>
        </w:rPr>
        <w:t xml:space="preserve">吴</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女士</w:t>
      </w:r>
      <w:r/>
    </w:p>
    <w:p>
      <w:pPr>
        <w:pStyle w:val="734"/>
        <w:ind w:left="0" w:right="0" w:firstLine="560"/>
        <w:jc w:val="both"/>
        <w:keepLines w:val="0"/>
        <w:keepNext w:val="0"/>
        <w:pageBreakBefore w:val="0"/>
        <w:spacing w:before="0" w:beforeAutospacing="0" w:after="0" w:afterAutospacing="0" w:line="440" w:lineRule="exact"/>
        <w:shd w:val="clear" w:color="auto" w:fill="ffffff"/>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w:t>
      </w:r>
      <w:bookmarkStart w:id="32" w:name="_Toc28359021"/>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0515-866600</w:t>
      </w:r>
      <w:r>
        <w:rPr>
          <w:rFonts w:hint="eastAsia" w:ascii="宋体" w:hAnsi="宋体" w:cs="宋体"/>
          <w:i w:val="0"/>
          <w:iCs w:val="0"/>
          <w:caps w:val="0"/>
          <w:color w:val="auto"/>
          <w:spacing w:val="0"/>
          <w:sz w:val="24"/>
          <w:szCs w:val="24"/>
          <w:highlight w:val="none"/>
          <w:shd w:val="clear" w:color="auto" w:fill="ffffff"/>
          <w:lang w:val="en-US" w:eastAsia="zh-CN"/>
        </w:rPr>
        <w:t xml:space="preserve">13</w:t>
      </w:r>
      <w:r/>
    </w:p>
    <w:p>
      <w:pPr>
        <w:pStyle w:val="734"/>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bookmarkEnd w:id="32"/>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项目联系方式</w:t>
      </w:r>
      <w:r/>
    </w:p>
    <w:p>
      <w:pPr>
        <w:pStyle w:val="734"/>
        <w:ind w:left="0" w:right="0" w:firstLine="560"/>
        <w:jc w:val="both"/>
        <w:keepLines w:val="0"/>
        <w:keepNext w:val="0"/>
        <w:pageBreakBefore w:val="0"/>
        <w:spacing w:before="0" w:beforeAutospacing="0" w:after="0" w:afterAutospacing="0" w:line="440" w:lineRule="exact"/>
        <w:shd w:val="clear" w:color="auto" w:fill="ffffff"/>
        <w:widowControl/>
        <w:rPr>
          <w:rFonts w:ascii="宋体" w:hAnsi="宋体" w:eastAsia="宋体" w:cs="宋体"/>
          <w:i w:val="0"/>
          <w:iCs w:val="0"/>
          <w:caps w:val="0"/>
          <w:color w:val="auto"/>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w:t>
      </w:r>
      <w:r>
        <w:rPr>
          <w:rFonts w:hint="eastAsia" w:ascii="宋体" w:hAnsi="宋体" w:cs="宋体"/>
          <w:i w:val="0"/>
          <w:iCs w:val="0"/>
          <w:caps w:val="0"/>
          <w:color w:val="auto"/>
          <w:spacing w:val="0"/>
          <w:sz w:val="24"/>
          <w:szCs w:val="24"/>
          <w:highlight w:val="none"/>
          <w:shd w:val="clear" w:color="auto" w:fill="ffffff"/>
          <w:lang w:val="en-US" w:eastAsia="zh-CN"/>
        </w:rPr>
        <w:t xml:space="preserve">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先生</w:t>
      </w:r>
      <w:r/>
    </w:p>
    <w:p>
      <w:pPr>
        <w:pStyle w:val="734"/>
        <w:ind w:left="0" w:right="0" w:firstLine="560"/>
        <w:jc w:val="both"/>
        <w:keepLines w:val="0"/>
        <w:keepNext w:val="0"/>
        <w:pageBreakBefore w:val="0"/>
        <w:spacing w:before="0" w:beforeAutospacing="0" w:after="0" w:afterAutospacing="0" w:line="440" w:lineRule="exact"/>
        <w:shd w:val="clear" w:color="auto" w:fill="ffffff"/>
        <w:widowControl/>
        <w:rPr>
          <w:rFonts w:hint="default" w:ascii="宋体" w:hAnsi="宋体" w:eastAsia="宋体" w:cs="宋体"/>
          <w:b/>
          <w:color w:val="auto"/>
          <w:sz w:val="44"/>
          <w:szCs w:val="44"/>
          <w:highlight w:val="none"/>
          <w:lang w:val="en-US"/>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w:t>
      </w:r>
      <w:bookmarkStart w:id="33" w:name="_Toc120614211"/>
      <w:r>
        <w:rPr>
          <w:rFonts w:hint="eastAsia" w:ascii="宋体" w:hAnsi="宋体" w:cs="宋体"/>
          <w:i w:val="0"/>
          <w:iCs w:val="0"/>
          <w:caps w:val="0"/>
          <w:color w:val="auto"/>
          <w:spacing w:val="0"/>
          <w:sz w:val="24"/>
          <w:szCs w:val="24"/>
          <w:highlight w:val="none"/>
          <w:shd w:val="clear" w:color="auto" w:fill="ffffff"/>
          <w:lang w:val="en-US" w:eastAsia="zh-CN"/>
        </w:rPr>
        <w:t xml:space="preserve">18751447113</w:t>
      </w:r>
      <w:r/>
    </w:p>
    <w:p>
      <w:pPr>
        <w:jc w:val="center"/>
        <w:rPr>
          <w:rFonts w:hint="eastAsia" w:ascii="宋体" w:hAnsi="宋体" w:eastAsia="宋体" w:cs="宋体"/>
          <w:color w:val="auto"/>
          <w:highlight w:val="none"/>
        </w:rPr>
      </w:pPr>
      <w:r>
        <w:rPr>
          <w:rFonts w:hint="eastAsia" w:ascii="宋体" w:hAnsi="宋体" w:eastAsia="宋体" w:cs="宋体"/>
          <w:b/>
          <w:color w:val="auto"/>
          <w:sz w:val="44"/>
          <w:szCs w:val="44"/>
          <w:highlight w:val="none"/>
        </w:rPr>
        <w:br w:type="page" w:clear="all"/>
      </w:r>
      <w:r>
        <w:rPr>
          <w:rFonts w:hint="eastAsia" w:ascii="宋体" w:hAnsi="宋体" w:eastAsia="宋体" w:cs="宋体"/>
          <w:b/>
          <w:color w:val="auto"/>
          <w:sz w:val="44"/>
          <w:szCs w:val="44"/>
          <w:highlight w:val="none"/>
        </w:rPr>
        <w:t xml:space="preserve">第二章  </w:t>
      </w:r>
      <w:bookmarkEnd w:id="33"/>
      <w:r/>
      <w:bookmarkStart w:id="34" w:name="_Toc20823274"/>
      <w:r/>
      <w:bookmarkStart w:id="35" w:name="_Toc16938518"/>
      <w:r/>
      <w:bookmarkStart w:id="36" w:name="_Toc120614213"/>
      <w:r/>
      <w:bookmarkStart w:id="37" w:name="_Toc513029202"/>
      <w:r>
        <w:rPr>
          <w:rFonts w:hint="eastAsia" w:ascii="宋体" w:hAnsi="宋体" w:eastAsia="宋体" w:cs="宋体"/>
          <w:b/>
          <w:color w:val="auto"/>
          <w:sz w:val="44"/>
          <w:szCs w:val="44"/>
          <w:highlight w:val="none"/>
        </w:rPr>
        <w:t xml:space="preserve">投标人须知</w:t>
      </w:r>
      <w:bookmarkEnd w:id="34"/>
      <w:r/>
      <w:bookmarkEnd w:id="35"/>
      <w:r/>
      <w:bookmarkEnd w:id="36"/>
      <w:r/>
      <w:bookmarkEnd w:id="37"/>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bookmarkStart w:id="38" w:name="_Hlt26670425"/>
      <w:r/>
      <w:bookmarkStart w:id="39" w:name="_Hlt26670360"/>
      <w:r/>
      <w:bookmarkStart w:id="40" w:name="_Hlt26954840"/>
      <w:r/>
      <w:bookmarkStart w:id="41" w:name="_Hlt26668983"/>
      <w:r/>
      <w:bookmarkStart w:id="42" w:name="_Hlt26670482"/>
      <w:r/>
      <w:bookmarkStart w:id="43" w:name="_Hlt26670399"/>
      <w:r/>
      <w:bookmarkStart w:id="44" w:name="_Hlt26670403"/>
      <w:r/>
      <w:bookmarkStart w:id="45" w:name="_Hlt16619475"/>
      <w:r/>
      <w:bookmarkStart w:id="46" w:name="_Hlt26670373"/>
      <w:r/>
      <w:bookmarkStart w:id="47" w:name="_Hlt26670486"/>
      <w:r/>
      <w:bookmarkStart w:id="48" w:name="_Hlt26954844"/>
      <w:r/>
      <w:bookmarkStart w:id="49" w:name="_Hlt26954731"/>
      <w:r/>
      <w:bookmarkStart w:id="50" w:name="_Hlt26954846"/>
      <w:r/>
      <w:bookmarkStart w:id="51" w:name="_Hlt26668975"/>
      <w:r/>
      <w:bookmarkStart w:id="52" w:name="_Hlt26954838"/>
      <w:r/>
      <w:bookmarkStart w:id="53" w:name="_Hlt26954848"/>
      <w:r/>
      <w:bookmarkStart w:id="54" w:name="_Hlt26954842"/>
      <w:r>
        <w:rPr>
          <w:rFonts w:hint="eastAsia" w:ascii="宋体" w:hAnsi="宋体" w:eastAsia="宋体" w:cs="宋体"/>
          <w:b w:val="0"/>
          <w:bCs/>
          <w:color w:val="auto"/>
          <w:sz w:val="24"/>
          <w:szCs w:val="24"/>
          <w:highlight w:val="none"/>
        </w:rPr>
        <w:t xml:space="preserve">一、总则</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1、招标方式</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1.1本次招标采取公开招标方式，本招标文件仅适用于招标公告中所述项目。</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2、合格的投标人</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2.1满足招标公告中供应商的资格要求的规定。</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2.2满足本文件实质性要求和条件的规定。</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3、适用法律</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3.1本次招标及由此产生的合同受中华人民共和国有关的法律法规制约和保护。</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方正魏碑_GBK" w:hAnsi="方正魏碑_GBK" w:eastAsia="方正魏碑_GBK" w:cs="方正魏碑_GBK"/>
          <w:color w:val="auto"/>
          <w:sz w:val="24"/>
          <w:szCs w:val="21"/>
          <w:highlight w:val="none"/>
        </w:rPr>
        <w:t xml:space="preserve">3.2 在本项目政府采购活动过程中，如果所执行的标准有更新的，按照最新标准执行。</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4、投标费用</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4.1投标人应自行承担所有与参加投标有关的费用，无论投标过程中的做法和结果如何，江苏省盐南高新技术产业开发区政务服务中心（以下简称</w:t>
      </w:r>
      <w:r>
        <w:rPr>
          <w:rFonts w:hint="eastAsia" w:ascii="宋体" w:hAnsi="宋体" w:eastAsia="宋体" w:cs="宋体"/>
          <w:b w:val="0"/>
          <w:bCs/>
          <w:color w:val="auto"/>
          <w:sz w:val="24"/>
          <w:szCs w:val="24"/>
          <w:highlight w:val="none"/>
          <w:lang w:eastAsia="zh-CN"/>
        </w:rPr>
        <w:t xml:space="preserve">政务服务中心</w:t>
      </w:r>
      <w:r>
        <w:rPr>
          <w:rFonts w:hint="eastAsia" w:ascii="宋体" w:hAnsi="宋体" w:eastAsia="宋体" w:cs="宋体"/>
          <w:b w:val="0"/>
          <w:bCs/>
          <w:color w:val="auto"/>
          <w:sz w:val="24"/>
          <w:szCs w:val="24"/>
          <w:highlight w:val="none"/>
        </w:rPr>
        <w:t xml:space="preserve">）在任何情况下均无义务和责任承担这些费用。</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4.2本次招标</w:t>
      </w:r>
      <w:r>
        <w:rPr>
          <w:rFonts w:hint="eastAsia" w:ascii="宋体" w:hAnsi="宋体" w:eastAsia="宋体" w:cs="宋体"/>
          <w:b w:val="0"/>
          <w:bCs/>
          <w:color w:val="auto"/>
          <w:sz w:val="24"/>
          <w:szCs w:val="24"/>
          <w:highlight w:val="none"/>
          <w:lang w:eastAsia="zh-CN"/>
        </w:rPr>
        <w:t xml:space="preserve">政务服务中心</w:t>
      </w:r>
      <w:r>
        <w:rPr>
          <w:rFonts w:hint="eastAsia" w:ascii="宋体" w:hAnsi="宋体" w:eastAsia="宋体" w:cs="宋体"/>
          <w:b w:val="0"/>
          <w:bCs/>
          <w:color w:val="auto"/>
          <w:sz w:val="24"/>
          <w:szCs w:val="24"/>
          <w:highlight w:val="none"/>
        </w:rPr>
        <w:t xml:space="preserve">和采购人不收取标书工本费与中标服务费。</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5、招标文件的约束力</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5.1投标人一旦参加本项目采购活动，即被认为接受了本招标文件的规定和约束。</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二、招标文件</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6、招标文件构成</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6.1 招标文件由以下部分组成：</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（1）招标公告</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（2）投标人须知</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（3）合同文本</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（4）采购需求</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（5）评标方法与评标标准</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（6）投标文件格式</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请仔细检查招标文件是否齐全，如有缺漏请立即与</w:t>
      </w:r>
      <w:r>
        <w:rPr>
          <w:rFonts w:hint="eastAsia" w:ascii="宋体" w:hAnsi="宋体" w:eastAsia="宋体" w:cs="宋体"/>
          <w:b w:val="0"/>
          <w:bCs/>
          <w:color w:val="auto"/>
          <w:sz w:val="24"/>
          <w:szCs w:val="24"/>
          <w:highlight w:val="none"/>
          <w:lang w:eastAsia="zh-CN"/>
        </w:rPr>
        <w:t xml:space="preserve">政务服务中心</w:t>
      </w:r>
      <w:r>
        <w:rPr>
          <w:rFonts w:hint="eastAsia" w:ascii="宋体" w:hAnsi="宋体" w:eastAsia="宋体" w:cs="宋体"/>
          <w:b w:val="0"/>
          <w:bCs/>
          <w:color w:val="auto"/>
          <w:sz w:val="24"/>
          <w:szCs w:val="24"/>
          <w:highlight w:val="none"/>
        </w:rPr>
        <w:t xml:space="preserve">联系解决。</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7、招标文件的澄清</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7.1任何要求对招标文件进行澄清的投标人，应在投标截止期十日前按招标公告中的通讯地址，以书面形式通知</w:t>
      </w:r>
      <w:r>
        <w:rPr>
          <w:rFonts w:hint="eastAsia" w:ascii="宋体" w:hAnsi="宋体" w:eastAsia="宋体" w:cs="宋体"/>
          <w:b w:val="0"/>
          <w:bCs/>
          <w:color w:val="auto"/>
          <w:sz w:val="24"/>
          <w:szCs w:val="24"/>
          <w:highlight w:val="none"/>
          <w:lang w:eastAsia="zh-CN"/>
        </w:rPr>
        <w:t xml:space="preserve">政务服务中心</w:t>
      </w:r>
      <w:r>
        <w:rPr>
          <w:rFonts w:hint="eastAsia" w:ascii="宋体" w:hAnsi="宋体" w:eastAsia="宋体" w:cs="宋体"/>
          <w:b w:val="0"/>
          <w:bCs/>
          <w:color w:val="auto"/>
          <w:sz w:val="24"/>
          <w:szCs w:val="24"/>
          <w:highlight w:val="none"/>
        </w:rPr>
        <w:t xml:space="preserve">。</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8、招标文件的修改</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8.1在投标截止时间前，</w:t>
      </w:r>
      <w:r>
        <w:rPr>
          <w:rFonts w:hint="eastAsia" w:ascii="宋体" w:hAnsi="宋体" w:eastAsia="宋体" w:cs="宋体"/>
          <w:b w:val="0"/>
          <w:bCs/>
          <w:color w:val="auto"/>
          <w:sz w:val="24"/>
          <w:szCs w:val="24"/>
          <w:highlight w:val="none"/>
          <w:lang w:eastAsia="zh-CN"/>
        </w:rPr>
        <w:t xml:space="preserve">政务服务中心</w:t>
      </w:r>
      <w:r>
        <w:rPr>
          <w:rFonts w:hint="eastAsia" w:ascii="宋体" w:hAnsi="宋体" w:eastAsia="宋体" w:cs="宋体"/>
          <w:b w:val="0"/>
          <w:bCs/>
          <w:color w:val="auto"/>
          <w:sz w:val="24"/>
          <w:szCs w:val="24"/>
          <w:highlight w:val="none"/>
        </w:rPr>
        <w:t xml:space="preserve">可以对招标文件进行修改。</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8.2</w:t>
      </w:r>
      <w:r>
        <w:rPr>
          <w:rFonts w:hint="eastAsia" w:ascii="宋体" w:hAnsi="宋体" w:eastAsia="宋体" w:cs="宋体"/>
          <w:b w:val="0"/>
          <w:bCs/>
          <w:color w:val="auto"/>
          <w:sz w:val="24"/>
          <w:szCs w:val="24"/>
          <w:highlight w:val="none"/>
          <w:lang w:eastAsia="zh-CN"/>
        </w:rPr>
        <w:t xml:space="preserve">政务服务中心</w:t>
      </w:r>
      <w:r>
        <w:rPr>
          <w:rFonts w:hint="eastAsia" w:ascii="宋体" w:hAnsi="宋体" w:eastAsia="宋体" w:cs="宋体"/>
          <w:b w:val="0"/>
          <w:bCs/>
          <w:color w:val="auto"/>
          <w:sz w:val="24"/>
          <w:szCs w:val="24"/>
          <w:highlight w:val="none"/>
        </w:rPr>
        <w:t xml:space="preserve">有权按照法定的要求推迟投标截止日期和开标日期。</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8.3招标文件的修改将在“中国政府采购网”、“江苏政府采购网”、“盐城市政府采购网”公布，补充文件将作为招标文件的组成部分，并对投标人具有约束力。</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三、投标文件的编制</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9、投标文件的语言及度量衡单位</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9.1投标人提交的投标文件以及投标人与</w:t>
      </w:r>
      <w:r>
        <w:rPr>
          <w:rFonts w:hint="eastAsia" w:ascii="宋体" w:hAnsi="宋体" w:eastAsia="宋体" w:cs="宋体"/>
          <w:b w:val="0"/>
          <w:bCs/>
          <w:color w:val="auto"/>
          <w:sz w:val="24"/>
          <w:szCs w:val="24"/>
          <w:highlight w:val="none"/>
          <w:lang w:eastAsia="zh-CN"/>
        </w:rPr>
        <w:t xml:space="preserve">政务服务中心</w:t>
      </w:r>
      <w:r>
        <w:rPr>
          <w:rFonts w:hint="eastAsia" w:ascii="宋体" w:hAnsi="宋体" w:eastAsia="宋体" w:cs="宋体"/>
          <w:b w:val="0"/>
          <w:bCs/>
          <w:color w:val="auto"/>
          <w:sz w:val="24"/>
          <w:szCs w:val="24"/>
          <w:highlight w:val="none"/>
        </w:rPr>
        <w:t xml:space="preserve">就有关投标的所有来往通知、函件和文件均应使用简体中文。</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9.2除技术性能另有规定外，投标文件所使用的度量衡单位，均须采用国家法定计量单位。</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10、投标文件构成</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11、证明投标人及投标标的符合招标文件规定的文件</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11.1投标人应按照法律、法规、规章和规范性文件以及招标文件要求提交证明文件，证明其及投标标的符合招标文件规定。</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11.2招标文件对证明文件无明确形式要求的，证明文件可以以文字资料、图纸和数据等形式提交。</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12、投标分项报价表</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12.1投标人应按照招标文件规定格式填报投标分项报价表。</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12.2投标货币。投标文件中的单价和总价无特殊规定的采用人民币报价，以元为单位标注。招标文件中另有规定的按规定执行。</w:t>
      </w:r>
      <w:r/>
    </w:p>
    <w:p>
      <w:pPr>
        <w:ind w:firstLine="468"/>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12.3投标配置和分项明细报价，不仅应包括所有人员的工资、法定节假日加班费、社保、公积金、福利费，还应包括：管理、劳务、培训、风险、税金、合理利润及政策性文件规定等各项应有费用，以及为完成招标文件规定的物业服务工作所涉及到的一切相关费用。</w:t>
      </w:r>
      <w:r/>
    </w:p>
    <w:p>
      <w:pPr>
        <w:ind w:firstLine="468"/>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12.4</w:t>
      </w:r>
      <w:r>
        <w:rPr>
          <w:rFonts w:hint="eastAsia" w:ascii="宋体" w:hAnsi="宋体" w:eastAsia="宋体" w:cs="宋体"/>
          <w:b/>
          <w:bCs/>
          <w:color w:val="auto"/>
          <w:sz w:val="24"/>
          <w:highlight w:val="none"/>
          <w:lang w:val="zh-CN"/>
        </w:rPr>
        <w:t xml:space="preserve">所有人员工资不低于本市最低工资标准</w:t>
      </w:r>
      <w:r>
        <w:rPr>
          <w:rFonts w:hint="eastAsia" w:ascii="宋体" w:hAnsi="宋体" w:eastAsia="宋体" w:cs="宋体"/>
          <w:b/>
          <w:bCs/>
          <w:color w:val="auto"/>
          <w:sz w:val="24"/>
          <w:highlight w:val="none"/>
          <w:lang w:val="en-US" w:eastAsia="zh-CN"/>
        </w:rPr>
        <w:t xml:space="preserve">2430</w:t>
      </w:r>
      <w:r>
        <w:rPr>
          <w:rFonts w:hint="eastAsia" w:ascii="宋体" w:hAnsi="宋体" w:eastAsia="宋体" w:cs="宋体"/>
          <w:b/>
          <w:bCs/>
          <w:color w:val="auto"/>
          <w:sz w:val="24"/>
          <w:highlight w:val="none"/>
          <w:lang w:val="zh-CN"/>
        </w:rPr>
        <w:t xml:space="preserve">元/人每月，所有人员必须足额缴纳社保费用，</w:t>
      </w:r>
      <w:r>
        <w:rPr>
          <w:rFonts w:hint="eastAsia" w:ascii="宋体" w:hAnsi="宋体" w:eastAsia="宋体" w:cs="宋体"/>
          <w:b/>
          <w:bCs/>
          <w:color w:val="auto"/>
          <w:sz w:val="24"/>
          <w:szCs w:val="20"/>
          <w:highlight w:val="none"/>
        </w:rPr>
        <w:t xml:space="preserve">社保（企业部分）不得低于1292.47元/人/每月</w:t>
      </w:r>
      <w:r>
        <w:rPr>
          <w:rFonts w:hint="eastAsia" w:ascii="宋体" w:hAnsi="宋体" w:eastAsia="宋体" w:cs="宋体"/>
          <w:b/>
          <w:bCs/>
          <w:color w:val="auto"/>
          <w:sz w:val="24"/>
          <w:highlight w:val="none"/>
          <w:lang w:val="zh-CN"/>
        </w:rPr>
        <w:t xml:space="preserve">，</w:t>
      </w:r>
      <w:r>
        <w:rPr>
          <w:rFonts w:hint="eastAsia" w:ascii="宋体" w:hAnsi="宋体" w:eastAsia="宋体" w:cs="宋体"/>
          <w:b/>
          <w:bCs/>
          <w:color w:val="auto"/>
          <w:sz w:val="24"/>
          <w:highlight w:val="none"/>
        </w:rPr>
        <w:t xml:space="preserve">住房公积金不得低于</w:t>
      </w:r>
      <w:r>
        <w:rPr>
          <w:rFonts w:hint="eastAsia" w:ascii="宋体" w:hAnsi="宋体" w:eastAsia="宋体" w:cs="宋体"/>
          <w:b/>
          <w:bCs/>
          <w:color w:val="auto"/>
          <w:sz w:val="24"/>
          <w:highlight w:val="none"/>
          <w:lang w:val="en-US" w:eastAsia="zh-CN"/>
        </w:rPr>
        <w:t xml:space="preserve">180.8</w:t>
      </w:r>
      <w:r>
        <w:rPr>
          <w:rFonts w:hint="eastAsia" w:ascii="宋体" w:hAnsi="宋体" w:eastAsia="宋体" w:cs="宋体"/>
          <w:b/>
          <w:bCs/>
          <w:color w:val="auto"/>
          <w:sz w:val="24"/>
          <w:highlight w:val="none"/>
        </w:rPr>
        <w:t xml:space="preserve">元</w:t>
      </w:r>
      <w:r>
        <w:rPr>
          <w:rFonts w:hint="eastAsia" w:ascii="宋体" w:hAnsi="宋体" w:eastAsia="宋体" w:cs="宋体"/>
          <w:b/>
          <w:bCs/>
          <w:color w:val="auto"/>
          <w:sz w:val="24"/>
          <w:highlight w:val="none"/>
          <w:lang w:val="zh-CN"/>
        </w:rPr>
        <w:t xml:space="preserve">人/每月</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福利费（含夏季高温费）不得低于100</w:t>
      </w:r>
      <w:r>
        <w:rPr>
          <w:rFonts w:hint="eastAsia" w:ascii="宋体" w:hAnsi="宋体" w:eastAsia="宋体" w:cs="宋体"/>
          <w:b/>
          <w:bCs/>
          <w:color w:val="auto"/>
          <w:sz w:val="24"/>
          <w:highlight w:val="none"/>
          <w:lang w:val="zh-CN"/>
        </w:rPr>
        <w:t xml:space="preserve">元/人/每月，</w:t>
      </w:r>
      <w:r>
        <w:rPr>
          <w:rFonts w:hint="eastAsia" w:ascii="宋体" w:hAnsi="宋体" w:eastAsia="宋体" w:cs="宋体"/>
          <w:b/>
          <w:bCs/>
          <w:color w:val="auto"/>
          <w:sz w:val="24"/>
          <w:highlight w:val="none"/>
          <w:lang w:val="en-US" w:eastAsia="zh-CN"/>
        </w:rPr>
        <w:t xml:space="preserve">服装费不得低于25</w:t>
      </w:r>
      <w:r>
        <w:rPr>
          <w:rFonts w:hint="eastAsia" w:ascii="宋体" w:hAnsi="宋体" w:eastAsia="宋体" w:cs="宋体"/>
          <w:b/>
          <w:bCs/>
          <w:color w:val="auto"/>
          <w:sz w:val="24"/>
          <w:highlight w:val="none"/>
          <w:lang w:val="zh-CN"/>
        </w:rPr>
        <w:t xml:space="preserve">元/人/每月，</w:t>
      </w:r>
      <w:r>
        <w:rPr>
          <w:rFonts w:hint="eastAsia" w:ascii="宋体" w:hAnsi="宋体" w:eastAsia="宋体" w:cs="宋体"/>
          <w:b/>
          <w:bCs/>
          <w:color w:val="auto"/>
          <w:sz w:val="24"/>
          <w:highlight w:val="none"/>
          <w:lang w:val="en-US" w:eastAsia="zh-CN"/>
        </w:rPr>
        <w:t xml:space="preserve">用具耗材不得低于25</w:t>
      </w:r>
      <w:r>
        <w:rPr>
          <w:rFonts w:hint="eastAsia" w:ascii="宋体" w:hAnsi="宋体" w:eastAsia="宋体" w:cs="宋体"/>
          <w:b/>
          <w:bCs/>
          <w:color w:val="auto"/>
          <w:sz w:val="24"/>
          <w:highlight w:val="none"/>
          <w:lang w:val="zh-CN"/>
        </w:rPr>
        <w:t xml:space="preserve">元/人/每月，</w:t>
      </w:r>
      <w:r>
        <w:rPr>
          <w:rFonts w:hint="eastAsia" w:ascii="宋体" w:hAnsi="宋体" w:eastAsia="宋体" w:cs="宋体"/>
          <w:b/>
          <w:bCs/>
          <w:color w:val="auto"/>
          <w:sz w:val="24"/>
          <w:highlight w:val="none"/>
        </w:rPr>
        <w:t xml:space="preserve">税金费率不得低于</w:t>
      </w:r>
      <w:r>
        <w:rPr>
          <w:rFonts w:hint="eastAsia" w:ascii="宋体" w:hAnsi="宋体" w:eastAsia="宋体" w:cs="宋体"/>
          <w:b/>
          <w:bCs/>
          <w:color w:val="auto"/>
          <w:sz w:val="24"/>
          <w:highlight w:val="none"/>
          <w:lang w:val="en-US" w:eastAsia="zh-CN"/>
        </w:rPr>
        <w:t xml:space="preserve">6.72</w:t>
      </w:r>
      <w:r>
        <w:rPr>
          <w:rFonts w:hint="eastAsia" w:ascii="宋体" w:hAnsi="宋体" w:eastAsia="宋体" w:cs="宋体"/>
          <w:b/>
          <w:bCs/>
          <w:color w:val="auto"/>
          <w:sz w:val="24"/>
          <w:highlight w:val="none"/>
        </w:rPr>
        <w:t xml:space="preserve">%。</w:t>
      </w:r>
      <w:r/>
    </w:p>
    <w:p>
      <w:pPr>
        <w:ind w:firstLine="47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12.5小区公用经费部分：公用水电费各投标人须按“658948.94㎡*0.05元/月*12月”填报，电梯维保须按“3000元/年*11台”，以上费用为不可竞争费。</w:t>
      </w:r>
      <w:r/>
    </w:p>
    <w:p>
      <w:pPr>
        <w:ind w:firstLine="47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投标人</w:t>
      </w:r>
      <w:r>
        <w:rPr>
          <w:rFonts w:hint="eastAsia" w:ascii="宋体" w:hAnsi="宋体" w:eastAsia="宋体" w:cs="宋体"/>
          <w:b/>
          <w:bCs/>
          <w:color w:val="auto"/>
          <w:sz w:val="24"/>
          <w:highlight w:val="none"/>
          <w:lang w:val="zh-CN"/>
        </w:rPr>
        <w:t xml:space="preserve">所提供人员、</w:t>
      </w:r>
      <w:r>
        <w:rPr>
          <w:rFonts w:hint="eastAsia" w:ascii="宋体" w:hAnsi="宋体" w:eastAsia="宋体" w:cs="宋体"/>
          <w:b/>
          <w:bCs/>
          <w:color w:val="auto"/>
          <w:sz w:val="24"/>
          <w:highlight w:val="none"/>
          <w:lang w:val="en-US" w:eastAsia="zh-CN"/>
        </w:rPr>
        <w:t xml:space="preserve">公共经费</w:t>
      </w:r>
      <w:r>
        <w:rPr>
          <w:rFonts w:hint="eastAsia" w:ascii="宋体" w:hAnsi="宋体" w:eastAsia="宋体" w:cs="宋体"/>
          <w:b/>
          <w:bCs/>
          <w:color w:val="auto"/>
          <w:sz w:val="24"/>
          <w:highlight w:val="none"/>
          <w:lang w:val="zh-CN"/>
        </w:rPr>
        <w:t xml:space="preserve">的费用不得低于上述标准进行测算，</w:t>
      </w:r>
      <w:r>
        <w:rPr>
          <w:rFonts w:hint="eastAsia" w:ascii="宋体" w:hAnsi="宋体" w:eastAsia="宋体" w:cs="宋体"/>
          <w:b/>
          <w:color w:val="auto"/>
          <w:sz w:val="24"/>
          <w:highlight w:val="none"/>
        </w:rPr>
        <w:t xml:space="preserve">否则</w:t>
      </w:r>
      <w:r>
        <w:rPr>
          <w:rFonts w:hint="eastAsia" w:ascii="宋体" w:hAnsi="宋体" w:eastAsia="宋体" w:cs="宋体"/>
          <w:b/>
          <w:bCs/>
          <w:color w:val="auto"/>
          <w:sz w:val="24"/>
          <w:highlight w:val="none"/>
          <w:lang w:val="zh-CN"/>
        </w:rPr>
        <w:t xml:space="preserve">视为未实质性响应招标文件要求</w:t>
      </w:r>
      <w:r>
        <w:rPr>
          <w:rFonts w:hint="eastAsia" w:ascii="宋体" w:hAnsi="宋体" w:eastAsia="宋体" w:cs="宋体"/>
          <w:b/>
          <w:color w:val="auto"/>
          <w:sz w:val="24"/>
          <w:highlight w:val="none"/>
        </w:rPr>
        <w:t xml:space="preserve">。如果招标公告发布之后</w:t>
      </w:r>
      <w:r>
        <w:rPr>
          <w:rFonts w:hint="eastAsia" w:ascii="宋体" w:hAnsi="宋体" w:eastAsia="宋体" w:cs="宋体"/>
          <w:b/>
          <w:color w:val="auto"/>
          <w:sz w:val="24"/>
          <w:highlight w:val="none"/>
          <w:lang w:val="en-US" w:eastAsia="zh-CN"/>
        </w:rPr>
        <w:t xml:space="preserve">开标前</w:t>
      </w:r>
      <w:r>
        <w:rPr>
          <w:rFonts w:hint="eastAsia" w:ascii="宋体" w:hAnsi="宋体" w:eastAsia="宋体" w:cs="宋体"/>
          <w:b/>
          <w:color w:val="auto"/>
          <w:sz w:val="24"/>
          <w:highlight w:val="none"/>
        </w:rPr>
        <w:t xml:space="preserve">遇政府调整职工最低工资标准或社会保险缴纳基数，</w:t>
      </w:r>
      <w:r>
        <w:rPr>
          <w:rFonts w:hint="eastAsia" w:ascii="宋体" w:hAnsi="宋体" w:eastAsia="宋体" w:cs="宋体"/>
          <w:b/>
          <w:color w:val="auto"/>
          <w:sz w:val="24"/>
          <w:highlight w:val="none"/>
          <w:lang w:val="en-US" w:eastAsia="zh-CN"/>
        </w:rPr>
        <w:t xml:space="preserve">评标委员会进行符合性审查时</w:t>
      </w:r>
      <w:r>
        <w:rPr>
          <w:rFonts w:hint="eastAsia" w:ascii="宋体" w:hAnsi="宋体" w:eastAsia="宋体" w:cs="宋体"/>
          <w:b/>
          <w:color w:val="auto"/>
          <w:sz w:val="24"/>
          <w:highlight w:val="none"/>
        </w:rPr>
        <w:t xml:space="preserve">可仍按上述标准</w:t>
      </w:r>
      <w:r>
        <w:rPr>
          <w:rFonts w:hint="eastAsia" w:ascii="宋体" w:hAnsi="宋体" w:eastAsia="宋体" w:cs="宋体"/>
          <w:b/>
          <w:color w:val="auto"/>
          <w:sz w:val="24"/>
          <w:highlight w:val="none"/>
          <w:lang w:val="en-US" w:eastAsia="zh-CN"/>
        </w:rPr>
        <w:t xml:space="preserve">审查</w:t>
      </w:r>
      <w:r>
        <w:rPr>
          <w:rFonts w:hint="eastAsia" w:ascii="宋体" w:hAnsi="宋体" w:eastAsia="宋体" w:cs="宋体"/>
          <w:b/>
          <w:color w:val="auto"/>
          <w:sz w:val="24"/>
          <w:highlight w:val="none"/>
        </w:rPr>
        <w:t xml:space="preserve">，中标后，</w:t>
      </w:r>
      <w:r>
        <w:rPr>
          <w:rFonts w:hint="eastAsia" w:ascii="宋体" w:hAnsi="宋体" w:eastAsia="宋体" w:cs="宋体"/>
          <w:b/>
          <w:color w:val="auto"/>
          <w:sz w:val="24"/>
          <w:highlight w:val="none"/>
          <w:lang w:val="en-US" w:eastAsia="zh-CN"/>
        </w:rPr>
        <w:t xml:space="preserve">中标人应按照最新政策文件规定执行</w:t>
      </w:r>
      <w:r>
        <w:rPr>
          <w:rFonts w:hint="eastAsia" w:ascii="宋体" w:hAnsi="宋体" w:eastAsia="宋体" w:cs="宋体"/>
          <w:b/>
          <w:color w:val="auto"/>
          <w:sz w:val="24"/>
          <w:highlight w:val="none"/>
        </w:rPr>
        <w:t xml:space="preserve">。</w:t>
      </w:r>
      <w:r/>
    </w:p>
    <w:p>
      <w:pPr>
        <w:pStyle w:val="734"/>
        <w:ind w:firstLine="420"/>
        <w:jc w:val="both"/>
        <w:keepLines/>
        <w:keepNext/>
        <w:pageBreakBefore w:val="0"/>
        <w:spacing w:beforeAutospacing="0" w:afterAutospacing="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12.5  投标人根据招标内容的要求准确报价，一经报出，不得更改。</w:t>
      </w:r>
      <w:r/>
    </w:p>
    <w:p>
      <w:pPr>
        <w:pStyle w:val="734"/>
        <w:ind w:firstLine="420"/>
        <w:jc w:val="both"/>
        <w:keepLines/>
        <w:keepNext/>
        <w:pageBreakBefore w:val="0"/>
        <w:spacing w:beforeAutospacing="0" w:afterAutospacing="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12.6投标报价的单</w:t>
      </w:r>
      <w:r>
        <w:rPr>
          <w:rFonts w:hint="eastAsia" w:ascii="宋体" w:hAnsi="宋体" w:eastAsia="宋体" w:cs="宋体"/>
          <w:color w:val="auto"/>
          <w:sz w:val="24"/>
          <w:highlight w:val="none"/>
        </w:rPr>
        <w:t xml:space="preserve">位为人民币(元)/年。如果未能按合同、招标投标文件履约的，中止合同，履约保证金不予退还，并不支付服务期间的物业服务费用。招标方有权终止合同的履行，受托单位应承担相应的完全责任，包括赔偿因此而给本单位及第三人带来的相应损失。合同期满后根据合同履行情况不再进行续聘或重新选聘物业服务企业，退出本物业管理时必须向本单位移交全套档案资料等，经本单位验收合格，并完成与后续物业服务企业的衔接后，方可退出，同时无息退还履约保证金余额。合同提前终止或期满退出的，规定时间内必须与本单位及后续物业管理企业的完成交接、衔接工作。 </w:t>
      </w:r>
      <w:r/>
    </w:p>
    <w:p>
      <w:pPr>
        <w:pStyle w:val="734"/>
        <w:ind w:firstLine="420"/>
        <w:jc w:val="both"/>
        <w:keepLines/>
        <w:keepNext/>
        <w:pageBreakBefore w:val="0"/>
        <w:spacing w:beforeAutospacing="0" w:afterAutospacing="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12.7对于超出招标文件的其他临时性服务项目，由甲乙双方协商解决。</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55" w:name="_Hlt26670489"/>
      <w:r/>
      <w:bookmarkStart w:id="56" w:name="_Hlt26954739"/>
      <w:r/>
      <w:bookmarkStart w:id="57" w:name="_Hlt26954852"/>
      <w:r/>
      <w:bookmarkStart w:id="58" w:name="_Hlt26954734"/>
      <w:r/>
      <w:bookmarkStart w:id="59" w:name="_Hlt26954850"/>
      <w:r/>
      <w:bookmarkStart w:id="60" w:name="_Toc513029226"/>
      <w:r>
        <w:rPr>
          <w:rFonts w:hint="eastAsia" w:ascii="宋体" w:hAnsi="宋体" w:eastAsia="宋体" w:cs="宋体"/>
          <w:color w:val="auto"/>
          <w:sz w:val="24"/>
          <w:szCs w:val="24"/>
          <w:highlight w:val="none"/>
        </w:rPr>
        <w:t xml:space="preserve">13、技术要求响应及偏离表、商务要求响应及偏离表</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13.1投标人需对招标文件中的技术要求与商务要求逐项作出响应或偏离，并说明原因。</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13.2投标人可在投标文件中提供认为需要的其他技术文件或说明。</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14、投标函和开标一览表</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14.1投标人应按照招标文件中提供的格式完整、正确填写投标函、开标一览表。</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14.3投标文件的大写金额和小写金额不一致的，以大写金额为准；对不同文字文本投标的解释发生异议的，以中文文本为准。</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15、投标有效期</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15.1投标有效期为</w:t>
      </w:r>
      <w:r>
        <w:rPr>
          <w:rFonts w:hint="eastAsia" w:ascii="宋体" w:hAnsi="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规定的开标之日后六十（60）天。投标有效期比规定短的将被视为未实质性响应招标文件而予以拒绝。</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16、投标有效期的延长</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w:t>
      </w:r>
      <w:r>
        <w:rPr>
          <w:rFonts w:hint="eastAsia" w:ascii="宋体" w:hAnsi="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四、投标文件的递交</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17、投标文件的递交</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电子投标文件的递交</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18、投标截止时间</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18.1投标人上传电子投标文件的时间不得迟于招标公告中规定的投标截止时间。</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w:t>
      </w:r>
      <w:r>
        <w:rPr>
          <w:rFonts w:hint="eastAsia" w:ascii="宋体" w:hAnsi="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19、投标文件的拒收</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w:t>
      </w:r>
      <w:r>
        <w:rPr>
          <w:rFonts w:hint="eastAsia" w:ascii="宋体" w:hAnsi="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拒绝接收在其规定的投标截止时间后上传的任何投标文件。</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20、投标文件的撤回和修改</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20.1投标文件的撤回</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21.1.1电子投标文件的撤回</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21.1.2投标人撤回电子投标文件，则认为其不再参与本项目投标活动。</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投标文件的修改</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20.2.2在投标截止时间之后，投标人不得对其电子投标文件作任何修改。</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20.3在投标截止时间至招标文件中规定的投标有效期满之间的这段时间内，投标人不得撤回其投标。</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五、开标与评标</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21、开标</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w:t>
      </w:r>
      <w:r>
        <w:rPr>
          <w:rFonts w:hint="eastAsia" w:ascii="宋体" w:hAnsi="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22、评标委员会</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22.1开标后，</w:t>
      </w:r>
      <w:r>
        <w:rPr>
          <w:rFonts w:hint="eastAsia" w:ascii="宋体" w:hAnsi="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将立即组织评标委员会（以下简称评委会）进行评标。</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22.2评委会由采购人代表和有关技术、经济等方面的专家组成，且人员构成符合政府采购有关规定。</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22.3评委会独立工作，负责评审所有投标文件并确定中标侯选人。</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23、评标过程的保密与公正</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w:t>
      </w:r>
      <w:r>
        <w:rPr>
          <w:rFonts w:hint="eastAsia" w:ascii="宋体" w:hAnsi="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均不得向投标人或与评标无关的其他人员透露。</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w:t>
      </w:r>
      <w:r>
        <w:rPr>
          <w:rFonts w:hint="eastAsia" w:ascii="宋体" w:hAnsi="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期限届满之日起通过苏采云系统查看自己的评审得分及排序情况。（提醒：经办人在“江苏政府采购网”查询到中标结果后，再点击推送。招标文件定稿后该提醒删除）</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24、投标文件的澄清</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24.3接到评委会澄清、说明和补正要求的投标人如未按规定做出澄清、说明和补正，其风险由投标人自行承担。</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25、对投标文件的初审</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25.1.3未通过资格审查或符合性审查的投标人，</w:t>
      </w:r>
      <w:r>
        <w:rPr>
          <w:rFonts w:hint="eastAsia" w:ascii="宋体" w:hAnsi="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将不再告知未通过资格审查和符合性审查的原因。</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25.4评委会将对确定为实质性响应的投标进行进一步审核，确定其是否有计算上或累加上的算术错误，修正错误的原则如下：</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25.6投标人在开、评标全过程中应保持通讯畅通，及时登录苏采云系统查阅、答复相关信息，并安排专人与</w:t>
      </w:r>
      <w:r>
        <w:rPr>
          <w:rFonts w:hint="eastAsia" w:ascii="宋体" w:hAnsi="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及评标委员会联系。</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26.1无效投标条款</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26.1.7不符合招标文件中规定的实质性要求和条件的（本招标文件中斜体且有下划线部分为实质性要求和条件）。</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26.1.9投标文件含有采购人不能接受的附加条件的。</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26.1.10投标人不能证明其报价合理性的，评标委员会应当将其作为无效投标处理。</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（一）评审过程中出现下列情形之一的，评标委员会应当启动异常低价投标审查程序：</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1.投标报价低于采购项目预算50%的，即投标报价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采购项目预算×50%；</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2.投标报价低于采购项目最高限价45%的，即投标报价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采购项目最高限价×45%；</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3.评标委员会认定的供应商报价过低、有可能影响产品质量或者不能诚信履约的其他情形。</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26.2.1符合专业条件的供应商或者对招标文件作实质响应的供应商不足三家的。26.2.2出现影响采购公正的违法、违规行为的。</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六、定标</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27、确定中标单位</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 </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27.2采购人应根据评委会推荐的中标候选人确定中标人。</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w:t>
      </w:r>
      <w:r>
        <w:rPr>
          <w:rFonts w:hint="eastAsia" w:ascii="宋体" w:hAnsi="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将在“中国政府采购网”、“江苏政府采购网”、“盐城市政府采购网”发布中标公告，公告期限为1个工作日。</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w:t>
      </w:r>
      <w:r>
        <w:rPr>
          <w:rFonts w:hint="eastAsia" w:ascii="宋体" w:hAnsi="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行贿或者提供其他不正当利益的。</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 有下列情形之一的，视为投标人串通投标，投标无效：</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27.5.3不同投标人的投标文件载明的项目管理成员或者联系人员为同一人。</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28、质疑处理</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或采购人提出质疑。上述应知其权益受到损害之日，是指：</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、采购人将只对供应商第一次质疑作出答复。</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提出，由</w:t>
      </w:r>
      <w:r>
        <w:rPr>
          <w:rFonts w:hint="eastAsia" w:ascii="宋体" w:hAnsi="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负责答复。</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政务服务中心及采购人只接收以纸质原件形式送达的质疑,采购人和政务服务中心不接受未填写快递运单的快件。质疑接收部门为受理处，联系地址：盐南高新区新龙广场7#楼，联系电话：0515-86660096。</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28.5.1内容不符合《政府采购质疑和投诉办法》第十二条规定的质疑。</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28.5.2超出政府采购法定期限的质疑。</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28.5.3以传真、电子邮件等方式递交的非原件形式的质疑。</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28.6供应商提出书面质疑必须有理、有据，不得捏造事实、提供虚假材料进行恶意质疑。否则，一经查实，</w:t>
      </w:r>
      <w:r>
        <w:rPr>
          <w:rFonts w:hint="eastAsia" w:ascii="宋体" w:hAnsi="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29、中标通知书</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w:t>
      </w:r>
      <w:r>
        <w:rPr>
          <w:rFonts w:hint="eastAsia" w:ascii="宋体" w:hAnsi="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七、授予合同</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30.签订合同</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30.l中标人应当在中标通知书发出之日起三十日内，按照招标文件确定的事项与采购人签订政府采购合同。</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30.2招标文件、中标人的投标文件及招标过程中有关澄清、承诺文件均应作为合同附件。</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31、服务（包含与服务相关的货物）的追加</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32、政府采购线上合同信用融资政策</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32.1政府采购线上合同信用融资政策</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32.2进口产品</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32.3中小企业、监狱企业及残疾人福利性单位</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32.3.1中小企业定义：</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中小企业</w:t>
      </w:r>
      <w:r>
        <w:rPr>
          <w:rFonts w:hint="eastAsia" w:ascii="宋体" w:hAnsi="宋体" w:eastAsia="宋体" w:cs="宋体"/>
          <w:color w:val="auto"/>
          <w:sz w:val="24"/>
          <w:szCs w:val="20"/>
          <w:highlight w:val="none"/>
          <w:lang w:val="zh-CN"/>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32.3.2供应商提供的货物、工程或者服务符合下列情形的，享受中小企业扶持政策：</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32.3.2.1在货物采购项目中，货物由中小企业制造，即货物由中小企业生产且使用该中小企业商号或者注册商标；</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32.3.2.2在工程采购项目中，工程由中小企业承建，即工程施工单位为中小企业；</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32.3.2.3在服务采购项目中，服务由中小企业承接，即提供服务的人员为中小企业依照《中华人民共和国劳动合同法》订立劳动合同的从业人员。</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32.3.3在货物采购项目中，供应商提供的货物既有中小企业制造货物，也有大型企业制造货物的，不享受中小企业扶持政策。</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32.3.4以联合体形式参加政府采购活动，联合体各方均为中小企业的，联合体视同中小企业。其中，联合体各方均为小微企业的，联合体视同小微企业。</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32.3.6残疾人福利单位定义：享受政府采购支持政策的残疾人福利性单位应当同时满足以下条件：</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32.3.6.1安置的残疾人占本单位在职职工人数的比例不低于25%（含25%），并且安置的残疾人人数不少于10 人（含10 人）；</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32.3.6.2依法与安置的每位残疾人签订了一年以上（含一年）的劳动合同或服务协议；</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32.3.6.3为安置的每位残疾人按月足额缴纳了基本养老保险、基本医疗保险、失业保险、工伤保险和生育保险等社会保险费；</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32.3.6.4通过银行等金融机构向安置的每位残疾人，按月支付了不低于单位所在区县适用的经省级人民政府批准的月最低工资标准的工资；</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32.3.6.5提供本单位制造的货物、承担的工程或者服务（以下简称产品），或者提供其他残疾人福利性单位制造的货物（不包括使用非残疾人福利性单位注册商标的货物）；</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32.3.7本项目是否专门面向中小企业预留采购份额见第一章《招标公告》。</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32.3.8采购标的对应的中小企业划分标准所属行业见第四章《采购需求》。</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32.3.9小微企业价格评审优惠的政策：见第五章《评标方法和评标标准》。</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32.4政府采购节能产品、环境标志产品</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4"/>
          <w:szCs w:val="20"/>
          <w:highlight w:val="none"/>
          <w:lang w:val="zh-CN"/>
        </w:rPr>
        <w:t xml:space="preserve">如属政府强制采购产品未提供认证证书的或认证证书提供不全的将视为未实质性响应采购要求。</w:t>
      </w:r>
      <w:r>
        <w:rPr>
          <w:rFonts w:hint="eastAsia" w:ascii="宋体" w:hAnsi="宋体" w:eastAsia="宋体" w:cs="宋体"/>
          <w:color w:val="auto"/>
          <w:sz w:val="24"/>
          <w:szCs w:val="20"/>
          <w:highlight w:val="none"/>
          <w:lang w:val="zh-CN"/>
        </w:rPr>
        <w:t xml:space="preserve">其他条件相同情况下，应当优先采购节能产品、环境标志产品。</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32.5绿色包装</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32.6政府采购创新产品</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采购人优先采购各级政府部门公开发布的有效期内的创新产品、创新服务、首台套、首购首用等《目录》的创新产品。</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32.7绿色数据中心政策 </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0"/>
          <w:highlight w:val="none"/>
          <w:lang w:val="zh-CN"/>
        </w:rPr>
        <w:t xml:space="preserve">，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p>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32.8实施本国产品标准及相关政策</w:t>
      </w:r>
      <w:r/>
    </w:p>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1.本项目对采购本国产品给予政策支持，具体内容见招标文件“第五章 评标方法与评标标准”。</w:t>
      </w:r>
      <w:r/>
    </w:p>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32.9履约保证金政策</w:t>
      </w:r>
      <w:r/>
    </w:p>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确需收取履约保证金的，履约保证金的缴纳形式：</w:t>
      </w:r>
      <w:r/>
    </w:p>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 如以履约保函（保险）形式缴纳履约保证金，供应商可通过政府采购电子履约保函（保险）平台（www.jsdzbh.com）在线申请履约保函（保险）。</w:t>
      </w:r>
      <w:r/>
    </w:p>
    <w:p>
      <w:pPr>
        <w:ind w:firstLine="480"/>
        <w:jc w:val="left"/>
        <w:spacing w:line="56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jc w:val="left"/>
        <w:spacing w:line="560" w:lineRule="exact"/>
        <w:widowControl/>
        <w:rPr>
          <w:rFonts w:hint="eastAsia"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33. 预付款制度</w:t>
      </w:r>
      <w:r/>
    </w:p>
    <w:p>
      <w:pPr>
        <w:ind w:firstLine="482"/>
        <w:jc w:val="left"/>
        <w:spacing w:line="56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4"/>
          <w:szCs w:val="20"/>
          <w:highlight w:val="none"/>
          <w:lang w:val="zh-CN"/>
        </w:rPr>
        <w:t xml:space="preserve">本项目落实预付款制度，预付款比例为</w:t>
      </w:r>
      <w:r>
        <w:rPr>
          <w:rFonts w:hint="eastAsia" w:ascii="宋体" w:hAnsi="宋体" w:eastAsia="宋体" w:cs="宋体"/>
          <w:color w:val="auto"/>
          <w:sz w:val="24"/>
          <w:szCs w:val="20"/>
          <w:highlight w:val="none"/>
          <w:u w:val="single"/>
          <w:lang w:val="zh-CN"/>
        </w:rPr>
        <w:t xml:space="preserve">30</w:t>
      </w:r>
      <w:r>
        <w:rPr>
          <w:rFonts w:hint="eastAsia" w:ascii="宋体" w:hAnsi="宋体" w:eastAsia="宋体" w:cs="宋体"/>
          <w:color w:val="auto"/>
          <w:sz w:val="24"/>
          <w:szCs w:val="20"/>
          <w:highlight w:val="none"/>
          <w:lang w:val="zh-CN"/>
        </w:rPr>
        <w:t xml:space="preserve">%。在签订合同时，中标、成交供应商明确书面表示无需预付款或者主动要求降低预付款比例的，采购人可就预付款比例作相应调整。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2"/>
          <w:szCs w:val="22"/>
          <w:highlight w:val="none"/>
        </w:rPr>
        <w:t xml:space="preserve"> </w:t>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sz w:val="44"/>
          <w:szCs w:val="44"/>
          <w:highlight w:val="none"/>
        </w:rPr>
        <w:t xml:space="preserve">第三章  合同文本</w:t>
      </w:r>
      <w:r/>
    </w:p>
    <w:p>
      <w:pPr>
        <w:pStyle w:val="734"/>
        <w:ind w:firstLine="480"/>
        <w:jc w:val="both"/>
        <w:spacing w:beforeAutospacing="0" w:afterAutospacing="0" w:line="0" w:lineRule="atLeast"/>
        <w:rPr>
          <w:rFonts w:hint="eastAsia" w:ascii="宋体" w:hAnsi="宋体" w:eastAsia="宋体" w:cs="宋体"/>
          <w:color w:val="auto"/>
          <w:highlight w:val="none"/>
        </w:rPr>
      </w:pPr>
      <w:r/>
      <w:bookmarkStart w:id="61" w:name="_Toc20823315"/>
      <w:r/>
      <w:bookmarkStart w:id="62" w:name="_Toc16938559"/>
      <w:r/>
      <w:bookmarkStart w:id="63" w:name="_Toc513029243"/>
      <w:r>
        <w:rPr>
          <w:rFonts w:hint="eastAsia" w:ascii="宋体" w:hAnsi="宋体" w:eastAsia="宋体" w:cs="宋体"/>
          <w:color w:val="auto"/>
          <w:highlight w:val="none"/>
        </w:rPr>
        <w:t xml:space="preserve">以下为中标后签定本项目合同的通用条款，中标人不得提出实质性的修改。</w:t>
      </w:r>
      <w:bookmarkEnd w:id="61"/>
      <w:r/>
      <w:bookmarkEnd w:id="62"/>
      <w:r/>
      <w:bookmarkEnd w:id="63"/>
      <w:r/>
      <w:r/>
    </w:p>
    <w:p>
      <w:pPr>
        <w:pStyle w:val="734"/>
        <w:jc w:val="center"/>
        <w:spacing w:before="145" w:beforeAutospacing="0" w:after="145"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jc w:val="center"/>
        <w:spacing w:before="145" w:beforeAutospacing="0" w:after="145" w:afterAutospacing="0"/>
        <w:rPr>
          <w:rFonts w:hint="eastAsia" w:ascii="宋体" w:hAnsi="宋体" w:eastAsia="宋体" w:cs="宋体"/>
          <w:color w:val="auto"/>
          <w:highlight w:val="none"/>
        </w:rPr>
      </w:pPr>
      <w:r>
        <w:rPr>
          <w:rFonts w:hint="eastAsia" w:ascii="宋体" w:hAnsi="宋体" w:eastAsia="宋体" w:cs="宋体"/>
          <w:b/>
          <w:color w:val="auto"/>
          <w:sz w:val="30"/>
          <w:szCs w:val="30"/>
          <w:highlight w:val="none"/>
        </w:rPr>
        <w:t xml:space="preserve">政府采购合同（服务）（合同编号）</w:t>
      </w:r>
      <w:r/>
    </w:p>
    <w:p>
      <w:pPr>
        <w:pStyle w:val="734"/>
        <w:ind w:firstLine="482"/>
        <w:jc w:val="both"/>
        <w:keepLines w:val="0"/>
        <w:keepNext w:val="0"/>
        <w:pageBreakBefore w:val="0"/>
        <w:spacing w:beforeAutospacing="0" w:afterAutospacing="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项目名称：</w:t>
      </w:r>
      <w:r>
        <w:rPr>
          <w:rFonts w:hint="eastAsia" w:ascii="宋体" w:hAnsi="宋体" w:eastAsia="宋体" w:cs="宋体"/>
          <w:b/>
          <w:color w:val="auto"/>
          <w:highlight w:val="none"/>
        </w:rPr>
        <w:t xml:space="preserve">             </w:t>
      </w:r>
      <w:r/>
    </w:p>
    <w:p>
      <w:pPr>
        <w:pStyle w:val="734"/>
        <w:ind w:firstLine="482"/>
        <w:jc w:val="both"/>
        <w:keepLines w:val="0"/>
        <w:keepNext w:val="0"/>
        <w:pageBreakBefore w:val="0"/>
        <w:spacing w:beforeAutospacing="0" w:afterAutospacing="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项目编号：JSZC-320992-JZCG-G2026-0001</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甲方：（买方）_________</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乙方：（卖方）_________</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甲、乙双方根据</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项目公开招标的结果，签署本合同。</w:t>
      </w:r>
      <w:r/>
    </w:p>
    <w:p>
      <w:pPr>
        <w:pStyle w:val="734"/>
        <w:ind w:firstLine="482"/>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一、合同内容</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 标的名称：</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1.2标的质量：</w:t>
      </w:r>
      <w:r>
        <w:rPr>
          <w:rFonts w:hint="eastAsia" w:ascii="宋体" w:hAnsi="宋体" w:eastAsia="宋体" w:cs="宋体"/>
          <w:color w:val="auto"/>
          <w:highlight w:val="none"/>
          <w:lang w:val="en-US" w:eastAsia="zh-CN"/>
        </w:rPr>
        <w:t xml:space="preserve">优质、高效的服务，具体人员安排服从甲方要求。</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 标的数量（规模）：</w:t>
      </w:r>
      <w:r>
        <w:rPr>
          <w:rFonts w:hint="eastAsia" w:ascii="宋体" w:hAnsi="宋体" w:eastAsia="宋体" w:cs="宋体"/>
          <w:color w:val="auto"/>
          <w:sz w:val="24"/>
          <w:szCs w:val="24"/>
          <w:highlight w:val="none"/>
        </w:rPr>
        <w:t xml:space="preserve">物业总建筑面积</w:t>
      </w:r>
      <w:r>
        <w:rPr>
          <w:rFonts w:hint="eastAsia" w:ascii="宋体" w:hAnsi="宋体" w:eastAsia="宋体" w:cs="宋体"/>
          <w:color w:val="auto"/>
          <w:sz w:val="24"/>
          <w:szCs w:val="24"/>
          <w:highlight w:val="none"/>
          <w:lang w:val="en-US" w:eastAsia="zh-CN"/>
        </w:rPr>
        <w:t xml:space="preserve">约为</w:t>
      </w:r>
      <w:r>
        <w:rPr>
          <w:rFonts w:hint="eastAsia" w:ascii="宋体" w:hAnsi="宋体" w:eastAsia="宋体" w:cs="宋体"/>
          <w:color w:val="auto"/>
          <w:sz w:val="24"/>
          <w:szCs w:val="24"/>
          <w:highlight w:val="none"/>
          <w:u w:val="single"/>
          <w:lang w:val="en-US" w:eastAsia="zh-CN"/>
        </w:rPr>
        <w:t xml:space="preserve">658948.94</w:t>
      </w:r>
      <w:r>
        <w:rPr>
          <w:rFonts w:hint="eastAsia" w:ascii="宋体" w:hAnsi="宋体" w:eastAsia="宋体" w:cs="宋体"/>
          <w:color w:val="auto"/>
          <w:sz w:val="24"/>
          <w:szCs w:val="24"/>
          <w:highlight w:val="none"/>
        </w:rPr>
        <w:t xml:space="preserve">平方米,其中，</w:t>
      </w:r>
      <w:r>
        <w:rPr>
          <w:rFonts w:hint="eastAsia" w:ascii="宋体" w:hAnsi="宋体" w:eastAsia="宋体" w:cs="宋体"/>
          <w:color w:val="auto"/>
          <w:sz w:val="24"/>
          <w:szCs w:val="24"/>
          <w:highlight w:val="none"/>
          <w:lang w:val="en-US" w:eastAsia="zh-CN"/>
        </w:rPr>
        <w:t xml:space="preserve">高层面积为</w:t>
      </w:r>
      <w:r>
        <w:rPr>
          <w:rFonts w:hint="eastAsia" w:ascii="宋体" w:hAnsi="宋体" w:eastAsia="宋体" w:cs="宋体"/>
          <w:color w:val="auto"/>
          <w:sz w:val="24"/>
          <w:szCs w:val="24"/>
          <w:highlight w:val="none"/>
          <w:u w:val="single"/>
          <w:lang w:val="en-US" w:eastAsia="zh-CN"/>
        </w:rPr>
        <w:t xml:space="preserve">50636.00</w:t>
      </w:r>
      <w:r>
        <w:rPr>
          <w:rFonts w:hint="eastAsia" w:ascii="宋体" w:hAnsi="宋体" w:eastAsia="宋体" w:cs="宋体"/>
          <w:color w:val="auto"/>
          <w:sz w:val="24"/>
          <w:szCs w:val="24"/>
          <w:highlight w:val="none"/>
        </w:rPr>
        <w:t xml:space="preserve">平方米</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多层面积为</w:t>
      </w:r>
      <w:r>
        <w:rPr>
          <w:rFonts w:hint="eastAsia" w:ascii="宋体" w:hAnsi="宋体" w:eastAsia="宋体" w:cs="宋体"/>
          <w:color w:val="auto"/>
          <w:sz w:val="24"/>
          <w:szCs w:val="24"/>
          <w:highlight w:val="none"/>
          <w:u w:val="single"/>
          <w:lang w:val="en-US" w:eastAsia="zh-CN"/>
        </w:rPr>
        <w:t xml:space="preserve">608312.94</w:t>
      </w:r>
      <w:r>
        <w:rPr>
          <w:rFonts w:hint="eastAsia" w:ascii="宋体" w:hAnsi="宋体" w:eastAsia="宋体" w:cs="宋体"/>
          <w:color w:val="auto"/>
          <w:sz w:val="24"/>
          <w:szCs w:val="24"/>
          <w:highlight w:val="none"/>
          <w:u w:val="none"/>
          <w:lang w:val="en-US" w:eastAsia="zh-CN"/>
        </w:rPr>
        <w:t xml:space="preserve">平方米。</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highlight w:val="none"/>
        </w:rPr>
        <w:t xml:space="preserve">1.4 履行时间（期限）：</w:t>
      </w:r>
      <w:r>
        <w:rPr>
          <w:rFonts w:hint="eastAsia" w:ascii="宋体" w:hAnsi="宋体" w:eastAsia="宋体" w:cs="宋体"/>
          <w:color w:val="auto"/>
          <w:highlight w:val="none"/>
          <w:lang w:val="en-US" w:eastAsia="zh-CN"/>
        </w:rPr>
        <w:t xml:space="preserve">服务期三</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合同一年一签</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上一年度经甲方</w:t>
      </w:r>
      <w:r>
        <w:rPr>
          <w:rFonts w:hint="eastAsia" w:ascii="宋体" w:hAnsi="宋体" w:eastAsia="宋体" w:cs="宋体"/>
          <w:color w:val="auto"/>
          <w:sz w:val="24"/>
          <w:highlight w:val="none"/>
          <w:lang w:eastAsia="zh-CN"/>
        </w:rPr>
        <w:t xml:space="preserve">综合考核</w:t>
      </w:r>
      <w:r>
        <w:rPr>
          <w:rFonts w:hint="eastAsia" w:ascii="宋体" w:hAnsi="宋体" w:eastAsia="宋体" w:cs="宋体"/>
          <w:color w:val="auto"/>
          <w:sz w:val="24"/>
          <w:highlight w:val="none"/>
          <w:lang w:val="en-US" w:eastAsia="zh-CN"/>
        </w:rPr>
        <w:t xml:space="preserve">合格后可续签下一年度合同；</w:t>
      </w:r>
      <w:r>
        <w:rPr>
          <w:rFonts w:hint="eastAsia" w:ascii="宋体" w:hAnsi="宋体" w:eastAsia="宋体" w:cs="宋体"/>
          <w:color w:val="auto"/>
          <w:sz w:val="24"/>
          <w:highlight w:val="none"/>
          <w:lang w:eastAsia="zh-CN"/>
        </w:rPr>
        <w:t xml:space="preserve">每年度综合考核未达到考核要求，采购人可自行终止合同）。</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u w:val="none"/>
          <w:lang w:val="en-US" w:eastAsia="zh-CN"/>
        </w:rPr>
      </w:pPr>
      <w:r>
        <w:rPr>
          <w:rFonts w:hint="eastAsia" w:ascii="宋体" w:hAnsi="宋体" w:eastAsia="宋体" w:cs="宋体"/>
          <w:color w:val="auto"/>
          <w:highlight w:val="none"/>
        </w:rPr>
        <w:t xml:space="preserve">1.5 履行地点：</w:t>
      </w:r>
      <w:r>
        <w:rPr>
          <w:rFonts w:hint="eastAsia" w:ascii="宋体" w:hAnsi="宋体" w:eastAsia="宋体" w:cs="宋体"/>
          <w:color w:val="auto"/>
          <w:highlight w:val="none"/>
          <w:u w:val="none"/>
          <w:lang w:val="en-US" w:eastAsia="zh-CN"/>
        </w:rPr>
        <w:t xml:space="preserve">盐南高新区新都街道境内。</w:t>
      </w:r>
      <w:r/>
    </w:p>
    <w:p>
      <w:pPr>
        <w:pStyle w:val="734"/>
        <w:ind w:firstLine="482"/>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二、合同金额</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32"/>
          <w:highlight w:val="none"/>
        </w:rPr>
        <w:t xml:space="preserve">2.1本合同金额为人民币（大写）：</w:t>
      </w:r>
      <w:r>
        <w:rPr>
          <w:rFonts w:hint="eastAsia" w:ascii="宋体" w:hAnsi="宋体" w:eastAsia="宋体" w:cs="宋体"/>
          <w:color w:val="auto"/>
          <w:sz w:val="24"/>
          <w:szCs w:val="32"/>
          <w:highlight w:val="none"/>
          <w:u w:val="single"/>
          <w:lang w:val="en-US" w:eastAsia="zh-CN"/>
        </w:rPr>
        <w:t xml:space="preserve">               </w:t>
      </w:r>
      <w:r>
        <w:rPr>
          <w:rFonts w:hint="eastAsia" w:ascii="宋体" w:hAnsi="宋体" w:eastAsia="宋体" w:cs="宋体"/>
          <w:color w:val="auto"/>
          <w:sz w:val="24"/>
          <w:szCs w:val="32"/>
          <w:highlight w:val="none"/>
          <w:lang w:val="en-US" w:eastAsia="zh-CN"/>
        </w:rPr>
        <w:t xml:space="preserve">元/年</w:t>
      </w:r>
      <w:r>
        <w:rPr>
          <w:rFonts w:hint="eastAsia" w:ascii="宋体" w:hAnsi="宋体" w:eastAsia="宋体" w:cs="宋体"/>
          <w:color w:val="auto"/>
          <w:sz w:val="24"/>
          <w:szCs w:val="32"/>
          <w:highlight w:val="none"/>
        </w:rPr>
        <w:t xml:space="preserve">（</w:t>
      </w:r>
      <w:r>
        <w:rPr>
          <w:rFonts w:hint="eastAsia" w:ascii="宋体" w:hAnsi="宋体" w:eastAsia="宋体" w:cs="宋体"/>
          <w:color w:val="auto"/>
          <w:sz w:val="24"/>
          <w:szCs w:val="32"/>
          <w:highlight w:val="none"/>
          <w:lang w:val="en-US" w:eastAsia="zh-CN"/>
        </w:rPr>
        <w:t xml:space="preserve">¥</w:t>
      </w:r>
      <w:r>
        <w:rPr>
          <w:rFonts w:hint="eastAsia" w:ascii="宋体" w:hAnsi="宋体" w:eastAsia="宋体" w:cs="宋体"/>
          <w:color w:val="auto"/>
          <w:sz w:val="24"/>
          <w:szCs w:val="32"/>
          <w:highlight w:val="none"/>
          <w:u w:val="single"/>
          <w:lang w:val="en-US" w:eastAsia="zh-CN"/>
        </w:rPr>
        <w:t xml:space="preserve">             </w:t>
      </w:r>
      <w:r>
        <w:rPr>
          <w:rFonts w:hint="eastAsia" w:ascii="宋体" w:hAnsi="宋体" w:eastAsia="宋体" w:cs="宋体"/>
          <w:color w:val="auto"/>
          <w:sz w:val="24"/>
          <w:szCs w:val="32"/>
          <w:highlight w:val="none"/>
        </w:rPr>
        <w:t xml:space="preserve">元</w:t>
      </w:r>
      <w:r>
        <w:rPr>
          <w:rFonts w:hint="eastAsia" w:ascii="宋体" w:hAnsi="宋体" w:eastAsia="宋体" w:cs="宋体"/>
          <w:color w:val="auto"/>
          <w:sz w:val="24"/>
          <w:szCs w:val="32"/>
          <w:highlight w:val="none"/>
          <w:lang w:val="en-US" w:eastAsia="zh-CN"/>
        </w:rPr>
        <w:t xml:space="preserve">/年）</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其中小区公用经费乙方负责费用缴纳及能耗管理，无论实际发生多少费用，由乙方盈亏自负。</w:t>
      </w:r>
      <w:r/>
    </w:p>
    <w:p>
      <w:pPr>
        <w:ind w:firstLine="48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lang w:val="en-US" w:eastAsia="zh-CN" w:bidi="ar-SA"/>
        </w:rPr>
        <w:t xml:space="preserve">2.2物业费补贴标准:</w:t>
      </w:r>
      <w:r>
        <w:rPr>
          <w:rFonts w:hint="eastAsia" w:ascii="宋体" w:hAnsi="宋体" w:eastAsia="宋体" w:cs="宋体"/>
          <w:color w:val="auto"/>
          <w:sz w:val="24"/>
          <w:szCs w:val="24"/>
          <w:highlight w:val="none"/>
          <w:u w:val="single"/>
          <w:lang w:val="en-US" w:eastAsia="zh-CN" w:bidi="ar-SA"/>
        </w:rPr>
        <w:t xml:space="preserve">按区住建局核定面积计算，区财政补贴40%、街道财政配套20%、业主收缴30%（由乙方在合同服务期内自行收取，合同服务期内未能及时收取的费用在合同到期后乙方不得再向业主收取）、公共收益承担10%（该费用须由乙方按《民法典》第二百七十八条规定经业主共同决定后支付），乙方必须在做好三档服务的基础上服从、服务做好甲方交办其他特定工作（主要为文明创建、疫情防控等工作）的要求。</w:t>
      </w:r>
      <w:r/>
    </w:p>
    <w:p>
      <w:pPr>
        <w:pStyle w:val="734"/>
        <w:ind w:firstLine="482"/>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三、技术资料</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3.1乙方应按招标文件规定的时间向甲方提供服务（包含与服务相关的货物）的有关技术资料。</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34"/>
        <w:ind w:firstLine="482"/>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四、知识产权</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734"/>
        <w:ind w:firstLine="482"/>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五、产权担保</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5.1乙方保证所交付的服务（包含与服务相关的货物）的所有权完全属于乙方且无任何抵押、查封等产权瑕疵。</w:t>
      </w:r>
      <w:r/>
    </w:p>
    <w:p>
      <w:pPr>
        <w:pStyle w:val="734"/>
        <w:ind w:firstLine="482"/>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六、履约保证金</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6.1乙方交纳人民币_________元作为本合同的履约保证金。</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（备注：履约保证金</w:t>
      </w:r>
      <w:r>
        <w:rPr>
          <w:rFonts w:hint="eastAsia" w:ascii="宋体" w:hAnsi="宋体" w:cs="宋体"/>
          <w:color w:val="auto"/>
          <w:sz w:val="24"/>
          <w:szCs w:val="24"/>
          <w:highlight w:val="none"/>
          <w:lang w:val="en-US" w:eastAsia="zh-CN" w:bidi="ar-SA"/>
        </w:rPr>
        <w:t xml:space="preserve">为</w:t>
      </w:r>
      <w:r>
        <w:rPr>
          <w:rFonts w:hint="eastAsia" w:ascii="宋体" w:hAnsi="宋体" w:eastAsia="宋体" w:cs="宋体"/>
          <w:color w:val="auto"/>
          <w:sz w:val="24"/>
          <w:szCs w:val="24"/>
          <w:highlight w:val="none"/>
          <w:lang w:val="en-US" w:eastAsia="zh-CN" w:bidi="ar-SA"/>
        </w:rPr>
        <w:t xml:space="preserve">合同金额的10%，采购人应当对AA评级及以上政府采购供应商（需提供信用管理部门备案的第三方信用报告）免收履约保证金或降低履约保证金缴纳比例。）</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6.2确需收取履约保证金的，履约保证金的缴纳形式：</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6.2.2 如以履约保函（保险）形式缴纳履约保证金，供应商可通过政府采购电子履约保函（保险）平台（www.jsdzbh.com）在线申请履约保函（保险）。</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6.3合同履行结束后，甲方应及时退还交纳的履约保证金。</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6.4履约保证金的退还：</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6.4.1方式：无息退还至投标人缴纳履约保证金的账户。如为保函，在到期时自行失效。</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6.4.2时间：验收合格且采购人收到发票后30日内。</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6.4.3条件：按合同要求全部履约完成并经采购人验收合格。</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6.4.4不予退还情形：</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除不可抗力情况外，投标人出现下列情形之一的，其履约保证金，招标人将视情节决定不予退还或部分不予退还。</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（1）中标人无正当理由拒绝签订合同的，或者在签订合同时向采购人提出附加条件或者更改合同实质性内容要求的；</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（2）中标人不履行与采购人订立的合同的；</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（3）中标人所供货物或服务不符合招标文件规定要求的；</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（4）中标人采取欺骗、弄虚作假方式投标的或与其它投标人串通投标的；</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（5）中标人将合同内容转包、违法分包的；</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（6）中标人故意捏造事实或伪造证明材料，进行虚假恶意投诉或反映的。</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734"/>
        <w:ind w:firstLine="482"/>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七、合同转包或分包</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7.1乙方不得将合同标的转包给他人履行。</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7.2乙方可聘请具有一定资质的专业机构承担机电设备维修养护、清洁卫生、园林绿化、工程施工等专项服务，但不得将物业管理区域全部物业服务一并委托或者转交给其他单位或者个人。</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7.3乙方如有转包或未经甲方同意的分包行为，甲方有权解除合同。</w:t>
      </w:r>
      <w:r/>
    </w:p>
    <w:p>
      <w:pPr>
        <w:pStyle w:val="734"/>
        <w:ind w:firstLine="482"/>
        <w:jc w:val="both"/>
        <w:keepLines w:val="0"/>
        <w:keepNext w:val="0"/>
        <w:pageBreakBefore w:val="0"/>
        <w:spacing w:beforeAutospacing="0" w:afterAutospacing="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八、物业服务内容</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8.1乙方</w:t>
      </w:r>
      <w:r>
        <w:rPr>
          <w:rFonts w:hint="eastAsia" w:ascii="宋体" w:hAnsi="宋体" w:eastAsia="宋体" w:cs="宋体"/>
          <w:color w:val="auto"/>
          <w:sz w:val="24"/>
          <w:szCs w:val="24"/>
          <w:highlight w:val="none"/>
        </w:rPr>
        <w:t xml:space="preserve">应按照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盐南高新区老旧小区及拆迁安置小区物业管理服务等级标准及评分细则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含</w:t>
      </w:r>
      <w:r>
        <w:rPr>
          <w:rFonts w:hint="eastAsia" w:ascii="宋体" w:hAnsi="宋体" w:eastAsia="宋体" w:cs="宋体"/>
          <w:color w:val="auto"/>
          <w:sz w:val="24"/>
          <w:szCs w:val="24"/>
          <w:highlight w:val="none"/>
        </w:rPr>
        <w:t xml:space="preserve">高层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多层、开放式</w:t>
      </w:r>
      <w:r>
        <w:rPr>
          <w:rFonts w:hint="eastAsia" w:ascii="宋体" w:hAnsi="宋体" w:eastAsia="宋体" w:cs="宋体"/>
          <w:color w:val="auto"/>
          <w:sz w:val="24"/>
          <w:szCs w:val="24"/>
          <w:highlight w:val="none"/>
        </w:rPr>
        <w:t xml:space="preserve">）提供物业管理服务</w:t>
      </w:r>
      <w:r>
        <w:rPr>
          <w:rFonts w:hint="eastAsia" w:ascii="宋体" w:hAnsi="宋体" w:eastAsia="宋体" w:cs="宋体"/>
          <w:color w:val="auto"/>
          <w:sz w:val="24"/>
          <w:szCs w:val="24"/>
          <w:highlight w:val="none"/>
          <w:lang w:eastAsia="zh-CN"/>
        </w:rPr>
        <w:t xml:space="preserve">。</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8.2乙方当做好</w:t>
      </w:r>
      <w:r>
        <w:rPr>
          <w:rFonts w:hint="eastAsia" w:ascii="宋体" w:hAnsi="宋体" w:eastAsia="宋体" w:cs="宋体"/>
          <w:color w:val="auto"/>
          <w:sz w:val="24"/>
          <w:szCs w:val="24"/>
          <w:highlight w:val="none"/>
        </w:rPr>
        <w:t xml:space="preserve">物业装饰装修的开工登记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高空作业（安装空调、玻璃等）、动火作业的</w:t>
      </w:r>
      <w:r>
        <w:rPr>
          <w:rFonts w:hint="eastAsia" w:ascii="宋体" w:hAnsi="宋体" w:eastAsia="宋体" w:cs="宋体"/>
          <w:color w:val="auto"/>
          <w:sz w:val="24"/>
          <w:szCs w:val="24"/>
          <w:highlight w:val="none"/>
        </w:rPr>
        <w:t xml:space="preserve">安全警示及违规装修的劝阻上报工作、装饰装修垃圾清运等管理服务</w:t>
      </w:r>
      <w:r>
        <w:rPr>
          <w:rFonts w:hint="eastAsia" w:ascii="宋体" w:hAnsi="宋体" w:eastAsia="宋体" w:cs="宋体"/>
          <w:color w:val="auto"/>
          <w:sz w:val="24"/>
          <w:szCs w:val="24"/>
          <w:highlight w:val="none"/>
          <w:lang w:eastAsia="zh-CN"/>
        </w:rPr>
        <w:t xml:space="preserve">。</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8.3乙方应当做好消防安全管理工作，如清理楼道等公共部位的杂物，禁止电瓶车上楼和私拉乱接等工作，落实好相关消防安全责任。</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8.4</w:t>
      </w:r>
      <w:r>
        <w:rPr>
          <w:rFonts w:hint="eastAsia" w:ascii="宋体" w:hAnsi="宋体" w:eastAsia="宋体" w:cs="宋体"/>
          <w:color w:val="auto"/>
          <w:sz w:val="24"/>
          <w:szCs w:val="24"/>
          <w:highlight w:val="none"/>
        </w:rPr>
        <w:t xml:space="preserve">其他物业服务事项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如乙方提供特约服务的，需经街道同意后提供。</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8.5</w:t>
      </w:r>
      <w:r>
        <w:rPr>
          <w:rFonts w:hint="eastAsia" w:ascii="宋体" w:hAnsi="宋体" w:eastAsia="宋体" w:cs="宋体"/>
          <w:color w:val="auto"/>
          <w:sz w:val="24"/>
          <w:szCs w:val="24"/>
          <w:highlight w:val="none"/>
        </w:rPr>
        <w:t xml:space="preserve">房屋建筑公用部位的维修（不包括保修期范围内的项目及大、中修项目，但有义务协助，本条同样适用下面各类服务内容的处理）、维护和管理，包括：公共屋面、外墙面、承重结构、走廊通道、门厅、储物室、配电房、控制中心、加压泵站、电梯通道。</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8.6</w:t>
      </w:r>
      <w:r>
        <w:rPr>
          <w:rFonts w:hint="eastAsia" w:ascii="宋体" w:hAnsi="宋体" w:eastAsia="宋体" w:cs="宋体"/>
          <w:color w:val="auto"/>
          <w:sz w:val="24"/>
          <w:szCs w:val="24"/>
          <w:highlight w:val="none"/>
        </w:rPr>
        <w:t xml:space="preserve">共用设备设施的维修养护、运行和管理，包括：景观水景、文化娱乐小区、休闲主题小区、体育健身小区、给排水系统、供配电系统、消防系统、电梯、垃圾处理设施、监控系统、可视对讲系统、周界报警、电子巡更、停车场智能管理系统以及其它智能化系统等。</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8.7</w:t>
      </w:r>
      <w:r>
        <w:rPr>
          <w:rFonts w:hint="eastAsia" w:ascii="宋体" w:hAnsi="宋体" w:eastAsia="宋体" w:cs="宋体"/>
          <w:color w:val="auto"/>
          <w:sz w:val="24"/>
          <w:szCs w:val="24"/>
          <w:highlight w:val="none"/>
        </w:rPr>
        <w:t xml:space="preserve">市政共用设施和附属建筑物、构筑物的维修养护和管理，包括公共厕所、垃圾房、道路、楼道、应急通道、共用部位窗户、落水管道、化粪池、下水道、沟渠、停车场、城市小区等。</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8.8</w:t>
      </w:r>
      <w:r>
        <w:rPr>
          <w:rFonts w:hint="eastAsia" w:ascii="宋体" w:hAnsi="宋体" w:eastAsia="宋体" w:cs="宋体"/>
          <w:color w:val="auto"/>
          <w:sz w:val="24"/>
          <w:szCs w:val="24"/>
          <w:highlight w:val="none"/>
        </w:rPr>
        <w:t xml:space="preserve">公用绿化、建筑小品等的养护与管理，包括中心绿地、水景、休闲小区的绿化景观带的养护与管理。</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8.9</w:t>
      </w:r>
      <w:r>
        <w:rPr>
          <w:rFonts w:hint="eastAsia" w:ascii="宋体" w:hAnsi="宋体" w:eastAsia="宋体" w:cs="宋体"/>
          <w:color w:val="auto"/>
          <w:sz w:val="24"/>
          <w:szCs w:val="24"/>
          <w:highlight w:val="none"/>
        </w:rPr>
        <w:t xml:space="preserve">附属配套建筑物如社区活动用房、室外健身娱乐活动场地、会所及其设施的小修、养护和管理。</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8.10</w:t>
      </w:r>
      <w:r>
        <w:rPr>
          <w:rFonts w:hint="eastAsia" w:ascii="宋体" w:hAnsi="宋体" w:eastAsia="宋体" w:cs="宋体"/>
          <w:color w:val="auto"/>
          <w:sz w:val="24"/>
          <w:szCs w:val="24"/>
          <w:highlight w:val="none"/>
        </w:rPr>
        <w:t xml:space="preserve">公共环境清洁，包括公共场所、房屋共用部位的清洁卫生、垃圾的收集、清运。</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8.11</w:t>
      </w:r>
      <w:r>
        <w:rPr>
          <w:rFonts w:hint="eastAsia" w:ascii="宋体" w:hAnsi="宋体" w:eastAsia="宋体" w:cs="宋体"/>
          <w:color w:val="auto"/>
          <w:sz w:val="24"/>
          <w:szCs w:val="24"/>
          <w:highlight w:val="none"/>
        </w:rPr>
        <w:t xml:space="preserve">交通与车辆停放秩序的管理，尤其是小区出入口附近、小区内以及商业用房的交通与车辆管理。</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8.12</w:t>
      </w:r>
      <w:r>
        <w:rPr>
          <w:rFonts w:hint="eastAsia" w:ascii="宋体" w:hAnsi="宋体" w:eastAsia="宋体" w:cs="宋体"/>
          <w:color w:val="auto"/>
          <w:sz w:val="24"/>
          <w:szCs w:val="24"/>
          <w:highlight w:val="none"/>
        </w:rPr>
        <w:t xml:space="preserve">治安防范、公共秩序维护管理，尤其是小区出入口附近、小区内以及商业用房的治安防范、公共秩序管理。</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8.13</w:t>
      </w:r>
      <w:r>
        <w:rPr>
          <w:rFonts w:hint="eastAsia" w:ascii="宋体" w:hAnsi="宋体" w:eastAsia="宋体" w:cs="宋体"/>
          <w:color w:val="auto"/>
          <w:sz w:val="24"/>
          <w:szCs w:val="24"/>
          <w:highlight w:val="none"/>
        </w:rPr>
        <w:t xml:space="preserve">应用计算机系统对与物业相关的工程图纸、竣工验收资料、业主/物业使用人档案、入住档案以及物业服务管理和收费情况进行管理。</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8.14</w:t>
      </w:r>
      <w:r>
        <w:rPr>
          <w:rFonts w:hint="eastAsia" w:ascii="宋体" w:hAnsi="宋体" w:eastAsia="宋体" w:cs="宋体"/>
          <w:color w:val="auto"/>
          <w:sz w:val="24"/>
          <w:szCs w:val="24"/>
          <w:highlight w:val="none"/>
        </w:rPr>
        <w:t xml:space="preserve">做好便民信息和物业管理相关宣传工作，组织开展好社区文化活动。</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8.15</w:t>
      </w:r>
      <w:r>
        <w:rPr>
          <w:rFonts w:hint="eastAsia" w:ascii="宋体" w:hAnsi="宋体" w:eastAsia="宋体" w:cs="宋体"/>
          <w:color w:val="auto"/>
          <w:sz w:val="24"/>
          <w:szCs w:val="24"/>
          <w:highlight w:val="none"/>
        </w:rPr>
        <w:t xml:space="preserve">建立、完善相关规章制度与服务标准，并制定物业服务工作计划。  </w:t>
      </w:r>
      <w:r/>
    </w:p>
    <w:p>
      <w:pPr>
        <w:pStyle w:val="734"/>
        <w:ind w:firstLine="482"/>
        <w:jc w:val="both"/>
        <w:keepLines w:val="0"/>
        <w:keepNext w:val="0"/>
        <w:pageBreakBefore w:val="0"/>
        <w:spacing w:beforeAutospacing="0" w:afterAutospacing="0" w:line="360" w:lineRule="auto"/>
        <w:widowControl w:val="off"/>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九、物业服务标准要求</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9.1</w:t>
      </w:r>
      <w:r>
        <w:rPr>
          <w:rFonts w:hint="eastAsia" w:ascii="宋体" w:hAnsi="宋体" w:eastAsia="宋体" w:cs="宋体"/>
          <w:color w:val="auto"/>
          <w:sz w:val="24"/>
          <w:szCs w:val="24"/>
          <w:highlight w:val="none"/>
        </w:rPr>
        <w:t xml:space="preserve">要有健全的、专业的物业服务管理组织机构。</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9.2</w:t>
      </w:r>
      <w:r>
        <w:rPr>
          <w:rFonts w:hint="eastAsia" w:ascii="宋体" w:hAnsi="宋体" w:eastAsia="宋体" w:cs="宋体"/>
          <w:color w:val="auto"/>
          <w:sz w:val="24"/>
          <w:szCs w:val="24"/>
          <w:highlight w:val="none"/>
        </w:rPr>
        <w:t xml:space="preserve">物业服务人员具备相应的物业服务从业资格，管理人员和专业技术人员应持证上岗。</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9.3</w:t>
      </w:r>
      <w:r>
        <w:rPr>
          <w:rFonts w:hint="eastAsia" w:ascii="宋体" w:hAnsi="宋体" w:eastAsia="宋体" w:cs="宋体"/>
          <w:color w:val="auto"/>
          <w:sz w:val="24"/>
          <w:szCs w:val="24"/>
          <w:highlight w:val="none"/>
        </w:rPr>
        <w:t xml:space="preserve">管理制度、服务规程、工作标准全面、健全、规范。</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9.4</w:t>
      </w:r>
      <w:r>
        <w:rPr>
          <w:rFonts w:hint="eastAsia" w:ascii="宋体" w:hAnsi="宋体" w:eastAsia="宋体" w:cs="宋体"/>
          <w:color w:val="auto"/>
          <w:sz w:val="24"/>
          <w:szCs w:val="24"/>
          <w:highlight w:val="none"/>
        </w:rPr>
        <w:t xml:space="preserve">具有科学合理的物业管理服务流程。</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9.5</w:t>
      </w:r>
      <w:r>
        <w:rPr>
          <w:rFonts w:hint="eastAsia" w:ascii="宋体" w:hAnsi="宋体" w:eastAsia="宋体" w:cs="宋体"/>
          <w:color w:val="auto"/>
          <w:sz w:val="24"/>
          <w:szCs w:val="24"/>
          <w:highlight w:val="none"/>
        </w:rPr>
        <w:t xml:space="preserve">员工统一着装，佩戴明显标志，工作规范，认真负责，作风严谨。</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9.6</w:t>
      </w:r>
      <w:r>
        <w:rPr>
          <w:rFonts w:hint="eastAsia" w:ascii="宋体" w:hAnsi="宋体" w:eastAsia="宋体" w:cs="宋体"/>
          <w:color w:val="auto"/>
          <w:sz w:val="24"/>
          <w:szCs w:val="24"/>
          <w:highlight w:val="none"/>
        </w:rPr>
        <w:t xml:space="preserve">要有完善的物业服务人员具体岗位职责和详细的员工教育培训计划。</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9.7</w:t>
      </w:r>
      <w:r>
        <w:rPr>
          <w:rFonts w:hint="eastAsia" w:ascii="宋体" w:hAnsi="宋体" w:eastAsia="宋体" w:cs="宋体"/>
          <w:color w:val="auto"/>
          <w:sz w:val="24"/>
          <w:szCs w:val="24"/>
          <w:highlight w:val="none"/>
        </w:rPr>
        <w:t xml:space="preserve">物业服务企业须配备计算机和物业管理系统软件，有应用计算机、智能化设备等现代化服务管理手段的能力，确保较高的服务管理效率。</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9.8</w:t>
      </w:r>
      <w:r>
        <w:rPr>
          <w:rFonts w:hint="eastAsia" w:ascii="宋体" w:hAnsi="宋体" w:eastAsia="宋体" w:cs="宋体"/>
          <w:color w:val="auto"/>
          <w:sz w:val="24"/>
          <w:szCs w:val="24"/>
          <w:highlight w:val="none"/>
        </w:rPr>
        <w:t xml:space="preserve">对小区服务管理能够提出切实可行的总体构想及努力目标。</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9.9</w:t>
      </w:r>
      <w:r>
        <w:rPr>
          <w:rFonts w:hint="eastAsia" w:ascii="宋体" w:hAnsi="宋体" w:eastAsia="宋体" w:cs="宋体"/>
          <w:color w:val="auto"/>
          <w:sz w:val="24"/>
          <w:szCs w:val="24"/>
          <w:highlight w:val="none"/>
        </w:rPr>
        <w:t xml:space="preserve">对保证体系、服务承诺要有具体的、可量化的指标。</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9.10</w:t>
      </w:r>
      <w:r>
        <w:rPr>
          <w:rFonts w:hint="eastAsia" w:ascii="宋体" w:hAnsi="宋体" w:eastAsia="宋体" w:cs="宋体"/>
          <w:color w:val="auto"/>
          <w:sz w:val="24"/>
          <w:szCs w:val="24"/>
          <w:highlight w:val="none"/>
        </w:rPr>
        <w:t xml:space="preserve">建立适当的高效的收费管理制度。</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9.11</w:t>
      </w:r>
      <w:r>
        <w:rPr>
          <w:rFonts w:hint="eastAsia" w:ascii="宋体" w:hAnsi="宋体" w:eastAsia="宋体" w:cs="宋体"/>
          <w:color w:val="auto"/>
          <w:sz w:val="24"/>
          <w:szCs w:val="24"/>
          <w:highlight w:val="none"/>
        </w:rPr>
        <w:t xml:space="preserve">符合法律法规的其他要求。</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9.12在社会治理、疫情防控、文明城市建设、幸福盐南、品质家园建设等工作中服从所属社区、街道的安排。</w:t>
      </w:r>
      <w:r/>
    </w:p>
    <w:p>
      <w:pPr>
        <w:pStyle w:val="734"/>
        <w:ind w:firstLine="482"/>
        <w:jc w:val="both"/>
        <w:keepLines w:val="0"/>
        <w:keepNext w:val="0"/>
        <w:pageBreakBefore w:val="0"/>
        <w:spacing w:beforeAutospacing="0" w:afterAutospacing="0" w:line="360" w:lineRule="auto"/>
        <w:widowControl w:val="off"/>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十、公共维修、检测</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10.1物业及时对小区内的消防、房屋建筑公用部位、共用设备设施、市政共用设施和附属建筑物、构筑物、公用绿化养护、建筑小品等、附属配套</w:t>
      </w:r>
      <w:r>
        <w:rPr>
          <w:rFonts w:hint="eastAsia" w:ascii="宋体" w:hAnsi="宋体" w:eastAsia="宋体" w:cs="宋体"/>
          <w:color w:val="auto"/>
          <w:sz w:val="24"/>
          <w:szCs w:val="24"/>
          <w:highlight w:val="none"/>
          <w:lang w:val="en-US" w:eastAsia="zh-CN"/>
        </w:rPr>
        <w:t xml:space="preserve">建筑物如社区活动用房、室外健身娱乐活动场地、公共环境清洁，公共厕所等所有涉及本项目托管小区的所有维修事项进行维护维修（每个小区每年维修累计费用小于等于每个小区物业费总额10%的）；如因管理或使用不当而造成场地及设备损坏（每个小区每年维修累计费用大于每个小区物业费总额10%的），由物业负责维护维修，费用由乙方承担，不得延迟维护维修；其他原因造成的项目主体建筑及设备、设施（每个小区每年维修累计费用大于每个小区物业费总额10%的以上）的维修项目由物业书面向社区或街道申请，由社区或街道按照相关程序和标准进行维修。 </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10.2在合同履行期间小区的电梯检测、维保及消防检测费用由乙方自行承担，电梯检测、维保及消防检测可委托具有相应资质的单位进行服务。</w:t>
      </w:r>
      <w:r/>
    </w:p>
    <w:p>
      <w:pPr>
        <w:pStyle w:val="734"/>
        <w:ind w:firstLine="482"/>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color w:val="auto"/>
          <w:highlight w:val="none"/>
          <w:lang w:val="en-US" w:eastAsia="zh-CN"/>
        </w:rPr>
        <w:t xml:space="preserve">十一</w:t>
      </w:r>
      <w:r>
        <w:rPr>
          <w:rFonts w:hint="eastAsia" w:ascii="宋体" w:hAnsi="宋体" w:eastAsia="宋体" w:cs="宋体"/>
          <w:b/>
          <w:color w:val="auto"/>
          <w:highlight w:val="none"/>
        </w:rPr>
        <w:t xml:space="preserve">、合同款项支付</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11</w:t>
      </w:r>
      <w:r>
        <w:rPr>
          <w:rFonts w:hint="eastAsia" w:ascii="宋体" w:hAnsi="宋体" w:eastAsia="宋体" w:cs="宋体"/>
          <w:color w:val="auto"/>
          <w:highlight w:val="none"/>
        </w:rPr>
        <w:t xml:space="preserve">.1合同款项的支付方式及进度安排</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u w:val="single"/>
          <w:lang w:val="en-US" w:eastAsia="zh-CN"/>
        </w:rPr>
        <w:t xml:space="preserve">11</w:t>
      </w:r>
      <w:r>
        <w:rPr>
          <w:rFonts w:hint="eastAsia" w:ascii="宋体" w:hAnsi="宋体" w:eastAsia="宋体" w:cs="宋体"/>
          <w:color w:val="auto"/>
          <w:highlight w:val="none"/>
          <w:u w:val="single"/>
        </w:rPr>
        <w:t xml:space="preserve">.1.1 预付款支付时间：合同签订后，采购人收到发票后10个工作日内，预付款支付比例：合同金额的</w:t>
      </w:r>
      <w:r>
        <w:rPr>
          <w:rFonts w:hint="eastAsia" w:ascii="宋体" w:hAnsi="宋体" w:cs="宋体"/>
          <w:color w:val="auto"/>
          <w:highlight w:val="none"/>
          <w:u w:val="single"/>
          <w:lang w:val="en-US" w:eastAsia="zh-CN"/>
        </w:rPr>
        <w:t xml:space="preserve">3</w:t>
      </w:r>
      <w:r>
        <w:rPr>
          <w:rFonts w:hint="eastAsia" w:ascii="宋体" w:hAnsi="宋体" w:eastAsia="宋体" w:cs="宋体"/>
          <w:color w:val="auto"/>
          <w:highlight w:val="none"/>
          <w:u w:val="single"/>
          <w:lang w:val="en-US" w:eastAsia="zh-CN"/>
        </w:rPr>
        <w:t xml:space="preserve">0</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在签订合同时，供应商明确表示无需预付款或者主动要求降低预付款比例的，采购人可不适用前述规定。）</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lang w:val="en-US" w:eastAsia="zh-CN"/>
        </w:rPr>
      </w:pPr>
      <w:r>
        <w:rPr>
          <w:rFonts w:hint="eastAsia" w:ascii="宋体" w:hAnsi="宋体" w:eastAsia="宋体" w:cs="宋体"/>
          <w:color w:val="auto"/>
          <w:highlight w:val="none"/>
          <w:u w:val="single"/>
          <w:lang w:val="en-US" w:eastAsia="zh-CN"/>
        </w:rPr>
        <w:t xml:space="preserve">11</w:t>
      </w:r>
      <w:r>
        <w:rPr>
          <w:rFonts w:hint="eastAsia" w:ascii="宋体" w:hAnsi="宋体" w:eastAsia="宋体" w:cs="宋体"/>
          <w:color w:val="auto"/>
          <w:highlight w:val="none"/>
          <w:u w:val="single"/>
        </w:rPr>
        <w:t xml:space="preserve">.1.2 尾款支付时</w:t>
      </w:r>
      <w:r>
        <w:rPr>
          <w:rFonts w:hint="eastAsia" w:ascii="宋体" w:hAnsi="宋体" w:eastAsia="宋体" w:cs="宋体"/>
          <w:color w:val="auto"/>
          <w:highlight w:val="none"/>
          <w:u w:val="single"/>
          <w:lang w:val="en-US" w:eastAsia="zh-CN"/>
        </w:rPr>
        <w:t xml:space="preserve">间：服务结束并验收合格,采购人收到发票后10个工作日内，物业服务费实行每月考核，季度结算，在下一季度由街道根据考核结果支付上一季度的物业服务费。</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lang w:val="en-US" w:eastAsia="zh-CN"/>
        </w:rPr>
      </w:pPr>
      <w:r>
        <w:rPr>
          <w:rFonts w:hint="eastAsia" w:ascii="宋体" w:hAnsi="宋体" w:eastAsia="宋体" w:cs="宋体"/>
          <w:color w:val="auto"/>
          <w:highlight w:val="none"/>
          <w:u w:val="single"/>
        </w:rPr>
        <w:t xml:space="preserve">尾款支付比例：</w:t>
      </w:r>
      <w:r>
        <w:rPr>
          <w:rFonts w:hint="eastAsia" w:ascii="宋体" w:hAnsi="宋体" w:eastAsia="宋体" w:cs="宋体"/>
          <w:color w:val="auto"/>
          <w:sz w:val="24"/>
          <w:szCs w:val="24"/>
          <w:highlight w:val="none"/>
          <w:u w:val="single"/>
        </w:rPr>
        <w:t xml:space="preserve">每</w:t>
      </w:r>
      <w:r>
        <w:rPr>
          <w:rFonts w:hint="eastAsia" w:ascii="宋体" w:hAnsi="宋体" w:eastAsia="宋体" w:cs="宋体"/>
          <w:color w:val="auto"/>
          <w:sz w:val="24"/>
          <w:szCs w:val="24"/>
          <w:highlight w:val="none"/>
          <w:u w:val="single"/>
          <w:lang w:val="en-US" w:eastAsia="zh-CN"/>
        </w:rPr>
        <w:t xml:space="preserve">季度</w:t>
      </w:r>
      <w:r>
        <w:rPr>
          <w:rFonts w:hint="eastAsia" w:ascii="宋体" w:hAnsi="宋体" w:eastAsia="宋体" w:cs="宋体"/>
          <w:color w:val="auto"/>
          <w:sz w:val="24"/>
          <w:szCs w:val="24"/>
          <w:highlight w:val="none"/>
          <w:u w:val="single"/>
        </w:rPr>
        <w:t xml:space="preserve">付款</w:t>
      </w:r>
      <w:r>
        <w:rPr>
          <w:rFonts w:hint="eastAsia" w:ascii="宋体" w:hAnsi="宋体" w:eastAsia="宋体" w:cs="宋体"/>
          <w:color w:val="auto"/>
          <w:sz w:val="24"/>
          <w:szCs w:val="24"/>
          <w:highlight w:val="none"/>
          <w:u w:val="single"/>
          <w:lang w:val="en-US" w:eastAsia="zh-CN"/>
        </w:rPr>
        <w:t xml:space="preserve">比例按年合同价</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为基数（不足</w:t>
      </w:r>
      <w:r>
        <w:rPr>
          <w:rFonts w:hint="eastAsia" w:ascii="宋体" w:hAnsi="宋体" w:eastAsia="宋体" w:cs="宋体"/>
          <w:color w:val="auto"/>
          <w:sz w:val="24"/>
          <w:szCs w:val="24"/>
          <w:highlight w:val="none"/>
          <w:u w:val="single"/>
          <w:lang w:val="en-US" w:eastAsia="zh-CN"/>
        </w:rPr>
        <w:t xml:space="preserve">季度</w:t>
      </w:r>
      <w:r>
        <w:rPr>
          <w:rFonts w:hint="eastAsia" w:ascii="宋体" w:hAnsi="宋体" w:eastAsia="宋体" w:cs="宋体"/>
          <w:color w:val="auto"/>
          <w:sz w:val="24"/>
          <w:szCs w:val="24"/>
          <w:highlight w:val="none"/>
          <w:u w:val="single"/>
        </w:rPr>
        <w:t xml:space="preserve">费用按</w:t>
      </w:r>
      <w:r>
        <w:rPr>
          <w:rFonts w:hint="eastAsia" w:ascii="宋体" w:hAnsi="宋体" w:eastAsia="宋体" w:cs="宋体"/>
          <w:color w:val="auto"/>
          <w:sz w:val="24"/>
          <w:szCs w:val="24"/>
          <w:highlight w:val="none"/>
          <w:u w:val="single"/>
          <w:lang w:val="en-US" w:eastAsia="zh-CN"/>
        </w:rPr>
        <w:t xml:space="preserve">年合同价</w:t>
      </w:r>
      <w:r>
        <w:rPr>
          <w:rFonts w:hint="eastAsia" w:ascii="宋体" w:hAnsi="宋体" w:eastAsia="宋体" w:cs="宋体"/>
          <w:color w:val="auto"/>
          <w:sz w:val="24"/>
          <w:szCs w:val="24"/>
          <w:highlight w:val="none"/>
          <w:u w:val="single"/>
        </w:rPr>
        <w:t xml:space="preserve">除以365日</w:t>
      </w:r>
      <w:r>
        <w:rPr>
          <w:rFonts w:hint="eastAsia" w:ascii="宋体" w:hAnsi="宋体" w:eastAsia="宋体" w:cs="宋体"/>
          <w:color w:val="auto"/>
          <w:sz w:val="24"/>
          <w:szCs w:val="24"/>
          <w:highlight w:val="none"/>
          <w:u w:val="single"/>
          <w:lang w:val="en-US" w:eastAsia="zh-CN"/>
        </w:rPr>
        <w:t xml:space="preserve">后按实计算</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如有预付款则全额扣回，如有</w:t>
      </w:r>
      <w:r>
        <w:rPr>
          <w:rFonts w:hint="eastAsia" w:ascii="宋体" w:hAnsi="宋体" w:eastAsia="宋体" w:cs="宋体"/>
          <w:color w:val="auto"/>
          <w:sz w:val="24"/>
          <w:szCs w:val="24"/>
          <w:highlight w:val="none"/>
          <w:u w:val="single"/>
        </w:rPr>
        <w:t xml:space="preserve">甲方对乙方的处罚、违约金</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考核等扣款，则以实际扣除后的金额发放。</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u w:val="none"/>
          <w:lang w:val="en-US" w:eastAsia="zh-CN"/>
        </w:rPr>
      </w:pPr>
      <w:r>
        <w:rPr>
          <w:rFonts w:hint="eastAsia" w:ascii="宋体" w:hAnsi="宋体" w:eastAsia="宋体" w:cs="宋体"/>
          <w:color w:val="auto"/>
          <w:highlight w:val="none"/>
          <w:u w:val="none"/>
          <w:lang w:val="en-US" w:eastAsia="zh-CN"/>
        </w:rPr>
        <w:t xml:space="preserve">11.2资金管理要求</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u w:val="single"/>
          <w:lang w:val="en-US" w:eastAsia="zh-CN"/>
        </w:rPr>
        <w:t xml:space="preserve">11.2.1</w:t>
      </w:r>
      <w:r>
        <w:rPr>
          <w:rFonts w:hint="eastAsia" w:ascii="宋体" w:hAnsi="宋体" w:eastAsia="宋体" w:cs="宋体"/>
          <w:color w:val="auto"/>
          <w:highlight w:val="none"/>
          <w:u w:val="single"/>
        </w:rPr>
        <w:t xml:space="preserve">乙方应在本物业管理区域的显著位置，每年至少一次向全体业主公布物业公共服务费用和共用设施设备运行电费、公共照明、公共用水等代收代交费用及经营用房的收支情况。 </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lang w:val="en-US" w:eastAsia="zh-CN"/>
        </w:rPr>
      </w:pPr>
      <w:r>
        <w:rPr>
          <w:rFonts w:hint="eastAsia" w:ascii="宋体" w:hAnsi="宋体" w:eastAsia="宋体" w:cs="宋体"/>
          <w:color w:val="auto"/>
          <w:highlight w:val="none"/>
          <w:u w:val="single"/>
          <w:lang w:val="en-US" w:eastAsia="zh-CN"/>
        </w:rPr>
        <w:t xml:space="preserve">11.2.2收费要求：</w:t>
      </w:r>
      <w:r>
        <w:rPr>
          <w:rFonts w:hint="eastAsia" w:ascii="宋体" w:hAnsi="宋体" w:eastAsia="宋体" w:cs="宋体"/>
          <w:color w:val="auto"/>
          <w:highlight w:val="none"/>
          <w:u w:val="single"/>
        </w:rPr>
        <w:t xml:space="preserve">物业</w:t>
      </w:r>
      <w:r>
        <w:rPr>
          <w:rFonts w:hint="eastAsia" w:ascii="宋体" w:hAnsi="宋体" w:eastAsia="宋体" w:cs="宋体"/>
          <w:color w:val="auto"/>
          <w:highlight w:val="none"/>
          <w:u w:val="single"/>
          <w:lang w:val="en-US" w:eastAsia="zh-CN"/>
        </w:rPr>
        <w:t xml:space="preserve">费</w:t>
      </w:r>
      <w:r>
        <w:rPr>
          <w:rFonts w:hint="eastAsia" w:ascii="宋体" w:hAnsi="宋体" w:eastAsia="宋体" w:cs="宋体"/>
          <w:color w:val="auto"/>
          <w:highlight w:val="none"/>
          <w:u w:val="single"/>
        </w:rPr>
        <w:t xml:space="preserve">由业主按其拥有物业的产权建筑面积</w:t>
      </w:r>
      <w:r>
        <w:rPr>
          <w:rFonts w:hint="eastAsia" w:ascii="宋体" w:hAnsi="宋体" w:eastAsia="宋体" w:cs="宋体"/>
          <w:color w:val="auto"/>
          <w:highlight w:val="none"/>
          <w:u w:val="single"/>
          <w:lang w:val="en-US" w:eastAsia="zh-CN"/>
        </w:rPr>
        <w:t xml:space="preserve">和区管委会暂定的比例</w:t>
      </w:r>
      <w:r>
        <w:rPr>
          <w:rFonts w:hint="eastAsia" w:ascii="宋体" w:hAnsi="宋体" w:eastAsia="宋体" w:cs="宋体"/>
          <w:color w:val="auto"/>
          <w:highlight w:val="none"/>
          <w:u w:val="single"/>
        </w:rPr>
        <w:t xml:space="preserve">交纳，具体收费标准、交费时间等内容，由乙方</w:t>
      </w:r>
      <w:r>
        <w:rPr>
          <w:rFonts w:hint="eastAsia" w:ascii="宋体" w:hAnsi="宋体" w:eastAsia="宋体" w:cs="宋体"/>
          <w:color w:val="auto"/>
          <w:highlight w:val="none"/>
          <w:u w:val="single"/>
          <w:lang w:val="en-US" w:eastAsia="zh-CN"/>
        </w:rPr>
        <w:t xml:space="preserve">按照《盐南高新区关于进一步加强住宅小区长效管理工作的实施办法（试行）》相关规定</w:t>
      </w:r>
      <w:r>
        <w:rPr>
          <w:rFonts w:hint="eastAsia" w:ascii="宋体" w:hAnsi="宋体" w:eastAsia="宋体" w:cs="宋体"/>
          <w:color w:val="auto"/>
          <w:highlight w:val="none"/>
          <w:u w:val="single"/>
        </w:rPr>
        <w:t xml:space="preserve">向业主收取，最多可预收一年。小区业主未按照物业服务合同的约定交纳物业服务费用的，物业服务企业可通过上门催交、督促其限期交纳；逾期不交纳的，物业服务企业可以向人民法院起诉。</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lang w:val="en-US" w:eastAsia="zh-CN"/>
        </w:rPr>
      </w:pPr>
      <w:r>
        <w:rPr>
          <w:rFonts w:hint="eastAsia" w:ascii="宋体" w:hAnsi="宋体" w:eastAsia="宋体" w:cs="宋体"/>
          <w:color w:val="auto"/>
          <w:highlight w:val="none"/>
          <w:u w:val="single"/>
          <w:lang w:val="en-US" w:eastAsia="zh-CN"/>
        </w:rPr>
        <w:t xml:space="preserve">11.2.3物业合同签订后，乙方须在7日内开设双方共管账户，所有资金全部纳入该账户进行管理，实行每月考核发放。</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u w:val="single"/>
          <w:lang w:val="en-US" w:eastAsia="zh-CN"/>
        </w:rPr>
        <w:t xml:space="preserve">11.2.4</w:t>
      </w:r>
      <w:r>
        <w:rPr>
          <w:rFonts w:hint="eastAsia" w:ascii="宋体" w:hAnsi="宋体" w:eastAsia="宋体" w:cs="宋体"/>
          <w:color w:val="auto"/>
          <w:highlight w:val="none"/>
          <w:u w:val="single"/>
        </w:rPr>
        <w:t xml:space="preserve">乙方需按要求在收取物业费时将款项汇入到共管账户</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如发生所收款项未</w:t>
      </w:r>
      <w:r>
        <w:rPr>
          <w:rFonts w:hint="eastAsia" w:ascii="宋体" w:hAnsi="宋体" w:eastAsia="宋体" w:cs="宋体"/>
          <w:color w:val="auto"/>
          <w:highlight w:val="none"/>
          <w:u w:val="single"/>
          <w:lang w:val="en-US" w:eastAsia="zh-CN"/>
        </w:rPr>
        <w:t xml:space="preserve">交</w:t>
      </w:r>
      <w:r>
        <w:rPr>
          <w:rFonts w:hint="eastAsia" w:ascii="宋体" w:hAnsi="宋体" w:eastAsia="宋体" w:cs="宋体"/>
          <w:color w:val="auto"/>
          <w:highlight w:val="none"/>
          <w:u w:val="single"/>
        </w:rPr>
        <w:t xml:space="preserve">入共管账户的违规的情形，在每次结算时按照1：10的比例进行处罚。</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lang w:val="en-US" w:eastAsia="zh-CN"/>
        </w:rPr>
      </w:pPr>
      <w:r>
        <w:rPr>
          <w:rFonts w:hint="eastAsia" w:ascii="宋体" w:hAnsi="宋体" w:eastAsia="宋体" w:cs="宋体"/>
          <w:color w:val="auto"/>
          <w:highlight w:val="none"/>
          <w:u w:val="single"/>
          <w:lang w:val="en-US" w:eastAsia="zh-CN"/>
        </w:rPr>
        <w:t xml:space="preserve">11.2.5由街道根据各小区考核结果（区住建局第三方、街道、社区及业主四方评分）将资金划拨至双管账户，资金由乙方管理。考核结果90分（含90分）以上的，补贴全额拨付；考核结果在90分以下的，按照实际得分同比例拨付（示例：考核得分85分，则按照85%补贴拨付）；考核结果在60分以下的，合同自动终止，乙方立即退场。一年度内出现两次考核在70分以下的，合同自动终止，乙方立即退场。</w:t>
      </w:r>
      <w:r/>
    </w:p>
    <w:p>
      <w:pPr>
        <w:pStyle w:val="734"/>
        <w:ind w:firstLine="482"/>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color w:val="auto"/>
          <w:highlight w:val="none"/>
          <w:lang w:val="en-US" w:eastAsia="zh-CN"/>
        </w:rPr>
        <w:t xml:space="preserve">十二</w:t>
      </w:r>
      <w:r>
        <w:rPr>
          <w:rFonts w:hint="eastAsia" w:ascii="宋体" w:hAnsi="宋体" w:eastAsia="宋体" w:cs="宋体"/>
          <w:b/>
          <w:color w:val="auto"/>
          <w:highlight w:val="none"/>
        </w:rPr>
        <w:t xml:space="preserve">、税费</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12</w:t>
      </w:r>
      <w:r>
        <w:rPr>
          <w:rFonts w:hint="eastAsia" w:ascii="宋体" w:hAnsi="宋体" w:eastAsia="宋体" w:cs="宋体"/>
          <w:color w:val="auto"/>
          <w:highlight w:val="none"/>
        </w:rPr>
        <w:t xml:space="preserve">.1本合同执行中相关的一切税费均由乙方负担。</w:t>
      </w:r>
      <w:r/>
    </w:p>
    <w:p>
      <w:pPr>
        <w:pStyle w:val="734"/>
        <w:ind w:firstLine="482"/>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三</w:t>
      </w:r>
      <w:r>
        <w:rPr>
          <w:rFonts w:hint="eastAsia" w:ascii="宋体" w:hAnsi="宋体" w:eastAsia="宋体" w:cs="宋体"/>
          <w:b/>
          <w:color w:val="auto"/>
          <w:highlight w:val="none"/>
        </w:rPr>
        <w:t xml:space="preserve">、项目验收</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.1甲方依法组织履约验收工作。</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.3对于实际使用人和甲方分离的项目，甲方邀请实际使用人参与验收。</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.4如有必要，甲方邀请参加本项目的其他供应商或第三方专业机构及专家参与验收，相关意见将作为验收书的参考资料。</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34"/>
        <w:ind w:firstLine="482"/>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四</w:t>
      </w:r>
      <w:r>
        <w:rPr>
          <w:rFonts w:hint="eastAsia" w:ascii="宋体" w:hAnsi="宋体" w:eastAsia="宋体" w:cs="宋体"/>
          <w:b/>
          <w:color w:val="auto"/>
          <w:highlight w:val="none"/>
        </w:rPr>
        <w:t xml:space="preserve">、违约责任</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1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highlight w:val="none"/>
          <w:u w:val="none"/>
          <w:lang w:val="en-US" w:eastAsia="zh-CN"/>
        </w:rPr>
        <w:t xml:space="preserve">10%</w:t>
      </w:r>
      <w:r>
        <w:rPr>
          <w:rFonts w:hint="eastAsia" w:ascii="宋体" w:hAnsi="宋体" w:eastAsia="宋体" w:cs="宋体"/>
          <w:color w:val="auto"/>
          <w:highlight w:val="none"/>
        </w:rPr>
        <w:t xml:space="preserve">的违约金，如造成甲方损失超过违约金的，超出部分由乙方继续承担赔偿责任。 </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乙方所提供服务的标准不符合合同规定及招标文件规定标准的，甲方有权拒绝接受服务，并可单方面解除合同。</w:t>
      </w:r>
      <w:r/>
    </w:p>
    <w:p>
      <w:pPr>
        <w:pStyle w:val="734"/>
        <w:ind w:firstLine="482"/>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五</w:t>
      </w:r>
      <w:r>
        <w:rPr>
          <w:rFonts w:hint="eastAsia" w:ascii="宋体" w:hAnsi="宋体" w:eastAsia="宋体" w:cs="宋体"/>
          <w:b/>
          <w:color w:val="auto"/>
          <w:highlight w:val="none"/>
        </w:rPr>
        <w:t xml:space="preserve">、不可抗力事件处理</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.1在合同有效期内，任何一方因不可抗力事件导致不能履行合同，则合同履行期可延长，其延长期与不可抗力影响期相同。</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.2不可抗力事件发生后，应立即通知对方，并寄送有关权威机构出具的证明。</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.3不可抗力事件延续120天以上，双方应通过友好协商，确定是否继续履行合同。</w:t>
      </w:r>
      <w:r/>
    </w:p>
    <w:p>
      <w:pPr>
        <w:pStyle w:val="734"/>
        <w:ind w:firstLine="482"/>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六</w:t>
      </w:r>
      <w:r>
        <w:rPr>
          <w:rFonts w:hint="eastAsia" w:ascii="宋体" w:hAnsi="宋体" w:eastAsia="宋体" w:cs="宋体"/>
          <w:b/>
          <w:color w:val="auto"/>
          <w:highlight w:val="none"/>
        </w:rPr>
        <w:t xml:space="preserve">、解决争议的方法</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.1双方在签订、履行合同中所发生的一切争议，应通过友好协商解决。如协商不成，由甲方住所地人民法院管辖。</w:t>
      </w:r>
      <w:r/>
    </w:p>
    <w:p>
      <w:pPr>
        <w:pStyle w:val="734"/>
        <w:ind w:firstLine="482"/>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七</w:t>
      </w:r>
      <w:r>
        <w:rPr>
          <w:rFonts w:hint="eastAsia" w:ascii="宋体" w:hAnsi="宋体" w:eastAsia="宋体" w:cs="宋体"/>
          <w:b/>
          <w:color w:val="auto"/>
          <w:highlight w:val="none"/>
        </w:rPr>
        <w:t xml:space="preserve">、合同生效及其它</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.1合同经双方法定代表人或授权委托代表人签字并加盖单位公章后生效。</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.2本合同未尽事宜，遵照《民法典》、《政府采购法》有关条文执行。</w:t>
      </w:r>
      <w:r/>
    </w:p>
    <w:p>
      <w:pPr>
        <w:pStyle w:val="734"/>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.3 本合同正本一式</w:t>
      </w:r>
      <w:r>
        <w:rPr>
          <w:rFonts w:hint="eastAsia" w:ascii="宋体" w:hAnsi="宋体" w:eastAsia="宋体" w:cs="宋体"/>
          <w:color w:val="auto"/>
          <w:highlight w:val="none"/>
          <w:lang w:val="en-US" w:eastAsia="zh-CN"/>
        </w:rPr>
        <w:t xml:space="preserve">捌</w:t>
      </w:r>
      <w:r>
        <w:rPr>
          <w:rFonts w:hint="eastAsia" w:ascii="宋体" w:hAnsi="宋体" w:eastAsia="宋体" w:cs="宋体"/>
          <w:color w:val="auto"/>
          <w:highlight w:val="none"/>
        </w:rPr>
        <w:t xml:space="preserve">份，具有同等法律效力，甲方、乙方各执</w:t>
      </w:r>
      <w:r>
        <w:rPr>
          <w:rFonts w:hint="eastAsia" w:ascii="宋体" w:hAnsi="宋体" w:eastAsia="宋体" w:cs="宋体"/>
          <w:color w:val="auto"/>
          <w:highlight w:val="none"/>
          <w:lang w:val="en-US" w:eastAsia="zh-CN"/>
        </w:rPr>
        <w:t xml:space="preserve">肆</w:t>
      </w:r>
      <w:r>
        <w:rPr>
          <w:rFonts w:hint="eastAsia" w:ascii="宋体" w:hAnsi="宋体" w:eastAsia="宋体" w:cs="宋体"/>
          <w:color w:val="auto"/>
          <w:highlight w:val="none"/>
        </w:rPr>
        <w:t xml:space="preserve">份。</w:t>
      </w:r>
      <w:r/>
    </w:p>
    <w:p>
      <w:pPr>
        <w:pStyle w:val="734"/>
        <w:ind w:left="480" w:hanging="480"/>
        <w:jc w:val="both"/>
        <w:keepLines w:val="0"/>
        <w:keepNext w:val="0"/>
        <w:pageBreakBefore w:val="0"/>
        <w:spacing w:before="120" w:beforeAutospacing="0" w:after="12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甲方：               乙方： </w:t>
      </w:r>
      <w:r/>
    </w:p>
    <w:p>
      <w:pPr>
        <w:pStyle w:val="734"/>
        <w:jc w:val="both"/>
        <w:keepLines w:val="0"/>
        <w:keepNext w:val="0"/>
        <w:pageBreakBefore w:val="0"/>
        <w:spacing w:before="120" w:beforeAutospacing="0" w:after="12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地址：               地址： </w:t>
      </w:r>
      <w:r/>
    </w:p>
    <w:p>
      <w:pPr>
        <w:pStyle w:val="734"/>
        <w:jc w:val="both"/>
        <w:keepLines w:val="0"/>
        <w:keepNext w:val="0"/>
        <w:pageBreakBefore w:val="0"/>
        <w:spacing w:before="120" w:beforeAutospacing="0" w:after="12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法定代表人或授权代表：       法定代表人或授权代表：</w:t>
      </w:r>
      <w:r/>
    </w:p>
    <w:p>
      <w:pPr>
        <w:pStyle w:val="734"/>
        <w:ind w:firstLine="240"/>
        <w:jc w:val="both"/>
        <w:keepLines w:val="0"/>
        <w:keepNext w:val="0"/>
        <w:pageBreakBefore w:val="0"/>
        <w:spacing w:before="120" w:beforeAutospacing="0" w:after="12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联系电话：          </w:t>
      </w:r>
      <w:r/>
    </w:p>
    <w:p>
      <w:pPr>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sz w:val="21"/>
          <w:szCs w:val="21"/>
          <w:highlight w:val="none"/>
        </w:rPr>
        <w:t xml:space="preserve">  签订日期：      年    月   日</w:t>
      </w:r>
      <w:r>
        <w:rPr>
          <w:rFonts w:hint="eastAsia" w:ascii="宋体" w:hAnsi="宋体" w:eastAsia="宋体" w:cs="宋体"/>
          <w:color w:val="auto"/>
          <w:sz w:val="44"/>
          <w:szCs w:val="44"/>
          <w:highlight w:val="none"/>
        </w:rPr>
        <w:br w:type="page" w:clear="all"/>
      </w:r>
      <w:r/>
    </w:p>
    <w:p>
      <w:pPr>
        <w:pStyle w:val="879"/>
        <w:numPr>
          <w:ilvl w:val="0"/>
          <w:numId w:val="0"/>
        </w:numPr>
        <w:jc w:val="center"/>
        <w:spacing w:before="156" w:line="50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物业管理考核办法</w:t>
      </w:r>
      <w:r/>
    </w:p>
    <w:tbl>
      <w:tblPr>
        <w:tblStyle w:val="651"/>
        <w:tblW w:w="9880" w:type="dxa"/>
        <w:tblInd w:w="-108" w:type="dxa"/>
        <w:tblLayout w:type="fixed"/>
        <w:tblCellMar>
          <w:left w:w="108" w:type="dxa"/>
          <w:top w:w="0" w:type="dxa"/>
          <w:right w:w="108" w:type="dxa"/>
          <w:bottom w:w="0" w:type="dxa"/>
        </w:tblCellMar>
        <w:tblLook w:val="04A0" w:firstRow="1" w:lastRow="0" w:firstColumn="1" w:lastColumn="0" w:noHBand="0" w:noVBand="1"/>
      </w:tblPr>
      <w:tblGrid>
        <w:gridCol w:w="800"/>
        <w:gridCol w:w="1043"/>
        <w:gridCol w:w="664"/>
        <w:gridCol w:w="4967"/>
        <w:gridCol w:w="1191"/>
        <w:gridCol w:w="1215"/>
      </w:tblGrid>
      <w:tr>
        <w:trPr>
          <w:trHeight w:val="90"/>
        </w:trPr>
        <w:tc>
          <w:tcPr>
            <w:gridSpan w:val="6"/>
            <w:tcBorders>
              <w:top w:val="none" w:color="000000" w:sz="4" w:space="0"/>
              <w:left w:val="none" w:color="000000" w:sz="4" w:space="0"/>
              <w:bottom w:val="none" w:color="000000" w:sz="4" w:space="0"/>
              <w:right w:val="none" w:color="000000" w:sz="4" w:space="0"/>
            </w:tcBorders>
            <w:tcW w:w="9880" w:type="dxa"/>
            <w:vAlign w:val="center"/>
            <w:textDirection w:val="lrTb"/>
            <w:noWrap w:val="false"/>
          </w:tcPr>
          <w:p>
            <w:pPr>
              <w:jc w:val="center"/>
              <w:keepLines w:val="0"/>
              <w:keepNext w:val="0"/>
              <w:pageBreakBefore w:val="0"/>
              <w:widowControl/>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盐南高新区老旧小区及拆迁安置小区</w:t>
            </w:r>
            <w:r>
              <w:rPr>
                <w:rFonts w:hint="eastAsia" w:ascii="宋体" w:hAnsi="宋体" w:eastAsia="宋体" w:cs="宋体"/>
                <w:bCs/>
                <w:color w:val="auto"/>
                <w:sz w:val="28"/>
                <w:szCs w:val="28"/>
                <w:highlight w:val="none"/>
              </w:rPr>
              <w:t xml:space="preserve">物业管理服务等级标准及评分细则</w:t>
            </w:r>
            <w:r/>
          </w:p>
          <w:p>
            <w:pPr>
              <w:jc w:val="center"/>
              <w:keepLines w:val="0"/>
              <w:keepNext w:val="0"/>
              <w:pageBreakBefore w:val="0"/>
              <w:widowControl/>
              <w:rPr>
                <w:rFonts w:hint="eastAsia" w:ascii="宋体" w:hAnsi="宋体" w:eastAsia="宋体" w:cs="宋体"/>
                <w:bCs/>
                <w:color w:val="auto"/>
                <w:sz w:val="36"/>
                <w:szCs w:val="36"/>
                <w:highlight w:val="none"/>
              </w:rPr>
            </w:pPr>
            <w:r>
              <w:rPr>
                <w:rFonts w:hint="eastAsia" w:ascii="宋体" w:hAnsi="宋体" w:eastAsia="宋体" w:cs="宋体"/>
                <w:bCs/>
                <w:color w:val="auto"/>
                <w:sz w:val="28"/>
                <w:szCs w:val="28"/>
                <w:highlight w:val="none"/>
              </w:rPr>
              <w:t xml:space="preserve">（</w:t>
            </w:r>
            <w:r>
              <w:rPr>
                <w:rFonts w:hint="eastAsia" w:ascii="宋体" w:hAnsi="宋体" w:eastAsia="宋体" w:cs="宋体"/>
                <w:bCs/>
                <w:color w:val="auto"/>
                <w:sz w:val="28"/>
                <w:szCs w:val="28"/>
                <w:highlight w:val="none"/>
                <w:lang w:val="en-US" w:eastAsia="zh-CN"/>
              </w:rPr>
              <w:t xml:space="preserve">高层</w:t>
            </w:r>
            <w:r>
              <w:rPr>
                <w:rFonts w:hint="eastAsia" w:ascii="宋体" w:hAnsi="宋体" w:eastAsia="宋体" w:cs="宋体"/>
                <w:bCs/>
                <w:color w:val="auto"/>
                <w:sz w:val="28"/>
                <w:szCs w:val="28"/>
                <w:highlight w:val="none"/>
              </w:rPr>
              <w:t xml:space="preserve">）</w:t>
            </w:r>
            <w:r/>
          </w:p>
        </w:tc>
      </w:tr>
      <w:tr>
        <w:trPr>
          <w:trHeight w:val="90"/>
        </w:trPr>
        <w:tc>
          <w:tcPr>
            <w:gridSpan w:val="6"/>
            <w:tcBorders>
              <w:top w:val="none" w:color="000000" w:sz="4" w:space="0"/>
              <w:left w:val="none" w:color="000000" w:sz="4" w:space="0"/>
              <w:bottom w:val="single" w:color="000000" w:sz="4" w:space="0"/>
              <w:right w:val="none" w:color="000000" w:sz="4" w:space="0"/>
            </w:tcBorders>
            <w:tcW w:w="988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90"/>
        </w:trPr>
        <w:tc>
          <w:tcPr>
            <w:tcBorders>
              <w:top w:val="non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hint="eastAsia" w:ascii="宋体" w:hAnsi="宋体" w:eastAsia="宋体" w:cs="宋体"/>
                <w:b/>
                <w:bCs/>
                <w:color w:val="auto"/>
                <w:sz w:val="20"/>
                <w:szCs w:val="20"/>
                <w:highlight w:val="none"/>
                <w:lang w:eastAsia="zh-CN"/>
              </w:rPr>
            </w:pPr>
            <w:r>
              <w:rPr>
                <w:rFonts w:hint="eastAsia" w:ascii="宋体" w:hAnsi="宋体" w:eastAsia="宋体" w:cs="宋体"/>
                <w:b/>
                <w:bCs/>
                <w:color w:val="auto"/>
                <w:sz w:val="20"/>
                <w:szCs w:val="20"/>
                <w:highlight w:val="none"/>
              </w:rPr>
              <w:t xml:space="preserve">序</w:t>
            </w:r>
            <w:r/>
          </w:p>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号</w:t>
            </w:r>
            <w:r/>
          </w:p>
        </w:tc>
        <w:tc>
          <w:tcPr>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项 目</w:t>
            </w:r>
            <w:r/>
          </w:p>
        </w:tc>
        <w:tc>
          <w:tcPr>
            <w:gridSpan w:val="2"/>
            <w:tcBorders>
              <w:top w:val="single" w:color="000000" w:sz="4" w:space="0"/>
              <w:left w:val="none" w:color="000000" w:sz="4" w:space="0"/>
              <w:bottom w:val="single" w:color="000000" w:sz="4" w:space="0"/>
              <w:right w:val="single" w:color="000000" w:sz="4" w:space="0"/>
            </w:tcBorders>
            <w:tcW w:w="5631" w:type="dxa"/>
            <w:vAlign w:val="center"/>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服务标准和要求</w:t>
            </w:r>
            <w:r/>
          </w:p>
        </w:tc>
        <w:tc>
          <w:tcPr>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扣分细则</w:t>
            </w:r>
            <w:r/>
          </w:p>
        </w:tc>
        <w:tc>
          <w:tcPr>
            <w:tcBorders>
              <w:top w:val="none" w:color="000000" w:sz="4" w:space="0"/>
              <w:left w:val="none" w:color="000000" w:sz="4" w:space="0"/>
              <w:bottom w:val="single" w:color="000000" w:sz="4" w:space="0"/>
              <w:right w:val="single" w:color="000000" w:sz="4" w:space="0"/>
            </w:tcBorders>
            <w:tcW w:w="1215" w:type="dxa"/>
            <w:vAlign w:val="center"/>
            <w:textDirection w:val="lrTb"/>
            <w:noWrap w:val="false"/>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得分</w:t>
            </w:r>
            <w:r/>
          </w:p>
        </w:tc>
      </w:tr>
      <w:tr>
        <w:trPr>
          <w:trHeight w:val="90"/>
        </w:trPr>
        <w:tc>
          <w:tcPr>
            <w:tcBorders>
              <w:top w:val="none" w:color="000000" w:sz="4" w:space="0"/>
              <w:left w:val="single" w:color="000000" w:sz="4" w:space="0"/>
              <w:bottom w:val="none" w:color="000000" w:sz="4" w:space="0"/>
              <w:right w:val="single" w:color="000000" w:sz="4" w:space="0"/>
            </w:tcBorders>
            <w:tcW w:w="800" w:type="dxa"/>
            <w:vAlign w:val="center"/>
            <w:vMerge w:val="restart"/>
            <w:textDirection w:val="lrTb"/>
            <w:noWrap w:val="false"/>
          </w:tcPr>
          <w:p>
            <w:pP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(一)</w:t>
            </w:r>
            <w:r/>
          </w:p>
        </w:tc>
        <w:tc>
          <w:tcPr>
            <w:tcBorders>
              <w:top w:val="none" w:color="000000" w:sz="4" w:space="0"/>
              <w:left w:val="single" w:color="000000" w:sz="4" w:space="0"/>
              <w:bottom w:val="single" w:color="000000" w:sz="4" w:space="0"/>
              <w:right w:val="single" w:color="000000" w:sz="4" w:space="0"/>
            </w:tcBorders>
            <w:tcW w:w="1043" w:type="dxa"/>
            <w:vAlign w:val="center"/>
            <w:vMerge w:val="restart"/>
            <w:textDirection w:val="lrTb"/>
            <w:noWrap w:val="false"/>
          </w:tcPr>
          <w:p>
            <w:pPr>
              <w:jc w:val="center"/>
              <w:widowControl/>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 xml:space="preserve">安 全巡 查（10分）</w:t>
            </w:r>
            <w:r/>
          </w:p>
          <w:p>
            <w:pPr>
              <w:jc w:val="center"/>
              <w:widowControl/>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r>
            <w:r/>
          </w:p>
        </w:tc>
        <w:tc>
          <w:tcPr>
            <w:tcBorders>
              <w:top w:val="none" w:color="000000" w:sz="4" w:space="0"/>
              <w:left w:val="non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w:t>
            </w:r>
            <w:r/>
          </w:p>
        </w:tc>
        <w:tc>
          <w:tcPr>
            <w:tcBorders>
              <w:top w:val="none" w:color="000000" w:sz="4" w:space="0"/>
              <w:left w:val="non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实施封闭式管理，有经过培训的专业化安全护卫队伍，巡逻及管理制度落实。</w:t>
            </w:r>
            <w:r/>
          </w:p>
        </w:tc>
        <w:tc>
          <w:tcPr>
            <w:tcBorders>
              <w:top w:val="none" w:color="000000" w:sz="4" w:space="0"/>
              <w:left w:val="none" w:color="000000" w:sz="4" w:space="0"/>
              <w:bottom w:val="none" w:color="000000" w:sz="4" w:space="0"/>
              <w:right w:val="single" w:color="000000" w:sz="4" w:space="0"/>
            </w:tcBorders>
            <w:tcW w:w="1191" w:type="dxa"/>
            <w:vAlign w:val="center"/>
            <w:vMerge w:val="restart"/>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（每发现一处不符合扣1分）</w:t>
            </w:r>
            <w:r/>
          </w:p>
        </w:tc>
        <w:tc>
          <w:tcPr>
            <w:tcBorders>
              <w:top w:val="none" w:color="000000" w:sz="4" w:space="0"/>
              <w:left w:val="none" w:color="000000" w:sz="4" w:space="0"/>
              <w:bottom w:val="none" w:color="000000" w:sz="4" w:space="0"/>
              <w:right w:val="single" w:color="000000" w:sz="4" w:space="0"/>
            </w:tcBorders>
            <w:tcW w:w="1215" w:type="dxa"/>
            <w:vAlign w:val="center"/>
            <w:vMerge w:val="restart"/>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r>
      <w:tr>
        <w:trPr>
          <w:trHeight w:val="90"/>
        </w:trPr>
        <w:tc>
          <w:tcPr>
            <w:tcBorders>
              <w:top w:val="none" w:color="000000" w:sz="4" w:space="0"/>
              <w:left w:val="single" w:color="000000" w:sz="4" w:space="0"/>
              <w:bottom w:val="none" w:color="000000" w:sz="4" w:space="0"/>
              <w:right w:val="single" w:color="000000" w:sz="4" w:space="0"/>
            </w:tcBorders>
            <w:tcW w:w="800"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w:t>
            </w:r>
            <w:r/>
          </w:p>
        </w:tc>
        <w:tc>
          <w:tcPr>
            <w:tcBorders>
              <w:top w:val="none" w:color="000000" w:sz="4" w:space="0"/>
              <w:left w:val="non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安全巡护人员有统一制服、编号，衣着整洁，熟悉辖区情况，认真负责，能主动接受业主(使用人)投诉和求助。</w:t>
            </w:r>
            <w:r/>
          </w:p>
        </w:tc>
        <w:tc>
          <w:tcPr>
            <w:tcBorders>
              <w:top w:val="none" w:color="000000" w:sz="4" w:space="0"/>
              <w:left w:val="none" w:color="000000" w:sz="4" w:space="0"/>
              <w:bottom w:val="none" w:color="000000" w:sz="4" w:space="0"/>
              <w:right w:val="single" w:color="000000" w:sz="4" w:space="0"/>
            </w:tcBorders>
            <w:tcW w:w="1191"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non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90"/>
        </w:trPr>
        <w:tc>
          <w:tcPr>
            <w:tcBorders>
              <w:top w:val="none" w:color="000000" w:sz="4" w:space="0"/>
              <w:left w:val="single" w:color="000000" w:sz="4" w:space="0"/>
              <w:bottom w:val="none" w:color="000000" w:sz="4" w:space="0"/>
              <w:right w:val="single" w:color="000000" w:sz="4" w:space="0"/>
            </w:tcBorders>
            <w:tcW w:w="800"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w:t>
            </w:r>
            <w:r/>
          </w:p>
        </w:tc>
        <w:tc>
          <w:tcPr>
            <w:tcBorders>
              <w:top w:val="none" w:color="000000" w:sz="4" w:space="0"/>
              <w:left w:val="non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主出入口24小时值班，可疑人员或陌生人进出随时查询，大件物品出小区有登记。临时出口规定时间开放，开放时间有专人值守。</w:t>
            </w:r>
            <w:r/>
          </w:p>
        </w:tc>
        <w:tc>
          <w:tcPr>
            <w:tcBorders>
              <w:top w:val="none" w:color="000000" w:sz="4" w:space="0"/>
              <w:left w:val="none" w:color="000000" w:sz="4" w:space="0"/>
              <w:bottom w:val="none" w:color="000000" w:sz="4" w:space="0"/>
              <w:right w:val="single" w:color="000000" w:sz="4" w:space="0"/>
            </w:tcBorders>
            <w:tcW w:w="1191"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non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90"/>
        </w:trPr>
        <w:tc>
          <w:tcPr>
            <w:tcBorders>
              <w:top w:val="none" w:color="000000" w:sz="4" w:space="0"/>
              <w:left w:val="single" w:color="000000" w:sz="4" w:space="0"/>
              <w:bottom w:val="none" w:color="000000" w:sz="4" w:space="0"/>
              <w:right w:val="single" w:color="000000" w:sz="4" w:space="0"/>
            </w:tcBorders>
            <w:tcW w:w="800"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w:t>
            </w:r>
            <w:r/>
          </w:p>
        </w:tc>
        <w:tc>
          <w:tcPr>
            <w:tcBorders>
              <w:top w:val="none" w:color="000000" w:sz="4" w:space="0"/>
              <w:left w:val="non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24小时巡查小区，服务规范，全体巡查人员不少于6人，有巡查记录。</w:t>
            </w:r>
            <w:r/>
          </w:p>
        </w:tc>
        <w:tc>
          <w:tcPr>
            <w:tcBorders>
              <w:top w:val="none" w:color="000000" w:sz="4" w:space="0"/>
              <w:left w:val="none" w:color="000000" w:sz="4" w:space="0"/>
              <w:bottom w:val="none" w:color="000000" w:sz="4" w:space="0"/>
              <w:right w:val="single" w:color="000000" w:sz="4" w:space="0"/>
            </w:tcBorders>
            <w:tcW w:w="1191"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non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90"/>
        </w:trPr>
        <w:tc>
          <w:tcPr>
            <w:tcBorders>
              <w:top w:val="none" w:color="000000" w:sz="4" w:space="0"/>
              <w:left w:val="single" w:color="000000" w:sz="4" w:space="0"/>
              <w:bottom w:val="none" w:color="000000" w:sz="4" w:space="0"/>
              <w:right w:val="single" w:color="000000" w:sz="4" w:space="0"/>
            </w:tcBorders>
            <w:tcW w:w="800"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w:t>
            </w:r>
            <w:r/>
          </w:p>
        </w:tc>
        <w:tc>
          <w:tcPr>
            <w:tcBorders>
              <w:top w:val="none" w:color="000000" w:sz="4" w:space="0"/>
              <w:left w:val="non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小区主出入口设有监控设备，24小时运行，监控记录完整，记录不少于15天。</w:t>
            </w:r>
            <w:r/>
          </w:p>
        </w:tc>
        <w:tc>
          <w:tcPr>
            <w:tcBorders>
              <w:top w:val="none" w:color="000000" w:sz="4" w:space="0"/>
              <w:left w:val="none" w:color="000000" w:sz="4" w:space="0"/>
              <w:bottom w:val="none" w:color="000000" w:sz="4" w:space="0"/>
              <w:right w:val="single" w:color="000000" w:sz="4" w:space="0"/>
            </w:tcBorders>
            <w:tcW w:w="1191"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non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w:t>
            </w:r>
            <w:r/>
          </w:p>
        </w:tc>
        <w:tc>
          <w:tcPr>
            <w:tcBorders>
              <w:top w:val="none" w:color="000000" w:sz="4" w:space="0"/>
              <w:left w:val="non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危及住户安全处有明显标志和相应防范措施，突发事件有应急预案。事发时及时报告业主委员会和有关部门，并协助采取相应措施。</w:t>
            </w:r>
            <w:r/>
          </w:p>
        </w:tc>
        <w:tc>
          <w:tcPr>
            <w:tcBorders>
              <w:top w:val="none" w:color="000000" w:sz="4" w:space="0"/>
              <w:left w:val="none" w:color="000000" w:sz="4" w:space="0"/>
              <w:bottom w:val="single" w:color="000000" w:sz="4" w:space="0"/>
              <w:right w:val="single" w:color="000000" w:sz="4" w:space="0"/>
            </w:tcBorders>
            <w:tcW w:w="1191" w:type="dxa"/>
            <w:vAlign w:val="center"/>
            <w:vMerge w:val="continue"/>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single" w:color="000000" w:sz="4" w:space="0"/>
              <w:right w:val="single" w:color="000000" w:sz="4" w:space="0"/>
            </w:tcBorders>
            <w:tcW w:w="1215" w:type="dxa"/>
            <w:vAlign w:val="center"/>
            <w:vMerge w:val="continue"/>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（二）</w:t>
            </w:r>
            <w:r/>
          </w:p>
        </w:tc>
        <w:tc>
          <w:tcPr>
            <w:tcBorders>
              <w:top w:val="single" w:color="000000" w:sz="4" w:space="0"/>
              <w:left w:val="single" w:color="000000" w:sz="4" w:space="0"/>
              <w:bottom w:val="single" w:color="000000" w:sz="4" w:space="0"/>
              <w:right w:val="single" w:color="000000" w:sz="4" w:space="0"/>
            </w:tcBorders>
            <w:tcW w:w="1043" w:type="dxa"/>
            <w:vAlign w:val="center"/>
            <w:vMerge w:val="restart"/>
            <w:textDirection w:val="lrTb"/>
            <w:noWrap w:val="false"/>
          </w:tcPr>
          <w:p>
            <w:pPr>
              <w:jc w:val="center"/>
              <w:widowControl/>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 xml:space="preserve">卫 生保 洁（25分）</w:t>
            </w:r>
            <w:r/>
          </w:p>
          <w:p>
            <w:pPr>
              <w:jc w:val="center"/>
              <w:widowControl/>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r>
            <w:r/>
          </w:p>
        </w:tc>
        <w:tc>
          <w:tcPr>
            <w:tcBorders>
              <w:top w:val="single" w:color="000000" w:sz="4" w:space="0"/>
              <w:left w:val="non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w:t>
            </w:r>
            <w:r/>
          </w:p>
        </w:tc>
        <w:tc>
          <w:tcPr>
            <w:tcBorders>
              <w:top w:val="single" w:color="000000" w:sz="4" w:space="0"/>
              <w:left w:val="non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小区内设有垃圾收集点，生活垃圾每日至少清运1次，垃圾房(箱、车)保持完好整洁，定期消毒。</w:t>
            </w:r>
            <w:r/>
          </w:p>
        </w:tc>
        <w:tc>
          <w:tcPr>
            <w:tcBorders>
              <w:top w:val="single" w:color="000000" w:sz="4" w:space="0"/>
              <w:left w:val="none" w:color="000000" w:sz="4" w:space="0"/>
              <w:bottom w:val="single" w:color="000000" w:sz="4" w:space="0"/>
              <w:right w:val="single" w:color="000000" w:sz="4" w:space="0"/>
            </w:tcBorders>
            <w:tcW w:w="1191" w:type="dxa"/>
            <w:vAlign w:val="center"/>
            <w:vMerge w:val="restart"/>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（每发现一处不符合扣1分）</w:t>
            </w:r>
            <w:r/>
          </w:p>
        </w:tc>
        <w:tc>
          <w:tcPr>
            <w:tcBorders>
              <w:top w:val="single" w:color="000000" w:sz="4" w:space="0"/>
              <w:left w:val="none" w:color="000000" w:sz="4" w:space="0"/>
              <w:bottom w:val="single" w:color="000000" w:sz="4" w:space="0"/>
              <w:right w:val="single" w:color="000000" w:sz="4" w:space="0"/>
            </w:tcBorders>
            <w:tcW w:w="1215" w:type="dxa"/>
            <w:vAlign w:val="center"/>
            <w:vMerge w:val="restart"/>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non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w:t>
            </w:r>
            <w:r/>
          </w:p>
        </w:tc>
        <w:tc>
          <w:tcPr>
            <w:tcBorders>
              <w:top w:val="single" w:color="000000" w:sz="4" w:space="0"/>
              <w:left w:val="non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有专人负责公共场所、共用部位清洁工作，其中道路、广场等公共场所每日清扫2次，地面垃圾滞留时间不超过2小时，公共座椅(凳)保持整洁。目视检查道路、广场无明显垃圾和杂物，无大面积积水，地面垃圾滞留时间不超过2小时，公共座椅（凳）保持整洁。</w:t>
            </w:r>
            <w:r/>
          </w:p>
        </w:tc>
        <w:tc>
          <w:tcPr>
            <w:tcBorders>
              <w:top w:val="single" w:color="000000" w:sz="4" w:space="0"/>
              <w:left w:val="none" w:color="000000" w:sz="4" w:space="0"/>
              <w:bottom w:val="single" w:color="000000" w:sz="4" w:space="0"/>
              <w:right w:val="single" w:color="000000" w:sz="4" w:space="0"/>
            </w:tcBorders>
            <w:tcW w:w="1191"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non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non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w:t>
            </w:r>
            <w:r/>
          </w:p>
        </w:tc>
        <w:tc>
          <w:tcPr>
            <w:tcBorders>
              <w:top w:val="single" w:color="000000" w:sz="4" w:space="0"/>
              <w:left w:val="non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每周打扫一次各楼层通道和楼梯台阶，每周用干净的抹布擦抹1次楼梯扶手，每季擦洗一次楼梯道公用门窗，楼梯道保持基本整洁，无垃圾、杂物、水渍及擅自占用现象。</w:t>
            </w:r>
            <w:r/>
          </w:p>
        </w:tc>
        <w:tc>
          <w:tcPr>
            <w:tcBorders>
              <w:top w:val="single" w:color="000000" w:sz="4" w:space="0"/>
              <w:left w:val="none" w:color="000000" w:sz="4" w:space="0"/>
              <w:bottom w:val="single" w:color="000000" w:sz="4" w:space="0"/>
              <w:right w:val="single" w:color="000000" w:sz="4" w:space="0"/>
            </w:tcBorders>
            <w:tcW w:w="1191"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non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non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w:t>
            </w:r>
            <w:r/>
          </w:p>
        </w:tc>
        <w:tc>
          <w:tcPr>
            <w:tcBorders>
              <w:top w:val="single" w:color="000000" w:sz="4" w:space="0"/>
              <w:left w:val="non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公共厕所每天清扫两次，保持环境整洁、灯光明亮、无明显污物和异味。</w:t>
            </w:r>
            <w:r/>
          </w:p>
        </w:tc>
        <w:tc>
          <w:tcPr>
            <w:tcBorders>
              <w:top w:val="single" w:color="000000" w:sz="4" w:space="0"/>
              <w:left w:val="none" w:color="000000" w:sz="4" w:space="0"/>
              <w:bottom w:val="single" w:color="000000" w:sz="4" w:space="0"/>
              <w:right w:val="single" w:color="000000" w:sz="4" w:space="0"/>
            </w:tcBorders>
            <w:tcW w:w="1191"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non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non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11</w:t>
            </w:r>
            <w:r/>
          </w:p>
        </w:tc>
        <w:tc>
          <w:tcPr>
            <w:tcBorders>
              <w:top w:val="single" w:color="000000" w:sz="4" w:space="0"/>
              <w:left w:val="non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窖井、下水道、化粪池每年清掏2次，保持通畅。蚊蝇滋生时及时消杀。</w:t>
            </w:r>
            <w:r/>
          </w:p>
        </w:tc>
        <w:tc>
          <w:tcPr>
            <w:tcBorders>
              <w:top w:val="single" w:color="000000" w:sz="4" w:space="0"/>
              <w:left w:val="none" w:color="000000" w:sz="4" w:space="0"/>
              <w:bottom w:val="single" w:color="000000" w:sz="4" w:space="0"/>
              <w:right w:val="single" w:color="000000" w:sz="4" w:space="0"/>
            </w:tcBorders>
            <w:tcW w:w="1191"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non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non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12</w:t>
            </w:r>
            <w:r/>
          </w:p>
        </w:tc>
        <w:tc>
          <w:tcPr>
            <w:tcBorders>
              <w:top w:val="single" w:color="000000" w:sz="4" w:space="0"/>
              <w:left w:val="non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电梯及电梯厅每天清扫二次，每月二次擦拭、清洁电梯内墙面和地面，每月清洁一次轿厢顶部。</w:t>
            </w:r>
            <w:r/>
          </w:p>
        </w:tc>
        <w:tc>
          <w:tcPr>
            <w:tcBorders>
              <w:top w:val="single" w:color="000000" w:sz="4" w:space="0"/>
              <w:left w:val="none" w:color="000000" w:sz="4" w:space="0"/>
              <w:bottom w:val="single" w:color="000000" w:sz="4" w:space="0"/>
              <w:right w:val="single" w:color="000000" w:sz="4" w:space="0"/>
            </w:tcBorders>
            <w:tcW w:w="1191" w:type="dxa"/>
            <w:vAlign w:val="center"/>
            <w:vMerge w:val="continue"/>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none" w:color="000000" w:sz="4" w:space="0"/>
              <w:bottom w:val="single" w:color="000000" w:sz="4" w:space="0"/>
              <w:right w:val="single" w:color="000000" w:sz="4" w:space="0"/>
            </w:tcBorders>
            <w:tcW w:w="1215" w:type="dxa"/>
            <w:vAlign w:val="center"/>
            <w:vMerge w:val="continue"/>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（三）</w:t>
            </w:r>
            <w:r/>
          </w:p>
        </w:tc>
        <w:tc>
          <w:tcPr>
            <w:tcBorders>
              <w:top w:val="single" w:color="000000" w:sz="4" w:space="0"/>
              <w:left w:val="single" w:color="000000" w:sz="4" w:space="0"/>
              <w:bottom w:val="single" w:color="000000" w:sz="4" w:space="0"/>
              <w:right w:val="single" w:color="000000" w:sz="4" w:space="0"/>
            </w:tcBorders>
            <w:tcW w:w="1043" w:type="dxa"/>
            <w:vAlign w:val="center"/>
            <w:vMerge w:val="restart"/>
            <w:textDirection w:val="lrTb"/>
            <w:noWrap w:val="false"/>
          </w:tcPr>
          <w:p>
            <w:pPr>
              <w:jc w:val="center"/>
              <w:widowControl/>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 xml:space="preserve">绿 化养 护（10分）</w:t>
            </w:r>
            <w:r/>
          </w:p>
          <w:p>
            <w:pPr>
              <w:jc w:val="center"/>
              <w:widowControl/>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r>
            <w:r/>
          </w:p>
        </w:tc>
        <w:tc>
          <w:tcPr>
            <w:tcBorders>
              <w:top w:val="single" w:color="000000" w:sz="4" w:space="0"/>
              <w:left w:val="non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13</w:t>
            </w:r>
            <w:r/>
          </w:p>
        </w:tc>
        <w:tc>
          <w:tcPr>
            <w:tcBorders>
              <w:top w:val="single" w:color="000000" w:sz="4" w:space="0"/>
              <w:left w:val="non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每日清理1次绿化带、草地上的果皮、纸屑、石块、树叶等垃圾，捡1次草地、绿化带上的烟头、棉签等杂物，目视基本干净，无明显垃圾、杂物。</w:t>
            </w:r>
            <w:r/>
          </w:p>
        </w:tc>
        <w:tc>
          <w:tcPr>
            <w:tcBorders>
              <w:top w:val="single" w:color="000000" w:sz="4" w:space="0"/>
              <w:left w:val="none" w:color="000000" w:sz="4" w:space="0"/>
              <w:bottom w:val="single" w:color="000000" w:sz="4" w:space="0"/>
              <w:right w:val="single" w:color="000000" w:sz="4" w:space="0"/>
            </w:tcBorders>
            <w:tcW w:w="1191" w:type="dxa"/>
            <w:vAlign w:val="center"/>
            <w:vMerge w:val="restart"/>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（每发现一处不符合扣1分）</w:t>
            </w:r>
            <w:r/>
          </w:p>
        </w:tc>
        <w:tc>
          <w:tcPr>
            <w:tcBorders>
              <w:top w:val="single" w:color="000000" w:sz="4" w:space="0"/>
              <w:left w:val="none" w:color="000000" w:sz="4" w:space="0"/>
              <w:bottom w:val="single" w:color="000000" w:sz="4" w:space="0"/>
              <w:right w:val="single" w:color="000000" w:sz="4" w:space="0"/>
            </w:tcBorders>
            <w:tcW w:w="1215" w:type="dxa"/>
            <w:vAlign w:val="center"/>
            <w:vMerge w:val="restart"/>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non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14</w:t>
            </w:r>
            <w:r/>
          </w:p>
        </w:tc>
        <w:tc>
          <w:tcPr>
            <w:tcBorders>
              <w:top w:val="single" w:color="000000" w:sz="4" w:space="0"/>
              <w:left w:val="non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草坪成活率80％以上，生长正常，光秃不明显。整块草地没有明显阔叶杂草或蔬菜，无大面积病虫害，草坪基本整洁，无明显堆物堆料、搭棚、侵占等现象，无较严重人为破坏，对明显人为损坏和违法行为能及时处理，能根据草坪生长情况及时浇水、施肥、修剪和病虫害防治，做好防涝、防冻。</w:t>
            </w:r>
            <w:r/>
          </w:p>
        </w:tc>
        <w:tc>
          <w:tcPr>
            <w:tcBorders>
              <w:top w:val="single" w:color="000000" w:sz="4" w:space="0"/>
              <w:left w:val="none" w:color="000000" w:sz="4" w:space="0"/>
              <w:bottom w:val="single" w:color="000000" w:sz="4" w:space="0"/>
              <w:right w:val="single" w:color="000000" w:sz="4" w:space="0"/>
            </w:tcBorders>
            <w:tcW w:w="1191"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non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non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15</w:t>
            </w:r>
            <w:r/>
          </w:p>
        </w:tc>
        <w:tc>
          <w:tcPr>
            <w:tcBorders>
              <w:top w:val="single" w:color="000000" w:sz="4" w:space="0"/>
              <w:left w:val="non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喷泉、人工湖、水池每月清洁1次，打捞漂浮垃圾，每季清理一次湖底、池壁脏物、垃圾，目视湖(池)水基本清澈，水面无杂物，池边无污迹。</w:t>
            </w:r>
            <w:r/>
          </w:p>
        </w:tc>
        <w:tc>
          <w:tcPr>
            <w:tcBorders>
              <w:top w:val="single" w:color="000000" w:sz="4" w:space="0"/>
              <w:left w:val="none" w:color="000000" w:sz="4" w:space="0"/>
              <w:bottom w:val="single" w:color="000000" w:sz="4" w:space="0"/>
              <w:right w:val="single" w:color="000000" w:sz="4" w:space="0"/>
            </w:tcBorders>
            <w:tcW w:w="1191"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non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non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16</w:t>
            </w:r>
            <w:r/>
          </w:p>
        </w:tc>
        <w:tc>
          <w:tcPr>
            <w:tcBorders>
              <w:top w:val="single" w:color="000000" w:sz="4" w:space="0"/>
              <w:left w:val="non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假山、亭、廊、雕塑等建筑小品每年检修、油漆(粉刷)1次。</w:t>
            </w:r>
            <w:r/>
          </w:p>
        </w:tc>
        <w:tc>
          <w:tcPr>
            <w:tcBorders>
              <w:top w:val="single" w:color="000000" w:sz="4" w:space="0"/>
              <w:left w:val="none" w:color="000000" w:sz="4" w:space="0"/>
              <w:bottom w:val="single" w:color="000000" w:sz="4" w:space="0"/>
              <w:right w:val="single" w:color="000000" w:sz="4" w:space="0"/>
            </w:tcBorders>
            <w:tcW w:w="1191" w:type="dxa"/>
            <w:vAlign w:val="center"/>
            <w:vMerge w:val="continue"/>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none" w:color="000000" w:sz="4" w:space="0"/>
              <w:bottom w:val="single" w:color="000000" w:sz="4" w:space="0"/>
              <w:right w:val="single" w:color="000000" w:sz="4" w:space="0"/>
            </w:tcBorders>
            <w:tcW w:w="1215" w:type="dxa"/>
            <w:vAlign w:val="center"/>
            <w:vMerge w:val="continue"/>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（四）</w:t>
            </w:r>
            <w:r/>
          </w:p>
        </w:tc>
        <w:tc>
          <w:tcPr>
            <w:tcBorders>
              <w:top w:val="single" w:color="000000" w:sz="4" w:space="0"/>
              <w:left w:val="single" w:color="000000" w:sz="4" w:space="0"/>
              <w:bottom w:val="single" w:color="000000" w:sz="4" w:space="0"/>
              <w:right w:val="single" w:color="000000" w:sz="4" w:space="0"/>
            </w:tcBorders>
            <w:tcW w:w="1043" w:type="dxa"/>
            <w:vAlign w:val="center"/>
            <w:vMerge w:val="restart"/>
            <w:textDirection w:val="lrTb"/>
            <w:noWrap w:val="false"/>
          </w:tcPr>
          <w:p>
            <w:pPr>
              <w:jc w:val="center"/>
              <w:widowControl/>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 xml:space="preserve">房屋及共用设施设备维修养护（10分）</w:t>
            </w:r>
            <w:r/>
          </w:p>
          <w:p>
            <w:pPr>
              <w:jc w:val="center"/>
              <w:widowControl/>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r>
            <w:r/>
          </w:p>
        </w:tc>
        <w:tc>
          <w:tcPr>
            <w:tcBorders>
              <w:top w:val="single" w:color="000000" w:sz="4" w:space="0"/>
              <w:left w:val="non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17</w:t>
            </w:r>
            <w:r/>
          </w:p>
        </w:tc>
        <w:tc>
          <w:tcPr>
            <w:tcBorders>
              <w:top w:val="single" w:color="000000" w:sz="4" w:space="0"/>
              <w:left w:val="non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房屋及共用设施设备维修养护专职人员不少于1人。</w:t>
            </w:r>
            <w:r/>
          </w:p>
        </w:tc>
        <w:tc>
          <w:tcPr>
            <w:tcBorders>
              <w:top w:val="single" w:color="000000" w:sz="4" w:space="0"/>
              <w:left w:val="none" w:color="000000" w:sz="4" w:space="0"/>
              <w:bottom w:val="single" w:color="000000" w:sz="4" w:space="0"/>
              <w:right w:val="single" w:color="000000" w:sz="4" w:space="0"/>
            </w:tcBorders>
            <w:tcW w:w="1191" w:type="dxa"/>
            <w:vAlign w:val="center"/>
            <w:vMerge w:val="restart"/>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（每发现一处不符合扣1分）</w:t>
            </w:r>
            <w:r/>
          </w:p>
        </w:tc>
        <w:tc>
          <w:tcPr>
            <w:tcBorders>
              <w:top w:val="single" w:color="000000" w:sz="4" w:space="0"/>
              <w:left w:val="none" w:color="000000" w:sz="4" w:space="0"/>
              <w:bottom w:val="single" w:color="000000" w:sz="4" w:space="0"/>
              <w:right w:val="single" w:color="000000" w:sz="4" w:space="0"/>
            </w:tcBorders>
            <w:tcW w:w="1215" w:type="dxa"/>
            <w:vAlign w:val="center"/>
            <w:vMerge w:val="restart"/>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non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18</w:t>
            </w:r>
            <w:r/>
          </w:p>
        </w:tc>
        <w:tc>
          <w:tcPr>
            <w:tcBorders>
              <w:top w:val="single" w:color="000000" w:sz="4" w:space="0"/>
              <w:left w:val="non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年年底或年初对房屋和公用部位、公用设施设备、道路、绿地等进行全面检查1次，掌握房屋设施设备完损状况，对完损程度做出评价，巡检要有记录。大修及更新改造计划及时报告业主或业主委员会，落实维修资金。每周巡视1次楼房单元门、楼梯间通道部位以及其他公用部位的门窗、玻璃、路灯等设施，每年秋季对共用部位门窗做专项检修1次，换修损坏部位。</w:t>
            </w:r>
            <w:r/>
          </w:p>
        </w:tc>
        <w:tc>
          <w:tcPr>
            <w:tcBorders>
              <w:top w:val="single" w:color="000000" w:sz="4" w:space="0"/>
              <w:left w:val="none" w:color="000000" w:sz="4" w:space="0"/>
              <w:bottom w:val="none" w:color="000000" w:sz="4" w:space="0"/>
              <w:right w:val="single" w:color="000000" w:sz="4" w:space="0"/>
            </w:tcBorders>
            <w:tcW w:w="1191"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none" w:color="000000" w:sz="4" w:space="0"/>
              <w:bottom w:val="non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19</w:t>
            </w:r>
            <w:r/>
          </w:p>
        </w:tc>
        <w:tc>
          <w:tcPr>
            <w:tcBorders>
              <w:top w:val="none" w:color="000000" w:sz="4" w:space="0"/>
              <w:left w:val="non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房屋修缮制度完善，便民报修措施齐全，居民室内维修实行有偿服务，其具体范围、服务项目价格等，通过物业委托合同约定，其中急修(如自来水跑水、下水管道和垃圾道堵塞、供暖设备漏水，电源线路和照明设备故障等项目)服务2小时内到位，24小时修复，若不能，要有紧急处理措施，并对业主(使用人)做合理解释，做出限时承诺。小修4日内修复，特殊情况必须做出说明和限时承诺，服务时限不得以节假日和休息时间顺延，有维修及回访记录。</w:t>
            </w:r>
            <w:r/>
          </w:p>
        </w:tc>
        <w:tc>
          <w:tcPr>
            <w:tcBorders>
              <w:top w:val="none" w:color="000000" w:sz="4" w:space="0"/>
              <w:left w:val="none" w:color="000000" w:sz="4" w:space="0"/>
              <w:bottom w:val="none" w:color="000000" w:sz="4" w:space="0"/>
              <w:right w:val="single" w:color="000000" w:sz="4" w:space="0"/>
            </w:tcBorders>
            <w:tcW w:w="1191"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non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20</w:t>
            </w:r>
            <w:r/>
          </w:p>
        </w:tc>
        <w:tc>
          <w:tcPr>
            <w:tcBorders>
              <w:top w:val="none" w:color="000000" w:sz="4" w:space="0"/>
              <w:left w:val="non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设备设施标志齐全。建立共用设施设备档案，定期巡查并做好记录。对可能发生的各种突发设备故障有应急方案。共用设施设备良好，运行正常，无事故隐患，设施设备的运行、检查、维修、保养记录齐全，运行人员严格遵守操作规程及保养规范。</w:t>
            </w:r>
            <w:r/>
          </w:p>
        </w:tc>
        <w:tc>
          <w:tcPr>
            <w:tcBorders>
              <w:top w:val="none" w:color="000000" w:sz="4" w:space="0"/>
              <w:left w:val="none" w:color="000000" w:sz="4" w:space="0"/>
              <w:bottom w:val="none" w:color="000000" w:sz="4" w:space="0"/>
              <w:right w:val="single" w:color="000000" w:sz="4" w:space="0"/>
            </w:tcBorders>
            <w:tcW w:w="1191"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non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21</w:t>
            </w:r>
            <w:r/>
          </w:p>
        </w:tc>
        <w:tc>
          <w:tcPr>
            <w:tcBorders>
              <w:top w:val="none" w:color="000000" w:sz="4" w:space="0"/>
              <w:left w:val="non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房屋外观基本完好，无明显缺损；屋面每半年检修1次，破损屋面能及时修复；公用排污、落水管道每年检修1次，排水保持畅通。</w:t>
            </w:r>
            <w:r/>
          </w:p>
        </w:tc>
        <w:tc>
          <w:tcPr>
            <w:tcBorders>
              <w:top w:val="none" w:color="000000" w:sz="4" w:space="0"/>
              <w:left w:val="none" w:color="000000" w:sz="4" w:space="0"/>
              <w:bottom w:val="none" w:color="000000" w:sz="4" w:space="0"/>
              <w:right w:val="single" w:color="000000" w:sz="4" w:space="0"/>
            </w:tcBorders>
            <w:tcW w:w="1191"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non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22</w:t>
            </w:r>
            <w:r/>
          </w:p>
        </w:tc>
        <w:tc>
          <w:tcPr>
            <w:tcBorders>
              <w:top w:val="none" w:color="000000" w:sz="4" w:space="0"/>
              <w:left w:val="non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共用楼道灯每旬检查一次，损坏及时换修，完好率(包括亮灯率)达95％以上，无长明灯，楼道灯无安全隐患。</w:t>
            </w:r>
            <w:r/>
          </w:p>
        </w:tc>
        <w:tc>
          <w:tcPr>
            <w:tcBorders>
              <w:top w:val="none" w:color="000000" w:sz="4" w:space="0"/>
              <w:left w:val="none" w:color="000000" w:sz="4" w:space="0"/>
              <w:bottom w:val="none" w:color="000000" w:sz="4" w:space="0"/>
              <w:right w:val="single" w:color="000000" w:sz="4" w:space="0"/>
            </w:tcBorders>
            <w:tcW w:w="1191"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non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23</w:t>
            </w:r>
            <w:r/>
          </w:p>
        </w:tc>
        <w:tc>
          <w:tcPr>
            <w:tcBorders>
              <w:top w:val="none" w:color="000000" w:sz="4" w:space="0"/>
              <w:left w:val="non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共用二次供水水箱加盖加锁，每年清洗1次，无二次污染及隐患。</w:t>
            </w:r>
            <w:r/>
          </w:p>
        </w:tc>
        <w:tc>
          <w:tcPr>
            <w:tcBorders>
              <w:top w:val="none" w:color="000000" w:sz="4" w:space="0"/>
              <w:left w:val="none" w:color="000000" w:sz="4" w:space="0"/>
              <w:bottom w:val="none" w:color="000000" w:sz="4" w:space="0"/>
              <w:right w:val="single" w:color="000000" w:sz="4" w:space="0"/>
            </w:tcBorders>
            <w:tcW w:w="1191"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non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24</w:t>
            </w:r>
            <w:r/>
          </w:p>
        </w:tc>
        <w:tc>
          <w:tcPr>
            <w:tcBorders>
              <w:top w:val="none" w:color="000000" w:sz="4" w:space="0"/>
              <w:left w:val="non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道路、停车场(棚、房)及其他公共场所(地)、建筑小品、雕塑等基本完好，保持整洁。</w:t>
            </w:r>
            <w:r/>
          </w:p>
        </w:tc>
        <w:tc>
          <w:tcPr>
            <w:tcBorders>
              <w:top w:val="none" w:color="000000" w:sz="4" w:space="0"/>
              <w:left w:val="none" w:color="000000" w:sz="4" w:space="0"/>
              <w:bottom w:val="none" w:color="000000" w:sz="4" w:space="0"/>
              <w:right w:val="single" w:color="000000" w:sz="4" w:space="0"/>
            </w:tcBorders>
            <w:tcW w:w="1191"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non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25</w:t>
            </w:r>
            <w:r/>
          </w:p>
        </w:tc>
        <w:tc>
          <w:tcPr>
            <w:tcBorders>
              <w:top w:val="none" w:color="000000" w:sz="4" w:space="0"/>
              <w:left w:val="non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消防设施设备完好无损，随时可用。</w:t>
            </w:r>
            <w:r/>
          </w:p>
        </w:tc>
        <w:tc>
          <w:tcPr>
            <w:tcBorders>
              <w:top w:val="none" w:color="000000" w:sz="4" w:space="0"/>
              <w:left w:val="none" w:color="000000" w:sz="4" w:space="0"/>
              <w:bottom w:val="none" w:color="000000" w:sz="4" w:space="0"/>
              <w:right w:val="single" w:color="000000" w:sz="4" w:space="0"/>
            </w:tcBorders>
            <w:tcW w:w="1191"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non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26</w:t>
            </w:r>
            <w:r/>
          </w:p>
        </w:tc>
        <w:tc>
          <w:tcPr>
            <w:tcBorders>
              <w:top w:val="none" w:color="000000" w:sz="4" w:space="0"/>
              <w:left w:val="non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井(池)盖板、管道损坏及时修换。</w:t>
            </w:r>
            <w:r/>
          </w:p>
        </w:tc>
        <w:tc>
          <w:tcPr>
            <w:tcBorders>
              <w:top w:val="none" w:color="000000" w:sz="4" w:space="0"/>
              <w:left w:val="none" w:color="000000" w:sz="4" w:space="0"/>
              <w:bottom w:val="single" w:color="000000" w:sz="4" w:space="0"/>
              <w:right w:val="single" w:color="000000" w:sz="4" w:space="0"/>
            </w:tcBorders>
            <w:tcW w:w="1191" w:type="dxa"/>
            <w:vAlign w:val="center"/>
            <w:vMerge w:val="continue"/>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single" w:color="000000" w:sz="4" w:space="0"/>
              <w:right w:val="single" w:color="000000" w:sz="4" w:space="0"/>
            </w:tcBorders>
            <w:tcW w:w="1215" w:type="dxa"/>
            <w:vAlign w:val="center"/>
            <w:vMerge w:val="continue"/>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（五）</w:t>
            </w:r>
            <w:r/>
          </w:p>
        </w:tc>
        <w:tc>
          <w:tcPr>
            <w:tcBorders>
              <w:top w:val="single" w:color="000000" w:sz="4" w:space="0"/>
              <w:left w:val="single" w:color="000000" w:sz="4" w:space="0"/>
              <w:bottom w:val="single" w:color="000000" w:sz="4" w:space="0"/>
              <w:right w:val="single" w:color="000000" w:sz="4" w:space="0"/>
            </w:tcBorders>
            <w:tcW w:w="1043" w:type="dxa"/>
            <w:vAlign w:val="center"/>
            <w:vMerge w:val="restart"/>
            <w:textDirection w:val="lrTb"/>
            <w:noWrap w:val="false"/>
          </w:tcPr>
          <w:p>
            <w:pPr>
              <w:jc w:val="center"/>
              <w:widowControl/>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 xml:space="preserve">电梯</w:t>
            </w:r>
            <w:r/>
          </w:p>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（5分）</w:t>
            </w:r>
            <w:r/>
          </w:p>
        </w:tc>
        <w:tc>
          <w:tcPr>
            <w:tcBorders>
              <w:top w:val="single" w:color="000000" w:sz="4" w:space="0"/>
              <w:left w:val="non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27</w:t>
            </w:r>
            <w:r/>
          </w:p>
        </w:tc>
        <w:tc>
          <w:tcPr>
            <w:tcBorders>
              <w:top w:val="single" w:color="000000" w:sz="4" w:space="0"/>
              <w:left w:val="non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遇电梯发生一般故障的，专业维修人员两小时内到达现场修理；发生电梯困人或其它重大事件时，物业管理人员10分钟之内到场应急处理，专业人员45分钟之内到场进行救助。</w:t>
            </w:r>
            <w:r/>
          </w:p>
        </w:tc>
        <w:tc>
          <w:tcPr>
            <w:tcBorders>
              <w:top w:val="single" w:color="000000" w:sz="4" w:space="0"/>
              <w:left w:val="none" w:color="000000" w:sz="4" w:space="0"/>
              <w:bottom w:val="single" w:color="000000" w:sz="4" w:space="0"/>
              <w:right w:val="single" w:color="000000" w:sz="4" w:space="0"/>
            </w:tcBorders>
            <w:tcW w:w="1191" w:type="dxa"/>
            <w:vAlign w:val="center"/>
            <w:vMerge w:val="restart"/>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（每发现一处不符合扣1分）</w:t>
            </w:r>
            <w:r/>
          </w:p>
        </w:tc>
        <w:tc>
          <w:tcPr>
            <w:tcBorders>
              <w:top w:val="single" w:color="000000" w:sz="4" w:space="0"/>
              <w:left w:val="none" w:color="000000" w:sz="4" w:space="0"/>
              <w:bottom w:val="single" w:color="000000" w:sz="4" w:space="0"/>
              <w:right w:val="single" w:color="000000" w:sz="4" w:space="0"/>
            </w:tcBorders>
            <w:tcW w:w="1215" w:type="dxa"/>
            <w:vAlign w:val="center"/>
            <w:vMerge w:val="restart"/>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non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28</w:t>
            </w:r>
            <w:r/>
          </w:p>
        </w:tc>
        <w:tc>
          <w:tcPr>
            <w:tcBorders>
              <w:top w:val="single" w:color="000000" w:sz="4" w:space="0"/>
              <w:left w:val="non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每天进行检查，检查记录存档。 </w:t>
            </w:r>
            <w:r/>
          </w:p>
        </w:tc>
        <w:tc>
          <w:tcPr>
            <w:tcBorders>
              <w:top w:val="single" w:color="000000" w:sz="4" w:space="0"/>
              <w:left w:val="none" w:color="000000" w:sz="4" w:space="0"/>
              <w:bottom w:val="single" w:color="000000" w:sz="4" w:space="0"/>
              <w:right w:val="single" w:color="000000" w:sz="4" w:space="0"/>
            </w:tcBorders>
            <w:tcW w:w="1191"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non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non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29</w:t>
            </w:r>
            <w:r/>
          </w:p>
        </w:tc>
        <w:tc>
          <w:tcPr>
            <w:tcBorders>
              <w:top w:val="single" w:color="000000" w:sz="4" w:space="0"/>
              <w:left w:val="non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保证电梯24小时完好，轿厢内按钮、灯具等配件保持完好，轿厢整洁。 </w:t>
            </w:r>
            <w:r/>
          </w:p>
        </w:tc>
        <w:tc>
          <w:tcPr>
            <w:tcBorders>
              <w:top w:val="single" w:color="000000" w:sz="4" w:space="0"/>
              <w:left w:val="none" w:color="000000" w:sz="4" w:space="0"/>
              <w:bottom w:val="single" w:color="000000" w:sz="4" w:space="0"/>
              <w:right w:val="single" w:color="000000" w:sz="4" w:space="0"/>
            </w:tcBorders>
            <w:tcW w:w="1191"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non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non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30</w:t>
            </w:r>
            <w:r/>
          </w:p>
        </w:tc>
        <w:tc>
          <w:tcPr>
            <w:tcBorders>
              <w:top w:val="single" w:color="000000" w:sz="4" w:space="0"/>
              <w:left w:val="non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客梯无安全关闭装置或无紧急呼救装置的，货梯无自动称重感应装置的应设专人驾驶电梯，驾驶员应坚守岗位，保证安全运行。</w:t>
            </w:r>
            <w:r/>
          </w:p>
        </w:tc>
        <w:tc>
          <w:tcPr>
            <w:tcBorders>
              <w:top w:val="single" w:color="000000" w:sz="4" w:space="0"/>
              <w:left w:val="none" w:color="000000" w:sz="4" w:space="0"/>
              <w:bottom w:val="single" w:color="000000" w:sz="4" w:space="0"/>
              <w:right w:val="single" w:color="000000" w:sz="4" w:space="0"/>
            </w:tcBorders>
            <w:tcW w:w="1191"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non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non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31</w:t>
            </w:r>
            <w:r/>
          </w:p>
        </w:tc>
        <w:tc>
          <w:tcPr>
            <w:tcBorders>
              <w:top w:val="single" w:color="000000" w:sz="4" w:space="0"/>
              <w:left w:val="non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设置紧急呼救装置的，应保证24小时完好，发生故障时应确保三方通话。</w:t>
            </w:r>
            <w:r/>
          </w:p>
        </w:tc>
        <w:tc>
          <w:tcPr>
            <w:tcBorders>
              <w:top w:val="single" w:color="000000" w:sz="4" w:space="0"/>
              <w:left w:val="none" w:color="000000" w:sz="4" w:space="0"/>
              <w:bottom w:val="single" w:color="000000" w:sz="4" w:space="0"/>
              <w:right w:val="single" w:color="000000" w:sz="4" w:space="0"/>
            </w:tcBorders>
            <w:tcW w:w="1191"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non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non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32</w:t>
            </w:r>
            <w:r/>
          </w:p>
        </w:tc>
        <w:tc>
          <w:tcPr>
            <w:tcBorders>
              <w:top w:val="single" w:color="000000" w:sz="4" w:space="0"/>
              <w:left w:val="non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委托专业维修保养单位进行定期保养，每年进行安全检测并张贴《安全检验合格》标志，物业公司应有专人对电梯保养进行监督，对电梯运行进行管理并对情况进行记录。</w:t>
            </w:r>
            <w:r/>
          </w:p>
        </w:tc>
        <w:tc>
          <w:tcPr>
            <w:tcBorders>
              <w:top w:val="single" w:color="000000" w:sz="4" w:space="0"/>
              <w:left w:val="none" w:color="000000" w:sz="4" w:space="0"/>
              <w:bottom w:val="single" w:color="000000" w:sz="4" w:space="0"/>
              <w:right w:val="single" w:color="000000" w:sz="4" w:space="0"/>
            </w:tcBorders>
            <w:tcW w:w="1191"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non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non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33</w:t>
            </w:r>
            <w:r/>
          </w:p>
        </w:tc>
        <w:tc>
          <w:tcPr>
            <w:tcBorders>
              <w:top w:val="single" w:color="000000" w:sz="4" w:space="0"/>
              <w:left w:val="non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确定合理的电梯运行时间，随时监督电梯运行状况，加强日常维修保养，适时降温、通风、防雨，做好运行服务。经常巡查楼层，防止地面水流入电梯井；加强值班监督，防止违章使用电梯；记录每日电梯运行情况，建档备案。</w:t>
            </w:r>
            <w:r/>
          </w:p>
        </w:tc>
        <w:tc>
          <w:tcPr>
            <w:tcBorders>
              <w:top w:val="single" w:color="000000" w:sz="4" w:space="0"/>
              <w:left w:val="none" w:color="000000" w:sz="4" w:space="0"/>
              <w:bottom w:val="single" w:color="000000" w:sz="4" w:space="0"/>
              <w:right w:val="single" w:color="000000" w:sz="4" w:space="0"/>
            </w:tcBorders>
            <w:tcW w:w="1191"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non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non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34</w:t>
            </w:r>
            <w:r/>
          </w:p>
        </w:tc>
        <w:tc>
          <w:tcPr>
            <w:tcBorders>
              <w:top w:val="single" w:color="000000" w:sz="4" w:space="0"/>
              <w:left w:val="non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定期对机房、轿厢顶和底坑进行检查，发现问题及时处理，并做好记录。</w:t>
            </w:r>
            <w:r/>
          </w:p>
        </w:tc>
        <w:tc>
          <w:tcPr>
            <w:tcBorders>
              <w:top w:val="single" w:color="000000" w:sz="4" w:space="0"/>
              <w:left w:val="none" w:color="000000" w:sz="4" w:space="0"/>
              <w:bottom w:val="single" w:color="000000" w:sz="4" w:space="0"/>
              <w:right w:val="single" w:color="000000" w:sz="4" w:space="0"/>
            </w:tcBorders>
            <w:tcW w:w="1191"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non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non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35</w:t>
            </w:r>
            <w:r/>
          </w:p>
        </w:tc>
        <w:tc>
          <w:tcPr>
            <w:tcBorders>
              <w:top w:val="single" w:color="000000" w:sz="4" w:space="0"/>
              <w:left w:val="non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电梯维护保养提前一天通知业主或使用人，并尽可能减少对业主或使用人正常生活的影响。 </w:t>
            </w:r>
            <w:r/>
          </w:p>
        </w:tc>
        <w:tc>
          <w:tcPr>
            <w:tcBorders>
              <w:top w:val="single" w:color="000000" w:sz="4" w:space="0"/>
              <w:left w:val="none" w:color="000000" w:sz="4" w:space="0"/>
              <w:bottom w:val="single" w:color="000000" w:sz="4" w:space="0"/>
              <w:right w:val="single" w:color="000000" w:sz="4" w:space="0"/>
            </w:tcBorders>
            <w:tcW w:w="1191"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none" w:color="000000" w:sz="4" w:space="0"/>
              <w:bottom w:val="single" w:color="000000" w:sz="4" w:space="0"/>
              <w:right w:val="single" w:color="000000" w:sz="4" w:space="0"/>
            </w:tcBorders>
            <w:tcW w:w="1215" w:type="dxa"/>
            <w:vAlign w:val="center"/>
            <w:vMerge w:val="continue"/>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（六）</w:t>
            </w:r>
            <w:r/>
          </w:p>
        </w:tc>
        <w:tc>
          <w:tcPr>
            <w:tcBorders>
              <w:top w:val="single" w:color="000000" w:sz="4" w:space="0"/>
              <w:left w:val="single" w:color="000000" w:sz="4" w:space="0"/>
              <w:bottom w:val="single" w:color="000000" w:sz="4" w:space="0"/>
              <w:right w:val="single" w:color="000000" w:sz="4" w:space="0"/>
            </w:tcBorders>
            <w:tcW w:w="1043" w:type="dxa"/>
            <w:vAlign w:val="center"/>
            <w:vMerge w:val="restart"/>
            <w:textDirection w:val="lrTb"/>
            <w:noWrap w:val="false"/>
          </w:tcPr>
          <w:p>
            <w:pPr>
              <w:jc w:val="center"/>
              <w:widowControl/>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 xml:space="preserve">基础台帐资料管理（5分）</w:t>
            </w:r>
            <w:r/>
          </w:p>
          <w:p>
            <w:pPr>
              <w:jc w:val="center"/>
              <w:widowControl/>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r>
            <w:r/>
          </w:p>
        </w:tc>
        <w:tc>
          <w:tcPr>
            <w:tcBorders>
              <w:top w:val="single" w:color="000000" w:sz="4" w:space="0"/>
              <w:left w:val="non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36</w:t>
            </w:r>
            <w:r/>
          </w:p>
        </w:tc>
        <w:tc>
          <w:tcPr>
            <w:tcBorders>
              <w:top w:val="single" w:color="000000" w:sz="4" w:space="0"/>
              <w:left w:val="non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档案资料实行数据化管理，房屋使用手册、业主公约等各项制度较完善。</w:t>
            </w:r>
            <w:r/>
          </w:p>
        </w:tc>
        <w:tc>
          <w:tcPr>
            <w:tcBorders>
              <w:top w:val="single" w:color="000000" w:sz="4" w:space="0"/>
              <w:left w:val="none" w:color="000000" w:sz="4" w:space="0"/>
              <w:bottom w:val="single" w:color="000000" w:sz="4" w:space="0"/>
              <w:right w:val="single" w:color="000000" w:sz="4" w:space="0"/>
            </w:tcBorders>
            <w:tcW w:w="1191" w:type="dxa"/>
            <w:vAlign w:val="center"/>
            <w:vMerge w:val="restart"/>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（每发现一处不符合扣1分）</w:t>
            </w:r>
            <w:r/>
          </w:p>
        </w:tc>
        <w:tc>
          <w:tcPr>
            <w:tcBorders>
              <w:top w:val="single" w:color="000000" w:sz="4" w:space="0"/>
              <w:left w:val="none" w:color="000000" w:sz="4" w:space="0"/>
              <w:bottom w:val="single" w:color="000000" w:sz="4" w:space="0"/>
              <w:right w:val="single" w:color="000000" w:sz="4" w:space="0"/>
            </w:tcBorders>
            <w:tcW w:w="1215" w:type="dxa"/>
            <w:vAlign w:val="center"/>
            <w:vMerge w:val="restart"/>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non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37</w:t>
            </w:r>
            <w:r/>
          </w:p>
        </w:tc>
        <w:tc>
          <w:tcPr>
            <w:tcBorders>
              <w:top w:val="single" w:color="000000" w:sz="4" w:space="0"/>
              <w:left w:val="non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房屋档案资料较齐全，记录变更及时，无因管理不善损坏现象。 </w:t>
            </w:r>
            <w:r/>
          </w:p>
        </w:tc>
        <w:tc>
          <w:tcPr>
            <w:tcBorders>
              <w:top w:val="single" w:color="000000" w:sz="4" w:space="0"/>
              <w:left w:val="none" w:color="000000" w:sz="4" w:space="0"/>
              <w:bottom w:val="none" w:color="000000" w:sz="4" w:space="0"/>
              <w:right w:val="single" w:color="000000" w:sz="4" w:space="0"/>
            </w:tcBorders>
            <w:tcW w:w="1191"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none" w:color="000000" w:sz="4" w:space="0"/>
              <w:bottom w:val="non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non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38</w:t>
            </w:r>
            <w:r/>
          </w:p>
        </w:tc>
        <w:tc>
          <w:tcPr>
            <w:tcBorders>
              <w:top w:val="single" w:color="000000" w:sz="4" w:space="0"/>
              <w:left w:val="non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有房屋总平面图、地下管网图、规划批准文件、房屋竣工和接管验收资料、市政设施管网图、住户档案、房屋安全普查记录、物业管理维修基金提取和使用记录、业主委员会对服务标准的考核意见等资料，分类成册，查阅方便。</w:t>
            </w:r>
            <w:r/>
          </w:p>
        </w:tc>
        <w:tc>
          <w:tcPr>
            <w:tcBorders>
              <w:top w:val="none" w:color="000000" w:sz="4" w:space="0"/>
              <w:left w:val="none" w:color="000000" w:sz="4" w:space="0"/>
              <w:bottom w:val="single" w:color="000000" w:sz="4" w:space="0"/>
              <w:right w:val="single" w:color="000000" w:sz="4" w:space="0"/>
            </w:tcBorders>
            <w:tcW w:w="1191"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single" w:color="000000" w:sz="4" w:space="0"/>
              <w:right w:val="single" w:color="000000" w:sz="4" w:space="0"/>
            </w:tcBorders>
            <w:tcW w:w="1215" w:type="dxa"/>
            <w:vAlign w:val="center"/>
            <w:vMerge w:val="continue"/>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（七）</w:t>
            </w:r>
            <w:r/>
          </w:p>
        </w:tc>
        <w:tc>
          <w:tcPr>
            <w:tcBorders>
              <w:top w:val="single" w:color="000000" w:sz="4" w:space="0"/>
              <w:left w:val="single" w:color="000000" w:sz="4" w:space="0"/>
              <w:bottom w:val="single" w:color="000000" w:sz="4" w:space="0"/>
              <w:right w:val="single" w:color="000000" w:sz="4" w:space="0"/>
            </w:tcBorders>
            <w:tcW w:w="1043" w:type="dxa"/>
            <w:vAlign w:val="center"/>
            <w:vMerge w:val="restart"/>
            <w:textDirection w:val="lrTb"/>
            <w:noWrap w:val="false"/>
          </w:tcPr>
          <w:p>
            <w:pPr>
              <w:jc w:val="center"/>
              <w:widowControl/>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 xml:space="preserve">房屋装饰装修管理（8分）</w:t>
            </w:r>
            <w:r/>
          </w:p>
          <w:p>
            <w:pPr>
              <w:jc w:val="center"/>
              <w:widowControl/>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39</w:t>
            </w:r>
            <w:r/>
          </w:p>
        </w:tc>
        <w:tc>
          <w:tcPr>
            <w:tcBorders>
              <w:top w:val="single" w:color="000000" w:sz="4" w:space="0"/>
              <w:left w:val="singl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装修管理制度完善，物业管理企业与业主(使用人)签订装饰装修管理服务协议，并已告知业主(使用人)装修管理规定及注意事项。</w:t>
            </w:r>
            <w:r/>
          </w:p>
        </w:tc>
        <w:tc>
          <w:tcPr>
            <w:tcBorders>
              <w:top w:val="single" w:color="000000" w:sz="4" w:space="0"/>
              <w:left w:val="single" w:color="000000" w:sz="4" w:space="0"/>
              <w:bottom w:val="single" w:color="000000" w:sz="4" w:space="0"/>
              <w:right w:val="single" w:color="000000" w:sz="4" w:space="0"/>
            </w:tcBorders>
            <w:tcW w:w="1191" w:type="dxa"/>
            <w:vAlign w:val="center"/>
            <w:vMerge w:val="restart"/>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（每发现一处不符合扣1分）</w:t>
            </w:r>
            <w:r/>
          </w:p>
        </w:tc>
        <w:tc>
          <w:tcPr>
            <w:tcBorders>
              <w:top w:val="single" w:color="000000" w:sz="4" w:space="0"/>
              <w:left w:val="single" w:color="000000" w:sz="4" w:space="0"/>
              <w:bottom w:val="single" w:color="000000" w:sz="4" w:space="0"/>
              <w:right w:val="single" w:color="000000" w:sz="4" w:space="0"/>
            </w:tcBorders>
            <w:tcW w:w="1215" w:type="dxa"/>
            <w:vAlign w:val="center"/>
            <w:vMerge w:val="restart"/>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40</w:t>
            </w:r>
            <w:r/>
          </w:p>
        </w:tc>
        <w:tc>
          <w:tcPr>
            <w:tcBorders>
              <w:top w:val="single" w:color="000000" w:sz="4" w:space="0"/>
              <w:left w:val="singl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业主或房屋使用人房屋装修手续齐全，物业管理人员每周检查1次施工现场，敦促装修人按规定装修并及时办理结构安全验收手续；房屋装饰装修符合规定，无危及房屋结构安全和损害他人利益的装修现象。</w:t>
            </w:r>
            <w:r/>
          </w:p>
        </w:tc>
        <w:tc>
          <w:tcPr>
            <w:tcBorders>
              <w:top w:val="single" w:color="000000" w:sz="4" w:space="0"/>
              <w:left w:val="single" w:color="000000" w:sz="4" w:space="0"/>
              <w:bottom w:val="single" w:color="000000" w:sz="4" w:space="0"/>
              <w:right w:val="single" w:color="000000" w:sz="4" w:space="0"/>
            </w:tcBorders>
            <w:tcW w:w="1191"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41</w:t>
            </w:r>
            <w:r/>
          </w:p>
        </w:tc>
        <w:tc>
          <w:tcPr>
            <w:tcBorders>
              <w:top w:val="single" w:color="000000" w:sz="4" w:space="0"/>
              <w:left w:val="singl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管理期间阳台封闭、空调、防盗窗(网)、晾晒架、遮阳蓬安装基本统一、无重大安全隐患。房屋外观基本完好，无妨碍市容和观瞻现象，外墙无较大破损。</w:t>
            </w:r>
            <w:r/>
          </w:p>
        </w:tc>
        <w:tc>
          <w:tcPr>
            <w:tcBorders>
              <w:top w:val="single" w:color="000000" w:sz="4" w:space="0"/>
              <w:left w:val="single" w:color="000000" w:sz="4" w:space="0"/>
              <w:bottom w:val="single" w:color="000000" w:sz="4" w:space="0"/>
              <w:right w:val="single" w:color="000000" w:sz="4" w:space="0"/>
            </w:tcBorders>
            <w:tcW w:w="1191"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42</w:t>
            </w:r>
            <w:r/>
          </w:p>
        </w:tc>
        <w:tc>
          <w:tcPr>
            <w:tcBorders>
              <w:top w:val="single" w:color="000000" w:sz="4" w:space="0"/>
              <w:left w:val="singl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能及时制止违章装修、乱搭乱建、擅自改变房屋用途现象，并积极向有关部门举报，配合有权部门处理。</w:t>
            </w:r>
            <w:r/>
          </w:p>
        </w:tc>
        <w:tc>
          <w:tcPr>
            <w:tcBorders>
              <w:top w:val="single" w:color="000000" w:sz="4" w:space="0"/>
              <w:left w:val="single" w:color="000000" w:sz="4" w:space="0"/>
              <w:bottom w:val="single" w:color="000000" w:sz="4" w:space="0"/>
              <w:right w:val="single" w:color="000000" w:sz="4" w:space="0"/>
            </w:tcBorders>
            <w:tcW w:w="1191" w:type="dxa"/>
            <w:vAlign w:val="center"/>
            <w:vMerge w:val="continue"/>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（八）</w:t>
            </w:r>
            <w:r/>
          </w:p>
        </w:tc>
        <w:tc>
          <w:tcPr>
            <w:tcBorders>
              <w:top w:val="single" w:color="000000" w:sz="4" w:space="0"/>
              <w:left w:val="single" w:color="000000" w:sz="4" w:space="0"/>
              <w:bottom w:val="single" w:color="000000" w:sz="4" w:space="0"/>
              <w:right w:val="single" w:color="000000" w:sz="4" w:space="0"/>
            </w:tcBorders>
            <w:tcW w:w="1043" w:type="dxa"/>
            <w:vAlign w:val="center"/>
            <w:vMerge w:val="restart"/>
            <w:textDirection w:val="lrTb"/>
            <w:noWrap w:val="false"/>
          </w:tcPr>
          <w:p>
            <w:pPr>
              <w:jc w:val="center"/>
              <w:widowControl/>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 xml:space="preserve">环 境秩 序（10分）</w:t>
            </w:r>
            <w:r/>
          </w:p>
          <w:p>
            <w:pPr>
              <w:jc w:val="center"/>
              <w:widowControl/>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43</w:t>
            </w:r>
            <w:r/>
          </w:p>
        </w:tc>
        <w:tc>
          <w:tcPr>
            <w:tcBorders>
              <w:top w:val="single" w:color="000000" w:sz="4" w:space="0"/>
              <w:left w:val="singl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小区主出入口设有小区平面示意图，房屋楼号、单元号标志明显，每季检查一次，损坏及时修换或喷涂。</w:t>
            </w:r>
            <w:r/>
          </w:p>
        </w:tc>
        <w:tc>
          <w:tcPr>
            <w:tcBorders>
              <w:top w:val="single" w:color="000000" w:sz="4" w:space="0"/>
              <w:left w:val="single" w:color="000000" w:sz="4" w:space="0"/>
              <w:bottom w:val="single" w:color="000000" w:sz="4" w:space="0"/>
              <w:right w:val="single" w:color="000000" w:sz="4" w:space="0"/>
            </w:tcBorders>
            <w:tcW w:w="1191" w:type="dxa"/>
            <w:vAlign w:val="center"/>
            <w:vMerge w:val="restart"/>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（每发现一处不符合扣1分）</w:t>
            </w:r>
            <w:r/>
          </w:p>
        </w:tc>
        <w:tc>
          <w:tcPr>
            <w:tcBorders>
              <w:top w:val="single" w:color="000000" w:sz="4" w:space="0"/>
              <w:left w:val="single" w:color="000000" w:sz="4" w:space="0"/>
              <w:bottom w:val="single" w:color="000000" w:sz="4" w:space="0"/>
              <w:right w:val="single" w:color="000000" w:sz="4" w:space="0"/>
            </w:tcBorders>
            <w:tcW w:w="1215" w:type="dxa"/>
            <w:vAlign w:val="center"/>
            <w:vMerge w:val="restart"/>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44</w:t>
            </w:r>
            <w:r/>
          </w:p>
        </w:tc>
        <w:tc>
          <w:tcPr>
            <w:tcBorders>
              <w:top w:val="single" w:color="000000" w:sz="4" w:space="0"/>
              <w:left w:val="singl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禁止拾(收)荒者、小商贩、社会盲流、闲杂车辆等进入小区，影响居民生活。</w:t>
            </w:r>
            <w:r/>
          </w:p>
        </w:tc>
        <w:tc>
          <w:tcPr>
            <w:tcBorders>
              <w:top w:val="single" w:color="000000" w:sz="4" w:space="0"/>
              <w:left w:val="single" w:color="000000" w:sz="4" w:space="0"/>
              <w:bottom w:val="single" w:color="000000" w:sz="4" w:space="0"/>
              <w:right w:val="single" w:color="000000" w:sz="4" w:space="0"/>
            </w:tcBorders>
            <w:tcW w:w="1191"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45</w:t>
            </w:r>
            <w:r/>
          </w:p>
        </w:tc>
        <w:tc>
          <w:tcPr>
            <w:tcBorders>
              <w:top w:val="single" w:color="000000" w:sz="4" w:space="0"/>
              <w:left w:val="singl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无违反规定饲养家禽、家畜现象，宠物及信鸽饲养不得影响他人正常生活，无乱堆乱放建筑材料和垃圾现象，无未经批准乱张贴现象。</w:t>
            </w:r>
            <w:r/>
          </w:p>
        </w:tc>
        <w:tc>
          <w:tcPr>
            <w:tcBorders>
              <w:top w:val="single" w:color="000000" w:sz="4" w:space="0"/>
              <w:left w:val="single" w:color="000000" w:sz="4" w:space="0"/>
              <w:bottom w:val="single" w:color="000000" w:sz="4" w:space="0"/>
              <w:right w:val="single" w:color="000000" w:sz="4" w:space="0"/>
            </w:tcBorders>
            <w:tcW w:w="1191"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46</w:t>
            </w:r>
            <w:r/>
          </w:p>
        </w:tc>
        <w:tc>
          <w:tcPr>
            <w:tcBorders>
              <w:top w:val="single" w:color="000000" w:sz="4" w:space="0"/>
              <w:left w:val="singl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小区商业网点管理有序，无出店、占道经营现象。</w:t>
            </w:r>
            <w:r/>
          </w:p>
        </w:tc>
        <w:tc>
          <w:tcPr>
            <w:tcBorders>
              <w:top w:val="single" w:color="000000" w:sz="4" w:space="0"/>
              <w:left w:val="single" w:color="000000" w:sz="4" w:space="0"/>
              <w:bottom w:val="single" w:color="000000" w:sz="4" w:space="0"/>
              <w:right w:val="single" w:color="000000" w:sz="4" w:space="0"/>
            </w:tcBorders>
            <w:tcW w:w="1191"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47</w:t>
            </w:r>
            <w:r/>
          </w:p>
        </w:tc>
        <w:tc>
          <w:tcPr>
            <w:tcBorders>
              <w:top w:val="single" w:color="000000" w:sz="4" w:space="0"/>
              <w:left w:val="singl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重大节假日喷泉、小区背景音乐能及时开放，噪音扰民现象能及时得到制止。</w:t>
            </w:r>
            <w:r/>
          </w:p>
        </w:tc>
        <w:tc>
          <w:tcPr>
            <w:tcBorders>
              <w:top w:val="single" w:color="000000" w:sz="4" w:space="0"/>
              <w:left w:val="single" w:color="000000" w:sz="4" w:space="0"/>
              <w:bottom w:val="single" w:color="000000" w:sz="4" w:space="0"/>
              <w:right w:val="single" w:color="000000" w:sz="4" w:space="0"/>
            </w:tcBorders>
            <w:tcW w:w="1191" w:type="dxa"/>
            <w:vAlign w:val="center"/>
            <w:vMerge w:val="continue"/>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（九）</w:t>
            </w:r>
            <w:r/>
          </w:p>
        </w:tc>
        <w:tc>
          <w:tcPr>
            <w:tcBorders>
              <w:top w:val="single" w:color="000000" w:sz="4" w:space="0"/>
              <w:left w:val="single" w:color="000000" w:sz="4" w:space="0"/>
              <w:bottom w:val="single" w:color="000000" w:sz="4" w:space="0"/>
              <w:right w:val="single" w:color="000000" w:sz="4" w:space="0"/>
            </w:tcBorders>
            <w:tcW w:w="1043" w:type="dxa"/>
            <w:vAlign w:val="center"/>
            <w:vMerge w:val="restart"/>
            <w:textDirection w:val="lrTb"/>
            <w:noWrap w:val="false"/>
          </w:tcPr>
          <w:p>
            <w:pPr>
              <w:jc w:val="center"/>
              <w:widowControl/>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 xml:space="preserve">车 辆管 理（10分）</w:t>
            </w:r>
            <w:r/>
          </w:p>
          <w:p>
            <w:pPr>
              <w:jc w:val="center"/>
              <w:widowControl/>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48</w:t>
            </w:r>
            <w:r/>
          </w:p>
        </w:tc>
        <w:tc>
          <w:tcPr>
            <w:tcBorders>
              <w:top w:val="single" w:color="000000" w:sz="4" w:space="0"/>
              <w:left w:val="singl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有较完善的车辆管理制度，制度落实。</w:t>
            </w:r>
            <w:r/>
          </w:p>
        </w:tc>
        <w:tc>
          <w:tcPr>
            <w:tcBorders>
              <w:top w:val="single" w:color="000000" w:sz="4" w:space="0"/>
              <w:left w:val="single" w:color="000000" w:sz="4" w:space="0"/>
              <w:bottom w:val="single" w:color="000000" w:sz="4" w:space="0"/>
              <w:right w:val="single" w:color="000000" w:sz="4" w:space="0"/>
            </w:tcBorders>
            <w:tcW w:w="1191" w:type="dxa"/>
            <w:vAlign w:val="center"/>
            <w:vMerge w:val="restart"/>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（每发现一处不符合扣1分）</w:t>
            </w:r>
            <w:r/>
          </w:p>
        </w:tc>
        <w:tc>
          <w:tcPr>
            <w:tcBorders>
              <w:top w:val="single" w:color="000000" w:sz="4" w:space="0"/>
              <w:left w:val="single" w:color="000000" w:sz="4" w:space="0"/>
              <w:bottom w:val="single" w:color="000000" w:sz="4" w:space="0"/>
              <w:right w:val="single" w:color="000000" w:sz="4" w:space="0"/>
            </w:tcBorders>
            <w:tcW w:w="1215" w:type="dxa"/>
            <w:vAlign w:val="center"/>
            <w:vMerge w:val="restart"/>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49</w:t>
            </w:r>
            <w:r/>
          </w:p>
        </w:tc>
        <w:tc>
          <w:tcPr>
            <w:tcBorders>
              <w:top w:val="single" w:color="000000" w:sz="4" w:space="0"/>
              <w:left w:val="singl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外来机动车辆进出有登记，较大载重车辆严禁驶入小区，停车场管理有序。</w:t>
            </w:r>
            <w:r/>
          </w:p>
        </w:tc>
        <w:tc>
          <w:tcPr>
            <w:tcBorders>
              <w:top w:val="single" w:color="000000" w:sz="4" w:space="0"/>
              <w:left w:val="single" w:color="000000" w:sz="4" w:space="0"/>
              <w:bottom w:val="single" w:color="000000" w:sz="4" w:space="0"/>
              <w:right w:val="single" w:color="000000" w:sz="4" w:space="0"/>
            </w:tcBorders>
            <w:tcW w:w="1191"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50</w:t>
            </w:r>
            <w:r/>
          </w:p>
        </w:tc>
        <w:tc>
          <w:tcPr>
            <w:tcBorders>
              <w:top w:val="single" w:color="000000" w:sz="4" w:space="0"/>
              <w:left w:val="singl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小区内机动车辆停泊有序，无违章行驶及停泊；收费停车场场地整洁，有专人管护，严格按标准收费。</w:t>
            </w:r>
            <w:r/>
          </w:p>
        </w:tc>
        <w:tc>
          <w:tcPr>
            <w:tcBorders>
              <w:top w:val="single" w:color="000000" w:sz="4" w:space="0"/>
              <w:left w:val="single" w:color="000000" w:sz="4" w:space="0"/>
              <w:bottom w:val="single" w:color="000000" w:sz="4" w:space="0"/>
              <w:right w:val="single" w:color="000000" w:sz="4" w:space="0"/>
            </w:tcBorders>
            <w:tcW w:w="1191"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51</w:t>
            </w:r>
            <w:r/>
          </w:p>
        </w:tc>
        <w:tc>
          <w:tcPr>
            <w:tcBorders>
              <w:top w:val="single" w:color="000000" w:sz="4" w:space="0"/>
              <w:left w:val="singl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非机动车辆停放整齐有序，无占压绿地现象。</w:t>
            </w:r>
            <w:r/>
          </w:p>
        </w:tc>
        <w:tc>
          <w:tcPr>
            <w:tcBorders>
              <w:top w:val="single" w:color="000000" w:sz="4" w:space="0"/>
              <w:left w:val="single" w:color="000000" w:sz="4" w:space="0"/>
              <w:bottom w:val="single" w:color="000000" w:sz="4" w:space="0"/>
              <w:right w:val="single" w:color="000000" w:sz="4" w:space="0"/>
            </w:tcBorders>
            <w:tcW w:w="1191"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52</w:t>
            </w:r>
            <w:r/>
          </w:p>
        </w:tc>
        <w:tc>
          <w:tcPr>
            <w:tcBorders>
              <w:top w:val="single" w:color="000000" w:sz="4" w:space="0"/>
              <w:left w:val="singl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车位有偿使用和车辆保管职责分明，无重大车辆管理纠纷。</w:t>
            </w:r>
            <w:r/>
          </w:p>
        </w:tc>
        <w:tc>
          <w:tcPr>
            <w:tcBorders>
              <w:top w:val="single" w:color="000000" w:sz="4" w:space="0"/>
              <w:left w:val="single" w:color="000000" w:sz="4" w:space="0"/>
              <w:bottom w:val="single" w:color="000000" w:sz="4" w:space="0"/>
              <w:right w:val="single" w:color="000000" w:sz="4" w:space="0"/>
            </w:tcBorders>
            <w:tcW w:w="1191" w:type="dxa"/>
            <w:vAlign w:val="center"/>
            <w:vMerge w:val="continue"/>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（十）</w:t>
            </w:r>
            <w:r/>
          </w:p>
        </w:tc>
        <w:tc>
          <w:tcPr>
            <w:tcBorders>
              <w:top w:val="single" w:color="000000" w:sz="4" w:space="0"/>
              <w:left w:val="single" w:color="000000" w:sz="4" w:space="0"/>
              <w:bottom w:val="single" w:color="000000" w:sz="4" w:space="0"/>
              <w:right w:val="single" w:color="000000" w:sz="4" w:space="0"/>
            </w:tcBorders>
            <w:tcW w:w="1043" w:type="dxa"/>
            <w:vAlign w:val="center"/>
            <w:vMerge w:val="restart"/>
            <w:textDirection w:val="lrTb"/>
            <w:noWrap w:val="false"/>
          </w:tcPr>
          <w:p>
            <w:pPr>
              <w:jc w:val="center"/>
              <w:widowControl/>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 xml:space="preserve">社区文化活动（2分）</w:t>
            </w:r>
            <w:r/>
          </w:p>
          <w:p>
            <w:pPr>
              <w:jc w:val="center"/>
              <w:widowControl/>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53</w:t>
            </w:r>
            <w:r/>
          </w:p>
        </w:tc>
        <w:tc>
          <w:tcPr>
            <w:tcBorders>
              <w:top w:val="single" w:color="000000" w:sz="4" w:space="0"/>
              <w:left w:val="singl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小区订有居民精神文明公约、业主公约，精神文明建设服务制度健全，邻里团结，文明居住，有关心孤寡老人、残疾人的具体措施。</w:t>
            </w:r>
            <w:r/>
          </w:p>
        </w:tc>
        <w:tc>
          <w:tcPr>
            <w:tcBorders>
              <w:top w:val="single" w:color="000000" w:sz="4" w:space="0"/>
              <w:left w:val="single" w:color="000000" w:sz="4" w:space="0"/>
              <w:bottom w:val="single" w:color="000000" w:sz="4" w:space="0"/>
              <w:right w:val="single" w:color="000000" w:sz="4" w:space="0"/>
            </w:tcBorders>
            <w:tcW w:w="1191" w:type="dxa"/>
            <w:vAlign w:val="center"/>
            <w:vMerge w:val="restart"/>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（每发现一处不符合扣1分）</w:t>
            </w:r>
            <w:r/>
          </w:p>
        </w:tc>
        <w:tc>
          <w:tcPr>
            <w:tcBorders>
              <w:top w:val="single" w:color="000000" w:sz="4" w:space="0"/>
              <w:left w:val="single" w:color="000000" w:sz="4" w:space="0"/>
              <w:bottom w:val="single" w:color="000000" w:sz="4" w:space="0"/>
              <w:right w:val="single" w:color="000000" w:sz="4" w:space="0"/>
            </w:tcBorders>
            <w:tcW w:w="1215" w:type="dxa"/>
            <w:vAlign w:val="center"/>
            <w:vMerge w:val="restart"/>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54</w:t>
            </w:r>
            <w:r/>
          </w:p>
        </w:tc>
        <w:tc>
          <w:tcPr>
            <w:tcBorders>
              <w:top w:val="single" w:color="000000" w:sz="4" w:space="0"/>
              <w:left w:val="singl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有一定的文化活动场所和文化活动用房，每年小区居民联谊活动不少于2次，有活动记录。</w:t>
            </w:r>
            <w:r/>
          </w:p>
        </w:tc>
        <w:tc>
          <w:tcPr>
            <w:tcBorders>
              <w:top w:val="single" w:color="000000" w:sz="4" w:space="0"/>
              <w:left w:val="single" w:color="000000" w:sz="4" w:space="0"/>
              <w:bottom w:val="single" w:color="000000" w:sz="4" w:space="0"/>
              <w:right w:val="single" w:color="000000" w:sz="4" w:space="0"/>
            </w:tcBorders>
            <w:tcW w:w="1191"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55</w:t>
            </w:r>
            <w:r/>
          </w:p>
        </w:tc>
        <w:tc>
          <w:tcPr>
            <w:tcBorders>
              <w:top w:val="single" w:color="000000" w:sz="4" w:space="0"/>
              <w:left w:val="singl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运动场地、文化场馆定时向居民开放。</w:t>
            </w:r>
            <w:r/>
          </w:p>
        </w:tc>
        <w:tc>
          <w:tcPr>
            <w:tcBorders>
              <w:top w:val="single" w:color="000000" w:sz="4" w:space="0"/>
              <w:left w:val="single" w:color="000000" w:sz="4" w:space="0"/>
              <w:bottom w:val="single" w:color="000000" w:sz="4" w:space="0"/>
              <w:right w:val="single" w:color="000000" w:sz="4" w:space="0"/>
            </w:tcBorders>
            <w:tcW w:w="1191" w:type="dxa"/>
            <w:vAlign w:val="center"/>
            <w:vMerge w:val="continue"/>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1043" w:type="dxa"/>
            <w:vAlign w:val="center"/>
            <w:vMerge w:val="restart"/>
            <w:textDirection w:val="lrTb"/>
            <w:noWrap w:val="false"/>
          </w:tcPr>
          <w:p>
            <w:pPr>
              <w:jc w:val="center"/>
              <w:widowControl/>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 xml:space="preserve">综合管理与服务（5分）</w:t>
            </w:r>
            <w:r/>
          </w:p>
          <w:p>
            <w:pPr>
              <w:jc w:val="center"/>
              <w:widowControl/>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r>
            <w:r/>
          </w:p>
        </w:tc>
        <w:tc>
          <w:tcPr>
            <w:tcBorders>
              <w:top w:val="single" w:color="000000" w:sz="4" w:space="0"/>
              <w:left w:val="non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56</w:t>
            </w:r>
            <w:r/>
          </w:p>
        </w:tc>
        <w:tc>
          <w:tcPr>
            <w:tcBorders>
              <w:top w:val="single" w:color="000000" w:sz="4" w:space="0"/>
              <w:left w:val="non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服务与被服务双方签订规范的物业服务合同，小区管理单位与物业委托人或业主委员会责、权、利关系明确；小区各项管理制度完善，有各项严格的内部管理体制制度和工作岗位考核标准。</w:t>
            </w:r>
            <w:r/>
          </w:p>
        </w:tc>
        <w:tc>
          <w:tcPr>
            <w:tcBorders>
              <w:top w:val="single" w:color="000000" w:sz="4" w:space="0"/>
              <w:left w:val="none" w:color="000000" w:sz="4" w:space="0"/>
              <w:bottom w:val="none" w:color="000000" w:sz="4" w:space="0"/>
              <w:right w:val="single" w:color="000000" w:sz="4" w:space="0"/>
            </w:tcBorders>
            <w:tcW w:w="1191" w:type="dxa"/>
            <w:vAlign w:val="center"/>
            <w:vMerge w:val="restart"/>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（每发现一处不符合扣1分）</w:t>
            </w:r>
            <w:r/>
          </w:p>
        </w:tc>
        <w:tc>
          <w:tcPr>
            <w:tcBorders>
              <w:top w:val="single" w:color="000000" w:sz="4" w:space="0"/>
              <w:left w:val="none" w:color="000000" w:sz="4" w:space="0"/>
              <w:bottom w:val="none" w:color="000000" w:sz="4" w:space="0"/>
              <w:right w:val="single" w:color="000000" w:sz="4" w:space="0"/>
            </w:tcBorders>
            <w:tcW w:w="1215" w:type="dxa"/>
            <w:vAlign w:val="center"/>
            <w:vMerge w:val="restart"/>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r>
      <w:tr>
        <w:trPr>
          <w:trHeight w:val="90"/>
        </w:trPr>
        <w:tc>
          <w:tcPr>
            <w:tcBorders>
              <w:top w:val="non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57</w:t>
            </w:r>
            <w:r/>
          </w:p>
        </w:tc>
        <w:tc>
          <w:tcPr>
            <w:tcBorders>
              <w:top w:val="none" w:color="000000" w:sz="4" w:space="0"/>
              <w:left w:val="non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承接项目时，对共用部位、共用设施设备进行认真查验，验收手续齐全。</w:t>
            </w:r>
            <w:r/>
          </w:p>
        </w:tc>
        <w:tc>
          <w:tcPr>
            <w:tcBorders>
              <w:top w:val="none" w:color="000000" w:sz="4" w:space="0"/>
              <w:left w:val="none" w:color="000000" w:sz="4" w:space="0"/>
              <w:bottom w:val="none" w:color="000000" w:sz="4" w:space="0"/>
              <w:right w:val="single" w:color="000000" w:sz="4" w:space="0"/>
            </w:tcBorders>
            <w:tcW w:w="1191"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non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58</w:t>
            </w:r>
            <w:r/>
          </w:p>
        </w:tc>
        <w:tc>
          <w:tcPr>
            <w:tcBorders>
              <w:top w:val="none" w:color="000000" w:sz="4" w:space="0"/>
              <w:left w:val="non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管理单位有固定的办公场所，管理人员和专业技术人员持证上岗，员工统一着装，佩戴明显标志，工作规范作风严谨和蔼。能开展多项便民服务措施。</w:t>
            </w:r>
            <w:r/>
          </w:p>
        </w:tc>
        <w:tc>
          <w:tcPr>
            <w:tcBorders>
              <w:top w:val="none" w:color="000000" w:sz="4" w:space="0"/>
              <w:left w:val="none" w:color="000000" w:sz="4" w:space="0"/>
              <w:bottom w:val="none" w:color="000000" w:sz="4" w:space="0"/>
              <w:right w:val="single" w:color="000000" w:sz="4" w:space="0"/>
            </w:tcBorders>
            <w:tcW w:w="1191"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non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59</w:t>
            </w:r>
            <w:r/>
          </w:p>
        </w:tc>
        <w:tc>
          <w:tcPr>
            <w:tcBorders>
              <w:top w:val="none" w:color="000000" w:sz="4" w:space="0"/>
              <w:left w:val="non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物业管理项目负责人员名单、联系电话、联系方式、办公地址，应在小区明显位置给予公示。</w:t>
            </w:r>
            <w:r/>
          </w:p>
        </w:tc>
        <w:tc>
          <w:tcPr>
            <w:tcBorders>
              <w:top w:val="none" w:color="000000" w:sz="4" w:space="0"/>
              <w:left w:val="none" w:color="000000" w:sz="4" w:space="0"/>
              <w:bottom w:val="none" w:color="000000" w:sz="4" w:space="0"/>
              <w:right w:val="single" w:color="000000" w:sz="4" w:space="0"/>
            </w:tcBorders>
            <w:tcW w:w="1191"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non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60</w:t>
            </w:r>
            <w:r/>
          </w:p>
        </w:tc>
        <w:tc>
          <w:tcPr>
            <w:tcBorders>
              <w:top w:val="none" w:color="000000" w:sz="4" w:space="0"/>
              <w:left w:val="non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建立财务公开、监督制度，每半年公开一次物业管理公共服务费收支情况。</w:t>
            </w:r>
            <w:r/>
          </w:p>
        </w:tc>
        <w:tc>
          <w:tcPr>
            <w:tcBorders>
              <w:top w:val="none" w:color="000000" w:sz="4" w:space="0"/>
              <w:left w:val="none" w:color="000000" w:sz="4" w:space="0"/>
              <w:bottom w:val="none" w:color="000000" w:sz="4" w:space="0"/>
              <w:right w:val="single" w:color="000000" w:sz="4" w:space="0"/>
            </w:tcBorders>
            <w:tcW w:w="1191"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non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61</w:t>
            </w:r>
            <w:r/>
          </w:p>
        </w:tc>
        <w:tc>
          <w:tcPr>
            <w:tcBorders>
              <w:top w:val="none" w:color="000000" w:sz="4" w:space="0"/>
              <w:left w:val="non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小区管理单位制定出争创省或市级优秀管理项目规划和具体的实施方案。</w:t>
            </w:r>
            <w:r/>
          </w:p>
        </w:tc>
        <w:tc>
          <w:tcPr>
            <w:tcBorders>
              <w:top w:val="none" w:color="000000" w:sz="4" w:space="0"/>
              <w:left w:val="none" w:color="000000" w:sz="4" w:space="0"/>
              <w:bottom w:val="none" w:color="000000" w:sz="4" w:space="0"/>
              <w:right w:val="single" w:color="000000" w:sz="4" w:space="0"/>
            </w:tcBorders>
            <w:tcW w:w="1191"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non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62</w:t>
            </w:r>
            <w:r/>
          </w:p>
        </w:tc>
        <w:tc>
          <w:tcPr>
            <w:tcBorders>
              <w:top w:val="none" w:color="000000" w:sz="4" w:space="0"/>
              <w:left w:val="non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每年至少1次征询业主对物业服务的意见和建议，征询面不低于50％，对征询的意见和建议进行分析并及时整改，并在小区进行公布。</w:t>
            </w:r>
            <w:r/>
          </w:p>
        </w:tc>
        <w:tc>
          <w:tcPr>
            <w:tcBorders>
              <w:top w:val="none" w:color="000000" w:sz="4" w:space="0"/>
              <w:left w:val="none" w:color="000000" w:sz="4" w:space="0"/>
              <w:bottom w:val="single" w:color="000000" w:sz="4" w:space="0"/>
              <w:right w:val="single" w:color="000000" w:sz="4" w:space="0"/>
            </w:tcBorders>
            <w:tcW w:w="1191" w:type="dxa"/>
            <w:vAlign w:val="center"/>
            <w:vMerge w:val="continue"/>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single" w:color="000000" w:sz="4" w:space="0"/>
              <w:right w:val="single" w:color="000000" w:sz="4" w:space="0"/>
            </w:tcBorders>
            <w:tcW w:w="1215" w:type="dxa"/>
            <w:vAlign w:val="center"/>
            <w:vMerge w:val="continue"/>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合计</w:t>
            </w:r>
            <w:r/>
          </w:p>
        </w:tc>
        <w:tc>
          <w:tcPr>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100分</w:t>
            </w:r>
            <w:r/>
          </w:p>
        </w:tc>
        <w:tc>
          <w:tcPr>
            <w:tcBorders>
              <w:top w:val="none" w:color="000000" w:sz="4" w:space="0"/>
              <w:left w:val="none" w:color="000000" w:sz="4" w:space="0"/>
              <w:bottom w:val="single" w:color="000000" w:sz="4" w:space="0"/>
              <w:right w:val="single" w:color="000000" w:sz="4" w:space="0"/>
            </w:tcBorders>
            <w:tcW w:w="664"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c>
          <w:tcPr>
            <w:tcBorders>
              <w:top w:val="none" w:color="000000" w:sz="4" w:space="0"/>
              <w:left w:val="none" w:color="000000" w:sz="4" w:space="0"/>
              <w:bottom w:val="single" w:color="000000" w:sz="4" w:space="0"/>
              <w:right w:val="single" w:color="000000" w:sz="4" w:space="0"/>
            </w:tcBorders>
            <w:tcW w:w="4967"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c>
          <w:tcPr>
            <w:tcBorders>
              <w:top w:val="none" w:color="000000" w:sz="4" w:space="0"/>
              <w:left w:val="none" w:color="000000" w:sz="4" w:space="0"/>
              <w:bottom w:val="single" w:color="000000" w:sz="4" w:space="0"/>
              <w:right w:val="single" w:color="000000" w:sz="4" w:space="0"/>
            </w:tcBorders>
            <w:tcW w:w="1191"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none" w:color="000000" w:sz="4" w:space="0"/>
              <w:left w:val="none" w:color="000000" w:sz="4" w:space="0"/>
              <w:bottom w:val="single" w:color="000000" w:sz="4" w:space="0"/>
              <w:right w:val="single" w:color="000000" w:sz="4" w:space="0"/>
            </w:tcBorders>
            <w:tcW w:w="121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r>
    </w:tbl>
    <w:p>
      <w:pPr>
        <w:jc w:val="center"/>
        <w:keepLines w:val="0"/>
        <w:keepNext w:val="0"/>
        <w:widowControl/>
        <w:rPr>
          <w:rFonts w:hint="eastAsia" w:ascii="宋体" w:hAnsi="宋体" w:eastAsia="宋体" w:cs="宋体"/>
          <w:i w:val="0"/>
          <w:color w:val="auto"/>
          <w:sz w:val="28"/>
          <w:szCs w:val="28"/>
          <w:highlight w:val="none"/>
          <w:u w:val="none"/>
          <w:lang w:val="en-US" w:eastAsia="zh-CN"/>
        </w:rPr>
        <w:suppressLineNumbers w:val="0"/>
      </w:pPr>
      <w:r>
        <w:rPr>
          <w:rFonts w:hint="eastAsia" w:ascii="宋体" w:hAnsi="宋体" w:eastAsia="宋体" w:cs="宋体"/>
          <w:i w:val="0"/>
          <w:color w:val="auto"/>
          <w:sz w:val="28"/>
          <w:szCs w:val="28"/>
          <w:highlight w:val="none"/>
          <w:u w:val="none"/>
          <w:lang w:val="en-US" w:eastAsia="zh-CN"/>
        </w:rPr>
        <w:br w:type="page" w:clear="all"/>
      </w:r>
      <w:r/>
    </w:p>
    <w:tbl>
      <w:tblPr>
        <w:tblStyle w:val="651"/>
        <w:tblW w:w="9053" w:type="dxa"/>
        <w:tblInd w:w="-108" w:type="dxa"/>
        <w:tblLayout w:type="fixed"/>
        <w:tblCellMar>
          <w:left w:w="15" w:type="dxa"/>
          <w:top w:w="15" w:type="dxa"/>
          <w:right w:w="15" w:type="dxa"/>
          <w:bottom w:w="0" w:type="dxa"/>
        </w:tblCellMar>
        <w:tblLook w:val="04A0" w:firstRow="1" w:lastRow="0" w:firstColumn="1" w:lastColumn="0" w:noHBand="0" w:noVBand="1"/>
      </w:tblPr>
      <w:tblGrid>
        <w:gridCol w:w="739"/>
        <w:gridCol w:w="954"/>
        <w:gridCol w:w="610"/>
        <w:gridCol w:w="4"/>
        <w:gridCol w:w="4548"/>
        <w:gridCol w:w="30"/>
        <w:gridCol w:w="1063"/>
        <w:gridCol w:w="17"/>
        <w:gridCol w:w="1080"/>
        <w:gridCol w:w="8"/>
      </w:tblGrid>
      <w:tr>
        <w:trPr>
          <w:gridAfter w:val="1"/>
          <w:trHeight w:val="375"/>
        </w:trPr>
        <w:tc>
          <w:tcPr>
            <w:gridSpan w:val="9"/>
            <w:tcBorders>
              <w:top w:val="none" w:color="000000" w:sz="4" w:space="0"/>
              <w:left w:val="none" w:color="000000" w:sz="4" w:space="0"/>
              <w:bottom w:val="none" w:color="000000" w:sz="4" w:space="0"/>
              <w:right w:val="none" w:color="000000" w:sz="4" w:space="0"/>
            </w:tcBorders>
            <w:tcMar>
              <w:left w:w="15" w:type="dxa"/>
              <w:top w:w="15" w:type="dxa"/>
              <w:right w:w="15" w:type="dxa"/>
            </w:tcMar>
            <w:tcW w:w="9045" w:type="dxa"/>
            <w:vAlign w:val="center"/>
            <w:textDirection w:val="lrTb"/>
            <w:noWrap w:val="false"/>
          </w:tcPr>
          <w:p>
            <w:pPr>
              <w:jc w:val="center"/>
              <w:keepLines w:val="0"/>
              <w:keepNext w:val="0"/>
              <w:widowControl/>
              <w:rPr>
                <w:rFonts w:hint="eastAsia" w:ascii="宋体" w:hAnsi="宋体" w:eastAsia="宋体" w:cs="宋体"/>
                <w:i w:val="0"/>
                <w:color w:val="auto"/>
                <w:sz w:val="28"/>
                <w:szCs w:val="28"/>
                <w:highlight w:val="none"/>
                <w:u w:val="none"/>
              </w:rPr>
              <w:suppressLineNumbers w:val="0"/>
            </w:pPr>
            <w:r>
              <w:rPr>
                <w:rFonts w:hint="eastAsia" w:ascii="宋体" w:hAnsi="宋体" w:eastAsia="宋体" w:cs="宋体"/>
                <w:bCs/>
                <w:color w:val="auto"/>
                <w:sz w:val="28"/>
                <w:szCs w:val="28"/>
                <w:highlight w:val="none"/>
                <w:lang w:val="en-US" w:eastAsia="zh-CN"/>
              </w:rPr>
              <w:t xml:space="preserve">盐南高新区老旧小区及拆迁安置小区</w:t>
            </w:r>
            <w:r>
              <w:rPr>
                <w:rFonts w:hint="eastAsia" w:ascii="宋体" w:hAnsi="宋体" w:eastAsia="宋体" w:cs="宋体"/>
                <w:bCs/>
                <w:color w:val="auto"/>
                <w:sz w:val="28"/>
                <w:szCs w:val="28"/>
                <w:highlight w:val="none"/>
              </w:rPr>
              <w:t xml:space="preserve">物业管理服务等级标准及评分细则（</w:t>
            </w:r>
            <w:r>
              <w:rPr>
                <w:rFonts w:hint="eastAsia" w:ascii="宋体" w:hAnsi="宋体" w:eastAsia="宋体" w:cs="宋体"/>
                <w:bCs/>
                <w:color w:val="auto"/>
                <w:sz w:val="28"/>
                <w:szCs w:val="28"/>
                <w:highlight w:val="none"/>
                <w:lang w:val="en-US" w:eastAsia="zh-CN"/>
              </w:rPr>
              <w:t xml:space="preserve">多层</w:t>
            </w:r>
            <w:r>
              <w:rPr>
                <w:rFonts w:hint="eastAsia" w:ascii="宋体" w:hAnsi="宋体" w:eastAsia="宋体" w:cs="宋体"/>
                <w:bCs/>
                <w:color w:val="auto"/>
                <w:sz w:val="28"/>
                <w:szCs w:val="28"/>
                <w:highlight w:val="none"/>
              </w:rPr>
              <w:t xml:space="preserve">）</w:t>
            </w:r>
            <w:r/>
          </w:p>
        </w:tc>
      </w:tr>
      <w:tr>
        <w:trPr>
          <w:gridAfter w:val="1"/>
          <w:trHeight w:val="315"/>
        </w:trPr>
        <w:tc>
          <w:tcPr>
            <w:gridSpan w:val="9"/>
            <w:tcBorders>
              <w:top w:val="none" w:color="000000" w:sz="4" w:space="0"/>
              <w:left w:val="none" w:color="000000" w:sz="4" w:space="0"/>
              <w:bottom w:val="none" w:color="000000" w:sz="4" w:space="0"/>
              <w:right w:val="none" w:color="000000" w:sz="4" w:space="0"/>
            </w:tcBorders>
            <w:tcMar>
              <w:left w:w="15" w:type="dxa"/>
              <w:top w:w="15" w:type="dxa"/>
              <w:right w:w="15" w:type="dxa"/>
            </w:tcMar>
            <w:tcW w:w="9045" w:type="dxa"/>
            <w:vAlign w:val="center"/>
            <w:textDirection w:val="lrTb"/>
            <w:noWrap w:val="false"/>
          </w:tcPr>
          <w:p>
            <w:pPr>
              <w:jc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sz w:val="24"/>
                <w:szCs w:val="24"/>
                <w:highlight w:val="none"/>
                <w:u w:val="none"/>
              </w:rPr>
            </w:r>
            <w:r/>
          </w:p>
        </w:tc>
      </w:tr>
      <w:tr>
        <w:trPr>
          <w:gridAfter w:val="1"/>
          <w:trHeight w:val="63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9" w:type="dxa"/>
            <w:vAlign w:val="center"/>
            <w:textDirection w:val="lrTb"/>
            <w:noWrap w:val="false"/>
          </w:tcPr>
          <w:p>
            <w:pPr>
              <w:jc w:val="center"/>
              <w:keepLines w:val="0"/>
              <w:keepNext w:val="0"/>
              <w:widowControl/>
              <w:rPr>
                <w:rFonts w:hint="eastAsia" w:ascii="宋体" w:hAnsi="宋体" w:eastAsia="宋体" w:cs="宋体"/>
                <w:b/>
                <w:i w:val="0"/>
                <w:color w:val="auto"/>
                <w:sz w:val="20"/>
                <w:szCs w:val="20"/>
                <w:highlight w:val="none"/>
                <w:u w:val="none"/>
              </w:rPr>
              <w:suppressLineNumbers w:val="0"/>
            </w:pPr>
            <w:r>
              <w:rPr>
                <w:rFonts w:hint="eastAsia" w:ascii="宋体" w:hAnsi="宋体" w:eastAsia="宋体" w:cs="宋体"/>
                <w:b/>
                <w:i w:val="0"/>
                <w:color w:val="auto"/>
                <w:sz w:val="20"/>
                <w:szCs w:val="20"/>
                <w:highlight w:val="none"/>
                <w:u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textDirection w:val="lrTb"/>
            <w:noWrap w:val="false"/>
          </w:tcPr>
          <w:p>
            <w:pPr>
              <w:jc w:val="center"/>
              <w:keepLines w:val="0"/>
              <w:keepNext w:val="0"/>
              <w:widowControl/>
              <w:rPr>
                <w:rFonts w:hint="eastAsia" w:ascii="宋体" w:hAnsi="宋体" w:eastAsia="宋体" w:cs="宋体"/>
                <w:b/>
                <w:i w:val="0"/>
                <w:color w:val="auto"/>
                <w:sz w:val="20"/>
                <w:szCs w:val="20"/>
                <w:highlight w:val="none"/>
                <w:u w:val="none"/>
              </w:rPr>
              <w:suppressLineNumbers w:val="0"/>
            </w:pPr>
            <w:r>
              <w:rPr>
                <w:rFonts w:hint="eastAsia" w:ascii="宋体" w:hAnsi="宋体" w:eastAsia="宋体" w:cs="宋体"/>
                <w:b/>
                <w:i w:val="0"/>
                <w:color w:val="auto"/>
                <w:sz w:val="20"/>
                <w:szCs w:val="20"/>
                <w:highlight w:val="none"/>
                <w:u w:val="none"/>
                <w:lang w:val="en-US" w:eastAsia="zh-CN"/>
              </w:rPr>
              <w:t xml:space="preserve">项 目</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92" w:type="dxa"/>
            <w:vAlign w:val="center"/>
            <w:textDirection w:val="lrTb"/>
            <w:noWrap w:val="false"/>
          </w:tcPr>
          <w:p>
            <w:pPr>
              <w:jc w:val="center"/>
              <w:keepLines w:val="0"/>
              <w:keepNext w:val="0"/>
              <w:widowControl/>
              <w:rPr>
                <w:rFonts w:hint="eastAsia" w:ascii="宋体" w:hAnsi="宋体" w:eastAsia="宋体" w:cs="宋体"/>
                <w:b/>
                <w:i w:val="0"/>
                <w:color w:val="auto"/>
                <w:sz w:val="20"/>
                <w:szCs w:val="20"/>
                <w:highlight w:val="none"/>
                <w:u w:val="none"/>
              </w:rPr>
              <w:suppressLineNumbers w:val="0"/>
            </w:pPr>
            <w:r>
              <w:rPr>
                <w:rFonts w:hint="eastAsia" w:ascii="宋体" w:hAnsi="宋体" w:eastAsia="宋体" w:cs="宋体"/>
                <w:b/>
                <w:i w:val="0"/>
                <w:color w:val="auto"/>
                <w:sz w:val="20"/>
                <w:szCs w:val="20"/>
                <w:highlight w:val="none"/>
                <w:u w:val="none"/>
                <w:lang w:val="en-US" w:eastAsia="zh-CN"/>
              </w:rPr>
              <w:t xml:space="preserve">服务标准和要求</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jc w:val="center"/>
              <w:keepLines w:val="0"/>
              <w:keepNext w:val="0"/>
              <w:widowControl/>
              <w:rPr>
                <w:rFonts w:hint="eastAsia" w:ascii="宋体" w:hAnsi="宋体" w:eastAsia="宋体" w:cs="宋体"/>
                <w:b/>
                <w:i w:val="0"/>
                <w:color w:val="auto"/>
                <w:sz w:val="20"/>
                <w:szCs w:val="20"/>
                <w:highlight w:val="none"/>
                <w:u w:val="none"/>
              </w:rPr>
              <w:suppressLineNumbers w:val="0"/>
            </w:pPr>
            <w:r>
              <w:rPr>
                <w:rFonts w:hint="eastAsia" w:ascii="宋体" w:hAnsi="宋体" w:eastAsia="宋体" w:cs="宋体"/>
                <w:b/>
                <w:i w:val="0"/>
                <w:color w:val="auto"/>
                <w:sz w:val="20"/>
                <w:szCs w:val="20"/>
                <w:highlight w:val="none"/>
                <w:u w:val="none"/>
                <w:lang w:val="en-US" w:eastAsia="zh-CN"/>
              </w:rPr>
              <w:t xml:space="preserve">扣分细则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jc w:val="center"/>
              <w:keepLines w:val="0"/>
              <w:keepNext w:val="0"/>
              <w:widowControl/>
              <w:rPr>
                <w:rFonts w:hint="eastAsia" w:ascii="宋体" w:hAnsi="宋体" w:eastAsia="宋体" w:cs="宋体"/>
                <w:b/>
                <w:i w:val="0"/>
                <w:color w:val="auto"/>
                <w:sz w:val="20"/>
                <w:szCs w:val="20"/>
                <w:highlight w:val="none"/>
                <w:u w:val="none"/>
              </w:rPr>
              <w:suppressLineNumbers w:val="0"/>
            </w:pPr>
            <w:r>
              <w:rPr>
                <w:rFonts w:hint="eastAsia" w:ascii="宋体" w:hAnsi="宋体" w:eastAsia="宋体" w:cs="宋体"/>
                <w:b/>
                <w:i w:val="0"/>
                <w:color w:val="auto"/>
                <w:sz w:val="20"/>
                <w:szCs w:val="20"/>
                <w:highlight w:val="none"/>
                <w:u w:val="none"/>
                <w:lang w:val="en-US" w:eastAsia="zh-CN"/>
              </w:rPr>
              <w:t xml:space="preserve">得分</w:t>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9" w:type="dxa"/>
            <w:vAlign w:val="center"/>
            <w:vMerge w:val="restart"/>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vMerge w:val="restart"/>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安 全巡 查（10分）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1</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78"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主出入口24小时值班</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vMerge w:val="restart"/>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gridAfter w:val="1"/>
          <w:trHeight w:val="4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9"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2</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78"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小区主出入口设有监控设备，24小时运行，监控记录完整，记录不少于15天。</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gridAfter w:val="1"/>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9" w:type="dxa"/>
            <w:vAlign w:val="center"/>
            <w:vMerge w:val="restart"/>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vMerge w:val="restart"/>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卫 生保 洁（30分）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3</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78"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小区内设有垃圾收集点，生活垃圾每日至少清运1次，垃圾房(箱、车)保持完好整洁，定期消毒。</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vMerge w:val="restart"/>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（每发现一处不符合扣1分）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gridAfter w:val="1"/>
          <w:trHeight w:val="9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9"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4</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78"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有专人负责公共场所、共用部位清洁工作，其中道路、广场等公共场所每日清扫2次，地面垃圾滞留时间不超过2小时，公共座椅(凳)保持整洁。目视检查道路、广场无明显垃圾和杂物，无大面积积水，地面垃圾滞留时间不超过2小时，公共座椅（凳）保持整洁。</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gridAfter w:val="1"/>
          <w:trHeight w:val="6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9"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5</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78"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每周打扫一次各楼层通道和楼梯台阶，每周用干净的抹布擦抹1次楼梯扶手，每季擦洗一次楼梯道公用门窗，楼梯道保持基本整洁，无垃圾、杂物、水渍及擅自占用现象。</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gridAfter w:val="1"/>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9"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6</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78"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公共厕所每天清扫两次，保持环境整洁、灯光明亮、无明显污物和异味。</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9"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7</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78"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窖井、下水道、化粪池每年清掏2次，保持通畅。蚊蝇滋生时及时消杀。</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gridAfter w:val="1"/>
          <w:trHeight w:val="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9" w:type="dxa"/>
            <w:vAlign w:val="center"/>
            <w:vMerge w:val="restart"/>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vMerge w:val="restart"/>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绿 化养 护（10分）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8</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78"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每日清理1次绿化带、草地上的果皮、纸屑、石块、树叶等垃圾，捡1次草地、绿化带上的烟头、棉签等杂物，目视基本干净，无明显垃圾、杂物。</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（每发现一处不符合扣1分）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202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9"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9</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草坪成活率80％以上，生长正常，光秃不明显。整块草地没有明显阔叶杂草或蔬菜，无大面积病虫害，草坪基本整洁，无明显堆物堆料、搭棚、侵占等现象，无较严重人为破坏，对明显人为损坏和违法行为能及时处理，能根据草坪生长情况及时浇水、施肥、修剪和病虫害防治，做好防涝、防冻。</w:t>
            </w:r>
            <w:r/>
          </w:p>
        </w:tc>
        <w:tc>
          <w:tcPr>
            <w:gridSpan w:val="2"/>
            <w:tcBorders>
              <w:top w:val="single" w:color="000000" w:sz="4" w:space="0"/>
              <w:left w:val="single" w:color="000000" w:sz="4" w:space="0"/>
              <w:bottom w:val="none" w:color="000000" w:sz="4" w:space="0"/>
              <w:right w:val="single" w:color="000000" w:sz="4" w:space="0"/>
            </w:tcBorders>
            <w:tcMar>
              <w:left w:w="15" w:type="dxa"/>
              <w:top w:w="15" w:type="dxa"/>
              <w:right w:w="15" w:type="dxa"/>
            </w:tcMar>
            <w:tcW w:w="1093"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9" w:type="dxa"/>
            <w:vAlign w:val="center"/>
            <w:vMerge w:val="restart"/>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（四）</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vMerge w:val="restart"/>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房屋及共用设施设备维修养护（10分）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10</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房屋及共用设施设备维修养护专职人员不少于1人。</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3" w:type="dxa"/>
            <w:vAlign w:val="center"/>
            <w:vMerge w:val="restart"/>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（每发现一处不符合扣1分）</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11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9"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11</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每年年底或年初对房屋和公用部位、公用设施设备、道路、绿地等进行全面检查1次，掌握房屋设施设备完损状况，对完损程度做出评价，巡检要有记录。大修及更新改造计划及时报告业主或业主委员会，落实维修资金。每周巡视1次楼房单元门、楼梯间通道部位以及其他公用部位的门窗、玻璃、路灯等设施，每年秋季对共用部位门窗做专项检修1次，换修损坏部位。</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3"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13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9"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12</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房屋修缮制度完善，便民报修措施齐全，居民室内维修实行有偿服务，其具体范围、服务项目价格等，通过物业委托合同约定，其中急修(如自来水跑水、下水管道和垃圾道堵塞、供暖设备漏水，电源线路和照明设备故障等项目)服务2小时内到位，24小时修复，若不能，要有紧急处理措施，并对业主(使用人)做合理解释，做出限时承诺。小修4日内修复，特殊情况必须做出说明和限时承诺，服务时限不得以节假日和休息时间顺延，有维修及回访记录。</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3"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9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9"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13</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设备设施标志齐全。建立共用设施设备档案，定期巡查并做好记录。对可能发生的各种突发设备故障有应急方案。共用设施设备良好，运行正常，无事故隐患，设施设备的运行、检查、维修、保养记录齐全，运行人员严格遵守操作规程及保养规范。</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3"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9"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14</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房屋外观基本完好，无明显缺损；屋面每半年检修1次，破损屋面能及时修复；公用排污、落水管道每年检修1次，排水保持畅通。</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3"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9"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15</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共用楼道灯每旬检查一次，损坏及时换修，完好率(包括亮灯率)达95％以上，无长明灯，楼道灯无安全隐患。</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3"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9"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16</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共用二次供水水箱加盖加锁，每年清洗1次，无二次污染及隐患。</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3"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83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9"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17</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道路、停车场(棚、房)及其他公共场所(地)、建筑小品、雕塑等基本完好，保持整洁。</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3"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9"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18</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消防设施设备完好无损，随时可用。</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3"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9"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19</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井(池)盖板、管道损坏及时修换。</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3"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105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9" w:type="dxa"/>
            <w:vAlign w:val="center"/>
            <w:vMerge w:val="restart"/>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（五）</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vMerge w:val="restart"/>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基础台帐资料管理（5分）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20</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档案资料实行数据化管理，房屋使用手册、业主公约等各项制度较完善。</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3" w:type="dxa"/>
            <w:vAlign w:val="center"/>
            <w:vMerge w:val="restart"/>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（每发现一处不符合扣1分）</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9"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21</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房屋档案资料较齐全，记录变更及时，无因管理不善损坏现象。</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3"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50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9"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22</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有房屋总平面图、地下管网图、规划批准文件、房屋竣工和接管验收资料、市政设施管网图、住户档案、房屋安全普查记录、物业管理维修基金提取和使用记录、业主委员会对服务标准的考核意见等资料，分类成册，查阅方便。</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3"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9" w:type="dxa"/>
            <w:vAlign w:val="center"/>
            <w:vMerge w:val="restart"/>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vMerge w:val="restart"/>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房屋装饰装修管理（8分）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23</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装修管理制度完善，物业管理企业与业主(使用人)签订装饰装修管理服务协议，并已告知业主(使用人)装修管理规定及注意事项。</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3" w:type="dxa"/>
            <w:vAlign w:val="center"/>
            <w:vMerge w:val="restart"/>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（每发现一处不符合扣1分）</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124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9"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24</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业主或房屋使用人房屋装修手续齐全，物业管理人员每周检查1次施工现场，敦促装修人按规定装修并及时办理结构安全验收手续；房屋装饰装修符合规定，无危及房屋结构安全和损害他人利益的装修现象。</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3"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9"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25</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管理期间阳台封闭、空调、防盗窗(网)、晾晒架、遮阳蓬安装基本统一、无重大安全隐患。房屋外观基本完好，无妨碍市容和观瞻现象，外墙无较大破损。</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3"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9"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26</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能及时制止违章装修、乱搭乱建、擅自改变房屋用途现象，并积极向有关部门举报，配合有权部门处理。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3"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9" w:type="dxa"/>
            <w:vAlign w:val="center"/>
            <w:vMerge w:val="restart"/>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vMerge w:val="restart"/>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环 境秩 序（10分）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27</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小区主出入口设有小区平面示意图，房屋楼号、单元号标志明显，每季检查一次，损坏及时修换或喷涂。</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3"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9"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28</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禁止拾(收)荒者、小商贩、社会盲流、闲杂车辆等进入小区，影响居民生活。</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3" w:type="dxa"/>
            <w:vAlign w:val="center"/>
            <w:vMerge w:val="restart"/>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（每发现一处不符合扣1分）</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10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9"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29</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无违反规定饲养家禽、家畜现象，宠物及信鸽饲养不得影响他人正常生活，无乱堆乱放建筑材料和垃圾现象，无未经批准乱张贴现象。</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3"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9"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30</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小区内无占道经营。</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3"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9"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31</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小区噪音扰民现象能及时得到制止。</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3"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9" w:type="dxa"/>
            <w:vAlign w:val="center"/>
            <w:vMerge w:val="restart"/>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vMerge w:val="restart"/>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车 辆管 理（10分）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32</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有较完善的车辆管理制度，制度落实。</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3" w:type="dxa"/>
            <w:vAlign w:val="center"/>
            <w:vMerge w:val="restart"/>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（每发现一处不符合扣1分）</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9"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33</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外来机动车辆进出有登记，较大载重车辆严禁驶入小区，停车场管理有序。</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3"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65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9"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34</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小区内机动车辆停泊有序，无违章行驶及停泊；收费停车场场地整洁，有专人管护，严格按标准收费。</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3"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9"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35</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非机动车辆停放整齐有序，无占压绿地现象。</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3"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9"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36</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车位有偿使用和车辆保管职责分明，无重大车辆管理纠纷。</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3"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149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9"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（九）</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社区文化活动（2分）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37</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小区订有居民精神文明公约、业主公约，精神文明建设服务制度健全，邻里团结，文明居住，有关心孤寡老人、残疾人的具体措施。</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3"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（每发现一处不符合扣1分）</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6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9" w:type="dxa"/>
            <w:vAlign w:val="center"/>
            <w:vMerge w:val="restart"/>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vMerge w:val="restart"/>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综合管理与服务（5分）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38</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服务与被服务双方签订规范的物业服务合同，小区管理单位与物业委托人或业主委员会责、权、利关系明确；小区各项管理制度完善，有各项严格的内部管理体制制度和工作岗位考核标准。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3" w:type="dxa"/>
            <w:vAlign w:val="center"/>
            <w:vMerge w:val="restart"/>
            <w:textDirection w:val="lrTb"/>
            <w:noWrap w:val="false"/>
          </w:tcPr>
          <w:p>
            <w:pPr>
              <w:jc w:val="both"/>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（每发现一处不符合扣1分）</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9"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39</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承接项目时，对共用部位、共用设施设备进行认真查验，验收手续齐全。</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3" w:type="dxa"/>
            <w:vAlign w:val="center"/>
            <w:vMerge w:val="continue"/>
            <w:textDirection w:val="lrTb"/>
            <w:noWrap w:val="false"/>
          </w:tcPr>
          <w:p>
            <w:pPr>
              <w:jc w:val="both"/>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9"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40</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管理单位有固定的办公场所，管理人员和专业技术人员持证上岗，员工统一着装，佩戴明显标志，工作规范作风严谨和蔼。能开展多项便民服务措施。</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3" w:type="dxa"/>
            <w:vAlign w:val="center"/>
            <w:vMerge w:val="continue"/>
            <w:textDirection w:val="lrTb"/>
            <w:noWrap w:val="false"/>
          </w:tcPr>
          <w:p>
            <w:pPr>
              <w:jc w:val="both"/>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9"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41</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小区管理单位制定出争创省或市级优秀管理项目规划和具体的实施方案。</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3" w:type="dxa"/>
            <w:vAlign w:val="center"/>
            <w:vMerge w:val="continue"/>
            <w:textDirection w:val="lrTb"/>
            <w:noWrap w:val="false"/>
          </w:tcPr>
          <w:p>
            <w:pPr>
              <w:jc w:val="both"/>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9"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42</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每年至少1次征询业主对物业服务的意见和建议，征询面不低于50％，对征询的意见和建议进行分析并及时整改，并在小区进行公布。</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3" w:type="dxa"/>
            <w:vAlign w:val="center"/>
            <w:vMerge w:val="continue"/>
            <w:textDirection w:val="lrTb"/>
            <w:noWrap w:val="false"/>
          </w:tcPr>
          <w:p>
            <w:pPr>
              <w:jc w:val="both"/>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6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9"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合计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100分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0"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left"/>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3"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bl>
    <w:p>
      <w:pPr>
        <w:pStyle w:val="738"/>
        <w:ind w:left="0" w:firstLine="0"/>
        <w:rPr>
          <w:rFonts w:hint="eastAsia" w:ascii="宋体" w:hAnsi="宋体" w:eastAsia="宋体" w:cs="宋体"/>
          <w:color w:val="auto"/>
          <w:sz w:val="32"/>
          <w:highlight w:val="none"/>
          <w:lang w:val="en-US" w:eastAsia="zh-CN"/>
        </w:rPr>
      </w:pPr>
      <w:r>
        <w:rPr>
          <w:rFonts w:hint="eastAsia" w:ascii="宋体" w:hAnsi="宋体" w:eastAsia="宋体" w:cs="宋体"/>
          <w:color w:val="auto"/>
          <w:sz w:val="32"/>
          <w:highlight w:val="none"/>
          <w:lang w:val="en-US" w:eastAsia="zh-CN"/>
        </w:rPr>
      </w:r>
      <w:r/>
    </w:p>
    <w:p>
      <w:pPr>
        <w:pStyle w:val="737"/>
        <w:rPr>
          <w:rFonts w:hint="eastAsia" w:ascii="宋体" w:hAnsi="宋体" w:eastAsia="宋体" w:cs="宋体"/>
          <w:color w:val="auto"/>
          <w:sz w:val="32"/>
          <w:highlight w:val="none"/>
          <w:lang w:val="en-US" w:eastAsia="zh-CN"/>
        </w:rPr>
      </w:pPr>
      <w:r>
        <w:rPr>
          <w:rFonts w:hint="eastAsia" w:ascii="宋体" w:hAnsi="宋体" w:eastAsia="宋体" w:cs="宋体"/>
          <w:color w:val="auto"/>
          <w:sz w:val="32"/>
          <w:highlight w:val="none"/>
          <w:lang w:val="en-US" w:eastAsia="zh-CN"/>
        </w:rPr>
      </w:r>
      <w:r/>
    </w:p>
    <w:p>
      <w:pPr>
        <w:rPr>
          <w:rFonts w:hint="eastAsia" w:ascii="宋体" w:hAnsi="宋体" w:eastAsia="宋体" w:cs="宋体"/>
          <w:color w:val="auto"/>
          <w:sz w:val="32"/>
          <w:highlight w:val="none"/>
          <w:lang w:val="en-US" w:eastAsia="zh-CN"/>
        </w:rPr>
      </w:pPr>
      <w:r>
        <w:rPr>
          <w:rFonts w:hint="eastAsia" w:ascii="宋体" w:hAnsi="宋体" w:eastAsia="宋体" w:cs="宋体"/>
          <w:color w:val="auto"/>
          <w:sz w:val="32"/>
          <w:highlight w:val="none"/>
          <w:lang w:val="en-US" w:eastAsia="zh-CN"/>
        </w:rPr>
      </w:r>
      <w:r/>
    </w:p>
    <w:p>
      <w:pPr>
        <w:rPr>
          <w:rFonts w:hint="eastAsia" w:ascii="宋体" w:hAnsi="宋体" w:eastAsia="宋体" w:cs="宋体"/>
          <w:color w:val="auto"/>
          <w:sz w:val="32"/>
          <w:highlight w:val="none"/>
          <w:lang w:val="en-US" w:eastAsia="zh-CN"/>
        </w:rPr>
      </w:pPr>
      <w:r>
        <w:rPr>
          <w:rFonts w:hint="eastAsia" w:ascii="宋体" w:hAnsi="宋体" w:eastAsia="宋体" w:cs="宋体"/>
          <w:color w:val="auto"/>
          <w:sz w:val="32"/>
          <w:highlight w:val="none"/>
          <w:lang w:val="en-US" w:eastAsia="zh-CN"/>
        </w:rPr>
      </w:r>
      <w:r/>
    </w:p>
    <w:p>
      <w:pPr>
        <w:rPr>
          <w:rFonts w:hint="eastAsia" w:ascii="宋体" w:hAnsi="宋体" w:eastAsia="宋体" w:cs="宋体"/>
          <w:color w:val="auto"/>
          <w:sz w:val="32"/>
          <w:highlight w:val="none"/>
          <w:lang w:val="en-US" w:eastAsia="zh-CN"/>
        </w:rPr>
      </w:pPr>
      <w:r>
        <w:rPr>
          <w:rFonts w:hint="eastAsia" w:ascii="宋体" w:hAnsi="宋体" w:eastAsia="宋体" w:cs="宋体"/>
          <w:color w:val="auto"/>
          <w:sz w:val="32"/>
          <w:highlight w:val="none"/>
          <w:lang w:val="en-US" w:eastAsia="zh-CN"/>
        </w:rPr>
      </w:r>
      <w:r/>
    </w:p>
    <w:p>
      <w:pPr>
        <w:rPr>
          <w:rFonts w:hint="eastAsia" w:ascii="宋体" w:hAnsi="宋体" w:eastAsia="宋体" w:cs="宋体"/>
          <w:color w:val="auto"/>
          <w:sz w:val="32"/>
          <w:highlight w:val="none"/>
          <w:lang w:val="en-US" w:eastAsia="zh-CN"/>
        </w:rPr>
      </w:pPr>
      <w:r>
        <w:rPr>
          <w:rFonts w:hint="eastAsia" w:ascii="宋体" w:hAnsi="宋体" w:eastAsia="宋体" w:cs="宋体"/>
          <w:color w:val="auto"/>
          <w:sz w:val="32"/>
          <w:highlight w:val="none"/>
          <w:lang w:val="en-US" w:eastAsia="zh-CN"/>
        </w:rPr>
      </w:r>
      <w:r/>
    </w:p>
    <w:p>
      <w:pPr>
        <w:rPr>
          <w:rFonts w:hint="eastAsia" w:ascii="宋体" w:hAnsi="宋体" w:eastAsia="宋体" w:cs="宋体"/>
          <w:color w:val="auto"/>
          <w:sz w:val="32"/>
          <w:highlight w:val="none"/>
          <w:lang w:val="en-US" w:eastAsia="zh-CN"/>
        </w:rPr>
      </w:pPr>
      <w:r>
        <w:rPr>
          <w:rFonts w:hint="eastAsia" w:ascii="宋体" w:hAnsi="宋体" w:eastAsia="宋体" w:cs="宋体"/>
          <w:color w:val="auto"/>
          <w:sz w:val="32"/>
          <w:highlight w:val="none"/>
          <w:lang w:val="en-US" w:eastAsia="zh-CN"/>
        </w:rPr>
      </w:r>
      <w:r/>
    </w:p>
    <w:p>
      <w:pPr>
        <w:rPr>
          <w:rFonts w:hint="eastAsia" w:ascii="宋体" w:hAnsi="宋体" w:eastAsia="宋体" w:cs="宋体"/>
          <w:color w:val="auto"/>
          <w:sz w:val="32"/>
          <w:highlight w:val="none"/>
          <w:lang w:val="en-US" w:eastAsia="zh-CN"/>
        </w:rPr>
      </w:pPr>
      <w:r>
        <w:rPr>
          <w:rFonts w:hint="eastAsia" w:ascii="宋体" w:hAnsi="宋体" w:eastAsia="宋体" w:cs="宋体"/>
          <w:color w:val="auto"/>
          <w:sz w:val="32"/>
          <w:highlight w:val="none"/>
          <w:lang w:val="en-US" w:eastAsia="zh-CN"/>
        </w:rPr>
      </w:r>
      <w:r/>
    </w:p>
    <w:p>
      <w:pPr>
        <w:rPr>
          <w:rFonts w:hint="eastAsia" w:ascii="宋体" w:hAnsi="宋体" w:eastAsia="宋体" w:cs="宋体"/>
          <w:color w:val="auto"/>
          <w:sz w:val="32"/>
          <w:highlight w:val="none"/>
          <w:lang w:val="en-US" w:eastAsia="zh-CN"/>
        </w:rPr>
      </w:pPr>
      <w:r>
        <w:rPr>
          <w:rFonts w:hint="eastAsia" w:ascii="宋体" w:hAnsi="宋体" w:eastAsia="宋体" w:cs="宋体"/>
          <w:color w:val="auto"/>
          <w:sz w:val="32"/>
          <w:highlight w:val="none"/>
          <w:lang w:val="en-US" w:eastAsia="zh-CN"/>
        </w:rPr>
      </w:r>
      <w:r/>
    </w:p>
    <w:p>
      <w:pPr>
        <w:rPr>
          <w:rFonts w:hint="eastAsia" w:ascii="宋体" w:hAnsi="宋体" w:eastAsia="宋体" w:cs="宋体"/>
          <w:color w:val="auto"/>
          <w:sz w:val="32"/>
          <w:highlight w:val="none"/>
          <w:lang w:val="en-US" w:eastAsia="zh-CN"/>
        </w:rPr>
      </w:pPr>
      <w:r>
        <w:rPr>
          <w:rFonts w:hint="eastAsia" w:ascii="宋体" w:hAnsi="宋体" w:eastAsia="宋体" w:cs="宋体"/>
          <w:color w:val="auto"/>
          <w:sz w:val="32"/>
          <w:highlight w:val="none"/>
          <w:lang w:val="en-US" w:eastAsia="zh-CN"/>
        </w:rPr>
      </w:r>
      <w:r/>
    </w:p>
    <w:p>
      <w:pPr>
        <w:rPr>
          <w:rFonts w:hint="eastAsia" w:ascii="宋体" w:hAnsi="宋体" w:eastAsia="宋体" w:cs="宋体"/>
          <w:color w:val="auto"/>
          <w:sz w:val="32"/>
          <w:highlight w:val="none"/>
          <w:lang w:val="en-US" w:eastAsia="zh-CN"/>
        </w:rPr>
      </w:pPr>
      <w:r>
        <w:rPr>
          <w:rFonts w:hint="eastAsia" w:ascii="宋体" w:hAnsi="宋体" w:eastAsia="宋体" w:cs="宋体"/>
          <w:color w:val="auto"/>
          <w:sz w:val="32"/>
          <w:highlight w:val="none"/>
          <w:lang w:val="en-US" w:eastAsia="zh-CN"/>
        </w:rPr>
      </w:r>
      <w:r/>
    </w:p>
    <w:p>
      <w:pPr>
        <w:rPr>
          <w:rFonts w:hint="eastAsia" w:ascii="宋体" w:hAnsi="宋体" w:eastAsia="宋体" w:cs="宋体"/>
          <w:color w:val="auto"/>
          <w:sz w:val="32"/>
          <w:highlight w:val="none"/>
          <w:lang w:val="en-US" w:eastAsia="zh-CN"/>
        </w:rPr>
      </w:pPr>
      <w:r>
        <w:rPr>
          <w:rFonts w:hint="eastAsia" w:ascii="宋体" w:hAnsi="宋体" w:eastAsia="宋体" w:cs="宋体"/>
          <w:color w:val="auto"/>
          <w:sz w:val="32"/>
          <w:highlight w:val="none"/>
          <w:lang w:val="en-US" w:eastAsia="zh-CN"/>
        </w:rPr>
      </w:r>
      <w:r/>
    </w:p>
    <w:p>
      <w:pPr>
        <w:rPr>
          <w:rFonts w:hint="eastAsia" w:ascii="宋体" w:hAnsi="宋体" w:eastAsia="宋体" w:cs="宋体"/>
          <w:color w:val="auto"/>
          <w:sz w:val="32"/>
          <w:highlight w:val="none"/>
          <w:lang w:val="en-US" w:eastAsia="zh-CN"/>
        </w:rPr>
      </w:pPr>
      <w:r>
        <w:rPr>
          <w:rFonts w:hint="eastAsia" w:ascii="宋体" w:hAnsi="宋体" w:eastAsia="宋体" w:cs="宋体"/>
          <w:color w:val="auto"/>
          <w:sz w:val="32"/>
          <w:highlight w:val="none"/>
          <w:lang w:val="en-US" w:eastAsia="zh-CN"/>
        </w:rPr>
      </w:r>
      <w:r/>
    </w:p>
    <w:p>
      <w:pPr>
        <w:rPr>
          <w:rFonts w:hint="eastAsia" w:ascii="宋体" w:hAnsi="宋体" w:eastAsia="宋体" w:cs="宋体"/>
          <w:color w:val="auto"/>
          <w:sz w:val="32"/>
          <w:highlight w:val="none"/>
          <w:lang w:val="en-US" w:eastAsia="zh-CN"/>
        </w:rPr>
      </w:pPr>
      <w:r>
        <w:rPr>
          <w:rFonts w:hint="eastAsia" w:ascii="宋体" w:hAnsi="宋体" w:eastAsia="宋体" w:cs="宋体"/>
          <w:color w:val="auto"/>
          <w:sz w:val="32"/>
          <w:highlight w:val="none"/>
          <w:lang w:val="en-US" w:eastAsia="zh-CN"/>
        </w:rPr>
      </w:r>
      <w:r/>
    </w:p>
    <w:p>
      <w:pPr>
        <w:rPr>
          <w:rFonts w:hint="eastAsia" w:ascii="宋体" w:hAnsi="宋体" w:eastAsia="宋体" w:cs="宋体"/>
          <w:color w:val="auto"/>
          <w:sz w:val="32"/>
          <w:highlight w:val="none"/>
          <w:lang w:val="en-US" w:eastAsia="zh-CN"/>
        </w:rPr>
      </w:pPr>
      <w:r>
        <w:rPr>
          <w:rFonts w:hint="eastAsia" w:ascii="宋体" w:hAnsi="宋体" w:eastAsia="宋体" w:cs="宋体"/>
          <w:color w:val="auto"/>
          <w:sz w:val="32"/>
          <w:highlight w:val="none"/>
          <w:lang w:val="en-US" w:eastAsia="zh-CN"/>
        </w:rPr>
      </w:r>
      <w:r/>
    </w:p>
    <w:p>
      <w:pPr>
        <w:rPr>
          <w:rFonts w:hint="eastAsia" w:ascii="宋体" w:hAnsi="宋体" w:eastAsia="宋体" w:cs="宋体"/>
          <w:color w:val="auto"/>
          <w:sz w:val="32"/>
          <w:highlight w:val="none"/>
          <w:lang w:val="en-US" w:eastAsia="zh-CN"/>
        </w:rPr>
      </w:pPr>
      <w:r>
        <w:rPr>
          <w:rFonts w:hint="eastAsia" w:ascii="宋体" w:hAnsi="宋体" w:eastAsia="宋体" w:cs="宋体"/>
          <w:color w:val="auto"/>
          <w:sz w:val="32"/>
          <w:highlight w:val="none"/>
          <w:lang w:val="en-US" w:eastAsia="zh-CN"/>
        </w:rPr>
      </w:r>
      <w:r/>
    </w:p>
    <w:tbl>
      <w:tblPr>
        <w:tblStyle w:val="651"/>
        <w:tblW w:w="9125" w:type="dxa"/>
        <w:tblInd w:w="-108" w:type="dxa"/>
        <w:tblLayout w:type="fixed"/>
        <w:tblCellMar>
          <w:left w:w="15" w:type="dxa"/>
          <w:top w:w="15" w:type="dxa"/>
          <w:right w:w="15" w:type="dxa"/>
          <w:bottom w:w="0" w:type="dxa"/>
        </w:tblCellMar>
        <w:tblLook w:val="04A0" w:firstRow="1" w:lastRow="0" w:firstColumn="1" w:lastColumn="0" w:noHBand="0" w:noVBand="1"/>
      </w:tblPr>
      <w:tblGrid>
        <w:gridCol w:w="736"/>
        <w:gridCol w:w="954"/>
        <w:gridCol w:w="628"/>
        <w:gridCol w:w="4554"/>
        <w:gridCol w:w="1077"/>
        <w:gridCol w:w="1176"/>
      </w:tblGrid>
      <w:tr>
        <w:trPr>
          <w:trHeight w:val="375"/>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9125" w:type="dxa"/>
            <w:vAlign w:val="center"/>
            <w:textDirection w:val="lrTb"/>
            <w:noWrap w:val="false"/>
          </w:tcPr>
          <w:p>
            <w:pPr>
              <w:jc w:val="center"/>
              <w:keepLines w:val="0"/>
              <w:keepNext w:val="0"/>
              <w:widowControl/>
              <w:rPr>
                <w:rFonts w:hint="eastAsia" w:ascii="宋体" w:hAnsi="宋体" w:eastAsia="宋体" w:cs="宋体"/>
                <w:bCs/>
                <w:color w:val="auto"/>
                <w:sz w:val="28"/>
                <w:szCs w:val="28"/>
                <w:highlight w:val="none"/>
                <w:lang w:val="en-US" w:eastAsia="zh-CN"/>
              </w:rPr>
              <w:suppressLineNumbers w:val="0"/>
            </w:pPr>
            <w:r>
              <w:rPr>
                <w:rFonts w:hint="eastAsia" w:ascii="宋体" w:hAnsi="宋体" w:eastAsia="宋体" w:cs="宋体"/>
                <w:bCs/>
                <w:color w:val="auto"/>
                <w:sz w:val="28"/>
                <w:szCs w:val="28"/>
                <w:highlight w:val="none"/>
                <w:lang w:val="en-US" w:eastAsia="zh-CN"/>
              </w:rPr>
              <w:t xml:space="preserve">盐南高新区老旧小区及拆迁安置小区物业管理服务等级标准及评分细则（开放式）</w:t>
            </w:r>
            <w:r/>
          </w:p>
        </w:tc>
      </w:tr>
      <w:tr>
        <w:trPr>
          <w:trHeight w:val="63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6" w:type="dxa"/>
            <w:vAlign w:val="center"/>
            <w:textDirection w:val="lrTb"/>
            <w:noWrap w:val="false"/>
          </w:tcPr>
          <w:p>
            <w:pPr>
              <w:jc w:val="center"/>
              <w:keepLines w:val="0"/>
              <w:keepNext w:val="0"/>
              <w:widowControl/>
              <w:rPr>
                <w:rFonts w:hint="eastAsia" w:ascii="宋体" w:hAnsi="宋体" w:eastAsia="宋体" w:cs="宋体"/>
                <w:b/>
                <w:i w:val="0"/>
                <w:color w:val="auto"/>
                <w:sz w:val="20"/>
                <w:szCs w:val="20"/>
                <w:highlight w:val="none"/>
                <w:u w:val="none"/>
              </w:rPr>
              <w:suppressLineNumbers w:val="0"/>
            </w:pPr>
            <w:r>
              <w:rPr>
                <w:rFonts w:hint="eastAsia" w:ascii="宋体" w:hAnsi="宋体" w:eastAsia="宋体" w:cs="宋体"/>
                <w:b/>
                <w:i w:val="0"/>
                <w:color w:val="auto"/>
                <w:sz w:val="20"/>
                <w:szCs w:val="20"/>
                <w:highlight w:val="none"/>
                <w:u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textDirection w:val="lrTb"/>
            <w:noWrap w:val="false"/>
          </w:tcPr>
          <w:p>
            <w:pPr>
              <w:jc w:val="center"/>
              <w:keepLines w:val="0"/>
              <w:keepNext w:val="0"/>
              <w:widowControl/>
              <w:rPr>
                <w:rFonts w:hint="eastAsia" w:ascii="宋体" w:hAnsi="宋体" w:eastAsia="宋体" w:cs="宋体"/>
                <w:b/>
                <w:i w:val="0"/>
                <w:color w:val="auto"/>
                <w:sz w:val="20"/>
                <w:szCs w:val="20"/>
                <w:highlight w:val="none"/>
                <w:u w:val="none"/>
              </w:rPr>
              <w:suppressLineNumbers w:val="0"/>
            </w:pPr>
            <w:r>
              <w:rPr>
                <w:rFonts w:hint="eastAsia" w:ascii="宋体" w:hAnsi="宋体" w:eastAsia="宋体" w:cs="宋体"/>
                <w:b/>
                <w:i w:val="0"/>
                <w:color w:val="auto"/>
                <w:sz w:val="20"/>
                <w:szCs w:val="20"/>
                <w:highlight w:val="none"/>
                <w:u w:val="none"/>
                <w:lang w:val="en-US" w:eastAsia="zh-CN"/>
              </w:rPr>
              <w:t xml:space="preserve">项 目</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2" w:type="dxa"/>
            <w:vAlign w:val="center"/>
            <w:textDirection w:val="lrTb"/>
            <w:noWrap w:val="false"/>
          </w:tcPr>
          <w:p>
            <w:pPr>
              <w:jc w:val="center"/>
              <w:keepLines w:val="0"/>
              <w:keepNext w:val="0"/>
              <w:widowControl/>
              <w:rPr>
                <w:rFonts w:hint="eastAsia" w:ascii="宋体" w:hAnsi="宋体" w:eastAsia="宋体" w:cs="宋体"/>
                <w:b/>
                <w:i w:val="0"/>
                <w:color w:val="auto"/>
                <w:sz w:val="20"/>
                <w:szCs w:val="20"/>
                <w:highlight w:val="none"/>
                <w:u w:val="none"/>
              </w:rPr>
              <w:suppressLineNumbers w:val="0"/>
            </w:pPr>
            <w:r>
              <w:rPr>
                <w:rFonts w:hint="eastAsia" w:ascii="宋体" w:hAnsi="宋体" w:eastAsia="宋体" w:cs="宋体"/>
                <w:b/>
                <w:i w:val="0"/>
                <w:color w:val="auto"/>
                <w:sz w:val="20"/>
                <w:szCs w:val="20"/>
                <w:highlight w:val="none"/>
                <w:u w:val="none"/>
                <w:lang w:val="en-US" w:eastAsia="zh-CN"/>
              </w:rPr>
              <w:t xml:space="preserve">服务标准和要求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textDirection w:val="lrTb"/>
            <w:noWrap w:val="false"/>
          </w:tcPr>
          <w:p>
            <w:pPr>
              <w:jc w:val="center"/>
              <w:keepLines w:val="0"/>
              <w:keepNext w:val="0"/>
              <w:widowControl/>
              <w:rPr>
                <w:rFonts w:hint="eastAsia" w:ascii="宋体" w:hAnsi="宋体" w:eastAsia="宋体" w:cs="宋体"/>
                <w:b/>
                <w:i w:val="0"/>
                <w:color w:val="auto"/>
                <w:sz w:val="20"/>
                <w:szCs w:val="20"/>
                <w:highlight w:val="none"/>
                <w:u w:val="none"/>
              </w:rPr>
              <w:suppressLineNumbers w:val="0"/>
            </w:pPr>
            <w:r>
              <w:rPr>
                <w:rFonts w:hint="eastAsia" w:ascii="宋体" w:hAnsi="宋体" w:eastAsia="宋体" w:cs="宋体"/>
                <w:b/>
                <w:i w:val="0"/>
                <w:color w:val="auto"/>
                <w:sz w:val="20"/>
                <w:szCs w:val="20"/>
                <w:highlight w:val="none"/>
                <w:u w:val="none"/>
                <w:lang w:val="en-US" w:eastAsia="zh-CN"/>
              </w:rPr>
              <w:t xml:space="preserve">扣分细则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6" w:type="dxa"/>
            <w:vAlign w:val="center"/>
            <w:textDirection w:val="lrTb"/>
            <w:noWrap w:val="false"/>
          </w:tcPr>
          <w:p>
            <w:pPr>
              <w:jc w:val="center"/>
              <w:keepLines w:val="0"/>
              <w:keepNext w:val="0"/>
              <w:widowControl/>
              <w:rPr>
                <w:rFonts w:hint="eastAsia" w:ascii="宋体" w:hAnsi="宋体" w:eastAsia="宋体" w:cs="宋体"/>
                <w:b/>
                <w:i w:val="0"/>
                <w:color w:val="auto"/>
                <w:sz w:val="20"/>
                <w:szCs w:val="20"/>
                <w:highlight w:val="none"/>
                <w:u w:val="none"/>
              </w:rPr>
              <w:suppressLineNumbers w:val="0"/>
            </w:pPr>
            <w:r>
              <w:rPr>
                <w:rFonts w:hint="eastAsia" w:ascii="宋体" w:hAnsi="宋体" w:eastAsia="宋体" w:cs="宋体"/>
                <w:b/>
                <w:i w:val="0"/>
                <w:color w:val="auto"/>
                <w:sz w:val="20"/>
                <w:szCs w:val="20"/>
                <w:highlight w:val="none"/>
                <w:u w:val="none"/>
                <w:lang w:val="en-US" w:eastAsia="zh-CN"/>
              </w:rPr>
              <w:t xml:space="preserve">得分</w:t>
            </w:r>
            <w:r/>
          </w:p>
        </w:tc>
      </w:tr>
      <w:tr>
        <w:trPr>
          <w:trHeight w:val="4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lang w:val="en-US" w:eastAsia="zh-CN" w:bidi="ar-SA"/>
              </w:rPr>
              <w:suppressLineNumbers w:val="0"/>
            </w:pPr>
            <w:r>
              <w:rPr>
                <w:rFonts w:hint="eastAsia" w:ascii="宋体" w:hAnsi="宋体" w:eastAsia="宋体" w:cs="宋体"/>
                <w:i w:val="0"/>
                <w:color w:val="auto"/>
                <w:sz w:val="18"/>
                <w:szCs w:val="18"/>
                <w:highlight w:val="none"/>
                <w:u w:val="none"/>
                <w:lang w:val="en-US" w:eastAsia="zh-CN"/>
              </w:rPr>
              <w:t xml:space="preserve">（一）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lang w:val="en-US" w:eastAsia="zh-CN" w:bidi="ar-SA"/>
              </w:rPr>
              <w:suppressLineNumbers w:val="0"/>
            </w:pPr>
            <w:r>
              <w:rPr>
                <w:rFonts w:hint="eastAsia" w:ascii="宋体" w:hAnsi="宋体" w:eastAsia="宋体" w:cs="宋体"/>
                <w:i w:val="0"/>
                <w:color w:val="auto"/>
                <w:sz w:val="18"/>
                <w:szCs w:val="18"/>
                <w:highlight w:val="none"/>
                <w:u w:val="none"/>
                <w:lang w:val="en-US" w:eastAsia="zh-CN"/>
              </w:rPr>
              <w:t xml:space="preserve">安 全巡 查（10分）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4"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小区路面出口设有监控，24小时运行，监控记录完整，记录不少于15天。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lang w:val="en-US" w:eastAsia="zh-CN"/>
              </w:rPr>
              <w:t xml:space="preserve">（每发现一处不符合扣1分）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6"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6" w:type="dxa"/>
            <w:vAlign w:val="center"/>
            <w:vMerge w:val="restart"/>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vMerge w:val="restart"/>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卫 生保 洁（30分）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4"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小区内设有垃圾收集点，生活垃圾每日至少清运1次，垃圾房(箱、车)保持完好整洁，定期消毒。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vMerge w:val="restart"/>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（每发现一处不符合扣1分）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6"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9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6"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4"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有专人负责公共场所、共用部位清洁工作，其中道路、广场等公共场所每日清扫2次，地面垃圾滞留时间不超过2小时，公共座椅(凳)保持整洁。目视检查道路、广场无明显垃圾和杂物，无大面积积水，地面垃圾滞留时间不超过2小时，公共座椅（凳）保持整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6"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6"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4"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公共厕所每天清扫两次，保持环境整洁、灯光明亮、无明显污物和异味。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6"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6"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4"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窖井、下水道、化粪池每年清掏2次，保持通畅。蚊蝇滋生时及时消杀。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6"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6" w:type="dxa"/>
            <w:vAlign w:val="center"/>
            <w:vMerge w:val="restart"/>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vMerge w:val="restart"/>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绿 化养 护（10分）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4"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每日清理1次绿化带、草地上的果皮、纸屑、石块、树叶等垃圾，捡1次草地、绿化带上的烟头、棉签等杂物，目视基本干净，无明显垃圾、杂物。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vMerge w:val="restart"/>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（每发现一处不符合扣1分）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6"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203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6"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4"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草坪成活率80％以上，生长正常，光秃不明显。整块草地没有明显阔叶杂草或蔬菜，无大面积病虫害，草坪基本整洁，无明显堆物堆料、搭棚、侵占等现象，无较严重人为破坏，对明显人为损坏和违法行为能及时处理，能根据草坪生长情况及时浇水、施肥、修剪和病虫害防治，做好防涝、防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6"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6" w:type="dxa"/>
            <w:vAlign w:val="center"/>
            <w:vMerge w:val="restart"/>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（四）</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vMerge w:val="restart"/>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房屋及共用设施设备维修养护（10分）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4"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房屋及共用设施设备维修养护专职人员不少于1人。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vMerge w:val="restart"/>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（每发现一处不符合扣1分）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6"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11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6"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4"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每年年底或年初对房屋和公用部位、公用设施设备、道路、绿地等进行全面检查1次，掌握房屋设施设备完损状况，对完损程度做出评价，巡检要有记录。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6"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6"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lang w:val="en-US"/>
              </w:rPr>
              <w:suppressLineNumbers w:val="0"/>
            </w:pPr>
            <w:r>
              <w:rPr>
                <w:rFonts w:hint="eastAsia" w:ascii="宋体" w:hAnsi="宋体" w:eastAsia="宋体" w:cs="宋体"/>
                <w:i w:val="0"/>
                <w:color w:val="auto"/>
                <w:sz w:val="18"/>
                <w:szCs w:val="18"/>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4"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房屋外观基本完好，无明显缺损；屋面每半年检修1次，破损屋面能及时修复；公用排污、落水管道每年检修1次，排水保持畅通。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6"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6"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lang w:val="en-US"/>
              </w:rPr>
              <w:suppressLineNumbers w:val="0"/>
            </w:pPr>
            <w:r>
              <w:rPr>
                <w:rFonts w:hint="eastAsia" w:ascii="宋体" w:hAnsi="宋体" w:eastAsia="宋体" w:cs="宋体"/>
                <w:i w:val="0"/>
                <w:color w:val="auto"/>
                <w:sz w:val="18"/>
                <w:szCs w:val="18"/>
                <w:highlight w:val="none"/>
                <w:u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4"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消防设施设备完好无损，随时可用。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6"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6"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lang w:val="en-US"/>
              </w:rPr>
              <w:suppressLineNumbers w:val="0"/>
            </w:pPr>
            <w:r>
              <w:rPr>
                <w:rFonts w:hint="eastAsia" w:ascii="宋体" w:hAnsi="宋体" w:eastAsia="宋体" w:cs="宋体"/>
                <w:i w:val="0"/>
                <w:color w:val="auto"/>
                <w:sz w:val="18"/>
                <w:szCs w:val="18"/>
                <w:highlight w:val="none"/>
                <w:u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4"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井(池)盖板、管道损坏及时修换。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6"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84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6" w:type="dxa"/>
            <w:vAlign w:val="center"/>
            <w:vMerge w:val="restart"/>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（五）</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vMerge w:val="restart"/>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基础台帐资料管理（5分）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lang w:val="en-US"/>
              </w:rPr>
              <w:suppressLineNumbers w:val="0"/>
            </w:pPr>
            <w:r>
              <w:rPr>
                <w:rFonts w:hint="eastAsia" w:ascii="宋体" w:hAnsi="宋体" w:eastAsia="宋体" w:cs="宋体"/>
                <w:i w:val="0"/>
                <w:color w:val="auto"/>
                <w:sz w:val="18"/>
                <w:szCs w:val="18"/>
                <w:highlight w:val="none"/>
                <w:u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4"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档案资料实行数据化管理，房屋使用手册、业主公约等各项制度较完善。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vMerge w:val="restart"/>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（每发现一处不符合扣1分）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6"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9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6"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lang w:val="en-US"/>
              </w:rPr>
              <w:suppressLineNumbers w:val="0"/>
            </w:pPr>
            <w:r>
              <w:rPr>
                <w:rFonts w:hint="eastAsia" w:ascii="宋体" w:hAnsi="宋体" w:eastAsia="宋体" w:cs="宋体"/>
                <w:i w:val="0"/>
                <w:color w:val="auto"/>
                <w:sz w:val="18"/>
                <w:szCs w:val="18"/>
                <w:highlight w:val="none"/>
                <w:u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4"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有房屋总平面图、</w:t>
            </w:r>
            <w:r>
              <w:rPr>
                <w:rStyle w:val="881"/>
                <w:rFonts w:hint="eastAsia" w:ascii="宋体" w:hAnsi="宋体" w:eastAsia="宋体" w:cs="宋体"/>
                <w:color w:val="auto"/>
                <w:highlight w:val="none"/>
                <w:lang w:val="en-US" w:eastAsia="zh-CN"/>
              </w:rPr>
              <w:t xml:space="preserve">地下管网图、</w:t>
            </w:r>
            <w:r>
              <w:rPr>
                <w:rStyle w:val="882"/>
                <w:rFonts w:hint="eastAsia" w:ascii="宋体" w:hAnsi="宋体" w:eastAsia="宋体" w:cs="宋体"/>
                <w:color w:val="auto"/>
                <w:highlight w:val="none"/>
                <w:lang w:val="en-US" w:eastAsia="zh-CN"/>
              </w:rPr>
              <w:t xml:space="preserve">规划批准文件、房屋竣工和接管验收资料、市政设施管网图、住户档案、房屋安全普查记录、物业管理维修基金提取和使用记录、业主委员会对服务标准的考核意见等资料，分类成册，查阅方便。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6"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6" w:type="dxa"/>
            <w:vAlign w:val="center"/>
            <w:vMerge w:val="restart"/>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vMerge w:val="restart"/>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房屋装饰装修管理（8分）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lang w:val="en-US"/>
              </w:rPr>
              <w:suppressLineNumbers w:val="0"/>
            </w:pPr>
            <w:r>
              <w:rPr>
                <w:rFonts w:hint="eastAsia" w:ascii="宋体" w:hAnsi="宋体" w:eastAsia="宋体" w:cs="宋体"/>
                <w:i w:val="0"/>
                <w:color w:val="auto"/>
                <w:sz w:val="18"/>
                <w:szCs w:val="18"/>
                <w:highlight w:val="none"/>
                <w:u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4"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装修管理制度完善，物业管理企业与业主(使用人)签订装饰装修管理服务协议，并已告知业主(使用人)装修管理规定及注意事项。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vMerge w:val="restart"/>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（每发现一处不符合扣1分）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6"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6"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lang w:val="en-US"/>
              </w:rPr>
              <w:suppressLineNumbers w:val="0"/>
            </w:pPr>
            <w:r>
              <w:rPr>
                <w:rFonts w:hint="eastAsia" w:ascii="宋体" w:hAnsi="宋体" w:eastAsia="宋体" w:cs="宋体"/>
                <w:i w:val="0"/>
                <w:color w:val="auto"/>
                <w:sz w:val="18"/>
                <w:szCs w:val="18"/>
                <w:highlight w:val="none"/>
                <w:u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4"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房屋外观基本完好，无妨碍市容和观瞻现象，外墙无较大破损。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6"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6"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lang w:val="en-US"/>
              </w:rPr>
              <w:suppressLineNumbers w:val="0"/>
            </w:pPr>
            <w:r>
              <w:rPr>
                <w:rFonts w:hint="eastAsia" w:ascii="宋体" w:hAnsi="宋体" w:eastAsia="宋体" w:cs="宋体"/>
                <w:i w:val="0"/>
                <w:color w:val="auto"/>
                <w:sz w:val="18"/>
                <w:szCs w:val="18"/>
                <w:highlight w:val="none"/>
                <w:u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4"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能及时制止违章装修、乱搭乱建、擅自改变房屋用途现象，并积极向有关部门举报，配合有权部门处理。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6"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45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736" w:type="dxa"/>
            <w:vAlign w:val="center"/>
            <w:vMerge w:val="restart"/>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（七）</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54" w:type="dxa"/>
            <w:vAlign w:val="center"/>
            <w:vMerge w:val="restart"/>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环 境秩 序（20分）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lang w:val="en-US"/>
              </w:rPr>
              <w:suppressLineNumbers w:val="0"/>
            </w:pPr>
            <w:r>
              <w:rPr>
                <w:rFonts w:hint="eastAsia" w:ascii="宋体" w:hAnsi="宋体" w:eastAsia="宋体" w:cs="宋体"/>
                <w:i w:val="0"/>
                <w:color w:val="auto"/>
                <w:sz w:val="18"/>
                <w:szCs w:val="18"/>
                <w:highlight w:val="none"/>
                <w:u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4"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小区主出入口设有小区平面示意图，房屋楼号、单元号标志明显，每季检查一次，损坏及时修换或喷涂。</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77" w:type="dxa"/>
            <w:vAlign w:val="center"/>
            <w:vMerge w:val="restart"/>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lang w:val="en-US" w:eastAsia="zh-CN"/>
              </w:rPr>
              <w:t xml:space="preserve">（每发现一处不符合扣1分）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6"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1179"/>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736"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954"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lang w:val="en-US"/>
              </w:rPr>
              <w:suppressLineNumbers w:val="0"/>
            </w:pPr>
            <w:r>
              <w:rPr>
                <w:rFonts w:hint="eastAsia" w:ascii="宋体" w:hAnsi="宋体" w:eastAsia="宋体" w:cs="宋体"/>
                <w:i w:val="0"/>
                <w:color w:val="auto"/>
                <w:sz w:val="18"/>
                <w:szCs w:val="18"/>
                <w:highlight w:val="none"/>
                <w:u w:val="none"/>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4"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无违反规定饲养家禽、家畜现象，宠物及信鸽饲养不得影响他人正常生活，无乱堆乱放建筑材料和垃圾现象，无未经批准乱张贴现象。</w:t>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077"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6"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285"/>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736"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954"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4"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小区内无占道经营。</w:t>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077"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6"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285"/>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736"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954"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4"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小区噪音扰民现象能及时得到制止。</w:t>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077"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6"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285"/>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736"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954"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4"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非机动车辆停放整齐有序，无占压绿地现象。</w:t>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077"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6"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285"/>
        </w:trPr>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36"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4"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车位有偿使用和车辆保管职责分明，无重大车辆管理纠纷。</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vMerge w:val="continue"/>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6"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116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社区文化活动（2分）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4"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小区订有居民精神文明公约、业主公约，精神文明建设服务制度健全，邻里团结，文明居住，有关心孤寡老人、残疾人的具体措施。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（每发现一处不符合扣1分）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6"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8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(九)</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954" w:type="dxa"/>
            <w:vAlign w:val="center"/>
            <w:textDirection w:val="lrTb"/>
            <w:noWrap/>
          </w:tcPr>
          <w:p>
            <w:pPr>
              <w:jc w:val="both"/>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综合管理与服务（5分）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4"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承接项目时，对共用部位、共用设施设备进行认真查验，验收手续齐全。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textDirection w:val="lrTb"/>
            <w:noWrap w:val="false"/>
          </w:tcPr>
          <w:p>
            <w:pPr>
              <w:jc w:val="both"/>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lang w:val="en-US" w:eastAsia="zh-CN"/>
              </w:rPr>
              <w:t xml:space="preserve">（每发现一处不符合扣1分）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6"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5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合计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rPr>
              <w:t xml:space="preserve">100分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4" w:type="dxa"/>
            <w:vAlign w:val="center"/>
            <w:textDirection w:val="lrTb"/>
            <w:noWrap w:val="false"/>
          </w:tcPr>
          <w:p>
            <w:pPr>
              <w:jc w:val="left"/>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6"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bl>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center"/>
        <w:spacing w:line="520" w:lineRule="exact"/>
        <w:widowControl/>
        <w:rPr>
          <w:rFonts w:hint="eastAsia" w:ascii="宋体" w:hAnsi="宋体" w:eastAsia="宋体" w:cs="宋体"/>
          <w:color w:val="auto"/>
          <w:sz w:val="44"/>
          <w:szCs w:val="44"/>
          <w:highlight w:val="none"/>
          <w:lang w:val="en-US" w:eastAsia="zh-CN"/>
        </w:rPr>
      </w:pPr>
      <w:r>
        <w:rPr>
          <w:rFonts w:hint="eastAsia" w:ascii="宋体" w:hAnsi="宋体" w:eastAsia="宋体" w:cs="宋体"/>
          <w:color w:val="auto"/>
          <w:sz w:val="44"/>
          <w:szCs w:val="44"/>
          <w:highlight w:val="none"/>
          <w:lang w:val="en-US" w:eastAsia="zh-CN"/>
        </w:rPr>
        <w:t xml:space="preserve">业主评分表</w:t>
      </w:r>
      <w:r/>
    </w:p>
    <w:p>
      <w:pPr>
        <w:jc w:val="center"/>
        <w:spacing w:line="520" w:lineRule="exact"/>
        <w:widowControl/>
        <w:rPr>
          <w:rFonts w:hint="eastAsia" w:ascii="宋体" w:hAnsi="宋体" w:eastAsia="宋体" w:cs="宋体"/>
          <w:color w:val="auto"/>
          <w:sz w:val="44"/>
          <w:szCs w:val="44"/>
          <w:highlight w:val="none"/>
          <w:lang w:val="en-US" w:eastAsia="zh-CN"/>
        </w:rPr>
      </w:pPr>
      <w:r>
        <w:rPr>
          <w:rFonts w:hint="eastAsia" w:ascii="宋体" w:hAnsi="宋体" w:eastAsia="宋体" w:cs="宋体"/>
          <w:color w:val="auto"/>
          <w:sz w:val="44"/>
          <w:szCs w:val="44"/>
          <w:highlight w:val="none"/>
          <w:lang w:val="en-US" w:eastAsia="zh-CN"/>
        </w:rPr>
      </w:r>
      <w:r/>
    </w:p>
    <w:tbl>
      <w:tblPr>
        <w:tblStyle w:val="65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0"/>
        <w:gridCol w:w="2700"/>
        <w:gridCol w:w="4254"/>
        <w:gridCol w:w="1196"/>
      </w:tblGrid>
      <w:tr>
        <w:trPr>
          <w:trHeight w:val="743"/>
        </w:trPr>
        <w:tc>
          <w:tcPr>
            <w:tcW w:w="910" w:type="dxa"/>
            <w:vAlign w:val="top"/>
            <w:textDirection w:val="lrTb"/>
            <w:noWrap w:val="false"/>
          </w:tcPr>
          <w:p>
            <w:pPr>
              <w:ind w:right="0"/>
              <w:jc w:val="center"/>
              <w:keepLines w:val="0"/>
              <w:keepNext w:val="0"/>
              <w:pageBreakBefore w:val="0"/>
              <w:spacing w:line="520" w:lineRule="exact"/>
              <w:widowControl w:val="off"/>
              <w:rPr>
                <w:rFonts w:hint="eastAsia" w:ascii="宋体" w:hAnsi="宋体" w:eastAsia="宋体" w:cs="宋体"/>
                <w:color w:val="auto"/>
                <w:sz w:val="28"/>
                <w:szCs w:val="28"/>
                <w:highlight w:val="none"/>
                <w:vertAlign w:val="baseline"/>
                <w:lang w:val="en-US" w:eastAsia="zh-CN"/>
              </w:rPr>
            </w:pPr>
            <w:r>
              <w:rPr>
                <w:rFonts w:hint="eastAsia" w:ascii="宋体" w:hAnsi="宋体" w:eastAsia="宋体" w:cs="宋体"/>
                <w:color w:val="auto"/>
                <w:sz w:val="28"/>
                <w:szCs w:val="28"/>
                <w:highlight w:val="none"/>
                <w:vertAlign w:val="baseline"/>
                <w:lang w:val="en-US" w:eastAsia="zh-CN"/>
              </w:rPr>
              <w:t xml:space="preserve">序号</w:t>
            </w:r>
            <w:r/>
          </w:p>
        </w:tc>
        <w:tc>
          <w:tcPr>
            <w:tcW w:w="2700" w:type="dxa"/>
            <w:vAlign w:val="top"/>
            <w:textDirection w:val="lrTb"/>
            <w:noWrap w:val="false"/>
          </w:tcPr>
          <w:p>
            <w:pPr>
              <w:ind w:right="0"/>
              <w:jc w:val="center"/>
              <w:keepLines w:val="0"/>
              <w:keepNext w:val="0"/>
              <w:pageBreakBefore w:val="0"/>
              <w:spacing w:line="520" w:lineRule="exact"/>
              <w:widowControl w:val="off"/>
              <w:rPr>
                <w:rFonts w:hint="eastAsia" w:ascii="宋体" w:hAnsi="宋体" w:eastAsia="宋体" w:cs="宋体"/>
                <w:color w:val="auto"/>
                <w:sz w:val="28"/>
                <w:szCs w:val="28"/>
                <w:highlight w:val="none"/>
                <w:vertAlign w:val="baseline"/>
                <w:lang w:val="en-US" w:eastAsia="zh-CN"/>
              </w:rPr>
            </w:pPr>
            <w:r>
              <w:rPr>
                <w:rFonts w:hint="eastAsia" w:ascii="宋体" w:hAnsi="宋体" w:eastAsia="宋体" w:cs="宋体"/>
                <w:color w:val="auto"/>
                <w:sz w:val="28"/>
                <w:szCs w:val="28"/>
                <w:highlight w:val="none"/>
                <w:vertAlign w:val="baseline"/>
                <w:lang w:val="en-US" w:eastAsia="zh-CN"/>
              </w:rPr>
              <w:t xml:space="preserve">项目</w:t>
            </w:r>
            <w:r/>
          </w:p>
        </w:tc>
        <w:tc>
          <w:tcPr>
            <w:tcW w:w="4254" w:type="dxa"/>
            <w:vAlign w:val="top"/>
            <w:textDirection w:val="lrTb"/>
            <w:noWrap w:val="false"/>
          </w:tcPr>
          <w:p>
            <w:pPr>
              <w:ind w:right="0"/>
              <w:jc w:val="center"/>
              <w:keepLines w:val="0"/>
              <w:keepNext w:val="0"/>
              <w:pageBreakBefore w:val="0"/>
              <w:spacing w:line="520" w:lineRule="exact"/>
              <w:widowControl w:val="off"/>
              <w:rPr>
                <w:rFonts w:hint="eastAsia" w:ascii="宋体" w:hAnsi="宋体" w:eastAsia="宋体" w:cs="宋体"/>
                <w:color w:val="auto"/>
                <w:sz w:val="28"/>
                <w:szCs w:val="28"/>
                <w:highlight w:val="none"/>
                <w:vertAlign w:val="baseline"/>
                <w:lang w:val="en-US" w:eastAsia="zh-CN"/>
              </w:rPr>
            </w:pPr>
            <w:r>
              <w:rPr>
                <w:rFonts w:hint="eastAsia" w:ascii="宋体" w:hAnsi="宋体" w:eastAsia="宋体" w:cs="宋体"/>
                <w:color w:val="auto"/>
                <w:sz w:val="28"/>
                <w:szCs w:val="28"/>
                <w:highlight w:val="none"/>
                <w:vertAlign w:val="baseline"/>
                <w:lang w:val="en-US" w:eastAsia="zh-CN"/>
              </w:rPr>
              <w:t xml:space="preserve">存在问题</w:t>
            </w:r>
            <w:r/>
          </w:p>
        </w:tc>
        <w:tc>
          <w:tcPr>
            <w:tcW w:w="1196" w:type="dxa"/>
            <w:vAlign w:val="top"/>
            <w:textDirection w:val="lrTb"/>
            <w:noWrap w:val="false"/>
          </w:tcPr>
          <w:p>
            <w:pPr>
              <w:ind w:right="0"/>
              <w:jc w:val="center"/>
              <w:keepLines w:val="0"/>
              <w:keepNext w:val="0"/>
              <w:pageBreakBefore w:val="0"/>
              <w:spacing w:line="520" w:lineRule="exact"/>
              <w:widowControl w:val="off"/>
              <w:rPr>
                <w:rFonts w:hint="eastAsia" w:ascii="宋体" w:hAnsi="宋体" w:eastAsia="宋体" w:cs="宋体"/>
                <w:color w:val="auto"/>
                <w:sz w:val="28"/>
                <w:szCs w:val="28"/>
                <w:highlight w:val="none"/>
                <w:vertAlign w:val="baseline"/>
                <w:lang w:val="en-US" w:eastAsia="zh-CN"/>
              </w:rPr>
            </w:pPr>
            <w:r>
              <w:rPr>
                <w:rFonts w:hint="eastAsia" w:ascii="宋体" w:hAnsi="宋体" w:eastAsia="宋体" w:cs="宋体"/>
                <w:color w:val="auto"/>
                <w:sz w:val="28"/>
                <w:szCs w:val="28"/>
                <w:highlight w:val="none"/>
                <w:vertAlign w:val="baseline"/>
                <w:lang w:val="en-US" w:eastAsia="zh-CN"/>
              </w:rPr>
              <w:t xml:space="preserve">得分</w:t>
            </w:r>
            <w:r/>
          </w:p>
        </w:tc>
      </w:tr>
      <w:tr>
        <w:trPr>
          <w:trHeight w:val="1531"/>
        </w:trPr>
        <w:tc>
          <w:tcPr>
            <w:tcW w:w="91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2700" w:type="dxa"/>
            <w:vAlign w:val="center"/>
            <w:textDirection w:val="lrTb"/>
            <w:noWrap w:val="false"/>
          </w:tcPr>
          <w:p>
            <w:pPr>
              <w:jc w:val="center"/>
              <w:widowControl/>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安全巡查（1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W w:w="4254" w:type="dxa"/>
            <w:vAlign w:val="center"/>
            <w:textDirection w:val="lrTb"/>
            <w:noWrap w:val="false"/>
          </w:tcPr>
          <w:p>
            <w:pPr>
              <w:ind w:right="800"/>
              <w:jc w:val="center"/>
              <w:spacing w:line="520" w:lineRule="exact"/>
              <w:rPr>
                <w:rFonts w:hint="eastAsia" w:ascii="宋体" w:hAnsi="宋体" w:eastAsia="宋体" w:cs="宋体"/>
                <w:color w:val="auto"/>
                <w:sz w:val="28"/>
                <w:szCs w:val="28"/>
                <w:highlight w:val="none"/>
                <w:vertAlign w:val="baseline"/>
              </w:rPr>
            </w:pPr>
            <w:r>
              <w:rPr>
                <w:rFonts w:hint="eastAsia" w:ascii="宋体" w:hAnsi="宋体" w:eastAsia="宋体" w:cs="宋体"/>
                <w:color w:val="auto"/>
                <w:sz w:val="28"/>
                <w:szCs w:val="28"/>
                <w:highlight w:val="none"/>
                <w:vertAlign w:val="baseline"/>
              </w:rPr>
            </w:r>
            <w:r/>
          </w:p>
        </w:tc>
        <w:tc>
          <w:tcPr>
            <w:tcW w:w="1196" w:type="dxa"/>
            <w:vAlign w:val="center"/>
            <w:textDirection w:val="lrTb"/>
            <w:noWrap w:val="false"/>
          </w:tcPr>
          <w:p>
            <w:pPr>
              <w:ind w:right="800"/>
              <w:jc w:val="center"/>
              <w:spacing w:line="520" w:lineRule="exact"/>
              <w:rPr>
                <w:rFonts w:hint="eastAsia" w:ascii="宋体" w:hAnsi="宋体" w:eastAsia="宋体" w:cs="宋体"/>
                <w:color w:val="auto"/>
                <w:sz w:val="28"/>
                <w:szCs w:val="28"/>
                <w:highlight w:val="none"/>
                <w:vertAlign w:val="baseline"/>
              </w:rPr>
            </w:pPr>
            <w:r>
              <w:rPr>
                <w:rFonts w:hint="eastAsia" w:ascii="宋体" w:hAnsi="宋体" w:eastAsia="宋体" w:cs="宋体"/>
                <w:color w:val="auto"/>
                <w:sz w:val="28"/>
                <w:szCs w:val="28"/>
                <w:highlight w:val="none"/>
                <w:vertAlign w:val="baseline"/>
              </w:rPr>
            </w:r>
            <w:r/>
          </w:p>
        </w:tc>
      </w:tr>
      <w:tr>
        <w:trPr>
          <w:trHeight w:val="1531"/>
        </w:trPr>
        <w:tc>
          <w:tcPr>
            <w:tcW w:w="91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27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卫生保洁（</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5分）</w:t>
            </w:r>
            <w:r/>
          </w:p>
        </w:tc>
        <w:tc>
          <w:tcPr>
            <w:tcW w:w="4254" w:type="dxa"/>
            <w:vAlign w:val="center"/>
            <w:textDirection w:val="lrTb"/>
            <w:noWrap w:val="false"/>
          </w:tcPr>
          <w:p>
            <w:pPr>
              <w:ind w:right="800"/>
              <w:jc w:val="center"/>
              <w:spacing w:line="520" w:lineRule="exact"/>
              <w:rPr>
                <w:rFonts w:hint="eastAsia" w:ascii="宋体" w:hAnsi="宋体" w:eastAsia="宋体" w:cs="宋体"/>
                <w:color w:val="auto"/>
                <w:sz w:val="28"/>
                <w:szCs w:val="28"/>
                <w:highlight w:val="none"/>
                <w:vertAlign w:val="baseline"/>
              </w:rPr>
            </w:pPr>
            <w:r>
              <w:rPr>
                <w:rFonts w:hint="eastAsia" w:ascii="宋体" w:hAnsi="宋体" w:eastAsia="宋体" w:cs="宋体"/>
                <w:color w:val="auto"/>
                <w:sz w:val="28"/>
                <w:szCs w:val="28"/>
                <w:highlight w:val="none"/>
                <w:vertAlign w:val="baseline"/>
              </w:rPr>
            </w:r>
            <w:r/>
          </w:p>
        </w:tc>
        <w:tc>
          <w:tcPr>
            <w:tcW w:w="1196" w:type="dxa"/>
            <w:vAlign w:val="center"/>
            <w:textDirection w:val="lrTb"/>
            <w:noWrap w:val="false"/>
          </w:tcPr>
          <w:p>
            <w:pPr>
              <w:ind w:right="800"/>
              <w:jc w:val="center"/>
              <w:spacing w:line="520" w:lineRule="exact"/>
              <w:rPr>
                <w:rFonts w:hint="eastAsia" w:ascii="宋体" w:hAnsi="宋体" w:eastAsia="宋体" w:cs="宋体"/>
                <w:color w:val="auto"/>
                <w:sz w:val="28"/>
                <w:szCs w:val="28"/>
                <w:highlight w:val="none"/>
                <w:vertAlign w:val="baseline"/>
              </w:rPr>
            </w:pPr>
            <w:r>
              <w:rPr>
                <w:rFonts w:hint="eastAsia" w:ascii="宋体" w:hAnsi="宋体" w:eastAsia="宋体" w:cs="宋体"/>
                <w:color w:val="auto"/>
                <w:sz w:val="28"/>
                <w:szCs w:val="28"/>
                <w:highlight w:val="none"/>
                <w:vertAlign w:val="baseline"/>
              </w:rPr>
            </w:r>
            <w:r/>
          </w:p>
        </w:tc>
      </w:tr>
      <w:tr>
        <w:trPr>
          <w:trHeight w:val="1531"/>
        </w:trPr>
        <w:tc>
          <w:tcPr>
            <w:tcW w:w="91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27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绿化养护（1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W w:w="4254" w:type="dxa"/>
            <w:vAlign w:val="center"/>
            <w:textDirection w:val="lrTb"/>
            <w:noWrap w:val="false"/>
          </w:tcPr>
          <w:p>
            <w:pPr>
              <w:ind w:right="800"/>
              <w:jc w:val="center"/>
              <w:spacing w:line="520" w:lineRule="exact"/>
              <w:rPr>
                <w:rFonts w:hint="eastAsia" w:ascii="宋体" w:hAnsi="宋体" w:eastAsia="宋体" w:cs="宋体"/>
                <w:color w:val="auto"/>
                <w:sz w:val="28"/>
                <w:szCs w:val="28"/>
                <w:highlight w:val="none"/>
                <w:vertAlign w:val="baseline"/>
              </w:rPr>
            </w:pPr>
            <w:r>
              <w:rPr>
                <w:rFonts w:hint="eastAsia" w:ascii="宋体" w:hAnsi="宋体" w:eastAsia="宋体" w:cs="宋体"/>
                <w:color w:val="auto"/>
                <w:sz w:val="28"/>
                <w:szCs w:val="28"/>
                <w:highlight w:val="none"/>
                <w:vertAlign w:val="baseline"/>
              </w:rPr>
            </w:r>
            <w:r/>
          </w:p>
        </w:tc>
        <w:tc>
          <w:tcPr>
            <w:tcW w:w="1196" w:type="dxa"/>
            <w:vAlign w:val="center"/>
            <w:textDirection w:val="lrTb"/>
            <w:noWrap w:val="false"/>
          </w:tcPr>
          <w:p>
            <w:pPr>
              <w:ind w:right="800"/>
              <w:jc w:val="center"/>
              <w:spacing w:line="520" w:lineRule="exact"/>
              <w:rPr>
                <w:rFonts w:hint="eastAsia" w:ascii="宋体" w:hAnsi="宋体" w:eastAsia="宋体" w:cs="宋体"/>
                <w:color w:val="auto"/>
                <w:sz w:val="28"/>
                <w:szCs w:val="28"/>
                <w:highlight w:val="none"/>
                <w:vertAlign w:val="baseline"/>
              </w:rPr>
            </w:pPr>
            <w:r>
              <w:rPr>
                <w:rFonts w:hint="eastAsia" w:ascii="宋体" w:hAnsi="宋体" w:eastAsia="宋体" w:cs="宋体"/>
                <w:color w:val="auto"/>
                <w:sz w:val="28"/>
                <w:szCs w:val="28"/>
                <w:highlight w:val="none"/>
                <w:vertAlign w:val="baseline"/>
              </w:rPr>
            </w:r>
            <w:r/>
          </w:p>
        </w:tc>
      </w:tr>
      <w:tr>
        <w:trPr>
          <w:trHeight w:val="1531"/>
        </w:trPr>
        <w:tc>
          <w:tcPr>
            <w:tcW w:w="91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27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投诉处理及回访</w:t>
            </w:r>
            <w:r/>
          </w:p>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20分</w:t>
            </w:r>
            <w:r>
              <w:rPr>
                <w:rFonts w:hint="eastAsia" w:ascii="宋体" w:hAnsi="宋体" w:eastAsia="宋体" w:cs="宋体"/>
                <w:color w:val="auto"/>
                <w:sz w:val="24"/>
                <w:szCs w:val="24"/>
                <w:highlight w:val="none"/>
              </w:rPr>
              <w:t xml:space="preserve">）</w:t>
            </w:r>
            <w:r/>
          </w:p>
        </w:tc>
        <w:tc>
          <w:tcPr>
            <w:tcW w:w="4254" w:type="dxa"/>
            <w:vAlign w:val="center"/>
            <w:textDirection w:val="lrTb"/>
            <w:noWrap w:val="false"/>
          </w:tcPr>
          <w:p>
            <w:pPr>
              <w:ind w:right="800"/>
              <w:jc w:val="center"/>
              <w:spacing w:line="520" w:lineRule="exact"/>
              <w:rPr>
                <w:rFonts w:hint="eastAsia" w:ascii="宋体" w:hAnsi="宋体" w:eastAsia="宋体" w:cs="宋体"/>
                <w:color w:val="auto"/>
                <w:sz w:val="28"/>
                <w:szCs w:val="28"/>
                <w:highlight w:val="none"/>
                <w:vertAlign w:val="baseline"/>
              </w:rPr>
            </w:pPr>
            <w:r>
              <w:rPr>
                <w:rFonts w:hint="eastAsia" w:ascii="宋体" w:hAnsi="宋体" w:eastAsia="宋体" w:cs="宋体"/>
                <w:color w:val="auto"/>
                <w:sz w:val="28"/>
                <w:szCs w:val="28"/>
                <w:highlight w:val="none"/>
                <w:vertAlign w:val="baseline"/>
              </w:rPr>
            </w:r>
            <w:r/>
          </w:p>
        </w:tc>
        <w:tc>
          <w:tcPr>
            <w:tcW w:w="1196" w:type="dxa"/>
            <w:vAlign w:val="center"/>
            <w:textDirection w:val="lrTb"/>
            <w:noWrap w:val="false"/>
          </w:tcPr>
          <w:p>
            <w:pPr>
              <w:ind w:right="800"/>
              <w:jc w:val="center"/>
              <w:spacing w:line="520" w:lineRule="exact"/>
              <w:rPr>
                <w:rFonts w:hint="eastAsia" w:ascii="宋体" w:hAnsi="宋体" w:eastAsia="宋体" w:cs="宋体"/>
                <w:color w:val="auto"/>
                <w:sz w:val="28"/>
                <w:szCs w:val="28"/>
                <w:highlight w:val="none"/>
                <w:vertAlign w:val="baseline"/>
              </w:rPr>
            </w:pPr>
            <w:r>
              <w:rPr>
                <w:rFonts w:hint="eastAsia" w:ascii="宋体" w:hAnsi="宋体" w:eastAsia="宋体" w:cs="宋体"/>
                <w:color w:val="auto"/>
                <w:sz w:val="28"/>
                <w:szCs w:val="28"/>
                <w:highlight w:val="none"/>
                <w:vertAlign w:val="baseline"/>
              </w:rPr>
            </w:r>
            <w:r/>
          </w:p>
        </w:tc>
      </w:tr>
      <w:tr>
        <w:trPr>
          <w:trHeight w:val="1531"/>
        </w:trPr>
        <w:tc>
          <w:tcPr>
            <w:tcW w:w="91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27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环境秩序（</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p>
        </w:tc>
        <w:tc>
          <w:tcPr>
            <w:tcW w:w="4254" w:type="dxa"/>
            <w:vAlign w:val="center"/>
            <w:textDirection w:val="lrTb"/>
            <w:noWrap w:val="false"/>
          </w:tcPr>
          <w:p>
            <w:pPr>
              <w:ind w:right="800"/>
              <w:jc w:val="center"/>
              <w:spacing w:line="520" w:lineRule="exact"/>
              <w:rPr>
                <w:rFonts w:hint="eastAsia" w:ascii="宋体" w:hAnsi="宋体" w:eastAsia="宋体" w:cs="宋体"/>
                <w:color w:val="auto"/>
                <w:sz w:val="28"/>
                <w:szCs w:val="28"/>
                <w:highlight w:val="none"/>
                <w:vertAlign w:val="baseline"/>
              </w:rPr>
            </w:pPr>
            <w:r>
              <w:rPr>
                <w:rFonts w:hint="eastAsia" w:ascii="宋体" w:hAnsi="宋体" w:eastAsia="宋体" w:cs="宋体"/>
                <w:color w:val="auto"/>
                <w:sz w:val="28"/>
                <w:szCs w:val="28"/>
                <w:highlight w:val="none"/>
                <w:vertAlign w:val="baseline"/>
              </w:rPr>
            </w:r>
            <w:r/>
          </w:p>
        </w:tc>
        <w:tc>
          <w:tcPr>
            <w:tcW w:w="1196" w:type="dxa"/>
            <w:vAlign w:val="center"/>
            <w:textDirection w:val="lrTb"/>
            <w:noWrap w:val="false"/>
          </w:tcPr>
          <w:p>
            <w:pPr>
              <w:ind w:right="800"/>
              <w:jc w:val="center"/>
              <w:spacing w:line="520" w:lineRule="exact"/>
              <w:rPr>
                <w:rFonts w:hint="eastAsia" w:ascii="宋体" w:hAnsi="宋体" w:eastAsia="宋体" w:cs="宋体"/>
                <w:color w:val="auto"/>
                <w:sz w:val="28"/>
                <w:szCs w:val="28"/>
                <w:highlight w:val="none"/>
                <w:vertAlign w:val="baseline"/>
              </w:rPr>
            </w:pPr>
            <w:r>
              <w:rPr>
                <w:rFonts w:hint="eastAsia" w:ascii="宋体" w:hAnsi="宋体" w:eastAsia="宋体" w:cs="宋体"/>
                <w:color w:val="auto"/>
                <w:sz w:val="28"/>
                <w:szCs w:val="28"/>
                <w:highlight w:val="none"/>
                <w:vertAlign w:val="baseline"/>
              </w:rPr>
            </w:r>
            <w:r/>
          </w:p>
        </w:tc>
      </w:tr>
      <w:tr>
        <w:trPr>
          <w:trHeight w:val="1531"/>
        </w:trPr>
        <w:tc>
          <w:tcPr>
            <w:tcW w:w="91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27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车辆管理（1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W w:w="4254" w:type="dxa"/>
            <w:vAlign w:val="center"/>
            <w:textDirection w:val="lrTb"/>
            <w:noWrap w:val="false"/>
          </w:tcPr>
          <w:p>
            <w:pPr>
              <w:ind w:right="800"/>
              <w:jc w:val="center"/>
              <w:spacing w:line="520" w:lineRule="exact"/>
              <w:rPr>
                <w:rFonts w:hint="eastAsia" w:ascii="宋体" w:hAnsi="宋体" w:eastAsia="宋体" w:cs="宋体"/>
                <w:color w:val="auto"/>
                <w:sz w:val="28"/>
                <w:szCs w:val="28"/>
                <w:highlight w:val="none"/>
                <w:vertAlign w:val="baseline"/>
              </w:rPr>
            </w:pPr>
            <w:r>
              <w:rPr>
                <w:rFonts w:hint="eastAsia" w:ascii="宋体" w:hAnsi="宋体" w:eastAsia="宋体" w:cs="宋体"/>
                <w:color w:val="auto"/>
                <w:sz w:val="28"/>
                <w:szCs w:val="28"/>
                <w:highlight w:val="none"/>
                <w:vertAlign w:val="baseline"/>
              </w:rPr>
            </w:r>
            <w:r/>
          </w:p>
        </w:tc>
        <w:tc>
          <w:tcPr>
            <w:tcW w:w="1196" w:type="dxa"/>
            <w:vAlign w:val="center"/>
            <w:textDirection w:val="lrTb"/>
            <w:noWrap w:val="false"/>
          </w:tcPr>
          <w:p>
            <w:pPr>
              <w:ind w:right="800"/>
              <w:jc w:val="center"/>
              <w:spacing w:line="520" w:lineRule="exact"/>
              <w:rPr>
                <w:rFonts w:hint="eastAsia" w:ascii="宋体" w:hAnsi="宋体" w:eastAsia="宋体" w:cs="宋体"/>
                <w:color w:val="auto"/>
                <w:sz w:val="28"/>
                <w:szCs w:val="28"/>
                <w:highlight w:val="none"/>
                <w:vertAlign w:val="baseline"/>
              </w:rPr>
            </w:pPr>
            <w:r>
              <w:rPr>
                <w:rFonts w:hint="eastAsia" w:ascii="宋体" w:hAnsi="宋体" w:eastAsia="宋体" w:cs="宋体"/>
                <w:color w:val="auto"/>
                <w:sz w:val="28"/>
                <w:szCs w:val="28"/>
                <w:highlight w:val="none"/>
                <w:vertAlign w:val="baseline"/>
              </w:rPr>
            </w:r>
            <w:r/>
          </w:p>
        </w:tc>
      </w:tr>
    </w:tbl>
    <w:p>
      <w:pPr>
        <w:pStyle w:val="734"/>
        <w:jc w:val="center"/>
        <w:spacing w:before="120" w:beforeAutospacing="0" w:after="120" w:afterAutospacing="0" w:line="0" w:lineRule="atLeast"/>
        <w:rPr>
          <w:rFonts w:hint="eastAsia" w:ascii="宋体" w:hAnsi="宋体" w:eastAsia="宋体" w:cs="宋体"/>
          <w:color w:val="auto"/>
          <w:sz w:val="44"/>
          <w:szCs w:val="44"/>
          <w:highlight w:val="none"/>
        </w:rPr>
      </w:pPr>
      <w:r/>
      <w:bookmarkStart w:id="64" w:name="_Toc479757211"/>
      <w:r/>
      <w:bookmarkStart w:id="65" w:name="_Toc462564139"/>
      <w:r/>
      <w:bookmarkStart w:id="66" w:name="_Toc120614244"/>
      <w:r/>
      <w:bookmarkStart w:id="67" w:name="_Hlt16619350"/>
      <w:r/>
      <w:bookmarkStart w:id="68" w:name="_Toc16938590"/>
      <w:r/>
      <w:bookmarkStart w:id="69" w:name="_Toc20823346"/>
      <w:r/>
      <w:bookmarkStart w:id="70" w:name="_Hlt16619369"/>
      <w:r>
        <w:rPr>
          <w:rFonts w:hint="eastAsia" w:ascii="宋体" w:hAnsi="宋体" w:eastAsia="宋体" w:cs="宋体"/>
          <w:color w:val="auto"/>
          <w:sz w:val="44"/>
          <w:szCs w:val="44"/>
          <w:highlight w:val="none"/>
        </w:rPr>
        <w:t xml:space="preserve"> </w:t>
      </w:r>
      <w:r/>
    </w:p>
    <w:p>
      <w:pPr>
        <w:jc w:val="center"/>
        <w:rPr>
          <w:rFonts w:hint="eastAsia" w:ascii="宋体" w:hAnsi="宋体" w:eastAsia="宋体" w:cs="宋体"/>
          <w:color w:val="auto"/>
          <w:highlight w:val="none"/>
        </w:rPr>
      </w:pPr>
      <w:r>
        <w:rPr>
          <w:rFonts w:hint="eastAsia" w:ascii="宋体" w:hAnsi="宋体" w:eastAsia="宋体" w:cs="宋体"/>
          <w:color w:val="auto"/>
          <w:sz w:val="44"/>
          <w:szCs w:val="44"/>
          <w:highlight w:val="none"/>
        </w:rPr>
        <w:br w:type="page" w:clear="all"/>
      </w:r>
      <w:r>
        <w:rPr>
          <w:rFonts w:hint="eastAsia" w:ascii="宋体" w:hAnsi="宋体" w:eastAsia="宋体" w:cs="宋体"/>
          <w:color w:val="auto"/>
          <w:sz w:val="44"/>
          <w:szCs w:val="44"/>
          <w:highlight w:val="none"/>
        </w:rPr>
        <w:t xml:space="preserve">第</w:t>
      </w:r>
      <w:bookmarkEnd w:id="64"/>
      <w:r>
        <w:rPr>
          <w:rFonts w:hint="eastAsia" w:ascii="宋体" w:hAnsi="宋体" w:eastAsia="宋体" w:cs="宋体"/>
          <w:color w:val="auto"/>
          <w:sz w:val="44"/>
          <w:szCs w:val="44"/>
          <w:highlight w:val="none"/>
        </w:rPr>
        <w:t xml:space="preserve">四章 采购需求</w:t>
      </w:r>
      <w:bookmarkEnd w:id="65"/>
      <w:r/>
      <w:bookmarkEnd w:id="66"/>
      <w:r/>
      <w:bookmarkEnd w:id="67"/>
      <w:r/>
      <w:bookmarkEnd w:id="68"/>
      <w:r/>
      <w:bookmarkEnd w:id="69"/>
      <w:r/>
      <w:r/>
    </w:p>
    <w:p>
      <w:pPr>
        <w:pStyle w:val="734"/>
        <w:jc w:val="both"/>
        <w:spacing w:beforeAutospacing="0" w:afterAutospacing="0" w:line="0" w:lineRule="atLeast"/>
        <w:rPr>
          <w:rFonts w:hint="eastAsia" w:ascii="宋体" w:hAnsi="宋体" w:eastAsia="宋体" w:cs="宋体"/>
          <w:color w:val="auto"/>
          <w:highlight w:val="none"/>
        </w:rPr>
      </w:pPr>
      <w:r/>
      <w:bookmarkStart w:id="71" w:name="_Toc49090575"/>
      <w:r/>
      <w:bookmarkStart w:id="72" w:name="_Toc26554093"/>
      <w:r>
        <w:rPr>
          <w:rFonts w:hint="eastAsia" w:ascii="宋体" w:hAnsi="宋体" w:eastAsia="宋体" w:cs="宋体"/>
          <w:color w:val="auto"/>
          <w:highlight w:val="none"/>
        </w:rPr>
        <w:t xml:space="preserve">项目属性:服务类项目。</w:t>
      </w:r>
      <w:bookmarkEnd w:id="71"/>
      <w:r/>
      <w:bookmarkEnd w:id="72"/>
      <w:r/>
      <w:r/>
    </w:p>
    <w:p>
      <w:pPr>
        <w:ind w:firstLine="482"/>
        <w:jc w:val="left"/>
        <w:keepLines w:val="0"/>
        <w:keepNext w:val="0"/>
        <w:pageBreakBefore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一、项目概况</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盐南高新区新都街道辖区拆迁安置小区和老旧小区选聘物业服务项目</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镇北路小区、娱乐二三组、新丰花园、香苑小区、康乐苑、先进小区、福裕小区、大宇花园南区；老旧小区：金鹰雅居（高层）、金鹰雅居（多层）、娱乐公寓、娱乐商业街、吉祥综合楼、农贸小区、高登建设组团、热电厂家属区、油脂厂家属区、成华学校家属区等拆迁安置小区物业服务项目</w:t>
      </w:r>
      <w:r>
        <w:rPr>
          <w:rFonts w:hint="eastAsia" w:ascii="宋体" w:hAnsi="宋体" w:eastAsia="宋体" w:cs="宋体"/>
          <w:color w:val="auto"/>
          <w:sz w:val="24"/>
          <w:szCs w:val="24"/>
          <w:highlight w:val="none"/>
        </w:rPr>
        <w:t xml:space="preserve">，具体内容及要求详见招标文件第四章项目需求。</w:t>
      </w:r>
      <w:r/>
    </w:p>
    <w:p>
      <w:pPr>
        <w:ind w:firstLine="482"/>
        <w:jc w:val="left"/>
        <w:keepLines w:val="0"/>
        <w:keepNext w:val="0"/>
        <w:pageBreakBefore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二、项目内容及要求</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采购内容：</w:t>
      </w:r>
      <w:r>
        <w:rPr>
          <w:rFonts w:hint="eastAsia" w:ascii="宋体" w:hAnsi="宋体" w:eastAsia="宋体" w:cs="宋体"/>
          <w:color w:val="auto"/>
          <w:sz w:val="24"/>
          <w:highlight w:val="none"/>
          <w:lang w:eastAsia="zh-CN"/>
        </w:rPr>
        <w:t xml:space="preserve">盐南高新区新都街道辖区拆迁安置小区和老旧小区选聘物业服务项目</w:t>
      </w:r>
      <w:r>
        <w:rPr>
          <w:rFonts w:hint="eastAsia" w:ascii="宋体" w:hAnsi="宋体" w:eastAsia="宋体" w:cs="宋体"/>
          <w:color w:val="auto"/>
          <w:sz w:val="24"/>
          <w:highlight w:val="none"/>
        </w:rPr>
        <w:t xml:space="preserve">, 含治安保卫、卫生保洁、绿化养护、日常消防、电梯检查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含维保</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设备维修、</w:t>
      </w:r>
      <w:r>
        <w:rPr>
          <w:rFonts w:hint="eastAsia" w:ascii="宋体" w:hAnsi="宋体" w:eastAsia="宋体" w:cs="宋体"/>
          <w:color w:val="auto"/>
          <w:sz w:val="24"/>
          <w:highlight w:val="none"/>
        </w:rPr>
        <w:t xml:space="preserve">楼宇设备运行维护等物业管理工作。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2、具体服务事项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2.1乙方</w:t>
      </w:r>
      <w:r>
        <w:rPr>
          <w:rFonts w:hint="eastAsia" w:ascii="宋体" w:hAnsi="宋体" w:eastAsia="宋体" w:cs="宋体"/>
          <w:color w:val="auto"/>
          <w:sz w:val="24"/>
          <w:szCs w:val="24"/>
          <w:highlight w:val="none"/>
        </w:rPr>
        <w:t xml:space="preserve">应按照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盐南高新区老旧小区及拆迁安置小区物业管理服务等级标准及评分细则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含</w:t>
      </w:r>
      <w:r>
        <w:rPr>
          <w:rFonts w:hint="eastAsia" w:ascii="宋体" w:hAnsi="宋体" w:eastAsia="宋体" w:cs="宋体"/>
          <w:color w:val="auto"/>
          <w:sz w:val="24"/>
          <w:szCs w:val="24"/>
          <w:highlight w:val="none"/>
        </w:rPr>
        <w:t xml:space="preserve">高层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多层、开放式</w:t>
      </w:r>
      <w:r>
        <w:rPr>
          <w:rFonts w:hint="eastAsia" w:ascii="宋体" w:hAnsi="宋体" w:eastAsia="宋体" w:cs="宋体"/>
          <w:color w:val="auto"/>
          <w:sz w:val="24"/>
          <w:szCs w:val="24"/>
          <w:highlight w:val="none"/>
        </w:rPr>
        <w:t xml:space="preserve">）提供物业管理服务</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2.2乙方当做好</w:t>
      </w:r>
      <w:r>
        <w:rPr>
          <w:rFonts w:hint="eastAsia" w:ascii="宋体" w:hAnsi="宋体" w:eastAsia="宋体" w:cs="宋体"/>
          <w:color w:val="auto"/>
          <w:sz w:val="24"/>
          <w:szCs w:val="24"/>
          <w:highlight w:val="none"/>
        </w:rPr>
        <w:t xml:space="preserve">物业装饰装修的开工登记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高空作业（安装空调、玻璃等）、动火作业的</w:t>
      </w:r>
      <w:r>
        <w:rPr>
          <w:rFonts w:hint="eastAsia" w:ascii="宋体" w:hAnsi="宋体" w:eastAsia="宋体" w:cs="宋体"/>
          <w:color w:val="auto"/>
          <w:sz w:val="24"/>
          <w:szCs w:val="24"/>
          <w:highlight w:val="none"/>
        </w:rPr>
        <w:t xml:space="preserve">安全警示及违规装修的劝阻上报工作、装饰装修垃圾清运等管理服务</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2.3乙方应当做好消防安全管理工作，如清理楼道等公共部位的杂物，禁止电瓶车上楼和私拉乱接等工作，落实好相关消防安全责任。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其他物业服务事项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如乙方提供特约服务的，需经街道同意后提供。</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房屋建筑公用部位的维修（不包括保修期范围内的项目及大、中修项目，但有义务协助，本条同样适用下面各类服务内容的处理）、维护和管理，包括：公共屋面、外墙面、承重结构、走廊通道、门厅、储物室、配电房、控制中心、加压泵站、电梯通道。</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共用设备设施的维修养护、运行和管理，包括：景观水景、文化娱乐小区、休闲主题小区、体育健身小区、给排水系统、供配电系统、消防系统、电梯、垃圾处理设施、监控系统、可视对讲系统、周界报警、电子巡更、停车场智能管理系统以及其它智能化系统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市政共用设施和附属建筑物、构筑物的维修养护和管理，包括公共厕所、垃圾房、道路、楼道、应急通道、共用部位窗户、落水管道、化粪池、下水道、沟渠、停车场、城市小区等。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rPr>
        <w:t xml:space="preserve">公用绿化、建筑小品等的养护与管理，包括中心绿地、水景、休闲小区的绿化景观带的养护与管理。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附属配套建筑物如社区活动用房、室外健身娱乐活动场地、会所及其设施的小修、养护和管理。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2.10</w:t>
      </w:r>
      <w:r>
        <w:rPr>
          <w:rFonts w:hint="eastAsia" w:ascii="宋体" w:hAnsi="宋体" w:eastAsia="宋体" w:cs="宋体"/>
          <w:color w:val="auto"/>
          <w:sz w:val="24"/>
          <w:szCs w:val="24"/>
          <w:highlight w:val="none"/>
        </w:rPr>
        <w:t xml:space="preserve">公共环境清洁，包括公共场所、房屋共用部位的清洁卫生、垃圾的收集、清运。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2.11</w:t>
      </w:r>
      <w:r>
        <w:rPr>
          <w:rFonts w:hint="eastAsia" w:ascii="宋体" w:hAnsi="宋体" w:eastAsia="宋体" w:cs="宋体"/>
          <w:color w:val="auto"/>
          <w:sz w:val="24"/>
          <w:szCs w:val="24"/>
          <w:highlight w:val="none"/>
        </w:rPr>
        <w:t xml:space="preserve">交通与车辆停放秩序的管理，尤其是小区出入口附近、小区内以及商业用房的交通与车辆管理。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2.12</w:t>
      </w:r>
      <w:r>
        <w:rPr>
          <w:rFonts w:hint="eastAsia" w:ascii="宋体" w:hAnsi="宋体" w:eastAsia="宋体" w:cs="宋体"/>
          <w:color w:val="auto"/>
          <w:sz w:val="24"/>
          <w:szCs w:val="24"/>
          <w:highlight w:val="none"/>
        </w:rPr>
        <w:t xml:space="preserve">治安防范、消防</w:t>
      </w:r>
      <w:r>
        <w:rPr>
          <w:rFonts w:hint="eastAsia" w:ascii="宋体" w:hAnsi="宋体" w:eastAsia="宋体" w:cs="宋体"/>
          <w:color w:val="auto"/>
          <w:sz w:val="24"/>
          <w:szCs w:val="24"/>
          <w:highlight w:val="none"/>
          <w:lang w:val="en-US" w:eastAsia="zh-CN"/>
        </w:rPr>
        <w:t xml:space="preserve">控制室值班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公共秩序维护管理，尤其是小区出入口附近、小区内以及商业用房的治安防范、公共秩序管理。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2.13</w:t>
      </w:r>
      <w:r>
        <w:rPr>
          <w:rFonts w:hint="eastAsia" w:ascii="宋体" w:hAnsi="宋体" w:eastAsia="宋体" w:cs="宋体"/>
          <w:color w:val="auto"/>
          <w:sz w:val="24"/>
          <w:szCs w:val="24"/>
          <w:highlight w:val="none"/>
        </w:rPr>
        <w:t xml:space="preserve">应用计算机系统对与物业相关的工程图纸、竣工验收资料、业主/物业使用人档案、入住档案以及物业服务管理和收费情况进行管理。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做好便民信息和物业管理相关宣传工作，组织开展好社区文化活动。</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建立、完善相关规章制度与服务标准，并制定物业服务工作计划。</w:t>
      </w:r>
      <w:r/>
    </w:p>
    <w:p>
      <w:pPr>
        <w:ind w:firstLine="482"/>
        <w:jc w:val="left"/>
        <w:keepLines w:val="0"/>
        <w:keepNext w:val="0"/>
        <w:pageBreakBefore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三、项目要求</w:t>
      </w:r>
      <w:r/>
    </w:p>
    <w:p>
      <w:pPr>
        <w:ind w:firstLine="482"/>
        <w:jc w:val="left"/>
        <w:keepLines w:val="0"/>
        <w:keepNext w:val="0"/>
        <w:pageBreakBefore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1、总体要求：</w:t>
      </w:r>
      <w:r/>
    </w:p>
    <w:p>
      <w:pPr>
        <w:ind w:firstLine="482"/>
        <w:jc w:val="left"/>
        <w:keepLines w:val="0"/>
        <w:keepNext w:val="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为甲方提供优质、高效服务，人员安排服从甲方要求。</w:t>
      </w:r>
      <w:r/>
    </w:p>
    <w:p>
      <w:pPr>
        <w:ind w:firstLine="482"/>
        <w:jc w:val="left"/>
        <w:keepLines w:val="0"/>
        <w:keepNext w:val="0"/>
        <w:pageBreakBefore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人员要求：</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.1 人员基本原则：精干 高效 专业 敬业 健康。</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.2 人员数量要求（</w:t>
      </w:r>
      <w:r>
        <w:rPr>
          <w:rFonts w:hint="eastAsia" w:ascii="宋体" w:hAnsi="宋体" w:eastAsia="宋体" w:cs="宋体"/>
          <w:b/>
          <w:bCs/>
          <w:i/>
          <w:iCs/>
          <w:color w:val="auto"/>
          <w:sz w:val="24"/>
          <w:highlight w:val="none"/>
          <w:u w:val="single"/>
        </w:rPr>
        <w:t xml:space="preserve">投入本项目的各类人员不得少于以下标准，否则作无效标书</w:t>
      </w:r>
      <w:r>
        <w:rPr>
          <w:rFonts w:hint="eastAsia" w:ascii="宋体" w:hAnsi="宋体" w:eastAsia="宋体" w:cs="宋体"/>
          <w:color w:val="auto"/>
          <w:sz w:val="24"/>
          <w:highlight w:val="none"/>
        </w:rPr>
        <w:t xml:space="preserve">）：</w:t>
      </w:r>
      <w:r/>
    </w:p>
    <w:tbl>
      <w:tblPr>
        <w:tblStyle w:val="651"/>
        <w:tblW w:w="84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3"/>
        <w:gridCol w:w="2965"/>
        <w:gridCol w:w="2428"/>
        <w:gridCol w:w="1908"/>
      </w:tblGrid>
      <w:tr>
        <w:trPr>
          <w:jc w:val="center"/>
          <w:trHeight w:val="454"/>
        </w:trPr>
        <w:tc>
          <w:tcPr>
            <w:tcW w:w="110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29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项目职务</w:t>
            </w:r>
            <w:r/>
          </w:p>
        </w:tc>
        <w:tc>
          <w:tcPr>
            <w:tcW w:w="24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人员数量要求</w:t>
            </w:r>
            <w:r/>
          </w:p>
        </w:tc>
        <w:tc>
          <w:tcPr>
            <w:tcW w:w="190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jc w:val="center"/>
          <w:trHeight w:val="454"/>
        </w:trPr>
        <w:tc>
          <w:tcPr>
            <w:tcW w:w="110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29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项目负责人（项目经理）</w:t>
            </w:r>
            <w:r/>
          </w:p>
        </w:tc>
        <w:tc>
          <w:tcPr>
            <w:tcW w:w="24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1人</w:t>
            </w:r>
            <w:r/>
          </w:p>
        </w:tc>
        <w:tc>
          <w:tcPr>
            <w:tcW w:w="190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54"/>
        </w:trPr>
        <w:tc>
          <w:tcPr>
            <w:tcW w:w="110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29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主管人员</w:t>
            </w:r>
            <w:r/>
          </w:p>
        </w:tc>
        <w:tc>
          <w:tcPr>
            <w:tcW w:w="24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3人</w:t>
            </w:r>
            <w:r/>
          </w:p>
        </w:tc>
        <w:tc>
          <w:tcPr>
            <w:tcW w:w="190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54"/>
        </w:trPr>
        <w:tc>
          <w:tcPr>
            <w:tcW w:w="110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29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保洁人员</w:t>
            </w:r>
            <w:r/>
          </w:p>
        </w:tc>
        <w:tc>
          <w:tcPr>
            <w:tcW w:w="24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37人</w:t>
            </w:r>
            <w:r/>
          </w:p>
        </w:tc>
        <w:tc>
          <w:tcPr>
            <w:tcW w:w="190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54"/>
        </w:trPr>
        <w:tc>
          <w:tcPr>
            <w:tcW w:w="110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29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安保人员</w:t>
            </w:r>
            <w:r/>
          </w:p>
        </w:tc>
        <w:tc>
          <w:tcPr>
            <w:tcW w:w="24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18人</w:t>
            </w:r>
            <w:bookmarkStart w:id="126" w:name="_GoBack"/>
            <w:r/>
            <w:bookmarkEnd w:id="126"/>
            <w:r/>
            <w:r/>
          </w:p>
        </w:tc>
        <w:tc>
          <w:tcPr>
            <w:tcW w:w="1908" w:type="dxa"/>
            <w:vAlign w:val="center"/>
            <w:textDirection w:val="lrTb"/>
            <w:noWrap w:val="false"/>
          </w:tcPr>
          <w:p>
            <w:pPr>
              <w:jc w:val="center"/>
              <w:keepLines w:val="0"/>
              <w:keepNext w:val="0"/>
              <w:pageBreakBefore w:val="0"/>
              <w:spacing w:line="360" w:lineRule="auto"/>
              <w:widowControl/>
              <w:rPr>
                <w:rFonts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协助消控监控室值班</w:t>
            </w:r>
            <w:r/>
          </w:p>
        </w:tc>
      </w:tr>
      <w:tr>
        <w:trPr>
          <w:jc w:val="center"/>
          <w:trHeight w:val="454"/>
        </w:trPr>
        <w:tc>
          <w:tcPr>
            <w:tcW w:w="110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5</w:t>
            </w:r>
            <w:r/>
          </w:p>
        </w:tc>
        <w:tc>
          <w:tcPr>
            <w:tcW w:w="29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工程维修人员</w:t>
            </w:r>
            <w:r/>
          </w:p>
        </w:tc>
        <w:tc>
          <w:tcPr>
            <w:tcW w:w="24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3人</w:t>
            </w:r>
            <w:r/>
          </w:p>
        </w:tc>
        <w:tc>
          <w:tcPr>
            <w:tcW w:w="190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54"/>
        </w:trPr>
        <w:tc>
          <w:tcPr>
            <w:tcW w:w="110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w:t>
            </w:r>
            <w:r/>
          </w:p>
        </w:tc>
        <w:tc>
          <w:tcPr>
            <w:tcW w:w="29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消控室值班人员</w:t>
            </w:r>
            <w:r/>
          </w:p>
        </w:tc>
        <w:tc>
          <w:tcPr>
            <w:tcW w:w="24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4人</w:t>
            </w:r>
            <w:r/>
          </w:p>
        </w:tc>
        <w:tc>
          <w:tcPr>
            <w:tcW w:w="190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91"/>
        </w:trPr>
        <w:tc>
          <w:tcPr>
            <w:gridSpan w:val="2"/>
            <w:tcW w:w="406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   计</w:t>
            </w:r>
            <w:r/>
          </w:p>
        </w:tc>
        <w:tc>
          <w:tcPr>
            <w:tcW w:w="24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66</w:t>
            </w:r>
            <w:r>
              <w:rPr>
                <w:rFonts w:hint="eastAsia" w:ascii="宋体" w:hAnsi="宋体" w:eastAsia="宋体" w:cs="宋体"/>
                <w:color w:val="auto"/>
                <w:sz w:val="24"/>
                <w:highlight w:val="none"/>
              </w:rPr>
              <w:t xml:space="preserve">人</w:t>
            </w:r>
            <w:r/>
          </w:p>
        </w:tc>
        <w:tc>
          <w:tcPr>
            <w:tcW w:w="190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482"/>
        <w:jc w:val="left"/>
        <w:keepLines w:val="0"/>
        <w:keepNext w:val="0"/>
        <w:pageBreakBefore w:val="0"/>
        <w:spacing w:line="360" w:lineRule="auto"/>
        <w:widowControl/>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2.3项目负责人（项目经理）</w:t>
      </w:r>
      <w:r/>
    </w:p>
    <w:p>
      <w:pPr>
        <w:ind w:firstLine="482"/>
        <w:jc w:val="left"/>
        <w:keepLines w:val="0"/>
        <w:keepNext w:val="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color w:val="auto"/>
          <w:sz w:val="24"/>
          <w:highlight w:val="none"/>
          <w:lang w:val="en-US" w:eastAsia="zh-CN"/>
        </w:rPr>
        <w:t xml:space="preserve">年龄要求男性60（含）周岁以下、女性50（含）周岁以下，</w:t>
      </w:r>
      <w:r>
        <w:rPr>
          <w:rFonts w:hint="eastAsia" w:ascii="宋体" w:hAnsi="宋体" w:eastAsia="宋体" w:cs="宋体"/>
          <w:b w:val="0"/>
          <w:bCs w:val="0"/>
          <w:color w:val="auto"/>
          <w:sz w:val="24"/>
          <w:highlight w:val="none"/>
          <w:lang w:val="en-US" w:eastAsia="zh-CN"/>
        </w:rPr>
        <w:t xml:space="preserve">身体健康，大专及以上学历，具有丰富的工作经验，还应具有工程管理，知识面广，专业技能熟练，有较强的组织领导能力和协调能力。</w:t>
      </w:r>
      <w:r/>
    </w:p>
    <w:p>
      <w:pPr>
        <w:ind w:firstLine="482"/>
        <w:jc w:val="left"/>
        <w:keepLines w:val="0"/>
        <w:keepNext w:val="0"/>
        <w:pageBreakBefore w:val="0"/>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2.</w:t>
      </w: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 </w:t>
      </w:r>
      <w:r>
        <w:rPr>
          <w:rFonts w:hint="eastAsia" w:ascii="宋体" w:hAnsi="宋体" w:eastAsia="宋体" w:cs="宋体"/>
          <w:b/>
          <w:bCs/>
          <w:color w:val="auto"/>
          <w:sz w:val="24"/>
          <w:highlight w:val="none"/>
          <w:lang w:val="en-US" w:eastAsia="zh-CN"/>
        </w:rPr>
        <w:t xml:space="preserve">保安人员</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秩序维护和管理，安排人员 24 小时值班，每日对服务地点进行安全巡逻、秩序管理、大门值班管理，劝导、制止服务地点内车辆乱停放、私设地锁、私拉电线、杂物乱堆放等行为。</w:t>
      </w:r>
      <w:r/>
    </w:p>
    <w:p>
      <w:pPr>
        <w:ind w:firstLine="480"/>
        <w:keepLines w:val="0"/>
        <w:keepNext w:val="0"/>
        <w:pageBreakBefore w:val="0"/>
        <w:spacing w:line="360" w:lineRule="auto"/>
        <w:rPr>
          <w:rFonts w:hint="eastAsia" w:ascii="宋体" w:hAnsi="宋体" w:eastAsia="宋体" w:cs="宋体"/>
          <w:color w:val="auto"/>
          <w:sz w:val="24"/>
          <w:highlight w:val="none"/>
        </w:rPr>
      </w:pPr>
      <w:r/>
      <w:bookmarkStart w:id="73" w:name="（2）负责进入登记，包括来访人员联系方式，来访事由，体温检测（扫码）等；根据招标"/>
      <w:r/>
      <w:bookmarkEnd w:id="73"/>
      <w:r/>
      <w:bookmarkStart w:id="74" w:name="（2）负责进入登记，包括来访人员联系方式，来访事由，体温检测（扫码）等；根据招标"/>
      <w:r/>
      <w:bookmarkEnd w:id="74"/>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负责进入登记，包括来访人员联系方式，来访事由，体温检测（扫码）等；根据</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要求及疫情等级要求，切实做好疫情防控工作。</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bookmarkStart w:id="75" w:name="（3）来访人员的正确引导工作；大宗物品出门的检查、登记工作；中标人协助做好各部门"/>
      <w:r/>
      <w:bookmarkEnd w:id="75"/>
      <w:r/>
      <w:bookmarkStart w:id="76" w:name="（3）来访人员的正确引导工作；大宗物品出门的检查、登记工作；中标人协助做好各部门"/>
      <w:r/>
      <w:bookmarkEnd w:id="76"/>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来访人员的正确引导工作；大宗物品出门的检查、登记工作；中标人协助做好各部门报纸、刊物、信函的收集及登记工作；代收并保管快递、信件</w:t>
      </w:r>
      <w:r>
        <w:rPr>
          <w:rFonts w:hint="eastAsia" w:ascii="宋体" w:hAnsi="宋体" w:eastAsia="宋体" w:cs="宋体"/>
          <w:color w:val="auto"/>
          <w:sz w:val="24"/>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（4）年龄要求男性60（含）周岁以下、女性50（含）周岁以下，具有初中及以上学历，具有上岗证保安员证书，</w:t>
      </w:r>
      <w:r>
        <w:rPr>
          <w:rFonts w:hint="eastAsia" w:ascii="宋体" w:hAnsi="宋体" w:eastAsia="宋体" w:cs="宋体"/>
          <w:color w:val="auto"/>
          <w:sz w:val="24"/>
          <w:highlight w:val="none"/>
        </w:rPr>
        <w:t xml:space="preserve">身体健康能够适应本质工作的需求，吃苦耐劳、责任心和执行力强</w:t>
      </w:r>
      <w:r>
        <w:rPr>
          <w:rFonts w:hint="eastAsia" w:ascii="宋体" w:hAnsi="宋体" w:eastAsia="宋体" w:cs="宋体"/>
          <w:color w:val="auto"/>
          <w:sz w:val="24"/>
          <w:highlight w:val="none"/>
          <w:lang w:eastAsia="zh-CN"/>
        </w:rPr>
        <w:t xml:space="preserve">，具有消防业务知识，了解国家相关法律法规，具备承担工作的内外问题及独立解决困难的能力，具备良好的职业素养及职业道德，有1年以上工作经验</w:t>
      </w:r>
      <w:r>
        <w:rPr>
          <w:rFonts w:hint="eastAsia" w:ascii="宋体" w:hAnsi="宋体" w:eastAsia="宋体" w:cs="宋体"/>
          <w:color w:val="auto"/>
          <w:sz w:val="24"/>
          <w:highlight w:val="none"/>
          <w:lang w:val="en-US" w:eastAsia="zh-CN"/>
        </w:rPr>
        <w:t xml:space="preserve">优先</w:t>
      </w:r>
      <w:r>
        <w:rPr>
          <w:rFonts w:hint="eastAsia" w:ascii="宋体" w:hAnsi="宋体" w:eastAsia="宋体" w:cs="宋体"/>
          <w:color w:val="auto"/>
          <w:sz w:val="24"/>
          <w:highlight w:val="none"/>
        </w:rPr>
        <w:t xml:space="preserve">。</w:t>
      </w:r>
      <w:r/>
    </w:p>
    <w:p>
      <w:pPr>
        <w:ind w:firstLine="482"/>
        <w:jc w:val="left"/>
        <w:keepLines w:val="0"/>
        <w:keepNext w:val="0"/>
        <w:pageBreakBefore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消防监控室值班人员</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eastAsia="zh-CN"/>
        </w:rPr>
        <w:t xml:space="preserve">认真贯彻上级有关消防安全工作的指示和规定。</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eastAsia="zh-CN"/>
        </w:rPr>
        <w:t xml:space="preserve">熟悉掌握消防设备的使用性能，保证救灾过程中操作有序、准确迅速。</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eastAsia="zh-CN"/>
        </w:rPr>
        <w:t xml:space="preserve">做好消防值班记录和交接班手续，处理消防报警及消防投诉。</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eastAsia="zh-CN"/>
        </w:rPr>
        <w:t xml:space="preserve">4</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eastAsia="zh-CN"/>
        </w:rPr>
        <w:t xml:space="preserve">按时交接班，对值班记录、设备状况，事故处理及各处钥匙交接清楚，无交接手续，值班人员不可擅自离岗。</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eastAsia="zh-CN"/>
        </w:rPr>
        <w:t xml:space="preserve">5</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eastAsia="zh-CN"/>
        </w:rPr>
        <w:t xml:space="preserve">宣传消防规章制度，报告消防隐患，提出消防合理化建议。</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(6)非消防工作所需，不准私人占用电话，非消防值班人员禁止进入值班室。</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(7)上班时间不准在控制中心抽烟、睡觉看书报，有事离岗必须得到领导同意。</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(8)发生火灾时，迅速按灭火作战方案紧急处理，并尽快报告上级领导。</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（9）年龄要求男性60（含）周岁以下、女性50（含）周岁以下，具有初中及以上学历。具有公安部消防局颁发的</w:t>
      </w:r>
      <w:r>
        <w:rPr>
          <w:rFonts w:hint="eastAsia" w:ascii="宋体" w:hAnsi="宋体" w:eastAsia="宋体" w:cs="宋体"/>
          <w:color w:val="auto"/>
          <w:sz w:val="24"/>
          <w:highlight w:val="none"/>
          <w:lang w:eastAsia="zh-CN"/>
        </w:rPr>
        <w:t xml:space="preserve">《建（构）筑物消防员资格证》或《消防设施操作员证书》</w:t>
      </w:r>
      <w:r>
        <w:rPr>
          <w:rFonts w:hint="eastAsia" w:ascii="宋体" w:hAnsi="宋体" w:eastAsia="宋体" w:cs="宋体"/>
          <w:color w:val="auto"/>
          <w:sz w:val="24"/>
          <w:highlight w:val="none"/>
          <w:lang w:val="en-US" w:eastAsia="zh-CN"/>
        </w:rPr>
        <w:t xml:space="preserve">，消防业务知</w:t>
      </w:r>
      <w:r>
        <w:rPr>
          <w:rFonts w:hint="eastAsia" w:ascii="宋体" w:hAnsi="宋体" w:eastAsia="宋体" w:cs="宋体"/>
          <w:color w:val="auto"/>
          <w:sz w:val="24"/>
          <w:highlight w:val="none"/>
          <w:lang w:eastAsia="zh-CN"/>
        </w:rPr>
        <w:t xml:space="preserve">识</w:t>
      </w:r>
      <w:r>
        <w:rPr>
          <w:rFonts w:hint="eastAsia" w:ascii="宋体" w:hAnsi="宋体" w:eastAsia="宋体" w:cs="宋体"/>
          <w:color w:val="auto"/>
          <w:sz w:val="24"/>
          <w:highlight w:val="none"/>
          <w:lang w:val="en-US" w:eastAsia="zh-CN"/>
        </w:rPr>
        <w:t xml:space="preserve">熟练</w:t>
      </w:r>
      <w:r>
        <w:rPr>
          <w:rFonts w:hint="eastAsia" w:ascii="宋体" w:hAnsi="宋体" w:eastAsia="宋体" w:cs="宋体"/>
          <w:color w:val="auto"/>
          <w:sz w:val="24"/>
          <w:highlight w:val="none"/>
          <w:lang w:eastAsia="zh-CN"/>
        </w:rPr>
        <w:t xml:space="preserve">，了解国家相关法律法规，熟悉消防设备、设施、工具、系统的基本原理、功能，熟悉掌握操作技术。</w:t>
      </w:r>
      <w:r/>
    </w:p>
    <w:p>
      <w:pPr>
        <w:pStyle w:val="712"/>
        <w:ind w:left="0" w:righ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highlight w:val="none"/>
        </w:rPr>
        <w:t xml:space="preserve">2.</w:t>
      </w: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color w:val="auto"/>
          <w:sz w:val="24"/>
          <w:szCs w:val="24"/>
          <w:highlight w:val="none"/>
          <w:lang w:val="en-US" w:eastAsia="zh-CN"/>
        </w:rPr>
        <w:t xml:space="preserve">保洁</w:t>
      </w:r>
      <w:r>
        <w:rPr>
          <w:rFonts w:hint="eastAsia" w:ascii="宋体" w:hAnsi="宋体" w:eastAsia="宋体" w:cs="宋体"/>
          <w:b/>
          <w:color w:val="auto"/>
          <w:sz w:val="24"/>
          <w:szCs w:val="24"/>
          <w:highlight w:val="none"/>
        </w:rPr>
        <w:t xml:space="preserve">人员</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bookmarkStart w:id="77" w:name="（1）负责项目范围内环境卫生的清扫、漂浮物的清捡（含绿化带），公共配套设施的清洁"/>
      <w:r/>
      <w:bookmarkEnd w:id="77"/>
      <w:r/>
      <w:bookmarkStart w:id="78" w:name="（1）负责项目范围内环境卫生的清扫、漂浮物的清捡（含绿化带），公共配套设施的清洁"/>
      <w:r/>
      <w:bookmarkEnd w:id="78"/>
      <w:r>
        <w:rPr>
          <w:rFonts w:hint="eastAsia" w:ascii="宋体" w:hAnsi="宋体" w:eastAsia="宋体" w:cs="宋体"/>
          <w:color w:val="auto"/>
          <w:sz w:val="24"/>
          <w:highlight w:val="none"/>
          <w:lang w:val="en-US" w:eastAsia="zh-CN"/>
        </w:rPr>
        <w:t xml:space="preserve">（1）负责项目范围内环境卫生的清扫、漂浮物的清捡（含绿化带），公共配套设施的清洁，散水坡、排水明沟、绿化带等区域内卫生保洁、杂物清理和清扫（含树叶清扫）。</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bookmarkStart w:id="79" w:name="（2）公厕保洁、定时清洗及消杀等，及时清理、收集、分类生活垃圾及建筑垃圾（杂物）"/>
      <w:r/>
      <w:bookmarkEnd w:id="79"/>
      <w:r/>
      <w:bookmarkStart w:id="80" w:name="（2）公厕保洁、定时清洗及消杀等，及时清理、收集、分类生活垃圾及建筑垃圾（杂物）"/>
      <w:r/>
      <w:bookmarkEnd w:id="80"/>
      <w:r>
        <w:rPr>
          <w:rFonts w:hint="eastAsia" w:ascii="宋体" w:hAnsi="宋体" w:eastAsia="宋体" w:cs="宋体"/>
          <w:color w:val="auto"/>
          <w:sz w:val="24"/>
          <w:highlight w:val="none"/>
          <w:lang w:val="en-US" w:eastAsia="zh-CN"/>
        </w:rPr>
        <w:t xml:space="preserve">（2）公厕保洁、定时清洗及消杀等，及时清理、收集、分类生活垃圾及建筑垃圾（杂物）。</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bookmarkStart w:id="81" w:name="（3）清理楼道乱堆放杂物，配合铲除牛皮癣，梁、杆、柱、线、墙、树上悬挂物的清理，"/>
      <w:r/>
      <w:bookmarkEnd w:id="81"/>
      <w:r/>
      <w:bookmarkStart w:id="82" w:name="（3）清理楼道乱堆放杂物，配合铲除牛皮癣，梁、杆、柱、线、墙、树上悬挂物的清理，"/>
      <w:r/>
      <w:bookmarkEnd w:id="82"/>
      <w:r>
        <w:rPr>
          <w:rFonts w:hint="eastAsia" w:ascii="宋体" w:hAnsi="宋体" w:eastAsia="宋体" w:cs="宋体"/>
          <w:color w:val="auto"/>
          <w:sz w:val="24"/>
          <w:highlight w:val="none"/>
          <w:lang w:val="en-US" w:eastAsia="zh-CN"/>
        </w:rPr>
        <w:t xml:space="preserve">（3）清理楼道乱堆放杂物，配合铲除牛皮癣，梁、杆、柱、线、墙、树上悬挂物的清理，垃圾桶清洗、清运、集中上车和拖拉复位等。</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bookmarkStart w:id="83" w:name="（4）配合开展蚊虫的消杀工作，门前三包范围内与卫生清洁工作相关的其他工作（如清扫"/>
      <w:r/>
      <w:bookmarkEnd w:id="83"/>
      <w:r/>
      <w:bookmarkStart w:id="84" w:name="（4）配合开展蚊虫的消杀工作，门前三包范围内与卫生清洁工作相关的其他工作（如清扫"/>
      <w:r/>
      <w:bookmarkEnd w:id="84"/>
      <w:r>
        <w:rPr>
          <w:rFonts w:hint="eastAsia" w:ascii="宋体" w:hAnsi="宋体" w:eastAsia="宋体" w:cs="宋体"/>
          <w:color w:val="auto"/>
          <w:sz w:val="24"/>
          <w:highlight w:val="none"/>
          <w:lang w:val="en-US" w:eastAsia="zh-CN"/>
        </w:rPr>
        <w:t xml:space="preserve">（4）配合开展蚊虫的消杀工作，门前三包范围内与卫生清洁工作相关的其他工作（ 如清扫路面积雪、积水等）。</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bookmarkStart w:id="85" w:name="（5）负责突发事件中涉及公共卫生的清洁工作，现场安排的其它必要工作。 "/>
      <w:r/>
      <w:bookmarkEnd w:id="85"/>
      <w:r/>
      <w:bookmarkStart w:id="86" w:name="（5）负责突发事件中涉及公共卫生的清洁工作，现场安排的其它必要工作。 "/>
      <w:r/>
      <w:bookmarkEnd w:id="86"/>
      <w:r>
        <w:rPr>
          <w:rFonts w:hint="eastAsia" w:ascii="宋体" w:hAnsi="宋体" w:eastAsia="宋体" w:cs="宋体"/>
          <w:color w:val="auto"/>
          <w:sz w:val="24"/>
          <w:highlight w:val="none"/>
          <w:lang w:val="en-US" w:eastAsia="zh-CN"/>
        </w:rPr>
        <w:t xml:space="preserve">（5）负责突发事件中涉及公共卫生的清洁工作，现场安排的其它必要工作。</w:t>
      </w:r>
      <w:bookmarkStart w:id="87" w:name="2.维修人员（水电工）： "/>
      <w:r/>
      <w:bookmarkEnd w:id="87"/>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年龄要求男性60（含）周岁以下、女性50（含）周岁以下，具有初中及以上学历，身体健康能够适应本质工作的需求，吃苦耐劳、责任心和执行力强，熟知保洁标准岗位流程，熟悉掌握操作技术，具有良好的沟通及表达能力；有较强的团队精神，具有高度的工作责任心，具备承担工作的内外问题及独立解决困难的能力，具备良好的职业素养及职业道德，有相关从业经历者优先。</w:t>
      </w:r>
      <w:r/>
    </w:p>
    <w:p>
      <w:pPr>
        <w:pStyle w:val="883"/>
        <w:numPr>
          <w:ilvl w:val="0"/>
          <w:numId w:val="0"/>
        </w:numPr>
        <w:ind w:left="0" w:right="0" w:firstLine="482"/>
        <w:jc w:val="left"/>
        <w:keepLines w:val="0"/>
        <w:keepNext w:val="0"/>
        <w:pageBreakBefore w:val="0"/>
        <w:spacing w:line="360" w:lineRule="auto"/>
        <w:tabs>
          <w:tab w:val="left" w:pos="1589"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highlight w:val="none"/>
          <w:lang w:val="en-US" w:eastAsia="zh-CN"/>
        </w:rPr>
        <w:t xml:space="preserve">2.7</w:t>
      </w:r>
      <w:r>
        <w:rPr>
          <w:rFonts w:hint="eastAsia" w:ascii="宋体" w:hAnsi="宋体" w:eastAsia="宋体" w:cs="宋体"/>
          <w:b/>
          <w:bCs/>
          <w:color w:val="auto"/>
          <w:sz w:val="24"/>
          <w:szCs w:val="24"/>
          <w:highlight w:val="none"/>
          <w:lang w:val="en-US" w:eastAsia="zh-CN"/>
        </w:rPr>
        <w:t xml:space="preserve">工程维修人员</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bookmarkStart w:id="88" w:name="（1）根据物业管理区域内设施设备的运行、维修、保养实际情况，制订应急预案，合理安"/>
      <w:r/>
      <w:bookmarkEnd w:id="88"/>
      <w:r/>
      <w:bookmarkStart w:id="89" w:name="（1）根据物业管理区域内设施设备的运行、维修、保养实际情况，制订应急预案，合理安"/>
      <w:r/>
      <w:bookmarkEnd w:id="89"/>
      <w:r>
        <w:rPr>
          <w:rFonts w:hint="eastAsia" w:ascii="宋体" w:hAnsi="宋体" w:eastAsia="宋体" w:cs="宋体"/>
          <w:color w:val="auto"/>
          <w:sz w:val="24"/>
          <w:highlight w:val="none"/>
          <w:lang w:val="en-US" w:eastAsia="zh-CN"/>
        </w:rPr>
        <w:t xml:space="preserve">（1）根据物业管理区域内设施设备的运行、维修、保养实际情况，制订应急预案，合理安排人员，及时排除故障，确保正常用电用水；</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bookmarkStart w:id="90" w:name="（4）及时维修损坏的桌椅、办公家具、门窗、标牌、锁具、窗帘、玻璃等设施设备；"/>
      <w:r/>
      <w:bookmarkEnd w:id="90"/>
      <w:r/>
      <w:bookmarkStart w:id="91" w:name="（2）必须安排人员对每日对公共设施设备进行巡检，发现隐患及时（一般在 2 小时内"/>
      <w:r/>
      <w:bookmarkEnd w:id="91"/>
      <w:r/>
      <w:bookmarkStart w:id="92" w:name="（2）必须安排人员对每日对公共设施设备进行巡检，发现隐患及时（一般在 2 小时内"/>
      <w:r/>
      <w:bookmarkEnd w:id="92"/>
      <w:r/>
      <w:bookmarkStart w:id="93" w:name="（4）及时维修损坏的桌椅、办公家具、门窗、标牌、锁具、窗帘、玻璃等设施设备；"/>
      <w:r/>
      <w:bookmarkEnd w:id="93"/>
      <w:r>
        <w:rPr>
          <w:rFonts w:hint="eastAsia" w:ascii="宋体" w:hAnsi="宋体" w:eastAsia="宋体" w:cs="宋体"/>
          <w:color w:val="auto"/>
          <w:sz w:val="24"/>
          <w:highlight w:val="none"/>
          <w:lang w:val="en-US" w:eastAsia="zh-CN"/>
        </w:rPr>
        <w:t xml:space="preserve">（2）必须安排人员每日对公共设施设备进行巡检，发现隐患及时（一般在 2 小时内）排除。对设施设备定期进行保养。提供巡检、隐患排除、设施设备维修保养的书面记录，接受项目相关人员的督查。</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（3）做好各项大型活动的水电保障工作；及时维修损坏的桌椅、办公家具、门窗、标牌、锁具、窗帘、玻璃等设施设备；</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bookmarkStart w:id="94" w:name="（5）配合项目定期开展疫情预防、节能环保、用电安全等宣传教育。 "/>
      <w:r/>
      <w:bookmarkEnd w:id="94"/>
      <w:r/>
      <w:bookmarkStart w:id="95" w:name="（5）配合项目定期开展疫情预防、节能环保、用电安全等宣传教育。 "/>
      <w:r/>
      <w:bookmarkEnd w:id="95"/>
      <w:r>
        <w:rPr>
          <w:rFonts w:hint="eastAsia" w:ascii="宋体" w:hAnsi="宋体" w:eastAsia="宋体" w:cs="宋体"/>
          <w:color w:val="auto"/>
          <w:sz w:val="24"/>
          <w:highlight w:val="none"/>
          <w:lang w:val="en-US" w:eastAsia="zh-CN"/>
        </w:rPr>
        <w:t xml:space="preserve">（4）配合项目定期开展疫情预防、节能环保、用电安全等宣传教育。</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bookmarkStart w:id="96" w:name="（6）应招标人要求的各类有偿维修等服务。 "/>
      <w:r/>
      <w:bookmarkEnd w:id="96"/>
      <w:r/>
      <w:bookmarkStart w:id="97" w:name="（6）应招标人要求的各类有偿维修等服务。 "/>
      <w:r/>
      <w:bookmarkEnd w:id="97"/>
      <w:r>
        <w:rPr>
          <w:rFonts w:hint="eastAsia" w:ascii="宋体" w:hAnsi="宋体" w:eastAsia="宋体" w:cs="宋体"/>
          <w:color w:val="auto"/>
          <w:sz w:val="24"/>
          <w:highlight w:val="none"/>
          <w:lang w:val="en-US" w:eastAsia="zh-CN"/>
        </w:rPr>
        <w:t xml:space="preserve">（5）应采购人要求的各类有偿维修等服务。</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bookmarkStart w:id="98" w:name="（7）维修服务人员必须拥有相关岗位从业资格证书，如低压电工证等。 "/>
      <w:r/>
      <w:bookmarkEnd w:id="98"/>
      <w:r/>
      <w:bookmarkStart w:id="99" w:name="（7）维修服务人员必须拥有相关岗位从业资格证书，如低压电工证等。 "/>
      <w:r/>
      <w:bookmarkEnd w:id="99"/>
      <w:r>
        <w:rPr>
          <w:rFonts w:hint="eastAsia" w:ascii="宋体" w:hAnsi="宋体" w:eastAsia="宋体" w:cs="宋体"/>
          <w:color w:val="auto"/>
          <w:sz w:val="24"/>
          <w:highlight w:val="none"/>
          <w:lang w:val="en-US" w:eastAsia="zh-CN"/>
        </w:rPr>
        <w:t xml:space="preserve">（6）维修服务人员必须具有有相关岗位从业资格证书，如高、低压电工证等。</w:t>
      </w:r>
      <w:bookmarkStart w:id="100" w:name="3.安保主管及安保人员 "/>
      <w:r/>
      <w:bookmarkEnd w:id="100"/>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年龄要求男性60（含）周岁以下、女性50（含）周岁以下，具有初中及以上学历，具有岗位相适应的操作证（如高、低压电工证），有相关工作经验，身心健康，举止文明，爱岗敬业，吃苦耐劳，责任心和执行力强。</w:t>
      </w:r>
      <w:r/>
    </w:p>
    <w:p>
      <w:pPr>
        <w:ind w:firstLine="482"/>
        <w:jc w:val="left"/>
        <w:keepLines w:val="0"/>
        <w:keepNext w:val="0"/>
        <w:pageBreakBefore w:val="0"/>
        <w:spacing w:line="360" w:lineRule="auto"/>
        <w:widowControl/>
        <w:rPr>
          <w:rFonts w:hint="eastAsia" w:ascii="宋体" w:hAnsi="宋体" w:eastAsia="宋体" w:cs="宋体"/>
          <w:b/>
          <w:bCs/>
          <w:color w:val="auto"/>
          <w:sz w:val="24"/>
          <w:highlight w:val="none"/>
        </w:rPr>
      </w:pPr>
      <w:r/>
      <w:bookmarkStart w:id="101" w:name="4.客服主管及客服人员"/>
      <w:r/>
      <w:bookmarkEnd w:id="101"/>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物业共用设施设备的运行、维修、养护和管理服务标准</w:t>
      </w:r>
      <w:r/>
    </w:p>
    <w:p>
      <w:pPr>
        <w:ind w:firstLine="482"/>
        <w:jc w:val="left"/>
        <w:keepLines w:val="0"/>
        <w:keepNext w:val="0"/>
        <w:pageBreakBefore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1共用设施设备</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对共用设施设备进行日常管理和维修养护。</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①建立共用设施设备档案（设备台帐），设施设备的运行、检查、维修、保养等记录齐全。</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②设施设备标志齐全、规范，责任人明确；操作维护人员严格执行设施设备操作规程及保养规范；设施设备运行正常。</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③对设施设备定期组织巡查，做好巡查记录，需要维修的及时修复；不能修复的及时报业主。</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w:t>
      </w:r>
      <w:r>
        <w:rPr>
          <w:rFonts w:hint="eastAsia" w:ascii="宋体" w:hAnsi="宋体" w:eastAsia="宋体" w:cs="宋体"/>
          <w:color w:val="auto"/>
          <w:sz w:val="24"/>
          <w:highlight w:val="none"/>
          <w:lang w:val="en-US" w:eastAsia="zh-CN"/>
        </w:rPr>
        <w:t xml:space="preserve">日常的</w:t>
      </w:r>
      <w:r>
        <w:rPr>
          <w:rFonts w:hint="eastAsia" w:ascii="宋体" w:hAnsi="宋体" w:eastAsia="宋体" w:cs="宋体"/>
          <w:color w:val="auto"/>
          <w:sz w:val="24"/>
          <w:highlight w:val="none"/>
        </w:rPr>
        <w:t xml:space="preserve">电梯</w:t>
      </w:r>
      <w:r>
        <w:rPr>
          <w:rFonts w:hint="eastAsia" w:ascii="宋体" w:hAnsi="宋体" w:eastAsia="宋体" w:cs="宋体"/>
          <w:color w:val="auto"/>
          <w:sz w:val="24"/>
          <w:highlight w:val="none"/>
          <w:lang w:val="en-US" w:eastAsia="zh-CN"/>
        </w:rPr>
        <w:t xml:space="preserve">检测、维保工作</w:t>
      </w:r>
      <w:r>
        <w:rPr>
          <w:rFonts w:hint="eastAsia" w:ascii="宋体" w:hAnsi="宋体" w:eastAsia="宋体" w:cs="宋体"/>
          <w:color w:val="auto"/>
          <w:sz w:val="24"/>
          <w:highlight w:val="none"/>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⑤消防设施、智能化设施设备完好，可随时启用；消防通道畅通。</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⑥设备房保持整洁、通风，无跑、冒、滴、漏和鼠害现象。</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⑦路灯、楼道灯保持完好，并做好所有灯具的卫生保洁工作。</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⑧危及人身安全的设施设备有明显警示标志和防范措施；对可能发生的各种突发设备故障有应急处置方案。</w:t>
      </w:r>
      <w:r/>
    </w:p>
    <w:p>
      <w:pPr>
        <w:ind w:firstLine="482"/>
        <w:jc w:val="left"/>
        <w:keepLines w:val="0"/>
        <w:keepNext w:val="0"/>
        <w:pageBreakBefore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.2维修管理</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①时效工作制：对所有的维修工作均实行时效管理，做到准确及时，以确保所有机电设备的正常运行。</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②不均衡管理：针对时间合理安排设备的维修养护，做到不影响正常</w:t>
      </w:r>
      <w:r>
        <w:rPr>
          <w:rFonts w:hint="eastAsia" w:ascii="宋体" w:hAnsi="宋体" w:eastAsia="宋体" w:cs="宋体"/>
          <w:color w:val="auto"/>
          <w:sz w:val="24"/>
          <w:highlight w:val="none"/>
          <w:lang w:val="en-US" w:eastAsia="zh-CN"/>
        </w:rPr>
        <w:t xml:space="preserve">生活</w:t>
      </w:r>
      <w:r>
        <w:rPr>
          <w:rFonts w:hint="eastAsia" w:ascii="宋体" w:hAnsi="宋体" w:eastAsia="宋体" w:cs="宋体"/>
          <w:color w:val="auto"/>
          <w:sz w:val="24"/>
          <w:highlight w:val="none"/>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③做好各类物品的基本维修工作。</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④做好各类设备运行、维护维修记录。</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⑤完成业主安排的随机性，指令性任务。</w:t>
      </w:r>
      <w:r/>
    </w:p>
    <w:p>
      <w:pPr>
        <w:ind w:firstLine="482"/>
        <w:jc w:val="left"/>
        <w:keepLines w:val="0"/>
        <w:keepNext w:val="0"/>
        <w:pageBreakBefore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.3监控室值班制度</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①执行二十四小时值班制度，应有专职值班人员轮值制。</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②值班人员必须严守工作岗位，非有关人员一律不得入内，值班时认真巡视仪表情况，掌握设备运行情况，不得饮酒或做与值班工作无关的事。</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③严格按照《电工安全工作规程》进行高低压设备的操作维护，维修操作至少2人；实行“一人操作，一人监护”制度，严禁违章操作。</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④确保设施设备正常供电，一旦出现故障，立即查明原因，及时修复；并及时向业主汇报。</w:t>
      </w:r>
      <w:r/>
    </w:p>
    <w:p>
      <w:pPr>
        <w:ind w:firstLine="482"/>
        <w:jc w:val="left"/>
        <w:keepLines w:val="0"/>
        <w:keepNext w:val="0"/>
        <w:pageBreakBefore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绿化养护</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zh-CN"/>
        </w:rPr>
        <w:t xml:space="preserve">植物的病虫害防治，植物的修剪及造型，植物的施肥，必要的防除杂草(主要指化学除草和用草坪机辅助保洁人工割除杂草)，枯枝败叶及修剪后枝叶的清除，绿化隔离带喷水除尘，植物的防冻、防雪、防旱、防涝、防火、防大风，时令花卉的更换，草坪管理及绿化的巡视、看护。</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2养护事项</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①草坪的修剪、施肥及病虫害防治。</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②花灌木的修剪、治虫、施肥、浇水抗旱、雨后积水排除，生长旺盛，树木保存率100%。</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③乔木类生长旺盛，树冠完整美观，无病虫害，树木保存率100%。</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④花坛、花带及绿篱轮廓清晰，层次分明，整齐美观。</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⑤木本地被植物生长旺盛，地被覆盖率达到95%以上。</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⑥造型植物修剪及时得当，线条整齐圆滑流畅，符合设计和景观的要求。</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⑦不得随意砍伐、移植植物，应履行相关手续，得到采购方的签字认可。</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⑧保证绿地整洁，无杂物，无树枝、树叶、草屑等生产垃圾。</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⑨做好严寒大雪、台风暴雨、高温干旱、雨季汛期等各项应急处理。</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⑩在大型活动期间和国家重要节假日,及时做好各项养护工作，随时保证绿化整洁，美观。</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⑾服从采购方管理，根据采购方的要求对绿化进行养护。</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⑿每日对服务范围绿植进行巡视、看护并做好巡视记录。</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⒀完成采购方交办的其他事项等。</w:t>
      </w:r>
      <w:r/>
    </w:p>
    <w:p>
      <w:pPr>
        <w:ind w:firstLine="482"/>
        <w:jc w:val="left"/>
        <w:keepLines w:val="0"/>
        <w:keepNext w:val="0"/>
        <w:pageBreakBefore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档案、资料管理</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加强有关物业的档案和资料管理。档案和资料的管理包括：业主投诉和意见档案、安全管理记录档案、清洁卫生管理档案、环境绿化管理档案、物业人事管理及人员培训档案等，以及具体的管理方案。物业管理企业所有档案要求做到保存完整，管理完善，交接手续完备，检索方便准确。</w:t>
      </w:r>
      <w:r/>
    </w:p>
    <w:p>
      <w:pPr>
        <w:ind w:firstLine="482"/>
        <w:jc w:val="left"/>
        <w:keepLines w:val="0"/>
        <w:keepNext w:val="0"/>
        <w:pageBreakBefore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建立健全物业管理制度</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w:t>
      </w:r>
      <w:r>
        <w:rPr>
          <w:rFonts w:hint="eastAsia" w:ascii="宋体" w:hAnsi="宋体" w:eastAsia="宋体" w:cs="宋体"/>
          <w:color w:val="auto"/>
          <w:sz w:val="24"/>
          <w:highlight w:val="none"/>
          <w:lang w:val="en-US" w:eastAsia="zh-CN"/>
        </w:rPr>
        <w:t xml:space="preserve">项目</w:t>
      </w:r>
      <w:r>
        <w:rPr>
          <w:rFonts w:hint="eastAsia" w:ascii="宋体" w:hAnsi="宋体" w:eastAsia="宋体" w:cs="宋体"/>
          <w:color w:val="auto"/>
          <w:sz w:val="24"/>
          <w:highlight w:val="none"/>
        </w:rPr>
        <w:t xml:space="preserve">的具体情况，受托单位应制定企业详细的内部管理制度、日常服务的运作管理制度等相关制度。</w:t>
      </w:r>
      <w:r/>
    </w:p>
    <w:p>
      <w:pPr>
        <w:ind w:firstLine="480"/>
        <w:jc w:val="left"/>
        <w:keepLines w:val="0"/>
        <w:keepNext w:val="0"/>
        <w:pageBreakBefore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四、</w:t>
      </w:r>
      <w:r>
        <w:rPr>
          <w:rFonts w:hint="eastAsia" w:ascii="宋体" w:hAnsi="宋体" w:eastAsia="宋体" w:cs="宋体"/>
          <w:b/>
          <w:bCs/>
          <w:color w:val="auto"/>
          <w:sz w:val="24"/>
          <w:highlight w:val="none"/>
        </w:rPr>
        <w:t xml:space="preserve">采购标的对应的中小企业划分标准所属行业一览表</w:t>
      </w:r>
      <w:r/>
    </w:p>
    <w:p>
      <w:pPr>
        <w:pStyle w:val="73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65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3"/>
        <w:gridCol w:w="4210"/>
        <w:gridCol w:w="2800"/>
      </w:tblGrid>
      <w:tr>
        <w:trPr>
          <w:jc w:val="center"/>
          <w:trHeight w:val="770"/>
        </w:trPr>
        <w:tc>
          <w:tcPr>
            <w:tcW w:w="1073" w:type="dxa"/>
            <w:vAlign w:val="center"/>
            <w:textDirection w:val="lrTb"/>
            <w:noWrap w:val="false"/>
          </w:tcPr>
          <w:p>
            <w:pPr>
              <w:jc w:val="center"/>
              <w:rPr>
                <w:rFonts w:hint="eastAsia" w:ascii="宋体" w:hAnsi="宋体" w:eastAsia="宋体" w:cs="宋体"/>
                <w:color w:val="auto"/>
                <w:highlight w:val="none"/>
                <w:vertAlign w:val="baseline"/>
              </w:rPr>
            </w:pPr>
            <w:r>
              <w:rPr>
                <w:rFonts w:hint="eastAsia" w:ascii="宋体" w:hAnsi="宋体" w:eastAsia="宋体" w:cs="宋体"/>
                <w:color w:val="auto"/>
                <w:sz w:val="24"/>
                <w:highlight w:val="none"/>
              </w:rPr>
              <w:t xml:space="preserve">序号</w:t>
            </w:r>
            <w:r>
              <w:rPr>
                <w:rFonts w:hint="eastAsia" w:ascii="宋体" w:hAnsi="宋体" w:eastAsia="宋体" w:cs="宋体"/>
                <w:color w:val="auto"/>
                <w:highlight w:val="none"/>
              </w:rPr>
              <w:br w:type="page" w:clear="all"/>
            </w:r>
            <w:r/>
          </w:p>
        </w:tc>
        <w:tc>
          <w:tcPr>
            <w:tcW w:w="4210" w:type="dxa"/>
            <w:vAlign w:val="center"/>
            <w:textDirection w:val="lrTb"/>
            <w:noWrap w:val="false"/>
          </w:tcPr>
          <w:p>
            <w:pPr>
              <w:jc w:val="center"/>
              <w:rPr>
                <w:rFonts w:hint="eastAsia" w:ascii="宋体" w:hAnsi="宋体" w:eastAsia="宋体" w:cs="宋体"/>
                <w:color w:val="auto"/>
                <w:highlight w:val="none"/>
                <w:vertAlign w:val="baseline"/>
              </w:rPr>
            </w:pPr>
            <w:r>
              <w:rPr>
                <w:rFonts w:hint="eastAsia" w:ascii="宋体" w:hAnsi="宋体" w:eastAsia="宋体" w:cs="宋体"/>
                <w:color w:val="auto"/>
                <w:sz w:val="24"/>
                <w:highlight w:val="none"/>
              </w:rPr>
              <w:t xml:space="preserve">采购标的</w:t>
            </w:r>
            <w:r/>
          </w:p>
        </w:tc>
        <w:tc>
          <w:tcPr>
            <w:tcW w:w="2800" w:type="dxa"/>
            <w:vAlign w:val="center"/>
            <w:textDirection w:val="lrTb"/>
            <w:noWrap w:val="false"/>
          </w:tcPr>
          <w:p>
            <w:pPr>
              <w:jc w:val="center"/>
              <w:rPr>
                <w:rFonts w:hint="eastAsia" w:ascii="宋体" w:hAnsi="宋体" w:eastAsia="宋体" w:cs="宋体"/>
                <w:color w:val="auto"/>
                <w:highlight w:val="none"/>
                <w:vertAlign w:val="baseline"/>
              </w:rPr>
            </w:pPr>
            <w:r>
              <w:rPr>
                <w:rFonts w:hint="eastAsia" w:ascii="宋体" w:hAnsi="宋体" w:eastAsia="宋体" w:cs="宋体"/>
                <w:color w:val="auto"/>
                <w:sz w:val="24"/>
                <w:highlight w:val="none"/>
              </w:rPr>
              <w:t xml:space="preserve">对应中小企业划分标准所属行业</w:t>
            </w:r>
            <w:r/>
          </w:p>
        </w:tc>
      </w:tr>
      <w:tr>
        <w:trPr>
          <w:jc w:val="center"/>
          <w:trHeight w:val="855"/>
        </w:trPr>
        <w:tc>
          <w:tcPr>
            <w:tcW w:w="1073" w:type="dxa"/>
            <w:vAlign w:val="center"/>
            <w:textDirection w:val="lrTb"/>
            <w:noWrap w:val="false"/>
          </w:tcPr>
          <w:p>
            <w:pPr>
              <w:jc w:val="center"/>
              <w:rPr>
                <w:rFonts w:hint="eastAsia" w:ascii="宋体" w:hAnsi="宋体" w:eastAsia="宋体" w:cs="宋体"/>
                <w:color w:val="auto"/>
                <w:highlight w:val="none"/>
                <w:vertAlign w:val="baseline"/>
              </w:rPr>
            </w:pPr>
            <w:r>
              <w:rPr>
                <w:rFonts w:hint="eastAsia" w:ascii="宋体" w:hAnsi="宋体" w:eastAsia="宋体" w:cs="宋体"/>
                <w:color w:val="auto"/>
                <w:sz w:val="24"/>
                <w:highlight w:val="none"/>
              </w:rPr>
              <w:t xml:space="preserve">1</w:t>
            </w:r>
            <w:r/>
          </w:p>
        </w:tc>
        <w:tc>
          <w:tcPr>
            <w:tcW w:w="4210" w:type="dxa"/>
            <w:vAlign w:val="center"/>
            <w:textDirection w:val="lrTb"/>
            <w:noWrap w:val="false"/>
          </w:tcPr>
          <w:p>
            <w:pPr>
              <w:jc w:val="center"/>
              <w:rPr>
                <w:rFonts w:hint="eastAsia" w:ascii="宋体" w:hAnsi="宋体" w:eastAsia="宋体" w:cs="宋体"/>
                <w:color w:val="auto"/>
                <w:highlight w:val="none"/>
                <w:vertAlign w:val="baseline"/>
              </w:rPr>
            </w:pPr>
            <w:r>
              <w:rPr>
                <w:rFonts w:hint="eastAsia" w:ascii="宋体" w:hAnsi="宋体" w:eastAsia="宋体" w:cs="宋体"/>
                <w:color w:val="auto"/>
                <w:sz w:val="24"/>
                <w:highlight w:val="none"/>
                <w:lang w:eastAsia="zh-CN"/>
              </w:rPr>
              <w:t xml:space="preserve">盐南高新区新都街道辖区拆迁安置小区和老旧小区选聘物业服务项目</w:t>
            </w:r>
            <w:r/>
          </w:p>
        </w:tc>
        <w:tc>
          <w:tcPr>
            <w:tcW w:w="2800" w:type="dxa"/>
            <w:vAlign w:val="center"/>
            <w:textDirection w:val="lrTb"/>
            <w:noWrap w:val="false"/>
          </w:tcPr>
          <w:p>
            <w:pPr>
              <w:jc w:val="center"/>
              <w:rPr>
                <w:rFonts w:hint="eastAsia" w:ascii="宋体" w:hAnsi="宋体" w:eastAsia="宋体" w:cs="宋体"/>
                <w:color w:val="auto"/>
                <w:highlight w:val="none"/>
                <w:vertAlign w:val="baseline"/>
              </w:rPr>
            </w:pPr>
            <w:r>
              <w:rPr>
                <w:rFonts w:hint="eastAsia" w:ascii="宋体" w:hAnsi="宋体" w:eastAsia="宋体" w:cs="宋体"/>
                <w:color w:val="auto"/>
                <w:sz w:val="24"/>
                <w:highlight w:val="none"/>
              </w:rPr>
              <w:t xml:space="preserve">物业管理</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left"/>
        <w:keepLines w:val="0"/>
        <w:keepNext w:val="0"/>
        <w:pageBreakBefore w:val="0"/>
        <w:spacing w:line="360" w:lineRule="auto"/>
        <w:widowControl/>
        <w:rPr>
          <w:rFonts w:ascii="宋体" w:hAnsi="宋体" w:eastAsia="宋体" w:cs="宋体"/>
          <w:b/>
          <w:bCs/>
          <w:color w:val="auto"/>
          <w:sz w:val="24"/>
          <w:highlight w:val="none"/>
          <w:lang w:val="en-US" w:eastAsia="zh-CN"/>
        </w:rPr>
      </w:pPr>
      <w:r/>
      <w:bookmarkStart w:id="102" w:name="_Toc120614281"/>
      <w:r>
        <w:rPr>
          <w:rFonts w:hint="eastAsia" w:ascii="宋体" w:hAnsi="宋体" w:eastAsia="宋体" w:cs="宋体"/>
          <w:b/>
          <w:bCs/>
          <w:color w:val="auto"/>
          <w:sz w:val="24"/>
          <w:highlight w:val="none"/>
          <w:lang w:val="en-US" w:eastAsia="zh-CN"/>
        </w:rPr>
        <w:t xml:space="preserve">六、项目需求中相关人员证书签订合同前交由采购人审核，投标时无需提供。</w:t>
      </w:r>
      <w:r/>
    </w:p>
    <w:p>
      <w:pPr>
        <w:pStyle w:val="734"/>
        <w:jc w:val="center"/>
        <w:keepNext/>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734"/>
        <w:jc w:val="center"/>
        <w:keepNext/>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734"/>
        <w:jc w:val="center"/>
        <w:keepNext/>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734"/>
        <w:jc w:val="center"/>
        <w:keepNext/>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734"/>
        <w:jc w:val="center"/>
        <w:keepNext/>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734"/>
        <w:jc w:val="center"/>
        <w:keepNext/>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734"/>
        <w:jc w:val="center"/>
        <w:keepNext/>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734"/>
        <w:jc w:val="center"/>
        <w:keepNext/>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734"/>
        <w:jc w:val="center"/>
        <w:keepNext/>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734"/>
        <w:jc w:val="center"/>
        <w:keepNext/>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734"/>
        <w:jc w:val="center"/>
        <w:keepNext/>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734"/>
        <w:jc w:val="center"/>
        <w:keepNext/>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734"/>
        <w:jc w:val="center"/>
        <w:keepNext/>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734"/>
        <w:jc w:val="center"/>
        <w:keepNext/>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734"/>
        <w:jc w:val="center"/>
        <w:keepNext/>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734"/>
        <w:jc w:val="center"/>
        <w:keepNext/>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734"/>
        <w:jc w:val="center"/>
        <w:keepNext/>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34"/>
        <w:jc w:val="center"/>
        <w:keepNext/>
        <w:spacing w:beforeAutospacing="0" w:afterAutospacing="0"/>
        <w:rPr>
          <w:rFonts w:hint="eastAsia" w:ascii="宋体" w:hAnsi="宋体" w:eastAsia="宋体" w:cs="宋体"/>
          <w:color w:val="auto"/>
          <w:highlight w:val="none"/>
        </w:rPr>
      </w:pPr>
      <w:r>
        <w:rPr>
          <w:rFonts w:hint="eastAsia" w:ascii="宋体" w:hAnsi="宋体" w:eastAsia="宋体" w:cs="宋体"/>
          <w:color w:val="auto"/>
          <w:sz w:val="44"/>
          <w:szCs w:val="44"/>
          <w:highlight w:val="none"/>
        </w:rPr>
        <w:t xml:space="preserve">第五章  </w:t>
      </w:r>
      <w:r>
        <w:rPr>
          <w:rFonts w:hint="eastAsia" w:ascii="宋体" w:hAnsi="宋体" w:eastAsia="宋体" w:cs="宋体"/>
          <w:b/>
          <w:color w:val="auto"/>
          <w:sz w:val="44"/>
          <w:szCs w:val="44"/>
          <w:highlight w:val="none"/>
        </w:rPr>
        <w:t xml:space="preserve">评标方法与评标标准</w:t>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ind w:firstLine="439"/>
        <w:spacing w:before="120" w:beforeAutospacing="0" w:after="120" w:afterAutospacing="0" w:line="360" w:lineRule="auto"/>
        <w:rPr>
          <w:rFonts w:hint="eastAsia" w:ascii="宋体" w:hAnsi="宋体" w:eastAsia="宋体" w:cs="宋体"/>
          <w:b/>
          <w:color w:val="auto"/>
          <w:highlight w:val="none"/>
          <w:lang w:val="en-US" w:eastAsia="zh-CN"/>
        </w:rPr>
      </w:pPr>
      <w:r>
        <w:rPr>
          <w:rFonts w:hint="eastAsia" w:ascii="宋体" w:hAnsi="宋体" w:eastAsia="宋体" w:cs="宋体"/>
          <w:color w:val="auto"/>
          <w:szCs w:val="20"/>
          <w:highlight w:val="none"/>
        </w:rPr>
        <w:t xml:space="preserve">采用</w:t>
      </w:r>
      <w:r>
        <w:rPr>
          <w:rFonts w:hint="eastAsia" w:ascii="宋体" w:hAnsi="宋体" w:eastAsia="宋体" w:cs="宋体"/>
          <w:color w:val="auto"/>
          <w:szCs w:val="20"/>
          <w:highlight w:val="none"/>
          <w:u w:val="single"/>
        </w:rPr>
        <w:t xml:space="preserve">综合评分法</w:t>
      </w:r>
      <w:r>
        <w:rPr>
          <w:rFonts w:hint="eastAsia" w:ascii="宋体" w:hAnsi="宋体" w:eastAsia="宋体" w:cs="宋体"/>
          <w:color w:val="auto"/>
          <w:szCs w:val="20"/>
          <w:highlight w:val="none"/>
        </w:rPr>
        <w:t xml:space="preserve">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734"/>
        <w:ind w:left="0" w:right="0" w:firstLine="480"/>
        <w:keepLines w:val="0"/>
        <w:keepNext w:val="0"/>
        <w:spacing w:before="0" w:beforeAutospacing="0" w:after="0" w:afterAutospacing="0" w:line="0" w:lineRule="atLeast"/>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政府采购政策功能落实</w:t>
      </w:r>
      <w:r/>
    </w:p>
    <w:p>
      <w:pPr>
        <w:pStyle w:val="734"/>
        <w:ind w:firstLine="482"/>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pStyle w:val="734"/>
        <w:ind w:firstLine="482"/>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（1）本项目专门面向中小企业采购，不再对小型和微型企业报价给予价格扣除。</w:t>
      </w:r>
      <w:r/>
    </w:p>
    <w:p>
      <w:pPr>
        <w:pStyle w:val="734"/>
        <w:ind w:firstLine="482"/>
        <w:spacing w:before="120" w:beforeAutospacing="0" w:after="120" w:afterAutospacing="0" w:line="0" w:lineRule="atLeast"/>
        <w:rPr>
          <w:rFonts w:ascii="宋体" w:hAnsi="宋体" w:eastAsia="宋体" w:cs="宋体"/>
          <w:color w:val="auto"/>
          <w:sz w:val="24"/>
          <w:szCs w:val="20"/>
          <w:highlight w:val="none"/>
        </w:rPr>
      </w:pPr>
      <w:r>
        <w:rPr>
          <w:rFonts w:hint="eastAsia" w:ascii="宋体" w:hAnsi="宋体" w:eastAsia="宋体" w:cs="宋体"/>
          <w:color w:val="auto"/>
          <w:sz w:val="24"/>
          <w:szCs w:val="24"/>
          <w:highlight w:val="none"/>
        </w:rPr>
        <w:t xml:space="preserve">（2）供应商需按照采购文件的要</w:t>
      </w:r>
      <w:r>
        <w:rPr>
          <w:rFonts w:hint="eastAsia" w:ascii="宋体" w:hAnsi="宋体" w:eastAsia="宋体" w:cs="宋体"/>
          <w:color w:val="auto"/>
          <w:sz w:val="24"/>
          <w:szCs w:val="20"/>
          <w:highlight w:val="none"/>
        </w:rPr>
        <w:t xml:space="preserve">求提供相应的《中小企业声明函》。</w:t>
      </w:r>
      <w:r/>
    </w:p>
    <w:p>
      <w:pPr>
        <w:pStyle w:val="734"/>
        <w:ind w:firstLine="482"/>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0"/>
          <w:highlight w:val="none"/>
        </w:rPr>
        <w:t xml:space="preserve">（3）企业标准请参照《关于印发中小企业划型标准规定的通知》（工信部联企业</w:t>
      </w:r>
      <w:r>
        <w:rPr>
          <w:rFonts w:hint="eastAsia" w:ascii="宋体" w:hAnsi="宋体" w:eastAsia="宋体" w:cs="宋体"/>
          <w:color w:val="auto"/>
          <w:sz w:val="24"/>
          <w:szCs w:val="20"/>
          <w:highlight w:val="none"/>
          <w:lang w:eastAsia="zh-CN"/>
        </w:rPr>
        <w:t xml:space="preserve">〔2011〕300号</w:t>
      </w:r>
      <w:r>
        <w:rPr>
          <w:rFonts w:hint="eastAsia" w:ascii="宋体" w:hAnsi="宋体" w:eastAsia="宋体" w:cs="宋体"/>
          <w:color w:val="auto"/>
          <w:sz w:val="24"/>
          <w:szCs w:val="20"/>
          <w:highlight w:val="none"/>
        </w:rPr>
        <w:t xml:space="preserve">）文件规定自行填写。</w:t>
      </w:r>
      <w:r/>
    </w:p>
    <w:p>
      <w:pPr>
        <w:pStyle w:val="734"/>
        <w:ind w:firstLine="482"/>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pStyle w:val="734"/>
        <w:ind w:firstLine="482"/>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0"/>
          <w:highlight w:val="none"/>
        </w:rPr>
        <w:t xml:space="preserve">本项目对残疾人福利性单位视同小型、微型企业。</w:t>
      </w:r>
      <w:r/>
    </w:p>
    <w:p>
      <w:pPr>
        <w:pStyle w:val="734"/>
        <w:ind w:firstLine="482"/>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pStyle w:val="734"/>
        <w:ind w:firstLine="482"/>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pStyle w:val="734"/>
        <w:ind w:firstLine="482"/>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pStyle w:val="734"/>
        <w:ind w:firstLine="482"/>
        <w:spacing w:before="120" w:beforeAutospacing="0" w:after="120" w:afterAutospacing="0" w:line="0" w:lineRule="atLeast"/>
        <w:rPr>
          <w:rFonts w:hint="eastAsia" w:ascii="宋体" w:hAnsi="宋体" w:eastAsia="宋体" w:cs="宋体"/>
          <w:color w:val="auto"/>
          <w:sz w:val="24"/>
          <w:szCs w:val="20"/>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0"/>
          <w:highlight w:val="none"/>
        </w:rPr>
        <w:t xml:space="preserve">本项目对监狱和戒毒企业（简称监狱企业）视同小型、微型企业。</w:t>
      </w:r>
      <w:r/>
    </w:p>
    <w:p>
      <w:pPr>
        <w:pStyle w:val="734"/>
        <w:ind w:firstLine="482"/>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34"/>
        <w:ind w:firstLine="482"/>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（3）监狱企业标准请参照《关于政府采购支持监狱企业发展有关问题的通知》（财库[2014]68号）。</w:t>
      </w:r>
      <w:r/>
    </w:p>
    <w:p>
      <w:pPr>
        <w:pStyle w:val="734"/>
        <w:ind w:firstLine="482"/>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、采购本国产品的支持政策</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 本项目政府采购活动中既有本国产品又有非本国产品参与竞争的，依法对本国产品给予价格评审优惠，对本国产品的报价给予 </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auto"/>
          <w:sz w:val="24"/>
          <w:szCs w:val="24"/>
          <w:highlight w:val="none"/>
          <w:u w:val="single"/>
        </w:rPr>
        <w:t xml:space="preserve">80%</w:t>
      </w:r>
      <w:r>
        <w:rPr>
          <w:rFonts w:hint="eastAsia" w:ascii="宋体" w:hAnsi="宋体" w:eastAsia="宋体" w:cs="宋体"/>
          <w:color w:val="auto"/>
          <w:sz w:val="24"/>
          <w:szCs w:val="24"/>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的价格扣除，用扣除后的价格参与评审。供应商未填写比例数值，或比例数值未达到80%的，将不享受本国产品价格评审优惠。</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 供应商需按照招标文件的要求提供《关于符合本国产品标准的声明函》（以下简称《声明函》），如不提供将不享受本国产品价格评审优惠。</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.4 供应商需在《声明函》中逐一、准确填写产品名称、厂名、生产厂址三项信息（《声明函》中用</w:t>
      </w:r>
      <w:r>
        <w:rPr>
          <w:rFonts w:hint="eastAsia" w:ascii="宋体" w:hAnsi="宋体" w:eastAsia="宋体" w:cs="宋体"/>
          <w:color w:val="auto"/>
          <w:sz w:val="24"/>
          <w:szCs w:val="24"/>
          <w:highlight w:val="none"/>
          <w:lang w:val="en-US" w:eastAsia="zh-CN"/>
        </w:rPr>
        <w:t xml:space="preserve">横</w:t>
      </w:r>
      <w:r>
        <w:rPr>
          <w:rFonts w:hint="eastAsia" w:ascii="宋体" w:hAnsi="宋体" w:eastAsia="宋体" w:cs="宋体"/>
          <w:color w:val="auto"/>
          <w:sz w:val="24"/>
          <w:szCs w:val="24"/>
          <w:highlight w:val="none"/>
        </w:rPr>
        <w:t xml:space="preserve">线划除的地方无需填写），三项信息中任意一项未填写的视为该项产品不符合本国产品标准，不享受本国产品价格评审优惠。</w:t>
      </w:r>
      <w:r/>
    </w:p>
    <w:p>
      <w:pPr>
        <w:ind w:firstLine="480"/>
        <w:jc w:val="left"/>
        <w:spacing w:line="4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.5 评标过程中，如发现供应商在《声明函》内容含义不明确、同类事项与投标（响应）文件表述不一致或者有明显文字错误等情况的，评标委员会应当</w:t>
      </w:r>
      <w:r>
        <w:rPr>
          <w:rFonts w:hint="eastAsia" w:ascii="宋体" w:hAnsi="宋体" w:eastAsia="宋体" w:cs="宋体"/>
          <w:color w:val="auto"/>
          <w:sz w:val="24"/>
          <w:szCs w:val="24"/>
          <w:highlight w:val="none"/>
          <w:lang w:val="en-US" w:eastAsia="zh-CN"/>
        </w:rPr>
        <w:t xml:space="preserve">在苏采云系统</w:t>
      </w:r>
      <w:r>
        <w:rPr>
          <w:rFonts w:hint="eastAsia" w:ascii="宋体" w:hAnsi="宋体" w:eastAsia="宋体" w:cs="宋体"/>
          <w:color w:val="auto"/>
          <w:sz w:val="24"/>
          <w:szCs w:val="24"/>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34"/>
        <w:ind w:firstLine="482"/>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pStyle w:val="734"/>
        <w:ind w:firstLine="482"/>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0"/>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由国家确定的认证机构出具的、处于有效期之内的节能产品、环境标志产品认证证书</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。节能产品、环境标志产品品目清单以递交响应文件截止时已正式公布的最近一期信息为准，</w:t>
      </w:r>
      <w:r>
        <w:rPr>
          <w:rFonts w:hint="eastAsia" w:ascii="宋体" w:hAnsi="宋体" w:eastAsia="宋体" w:cs="宋体"/>
          <w:b/>
          <w:bCs/>
          <w:i/>
          <w:iCs/>
          <w:color w:val="auto"/>
          <w:sz w:val="24"/>
          <w:szCs w:val="20"/>
          <w:highlight w:val="none"/>
        </w:rPr>
        <w:t xml:space="preserve">如属政府强制采购产品未提供认证证书的或认证证书提供不全的将视为未实质性响应采购要求</w:t>
      </w:r>
      <w:r>
        <w:rPr>
          <w:rFonts w:hint="eastAsia" w:ascii="宋体" w:hAnsi="宋体" w:eastAsia="宋体" w:cs="宋体"/>
          <w:color w:val="auto"/>
          <w:sz w:val="24"/>
          <w:szCs w:val="20"/>
          <w:highlight w:val="none"/>
        </w:rPr>
        <w:t xml:space="preserve">。其他条件相同情况下，应当优先采购节能产品、环境标志产品。</w:t>
      </w:r>
      <w:r/>
    </w:p>
    <w:p>
      <w:pPr>
        <w:pStyle w:val="734"/>
        <w:ind w:firstLine="482"/>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评标方法与评标标准</w:t>
      </w:r>
      <w:r/>
    </w:p>
    <w:p>
      <w:pPr>
        <w:ind w:firstLine="480"/>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本项目评分总分值为100分。</w:t>
      </w:r>
      <w:r/>
    </w:p>
    <w:tbl>
      <w:tblPr>
        <w:tblStyle w:val="651"/>
        <w:tblW w:w="99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1337"/>
        <w:gridCol w:w="842"/>
        <w:gridCol w:w="7003"/>
      </w:tblGrid>
      <w:tr>
        <w:trPr>
          <w:jc w:val="center"/>
          <w:trHeight w:val="90"/>
        </w:trPr>
        <w:tc>
          <w:tcPr>
            <w:tcW w:w="801" w:type="dxa"/>
            <w:vAlign w:val="center"/>
            <w:textDirection w:val="lrTb"/>
            <w:noWrap w:val="false"/>
          </w:tcPr>
          <w:p>
            <w:pPr>
              <w:jc w:val="center"/>
              <w:spacing w:before="78" w:after="78"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序号</w:t>
            </w:r>
            <w:r/>
          </w:p>
        </w:tc>
        <w:tc>
          <w:tcPr>
            <w:tcW w:w="1337" w:type="dxa"/>
            <w:vAlign w:val="center"/>
            <w:textDirection w:val="lrTb"/>
            <w:noWrap w:val="false"/>
          </w:tcPr>
          <w:p>
            <w:pPr>
              <w:jc w:val="center"/>
              <w:spacing w:before="78" w:after="78"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评分</w:t>
            </w:r>
            <w:r/>
          </w:p>
          <w:p>
            <w:pPr>
              <w:jc w:val="center"/>
              <w:spacing w:before="78" w:after="78"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w:t>
            </w:r>
            <w:r/>
          </w:p>
        </w:tc>
        <w:tc>
          <w:tcPr>
            <w:tcW w:w="842" w:type="dxa"/>
            <w:vAlign w:val="center"/>
            <w:textDirection w:val="lrTb"/>
            <w:noWrap w:val="false"/>
          </w:tcPr>
          <w:p>
            <w:pPr>
              <w:jc w:val="center"/>
              <w:spacing w:before="78" w:after="78"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分值</w:t>
            </w:r>
            <w:r/>
          </w:p>
        </w:tc>
        <w:tc>
          <w:tcPr>
            <w:tcW w:w="7003" w:type="dxa"/>
            <w:vAlign w:val="center"/>
            <w:textDirection w:val="lrTb"/>
            <w:noWrap w:val="false"/>
          </w:tcPr>
          <w:p>
            <w:pPr>
              <w:jc w:val="center"/>
              <w:spacing w:before="78" w:after="78"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评分标准</w:t>
            </w:r>
            <w:r/>
          </w:p>
        </w:tc>
      </w:tr>
      <w:tr>
        <w:trPr>
          <w:jc w:val="center"/>
          <w:trHeight w:val="90"/>
        </w:trPr>
        <w:tc>
          <w:tcPr>
            <w:tcW w:w="816" w:type="dxa"/>
            <w:vAlign w:val="center"/>
            <w:textDirection w:val="lrTb"/>
            <w:noWrap w:val="false"/>
          </w:tcPr>
          <w:p>
            <w:pPr>
              <w:jc w:val="center"/>
              <w:spacing w:before="78" w:after="78"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p>
        </w:tc>
        <w:tc>
          <w:tcPr>
            <w:tcW w:w="1337" w:type="dxa"/>
            <w:vAlign w:val="center"/>
            <w:textDirection w:val="lrTb"/>
            <w:noWrap w:val="false"/>
          </w:tcPr>
          <w:p>
            <w:pPr>
              <w:jc w:val="center"/>
              <w:spacing w:before="78" w:after="78"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投标报价</w:t>
            </w:r>
            <w:r/>
          </w:p>
        </w:tc>
        <w:tc>
          <w:tcPr>
            <w:tcW w:w="842" w:type="dxa"/>
            <w:vAlign w:val="center"/>
            <w:textDirection w:val="lrTb"/>
            <w:noWrap w:val="false"/>
          </w:tcPr>
          <w:p>
            <w:pPr>
              <w:jc w:val="center"/>
              <w:spacing w:before="78" w:after="78"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50</w:t>
            </w:r>
            <w:r/>
          </w:p>
        </w:tc>
        <w:tc>
          <w:tcPr>
            <w:tcW w:w="7003" w:type="dxa"/>
            <w:vAlign w:val="center"/>
            <w:textDirection w:val="lrTb"/>
            <w:noWrap w:val="false"/>
          </w:tcPr>
          <w:p>
            <w:pPr>
              <w:jc w:val="left"/>
              <w:spacing w:before="78" w:after="78"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1.采用低价优先法，即满足招标文件要求且投标价格最低的投标报价为评标基准价，其价格分为满分。</w:t>
            </w:r>
            <w:r/>
          </w:p>
          <w:p>
            <w:pPr>
              <w:jc w:val="left"/>
              <w:spacing w:before="78" w:after="78"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2.其他投标人的价格分统一按下列公式计算：投标报价得分＝（评标基准价/投标报价）×50（小数点保留两位）</w:t>
            </w:r>
            <w:r/>
          </w:p>
        </w:tc>
      </w:tr>
      <w:tr>
        <w:trPr>
          <w:jc w:val="center"/>
          <w:trHeight w:val="90"/>
        </w:trPr>
        <w:tc>
          <w:tcPr>
            <w:tcW w:w="816" w:type="dxa"/>
            <w:vAlign w:val="center"/>
            <w:textDirection w:val="lrTb"/>
            <w:noWrap w:val="false"/>
          </w:tcPr>
          <w:p>
            <w:pPr>
              <w:jc w:val="center"/>
              <w:spacing w:before="78" w:after="78" w:line="24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w:t>
            </w:r>
            <w:r/>
          </w:p>
        </w:tc>
        <w:tc>
          <w:tcPr>
            <w:tcW w:w="1337" w:type="dxa"/>
            <w:vAlign w:val="center"/>
            <w:textDirection w:val="lrTb"/>
            <w:noWrap w:val="false"/>
          </w:tcPr>
          <w:p>
            <w:pPr>
              <w:jc w:val="center"/>
              <w:spacing w:before="78" w:after="78" w:line="24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业绩</w:t>
            </w:r>
            <w:r/>
          </w:p>
        </w:tc>
        <w:tc>
          <w:tcPr>
            <w:tcW w:w="842" w:type="dxa"/>
            <w:vAlign w:val="center"/>
            <w:textDirection w:val="lrTb"/>
            <w:noWrap w:val="false"/>
          </w:tcPr>
          <w:p>
            <w:pPr>
              <w:jc w:val="center"/>
              <w:spacing w:before="78" w:after="78" w:line="24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w:t>
            </w:r>
            <w:r/>
          </w:p>
        </w:tc>
        <w:tc>
          <w:tcPr>
            <w:tcW w:w="7003" w:type="dxa"/>
            <w:vAlign w:val="center"/>
            <w:textDirection w:val="lrTb"/>
            <w:noWrap w:val="false"/>
          </w:tcPr>
          <w:p>
            <w:pPr>
              <w:jc w:val="left"/>
              <w:spacing w:before="78" w:after="78"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投标人</w:t>
            </w:r>
            <w:r>
              <w:rPr>
                <w:rFonts w:hint="eastAsia" w:ascii="宋体" w:hAnsi="宋体" w:eastAsia="宋体" w:cs="宋体"/>
                <w:color w:val="auto"/>
                <w:sz w:val="22"/>
                <w:szCs w:val="22"/>
                <w:highlight w:val="none"/>
              </w:rPr>
              <w:t xml:space="preserve">自20</w:t>
            </w:r>
            <w:r>
              <w:rPr>
                <w:rFonts w:hint="eastAsia" w:ascii="宋体" w:hAnsi="宋体" w:eastAsia="宋体" w:cs="宋体"/>
                <w:color w:val="auto"/>
                <w:sz w:val="22"/>
                <w:szCs w:val="22"/>
                <w:highlight w:val="none"/>
                <w:lang w:val="en-US" w:eastAsia="zh-CN"/>
              </w:rPr>
              <w:t xml:space="preserve">23</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月1日以来（以合同签订时间为准），具有类似</w:t>
            </w:r>
            <w:r>
              <w:rPr>
                <w:rFonts w:hint="eastAsia" w:ascii="宋体" w:hAnsi="宋体" w:eastAsia="宋体" w:cs="宋体"/>
                <w:color w:val="auto"/>
                <w:sz w:val="22"/>
                <w:szCs w:val="22"/>
                <w:highlight w:val="none"/>
                <w:lang w:val="en-US" w:eastAsia="zh-CN"/>
              </w:rPr>
              <w:t xml:space="preserve">物业服务业绩</w:t>
            </w:r>
            <w:r>
              <w:rPr>
                <w:rFonts w:hint="eastAsia" w:ascii="宋体" w:hAnsi="宋体" w:eastAsia="宋体" w:cs="宋体"/>
                <w:color w:val="auto"/>
                <w:sz w:val="22"/>
                <w:szCs w:val="22"/>
                <w:highlight w:val="none"/>
              </w:rPr>
              <w:t xml:space="preserve">的，</w:t>
            </w:r>
            <w:r>
              <w:rPr>
                <w:rFonts w:hint="eastAsia" w:ascii="宋体" w:hAnsi="宋体" w:eastAsia="宋体" w:cs="宋体"/>
                <w:color w:val="auto"/>
                <w:sz w:val="22"/>
                <w:szCs w:val="22"/>
                <w:highlight w:val="none"/>
                <w:lang w:val="en-US" w:eastAsia="zh-CN"/>
              </w:rPr>
              <w:t xml:space="preserve">提供</w:t>
            </w:r>
            <w:r>
              <w:rPr>
                <w:rFonts w:hint="eastAsia" w:ascii="宋体" w:hAnsi="宋体" w:eastAsia="宋体" w:cs="宋体"/>
                <w:color w:val="auto"/>
                <w:sz w:val="22"/>
                <w:szCs w:val="22"/>
                <w:highlight w:val="none"/>
              </w:rPr>
              <w:t xml:space="preserve">一个</w:t>
            </w:r>
            <w:r>
              <w:rPr>
                <w:rFonts w:hint="eastAsia" w:ascii="宋体" w:hAnsi="宋体" w:eastAsia="宋体" w:cs="宋体"/>
                <w:color w:val="auto"/>
                <w:sz w:val="22"/>
                <w:szCs w:val="22"/>
                <w:highlight w:val="none"/>
                <w:lang w:val="en-US" w:eastAsia="zh-CN"/>
              </w:rPr>
              <w:t xml:space="preserve">得2分</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本项最高得4分</w:t>
            </w:r>
            <w:r>
              <w:rPr>
                <w:rFonts w:hint="eastAsia" w:ascii="宋体" w:hAnsi="宋体" w:eastAsia="宋体" w:cs="宋体"/>
                <w:color w:val="auto"/>
                <w:sz w:val="22"/>
                <w:szCs w:val="22"/>
                <w:highlight w:val="none"/>
              </w:rPr>
              <w:t xml:space="preserve">。（以有效的合同扫描件</w:t>
            </w:r>
            <w:r>
              <w:rPr>
                <w:rFonts w:hint="eastAsia" w:ascii="宋体" w:hAnsi="宋体" w:eastAsia="宋体" w:cs="宋体"/>
                <w:color w:val="auto"/>
                <w:sz w:val="22"/>
                <w:szCs w:val="22"/>
                <w:highlight w:val="none"/>
                <w:lang w:val="en-US" w:eastAsia="zh-CN"/>
              </w:rPr>
              <w:t xml:space="preserve">或业绩证明材料</w:t>
            </w:r>
            <w:r>
              <w:rPr>
                <w:rFonts w:hint="eastAsia" w:ascii="宋体" w:hAnsi="宋体" w:eastAsia="宋体" w:cs="宋体"/>
                <w:color w:val="auto"/>
                <w:sz w:val="22"/>
                <w:szCs w:val="22"/>
                <w:highlight w:val="none"/>
              </w:rPr>
              <w:t xml:space="preserve">加盖单位公章</w:t>
            </w:r>
            <w:r>
              <w:rPr>
                <w:rFonts w:hint="eastAsia" w:ascii="宋体" w:hAnsi="宋体" w:eastAsia="宋体" w:cs="宋体"/>
                <w:color w:val="auto"/>
                <w:sz w:val="22"/>
                <w:szCs w:val="22"/>
                <w:highlight w:val="none"/>
                <w:lang w:val="en-US" w:eastAsia="zh-CN"/>
              </w:rPr>
              <w:t xml:space="preserve">扫描件</w:t>
            </w:r>
            <w:r>
              <w:rPr>
                <w:rFonts w:hint="eastAsia" w:ascii="宋体" w:hAnsi="宋体" w:eastAsia="宋体" w:cs="宋体"/>
                <w:color w:val="auto"/>
                <w:sz w:val="22"/>
                <w:szCs w:val="22"/>
                <w:highlight w:val="none"/>
                <w:lang w:eastAsia="zh-CN"/>
              </w:rPr>
              <w:t xml:space="preserve">）。</w:t>
            </w:r>
            <w:r/>
          </w:p>
        </w:tc>
      </w:tr>
      <w:tr>
        <w:trPr>
          <w:jc w:val="center"/>
          <w:trHeight w:val="90"/>
        </w:trPr>
        <w:tc>
          <w:tcPr>
            <w:tcW w:w="801" w:type="dxa"/>
            <w:vAlign w:val="center"/>
            <w:textDirection w:val="lrTb"/>
            <w:noWrap w:val="false"/>
          </w:tcPr>
          <w:p>
            <w:pPr>
              <w:jc w:val="center"/>
              <w:spacing w:before="78" w:after="78"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p>
        </w:tc>
        <w:tc>
          <w:tcPr>
            <w:tcW w:w="1337" w:type="dxa"/>
            <w:vAlign w:val="center"/>
            <w:textDirection w:val="lrTb"/>
            <w:noWrap w:val="false"/>
          </w:tcPr>
          <w:p>
            <w:pPr>
              <w:jc w:val="center"/>
              <w:spacing w:before="78" w:after="78" w:line="24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企业资信</w:t>
            </w:r>
            <w:r/>
          </w:p>
        </w:tc>
        <w:tc>
          <w:tcPr>
            <w:tcW w:w="842" w:type="dxa"/>
            <w:vAlign w:val="center"/>
            <w:textDirection w:val="lrTb"/>
            <w:noWrap w:val="false"/>
          </w:tcPr>
          <w:p>
            <w:pPr>
              <w:jc w:val="center"/>
              <w:spacing w:before="78" w:after="78"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4</w:t>
            </w:r>
            <w:r/>
          </w:p>
        </w:tc>
        <w:tc>
          <w:tcPr>
            <w:tcW w:w="7003" w:type="dxa"/>
            <w:vAlign w:val="center"/>
            <w:textDirection w:val="lrTb"/>
            <w:noWrap w:val="false"/>
          </w:tcPr>
          <w:p>
            <w:pPr>
              <w:numPr>
                <w:ilvl w:val="0"/>
                <w:numId w:val="1"/>
              </w:numPr>
              <w:jc w:val="left"/>
              <w:spacing w:before="78" w:after="78"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投标人自202</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年1月1日(以获奖证书或文件时间为准)以来获得行政部门表彰奖项的，省级</w:t>
            </w:r>
            <w:r>
              <w:rPr>
                <w:rFonts w:hint="eastAsia" w:ascii="宋体" w:hAnsi="宋体" w:eastAsia="宋体" w:cs="宋体"/>
                <w:color w:val="auto"/>
                <w:sz w:val="22"/>
                <w:szCs w:val="22"/>
                <w:highlight w:val="none"/>
                <w:lang w:val="en-US" w:eastAsia="zh-CN"/>
              </w:rPr>
              <w:t xml:space="preserve">及以上的</w:t>
            </w:r>
            <w:r>
              <w:rPr>
                <w:rFonts w:hint="eastAsia" w:ascii="宋体" w:hAnsi="宋体" w:eastAsia="宋体" w:cs="宋体"/>
                <w:color w:val="auto"/>
                <w:sz w:val="22"/>
                <w:szCs w:val="22"/>
                <w:highlight w:val="none"/>
              </w:rPr>
              <w:t xml:space="preserve">得</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分，地市级得1分，县级(或区级)得0.5分</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可累计重复得分，本项</w:t>
            </w:r>
            <w:r>
              <w:rPr>
                <w:rFonts w:hint="eastAsia" w:ascii="宋体" w:hAnsi="宋体" w:eastAsia="宋体" w:cs="宋体"/>
                <w:color w:val="auto"/>
                <w:sz w:val="22"/>
                <w:szCs w:val="22"/>
                <w:highlight w:val="none"/>
              </w:rPr>
              <w:t xml:space="preserve">最高得</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分。(以证书或文件扫描件计分。)</w:t>
            </w:r>
            <w:r/>
          </w:p>
          <w:p>
            <w:pPr>
              <w:numPr>
                <w:ilvl w:val="0"/>
                <w:numId w:val="1"/>
              </w:numPr>
              <w:jc w:val="left"/>
              <w:spacing w:before="78" w:after="78" w:line="240" w:lineRule="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投标人具有有效期内的</w:t>
            </w:r>
            <w:r>
              <w:rPr>
                <w:rFonts w:hint="eastAsia" w:ascii="宋体" w:hAnsi="宋体" w:eastAsia="宋体" w:cs="宋体"/>
                <w:color w:val="auto"/>
                <w:sz w:val="22"/>
                <w:szCs w:val="22"/>
                <w:highlight w:val="none"/>
              </w:rPr>
              <w:t xml:space="preserve">ISO9001质量管理体系认证证书</w:t>
            </w:r>
            <w:r>
              <w:rPr>
                <w:rFonts w:hint="eastAsia" w:ascii="宋体" w:hAnsi="宋体" w:eastAsia="宋体" w:cs="宋体"/>
                <w:color w:val="auto"/>
                <w:sz w:val="22"/>
                <w:szCs w:val="22"/>
                <w:highlight w:val="none"/>
                <w:lang w:val="en-US" w:eastAsia="zh-CN"/>
              </w:rPr>
              <w:t xml:space="preserve">、ISO14001环境管理体系认证证书、OHSAS18001/ISO45001职业健康安全管理体系认证证书、社会责任管理体系证书的，每有一个得0.5分，本项最高得2分。</w:t>
            </w:r>
            <w:r/>
          </w:p>
          <w:p>
            <w:pPr>
              <w:numPr>
                <w:ilvl w:val="0"/>
                <w:numId w:val="0"/>
              </w:numPr>
              <w:jc w:val="left"/>
              <w:spacing w:before="78" w:after="78" w:line="24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注：投标时提供原件的扫描件，并提供中国认监委网站（</w:t>
            </w:r>
            <w:r>
              <w:rPr>
                <w:rFonts w:hint="eastAsia" w:ascii="宋体" w:hAnsi="宋体" w:eastAsia="宋体" w:cs="宋体"/>
                <w:color w:val="auto"/>
                <w:sz w:val="22"/>
                <w:szCs w:val="22"/>
                <w:highlight w:val="none"/>
                <w:lang w:val="en-US" w:eastAsia="zh-CN"/>
              </w:rPr>
              <w:fldChar w:fldCharType="begin"/>
            </w:r>
            <w:r>
              <w:rPr>
                <w:rFonts w:hint="eastAsia" w:ascii="宋体" w:hAnsi="宋体" w:eastAsia="宋体" w:cs="宋体"/>
                <w:color w:val="auto"/>
                <w:sz w:val="22"/>
                <w:szCs w:val="22"/>
                <w:highlight w:val="none"/>
                <w:lang w:val="en-US" w:eastAsia="zh-CN"/>
              </w:rPr>
              <w:instrText xml:space="preserve"> HYPERLINK "http://www.cnca.gov.cn/" </w:instrText>
            </w:r>
            <w:r>
              <w:rPr>
                <w:rFonts w:hint="eastAsia" w:ascii="宋体" w:hAnsi="宋体" w:eastAsia="宋体" w:cs="宋体"/>
                <w:color w:val="auto"/>
                <w:sz w:val="22"/>
                <w:szCs w:val="22"/>
                <w:highlight w:val="none"/>
                <w:lang w:val="en-US" w:eastAsia="zh-CN"/>
              </w:rPr>
              <w:fldChar w:fldCharType="separate"/>
            </w:r>
            <w:r>
              <w:rPr>
                <w:rFonts w:hint="eastAsia" w:ascii="宋体" w:hAnsi="宋体" w:eastAsia="宋体" w:cs="宋体"/>
                <w:color w:val="auto"/>
                <w:sz w:val="22"/>
                <w:szCs w:val="22"/>
                <w:highlight w:val="none"/>
                <w:lang w:val="en-US" w:eastAsia="zh-CN"/>
              </w:rPr>
              <w:t xml:space="preserve">http://www.cnca.gov.cn/</w:t>
            </w:r>
            <w:r>
              <w:rPr>
                <w:rFonts w:hint="eastAsia" w:ascii="宋体" w:hAnsi="宋体" w:eastAsia="宋体" w:cs="宋体"/>
                <w:color w:val="auto"/>
                <w:sz w:val="22"/>
                <w:szCs w:val="22"/>
                <w:highlight w:val="none"/>
                <w:lang w:val="en-US" w:eastAsia="zh-CN"/>
              </w:rPr>
              <w:fldChar w:fldCharType="end"/>
            </w:r>
            <w:r>
              <w:rPr>
                <w:rFonts w:hint="eastAsia" w:ascii="宋体" w:hAnsi="宋体" w:eastAsia="宋体" w:cs="宋体"/>
                <w:color w:val="auto"/>
                <w:sz w:val="22"/>
                <w:szCs w:val="22"/>
                <w:highlight w:val="none"/>
                <w:lang w:val="en-US" w:eastAsia="zh-CN"/>
              </w:rPr>
              <w:t xml:space="preserve">）查询截图，不提供或提供不全不得分。</w:t>
            </w:r>
            <w:r/>
          </w:p>
        </w:tc>
      </w:tr>
      <w:tr>
        <w:trPr>
          <w:jc w:val="center"/>
          <w:trHeight w:val="90"/>
        </w:trPr>
        <w:tc>
          <w:tcPr>
            <w:tcW w:w="801" w:type="dxa"/>
            <w:vAlign w:val="center"/>
            <w:textDirection w:val="lrTb"/>
            <w:noWrap w:val="false"/>
          </w:tcPr>
          <w:p>
            <w:pPr>
              <w:jc w:val="center"/>
              <w:spacing w:before="78" w:after="78"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r/>
          </w:p>
        </w:tc>
        <w:tc>
          <w:tcPr>
            <w:tcW w:w="1337" w:type="dxa"/>
            <w:vAlign w:val="center"/>
            <w:textDirection w:val="lrTb"/>
            <w:noWrap w:val="false"/>
          </w:tcPr>
          <w:p>
            <w:pPr>
              <w:jc w:val="center"/>
              <w:spacing w:before="78" w:after="78" w:line="24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拟派人员证书情况</w:t>
            </w:r>
            <w:r/>
          </w:p>
        </w:tc>
        <w:tc>
          <w:tcPr>
            <w:tcW w:w="842" w:type="dxa"/>
            <w:vAlign w:val="center"/>
            <w:textDirection w:val="lrTb"/>
            <w:noWrap w:val="false"/>
          </w:tcPr>
          <w:p>
            <w:pPr>
              <w:jc w:val="center"/>
              <w:spacing w:before="78" w:after="78"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4</w:t>
            </w:r>
            <w:r/>
          </w:p>
        </w:tc>
        <w:tc>
          <w:tcPr>
            <w:tcW w:w="7003" w:type="dxa"/>
            <w:vAlign w:val="center"/>
            <w:textDirection w:val="lrTb"/>
            <w:noWrap w:val="false"/>
          </w:tcPr>
          <w:p>
            <w:pPr>
              <w:jc w:val="left"/>
              <w:spacing w:before="78" w:after="78" w:line="240" w:lineRule="auto"/>
              <w:rPr>
                <w:rFonts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拟派项目经理具有本科及以上学历的加1分，</w:t>
            </w:r>
            <w:r>
              <w:rPr>
                <w:rFonts w:hint="eastAsia" w:ascii="宋体" w:hAnsi="宋体" w:eastAsia="宋体" w:cs="宋体"/>
                <w:color w:val="auto"/>
                <w:sz w:val="22"/>
                <w:szCs w:val="22"/>
                <w:highlight w:val="none"/>
                <w:lang w:val="en-US" w:eastAsia="zh-CN"/>
              </w:rPr>
              <w:t xml:space="preserve">中级及以上职称</w:t>
            </w:r>
            <w:r>
              <w:rPr>
                <w:rFonts w:hint="eastAsia" w:ascii="宋体" w:hAnsi="宋体" w:eastAsia="宋体" w:cs="宋体"/>
                <w:color w:val="auto"/>
                <w:sz w:val="22"/>
                <w:szCs w:val="22"/>
                <w:highlight w:val="none"/>
              </w:rPr>
              <w:t xml:space="preserve">的加1分</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本项最高2分。</w:t>
            </w:r>
            <w:r/>
          </w:p>
          <w:p>
            <w:pPr>
              <w:jc w:val="left"/>
              <w:spacing w:before="78" w:after="78"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2、投标人拟派驻的保安</w:t>
            </w:r>
            <w:r>
              <w:rPr>
                <w:rFonts w:hint="eastAsia" w:ascii="宋体" w:hAnsi="宋体" w:eastAsia="宋体" w:cs="宋体"/>
                <w:color w:val="auto"/>
                <w:sz w:val="22"/>
                <w:szCs w:val="22"/>
                <w:highlight w:val="none"/>
                <w:lang w:val="en-US" w:eastAsia="zh-CN"/>
              </w:rPr>
              <w:t xml:space="preserve">人员</w:t>
            </w:r>
            <w:r>
              <w:rPr>
                <w:rFonts w:hint="eastAsia" w:ascii="宋体" w:hAnsi="宋体" w:eastAsia="宋体" w:cs="宋体"/>
                <w:color w:val="auto"/>
                <w:sz w:val="22"/>
                <w:szCs w:val="22"/>
                <w:highlight w:val="none"/>
              </w:rPr>
              <w:t xml:space="preserve">中持有人力资源和社会保障部门核发的保安员三级（高级工）及以上技能等级证书的每提供1人得</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分，最高得</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分。（包括原依法取得仍在有效期内的相应等级证书）</w:t>
            </w:r>
            <w:r/>
          </w:p>
          <w:p>
            <w:pPr>
              <w:jc w:val="left"/>
              <w:spacing w:before="78" w:after="78" w:line="240" w:lineRule="auto"/>
              <w:rPr>
                <w:rFonts w:hint="eastAsia" w:ascii="宋体" w:hAnsi="宋体" w:eastAsia="宋体" w:cs="Times New Roman"/>
                <w:bCs/>
                <w:color w:val="auto"/>
                <w:sz w:val="22"/>
                <w:szCs w:val="18"/>
                <w:highlight w:val="none"/>
                <w:lang w:val="en-US" w:eastAsia="zh-CN"/>
              </w:rPr>
            </w:pPr>
            <w:r>
              <w:rPr>
                <w:rFonts w:hint="eastAsia" w:ascii="宋体" w:hAnsi="宋体" w:eastAsia="宋体" w:cs="宋体"/>
                <w:color w:val="auto"/>
                <w:sz w:val="22"/>
                <w:szCs w:val="22"/>
                <w:highlight w:val="none"/>
              </w:rPr>
              <w:t xml:space="preserve">注:注:以上需提供证书原件扫描件，毕业证书须同时提供学信网查询截图并加盖投标人公章，不提供不得分:以上人员须提供招标文件上网公示之日当月向前3个月内任意1个月为其缴纳社保的相关证明材料，不提供不得分。</w:t>
            </w:r>
            <w:r/>
          </w:p>
        </w:tc>
      </w:tr>
      <w:tr>
        <w:trPr>
          <w:jc w:val="center"/>
          <w:trHeight w:val="90"/>
        </w:trPr>
        <w:tc>
          <w:tcPr>
            <w:tcW w:w="801" w:type="dxa"/>
            <w:vAlign w:val="center"/>
            <w:textDirection w:val="lrTb"/>
            <w:noWrap w:val="false"/>
          </w:tcPr>
          <w:p>
            <w:pPr>
              <w:jc w:val="center"/>
              <w:spacing w:before="78" w:after="78"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w:t>
            </w:r>
            <w:r/>
          </w:p>
        </w:tc>
        <w:tc>
          <w:tcPr>
            <w:tcW w:w="1337" w:type="dxa"/>
            <w:vAlign w:val="center"/>
            <w:textDirection w:val="lrTb"/>
            <w:noWrap w:val="false"/>
          </w:tcPr>
          <w:p>
            <w:pPr>
              <w:jc w:val="center"/>
              <w:spacing w:before="78" w:after="78"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物业服务方案</w:t>
            </w:r>
            <w:r/>
          </w:p>
        </w:tc>
        <w:tc>
          <w:tcPr>
            <w:tcW w:w="842" w:type="dxa"/>
            <w:vAlign w:val="center"/>
            <w:textDirection w:val="lrTb"/>
            <w:noWrap w:val="false"/>
          </w:tcPr>
          <w:p>
            <w:pPr>
              <w:jc w:val="center"/>
              <w:spacing w:before="78" w:after="78" w:line="240" w:lineRule="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38</w:t>
            </w:r>
            <w:r/>
          </w:p>
        </w:tc>
        <w:tc>
          <w:tcPr>
            <w:tcW w:w="7003" w:type="dxa"/>
            <w:vAlign w:val="center"/>
            <w:textDirection w:val="lrTb"/>
            <w:noWrap w:val="false"/>
          </w:tcPr>
          <w:p>
            <w:pPr>
              <w:jc w:val="left"/>
              <w:spacing w:before="78" w:after="78" w:line="24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1、符合法律法规的整体设想（</w:t>
            </w:r>
            <w:r>
              <w:rPr>
                <w:rFonts w:hint="eastAsia" w:ascii="宋体" w:hAnsi="宋体" w:eastAsia="宋体" w:cs="宋体"/>
                <w:b/>
                <w:bCs/>
                <w:color w:val="auto"/>
                <w:sz w:val="22"/>
                <w:szCs w:val="22"/>
                <w:highlight w:val="none"/>
                <w:lang w:val="en-US" w:eastAsia="zh-CN"/>
              </w:rPr>
              <w:t xml:space="preserve">7</w:t>
            </w:r>
            <w:r>
              <w:rPr>
                <w:rFonts w:hint="eastAsia" w:ascii="宋体" w:hAnsi="宋体" w:eastAsia="宋体" w:cs="宋体"/>
                <w:b/>
                <w:bCs/>
                <w:color w:val="auto"/>
                <w:sz w:val="22"/>
                <w:szCs w:val="22"/>
                <w:highlight w:val="none"/>
              </w:rPr>
              <w:t xml:space="preserve">分）</w:t>
            </w:r>
            <w:r/>
          </w:p>
          <w:p>
            <w:pPr>
              <w:jc w:val="left"/>
              <w:spacing w:before="78" w:after="78"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zh-CN" w:eastAsia="zh-CN"/>
              </w:rPr>
              <w:t xml:space="preserve">投标人根据招标文件中的服务要求，制定</w:t>
            </w:r>
            <w:r>
              <w:rPr>
                <w:rFonts w:hint="eastAsia" w:ascii="宋体" w:hAnsi="宋体" w:eastAsia="宋体" w:cs="宋体"/>
                <w:color w:val="auto"/>
                <w:sz w:val="22"/>
                <w:szCs w:val="22"/>
                <w:highlight w:val="none"/>
                <w:lang w:val="en-US" w:eastAsia="zh-CN"/>
              </w:rPr>
              <w:t xml:space="preserve">符合法律法规的整体设想</w:t>
            </w:r>
            <w:r>
              <w:rPr>
                <w:rFonts w:hint="eastAsia" w:ascii="宋体" w:hAnsi="宋体" w:eastAsia="宋体" w:cs="宋体"/>
                <w:color w:val="auto"/>
                <w:sz w:val="22"/>
                <w:szCs w:val="22"/>
                <w:highlight w:val="none"/>
                <w:lang w:val="zh-CN" w:eastAsia="zh-CN"/>
              </w:rPr>
              <w:t xml:space="preserve">，评委根据投标人提供的</w:t>
            </w:r>
            <w:r>
              <w:rPr>
                <w:rFonts w:hint="eastAsia" w:ascii="宋体" w:hAnsi="宋体" w:eastAsia="宋体" w:cs="宋体"/>
                <w:color w:val="auto"/>
                <w:sz w:val="22"/>
                <w:szCs w:val="22"/>
                <w:highlight w:val="none"/>
                <w:lang w:val="en-US" w:eastAsia="zh-CN"/>
              </w:rPr>
              <w:t xml:space="preserve">符合法律法规的整体设想</w:t>
            </w:r>
            <w:r>
              <w:rPr>
                <w:rFonts w:hint="eastAsia" w:ascii="宋体" w:hAnsi="宋体" w:eastAsia="宋体" w:cs="宋体"/>
                <w:color w:val="auto"/>
                <w:sz w:val="22"/>
                <w:szCs w:val="22"/>
                <w:highlight w:val="none"/>
                <w:lang w:val="zh-CN" w:eastAsia="zh-CN"/>
              </w:rPr>
              <w:t xml:space="preserve">进行评审。优于项目需求得</w:t>
            </w: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lang w:val="zh-CN" w:eastAsia="zh-CN"/>
              </w:rPr>
              <w:t xml:space="preserve">分，满足项目需求得</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val="zh-CN" w:eastAsia="zh-CN"/>
              </w:rPr>
              <w:t xml:space="preserve">分，不满足或不提供得0分。</w:t>
            </w:r>
            <w:r/>
          </w:p>
          <w:p>
            <w:pPr>
              <w:jc w:val="left"/>
              <w:spacing w:before="78" w:after="78" w:line="24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2</w:t>
            </w:r>
            <w:r>
              <w:rPr>
                <w:rFonts w:hint="eastAsia" w:ascii="宋体" w:hAnsi="宋体" w:eastAsia="宋体" w:cs="宋体"/>
                <w:b/>
                <w:color w:val="auto"/>
                <w:sz w:val="22"/>
                <w:szCs w:val="22"/>
                <w:highlight w:val="none"/>
              </w:rPr>
              <w:t xml:space="preserve">、组织机构设置、人员配备、培训与管理的详细方案</w:t>
            </w:r>
            <w:r>
              <w:rPr>
                <w:rFonts w:hint="eastAsia" w:ascii="宋体" w:hAnsi="宋体" w:eastAsia="宋体" w:cs="宋体"/>
                <w:b/>
                <w:bCs/>
                <w:color w:val="auto"/>
                <w:sz w:val="22"/>
                <w:szCs w:val="22"/>
                <w:highlight w:val="none"/>
              </w:rPr>
              <w:t xml:space="preserve">（</w:t>
            </w:r>
            <w:r>
              <w:rPr>
                <w:rFonts w:hint="eastAsia" w:ascii="宋体" w:hAnsi="宋体" w:eastAsia="宋体" w:cs="宋体"/>
                <w:b/>
                <w:bCs/>
                <w:color w:val="auto"/>
                <w:sz w:val="22"/>
                <w:szCs w:val="22"/>
                <w:highlight w:val="none"/>
                <w:lang w:val="en-US" w:eastAsia="zh-CN"/>
              </w:rPr>
              <w:t xml:space="preserve">7</w:t>
            </w:r>
            <w:r>
              <w:rPr>
                <w:rFonts w:hint="eastAsia" w:ascii="宋体" w:hAnsi="宋体" w:eastAsia="宋体" w:cs="宋体"/>
                <w:b/>
                <w:bCs/>
                <w:color w:val="auto"/>
                <w:sz w:val="22"/>
                <w:szCs w:val="22"/>
                <w:highlight w:val="none"/>
              </w:rPr>
              <w:t xml:space="preserve">分）</w:t>
            </w:r>
            <w:r/>
          </w:p>
          <w:p>
            <w:pPr>
              <w:jc w:val="left"/>
              <w:spacing w:before="78" w:after="78"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zh-CN" w:eastAsia="zh-CN"/>
              </w:rPr>
              <w:t xml:space="preserve">投标人根据招标文件中的服务要求，制定</w:t>
            </w:r>
            <w:r>
              <w:rPr>
                <w:rFonts w:hint="eastAsia" w:ascii="宋体" w:hAnsi="宋体" w:eastAsia="宋体" w:cs="宋体"/>
                <w:color w:val="auto"/>
                <w:sz w:val="22"/>
                <w:szCs w:val="22"/>
                <w:highlight w:val="none"/>
                <w:lang w:val="en-US" w:eastAsia="zh-CN"/>
              </w:rPr>
              <w:t xml:space="preserve">组织机构设置、人员配备、培训与管理的详细方案</w:t>
            </w:r>
            <w:r>
              <w:rPr>
                <w:rFonts w:hint="eastAsia" w:ascii="宋体" w:hAnsi="宋体" w:eastAsia="宋体" w:cs="宋体"/>
                <w:color w:val="auto"/>
                <w:sz w:val="22"/>
                <w:szCs w:val="22"/>
                <w:highlight w:val="none"/>
                <w:lang w:val="zh-CN" w:eastAsia="zh-CN"/>
              </w:rPr>
              <w:t xml:space="preserve">，评委根据投标人提供的</w:t>
            </w:r>
            <w:r>
              <w:rPr>
                <w:rFonts w:hint="eastAsia" w:ascii="宋体" w:hAnsi="宋体" w:eastAsia="宋体" w:cs="宋体"/>
                <w:color w:val="auto"/>
                <w:sz w:val="22"/>
                <w:szCs w:val="22"/>
                <w:highlight w:val="none"/>
                <w:lang w:val="en-US" w:eastAsia="zh-CN"/>
              </w:rPr>
              <w:t xml:space="preserve">组织机构设置、人员配备、培训与管理的详细方案</w:t>
            </w:r>
            <w:r>
              <w:rPr>
                <w:rFonts w:hint="eastAsia" w:ascii="宋体" w:hAnsi="宋体" w:eastAsia="宋体" w:cs="宋体"/>
                <w:color w:val="auto"/>
                <w:sz w:val="22"/>
                <w:szCs w:val="22"/>
                <w:highlight w:val="none"/>
                <w:lang w:val="zh-CN" w:eastAsia="zh-CN"/>
              </w:rPr>
              <w:t xml:space="preserve">进行评审。优于项目需求得</w:t>
            </w: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lang w:val="zh-CN" w:eastAsia="zh-CN"/>
              </w:rPr>
              <w:t xml:space="preserve">分，满足项目需求得</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val="zh-CN" w:eastAsia="zh-CN"/>
              </w:rPr>
              <w:t xml:space="preserve">分，不满足或不提供得0分。</w:t>
            </w:r>
            <w:r/>
          </w:p>
          <w:p>
            <w:pPr>
              <w:jc w:val="left"/>
              <w:spacing w:before="78" w:after="78" w:line="24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3、拟采取的管理服务模式及质量标准承诺（</w:t>
            </w:r>
            <w:r>
              <w:rPr>
                <w:rFonts w:hint="eastAsia" w:ascii="宋体" w:hAnsi="宋体" w:eastAsia="宋体" w:cs="宋体"/>
                <w:b/>
                <w:bCs/>
                <w:color w:val="auto"/>
                <w:sz w:val="22"/>
                <w:szCs w:val="22"/>
                <w:highlight w:val="none"/>
                <w:lang w:val="en-US" w:eastAsia="zh-CN"/>
              </w:rPr>
              <w:t xml:space="preserve">8</w:t>
            </w:r>
            <w:r>
              <w:rPr>
                <w:rFonts w:hint="eastAsia" w:ascii="宋体" w:hAnsi="宋体" w:eastAsia="宋体" w:cs="宋体"/>
                <w:b/>
                <w:bCs/>
                <w:color w:val="auto"/>
                <w:sz w:val="22"/>
                <w:szCs w:val="22"/>
                <w:highlight w:val="none"/>
              </w:rPr>
              <w:t xml:space="preserve">分）</w:t>
            </w:r>
            <w:r/>
          </w:p>
          <w:p>
            <w:pPr>
              <w:jc w:val="left"/>
              <w:spacing w:before="78" w:after="78"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zh-CN" w:eastAsia="zh-CN"/>
              </w:rPr>
              <w:t xml:space="preserve">投标人根据招标文件中的服务要求，制定</w:t>
            </w:r>
            <w:r>
              <w:rPr>
                <w:rFonts w:hint="eastAsia" w:ascii="宋体" w:hAnsi="宋体" w:eastAsia="宋体" w:cs="宋体"/>
                <w:color w:val="auto"/>
                <w:sz w:val="22"/>
                <w:szCs w:val="22"/>
                <w:highlight w:val="none"/>
                <w:lang w:val="en-US" w:eastAsia="zh-CN"/>
              </w:rPr>
              <w:t xml:space="preserve">拟采取的管理服务模式及质量标准承诺</w:t>
            </w:r>
            <w:r>
              <w:rPr>
                <w:rFonts w:hint="eastAsia" w:ascii="宋体" w:hAnsi="宋体" w:eastAsia="宋体" w:cs="宋体"/>
                <w:color w:val="auto"/>
                <w:sz w:val="22"/>
                <w:szCs w:val="22"/>
                <w:highlight w:val="none"/>
                <w:lang w:val="zh-CN" w:eastAsia="zh-CN"/>
              </w:rPr>
              <w:t xml:space="preserve">，评委根据投标人提供的</w:t>
            </w:r>
            <w:r>
              <w:rPr>
                <w:rFonts w:hint="eastAsia" w:ascii="宋体" w:hAnsi="宋体" w:eastAsia="宋体" w:cs="宋体"/>
                <w:color w:val="auto"/>
                <w:sz w:val="22"/>
                <w:szCs w:val="22"/>
                <w:highlight w:val="none"/>
                <w:lang w:val="en-US" w:eastAsia="zh-CN"/>
              </w:rPr>
              <w:t xml:space="preserve">拟采取的管理服务模式及质量标准承诺</w:t>
            </w:r>
            <w:r>
              <w:rPr>
                <w:rFonts w:hint="eastAsia" w:ascii="宋体" w:hAnsi="宋体" w:eastAsia="宋体" w:cs="宋体"/>
                <w:color w:val="auto"/>
                <w:sz w:val="22"/>
                <w:szCs w:val="22"/>
                <w:highlight w:val="none"/>
                <w:lang w:val="zh-CN" w:eastAsia="zh-CN"/>
              </w:rPr>
              <w:t xml:space="preserve">进行评审。优于项目需求得</w:t>
            </w: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lang w:val="zh-CN" w:eastAsia="zh-CN"/>
              </w:rPr>
              <w:t xml:space="preserve">分，满足项目需求得</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val="zh-CN" w:eastAsia="zh-CN"/>
              </w:rPr>
              <w:t xml:space="preserve">分，不满足或不提供得0分。</w:t>
            </w:r>
            <w:r/>
          </w:p>
          <w:p>
            <w:pPr>
              <w:jc w:val="left"/>
              <w:spacing w:before="78" w:after="78" w:line="24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4、适合本项目的各种突发事件的处理预案（</w:t>
            </w:r>
            <w:r>
              <w:rPr>
                <w:rFonts w:hint="eastAsia" w:ascii="宋体" w:hAnsi="宋体" w:eastAsia="宋体" w:cs="宋体"/>
                <w:b/>
                <w:bCs/>
                <w:color w:val="auto"/>
                <w:sz w:val="22"/>
                <w:szCs w:val="22"/>
                <w:highlight w:val="none"/>
                <w:lang w:val="en-US" w:eastAsia="zh-CN"/>
              </w:rPr>
              <w:t xml:space="preserve">8</w:t>
            </w:r>
            <w:r>
              <w:rPr>
                <w:rFonts w:hint="eastAsia" w:ascii="宋体" w:hAnsi="宋体" w:eastAsia="宋体" w:cs="宋体"/>
                <w:b/>
                <w:bCs/>
                <w:color w:val="auto"/>
                <w:sz w:val="22"/>
                <w:szCs w:val="22"/>
                <w:highlight w:val="none"/>
              </w:rPr>
              <w:t xml:space="preserve">分）</w:t>
            </w:r>
            <w:r/>
          </w:p>
          <w:p>
            <w:pPr>
              <w:jc w:val="left"/>
              <w:spacing w:before="78" w:after="78"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zh-CN" w:eastAsia="zh-CN"/>
              </w:rPr>
              <w:t xml:space="preserve">投标人根据招标文件中的服务要求，制定</w:t>
            </w:r>
            <w:r>
              <w:rPr>
                <w:rFonts w:hint="eastAsia" w:ascii="宋体" w:hAnsi="宋体" w:eastAsia="宋体" w:cs="宋体"/>
                <w:color w:val="auto"/>
                <w:sz w:val="22"/>
                <w:szCs w:val="22"/>
                <w:highlight w:val="none"/>
                <w:lang w:val="en-US" w:eastAsia="zh-CN"/>
              </w:rPr>
              <w:t xml:space="preserve">适合本项目的各种突发事件的处理预案</w:t>
            </w:r>
            <w:r>
              <w:rPr>
                <w:rFonts w:hint="eastAsia" w:ascii="宋体" w:hAnsi="宋体" w:eastAsia="宋体" w:cs="宋体"/>
                <w:color w:val="auto"/>
                <w:sz w:val="22"/>
                <w:szCs w:val="22"/>
                <w:highlight w:val="none"/>
                <w:lang w:val="zh-CN" w:eastAsia="zh-CN"/>
              </w:rPr>
              <w:t xml:space="preserve">，评委根据投标人提供的</w:t>
            </w:r>
            <w:r>
              <w:rPr>
                <w:rFonts w:hint="eastAsia" w:ascii="宋体" w:hAnsi="宋体" w:eastAsia="宋体" w:cs="宋体"/>
                <w:color w:val="auto"/>
                <w:sz w:val="22"/>
                <w:szCs w:val="22"/>
                <w:highlight w:val="none"/>
                <w:lang w:val="en-US" w:eastAsia="zh-CN"/>
              </w:rPr>
              <w:t xml:space="preserve">适合本项目的各种突发事件的处理预案</w:t>
            </w:r>
            <w:r>
              <w:rPr>
                <w:rFonts w:hint="eastAsia" w:ascii="宋体" w:hAnsi="宋体" w:eastAsia="宋体" w:cs="宋体"/>
                <w:color w:val="auto"/>
                <w:sz w:val="22"/>
                <w:szCs w:val="22"/>
                <w:highlight w:val="none"/>
                <w:lang w:val="zh-CN" w:eastAsia="zh-CN"/>
              </w:rPr>
              <w:t xml:space="preserve">进行评审。优于项目需求得</w:t>
            </w: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lang w:val="zh-CN" w:eastAsia="zh-CN"/>
              </w:rPr>
              <w:t xml:space="preserve">分，满足项目需求得</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val="zh-CN" w:eastAsia="zh-CN"/>
              </w:rPr>
              <w:t xml:space="preserve">分，不满足或不提供得0分。</w:t>
            </w:r>
            <w:r/>
          </w:p>
          <w:p>
            <w:pPr>
              <w:numPr>
                <w:ilvl w:val="0"/>
                <w:numId w:val="2"/>
              </w:numPr>
              <w:jc w:val="left"/>
              <w:spacing w:before="78" w:after="78" w:line="24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日常管理措施及安全保障承诺（</w:t>
            </w:r>
            <w:r>
              <w:rPr>
                <w:rFonts w:hint="eastAsia" w:ascii="宋体" w:hAnsi="宋体" w:eastAsia="宋体" w:cs="宋体"/>
                <w:b/>
                <w:bCs/>
                <w:color w:val="auto"/>
                <w:sz w:val="22"/>
                <w:szCs w:val="22"/>
                <w:highlight w:val="none"/>
                <w:lang w:val="en-US" w:eastAsia="zh-CN"/>
              </w:rPr>
              <w:t xml:space="preserve">8</w:t>
            </w:r>
            <w:r>
              <w:rPr>
                <w:rFonts w:hint="eastAsia" w:ascii="宋体" w:hAnsi="宋体" w:eastAsia="宋体" w:cs="宋体"/>
                <w:b/>
                <w:bCs/>
                <w:color w:val="auto"/>
                <w:sz w:val="22"/>
                <w:szCs w:val="22"/>
                <w:highlight w:val="none"/>
              </w:rPr>
              <w:t xml:space="preserve">分）</w:t>
            </w:r>
            <w:r/>
          </w:p>
          <w:p>
            <w:pPr>
              <w:jc w:val="left"/>
              <w:spacing w:before="78" w:after="78"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zh-CN" w:eastAsia="zh-CN"/>
              </w:rPr>
              <w:t xml:space="preserve">投标人根据招标文件中的服务要求，制定</w:t>
            </w:r>
            <w:r>
              <w:rPr>
                <w:rFonts w:hint="eastAsia" w:ascii="宋体" w:hAnsi="宋体" w:eastAsia="宋体" w:cs="宋体"/>
                <w:color w:val="auto"/>
                <w:sz w:val="22"/>
                <w:szCs w:val="22"/>
                <w:highlight w:val="none"/>
                <w:lang w:val="en-US" w:eastAsia="zh-CN"/>
              </w:rPr>
              <w:t xml:space="preserve">日常管理措施及安全保障承诺</w:t>
            </w:r>
            <w:r>
              <w:rPr>
                <w:rFonts w:hint="eastAsia" w:ascii="宋体" w:hAnsi="宋体" w:eastAsia="宋体" w:cs="宋体"/>
                <w:color w:val="auto"/>
                <w:sz w:val="22"/>
                <w:szCs w:val="22"/>
                <w:highlight w:val="none"/>
                <w:lang w:val="zh-CN" w:eastAsia="zh-CN"/>
              </w:rPr>
              <w:t xml:space="preserve">，评委根据投标人提供的</w:t>
            </w:r>
            <w:r>
              <w:rPr>
                <w:rFonts w:hint="eastAsia" w:ascii="宋体" w:hAnsi="宋体" w:eastAsia="宋体" w:cs="宋体"/>
                <w:color w:val="auto"/>
                <w:sz w:val="22"/>
                <w:szCs w:val="22"/>
                <w:highlight w:val="none"/>
                <w:lang w:val="en-US" w:eastAsia="zh-CN"/>
              </w:rPr>
              <w:t xml:space="preserve">日常管理措施及安全保障承诺</w:t>
            </w:r>
            <w:r>
              <w:rPr>
                <w:rFonts w:hint="eastAsia" w:ascii="宋体" w:hAnsi="宋体" w:eastAsia="宋体" w:cs="宋体"/>
                <w:color w:val="auto"/>
                <w:sz w:val="22"/>
                <w:szCs w:val="22"/>
                <w:highlight w:val="none"/>
                <w:lang w:val="zh-CN" w:eastAsia="zh-CN"/>
              </w:rPr>
              <w:t xml:space="preserve">进行评审。优于项目需求得</w:t>
            </w: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lang w:val="zh-CN" w:eastAsia="zh-CN"/>
              </w:rPr>
              <w:t xml:space="preserve">分，满足项目需求得</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val="zh-CN" w:eastAsia="zh-CN"/>
              </w:rPr>
              <w:t xml:space="preserve">分，不满足或不提供得0分。</w:t>
            </w:r>
            <w:r/>
          </w:p>
        </w:tc>
      </w:tr>
    </w:tbl>
    <w:p>
      <w:pPr>
        <w:pStyle w:val="734"/>
        <w:jc w:val="center"/>
        <w:keepNext/>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734"/>
        <w:jc w:val="center"/>
        <w:keepNext/>
        <w:spacing w:beforeAutospacing="0" w:afterAutospacing="0"/>
        <w:rPr>
          <w:rFonts w:hint="eastAsia" w:ascii="宋体" w:hAnsi="宋体" w:eastAsia="宋体" w:cs="宋体"/>
          <w:color w:val="auto"/>
          <w:highlight w:val="none"/>
        </w:rPr>
      </w:pPr>
      <w:r>
        <w:rPr>
          <w:rFonts w:hint="eastAsia" w:ascii="宋体" w:hAnsi="宋体" w:eastAsia="宋体" w:cs="宋体"/>
          <w:color w:val="auto"/>
          <w:sz w:val="44"/>
          <w:szCs w:val="44"/>
          <w:highlight w:val="none"/>
        </w:rPr>
        <w:t xml:space="preserve">第六章  投标文件格式 </w:t>
      </w:r>
      <w:r/>
    </w:p>
    <w:p>
      <w:pPr>
        <w:pStyle w:val="734"/>
        <w:jc w:val="center"/>
        <w:spacing w:beforeAutospacing="0" w:afterAutospacing="0"/>
        <w:rPr>
          <w:rFonts w:hint="eastAsia" w:ascii="宋体" w:hAnsi="宋体" w:eastAsia="宋体" w:cs="宋体"/>
          <w:b/>
          <w:color w:val="auto"/>
          <w:sz w:val="72"/>
          <w:szCs w:val="72"/>
          <w:highlight w:val="none"/>
        </w:rPr>
      </w:pPr>
      <w:r/>
      <w:bookmarkStart w:id="103" w:name="_Toc26554094"/>
      <w:r/>
      <w:bookmarkEnd w:id="103"/>
      <w:r/>
      <w:bookmarkStart w:id="104" w:name="_Hlt26955039"/>
      <w:r/>
      <w:bookmarkEnd w:id="104"/>
      <w:r/>
      <w:bookmarkStart w:id="105" w:name="_Hlt26671244"/>
      <w:r/>
      <w:bookmarkEnd w:id="105"/>
      <w:r/>
      <w:bookmarkStart w:id="106" w:name="_Toc49090576"/>
      <w:r/>
      <w:bookmarkStart w:id="107" w:name="_Toc120614282"/>
      <w:r/>
      <w:r/>
    </w:p>
    <w:p>
      <w:pPr>
        <w:pStyle w:val="734"/>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734"/>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72"/>
          <w:szCs w:val="72"/>
          <w:highlight w:val="none"/>
        </w:rPr>
        <w:t xml:space="preserve">投  标  文  件</w:t>
      </w:r>
      <w:r/>
    </w:p>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ind w:firstLine="1084"/>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734"/>
        <w:ind w:firstLine="1084"/>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        </w:t>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73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734"/>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734"/>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734"/>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734"/>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734"/>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734"/>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734"/>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734"/>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734"/>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73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投标文件目录</w:t>
      </w:r>
      <w:r/>
    </w:p>
    <w:p>
      <w:pPr>
        <w:pStyle w:val="73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ind w:left="480"/>
        <w:jc w:val="both"/>
        <w:spacing w:beforeAutospacing="0" w:afterAutospacing="0"/>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color w:val="auto"/>
          <w:sz w:val="24"/>
          <w:szCs w:val="24"/>
          <w:highlight w:val="none"/>
          <w:u w:val="single"/>
          <w:lang w:val="en-US" w:eastAsia="zh-CN" w:bidi="ar-SA"/>
        </w:rPr>
      </w:pPr>
      <w:r>
        <w:rPr>
          <w:rFonts w:hint="eastAsia" w:ascii="宋体" w:hAnsi="宋体" w:eastAsia="宋体" w:cs="宋体"/>
          <w:i/>
          <w:color w:val="auto"/>
          <w:sz w:val="24"/>
          <w:szCs w:val="24"/>
          <w:highlight w:val="none"/>
          <w:u w:val="single"/>
          <w:lang w:val="en-US" w:eastAsia="zh-CN" w:bidi="ar-SA"/>
        </w:rPr>
        <w:t xml:space="preserve">二、上一年度的财务状况报表（至少提供资产负债表、利润表、现金流量表，</w:t>
      </w:r>
      <w:r/>
    </w:p>
    <w:p>
      <w:pPr>
        <w:pStyle w:val="734"/>
        <w:ind w:left="480"/>
        <w:jc w:val="both"/>
        <w:spacing w:beforeAutospacing="0" w:afterAutospacing="0"/>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 xml:space="preserve">投标人成立不满一年无需提供）</w:t>
      </w:r>
      <w:r/>
    </w:p>
    <w:p>
      <w:pPr>
        <w:pStyle w:val="734"/>
        <w:ind w:left="480"/>
        <w:jc w:val="both"/>
        <w:spacing w:beforeAutospacing="0" w:afterAutospacing="0"/>
        <w:rPr>
          <w:rFonts w:hint="eastAsia" w:ascii="宋体" w:hAnsi="宋体" w:eastAsia="宋体" w:cs="宋体"/>
          <w:i/>
          <w:color w:val="auto"/>
          <w:highlight w:val="none"/>
          <w:u w:val="single"/>
        </w:rPr>
      </w:pPr>
      <w:r>
        <w:rPr>
          <w:rFonts w:hint="eastAsia" w:ascii="宋体" w:hAnsi="宋体" w:eastAsia="宋体" w:cs="宋体"/>
          <w:i/>
          <w:color w:val="auto"/>
          <w:highlight w:val="none"/>
          <w:u w:val="single"/>
          <w:lang w:val="en-US" w:eastAsia="zh-CN"/>
        </w:rPr>
        <w:t xml:space="preserve">三</w:t>
      </w:r>
      <w:r>
        <w:rPr>
          <w:rFonts w:hint="eastAsia" w:ascii="宋体" w:hAnsi="宋体" w:eastAsia="宋体" w:cs="宋体"/>
          <w:i/>
          <w:color w:val="auto"/>
          <w:highlight w:val="none"/>
          <w:u w:val="single"/>
        </w:rPr>
        <w:t xml:space="preserve">、具备履行合同所必需的设备和专业技术能力的书面声明</w:t>
      </w:r>
      <w:r/>
    </w:p>
    <w:p>
      <w:pPr>
        <w:pStyle w:val="734"/>
        <w:ind w:left="480"/>
        <w:jc w:val="both"/>
        <w:spacing w:beforeAutospacing="0" w:afterAutospacing="0"/>
        <w:rPr>
          <w:rFonts w:hint="eastAsia" w:ascii="宋体" w:hAnsi="宋体" w:eastAsia="宋体" w:cs="宋体"/>
          <w:i/>
          <w:color w:val="auto"/>
          <w:highlight w:val="none"/>
          <w:u w:val="single"/>
        </w:rPr>
      </w:pPr>
      <w:r>
        <w:rPr>
          <w:rFonts w:hint="eastAsia" w:ascii="宋体" w:hAnsi="宋体" w:eastAsia="宋体" w:cs="宋体"/>
          <w:i/>
          <w:color w:val="auto"/>
          <w:highlight w:val="none"/>
          <w:u w:val="single"/>
          <w:lang w:val="en-US" w:eastAsia="zh-CN"/>
        </w:rPr>
        <w:t xml:space="preserve">四</w:t>
      </w:r>
      <w:r>
        <w:rPr>
          <w:rFonts w:hint="eastAsia" w:ascii="宋体" w:hAnsi="宋体" w:eastAsia="宋体" w:cs="宋体"/>
          <w:i/>
          <w:color w:val="auto"/>
          <w:highlight w:val="none"/>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34"/>
        <w:ind w:left="480"/>
        <w:jc w:val="both"/>
        <w:spacing w:beforeAutospacing="0" w:afterAutospacing="0"/>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 xml:space="preserve">五、参加政府采购活动前 3 年内在经营活动中没有重大违法记录的书面声明</w:t>
      </w:r>
      <w:r/>
    </w:p>
    <w:p>
      <w:pPr>
        <w:pStyle w:val="734"/>
        <w:ind w:left="480"/>
        <w:jc w:val="both"/>
        <w:spacing w:beforeAutospacing="0" w:afterAutospacing="0"/>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 xml:space="preserve">六、特定资格要求的证明文件（如果本项目设置特定资格要求，则需要提供）</w:t>
      </w:r>
      <w:r/>
    </w:p>
    <w:p>
      <w:pPr>
        <w:pStyle w:val="734"/>
        <w:ind w:left="480"/>
        <w:jc w:val="both"/>
        <w:spacing w:beforeAutospacing="0" w:afterAutospacing="0"/>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 xml:space="preserve">七、法人授权书</w:t>
      </w:r>
      <w:r/>
    </w:p>
    <w:p>
      <w:pPr>
        <w:pStyle w:val="734"/>
        <w:ind w:left="480"/>
        <w:jc w:val="both"/>
        <w:spacing w:beforeAutospacing="0" w:afterAutospacing="0"/>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 xml:space="preserve">八、投标函</w:t>
      </w:r>
      <w:r/>
    </w:p>
    <w:p>
      <w:pPr>
        <w:pStyle w:val="73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九、</w:t>
      </w:r>
      <w:r>
        <w:rPr>
          <w:rFonts w:hint="eastAsia" w:ascii="宋体" w:hAnsi="宋体" w:eastAsia="宋体" w:cs="宋体"/>
          <w:color w:val="auto"/>
          <w:highlight w:val="none"/>
          <w:lang w:val="en-US" w:eastAsia="zh-CN"/>
        </w:rPr>
        <w:t xml:space="preserve">中</w:t>
      </w:r>
      <w:r>
        <w:rPr>
          <w:rFonts w:hint="eastAsia" w:ascii="宋体" w:hAnsi="宋体" w:eastAsia="宋体" w:cs="宋体"/>
          <w:color w:val="auto"/>
          <w:highlight w:val="none"/>
        </w:rPr>
        <w:t xml:space="preserve">小微企业声明函</w:t>
      </w:r>
      <w:r/>
    </w:p>
    <w:p>
      <w:pPr>
        <w:pStyle w:val="73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十、残疾人福利性单位声明函</w:t>
      </w:r>
      <w:r/>
    </w:p>
    <w:p>
      <w:pPr>
        <w:pStyle w:val="734"/>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十一、</w:t>
      </w:r>
      <w:r>
        <w:rPr>
          <w:rFonts w:hint="eastAsia" w:ascii="宋体" w:hAnsi="宋体" w:eastAsia="宋体" w:cs="宋体"/>
          <w:i w:val="0"/>
          <w:iCs/>
          <w:color w:val="auto"/>
          <w:highlight w:val="none"/>
          <w:u w:val="none"/>
        </w:rPr>
        <w:t xml:space="preserve">关于符合本国产品标准的声明函</w:t>
      </w:r>
      <w:r/>
    </w:p>
    <w:p>
      <w:pPr>
        <w:pStyle w:val="73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十</w:t>
      </w:r>
      <w:r>
        <w:rPr>
          <w:rFonts w:hint="eastAsia" w:ascii="宋体" w:hAnsi="宋体" w:cs="宋体"/>
          <w:color w:val="auto"/>
          <w:highlight w:val="none"/>
          <w:lang w:val="en-US" w:eastAsia="zh-CN"/>
        </w:rPr>
        <w:t xml:space="preserve">二</w:t>
      </w:r>
      <w:r>
        <w:rPr>
          <w:rFonts w:hint="eastAsia" w:ascii="宋体" w:hAnsi="宋体" w:eastAsia="宋体" w:cs="宋体"/>
          <w:color w:val="auto"/>
          <w:highlight w:val="none"/>
        </w:rPr>
        <w:t xml:space="preserve">、投标分项报价表</w:t>
      </w:r>
      <w:r/>
    </w:p>
    <w:p>
      <w:pPr>
        <w:pStyle w:val="73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十</w:t>
      </w:r>
      <w:r>
        <w:rPr>
          <w:rFonts w:hint="eastAsia" w:ascii="宋体" w:hAnsi="宋体" w:cs="宋体"/>
          <w:color w:val="auto"/>
          <w:highlight w:val="none"/>
          <w:lang w:val="en-US" w:eastAsia="zh-CN"/>
        </w:rPr>
        <w:t xml:space="preserve">三</w:t>
      </w:r>
      <w:r>
        <w:rPr>
          <w:rFonts w:hint="eastAsia" w:ascii="宋体" w:hAnsi="宋体" w:eastAsia="宋体" w:cs="宋体"/>
          <w:color w:val="auto"/>
          <w:highlight w:val="none"/>
        </w:rPr>
        <w:t xml:space="preserve">、技术要求响应及偏离表</w:t>
      </w:r>
      <w:r/>
    </w:p>
    <w:p>
      <w:pPr>
        <w:pStyle w:val="73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十</w:t>
      </w:r>
      <w:r>
        <w:rPr>
          <w:rFonts w:hint="eastAsia" w:ascii="宋体" w:hAnsi="宋体" w:cs="宋体"/>
          <w:color w:val="auto"/>
          <w:highlight w:val="none"/>
          <w:lang w:val="en-US" w:eastAsia="zh-CN"/>
        </w:rPr>
        <w:t xml:space="preserve">四</w:t>
      </w:r>
      <w:r>
        <w:rPr>
          <w:rFonts w:hint="eastAsia" w:ascii="宋体" w:hAnsi="宋体" w:eastAsia="宋体" w:cs="宋体"/>
          <w:color w:val="auto"/>
          <w:highlight w:val="none"/>
        </w:rPr>
        <w:t xml:space="preserve">、商务要求响应及偏离表</w:t>
      </w:r>
      <w:r/>
    </w:p>
    <w:p>
      <w:pPr>
        <w:pStyle w:val="734"/>
        <w:ind w:left="480"/>
        <w:jc w:val="both"/>
        <w:spacing w:beforeAutospacing="0" w:afterAutospacing="0"/>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 xml:space="preserve">十</w:t>
      </w:r>
      <w:r>
        <w:rPr>
          <w:rFonts w:hint="eastAsia" w:ascii="宋体" w:hAnsi="宋体" w:cs="宋体"/>
          <w:i/>
          <w:color w:val="auto"/>
          <w:highlight w:val="none"/>
          <w:u w:val="single"/>
          <w:lang w:val="en-US" w:eastAsia="zh-CN"/>
        </w:rPr>
        <w:t xml:space="preserve">五</w:t>
      </w:r>
      <w:r>
        <w:rPr>
          <w:rFonts w:hint="eastAsia" w:ascii="宋体" w:hAnsi="宋体" w:eastAsia="宋体" w:cs="宋体"/>
          <w:i/>
          <w:color w:val="auto"/>
          <w:highlight w:val="none"/>
          <w:u w:val="single"/>
        </w:rPr>
        <w:t xml:space="preserve">、开标一览表</w:t>
      </w:r>
      <w:r/>
    </w:p>
    <w:p>
      <w:pPr>
        <w:ind w:firstLine="480"/>
        <w:spacing w:before="50" w:after="5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val="en-US" w:eastAsia="zh-CN"/>
        </w:rPr>
        <w:t xml:space="preserve">六</w:t>
      </w:r>
      <w:r>
        <w:rPr>
          <w:rFonts w:hint="eastAsia" w:ascii="宋体" w:hAnsi="宋体" w:eastAsia="宋体" w:cs="宋体"/>
          <w:color w:val="auto"/>
          <w:sz w:val="24"/>
          <w:highlight w:val="none"/>
        </w:rPr>
        <w:t xml:space="preserve">、技术方案、服务承诺、培训承诺等</w:t>
      </w:r>
      <w:r/>
    </w:p>
    <w:p>
      <w:pPr>
        <w:pStyle w:val="734"/>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十</w:t>
      </w:r>
      <w:r>
        <w:rPr>
          <w:rFonts w:hint="eastAsia" w:ascii="宋体" w:hAnsi="宋体" w:cs="宋体"/>
          <w:color w:val="auto"/>
          <w:highlight w:val="none"/>
          <w:lang w:val="en-US" w:eastAsia="zh-CN"/>
        </w:rPr>
        <w:t xml:space="preserve">七</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盐城市政府采购事前信用承诺书</w:t>
      </w:r>
      <w:r/>
    </w:p>
    <w:p>
      <w:pPr>
        <w:pStyle w:val="73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73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一、法人或者其他组织的营业执照等证明文件，自然人的身份证明</w:t>
      </w:r>
      <w:r/>
    </w:p>
    <w:p>
      <w:pPr>
        <w:pStyle w:val="73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二、上一年度的财务状况报表</w:t>
      </w:r>
      <w:r/>
    </w:p>
    <w:p>
      <w:pPr>
        <w:pStyle w:val="73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投标人成立不满一年不需提供</w:t>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lang w:val="en-US" w:eastAsia="zh-CN"/>
        </w:rPr>
        <w:t xml:space="preserve">三</w:t>
      </w:r>
      <w:r>
        <w:rPr>
          <w:rFonts w:hint="eastAsia" w:ascii="宋体" w:hAnsi="宋体" w:eastAsia="宋体" w:cs="宋体"/>
          <w:i/>
          <w:color w:val="auto"/>
          <w:sz w:val="32"/>
          <w:szCs w:val="32"/>
          <w:highlight w:val="none"/>
          <w:u w:val="single"/>
        </w:rPr>
        <w:t xml:space="preserve">、具备履行合同所必需的设备和专业技术能力的书面声明</w:t>
      </w:r>
      <w:r/>
    </w:p>
    <w:p>
      <w:pPr>
        <w:pStyle w:val="734"/>
        <w:ind w:firstLine="49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734"/>
        <w:ind w:firstLine="49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lang w:val="en-US" w:eastAsia="zh-CN"/>
        </w:rPr>
        <w:t xml:space="preserve">四</w:t>
      </w:r>
      <w:r>
        <w:rPr>
          <w:rFonts w:hint="eastAsia" w:ascii="宋体" w:hAnsi="宋体" w:eastAsia="宋体" w:cs="宋体"/>
          <w:i/>
          <w:color w:val="auto"/>
          <w:sz w:val="32"/>
          <w:szCs w:val="32"/>
          <w:highlight w:val="none"/>
          <w:u w:val="single"/>
        </w:rPr>
        <w:t xml:space="preserve">、依法缴纳税收和社会保障资金的相关材料</w:t>
      </w:r>
      <w:r/>
    </w:p>
    <w:p>
      <w:pPr>
        <w:pStyle w:val="734"/>
        <w:ind w:firstLine="480"/>
        <w:jc w:val="both"/>
        <w:spacing w:beforeAutospacing="0" w:afterAutospacing="0"/>
        <w:rPr>
          <w:rFonts w:hint="eastAsia" w:ascii="宋体" w:hAnsi="宋体" w:eastAsia="宋体" w:cs="宋体"/>
          <w:color w:val="auto"/>
          <w:highlight w:val="none"/>
        </w:rPr>
      </w:pPr>
      <w:r/>
      <w:bookmarkStart w:id="108" w:name="_Toc120614284"/>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bookmarkEnd w:id="108"/>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五、参加政府采购活动前 3 年内在经营活动中没有重大违法记录的书面声明</w:t>
      </w:r>
      <w:r/>
    </w:p>
    <w:p>
      <w:pPr>
        <w:pStyle w:val="73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       声  明</w:t>
      </w:r>
      <w:r/>
    </w:p>
    <w:p>
      <w:pPr>
        <w:pStyle w:val="73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六、特定资格要求的证明文件</w:t>
      </w:r>
      <w:r/>
    </w:p>
    <w:p>
      <w:pPr>
        <w:pStyle w:val="73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73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734"/>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734"/>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734"/>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p>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七、法人授权书</w:t>
      </w:r>
      <w:r/>
    </w:p>
    <w:p>
      <w:pPr>
        <w:pStyle w:val="734"/>
        <w:ind w:firstLine="480"/>
        <w:jc w:val="both"/>
        <w:spacing w:beforeAutospacing="0" w:afterAutospacing="0"/>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本授权书声明：____________（投标人名称）授权________________（被授权人的姓名）为我方就JSZC-</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号项目采购活动的合法代理人，以本单位名义全权处理一切与该项目采购有关的事务。</w:t>
      </w:r>
      <w:r/>
    </w:p>
    <w:p>
      <w:pPr>
        <w:pStyle w:val="734"/>
        <w:ind w:firstLine="480"/>
        <w:jc w:val="both"/>
        <w:spacing w:beforeAutospacing="0" w:afterAutospacing="0"/>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本授权书于______年____月____日起生效，特此声明。</w:t>
      </w:r>
      <w:r/>
    </w:p>
    <w:p>
      <w:pPr>
        <w:pStyle w:val="734"/>
        <w:jc w:val="both"/>
        <w:spacing w:beforeAutospacing="0" w:afterAutospacing="0"/>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被授权人身份证号码：</w:t>
      </w:r>
      <w:r>
        <w:rPr>
          <w:rFonts w:hint="eastAsia" w:ascii="宋体" w:hAnsi="宋体" w:eastAsia="宋体" w:cs="宋体"/>
          <w:color w:val="auto"/>
          <w:highlight w:val="none"/>
          <w:u w:val="single"/>
        </w:rPr>
        <w:t xml:space="preserve">              </w:t>
      </w:r>
      <w:r/>
    </w:p>
    <w:p>
      <w:pPr>
        <w:pStyle w:val="734"/>
        <w:jc w:val="both"/>
        <w:spacing w:beforeAutospacing="0" w:afterAutospacing="0"/>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被授权人联系电话：（手机）</w:t>
      </w:r>
      <w:r>
        <w:rPr>
          <w:rFonts w:hint="eastAsia" w:ascii="宋体" w:hAnsi="宋体" w:eastAsia="宋体" w:cs="宋体"/>
          <w:color w:val="auto"/>
          <w:highlight w:val="none"/>
          <w:u w:val="single"/>
        </w:rPr>
        <w:t xml:space="preserve">           </w:t>
      </w:r>
      <w:r/>
    </w:p>
    <w:p>
      <w:pPr>
        <w:pStyle w:val="734"/>
        <w:ind w:firstLine="2330"/>
        <w:jc w:val="both"/>
        <w:spacing w:beforeAutospacing="0" w:afterAutospacing="0"/>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授权单位名称：</w:t>
      </w:r>
      <w:r>
        <w:rPr>
          <w:rFonts w:hint="eastAsia" w:ascii="宋体" w:hAnsi="宋体" w:eastAsia="宋体" w:cs="宋体"/>
          <w:color w:val="auto"/>
          <w:highlight w:val="none"/>
          <w:u w:val="single"/>
        </w:rPr>
        <w:t xml:space="preserve">（加盖CA电子公章）</w:t>
      </w:r>
      <w:r/>
    </w:p>
    <w:p>
      <w:pPr>
        <w:pStyle w:val="734"/>
        <w:ind w:firstLine="480"/>
        <w:jc w:val="both"/>
        <w:spacing w:beforeAutospacing="0" w:afterAutospacing="0"/>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单位地址：</w:t>
      </w:r>
      <w:r>
        <w:rPr>
          <w:rFonts w:hint="eastAsia" w:ascii="宋体" w:hAnsi="宋体" w:eastAsia="宋体" w:cs="宋体"/>
          <w:color w:val="auto"/>
          <w:highlight w:val="none"/>
          <w:u w:val="single"/>
        </w:rPr>
        <w:t xml:space="preserve">                    </w:t>
      </w:r>
      <w:r/>
    </w:p>
    <w:p>
      <w:pPr>
        <w:pStyle w:val="734"/>
        <w:ind w:firstLine="480"/>
        <w:jc w:val="both"/>
        <w:spacing w:beforeAutospacing="0" w:afterAutospacing="0"/>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日期：</w:t>
      </w:r>
      <w:bookmarkStart w:id="109" w:name="_Hlt26955070"/>
      <w:r/>
      <w:bookmarkStart w:id="110" w:name="_格式3__银行出具的资信证明"/>
      <w:r/>
      <w:bookmarkStart w:id="111" w:name="_Hlt26671380"/>
      <w:r>
        <w:rPr>
          <w:rFonts w:hint="eastAsia" w:ascii="宋体" w:hAnsi="宋体" w:eastAsia="宋体" w:cs="宋体"/>
          <w:color w:val="auto"/>
          <w:highlight w:val="none"/>
          <w:u w:val="single"/>
        </w:rPr>
        <w:t xml:space="preserve">                  </w:t>
      </w:r>
      <w:r/>
    </w:p>
    <w:p>
      <w:pPr>
        <w:pStyle w:val="734"/>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ind w:firstLine="3390"/>
        <w:jc w:val="both"/>
        <w:keepLines/>
        <w:keepNext/>
        <w:spacing w:before="260" w:beforeAutospacing="0" w:after="260" w:afterAutospacing="0" w:line="415" w:lineRule="auto"/>
        <w:rPr>
          <w:rFonts w:hint="eastAsia" w:ascii="宋体" w:hAnsi="宋体" w:eastAsia="宋体" w:cs="宋体"/>
          <w:b/>
          <w:color w:val="auto"/>
          <w:sz w:val="32"/>
          <w:szCs w:val="32"/>
          <w:highlight w:val="none"/>
        </w:rPr>
      </w:pPr>
      <w:r>
        <w:rPr>
          <w:rFonts w:hint="eastAsia" w:ascii="宋体" w:hAnsi="宋体" w:eastAsia="宋体" w:cs="宋体"/>
          <w:b/>
          <w:color w:val="auto"/>
          <w:highlight w:val="none"/>
        </w:rPr>
        <w:br w:type="page" w:clear="all"/>
      </w:r>
      <w:r>
        <w:rPr>
          <w:rFonts w:hint="eastAsia" w:ascii="宋体" w:hAnsi="宋体" w:eastAsia="宋体" w:cs="宋体"/>
          <w:b/>
          <w:color w:val="auto"/>
          <w:highlight w:val="none"/>
        </w:rPr>
        <w:t xml:space="preserve"> </w:t>
      </w:r>
      <w:r>
        <w:rPr>
          <w:rFonts w:hint="eastAsia" w:ascii="宋体" w:hAnsi="宋体" w:eastAsia="宋体" w:cs="宋体"/>
          <w:b/>
          <w:color w:val="auto"/>
          <w:sz w:val="32"/>
          <w:szCs w:val="32"/>
          <w:highlight w:val="none"/>
        </w:rPr>
        <w:t xml:space="preserve">八、投标函</w:t>
      </w:r>
      <w:r/>
    </w:p>
    <w:p>
      <w:pPr>
        <w:pStyle w:val="734"/>
        <w:spacing w:beforeAutospacing="0" w:afterAutospacing="0" w:line="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lang w:val="en-US" w:eastAsia="zh-CN"/>
        </w:rPr>
        <w:t xml:space="preserve">江苏省盐南高新区</w:t>
      </w:r>
      <w:r>
        <w:rPr>
          <w:rFonts w:hint="eastAsia" w:ascii="宋体" w:hAnsi="宋体" w:eastAsia="宋体" w:cs="宋体"/>
          <w:color w:val="auto"/>
          <w:highlight w:val="none"/>
        </w:rPr>
        <w:t xml:space="preserve">政府</w:t>
      </w:r>
      <w:r>
        <w:rPr>
          <w:rFonts w:hint="eastAsia" w:ascii="宋体" w:hAnsi="宋体" w:eastAsia="宋体" w:cs="宋体"/>
          <w:color w:val="auto"/>
          <w:highlight w:val="none"/>
          <w:lang w:eastAsia="zh-CN"/>
        </w:rPr>
        <w:t xml:space="preserve">政务服务中心</w:t>
      </w:r>
      <w:r/>
    </w:p>
    <w:p>
      <w:pPr>
        <w:pStyle w:val="734"/>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根据贵方的</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号招标文件，正式授权下述签字人______(姓名)代表我方______________（投标人的名称），全权处理本次项目投标的有关事宜。</w:t>
      </w:r>
      <w:r/>
    </w:p>
    <w:p>
      <w:pPr>
        <w:pStyle w:val="734"/>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据此函，__________签字人兹宣布同意如下：</w:t>
      </w:r>
      <w:r/>
    </w:p>
    <w:p>
      <w:pPr>
        <w:pStyle w:val="734"/>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1.按招标文件规定的各项要求，向买方提供所需服务（包含与服务相关的货物）。</w:t>
      </w:r>
      <w:r/>
    </w:p>
    <w:p>
      <w:pPr>
        <w:pStyle w:val="734"/>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734"/>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734"/>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734"/>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734"/>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734"/>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7.与本投标有关的正式通讯地址为：</w:t>
      </w:r>
      <w:r/>
    </w:p>
    <w:p>
      <w:pPr>
        <w:pStyle w:val="734"/>
        <w:ind w:left="420"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地          址：</w:t>
      </w:r>
      <w:r/>
    </w:p>
    <w:p>
      <w:pPr>
        <w:pStyle w:val="734"/>
        <w:ind w:left="420"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邮          编：</w:t>
      </w:r>
      <w:r/>
    </w:p>
    <w:p>
      <w:pPr>
        <w:pStyle w:val="734"/>
        <w:ind w:left="420"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电          话：</w:t>
      </w:r>
      <w:r/>
    </w:p>
    <w:p>
      <w:pPr>
        <w:pStyle w:val="734"/>
        <w:ind w:left="420"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传          真：</w:t>
      </w:r>
      <w:r/>
    </w:p>
    <w:p>
      <w:pPr>
        <w:pStyle w:val="734"/>
        <w:ind w:left="420"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投标人开户行：</w:t>
      </w:r>
      <w:r/>
    </w:p>
    <w:p>
      <w:pPr>
        <w:pStyle w:val="734"/>
        <w:ind w:left="420"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账          号： </w:t>
      </w:r>
      <w:r/>
    </w:p>
    <w:p>
      <w:pPr>
        <w:pStyle w:val="734"/>
        <w:ind w:left="420"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日           期：________年____月____日</w:t>
      </w:r>
      <w:r/>
    </w:p>
    <w:p>
      <w:pPr>
        <w:pStyle w:val="734"/>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3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九、中小微企业声明函（服务）</w:t>
      </w:r>
      <w:r/>
    </w:p>
    <w:p>
      <w:pPr>
        <w:ind w:left="0" w:right="0" w:firstLine="480"/>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本公司（联合体）郑重声明，根据《政府采购促进中小企业发展管理办法》(财库[2020]46号)的规定，本公司（联合体）</w:t>
      </w:r>
      <w:r>
        <w:rPr>
          <w:rFonts w:hint="eastAsia" w:ascii="宋体" w:hAnsi="宋体" w:eastAsia="宋体" w:cs="宋体"/>
          <w:color w:val="auto"/>
          <w:sz w:val="24"/>
          <w:szCs w:val="24"/>
          <w:highlight w:val="none"/>
        </w:rPr>
        <w:t xml:space="preserve">参加盐城市政府</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组织的（单位名称）采购编号为JSZC-320992-JZCG-G2024-0006，（项目名称）（分包号：**）的采购活动，</w:t>
      </w:r>
      <w:r>
        <w:rPr>
          <w:rFonts w:hint="eastAsia" w:ascii="宋体" w:hAnsi="宋体" w:eastAsia="宋体" w:cs="宋体"/>
          <w:color w:val="auto"/>
          <w:sz w:val="24"/>
          <w:highlight w:val="none"/>
        </w:rPr>
        <w:t xml:space="preserve">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left="0" w:right="0" w:firstLine="480"/>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rPr>
          <w:rFonts w:hint="eastAsia" w:ascii="宋体" w:hAnsi="宋体" w:eastAsia="宋体" w:cs="宋体"/>
          <w:i/>
          <w:color w:val="auto"/>
          <w:sz w:val="24"/>
          <w:highlight w:val="none"/>
          <w:u w:val="single"/>
        </w:rPr>
        <w:t xml:space="preserve">（标的名称）</w:t>
      </w:r>
      <w:r>
        <w:rPr>
          <w:rFonts w:hint="eastAsia" w:ascii="宋体" w:hAnsi="宋体" w:eastAsia="宋体" w:cs="宋体"/>
          <w:color w:val="auto"/>
          <w:sz w:val="24"/>
          <w:highlight w:val="none"/>
        </w:rPr>
        <w:t xml:space="preserve">，属于</w:t>
      </w:r>
      <w:r>
        <w:rPr>
          <w:rFonts w:hint="eastAsia" w:ascii="宋体" w:hAnsi="宋体" w:eastAsia="宋体" w:cs="宋体"/>
          <w:i/>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行业；承接企业为（</w:t>
      </w:r>
      <w:r>
        <w:rPr>
          <w:rFonts w:hint="eastAsia" w:ascii="宋体" w:hAnsi="宋体" w:eastAsia="宋体" w:cs="宋体"/>
          <w:i/>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ind w:left="0" w:right="0" w:firstLine="480"/>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w:t>
      </w:r>
      <w:r>
        <w:rPr>
          <w:rFonts w:hint="eastAsia" w:ascii="宋体" w:hAnsi="宋体" w:eastAsia="宋体" w:cs="宋体"/>
          <w:i/>
          <w:color w:val="auto"/>
          <w:sz w:val="24"/>
          <w:highlight w:val="none"/>
          <w:u w:val="single"/>
        </w:rPr>
        <w:t xml:space="preserve">（标的名称）</w:t>
      </w:r>
      <w:r>
        <w:rPr>
          <w:rFonts w:hint="eastAsia" w:ascii="宋体" w:hAnsi="宋体" w:eastAsia="宋体" w:cs="宋体"/>
          <w:color w:val="auto"/>
          <w:sz w:val="24"/>
          <w:highlight w:val="none"/>
        </w:rPr>
        <w:t xml:space="preserve">，属于</w:t>
      </w:r>
      <w:r>
        <w:rPr>
          <w:rFonts w:hint="eastAsia" w:ascii="宋体" w:hAnsi="宋体" w:eastAsia="宋体" w:cs="宋体"/>
          <w:i/>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行业；承接企业为（</w:t>
      </w:r>
      <w:r>
        <w:rPr>
          <w:rFonts w:hint="eastAsia" w:ascii="宋体" w:hAnsi="宋体" w:eastAsia="宋体" w:cs="宋体"/>
          <w:i/>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ind w:left="0" w:right="0" w:firstLine="480"/>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p>
    <w:p>
      <w:pPr>
        <w:ind w:left="0" w:right="0" w:firstLine="480"/>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left="0" w:right="0" w:firstLine="480"/>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本企业对上述声明内容的真实性负责。如有虚假，将依法承担相应责任</w:t>
      </w:r>
      <w:r/>
    </w:p>
    <w:p>
      <w:pPr>
        <w:ind w:left="0" w:right="0" w:firstLine="480"/>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80"/>
        <w:jc w:val="right"/>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企业名称（加盖CA电子公章）：</w:t>
      </w:r>
      <w:r/>
    </w:p>
    <w:p>
      <w:pPr>
        <w:ind w:left="0" w:right="0" w:firstLine="480"/>
        <w:jc w:val="right"/>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日  期：</w:t>
      </w:r>
      <w:r/>
    </w:p>
    <w:p>
      <w:pPr>
        <w:ind w:left="0" w:right="0" w:firstLine="480"/>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8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备注1：从业人员、营业收入、资产总额填报上一年度数据，无上一年度数据的新成立企业可不填报。</w:t>
      </w:r>
      <w:r/>
    </w:p>
    <w:p>
      <w:pPr>
        <w:pStyle w:val="734"/>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备注2：供应商如不提供此声明函，价格将不做相应扣除。</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73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 十、残疾人福利性单位声明函</w:t>
      </w:r>
      <w:r/>
    </w:p>
    <w:p>
      <w:pPr>
        <w:pStyle w:val="73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项目（分包号：**）采购活动由本单位提供服务。</w:t>
      </w:r>
      <w:r/>
    </w:p>
    <w:p>
      <w:pPr>
        <w:pStyle w:val="73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73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（备注：1、供应商如不提供此声明函，价格将不做相应扣除。2、中标人为残疾人福利单位的，此声明函将随中标结果同时公告，接受社会监督）</w:t>
      </w:r>
      <w:r/>
    </w:p>
    <w:p>
      <w:pPr>
        <w:pStyle w:val="734"/>
        <w:ind w:firstLine="6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ind w:right="1560" w:firstLine="624"/>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734"/>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日  期：</w:t>
      </w:r>
      <w:r/>
    </w:p>
    <w:p>
      <w:pPr>
        <w:pStyle w:val="734"/>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jc w:val="center"/>
        <w:keepLines w:val="0"/>
        <w:keepNext w:val="0"/>
        <w:spacing w:before="0" w:beforeAutospacing="0" w:after="0" w:afterAutospacing="0"/>
        <w:widowControl w:val="off"/>
        <w:rPr>
          <w:rFonts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auto"/>
          <w:sz w:val="32"/>
          <w:szCs w:val="32"/>
          <w:highlight w:val="none"/>
          <w:lang w:val="en-US" w:eastAsia="zh-CN" w:bidi="ar-SA"/>
        </w:rPr>
        <w:t xml:space="preserve">十一、 关于符合本国产品标准的声明函（采购包号：**）</w:t>
      </w:r>
      <w:r/>
    </w:p>
    <w:p>
      <w:pPr>
        <w:ind w:left="0" w:firstLine="420"/>
        <w:jc w:val="both"/>
        <w:keepLines w:val="0"/>
        <w:keepNext w:val="0"/>
        <w:spacing w:before="0" w:beforeAutospacing="0" w:after="0" w:afterAutospacing="0"/>
        <w:widowControl w:val="off"/>
        <w:rPr>
          <w:rFonts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eastAsia="宋体" w:cs="Arial"/>
          <w:color w:val="auto"/>
          <w:sz w:val="24"/>
          <w:szCs w:val="24"/>
          <w:highlight w:val="none"/>
          <w:lang w:val="en-US" w:eastAsia="zh-CN" w:bidi="ar-SA"/>
        </w:rPr>
        <w:t xml:space="preserve"> </w:t>
      </w:r>
      <w:r/>
    </w:p>
    <w:p>
      <w:pPr>
        <w:ind w:left="0" w:firstLine="420"/>
        <w:jc w:val="both"/>
        <w:keepLines w:val="0"/>
        <w:keepNext w:val="0"/>
        <w:spacing w:before="0" w:beforeAutospacing="0" w:after="0" w:afterAutospacing="0"/>
        <w:widowControl w:val="off"/>
        <w:rPr>
          <w:rFonts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firstLine="420"/>
        <w:jc w:val="both"/>
        <w:keepLines w:val="0"/>
        <w:keepNext w:val="0"/>
        <w:spacing w:before="30" w:beforeAutospacing="0" w:after="30" w:afterAutospacing="0"/>
        <w:widowControl w:val="off"/>
        <w:rPr>
          <w:rFonts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lang w:val="en-US" w:eastAsia="zh-CN" w:bidi="ar-SA"/>
        </w:rPr>
        <w:t xml:space="preserve">1.</w:t>
      </w:r>
      <w:r>
        <w:rPr>
          <w:rFonts w:ascii="宋体" w:hAnsi="宋体" w:eastAsia="宋体" w:cs="宋体"/>
          <w:color w:val="auto"/>
          <w:sz w:val="24"/>
          <w:szCs w:val="24"/>
          <w:highlight w:val="none"/>
          <w:u w:val="single"/>
          <w:shd w:val="clear" w:color="auto" w:fill="ffffff"/>
          <w:lang w:val="en-US" w:eastAsia="zh-CN" w:bidi="ar-SA"/>
        </w:rPr>
        <w:t xml:space="preserve">（产品名称1）</w:t>
      </w:r>
      <w:r>
        <w:rPr>
          <w:rFonts w:ascii="宋体" w:hAnsi="宋体" w:eastAsia="宋体" w:cs="宋体"/>
          <w:color w:val="auto"/>
          <w:sz w:val="24"/>
          <w:szCs w:val="24"/>
          <w:highlight w:val="none"/>
          <w:shd w:val="clear" w:color="auto" w:fill="ffffff"/>
          <w:vertAlign w:val="superscript"/>
          <w:lang w:val="en-US" w:eastAsia="zh-CN" w:bidi="ar-SA"/>
        </w:rPr>
        <w:t xml:space="preserve">1</w:t>
      </w:r>
      <w:r>
        <w:rPr>
          <w:rFonts w:ascii="宋体" w:hAnsi="宋体" w:eastAsia="宋体" w:cs="宋体"/>
          <w:color w:val="auto"/>
          <w:sz w:val="24"/>
          <w:szCs w:val="24"/>
          <w:highlight w:val="none"/>
          <w:shd w:val="clear" w:color="auto" w:fill="ffffff"/>
          <w:lang w:val="en-US" w:eastAsia="zh-CN" w:bidi="ar-SA"/>
        </w:rPr>
        <w:t xml:space="preserve">，生产厂为</w:t>
      </w:r>
      <w:r>
        <w:rPr>
          <w:rFonts w:ascii="宋体" w:hAnsi="宋体" w:eastAsia="宋体" w:cs="宋体"/>
          <w:color w:val="auto"/>
          <w:sz w:val="24"/>
          <w:szCs w:val="24"/>
          <w:highlight w:val="none"/>
          <w:u w:val="single"/>
          <w:shd w:val="clear" w:color="auto" w:fill="ffffff"/>
          <w:lang w:val="en-US" w:eastAsia="zh-CN" w:bidi="ar-SA"/>
        </w:rPr>
        <w:t xml:space="preserve">（厂名）</w:t>
      </w:r>
      <w:r>
        <w:rPr>
          <w:rFonts w:ascii="宋体" w:hAnsi="宋体" w:eastAsia="宋体" w:cs="宋体"/>
          <w:color w:val="auto"/>
          <w:sz w:val="24"/>
          <w:szCs w:val="24"/>
          <w:highlight w:val="none"/>
          <w:shd w:val="clear" w:color="auto" w:fill="ffffff"/>
          <w:vertAlign w:val="superscript"/>
          <w:lang w:val="en-US" w:eastAsia="zh-CN" w:bidi="ar-SA"/>
        </w:rPr>
        <w:t xml:space="preserve">2</w:t>
      </w:r>
      <w:r>
        <w:rPr>
          <w:rFonts w:ascii="宋体" w:hAnsi="宋体" w:eastAsia="宋体" w:cs="宋体"/>
          <w:color w:val="auto"/>
          <w:sz w:val="24"/>
          <w:szCs w:val="24"/>
          <w:highlight w:val="none"/>
          <w:shd w:val="clear" w:color="auto" w:fill="ffffff"/>
          <w:lang w:val="en-US" w:eastAsia="zh-CN" w:bidi="ar-SA"/>
        </w:rPr>
        <w:t xml:space="preserve">，厂址为</w:t>
      </w:r>
      <w:r>
        <w:rPr>
          <w:rFonts w:ascii="宋体" w:hAnsi="宋体" w:eastAsia="宋体" w:cs="宋体"/>
          <w:color w:val="auto"/>
          <w:sz w:val="24"/>
          <w:szCs w:val="24"/>
          <w:highlight w:val="none"/>
          <w:u w:val="single"/>
          <w:shd w:val="clear" w:color="auto" w:fill="ffffff"/>
          <w:lang w:val="en-US" w:eastAsia="zh-CN" w:bidi="ar-SA"/>
        </w:rPr>
        <w:t xml:space="preserve">（生产厂址）</w:t>
      </w:r>
      <w:r>
        <w:rPr>
          <w:rFonts w:ascii="宋体" w:hAnsi="宋体" w:eastAsia="宋体" w:cs="宋体"/>
          <w:color w:val="auto"/>
          <w:sz w:val="24"/>
          <w:szCs w:val="24"/>
          <w:highlight w:val="none"/>
          <w:shd w:val="clear" w:color="auto" w:fill="ffffff"/>
          <w:lang w:val="en-US" w:eastAsia="zh-CN" w:bidi="ar-SA"/>
        </w:rPr>
        <w:t xml:space="preserve">。</w:t>
      </w:r>
      <w:r>
        <w:rPr>
          <w:rFonts w:ascii="宋体" w:hAnsi="宋体" w:eastAsia="宋体" w:cs="宋体"/>
          <w:strike/>
          <w:color w:val="auto"/>
          <w:sz w:val="24"/>
          <w:szCs w:val="24"/>
          <w:highlight w:val="none"/>
          <w:u w:val="single"/>
          <w:shd w:val="clear" w:color="auto" w:fill="ffffff"/>
          <w:lang w:val="en-US" w:eastAsia="zh-CN" w:bidi="ar-SA"/>
        </w:rPr>
        <w:t xml:space="preserve"> （产品名称1）</w:t>
      </w:r>
      <w:r>
        <w:rPr>
          <w:rFonts w:ascii="宋体" w:hAnsi="宋体" w:eastAsia="宋体" w:cs="宋体"/>
          <w:color w:val="auto"/>
          <w:sz w:val="24"/>
          <w:szCs w:val="24"/>
          <w:highlight w:val="none"/>
          <w:u w:val="single"/>
          <w:shd w:val="clear" w:color="auto" w:fill="ffffff"/>
          <w:lang w:val="en-US" w:eastAsia="zh-CN" w:bidi="ar-SA"/>
        </w:rPr>
        <w:t xml:space="preserve"> </w:t>
      </w:r>
      <w:r>
        <w:rPr>
          <w:rFonts w:ascii="宋体" w:hAnsi="宋体" w:eastAsia="宋体" w:cs="宋体"/>
          <w:color w:val="auto"/>
          <w:sz w:val="24"/>
          <w:szCs w:val="24"/>
          <w:highlight w:val="none"/>
          <w:shd w:val="clear" w:color="auto" w:fill="ffffff"/>
          <w:lang w:val="en-US" w:eastAsia="zh-CN" w:bidi="ar-SA"/>
        </w:rPr>
        <w:t xml:space="preserve">的中国境内生产的组件成本占比≥</w:t>
      </w:r>
      <w:r>
        <w:rPr>
          <w:rFonts w:ascii="宋体" w:hAnsi="宋体" w:eastAsia="宋体" w:cs="宋体"/>
          <w:strike/>
          <w:color w:val="auto"/>
          <w:sz w:val="24"/>
          <w:szCs w:val="24"/>
          <w:highlight w:val="none"/>
          <w:u w:val="single"/>
          <w:shd w:val="clear" w:color="auto" w:fill="ffffff"/>
          <w:lang w:val="en-US" w:eastAsia="zh-CN" w:bidi="ar-SA"/>
        </w:rPr>
        <w:t xml:space="preserve">（规定比例）</w:t>
      </w:r>
      <w:r>
        <w:rPr>
          <w:rFonts w:ascii="宋体" w:hAnsi="宋体" w:eastAsia="宋体" w:cs="宋体"/>
          <w:strike/>
          <w:color w:val="auto"/>
          <w:sz w:val="24"/>
          <w:szCs w:val="24"/>
          <w:highlight w:val="none"/>
          <w:shd w:val="clear" w:color="auto" w:fill="ffffff"/>
          <w:vertAlign w:val="superscript"/>
          <w:lang w:val="en-US" w:eastAsia="zh-CN" w:bidi="ar-SA"/>
        </w:rPr>
        <w:t xml:space="preserve">3</w:t>
      </w:r>
      <w:r>
        <w:rPr>
          <w:rFonts w:ascii="宋体" w:hAnsi="宋体" w:eastAsia="宋体" w:cs="宋体"/>
          <w:color w:val="auto"/>
          <w:sz w:val="24"/>
          <w:szCs w:val="24"/>
          <w:highlight w:val="none"/>
          <w:shd w:val="clear" w:color="auto" w:fill="ffffff"/>
          <w:lang w:val="en-US" w:eastAsia="zh-CN" w:bidi="ar-SA"/>
        </w:rPr>
        <w:t xml:space="preserve">。</w:t>
      </w:r>
      <w:r>
        <w:rPr>
          <w:rFonts w:ascii="宋体" w:hAnsi="宋体" w:eastAsia="宋体" w:cs="宋体"/>
          <w:strike/>
          <w:color w:val="auto"/>
          <w:sz w:val="24"/>
          <w:szCs w:val="24"/>
          <w:highlight w:val="none"/>
          <w:u w:val="single"/>
          <w:shd w:val="clear" w:color="auto" w:fill="ffffff"/>
          <w:lang w:val="en-US" w:eastAsia="zh-CN" w:bidi="ar-SA"/>
        </w:rPr>
        <w:t xml:space="preserve">（产品名称1）</w:t>
      </w:r>
      <w:r>
        <w:rPr>
          <w:rFonts w:ascii="宋体" w:hAnsi="宋体" w:eastAsia="宋体" w:cs="宋体"/>
          <w:color w:val="auto"/>
          <w:sz w:val="24"/>
          <w:szCs w:val="24"/>
          <w:highlight w:val="none"/>
          <w:shd w:val="clear" w:color="auto" w:fill="ffffff"/>
          <w:lang w:val="en-US" w:eastAsia="zh-CN" w:bidi="ar-SA"/>
        </w:rPr>
        <w:t xml:space="preserve">的</w:t>
      </w:r>
      <w:r>
        <w:rPr>
          <w:rFonts w:ascii="宋体" w:hAnsi="宋体" w:eastAsia="宋体" w:cs="宋体"/>
          <w:strike/>
          <w:color w:val="auto"/>
          <w:sz w:val="24"/>
          <w:szCs w:val="24"/>
          <w:highlight w:val="none"/>
          <w:u w:val="single"/>
          <w:shd w:val="clear" w:color="auto" w:fill="ffffff"/>
          <w:lang w:val="en-US" w:eastAsia="zh-CN" w:bidi="ar-SA"/>
        </w:rPr>
        <w:t xml:space="preserve">（关键组件）</w:t>
      </w:r>
      <w:r>
        <w:rPr>
          <w:rFonts w:ascii="宋体" w:hAnsi="宋体" w:eastAsia="宋体" w:cs="宋体"/>
          <w:strike/>
          <w:color w:val="auto"/>
          <w:sz w:val="24"/>
          <w:szCs w:val="24"/>
          <w:highlight w:val="none"/>
          <w:shd w:val="clear" w:color="auto" w:fill="ffffff"/>
          <w:vertAlign w:val="superscript"/>
          <w:lang w:val="en-US" w:eastAsia="zh-CN" w:bidi="ar-SA"/>
        </w:rPr>
        <w:t xml:space="preserve">4</w:t>
      </w:r>
      <w:r>
        <w:rPr>
          <w:rFonts w:ascii="宋体" w:hAnsi="宋体" w:eastAsia="宋体" w:cs="宋体"/>
          <w:color w:val="auto"/>
          <w:sz w:val="24"/>
          <w:szCs w:val="24"/>
          <w:highlight w:val="none"/>
          <w:shd w:val="clear" w:color="auto" w:fill="ffffff"/>
          <w:lang w:val="en-US" w:eastAsia="zh-CN" w:bidi="ar-SA"/>
        </w:rPr>
        <w:t xml:space="preserve">在中国境内生产。</w:t>
      </w:r>
      <w:r>
        <w:rPr>
          <w:rFonts w:ascii="宋体" w:hAnsi="宋体" w:eastAsia="宋体" w:cs="宋体"/>
          <w:strike/>
          <w:color w:val="auto"/>
          <w:sz w:val="24"/>
          <w:szCs w:val="24"/>
          <w:highlight w:val="none"/>
          <w:u w:val="single"/>
          <w:shd w:val="clear" w:color="auto" w:fill="ffffff"/>
          <w:lang w:val="en-US" w:eastAsia="zh-CN" w:bidi="ar-SA"/>
        </w:rPr>
        <w:t xml:space="preserve">（产品名称1）</w:t>
      </w:r>
      <w:r>
        <w:rPr>
          <w:rFonts w:ascii="宋体" w:hAnsi="宋体" w:eastAsia="宋体" w:cs="宋体"/>
          <w:color w:val="auto"/>
          <w:sz w:val="24"/>
          <w:szCs w:val="24"/>
          <w:highlight w:val="none"/>
          <w:shd w:val="clear" w:color="auto" w:fill="ffffff"/>
          <w:lang w:val="en-US" w:eastAsia="zh-CN" w:bidi="ar-SA"/>
        </w:rPr>
        <w:t xml:space="preserve">的</w:t>
      </w:r>
      <w:r>
        <w:rPr>
          <w:rFonts w:ascii="宋体" w:hAnsi="宋体" w:eastAsia="宋体" w:cs="宋体"/>
          <w:strike/>
          <w:color w:val="auto"/>
          <w:sz w:val="24"/>
          <w:szCs w:val="24"/>
          <w:highlight w:val="none"/>
          <w:u w:val="single"/>
          <w:shd w:val="clear" w:color="auto" w:fill="ffffff"/>
          <w:lang w:val="en-US" w:eastAsia="zh-CN" w:bidi="ar-SA"/>
        </w:rPr>
        <w:t xml:space="preserve">（关键工序）</w:t>
      </w:r>
      <w:r>
        <w:rPr>
          <w:rFonts w:ascii="宋体" w:hAnsi="宋体" w:eastAsia="宋体" w:cs="宋体"/>
          <w:strike/>
          <w:color w:val="auto"/>
          <w:sz w:val="24"/>
          <w:szCs w:val="24"/>
          <w:highlight w:val="none"/>
          <w:shd w:val="clear" w:color="auto" w:fill="ffffff"/>
          <w:vertAlign w:val="superscript"/>
          <w:lang w:val="en-US" w:eastAsia="zh-CN" w:bidi="ar-SA"/>
        </w:rPr>
        <w:t xml:space="preserve">5</w:t>
      </w:r>
      <w:r>
        <w:rPr>
          <w:rFonts w:ascii="宋体" w:hAnsi="宋体" w:eastAsia="宋体" w:cs="宋体"/>
          <w:color w:val="auto"/>
          <w:sz w:val="24"/>
          <w:szCs w:val="24"/>
          <w:highlight w:val="none"/>
          <w:shd w:val="clear" w:color="auto" w:fill="ffffff"/>
          <w:lang w:val="en-US" w:eastAsia="zh-CN" w:bidi="ar-SA"/>
        </w:rPr>
        <w:t xml:space="preserve">在中国境内完成。</w:t>
      </w:r>
      <w:r/>
    </w:p>
    <w:p>
      <w:pPr>
        <w:ind w:left="0" w:firstLine="420"/>
        <w:jc w:val="both"/>
        <w:keepLines w:val="0"/>
        <w:keepNext w:val="0"/>
        <w:spacing w:before="30" w:beforeAutospacing="0" w:after="30" w:afterAutospacing="0"/>
        <w:widowControl w:val="off"/>
        <w:rPr>
          <w:rFonts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lang w:val="en-US" w:eastAsia="zh-CN" w:bidi="ar-SA"/>
        </w:rPr>
        <w:t xml:space="preserve">2.</w:t>
      </w:r>
      <w:r>
        <w:rPr>
          <w:rFonts w:ascii="宋体" w:hAnsi="宋体" w:eastAsia="宋体" w:cs="宋体"/>
          <w:color w:val="auto"/>
          <w:sz w:val="24"/>
          <w:szCs w:val="24"/>
          <w:highlight w:val="none"/>
          <w:u w:val="single"/>
          <w:shd w:val="clear" w:color="auto" w:fill="ffffff"/>
          <w:lang w:val="en-US" w:eastAsia="zh-CN" w:bidi="ar-SA"/>
        </w:rPr>
        <w:t xml:space="preserve">（产品名称2）</w:t>
      </w:r>
      <w:r>
        <w:rPr>
          <w:rFonts w:ascii="宋体" w:hAnsi="宋体" w:eastAsia="宋体" w:cs="宋体"/>
          <w:color w:val="auto"/>
          <w:sz w:val="24"/>
          <w:szCs w:val="24"/>
          <w:highlight w:val="none"/>
          <w:shd w:val="clear" w:color="auto" w:fill="ffffff"/>
          <w:lang w:val="en-US" w:eastAsia="zh-CN" w:bidi="ar-SA"/>
        </w:rPr>
        <w:t xml:space="preserve">，生产厂为</w:t>
      </w:r>
      <w:r>
        <w:rPr>
          <w:rFonts w:ascii="宋体" w:hAnsi="宋体" w:eastAsia="宋体" w:cs="宋体"/>
          <w:color w:val="auto"/>
          <w:sz w:val="24"/>
          <w:szCs w:val="24"/>
          <w:highlight w:val="none"/>
          <w:u w:val="single"/>
          <w:shd w:val="clear" w:color="auto" w:fill="ffffff"/>
          <w:lang w:val="en-US" w:eastAsia="zh-CN" w:bidi="ar-SA"/>
        </w:rPr>
        <w:t xml:space="preserve">（厂名）</w:t>
      </w:r>
      <w:r>
        <w:rPr>
          <w:rFonts w:ascii="宋体" w:hAnsi="宋体" w:eastAsia="宋体" w:cs="宋体"/>
          <w:color w:val="auto"/>
          <w:sz w:val="24"/>
          <w:szCs w:val="24"/>
          <w:highlight w:val="none"/>
          <w:shd w:val="clear" w:color="auto" w:fill="ffffff"/>
          <w:lang w:val="en-US" w:eastAsia="zh-CN" w:bidi="ar-SA"/>
        </w:rPr>
        <w:t xml:space="preserve">，厂址为</w:t>
      </w:r>
      <w:r>
        <w:rPr>
          <w:rFonts w:ascii="宋体" w:hAnsi="宋体" w:eastAsia="宋体" w:cs="宋体"/>
          <w:color w:val="auto"/>
          <w:sz w:val="24"/>
          <w:szCs w:val="24"/>
          <w:highlight w:val="none"/>
          <w:u w:val="single"/>
          <w:shd w:val="clear" w:color="auto" w:fill="ffffff"/>
          <w:lang w:val="en-US" w:eastAsia="zh-CN" w:bidi="ar-SA"/>
        </w:rPr>
        <w:t xml:space="preserve">（生产厂址）</w:t>
      </w:r>
      <w:r>
        <w:rPr>
          <w:rFonts w:ascii="宋体" w:hAnsi="宋体" w:eastAsia="宋体" w:cs="宋体"/>
          <w:color w:val="auto"/>
          <w:sz w:val="24"/>
          <w:szCs w:val="24"/>
          <w:highlight w:val="none"/>
          <w:shd w:val="clear" w:color="auto" w:fill="ffffff"/>
          <w:lang w:val="en-US" w:eastAsia="zh-CN" w:bidi="ar-SA"/>
        </w:rPr>
        <w:t xml:space="preserve">。</w:t>
      </w:r>
      <w:r>
        <w:rPr>
          <w:rFonts w:ascii="宋体" w:hAnsi="宋体" w:eastAsia="宋体" w:cs="宋体"/>
          <w:strike/>
          <w:color w:val="auto"/>
          <w:sz w:val="24"/>
          <w:szCs w:val="24"/>
          <w:highlight w:val="none"/>
          <w:u w:val="single"/>
          <w:shd w:val="clear" w:color="auto" w:fill="ffffff"/>
          <w:lang w:val="en-US" w:eastAsia="zh-CN" w:bidi="ar-SA"/>
        </w:rPr>
        <w:t xml:space="preserve">（产品名称2）</w:t>
      </w:r>
      <w:r>
        <w:rPr>
          <w:rFonts w:ascii="宋体" w:hAnsi="宋体" w:eastAsia="宋体" w:cs="宋体"/>
          <w:color w:val="auto"/>
          <w:sz w:val="24"/>
          <w:szCs w:val="24"/>
          <w:highlight w:val="none"/>
          <w:shd w:val="clear" w:color="auto" w:fill="ffffff"/>
          <w:lang w:val="en-US" w:eastAsia="zh-CN" w:bidi="ar-SA"/>
        </w:rPr>
        <w:t xml:space="preserve">的中国境内生产的组件成本占比≥</w:t>
      </w:r>
      <w:r>
        <w:rPr>
          <w:rFonts w:ascii="宋体" w:hAnsi="宋体" w:eastAsia="宋体" w:cs="宋体"/>
          <w:strike/>
          <w:color w:val="auto"/>
          <w:sz w:val="24"/>
          <w:szCs w:val="24"/>
          <w:highlight w:val="none"/>
          <w:u w:val="single"/>
          <w:shd w:val="clear" w:color="auto" w:fill="ffffff"/>
          <w:lang w:val="en-US" w:eastAsia="zh-CN" w:bidi="ar-SA"/>
        </w:rPr>
        <w:t xml:space="preserve">（规定比例）</w:t>
      </w:r>
      <w:r>
        <w:rPr>
          <w:rFonts w:ascii="宋体" w:hAnsi="宋体" w:eastAsia="宋体" w:cs="宋体"/>
          <w:color w:val="auto"/>
          <w:sz w:val="24"/>
          <w:szCs w:val="24"/>
          <w:highlight w:val="none"/>
          <w:shd w:val="clear" w:color="auto" w:fill="ffffff"/>
          <w:lang w:val="en-US" w:eastAsia="zh-CN" w:bidi="ar-SA"/>
        </w:rPr>
        <w:t xml:space="preserve">。</w:t>
      </w:r>
      <w:r>
        <w:rPr>
          <w:rFonts w:ascii="宋体" w:hAnsi="宋体" w:eastAsia="宋体" w:cs="宋体"/>
          <w:strike/>
          <w:color w:val="auto"/>
          <w:sz w:val="24"/>
          <w:szCs w:val="24"/>
          <w:highlight w:val="none"/>
          <w:u w:val="single"/>
          <w:shd w:val="clear" w:color="auto" w:fill="ffffff"/>
          <w:lang w:val="en-US" w:eastAsia="zh-CN" w:bidi="ar-SA"/>
        </w:rPr>
        <w:t xml:space="preserve">（产品名称2）</w:t>
      </w:r>
      <w:r>
        <w:rPr>
          <w:rFonts w:ascii="宋体" w:hAnsi="宋体" w:eastAsia="宋体" w:cs="宋体"/>
          <w:color w:val="auto"/>
          <w:sz w:val="24"/>
          <w:szCs w:val="24"/>
          <w:highlight w:val="none"/>
          <w:shd w:val="clear" w:color="auto" w:fill="ffffff"/>
          <w:lang w:val="en-US" w:eastAsia="zh-CN" w:bidi="ar-SA"/>
        </w:rPr>
        <w:t xml:space="preserve">的</w:t>
      </w:r>
      <w:r>
        <w:rPr>
          <w:rFonts w:ascii="宋体" w:hAnsi="宋体" w:eastAsia="宋体" w:cs="宋体"/>
          <w:strike/>
          <w:color w:val="auto"/>
          <w:sz w:val="24"/>
          <w:szCs w:val="24"/>
          <w:highlight w:val="none"/>
          <w:u w:val="single"/>
          <w:shd w:val="clear" w:color="auto" w:fill="ffffff"/>
          <w:lang w:val="en-US" w:eastAsia="zh-CN" w:bidi="ar-SA"/>
        </w:rPr>
        <w:t xml:space="preserve">（关键组件）</w:t>
      </w:r>
      <w:r>
        <w:rPr>
          <w:rFonts w:ascii="宋体" w:hAnsi="宋体" w:eastAsia="宋体" w:cs="宋体"/>
          <w:color w:val="auto"/>
          <w:sz w:val="24"/>
          <w:szCs w:val="24"/>
          <w:highlight w:val="none"/>
          <w:shd w:val="clear" w:color="auto" w:fill="ffffff"/>
          <w:lang w:val="en-US" w:eastAsia="zh-CN" w:bidi="ar-SA"/>
        </w:rPr>
        <w:t xml:space="preserve">在中国境内生产。</w:t>
      </w:r>
      <w:r>
        <w:rPr>
          <w:rFonts w:ascii="宋体" w:hAnsi="宋体" w:eastAsia="宋体" w:cs="宋体"/>
          <w:strike/>
          <w:color w:val="auto"/>
          <w:sz w:val="24"/>
          <w:szCs w:val="24"/>
          <w:highlight w:val="none"/>
          <w:u w:val="single"/>
          <w:shd w:val="clear" w:color="auto" w:fill="ffffff"/>
          <w:lang w:val="en-US" w:eastAsia="zh-CN" w:bidi="ar-SA"/>
        </w:rPr>
        <w:t xml:space="preserve">（产品名称1）</w:t>
      </w:r>
      <w:r>
        <w:rPr>
          <w:rFonts w:ascii="宋体" w:hAnsi="宋体" w:eastAsia="宋体" w:cs="宋体"/>
          <w:color w:val="auto"/>
          <w:sz w:val="24"/>
          <w:szCs w:val="24"/>
          <w:highlight w:val="none"/>
          <w:shd w:val="clear" w:color="auto" w:fill="ffffff"/>
          <w:lang w:val="en-US" w:eastAsia="zh-CN" w:bidi="ar-SA"/>
        </w:rPr>
        <w:t xml:space="preserve">的</w:t>
      </w:r>
      <w:r>
        <w:rPr>
          <w:rFonts w:ascii="宋体" w:hAnsi="宋体" w:eastAsia="宋体" w:cs="宋体"/>
          <w:strike/>
          <w:color w:val="auto"/>
          <w:sz w:val="24"/>
          <w:szCs w:val="24"/>
          <w:highlight w:val="none"/>
          <w:u w:val="single"/>
          <w:shd w:val="clear" w:color="auto" w:fill="ffffff"/>
          <w:lang w:val="en-US" w:eastAsia="zh-CN" w:bidi="ar-SA"/>
        </w:rPr>
        <w:t xml:space="preserve">（关键工序）</w:t>
      </w:r>
      <w:r>
        <w:rPr>
          <w:rFonts w:ascii="宋体" w:hAnsi="宋体" w:eastAsia="宋体" w:cs="宋体"/>
          <w:color w:val="auto"/>
          <w:sz w:val="24"/>
          <w:szCs w:val="24"/>
          <w:highlight w:val="none"/>
          <w:shd w:val="clear" w:color="auto" w:fill="ffffff"/>
          <w:lang w:val="en-US" w:eastAsia="zh-CN" w:bidi="ar-SA"/>
        </w:rPr>
        <w:t xml:space="preserve">在中国境内完成。</w:t>
      </w:r>
      <w:r/>
    </w:p>
    <w:p>
      <w:pPr>
        <w:ind w:left="0" w:firstLine="420"/>
        <w:jc w:val="both"/>
        <w:keepLines w:val="0"/>
        <w:keepNext w:val="0"/>
        <w:spacing w:before="30" w:beforeAutospacing="0" w:after="30" w:afterAutospacing="0"/>
        <w:widowControl w:val="off"/>
        <w:rPr>
          <w:rFonts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lang w:val="en-US" w:eastAsia="zh-CN" w:bidi="ar-SA"/>
        </w:rPr>
        <w:t xml:space="preserve">……</w:t>
      </w:r>
      <w:r/>
    </w:p>
    <w:p>
      <w:pPr>
        <w:ind w:left="0" w:firstLine="420"/>
        <w:jc w:val="both"/>
        <w:keepLines w:val="0"/>
        <w:keepNext w:val="0"/>
        <w:spacing w:before="30" w:beforeAutospacing="0" w:after="30" w:afterAutospacing="0"/>
        <w:widowControl w:val="off"/>
        <w:rPr>
          <w:rFonts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both"/>
        <w:keepLines w:val="0"/>
        <w:keepNext w:val="0"/>
        <w:spacing w:before="30" w:beforeAutospacing="0" w:after="30" w:afterAutospacing="0"/>
        <w:widowControl w:val="off"/>
        <w:rPr>
          <w:rFonts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lang w:val="en-US" w:eastAsia="zh-CN" w:bidi="ar-SA"/>
        </w:rPr>
        <w:t xml:space="preserve"> </w:t>
      </w:r>
      <w:r/>
    </w:p>
    <w:p>
      <w:pPr>
        <w:ind w:left="0" w:right="480" w:firstLine="3720"/>
        <w:jc w:val="both"/>
        <w:keepLines w:val="0"/>
        <w:keepNext w:val="0"/>
        <w:spacing w:before="30" w:beforeAutospacing="0" w:after="30" w:afterAutospacing="0"/>
        <w:widowControl w:val="off"/>
        <w:rPr>
          <w:rFonts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lang w:val="en-US" w:eastAsia="zh-CN" w:bidi="ar-SA"/>
        </w:rPr>
        <w:t xml:space="preserve">公司（单位）名称（盖章）：　</w:t>
      </w:r>
      <w:r/>
    </w:p>
    <w:p>
      <w:pPr>
        <w:jc w:val="center"/>
        <w:keepLines w:val="0"/>
        <w:keepNext w:val="0"/>
        <w:spacing w:before="30" w:beforeAutospacing="0" w:after="30" w:afterAutospacing="0"/>
        <w:widowControl w:val="off"/>
        <w:rPr>
          <w:rFonts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lang w:val="en-US" w:eastAsia="zh-CN" w:bidi="ar-SA"/>
        </w:rPr>
        <w:t xml:space="preserve">                                日期：　   年　  月　  日         </w:t>
      </w:r>
      <w:r/>
    </w:p>
    <w:p>
      <w:pPr>
        <w:jc w:val="both"/>
        <w:keepLines w:val="0"/>
        <w:keepNext w:val="0"/>
        <w:spacing w:before="30" w:beforeAutospacing="0" w:after="30" w:afterAutospacing="0"/>
        <w:widowControl w:val="off"/>
        <w:rPr>
          <w:rFonts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lang w:val="en-US" w:eastAsia="zh-CN" w:bidi="ar-SA"/>
        </w:rPr>
        <w:t xml:space="preserve">__________________</w:t>
      </w:r>
      <w:r/>
    </w:p>
    <w:p>
      <w:pPr>
        <w:jc w:val="both"/>
        <w:keepLines w:val="0"/>
        <w:keepNext w:val="0"/>
        <w:spacing w:before="30" w:beforeAutospacing="0" w:after="30" w:afterAutospacing="0"/>
        <w:widowControl w:val="off"/>
        <w:rPr>
          <w:rFonts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lang w:val="en-US" w:eastAsia="zh-CN" w:bidi="ar-SA"/>
        </w:rPr>
        <w:t xml:space="preserve">1.产品如有型号，请在“产品名称”栏一并填写。</w:t>
      </w:r>
      <w:r/>
    </w:p>
    <w:p>
      <w:pPr>
        <w:jc w:val="both"/>
        <w:keepLines w:val="0"/>
        <w:keepNext w:val="0"/>
        <w:spacing w:before="30" w:beforeAutospacing="0" w:after="30" w:afterAutospacing="0"/>
        <w:widowControl w:val="off"/>
        <w:rPr>
          <w:rFonts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lang w:val="en-US" w:eastAsia="zh-CN" w:bidi="ar-SA"/>
        </w:rPr>
        <w:t xml:space="preserve">2.生产厂名与厂址应与生产厂营业执照载明的相关信息保持一致。</w:t>
      </w:r>
      <w:r/>
    </w:p>
    <w:p>
      <w:pPr>
        <w:jc w:val="both"/>
        <w:keepLines w:val="0"/>
        <w:keepNext w:val="0"/>
        <w:spacing w:before="30" w:beforeAutospacing="0" w:after="30" w:afterAutospacing="0"/>
        <w:widowControl w:val="off"/>
        <w:rPr>
          <w:rFonts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jc w:val="both"/>
        <w:keepLines w:val="0"/>
        <w:keepNext w:val="0"/>
        <w:spacing w:before="30" w:beforeAutospacing="0" w:after="30" w:afterAutospacing="0"/>
        <w:widowControl w:val="off"/>
        <w:rPr>
          <w:rFonts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lang w:val="en-US" w:eastAsia="zh-CN" w:bidi="ar-SA"/>
        </w:rPr>
        <w:t xml:space="preserve">4.该产品的关键组件要求实施前，“关键组件”栏可不填，下同。</w:t>
      </w:r>
      <w:r/>
    </w:p>
    <w:p>
      <w:pPr>
        <w:jc w:val="both"/>
        <w:keepLines w:val="0"/>
        <w:keepNext w:val="0"/>
        <w:spacing w:before="30" w:beforeAutospacing="0" w:after="30" w:afterAutospacing="0"/>
        <w:widowControl w:val="off"/>
        <w:rPr>
          <w:rFonts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lang w:val="en-US" w:eastAsia="zh-CN" w:bidi="ar-SA"/>
        </w:rPr>
        <w:t xml:space="preserve">5.该产品的关键工序要求实施前，“关键工序”栏可不填，下同。</w:t>
      </w:r>
      <w:r/>
    </w:p>
    <w:p>
      <w:pPr>
        <w:jc w:val="both"/>
        <w:keepLines w:val="0"/>
        <w:keepNext w:val="0"/>
        <w:spacing w:before="30" w:beforeAutospacing="0" w:after="30" w:afterAutospacing="0"/>
        <w:widowControl w:val="off"/>
        <w:rPr>
          <w:rFonts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lang w:val="en-US" w:eastAsia="zh-CN" w:bidi="ar-SA"/>
        </w:rPr>
        <w:t xml:space="preserve">6.用</w:t>
      </w:r>
      <w:r>
        <w:rPr>
          <w:rFonts w:hint="eastAsia" w:ascii="宋体" w:hAnsi="宋体" w:eastAsia="宋体" w:cs="宋体"/>
          <w:color w:val="auto"/>
          <w:sz w:val="24"/>
          <w:szCs w:val="24"/>
          <w:highlight w:val="none"/>
          <w:shd w:val="clear" w:color="auto" w:fill="ffffff"/>
          <w:lang w:val="en-US" w:eastAsia="zh-CN" w:bidi="ar-SA"/>
        </w:rPr>
        <w:t xml:space="preserve">横</w:t>
      </w:r>
      <w:r>
        <w:rPr>
          <w:rFonts w:ascii="宋体" w:hAnsi="宋体" w:eastAsia="宋体" w:cs="宋体"/>
          <w:color w:val="auto"/>
          <w:sz w:val="24"/>
          <w:szCs w:val="24"/>
          <w:highlight w:val="none"/>
          <w:shd w:val="clear" w:color="auto" w:fill="ffffff"/>
          <w:lang w:val="en-US" w:eastAsia="zh-CN" w:bidi="ar-SA"/>
        </w:rPr>
        <w:t xml:space="preserve">线划除的地方无需填写。</w:t>
      </w:r>
      <w:r/>
    </w:p>
    <w:p>
      <w:pPr>
        <w:pStyle w:val="734"/>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sectPr>
          <w:footerReference w:type="default" r:id="rId9"/>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auto"/>
          <w:highlight w:val="none"/>
        </w:rPr>
      </w:r>
      <w:r/>
    </w:p>
    <w:p>
      <w:pPr>
        <w:pStyle w:val="880"/>
        <w:numPr>
          <w:ilvl w:val="0"/>
          <w:numId w:val="0"/>
        </w:numPr>
        <w:jc w:val="center"/>
        <w:spacing w:line="360" w:lineRule="auto"/>
        <w:rPr>
          <w:rFonts w:hint="eastAsia" w:ascii="宋体" w:hAnsi="宋体" w:eastAsia="宋体" w:cs="宋体"/>
          <w:b/>
          <w:color w:val="auto"/>
          <w:sz w:val="32"/>
          <w:szCs w:val="32"/>
          <w:highlight w:val="none"/>
        </w:rPr>
      </w:pPr>
      <w:r>
        <w:rPr>
          <w:rFonts w:hint="eastAsia" w:hAnsi="宋体" w:eastAsia="宋体" w:cs="宋体"/>
          <w:b/>
          <w:color w:val="auto"/>
          <w:sz w:val="32"/>
          <w:szCs w:val="32"/>
          <w:highlight w:val="none"/>
          <w:lang w:val="en-US" w:eastAsia="zh-CN"/>
        </w:rPr>
        <w:t xml:space="preserve">十二、</w:t>
      </w:r>
      <w:r>
        <w:rPr>
          <w:rFonts w:hint="eastAsia" w:ascii="宋体" w:hAnsi="宋体" w:eastAsia="宋体" w:cs="宋体"/>
          <w:b/>
          <w:color w:val="auto"/>
          <w:sz w:val="32"/>
          <w:szCs w:val="32"/>
          <w:highlight w:val="none"/>
        </w:rPr>
        <w:t xml:space="preserve">投标分项报价表</w:t>
      </w:r>
      <w:r/>
    </w:p>
    <w:p>
      <w:pPr>
        <w:pStyle w:val="88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项目名称：</w:t>
      </w:r>
      <w:r/>
    </w:p>
    <w:p>
      <w:pPr>
        <w:pStyle w:val="88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投标人名称（公章）：  </w:t>
      </w:r>
      <w:r/>
    </w:p>
    <w:tbl>
      <w:tblPr>
        <w:tblStyle w:val="651"/>
        <w:tblW w:w="883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6"/>
        <w:gridCol w:w="1832"/>
        <w:gridCol w:w="1419"/>
        <w:gridCol w:w="2306"/>
        <w:gridCol w:w="1243"/>
        <w:gridCol w:w="1029"/>
      </w:tblGrid>
      <w:tr>
        <w:trPr>
          <w:trHeight w:val="680" w:hRule="exact"/>
        </w:trPr>
        <w:tc>
          <w:tcPr>
            <w:tcW w:w="1006" w:type="dxa"/>
            <w:vAlign w:val="center"/>
            <w:textDirection w:val="lrTb"/>
            <w:noWrap w:val="false"/>
          </w:tcPr>
          <w:p>
            <w:pPr>
              <w:pStyle w:val="734"/>
              <w:ind w:right="-932"/>
              <w:jc w:val="both"/>
              <w:spacing w:beforeAutospacing="0" w:afterAutospacing="0" w:line="360" w:lineRule="auto"/>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序号</w:t>
            </w:r>
            <w:r/>
          </w:p>
        </w:tc>
        <w:tc>
          <w:tcPr>
            <w:tcW w:w="1832" w:type="dxa"/>
            <w:vAlign w:val="center"/>
            <w:textDirection w:val="lrTb"/>
            <w:noWrap w:val="false"/>
          </w:tcPr>
          <w:p>
            <w:pPr>
              <w:pStyle w:val="734"/>
              <w:ind w:right="-932"/>
              <w:jc w:val="both"/>
              <w:spacing w:beforeAutospacing="0" w:afterAutospacing="0" w:line="360" w:lineRule="auto"/>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小区名称</w:t>
            </w:r>
            <w:r/>
          </w:p>
        </w:tc>
        <w:tc>
          <w:tcPr>
            <w:tcW w:w="1419" w:type="dxa"/>
            <w:vAlign w:val="center"/>
            <w:textDirection w:val="lrTb"/>
            <w:noWrap w:val="false"/>
          </w:tcPr>
          <w:p>
            <w:pPr>
              <w:pStyle w:val="734"/>
              <w:ind w:right="-932"/>
              <w:jc w:val="both"/>
              <w:spacing w:beforeAutospacing="0" w:afterAutospacing="0" w:line="360" w:lineRule="auto"/>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面积（㎡）</w:t>
            </w:r>
            <w:r/>
          </w:p>
        </w:tc>
        <w:tc>
          <w:tcPr>
            <w:tcW w:w="2306" w:type="dxa"/>
            <w:vAlign w:val="center"/>
            <w:textDirection w:val="lrTb"/>
            <w:noWrap w:val="false"/>
          </w:tcPr>
          <w:p>
            <w:pPr>
              <w:pStyle w:val="734"/>
              <w:ind w:right="-932"/>
              <w:jc w:val="both"/>
              <w:spacing w:beforeAutospacing="0" w:afterAutospacing="0" w:line="360" w:lineRule="auto"/>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单价（元/月/㎡）</w:t>
            </w:r>
            <w:r/>
          </w:p>
        </w:tc>
        <w:tc>
          <w:tcPr>
            <w:tcW w:w="1243" w:type="dxa"/>
            <w:vAlign w:val="center"/>
            <w:textDirection w:val="lrTb"/>
            <w:noWrap w:val="false"/>
          </w:tcPr>
          <w:p>
            <w:pPr>
              <w:pStyle w:val="734"/>
              <w:ind w:right="-932"/>
              <w:jc w:val="both"/>
              <w:spacing w:beforeAutospacing="0" w:afterAutospacing="0" w:line="360" w:lineRule="auto"/>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合价（元）</w:t>
            </w:r>
            <w:r/>
          </w:p>
        </w:tc>
        <w:tc>
          <w:tcPr>
            <w:tcW w:w="1029" w:type="dxa"/>
            <w:vAlign w:val="center"/>
            <w:textDirection w:val="lrTb"/>
            <w:noWrap w:val="false"/>
          </w:tcPr>
          <w:p>
            <w:pPr>
              <w:pStyle w:val="734"/>
              <w:ind w:right="-932"/>
              <w:jc w:val="both"/>
              <w:spacing w:beforeAutospacing="0" w:afterAutospacing="0" w:line="360" w:lineRule="auto"/>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备注</w:t>
            </w:r>
            <w:r/>
          </w:p>
        </w:tc>
      </w:tr>
      <w:tr>
        <w:trPr>
          <w:trHeight w:val="680" w:hRule="exact"/>
        </w:trPr>
        <w:tc>
          <w:tcPr>
            <w:tcW w:w="1006" w:type="dxa"/>
            <w:vAlign w:val="center"/>
            <w:textDirection w:val="lrTb"/>
            <w:noWrap w:val="false"/>
          </w:tcPr>
          <w:p>
            <w:pPr>
              <w:jc w:val="center"/>
              <w:keepLines w:val="0"/>
              <w:keepNext w:val="0"/>
              <w:spacing w:line="360" w:lineRule="auto"/>
              <w:widowControl/>
              <w:rPr>
                <w:rFonts w:hint="eastAsia" w:ascii="宋体" w:hAnsi="宋体" w:eastAsia="宋体" w:cs="宋体"/>
                <w:color w:val="auto"/>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c>
          <w:tcPr>
            <w:tcW w:w="1832" w:type="dxa"/>
            <w:vAlign w:val="center"/>
            <w:textDirection w:val="lrTb"/>
            <w:noWrap w:val="false"/>
          </w:tcPr>
          <w:p>
            <w:pPr>
              <w:jc w:val="center"/>
              <w:keepLines w:val="0"/>
              <w:keepNext w:val="0"/>
              <w:spacing w:line="360" w:lineRule="auto"/>
              <w:widowControl/>
              <w:rPr>
                <w:rFonts w:hint="eastAsia" w:ascii="宋体" w:hAnsi="宋体" w:eastAsia="宋体" w:cs="宋体"/>
                <w:color w:val="auto"/>
                <w:highlight w:val="none"/>
                <w:vertAlign w:val="baseline"/>
              </w:rPr>
              <w:suppressLineNumbers w:val="0"/>
            </w:pPr>
            <w:r>
              <w:rPr>
                <w:rFonts w:hint="eastAsia" w:ascii="宋体" w:hAnsi="宋体" w:eastAsia="宋体" w:cs="宋体"/>
                <w:i w:val="0"/>
                <w:iCs w:val="0"/>
                <w:color w:val="auto"/>
                <w:sz w:val="20"/>
                <w:szCs w:val="20"/>
                <w:highlight w:val="none"/>
                <w:u w:val="none"/>
                <w:lang w:val="en-US" w:eastAsia="zh-CN"/>
              </w:rPr>
              <w:t xml:space="preserve">镇北路小区</w:t>
            </w:r>
            <w:r/>
          </w:p>
        </w:tc>
        <w:tc>
          <w:tcPr>
            <w:tcW w:w="1419" w:type="dxa"/>
            <w:vAlign w:val="center"/>
            <w:textDirection w:val="lrTb"/>
            <w:noWrap w:val="false"/>
          </w:tcPr>
          <w:p>
            <w:pPr>
              <w:jc w:val="center"/>
              <w:keepLines w:val="0"/>
              <w:keepNext w:val="0"/>
              <w:spacing w:line="360" w:lineRule="auto"/>
              <w:widowControl/>
              <w:rPr>
                <w:rFonts w:hint="eastAsia" w:ascii="宋体" w:hAnsi="宋体" w:eastAsia="宋体" w:cs="宋体"/>
                <w:color w:val="auto"/>
                <w:highlight w:val="none"/>
                <w:vertAlign w:val="baseline"/>
              </w:rPr>
              <w:suppressLineNumbers w:val="0"/>
            </w:pPr>
            <w:r>
              <w:rPr>
                <w:rFonts w:hint="eastAsia" w:ascii="宋体" w:hAnsi="宋体" w:eastAsia="宋体" w:cs="宋体"/>
                <w:i w:val="0"/>
                <w:iCs w:val="0"/>
                <w:color w:val="auto"/>
                <w:sz w:val="20"/>
                <w:szCs w:val="20"/>
                <w:highlight w:val="none"/>
                <w:u w:val="none"/>
                <w:lang w:val="en-US" w:eastAsia="zh-CN"/>
              </w:rPr>
              <w:t xml:space="preserve">26700</w:t>
            </w:r>
            <w:r/>
          </w:p>
        </w:tc>
        <w:tc>
          <w:tcPr>
            <w:tcW w:w="2306"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r>
            <w:r/>
          </w:p>
        </w:tc>
        <w:tc>
          <w:tcPr>
            <w:tcW w:w="1243"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029"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trHeight w:val="680" w:hRule="exact"/>
        </w:trPr>
        <w:tc>
          <w:tcPr>
            <w:tcW w:w="1006" w:type="dxa"/>
            <w:vAlign w:val="center"/>
            <w:textDirection w:val="lrTb"/>
            <w:noWrap w:val="false"/>
          </w:tcPr>
          <w:p>
            <w:pPr>
              <w:jc w:val="center"/>
              <w:keepLines w:val="0"/>
              <w:keepNext w:val="0"/>
              <w:spacing w:line="360" w:lineRule="auto"/>
              <w:widowControl/>
              <w:rPr>
                <w:rFonts w:hint="eastAsia" w:ascii="宋体" w:hAnsi="宋体" w:eastAsia="宋体" w:cs="宋体"/>
                <w:color w:val="auto"/>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2</w:t>
            </w:r>
            <w:r/>
          </w:p>
        </w:tc>
        <w:tc>
          <w:tcPr>
            <w:tcW w:w="1832" w:type="dxa"/>
            <w:vAlign w:val="center"/>
            <w:textDirection w:val="lrTb"/>
            <w:noWrap w:val="false"/>
          </w:tcPr>
          <w:p>
            <w:pPr>
              <w:jc w:val="center"/>
              <w:keepLines w:val="0"/>
              <w:keepNext w:val="0"/>
              <w:spacing w:line="360" w:lineRule="auto"/>
              <w:widowControl/>
              <w:rPr>
                <w:rFonts w:hint="eastAsia" w:ascii="宋体" w:hAnsi="宋体" w:eastAsia="宋体" w:cs="宋体"/>
                <w:color w:val="auto"/>
                <w:highlight w:val="none"/>
                <w:vertAlign w:val="baseline"/>
              </w:rPr>
              <w:suppressLineNumbers w:val="0"/>
            </w:pPr>
            <w:r>
              <w:rPr>
                <w:rFonts w:hint="eastAsia" w:ascii="宋体" w:hAnsi="宋体" w:eastAsia="宋体" w:cs="宋体"/>
                <w:i w:val="0"/>
                <w:iCs w:val="0"/>
                <w:color w:val="auto"/>
                <w:sz w:val="20"/>
                <w:szCs w:val="20"/>
                <w:highlight w:val="none"/>
                <w:u w:val="none"/>
                <w:lang w:val="en-US" w:eastAsia="zh-CN"/>
              </w:rPr>
              <w:t xml:space="preserve">娱乐二三组</w:t>
            </w:r>
            <w:r/>
          </w:p>
        </w:tc>
        <w:tc>
          <w:tcPr>
            <w:tcW w:w="1419" w:type="dxa"/>
            <w:vAlign w:val="center"/>
            <w:textDirection w:val="lrTb"/>
            <w:noWrap w:val="false"/>
          </w:tcPr>
          <w:p>
            <w:pPr>
              <w:jc w:val="center"/>
              <w:keepLines w:val="0"/>
              <w:keepNext w:val="0"/>
              <w:spacing w:line="360" w:lineRule="auto"/>
              <w:widowControl/>
              <w:rPr>
                <w:rFonts w:hint="eastAsia" w:ascii="宋体" w:hAnsi="宋体" w:eastAsia="宋体" w:cs="宋体"/>
                <w:color w:val="auto"/>
                <w:highlight w:val="none"/>
                <w:vertAlign w:val="baseline"/>
              </w:rPr>
              <w:suppressLineNumbers w:val="0"/>
            </w:pPr>
            <w:r>
              <w:rPr>
                <w:rFonts w:hint="eastAsia" w:ascii="宋体" w:hAnsi="宋体" w:eastAsia="宋体" w:cs="宋体"/>
                <w:i w:val="0"/>
                <w:iCs w:val="0"/>
                <w:color w:val="auto"/>
                <w:sz w:val="20"/>
                <w:szCs w:val="20"/>
                <w:highlight w:val="none"/>
                <w:u w:val="none"/>
                <w:lang w:val="en-US" w:eastAsia="zh-CN"/>
              </w:rPr>
              <w:t xml:space="preserve">38000</w:t>
            </w:r>
            <w:r/>
          </w:p>
        </w:tc>
        <w:tc>
          <w:tcPr>
            <w:tcW w:w="2306"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243"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029"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trHeight w:val="680" w:hRule="exact"/>
        </w:trPr>
        <w:tc>
          <w:tcPr>
            <w:tcW w:w="1006" w:type="dxa"/>
            <w:vAlign w:val="center"/>
            <w:textDirection w:val="lrTb"/>
            <w:noWrap w:val="false"/>
          </w:tcPr>
          <w:p>
            <w:pPr>
              <w:jc w:val="center"/>
              <w:keepLines w:val="0"/>
              <w:keepNext w:val="0"/>
              <w:spacing w:line="360" w:lineRule="auto"/>
              <w:widowControl/>
              <w:rPr>
                <w:rFonts w:hint="eastAsia" w:ascii="宋体" w:hAnsi="宋体" w:eastAsia="宋体" w:cs="宋体"/>
                <w:color w:val="auto"/>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3</w:t>
            </w:r>
            <w:r/>
          </w:p>
        </w:tc>
        <w:tc>
          <w:tcPr>
            <w:tcW w:w="1832" w:type="dxa"/>
            <w:vAlign w:val="center"/>
            <w:textDirection w:val="lrTb"/>
            <w:noWrap w:val="false"/>
          </w:tcPr>
          <w:p>
            <w:pPr>
              <w:jc w:val="center"/>
              <w:keepLines w:val="0"/>
              <w:keepNext w:val="0"/>
              <w:spacing w:line="360" w:lineRule="auto"/>
              <w:widowControl/>
              <w:rPr>
                <w:rFonts w:hint="eastAsia" w:ascii="宋体" w:hAnsi="宋体" w:eastAsia="宋体" w:cs="宋体"/>
                <w:color w:val="auto"/>
                <w:highlight w:val="none"/>
                <w:vertAlign w:val="baseline"/>
              </w:rPr>
              <w:suppressLineNumbers w:val="0"/>
            </w:pPr>
            <w:r>
              <w:rPr>
                <w:rFonts w:hint="eastAsia" w:ascii="宋体" w:hAnsi="宋体" w:eastAsia="宋体" w:cs="宋体"/>
                <w:i w:val="0"/>
                <w:iCs w:val="0"/>
                <w:color w:val="auto"/>
                <w:sz w:val="20"/>
                <w:szCs w:val="20"/>
                <w:highlight w:val="none"/>
                <w:u w:val="none"/>
                <w:lang w:val="en-US" w:eastAsia="zh-CN"/>
              </w:rPr>
              <w:t xml:space="preserve">新丰花园</w:t>
            </w:r>
            <w:r/>
          </w:p>
        </w:tc>
        <w:tc>
          <w:tcPr>
            <w:tcW w:w="1419" w:type="dxa"/>
            <w:vAlign w:val="center"/>
            <w:textDirection w:val="lrTb"/>
            <w:noWrap w:val="false"/>
          </w:tcPr>
          <w:p>
            <w:pPr>
              <w:jc w:val="center"/>
              <w:keepLines w:val="0"/>
              <w:keepNext w:val="0"/>
              <w:spacing w:line="360" w:lineRule="auto"/>
              <w:widowControl/>
              <w:rPr>
                <w:rFonts w:hint="eastAsia" w:ascii="宋体" w:hAnsi="宋体" w:eastAsia="宋体" w:cs="宋体"/>
                <w:color w:val="auto"/>
                <w:highlight w:val="none"/>
                <w:vertAlign w:val="baseline"/>
              </w:rPr>
              <w:suppressLineNumbers w:val="0"/>
            </w:pPr>
            <w:r>
              <w:rPr>
                <w:rFonts w:hint="eastAsia" w:ascii="宋体" w:hAnsi="宋体" w:eastAsia="宋体" w:cs="宋体"/>
                <w:i w:val="0"/>
                <w:iCs w:val="0"/>
                <w:color w:val="auto"/>
                <w:sz w:val="20"/>
                <w:szCs w:val="20"/>
                <w:highlight w:val="none"/>
                <w:u w:val="none"/>
                <w:lang w:val="en-US" w:eastAsia="zh-CN"/>
              </w:rPr>
              <w:t xml:space="preserve">95380</w:t>
            </w:r>
            <w:r/>
          </w:p>
        </w:tc>
        <w:tc>
          <w:tcPr>
            <w:tcW w:w="2306"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243"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029"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trHeight w:val="680" w:hRule="exact"/>
        </w:trPr>
        <w:tc>
          <w:tcPr>
            <w:tcW w:w="1006" w:type="dxa"/>
            <w:vAlign w:val="center"/>
            <w:textDirection w:val="lrTb"/>
            <w:noWrap w:val="false"/>
          </w:tcPr>
          <w:p>
            <w:pPr>
              <w:jc w:val="center"/>
              <w:keepLines w:val="0"/>
              <w:keepNext w:val="0"/>
              <w:spacing w:line="360" w:lineRule="auto"/>
              <w:widowControl/>
              <w:rPr>
                <w:rFonts w:hint="eastAsia" w:ascii="宋体" w:hAnsi="宋体" w:eastAsia="宋体" w:cs="宋体"/>
                <w:color w:val="auto"/>
                <w:highlight w:val="none"/>
                <w:vertAlign w:val="baseli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4</w:t>
            </w:r>
            <w:r/>
          </w:p>
        </w:tc>
        <w:tc>
          <w:tcPr>
            <w:tcW w:w="1832" w:type="dxa"/>
            <w:vAlign w:val="center"/>
            <w:textDirection w:val="lrTb"/>
            <w:noWrap w:val="false"/>
          </w:tcPr>
          <w:p>
            <w:pPr>
              <w:jc w:val="center"/>
              <w:keepLines w:val="0"/>
              <w:keepNext w:val="0"/>
              <w:spacing w:line="360" w:lineRule="auto"/>
              <w:widowControl/>
              <w:rPr>
                <w:rFonts w:hint="eastAsia" w:ascii="宋体" w:hAnsi="宋体" w:eastAsia="宋体" w:cs="宋体"/>
                <w:color w:val="auto"/>
                <w:highlight w:val="none"/>
                <w:vertAlign w:val="baseline"/>
              </w:rPr>
              <w:suppressLineNumbers w:val="0"/>
            </w:pPr>
            <w:r>
              <w:rPr>
                <w:rFonts w:hint="eastAsia" w:ascii="宋体" w:hAnsi="宋体" w:eastAsia="宋体" w:cs="宋体"/>
                <w:i w:val="0"/>
                <w:iCs w:val="0"/>
                <w:color w:val="auto"/>
                <w:sz w:val="20"/>
                <w:szCs w:val="20"/>
                <w:highlight w:val="none"/>
                <w:u w:val="none"/>
                <w:lang w:val="en-US" w:eastAsia="zh-CN"/>
              </w:rPr>
              <w:t xml:space="preserve">香苑小区</w:t>
            </w:r>
            <w:r/>
          </w:p>
        </w:tc>
        <w:tc>
          <w:tcPr>
            <w:tcW w:w="1419" w:type="dxa"/>
            <w:vAlign w:val="center"/>
            <w:textDirection w:val="lrTb"/>
            <w:noWrap w:val="false"/>
          </w:tcPr>
          <w:p>
            <w:pPr>
              <w:jc w:val="center"/>
              <w:keepLines w:val="0"/>
              <w:keepNext w:val="0"/>
              <w:spacing w:line="360" w:lineRule="auto"/>
              <w:widowControl/>
              <w:rPr>
                <w:rFonts w:hint="eastAsia" w:ascii="宋体" w:hAnsi="宋体" w:eastAsia="宋体" w:cs="宋体"/>
                <w:color w:val="auto"/>
                <w:highlight w:val="none"/>
                <w:vertAlign w:val="baseline"/>
              </w:rPr>
              <w:suppressLineNumbers w:val="0"/>
            </w:pPr>
            <w:r>
              <w:rPr>
                <w:rFonts w:hint="eastAsia" w:ascii="宋体" w:hAnsi="宋体" w:eastAsia="宋体" w:cs="宋体"/>
                <w:i w:val="0"/>
                <w:iCs w:val="0"/>
                <w:color w:val="auto"/>
                <w:sz w:val="20"/>
                <w:szCs w:val="20"/>
                <w:highlight w:val="none"/>
                <w:u w:val="none"/>
                <w:lang w:val="en-US" w:eastAsia="zh-CN"/>
              </w:rPr>
              <w:t xml:space="preserve">47060</w:t>
            </w:r>
            <w:r/>
          </w:p>
        </w:tc>
        <w:tc>
          <w:tcPr>
            <w:tcW w:w="2306"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243"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029"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trHeight w:val="680" w:hRule="exact"/>
        </w:trPr>
        <w:tc>
          <w:tcPr>
            <w:tcW w:w="1006" w:type="dxa"/>
            <w:vAlign w:val="center"/>
            <w:textDirection w:val="lrTb"/>
            <w:noWrap w:val="false"/>
          </w:tcPr>
          <w:p>
            <w:pPr>
              <w:jc w:val="center"/>
              <w:keepLines w:val="0"/>
              <w:keepNext w:val="0"/>
              <w:spacing w:line="360" w:lineRule="auto"/>
              <w:widowControl/>
              <w:rPr>
                <w:rFonts w:hint="eastAsia" w:ascii="宋体" w:hAnsi="宋体" w:eastAsia="宋体" w:cs="宋体"/>
                <w:color w:val="auto"/>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rPr>
              <w:t xml:space="preserve">5</w:t>
            </w:r>
            <w:r/>
          </w:p>
        </w:tc>
        <w:tc>
          <w:tcPr>
            <w:tcW w:w="1832" w:type="dxa"/>
            <w:vAlign w:val="center"/>
            <w:textDirection w:val="lrTb"/>
            <w:noWrap w:val="false"/>
          </w:tcPr>
          <w:p>
            <w:pPr>
              <w:jc w:val="center"/>
              <w:keepLines w:val="0"/>
              <w:keepNext w:val="0"/>
              <w:spacing w:line="360" w:lineRule="auto"/>
              <w:widowControl/>
              <w:rPr>
                <w:rFonts w:hint="eastAsia" w:ascii="宋体" w:hAnsi="宋体" w:eastAsia="宋体" w:cs="宋体"/>
                <w:color w:val="auto"/>
                <w:highlight w:val="none"/>
                <w:vertAlign w:val="baseline"/>
              </w:rPr>
              <w:suppressLineNumbers w:val="0"/>
            </w:pPr>
            <w:r>
              <w:rPr>
                <w:rFonts w:hint="eastAsia" w:ascii="宋体" w:hAnsi="宋体" w:eastAsia="宋体" w:cs="宋体"/>
                <w:i w:val="0"/>
                <w:iCs w:val="0"/>
                <w:color w:val="auto"/>
                <w:sz w:val="20"/>
                <w:szCs w:val="20"/>
                <w:highlight w:val="none"/>
                <w:u w:val="none"/>
                <w:lang w:val="en-US" w:eastAsia="zh-CN"/>
              </w:rPr>
              <w:t xml:space="preserve">康乐苑</w:t>
            </w:r>
            <w:r/>
          </w:p>
        </w:tc>
        <w:tc>
          <w:tcPr>
            <w:tcW w:w="1419" w:type="dxa"/>
            <w:vAlign w:val="center"/>
            <w:textDirection w:val="lrTb"/>
            <w:noWrap w:val="false"/>
          </w:tcPr>
          <w:p>
            <w:pPr>
              <w:jc w:val="center"/>
              <w:keepLines w:val="0"/>
              <w:keepNext w:val="0"/>
              <w:spacing w:line="360" w:lineRule="auto"/>
              <w:widowControl/>
              <w:rPr>
                <w:rFonts w:hint="eastAsia" w:ascii="宋体" w:hAnsi="宋体" w:eastAsia="宋体" w:cs="宋体"/>
                <w:color w:val="auto"/>
                <w:highlight w:val="none"/>
                <w:vertAlign w:val="baseline"/>
              </w:rPr>
              <w:suppressLineNumbers w:val="0"/>
            </w:pPr>
            <w:r>
              <w:rPr>
                <w:rFonts w:hint="eastAsia" w:ascii="宋体" w:hAnsi="宋体" w:eastAsia="宋体" w:cs="宋体"/>
                <w:i w:val="0"/>
                <w:iCs w:val="0"/>
                <w:color w:val="auto"/>
                <w:sz w:val="20"/>
                <w:szCs w:val="20"/>
                <w:highlight w:val="none"/>
                <w:u w:val="none"/>
                <w:lang w:val="en-US" w:eastAsia="zh-CN"/>
              </w:rPr>
              <w:t xml:space="preserve">124349.94</w:t>
            </w:r>
            <w:r/>
          </w:p>
        </w:tc>
        <w:tc>
          <w:tcPr>
            <w:tcW w:w="2306"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243"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029"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trHeight w:val="680" w:hRule="exact"/>
        </w:trPr>
        <w:tc>
          <w:tcPr>
            <w:tcW w:w="1006" w:type="dxa"/>
            <w:vAlign w:val="center"/>
            <w:textDirection w:val="lrTb"/>
            <w:noWrap w:val="false"/>
          </w:tcPr>
          <w:p>
            <w:pPr>
              <w:jc w:val="center"/>
              <w:keepLines w:val="0"/>
              <w:keepNext w:val="0"/>
              <w:spacing w:line="360" w:lineRule="auto"/>
              <w:widowControl/>
              <w:rPr>
                <w:rFonts w:hint="eastAsia" w:ascii="宋体" w:hAnsi="宋体" w:eastAsia="宋体" w:cs="宋体"/>
                <w:color w:val="auto"/>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rPr>
              <w:t xml:space="preserve">6</w:t>
            </w:r>
            <w:r/>
          </w:p>
        </w:tc>
        <w:tc>
          <w:tcPr>
            <w:tcW w:w="1832" w:type="dxa"/>
            <w:vAlign w:val="center"/>
            <w:textDirection w:val="lrTb"/>
            <w:noWrap w:val="false"/>
          </w:tcPr>
          <w:p>
            <w:pPr>
              <w:jc w:val="center"/>
              <w:keepLines w:val="0"/>
              <w:keepNext w:val="0"/>
              <w:spacing w:line="360" w:lineRule="auto"/>
              <w:widowControl/>
              <w:rPr>
                <w:rFonts w:hint="eastAsia" w:ascii="宋体" w:hAnsi="宋体" w:eastAsia="宋体" w:cs="宋体"/>
                <w:color w:val="auto"/>
                <w:highlight w:val="none"/>
                <w:vertAlign w:val="baseline"/>
              </w:rPr>
              <w:suppressLineNumbers w:val="0"/>
            </w:pPr>
            <w:r>
              <w:rPr>
                <w:rFonts w:hint="eastAsia" w:ascii="宋体" w:hAnsi="宋体" w:eastAsia="宋体" w:cs="宋体"/>
                <w:i w:val="0"/>
                <w:iCs w:val="0"/>
                <w:color w:val="auto"/>
                <w:sz w:val="20"/>
                <w:szCs w:val="20"/>
                <w:highlight w:val="none"/>
                <w:u w:val="none"/>
                <w:lang w:val="en-US" w:eastAsia="zh-CN"/>
              </w:rPr>
              <w:t xml:space="preserve">先进小区</w:t>
            </w:r>
            <w:r/>
          </w:p>
        </w:tc>
        <w:tc>
          <w:tcPr>
            <w:tcW w:w="1419" w:type="dxa"/>
            <w:vAlign w:val="center"/>
            <w:textDirection w:val="lrTb"/>
            <w:noWrap w:val="false"/>
          </w:tcPr>
          <w:p>
            <w:pPr>
              <w:jc w:val="center"/>
              <w:keepLines w:val="0"/>
              <w:keepNext w:val="0"/>
              <w:spacing w:line="360" w:lineRule="auto"/>
              <w:widowControl/>
              <w:rPr>
                <w:rFonts w:hint="eastAsia" w:ascii="宋体" w:hAnsi="宋体" w:eastAsia="宋体" w:cs="宋体"/>
                <w:color w:val="auto"/>
                <w:highlight w:val="none"/>
                <w:vertAlign w:val="baseline"/>
              </w:rPr>
              <w:suppressLineNumbers w:val="0"/>
            </w:pPr>
            <w:r>
              <w:rPr>
                <w:rFonts w:hint="eastAsia" w:ascii="宋体" w:hAnsi="宋体" w:eastAsia="宋体" w:cs="宋体"/>
                <w:i w:val="0"/>
                <w:iCs w:val="0"/>
                <w:color w:val="auto"/>
                <w:sz w:val="20"/>
                <w:szCs w:val="20"/>
                <w:highlight w:val="none"/>
                <w:u w:val="none"/>
                <w:lang w:val="en-US" w:eastAsia="zh-CN"/>
              </w:rPr>
              <w:t xml:space="preserve">43560</w:t>
            </w:r>
            <w:r/>
          </w:p>
        </w:tc>
        <w:tc>
          <w:tcPr>
            <w:tcW w:w="2306"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243"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029"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trHeight w:val="680" w:hRule="exact"/>
        </w:trPr>
        <w:tc>
          <w:tcPr>
            <w:tcW w:w="1006" w:type="dxa"/>
            <w:vAlign w:val="center"/>
            <w:textDirection w:val="lrTb"/>
            <w:noWrap w:val="false"/>
          </w:tcPr>
          <w:p>
            <w:pPr>
              <w:jc w:val="center"/>
              <w:keepLines w:val="0"/>
              <w:keepNext w:val="0"/>
              <w:spacing w:line="360" w:lineRule="auto"/>
              <w:widowControl/>
              <w:rPr>
                <w:rFonts w:hint="eastAsia" w:ascii="宋体" w:hAnsi="宋体" w:eastAsia="宋体" w:cs="宋体"/>
                <w:color w:val="auto"/>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rPr>
              <w:t xml:space="preserve">7</w:t>
            </w:r>
            <w:r/>
          </w:p>
        </w:tc>
        <w:tc>
          <w:tcPr>
            <w:tcW w:w="1832" w:type="dxa"/>
            <w:vAlign w:val="center"/>
            <w:textDirection w:val="lrTb"/>
            <w:noWrap w:val="false"/>
          </w:tcPr>
          <w:p>
            <w:pPr>
              <w:jc w:val="center"/>
              <w:keepLines w:val="0"/>
              <w:keepNext w:val="0"/>
              <w:spacing w:line="360" w:lineRule="auto"/>
              <w:widowControl/>
              <w:rPr>
                <w:rFonts w:hint="eastAsia" w:ascii="宋体" w:hAnsi="宋体" w:eastAsia="宋体" w:cs="宋体"/>
                <w:color w:val="auto"/>
                <w:highlight w:val="none"/>
                <w:vertAlign w:val="baseline"/>
              </w:rPr>
              <w:suppressLineNumbers w:val="0"/>
            </w:pPr>
            <w:r>
              <w:rPr>
                <w:rFonts w:hint="eastAsia" w:ascii="宋体" w:hAnsi="宋体" w:eastAsia="宋体" w:cs="宋体"/>
                <w:i w:val="0"/>
                <w:iCs w:val="0"/>
                <w:color w:val="auto"/>
                <w:sz w:val="20"/>
                <w:szCs w:val="20"/>
                <w:highlight w:val="none"/>
                <w:u w:val="none"/>
                <w:lang w:val="en-US" w:eastAsia="zh-CN"/>
              </w:rPr>
              <w:t xml:space="preserve">福裕小区</w:t>
            </w:r>
            <w:r/>
          </w:p>
        </w:tc>
        <w:tc>
          <w:tcPr>
            <w:tcW w:w="1419" w:type="dxa"/>
            <w:vAlign w:val="center"/>
            <w:textDirection w:val="lrTb"/>
            <w:noWrap w:val="false"/>
          </w:tcPr>
          <w:p>
            <w:pPr>
              <w:jc w:val="center"/>
              <w:keepLines w:val="0"/>
              <w:keepNext w:val="0"/>
              <w:spacing w:line="360" w:lineRule="auto"/>
              <w:widowControl/>
              <w:rPr>
                <w:rFonts w:hint="eastAsia" w:ascii="宋体" w:hAnsi="宋体" w:eastAsia="宋体" w:cs="宋体"/>
                <w:color w:val="auto"/>
                <w:highlight w:val="none"/>
                <w:vertAlign w:val="baseline"/>
              </w:rPr>
              <w:suppressLineNumbers w:val="0"/>
            </w:pPr>
            <w:r>
              <w:rPr>
                <w:rFonts w:hint="eastAsia" w:ascii="宋体" w:hAnsi="宋体" w:eastAsia="宋体" w:cs="宋体"/>
                <w:i w:val="0"/>
                <w:iCs w:val="0"/>
                <w:color w:val="auto"/>
                <w:sz w:val="20"/>
                <w:szCs w:val="20"/>
                <w:highlight w:val="none"/>
                <w:u w:val="none"/>
                <w:lang w:val="en-US" w:eastAsia="zh-CN"/>
              </w:rPr>
              <w:t xml:space="preserve">125631</w:t>
            </w:r>
            <w:r/>
          </w:p>
        </w:tc>
        <w:tc>
          <w:tcPr>
            <w:tcW w:w="2306"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243"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029"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trHeight w:val="680" w:hRule="exact"/>
        </w:trPr>
        <w:tc>
          <w:tcPr>
            <w:tcW w:w="1006" w:type="dxa"/>
            <w:vAlign w:val="center"/>
            <w:textDirection w:val="lrTb"/>
            <w:noWrap w:val="false"/>
          </w:tcPr>
          <w:p>
            <w:pPr>
              <w:jc w:val="center"/>
              <w:keepLines w:val="0"/>
              <w:keepNext w:val="0"/>
              <w:spacing w:line="360" w:lineRule="auto"/>
              <w:widowControl/>
              <w:rPr>
                <w:rFonts w:hint="eastAsia" w:ascii="宋体" w:hAnsi="宋体" w:eastAsia="宋体" w:cs="宋体"/>
                <w:color w:val="auto"/>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rPr>
              <w:t xml:space="preserve">8</w:t>
            </w:r>
            <w:r/>
          </w:p>
        </w:tc>
        <w:tc>
          <w:tcPr>
            <w:tcW w:w="1832" w:type="dxa"/>
            <w:vAlign w:val="center"/>
            <w:textDirection w:val="lrTb"/>
            <w:noWrap w:val="false"/>
          </w:tcPr>
          <w:p>
            <w:pPr>
              <w:jc w:val="center"/>
              <w:keepLines w:val="0"/>
              <w:keepNext w:val="0"/>
              <w:spacing w:line="360" w:lineRule="auto"/>
              <w:widowControl/>
              <w:rPr>
                <w:rFonts w:hint="eastAsia" w:ascii="宋体" w:hAnsi="宋体" w:eastAsia="宋体" w:cs="宋体"/>
                <w:color w:val="auto"/>
                <w:highlight w:val="none"/>
                <w:vertAlign w:val="baseline"/>
              </w:rPr>
              <w:suppressLineNumbers w:val="0"/>
            </w:pPr>
            <w:r>
              <w:rPr>
                <w:rFonts w:hint="eastAsia" w:ascii="宋体" w:hAnsi="宋体" w:eastAsia="宋体" w:cs="宋体"/>
                <w:i w:val="0"/>
                <w:iCs w:val="0"/>
                <w:color w:val="auto"/>
                <w:sz w:val="20"/>
                <w:szCs w:val="20"/>
                <w:highlight w:val="none"/>
                <w:u w:val="none"/>
                <w:lang w:val="en-US" w:eastAsia="zh-CN"/>
              </w:rPr>
              <w:t xml:space="preserve">大宇花园南区</w:t>
            </w:r>
            <w:r/>
          </w:p>
        </w:tc>
        <w:tc>
          <w:tcPr>
            <w:tcW w:w="1419" w:type="dxa"/>
            <w:vAlign w:val="center"/>
            <w:textDirection w:val="lrTb"/>
            <w:noWrap w:val="false"/>
          </w:tcPr>
          <w:p>
            <w:pPr>
              <w:jc w:val="center"/>
              <w:keepLines w:val="0"/>
              <w:keepNext w:val="0"/>
              <w:spacing w:line="360" w:lineRule="auto"/>
              <w:widowControl/>
              <w:rPr>
                <w:rFonts w:hint="eastAsia" w:ascii="宋体" w:hAnsi="宋体" w:eastAsia="宋体" w:cs="宋体"/>
                <w:color w:val="auto"/>
                <w:highlight w:val="none"/>
                <w:vertAlign w:val="baseline"/>
              </w:rPr>
              <w:suppressLineNumbers w:val="0"/>
            </w:pPr>
            <w:r>
              <w:rPr>
                <w:rFonts w:hint="eastAsia" w:ascii="宋体" w:hAnsi="宋体" w:eastAsia="宋体" w:cs="宋体"/>
                <w:i w:val="0"/>
                <w:iCs w:val="0"/>
                <w:color w:val="auto"/>
                <w:sz w:val="20"/>
                <w:szCs w:val="20"/>
                <w:highlight w:val="none"/>
                <w:u w:val="none"/>
                <w:lang w:val="en-US" w:eastAsia="zh-CN"/>
              </w:rPr>
              <w:t xml:space="preserve">18600</w:t>
            </w:r>
            <w:r/>
          </w:p>
        </w:tc>
        <w:tc>
          <w:tcPr>
            <w:tcW w:w="2306"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243"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029"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trHeight w:val="680" w:hRule="exact"/>
        </w:trPr>
        <w:tc>
          <w:tcPr>
            <w:tcW w:w="1006" w:type="dxa"/>
            <w:vAlign w:val="center"/>
            <w:textDirection w:val="lrTb"/>
            <w:noWrap w:val="false"/>
          </w:tcPr>
          <w:p>
            <w:pPr>
              <w:jc w:val="center"/>
              <w:keepLines w:val="0"/>
              <w:keepNext w:val="0"/>
              <w:spacing w:line="360" w:lineRule="auto"/>
              <w:widowControl/>
              <w:rPr>
                <w:rFonts w:hint="eastAsia" w:ascii="宋体" w:hAnsi="宋体" w:eastAsia="宋体" w:cs="宋体"/>
                <w:color w:val="auto"/>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rPr>
              <w:t xml:space="preserve">9</w:t>
            </w:r>
            <w:r/>
          </w:p>
        </w:tc>
        <w:tc>
          <w:tcPr>
            <w:tcW w:w="1832" w:type="dxa"/>
            <w:vAlign w:val="center"/>
            <w:textDirection w:val="lrTb"/>
            <w:noWrap w:val="false"/>
          </w:tcPr>
          <w:p>
            <w:pPr>
              <w:jc w:val="center"/>
              <w:keepLines w:val="0"/>
              <w:keepNext w:val="0"/>
              <w:spacing w:line="360" w:lineRule="auto"/>
              <w:widowControl/>
              <w:rPr>
                <w:rFonts w:hint="eastAsia" w:ascii="宋体" w:hAnsi="宋体" w:eastAsia="宋体" w:cs="宋体"/>
                <w:color w:val="auto"/>
                <w:highlight w:val="none"/>
                <w:vertAlign w:val="baseline"/>
              </w:rPr>
              <w:suppressLineNumbers w:val="0"/>
            </w:pPr>
            <w:r>
              <w:rPr>
                <w:rFonts w:hint="eastAsia" w:ascii="宋体" w:hAnsi="宋体" w:eastAsia="宋体" w:cs="宋体"/>
                <w:i w:val="0"/>
                <w:iCs w:val="0"/>
                <w:color w:val="auto"/>
                <w:sz w:val="20"/>
                <w:szCs w:val="20"/>
                <w:highlight w:val="none"/>
                <w:u w:val="none"/>
                <w:lang w:val="en-US" w:eastAsia="zh-CN"/>
              </w:rPr>
              <w:t xml:space="preserve">金鹰雅居（高层）</w:t>
            </w:r>
            <w:r/>
          </w:p>
        </w:tc>
        <w:tc>
          <w:tcPr>
            <w:tcW w:w="1419" w:type="dxa"/>
            <w:vAlign w:val="center"/>
            <w:textDirection w:val="lrTb"/>
            <w:noWrap w:val="false"/>
          </w:tcPr>
          <w:p>
            <w:pPr>
              <w:jc w:val="center"/>
              <w:keepLines w:val="0"/>
              <w:keepNext w:val="0"/>
              <w:spacing w:line="360" w:lineRule="auto"/>
              <w:widowControl/>
              <w:rPr>
                <w:rFonts w:hint="eastAsia" w:ascii="宋体" w:hAnsi="宋体" w:eastAsia="宋体" w:cs="宋体"/>
                <w:color w:val="auto"/>
                <w:highlight w:val="none"/>
                <w:vertAlign w:val="baseline"/>
              </w:rPr>
              <w:suppressLineNumbers w:val="0"/>
            </w:pPr>
            <w:r>
              <w:rPr>
                <w:rFonts w:hint="eastAsia" w:ascii="宋体" w:hAnsi="宋体" w:eastAsia="宋体" w:cs="宋体"/>
                <w:i w:val="0"/>
                <w:iCs w:val="0"/>
                <w:color w:val="auto"/>
                <w:sz w:val="20"/>
                <w:szCs w:val="20"/>
                <w:highlight w:val="none"/>
                <w:u w:val="none"/>
                <w:lang w:val="en-US" w:eastAsia="zh-CN"/>
              </w:rPr>
              <w:t xml:space="preserve">3576</w:t>
            </w:r>
            <w:r/>
          </w:p>
        </w:tc>
        <w:tc>
          <w:tcPr>
            <w:tcW w:w="2306"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243"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029"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trHeight w:val="680" w:hRule="exact"/>
        </w:trPr>
        <w:tc>
          <w:tcPr>
            <w:tcW w:w="1006" w:type="dxa"/>
            <w:vAlign w:val="center"/>
            <w:textDirection w:val="lrTb"/>
            <w:noWrap w:val="false"/>
          </w:tcPr>
          <w:p>
            <w:pPr>
              <w:jc w:val="center"/>
              <w:keepLines w:val="0"/>
              <w:keepNext w:val="0"/>
              <w:spacing w:line="360" w:lineRule="auto"/>
              <w:widowControl/>
              <w:rPr>
                <w:rFonts w:hint="eastAsia" w:ascii="宋体" w:hAnsi="宋体" w:eastAsia="宋体" w:cs="宋体"/>
                <w:color w:val="auto"/>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rPr>
              <w:t xml:space="preserve">10</w:t>
            </w:r>
            <w:r/>
          </w:p>
        </w:tc>
        <w:tc>
          <w:tcPr>
            <w:tcW w:w="1832" w:type="dxa"/>
            <w:vAlign w:val="center"/>
            <w:textDirection w:val="lrTb"/>
            <w:noWrap w:val="false"/>
          </w:tcPr>
          <w:p>
            <w:pPr>
              <w:jc w:val="center"/>
              <w:keepLines w:val="0"/>
              <w:keepNext w:val="0"/>
              <w:spacing w:line="360" w:lineRule="auto"/>
              <w:widowControl/>
              <w:rPr>
                <w:rFonts w:hint="eastAsia" w:ascii="宋体" w:hAnsi="宋体" w:eastAsia="宋体" w:cs="宋体"/>
                <w:color w:val="auto"/>
                <w:highlight w:val="none"/>
                <w:vertAlign w:val="baseline"/>
              </w:rPr>
              <w:suppressLineNumbers w:val="0"/>
            </w:pPr>
            <w:r>
              <w:rPr>
                <w:rFonts w:hint="eastAsia" w:ascii="宋体" w:hAnsi="宋体" w:eastAsia="宋体" w:cs="宋体"/>
                <w:i w:val="0"/>
                <w:iCs w:val="0"/>
                <w:color w:val="auto"/>
                <w:sz w:val="20"/>
                <w:szCs w:val="20"/>
                <w:highlight w:val="none"/>
                <w:u w:val="none"/>
                <w:lang w:val="en-US" w:eastAsia="zh-CN"/>
              </w:rPr>
              <w:t xml:space="preserve">金鹰雅居（多层）</w:t>
            </w:r>
            <w:r/>
          </w:p>
        </w:tc>
        <w:tc>
          <w:tcPr>
            <w:tcW w:w="1419" w:type="dxa"/>
            <w:vAlign w:val="center"/>
            <w:textDirection w:val="lrTb"/>
            <w:noWrap w:val="false"/>
          </w:tcPr>
          <w:p>
            <w:pPr>
              <w:jc w:val="center"/>
              <w:keepLines w:val="0"/>
              <w:keepNext w:val="0"/>
              <w:spacing w:line="360" w:lineRule="auto"/>
              <w:widowControl/>
              <w:rPr>
                <w:rFonts w:hint="eastAsia" w:ascii="宋体" w:hAnsi="宋体" w:eastAsia="宋体" w:cs="宋体"/>
                <w:color w:val="auto"/>
                <w:highlight w:val="none"/>
                <w:vertAlign w:val="baseline"/>
              </w:rPr>
              <w:suppressLineNumbers w:val="0"/>
            </w:pPr>
            <w:r>
              <w:rPr>
                <w:rFonts w:hint="eastAsia" w:ascii="宋体" w:hAnsi="宋体" w:eastAsia="宋体" w:cs="宋体"/>
                <w:i w:val="0"/>
                <w:iCs w:val="0"/>
                <w:color w:val="auto"/>
                <w:sz w:val="20"/>
                <w:szCs w:val="20"/>
                <w:highlight w:val="none"/>
                <w:u w:val="none"/>
                <w:lang w:val="en-US" w:eastAsia="zh-CN"/>
              </w:rPr>
              <w:t xml:space="preserve">3024</w:t>
            </w:r>
            <w:r/>
          </w:p>
        </w:tc>
        <w:tc>
          <w:tcPr>
            <w:tcW w:w="2306"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243"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029"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trHeight w:val="680" w:hRule="exact"/>
        </w:trPr>
        <w:tc>
          <w:tcPr>
            <w:tcW w:w="1006" w:type="dxa"/>
            <w:vAlign w:val="center"/>
            <w:textDirection w:val="lrTb"/>
            <w:noWrap w:val="false"/>
          </w:tcPr>
          <w:p>
            <w:pPr>
              <w:jc w:val="center"/>
              <w:keepLines w:val="0"/>
              <w:keepNext w:val="0"/>
              <w:spacing w:line="360" w:lineRule="auto"/>
              <w:widowControl/>
              <w:rPr>
                <w:rFonts w:hint="eastAsia" w:ascii="宋体" w:hAnsi="宋体" w:eastAsia="宋体" w:cs="宋体"/>
                <w:color w:val="auto"/>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rPr>
              <w:t xml:space="preserve">11</w:t>
            </w:r>
            <w:r/>
          </w:p>
        </w:tc>
        <w:tc>
          <w:tcPr>
            <w:tcW w:w="1832" w:type="dxa"/>
            <w:vAlign w:val="center"/>
            <w:textDirection w:val="lrTb"/>
            <w:noWrap w:val="false"/>
          </w:tcPr>
          <w:p>
            <w:pPr>
              <w:jc w:val="center"/>
              <w:keepLines w:val="0"/>
              <w:keepNext w:val="0"/>
              <w:spacing w:line="360" w:lineRule="auto"/>
              <w:widowControl/>
              <w:rPr>
                <w:rFonts w:hint="eastAsia" w:ascii="宋体" w:hAnsi="宋体" w:eastAsia="宋体" w:cs="宋体"/>
                <w:color w:val="auto"/>
                <w:highlight w:val="none"/>
                <w:vertAlign w:val="baseline"/>
              </w:rPr>
              <w:suppressLineNumbers w:val="0"/>
            </w:pPr>
            <w:r>
              <w:rPr>
                <w:rFonts w:hint="eastAsia" w:ascii="宋体" w:hAnsi="宋体" w:eastAsia="宋体" w:cs="宋体"/>
                <w:i w:val="0"/>
                <w:iCs w:val="0"/>
                <w:color w:val="auto"/>
                <w:sz w:val="20"/>
                <w:szCs w:val="20"/>
                <w:highlight w:val="none"/>
                <w:u w:val="none"/>
                <w:lang w:val="en-US" w:eastAsia="zh-CN"/>
              </w:rPr>
              <w:t xml:space="preserve">娱乐公寓</w:t>
            </w:r>
            <w:r/>
          </w:p>
        </w:tc>
        <w:tc>
          <w:tcPr>
            <w:tcW w:w="1419" w:type="dxa"/>
            <w:vAlign w:val="center"/>
            <w:textDirection w:val="lrTb"/>
            <w:noWrap w:val="false"/>
          </w:tcPr>
          <w:p>
            <w:pPr>
              <w:jc w:val="center"/>
              <w:keepLines w:val="0"/>
              <w:keepNext w:val="0"/>
              <w:spacing w:line="360" w:lineRule="auto"/>
              <w:widowControl/>
              <w:rPr>
                <w:rFonts w:hint="eastAsia" w:ascii="宋体" w:hAnsi="宋体" w:eastAsia="宋体" w:cs="宋体"/>
                <w:color w:val="auto"/>
                <w:highlight w:val="none"/>
                <w:vertAlign w:val="baseline"/>
              </w:rPr>
              <w:suppressLineNumbers w:val="0"/>
            </w:pPr>
            <w:r>
              <w:rPr>
                <w:rFonts w:hint="eastAsia" w:ascii="宋体" w:hAnsi="宋体" w:eastAsia="宋体" w:cs="宋体"/>
                <w:i w:val="0"/>
                <w:iCs w:val="0"/>
                <w:color w:val="auto"/>
                <w:sz w:val="20"/>
                <w:szCs w:val="20"/>
                <w:highlight w:val="none"/>
                <w:u w:val="none"/>
                <w:lang w:val="en-US" w:eastAsia="zh-CN"/>
              </w:rPr>
              <w:t xml:space="preserve">20000</w:t>
            </w:r>
            <w:r/>
          </w:p>
        </w:tc>
        <w:tc>
          <w:tcPr>
            <w:tcW w:w="2306"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243"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029"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trHeight w:val="680" w:hRule="exact"/>
        </w:trPr>
        <w:tc>
          <w:tcPr>
            <w:tcW w:w="1006" w:type="dxa"/>
            <w:vAlign w:val="center"/>
            <w:textDirection w:val="lrTb"/>
            <w:noWrap w:val="false"/>
          </w:tcPr>
          <w:p>
            <w:pPr>
              <w:jc w:val="center"/>
              <w:keepLines w:val="0"/>
              <w:keepNext w:val="0"/>
              <w:spacing w:line="360" w:lineRule="auto"/>
              <w:widowControl/>
              <w:rPr>
                <w:rFonts w:hint="eastAsia" w:ascii="宋体" w:hAnsi="宋体" w:eastAsia="宋体" w:cs="宋体"/>
                <w:color w:val="auto"/>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rPr>
              <w:t xml:space="preserve">12</w:t>
            </w:r>
            <w:r/>
          </w:p>
        </w:tc>
        <w:tc>
          <w:tcPr>
            <w:tcW w:w="1832" w:type="dxa"/>
            <w:vAlign w:val="center"/>
            <w:textDirection w:val="lrTb"/>
            <w:noWrap w:val="false"/>
          </w:tcPr>
          <w:p>
            <w:pPr>
              <w:jc w:val="center"/>
              <w:keepLines w:val="0"/>
              <w:keepNext w:val="0"/>
              <w:spacing w:line="360" w:lineRule="auto"/>
              <w:widowControl/>
              <w:rPr>
                <w:rFonts w:hint="eastAsia" w:ascii="宋体" w:hAnsi="宋体" w:eastAsia="宋体" w:cs="宋体"/>
                <w:color w:val="auto"/>
                <w:highlight w:val="none"/>
                <w:vertAlign w:val="baseline"/>
              </w:rPr>
              <w:suppressLineNumbers w:val="0"/>
            </w:pPr>
            <w:r>
              <w:rPr>
                <w:rFonts w:hint="eastAsia" w:ascii="宋体" w:hAnsi="宋体" w:eastAsia="宋体" w:cs="宋体"/>
                <w:i w:val="0"/>
                <w:iCs w:val="0"/>
                <w:color w:val="auto"/>
                <w:sz w:val="20"/>
                <w:szCs w:val="20"/>
                <w:highlight w:val="none"/>
                <w:u w:val="none"/>
                <w:lang w:val="en-US" w:eastAsia="zh-CN"/>
              </w:rPr>
              <w:t xml:space="preserve">娱乐商业街</w:t>
            </w:r>
            <w:r/>
          </w:p>
        </w:tc>
        <w:tc>
          <w:tcPr>
            <w:tcW w:w="1419" w:type="dxa"/>
            <w:vAlign w:val="center"/>
            <w:textDirection w:val="lrTb"/>
            <w:noWrap w:val="false"/>
          </w:tcPr>
          <w:p>
            <w:pPr>
              <w:jc w:val="center"/>
              <w:keepLines w:val="0"/>
              <w:keepNext w:val="0"/>
              <w:spacing w:line="360" w:lineRule="auto"/>
              <w:widowControl/>
              <w:rPr>
                <w:rFonts w:hint="eastAsia" w:ascii="宋体" w:hAnsi="宋体" w:eastAsia="宋体" w:cs="宋体"/>
                <w:color w:val="auto"/>
                <w:highlight w:val="none"/>
                <w:vertAlign w:val="baseline"/>
              </w:rPr>
              <w:suppressLineNumbers w:val="0"/>
            </w:pPr>
            <w:r>
              <w:rPr>
                <w:rFonts w:hint="eastAsia" w:ascii="宋体" w:hAnsi="宋体" w:eastAsia="宋体" w:cs="宋体"/>
                <w:i w:val="0"/>
                <w:iCs w:val="0"/>
                <w:color w:val="auto"/>
                <w:sz w:val="20"/>
                <w:szCs w:val="20"/>
                <w:highlight w:val="none"/>
                <w:u w:val="none"/>
                <w:lang w:val="en-US" w:eastAsia="zh-CN"/>
              </w:rPr>
              <w:t xml:space="preserve">30000</w:t>
            </w:r>
            <w:r/>
          </w:p>
        </w:tc>
        <w:tc>
          <w:tcPr>
            <w:tcW w:w="2306"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243"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029"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trHeight w:val="680" w:hRule="exact"/>
        </w:trPr>
        <w:tc>
          <w:tcPr>
            <w:tcW w:w="1006" w:type="dxa"/>
            <w:vAlign w:val="center"/>
            <w:textDirection w:val="lrTb"/>
            <w:noWrap w:val="false"/>
          </w:tcPr>
          <w:p>
            <w:pPr>
              <w:jc w:val="center"/>
              <w:keepLines w:val="0"/>
              <w:keepNext w:val="0"/>
              <w:spacing w:line="360" w:lineRule="auto"/>
              <w:widowControl/>
              <w:rPr>
                <w:rFonts w:hint="eastAsia" w:ascii="宋体" w:hAnsi="宋体" w:eastAsia="宋体" w:cs="宋体"/>
                <w:color w:val="auto"/>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rPr>
              <w:t xml:space="preserve">13</w:t>
            </w:r>
            <w:r/>
          </w:p>
        </w:tc>
        <w:tc>
          <w:tcPr>
            <w:tcW w:w="1832" w:type="dxa"/>
            <w:vAlign w:val="center"/>
            <w:textDirection w:val="lrTb"/>
            <w:noWrap w:val="false"/>
          </w:tcPr>
          <w:p>
            <w:pPr>
              <w:jc w:val="center"/>
              <w:keepLines w:val="0"/>
              <w:keepNext w:val="0"/>
              <w:spacing w:line="360" w:lineRule="auto"/>
              <w:widowControl/>
              <w:rPr>
                <w:rFonts w:hint="eastAsia" w:ascii="宋体" w:hAnsi="宋体" w:eastAsia="宋体" w:cs="宋体"/>
                <w:color w:val="auto"/>
                <w:highlight w:val="none"/>
                <w:vertAlign w:val="baseline"/>
              </w:rPr>
              <w:suppressLineNumbers w:val="0"/>
            </w:pPr>
            <w:r>
              <w:rPr>
                <w:rFonts w:hint="eastAsia" w:ascii="宋体" w:hAnsi="宋体" w:eastAsia="宋体" w:cs="宋体"/>
                <w:i w:val="0"/>
                <w:iCs w:val="0"/>
                <w:color w:val="auto"/>
                <w:sz w:val="20"/>
                <w:szCs w:val="20"/>
                <w:highlight w:val="none"/>
                <w:u w:val="none"/>
                <w:lang w:val="en-US" w:eastAsia="zh-CN"/>
              </w:rPr>
              <w:t xml:space="preserve">吉祥综合楼</w:t>
            </w:r>
            <w:r/>
          </w:p>
        </w:tc>
        <w:tc>
          <w:tcPr>
            <w:tcW w:w="1419" w:type="dxa"/>
            <w:vAlign w:val="center"/>
            <w:textDirection w:val="lrTb"/>
            <w:noWrap w:val="false"/>
          </w:tcPr>
          <w:p>
            <w:pPr>
              <w:jc w:val="center"/>
              <w:keepLines w:val="0"/>
              <w:keepNext w:val="0"/>
              <w:spacing w:line="360" w:lineRule="auto"/>
              <w:widowControl/>
              <w:rPr>
                <w:rFonts w:hint="eastAsia" w:ascii="宋体" w:hAnsi="宋体" w:eastAsia="宋体" w:cs="宋体"/>
                <w:color w:val="auto"/>
                <w:highlight w:val="none"/>
                <w:vertAlign w:val="baseline"/>
              </w:rPr>
              <w:suppressLineNumbers w:val="0"/>
            </w:pPr>
            <w:r>
              <w:rPr>
                <w:rFonts w:hint="eastAsia" w:ascii="宋体" w:hAnsi="宋体" w:eastAsia="宋体" w:cs="宋体"/>
                <w:i w:val="0"/>
                <w:iCs w:val="0"/>
                <w:color w:val="auto"/>
                <w:sz w:val="20"/>
                <w:szCs w:val="20"/>
                <w:highlight w:val="none"/>
                <w:u w:val="none"/>
                <w:lang w:val="en-US" w:eastAsia="zh-CN"/>
              </w:rPr>
              <w:t xml:space="preserve">5939</w:t>
            </w:r>
            <w:r/>
          </w:p>
        </w:tc>
        <w:tc>
          <w:tcPr>
            <w:tcW w:w="2306"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243"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029"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trHeight w:val="680" w:hRule="exact"/>
        </w:trPr>
        <w:tc>
          <w:tcPr>
            <w:tcW w:w="1006" w:type="dxa"/>
            <w:vAlign w:val="center"/>
            <w:textDirection w:val="lrTb"/>
            <w:noWrap w:val="false"/>
          </w:tcPr>
          <w:p>
            <w:pPr>
              <w:jc w:val="center"/>
              <w:keepLines w:val="0"/>
              <w:keepNext w:val="0"/>
              <w:spacing w:line="360" w:lineRule="auto"/>
              <w:widowControl/>
              <w:rPr>
                <w:rFonts w:hint="eastAsia" w:ascii="宋体" w:hAnsi="宋体" w:eastAsia="宋体" w:cs="宋体"/>
                <w:color w:val="auto"/>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rPr>
              <w:t xml:space="preserve">14</w:t>
            </w:r>
            <w:r/>
          </w:p>
        </w:tc>
        <w:tc>
          <w:tcPr>
            <w:tcW w:w="1832" w:type="dxa"/>
            <w:vAlign w:val="center"/>
            <w:textDirection w:val="lrTb"/>
            <w:noWrap w:val="false"/>
          </w:tcPr>
          <w:p>
            <w:pPr>
              <w:jc w:val="center"/>
              <w:keepLines w:val="0"/>
              <w:keepNext w:val="0"/>
              <w:spacing w:line="360" w:lineRule="auto"/>
              <w:widowControl/>
              <w:rPr>
                <w:rFonts w:hint="eastAsia" w:ascii="宋体" w:hAnsi="宋体" w:eastAsia="宋体" w:cs="宋体"/>
                <w:color w:val="auto"/>
                <w:highlight w:val="none"/>
                <w:vertAlign w:val="baseline"/>
              </w:rPr>
              <w:suppressLineNumbers w:val="0"/>
            </w:pPr>
            <w:r>
              <w:rPr>
                <w:rStyle w:val="884"/>
                <w:rFonts w:hint="eastAsia" w:ascii="宋体" w:hAnsi="宋体" w:eastAsia="宋体" w:cs="宋体"/>
                <w:color w:val="auto"/>
                <w:highlight w:val="none"/>
                <w:lang w:val="en-US" w:eastAsia="zh-CN"/>
              </w:rPr>
              <w:t xml:space="preserve">农贸小区</w:t>
            </w:r>
            <w:r/>
          </w:p>
        </w:tc>
        <w:tc>
          <w:tcPr>
            <w:tcW w:w="1419" w:type="dxa"/>
            <w:vAlign w:val="center"/>
            <w:textDirection w:val="lrTb"/>
            <w:noWrap w:val="false"/>
          </w:tcPr>
          <w:p>
            <w:pPr>
              <w:jc w:val="center"/>
              <w:keepLines w:val="0"/>
              <w:keepNext w:val="0"/>
              <w:spacing w:line="360" w:lineRule="auto"/>
              <w:widowControl/>
              <w:rPr>
                <w:rFonts w:hint="eastAsia" w:ascii="宋体" w:hAnsi="宋体" w:eastAsia="宋体" w:cs="宋体"/>
                <w:color w:val="auto"/>
                <w:highlight w:val="none"/>
                <w:vertAlign w:val="baseline"/>
              </w:rPr>
              <w:suppressLineNumbers w:val="0"/>
            </w:pPr>
            <w:r>
              <w:rPr>
                <w:rFonts w:hint="eastAsia" w:ascii="宋体" w:hAnsi="宋体" w:eastAsia="宋体" w:cs="宋体"/>
                <w:i w:val="0"/>
                <w:iCs w:val="0"/>
                <w:color w:val="auto"/>
                <w:sz w:val="20"/>
                <w:szCs w:val="20"/>
                <w:highlight w:val="none"/>
                <w:u w:val="none"/>
                <w:lang w:val="en-US" w:eastAsia="zh-CN"/>
              </w:rPr>
              <w:t xml:space="preserve">20000</w:t>
            </w:r>
            <w:r/>
          </w:p>
        </w:tc>
        <w:tc>
          <w:tcPr>
            <w:tcW w:w="2306"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243"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029"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trHeight w:val="680" w:hRule="exact"/>
        </w:trPr>
        <w:tc>
          <w:tcPr>
            <w:tcW w:w="1006" w:type="dxa"/>
            <w:vAlign w:val="center"/>
            <w:textDirection w:val="lrTb"/>
            <w:noWrap w:val="false"/>
          </w:tcPr>
          <w:p>
            <w:pPr>
              <w:jc w:val="center"/>
              <w:keepLines w:val="0"/>
              <w:keepNext w:val="0"/>
              <w:spacing w:line="360" w:lineRule="auto"/>
              <w:widowControl/>
              <w:rPr>
                <w:rFonts w:hint="eastAsia" w:ascii="宋体" w:hAnsi="宋体" w:eastAsia="宋体" w:cs="宋体"/>
                <w:color w:val="auto"/>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rPr>
              <w:t xml:space="preserve">15</w:t>
            </w:r>
            <w:r/>
          </w:p>
        </w:tc>
        <w:tc>
          <w:tcPr>
            <w:tcW w:w="1832" w:type="dxa"/>
            <w:vAlign w:val="center"/>
            <w:textDirection w:val="lrTb"/>
            <w:noWrap w:val="false"/>
          </w:tcPr>
          <w:p>
            <w:pPr>
              <w:jc w:val="center"/>
              <w:keepLines w:val="0"/>
              <w:keepNext w:val="0"/>
              <w:spacing w:line="360" w:lineRule="auto"/>
              <w:widowControl/>
              <w:rPr>
                <w:rFonts w:hint="eastAsia" w:ascii="宋体" w:hAnsi="宋体" w:eastAsia="宋体" w:cs="宋体"/>
                <w:color w:val="auto"/>
                <w:highlight w:val="none"/>
                <w:vertAlign w:val="baseline"/>
              </w:rPr>
              <w:suppressLineNumbers w:val="0"/>
            </w:pPr>
            <w:r>
              <w:rPr>
                <w:rStyle w:val="884"/>
                <w:rFonts w:hint="eastAsia" w:ascii="宋体" w:hAnsi="宋体" w:eastAsia="宋体" w:cs="宋体"/>
                <w:color w:val="auto"/>
                <w:highlight w:val="none"/>
                <w:lang w:val="en-US" w:eastAsia="zh-CN"/>
              </w:rPr>
              <w:t xml:space="preserve">高登建设组团</w:t>
            </w:r>
            <w:r/>
          </w:p>
        </w:tc>
        <w:tc>
          <w:tcPr>
            <w:tcW w:w="1419" w:type="dxa"/>
            <w:vAlign w:val="center"/>
            <w:textDirection w:val="lrTb"/>
            <w:noWrap w:val="false"/>
          </w:tcPr>
          <w:p>
            <w:pPr>
              <w:jc w:val="center"/>
              <w:keepLines w:val="0"/>
              <w:keepNext w:val="0"/>
              <w:spacing w:line="360" w:lineRule="auto"/>
              <w:widowControl/>
              <w:rPr>
                <w:rFonts w:hint="eastAsia" w:ascii="宋体" w:hAnsi="宋体" w:eastAsia="宋体" w:cs="宋体"/>
                <w:color w:val="auto"/>
                <w:highlight w:val="none"/>
                <w:vertAlign w:val="baseline"/>
              </w:rPr>
              <w:suppressLineNumbers w:val="0"/>
            </w:pPr>
            <w:r>
              <w:rPr>
                <w:rFonts w:hint="eastAsia" w:ascii="宋体" w:hAnsi="宋体" w:eastAsia="宋体" w:cs="宋体"/>
                <w:i w:val="0"/>
                <w:iCs w:val="0"/>
                <w:color w:val="auto"/>
                <w:sz w:val="20"/>
                <w:szCs w:val="20"/>
                <w:highlight w:val="none"/>
                <w:u w:val="none"/>
                <w:lang w:val="en-US" w:eastAsia="zh-CN"/>
              </w:rPr>
              <w:t xml:space="preserve">25000</w:t>
            </w:r>
            <w:r/>
          </w:p>
        </w:tc>
        <w:tc>
          <w:tcPr>
            <w:tcW w:w="2306"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243"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029"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trHeight w:val="680" w:hRule="exact"/>
        </w:trPr>
        <w:tc>
          <w:tcPr>
            <w:tcW w:w="1006" w:type="dxa"/>
            <w:vAlign w:val="center"/>
            <w:textDirection w:val="lrTb"/>
            <w:noWrap w:val="false"/>
          </w:tcPr>
          <w:p>
            <w:pPr>
              <w:jc w:val="center"/>
              <w:keepLines w:val="0"/>
              <w:keepNext w:val="0"/>
              <w:spacing w:line="360" w:lineRule="auto"/>
              <w:widowControl/>
              <w:rPr>
                <w:rFonts w:hint="eastAsia" w:ascii="宋体" w:hAnsi="宋体" w:eastAsia="宋体" w:cs="宋体"/>
                <w:color w:val="auto"/>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rPr>
              <w:t xml:space="preserve">16</w:t>
            </w:r>
            <w:r/>
          </w:p>
        </w:tc>
        <w:tc>
          <w:tcPr>
            <w:tcW w:w="1832" w:type="dxa"/>
            <w:vAlign w:val="center"/>
            <w:textDirection w:val="lrTb"/>
            <w:noWrap w:val="false"/>
          </w:tcPr>
          <w:p>
            <w:pPr>
              <w:jc w:val="center"/>
              <w:keepLines w:val="0"/>
              <w:keepNext w:val="0"/>
              <w:spacing w:line="360" w:lineRule="auto"/>
              <w:widowControl/>
              <w:rPr>
                <w:rFonts w:hint="eastAsia" w:ascii="宋体" w:hAnsi="宋体" w:eastAsia="宋体" w:cs="宋体"/>
                <w:color w:val="auto"/>
                <w:highlight w:val="none"/>
                <w:vertAlign w:val="baseline"/>
              </w:rPr>
              <w:suppressLineNumbers w:val="0"/>
            </w:pPr>
            <w:r>
              <w:rPr>
                <w:rStyle w:val="884"/>
                <w:rFonts w:hint="eastAsia" w:ascii="宋体" w:hAnsi="宋体" w:eastAsia="宋体" w:cs="宋体"/>
                <w:color w:val="auto"/>
                <w:highlight w:val="none"/>
                <w:lang w:val="en-US" w:eastAsia="zh-CN"/>
              </w:rPr>
              <w:t xml:space="preserve">热电厂家属区</w:t>
            </w:r>
            <w:r/>
          </w:p>
        </w:tc>
        <w:tc>
          <w:tcPr>
            <w:tcW w:w="1419" w:type="dxa"/>
            <w:vAlign w:val="center"/>
            <w:textDirection w:val="lrTb"/>
            <w:noWrap w:val="false"/>
          </w:tcPr>
          <w:p>
            <w:pPr>
              <w:jc w:val="center"/>
              <w:keepLines w:val="0"/>
              <w:keepNext w:val="0"/>
              <w:spacing w:line="360" w:lineRule="auto"/>
              <w:widowControl/>
              <w:rPr>
                <w:rFonts w:hint="eastAsia" w:ascii="宋体" w:hAnsi="宋体" w:eastAsia="宋体" w:cs="宋体"/>
                <w:color w:val="auto"/>
                <w:highlight w:val="none"/>
                <w:vertAlign w:val="baseline"/>
              </w:rPr>
              <w:suppressLineNumbers w:val="0"/>
            </w:pPr>
            <w:r>
              <w:rPr>
                <w:rFonts w:hint="eastAsia" w:ascii="宋体" w:hAnsi="宋体" w:eastAsia="宋体" w:cs="宋体"/>
                <w:i w:val="0"/>
                <w:iCs w:val="0"/>
                <w:color w:val="auto"/>
                <w:sz w:val="20"/>
                <w:szCs w:val="20"/>
                <w:highlight w:val="none"/>
                <w:u w:val="none"/>
                <w:lang w:val="en-US" w:eastAsia="zh-CN"/>
              </w:rPr>
              <w:t xml:space="preserve">20000</w:t>
            </w:r>
            <w:r/>
          </w:p>
        </w:tc>
        <w:tc>
          <w:tcPr>
            <w:tcW w:w="2306"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243"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029"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trHeight w:val="680" w:hRule="exact"/>
        </w:trPr>
        <w:tc>
          <w:tcPr>
            <w:tcW w:w="1006" w:type="dxa"/>
            <w:vAlign w:val="center"/>
            <w:textDirection w:val="lrTb"/>
            <w:noWrap w:val="false"/>
          </w:tcPr>
          <w:p>
            <w:pPr>
              <w:jc w:val="center"/>
              <w:keepLines w:val="0"/>
              <w:keepNext w:val="0"/>
              <w:spacing w:line="360" w:lineRule="auto"/>
              <w:widowControl/>
              <w:rPr>
                <w:rFonts w:hint="eastAsia" w:ascii="宋体" w:hAnsi="宋体" w:eastAsia="宋体" w:cs="宋体"/>
                <w:color w:val="auto"/>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rPr>
              <w:t xml:space="preserve">17</w:t>
            </w:r>
            <w:r/>
          </w:p>
        </w:tc>
        <w:tc>
          <w:tcPr>
            <w:tcW w:w="1832" w:type="dxa"/>
            <w:vAlign w:val="center"/>
            <w:textDirection w:val="lrTb"/>
            <w:noWrap w:val="false"/>
          </w:tcPr>
          <w:p>
            <w:pPr>
              <w:jc w:val="center"/>
              <w:keepLines w:val="0"/>
              <w:keepNext w:val="0"/>
              <w:spacing w:line="360" w:lineRule="auto"/>
              <w:widowControl/>
              <w:rPr>
                <w:rFonts w:hint="eastAsia" w:ascii="宋体" w:hAnsi="宋体" w:eastAsia="宋体" w:cs="宋体"/>
                <w:color w:val="auto"/>
                <w:highlight w:val="none"/>
                <w:vertAlign w:val="baseline"/>
              </w:rPr>
              <w:suppressLineNumbers w:val="0"/>
            </w:pPr>
            <w:r>
              <w:rPr>
                <w:rStyle w:val="884"/>
                <w:rFonts w:hint="eastAsia" w:ascii="宋体" w:hAnsi="宋体" w:eastAsia="宋体" w:cs="宋体"/>
                <w:color w:val="auto"/>
                <w:highlight w:val="none"/>
                <w:lang w:val="en-US" w:eastAsia="zh-CN"/>
              </w:rPr>
              <w:t xml:space="preserve">油脂厂家属区</w:t>
            </w:r>
            <w:r/>
          </w:p>
        </w:tc>
        <w:tc>
          <w:tcPr>
            <w:tcW w:w="1419" w:type="dxa"/>
            <w:vAlign w:val="center"/>
            <w:textDirection w:val="lrTb"/>
            <w:noWrap w:val="false"/>
          </w:tcPr>
          <w:p>
            <w:pPr>
              <w:jc w:val="center"/>
              <w:keepLines w:val="0"/>
              <w:keepNext w:val="0"/>
              <w:spacing w:line="360" w:lineRule="auto"/>
              <w:widowControl/>
              <w:rPr>
                <w:rFonts w:hint="eastAsia" w:ascii="宋体" w:hAnsi="宋体" w:eastAsia="宋体" w:cs="宋体"/>
                <w:color w:val="auto"/>
                <w:highlight w:val="none"/>
                <w:vertAlign w:val="baseline"/>
              </w:rPr>
              <w:suppressLineNumbers w:val="0"/>
            </w:pPr>
            <w:r>
              <w:rPr>
                <w:rFonts w:hint="eastAsia" w:ascii="宋体" w:hAnsi="宋体" w:eastAsia="宋体" w:cs="宋体"/>
                <w:i w:val="0"/>
                <w:iCs w:val="0"/>
                <w:color w:val="auto"/>
                <w:sz w:val="20"/>
                <w:szCs w:val="20"/>
                <w:highlight w:val="none"/>
                <w:u w:val="none"/>
                <w:lang w:val="en-US" w:eastAsia="zh-CN"/>
              </w:rPr>
              <w:t xml:space="preserve">6000</w:t>
            </w:r>
            <w:r/>
          </w:p>
        </w:tc>
        <w:tc>
          <w:tcPr>
            <w:tcW w:w="2306"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243"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029"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trHeight w:val="680" w:hRule="exact"/>
        </w:trPr>
        <w:tc>
          <w:tcPr>
            <w:tcW w:w="1006"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4"/>
                <w:highlight w:val="none"/>
                <w:vertAlign w:val="baseli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rPr>
              <w:t xml:space="preserve">18</w:t>
            </w:r>
            <w:r/>
          </w:p>
        </w:tc>
        <w:tc>
          <w:tcPr>
            <w:tcW w:w="1832"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4"/>
                <w:highlight w:val="none"/>
                <w:vertAlign w:val="baseline"/>
                <w:lang w:val="en-US" w:eastAsia="zh-CN" w:bidi="ar-SA"/>
              </w:rPr>
              <w:suppressLineNumbers w:val="0"/>
            </w:pPr>
            <w:r>
              <w:rPr>
                <w:rStyle w:val="884"/>
                <w:rFonts w:hint="eastAsia" w:ascii="宋体" w:hAnsi="宋体" w:eastAsia="宋体" w:cs="宋体"/>
                <w:color w:val="auto"/>
                <w:highlight w:val="none"/>
                <w:lang w:val="en-US" w:eastAsia="zh-CN"/>
              </w:rPr>
              <w:t xml:space="preserve">成华学校家属区</w:t>
            </w:r>
            <w:r/>
          </w:p>
        </w:tc>
        <w:tc>
          <w:tcPr>
            <w:tcW w:w="1419"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4"/>
                <w:highlight w:val="none"/>
                <w:vertAlign w:val="baseli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rPr>
              <w:t xml:space="preserve">6129</w:t>
            </w:r>
            <w:r/>
          </w:p>
        </w:tc>
        <w:tc>
          <w:tcPr>
            <w:tcW w:w="2306"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c>
          <w:tcPr>
            <w:tcW w:w="1243"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c>
          <w:tcPr>
            <w:tcW w:w="1029"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r>
      <w:tr>
        <w:trPr>
          <w:trHeight w:val="680" w:hRule="exact"/>
        </w:trPr>
        <w:tc>
          <w:tcPr>
            <w:tcW w:w="1006" w:type="dxa"/>
            <w:vAlign w:val="center"/>
            <w:textDirection w:val="lrTb"/>
            <w:noWrap w:val="false"/>
          </w:tcPr>
          <w:p>
            <w:pPr>
              <w:jc w:val="center"/>
              <w:keepLines w:val="0"/>
              <w:keepNext w:val="0"/>
              <w:spacing w:line="360" w:lineRule="auto"/>
              <w:widowControl/>
              <w:rPr>
                <w:rFonts w:ascii="宋体" w:hAnsi="宋体" w:eastAsia="宋体" w:cs="宋体"/>
                <w:color w:val="auto"/>
                <w:highlight w:val="none"/>
                <w:vertAlign w:val="baseline"/>
                <w:lang w:val="en-US" w:eastAsia="zh-CN"/>
              </w:rPr>
              <w:suppressLineNumbers w:val="0"/>
            </w:pPr>
            <w:r>
              <w:rPr>
                <w:rFonts w:hint="eastAsia" w:ascii="宋体" w:hAnsi="宋体" w:eastAsia="宋体" w:cs="宋体"/>
                <w:color w:val="auto"/>
                <w:highlight w:val="none"/>
                <w:vertAlign w:val="baseline"/>
                <w:lang w:val="en-US" w:eastAsia="zh-CN"/>
              </w:rPr>
              <w:t xml:space="preserve">19</w:t>
            </w:r>
            <w:r/>
          </w:p>
        </w:tc>
        <w:tc>
          <w:tcPr>
            <w:tcW w:w="1832" w:type="dxa"/>
            <w:vAlign w:val="center"/>
            <w:textDirection w:val="lrTb"/>
            <w:noWrap w:val="false"/>
          </w:tcPr>
          <w:p>
            <w:pPr>
              <w:jc w:val="center"/>
              <w:keepLines w:val="0"/>
              <w:keepNext w:val="0"/>
              <w:spacing w:line="360" w:lineRule="auto"/>
              <w:widowControl/>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highlight w:val="none"/>
                <w:lang w:val="en-US" w:eastAsia="zh-CN"/>
              </w:rPr>
              <w:t xml:space="preserve">公用水电费</w:t>
            </w:r>
            <w:r/>
          </w:p>
        </w:tc>
        <w:tc>
          <w:tcPr>
            <w:tcW w:w="141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rPr>
              <w:t xml:space="preserve">658948.94</w:t>
            </w:r>
            <w:r/>
          </w:p>
        </w:tc>
        <w:tc>
          <w:tcPr>
            <w:tcW w:w="2306" w:type="dxa"/>
            <w:vAlign w:val="center"/>
            <w:textDirection w:val="lrTb"/>
            <w:noWrap w:val="false"/>
          </w:tcPr>
          <w:p>
            <w:pPr>
              <w:pStyle w:val="734"/>
              <w:ind w:right="-932"/>
              <w:jc w:val="both"/>
              <w:spacing w:beforeAutospacing="0" w:afterAutospacing="0" w:line="360" w:lineRule="auto"/>
              <w:rPr>
                <w:rFonts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0.05</w:t>
            </w:r>
            <w:r>
              <w:rPr>
                <w:rFonts w:hint="eastAsia" w:ascii="宋体" w:hAnsi="宋体" w:eastAsia="宋体" w:cs="宋体"/>
                <w:color w:val="auto"/>
                <w:highlight w:val="none"/>
                <w:lang w:val="en-US" w:eastAsia="zh-CN"/>
              </w:rPr>
              <w:t xml:space="preserve">元/月*12月</w:t>
            </w:r>
            <w:r/>
          </w:p>
        </w:tc>
        <w:tc>
          <w:tcPr>
            <w:tcW w:w="1243"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029"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trHeight w:val="680" w:hRule="exact"/>
        </w:trPr>
        <w:tc>
          <w:tcPr>
            <w:tcW w:w="1006" w:type="dxa"/>
            <w:vAlign w:val="center"/>
            <w:textDirection w:val="lrTb"/>
            <w:noWrap w:val="false"/>
          </w:tcPr>
          <w:p>
            <w:pPr>
              <w:jc w:val="center"/>
              <w:keepLines w:val="0"/>
              <w:keepNext w:val="0"/>
              <w:spacing w:line="360" w:lineRule="auto"/>
              <w:widowControl/>
              <w:rPr>
                <w:rFonts w:ascii="宋体" w:hAnsi="宋体" w:eastAsia="宋体" w:cs="宋体"/>
                <w:color w:val="auto"/>
                <w:highlight w:val="none"/>
                <w:vertAlign w:val="baseline"/>
                <w:lang w:val="en-US" w:eastAsia="zh-CN"/>
              </w:rPr>
              <w:suppressLineNumbers w:val="0"/>
            </w:pPr>
            <w:r>
              <w:rPr>
                <w:rFonts w:hint="eastAsia" w:ascii="宋体" w:hAnsi="宋体" w:eastAsia="宋体" w:cs="宋体"/>
                <w:color w:val="auto"/>
                <w:highlight w:val="none"/>
                <w:vertAlign w:val="baseline"/>
                <w:lang w:val="en-US" w:eastAsia="zh-CN"/>
              </w:rPr>
              <w:t xml:space="preserve">20</w:t>
            </w:r>
            <w:r/>
          </w:p>
        </w:tc>
        <w:tc>
          <w:tcPr>
            <w:tcW w:w="1832" w:type="dxa"/>
            <w:vAlign w:val="center"/>
            <w:textDirection w:val="lrTb"/>
            <w:noWrap w:val="false"/>
          </w:tcPr>
          <w:p>
            <w:pPr>
              <w:jc w:val="center"/>
              <w:keepLines w:val="0"/>
              <w:keepNext w:val="0"/>
              <w:spacing w:line="360" w:lineRule="auto"/>
              <w:widowControl/>
              <w:rPr>
                <w:rFonts w:hint="eastAsia" w:ascii="宋体" w:hAnsi="宋体" w:eastAsia="宋体" w:cs="宋体"/>
                <w:color w:val="auto"/>
                <w:highlight w:val="none"/>
                <w:vertAlign w:val="baseline"/>
              </w:rPr>
              <w:suppressLineNumbers w:val="0"/>
            </w:pPr>
            <w:r>
              <w:rPr>
                <w:rFonts w:hint="eastAsia" w:ascii="宋体" w:hAnsi="宋体" w:eastAsia="宋体" w:cs="宋体"/>
                <w:color w:val="auto"/>
                <w:highlight w:val="none"/>
                <w:lang w:val="en-US" w:eastAsia="zh-CN"/>
              </w:rPr>
              <w:t xml:space="preserve">电梯</w:t>
            </w:r>
            <w:r/>
          </w:p>
        </w:tc>
        <w:tc>
          <w:tcPr>
            <w:tcW w:w="1419" w:type="dxa"/>
            <w:vAlign w:val="center"/>
            <w:textDirection w:val="lrTb"/>
            <w:noWrap w:val="false"/>
          </w:tcPr>
          <w:p>
            <w:pPr>
              <w:jc w:val="center"/>
              <w:keepLines w:val="0"/>
              <w:keepNext w:val="0"/>
              <w:spacing w:line="360" w:lineRule="auto"/>
              <w:widowControl/>
              <w:rPr>
                <w:rFonts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rPr>
              <w:t xml:space="preserve">11台</w:t>
            </w:r>
            <w:r/>
          </w:p>
        </w:tc>
        <w:tc>
          <w:tcPr>
            <w:tcW w:w="2306" w:type="dxa"/>
            <w:vAlign w:val="center"/>
            <w:textDirection w:val="lrTb"/>
            <w:noWrap w:val="false"/>
          </w:tcPr>
          <w:p>
            <w:pPr>
              <w:pStyle w:val="734"/>
              <w:ind w:right="-932" w:firstLine="240"/>
              <w:jc w:val="both"/>
              <w:spacing w:beforeAutospacing="0" w:afterAutospacing="0" w:line="360" w:lineRule="auto"/>
              <w:rPr>
                <w:rFonts w:ascii="宋体" w:hAnsi="宋体" w:eastAsia="宋体" w:cs="宋体"/>
                <w:color w:val="auto"/>
                <w:highlight w:val="none"/>
                <w:vertAlign w:val="baseline"/>
                <w:lang w:val="en-US"/>
              </w:rPr>
            </w:pPr>
            <w:r>
              <w:rPr>
                <w:rFonts w:hint="eastAsia" w:ascii="宋体" w:hAnsi="宋体" w:eastAsia="宋体" w:cs="宋体"/>
                <w:color w:val="auto"/>
                <w:highlight w:val="none"/>
                <w:lang w:val="en-US" w:eastAsia="zh-CN"/>
              </w:rPr>
              <w:t xml:space="preserve">3000元/年/台</w:t>
            </w:r>
            <w:r/>
          </w:p>
        </w:tc>
        <w:tc>
          <w:tcPr>
            <w:tcW w:w="1243"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029"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trHeight w:val="680" w:hRule="exact"/>
        </w:trPr>
        <w:tc>
          <w:tcPr>
            <w:gridSpan w:val="4"/>
            <w:tcW w:w="6563"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合计（元/年）</w:t>
            </w:r>
            <w:r/>
          </w:p>
        </w:tc>
        <w:tc>
          <w:tcPr>
            <w:tcW w:w="1243"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029" w:type="dxa"/>
            <w:vAlign w:val="center"/>
            <w:textDirection w:val="lrTb"/>
            <w:noWrap w:val="false"/>
          </w:tcPr>
          <w:p>
            <w:pPr>
              <w:pStyle w:val="734"/>
              <w:ind w:right="-932"/>
              <w:jc w:val="center"/>
              <w:spacing w:beforeAutospacing="0" w:afterAutospacing="0" w:line="36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bl>
    <w:p>
      <w:pPr>
        <w:pStyle w:val="734"/>
        <w:ind w:right="-92" w:firstLine="480"/>
        <w:jc w:val="center"/>
        <w:keepLines w:val="0"/>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ind w:right="-92"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注：1、投标时投标人应综合考虑</w:t>
      </w:r>
      <w:r>
        <w:rPr>
          <w:rFonts w:hint="eastAsia" w:ascii="宋体" w:hAnsi="宋体" w:eastAsia="宋体" w:cs="宋体"/>
          <w:color w:val="auto"/>
          <w:highlight w:val="none"/>
          <w:lang w:val="zh-CN" w:eastAsia="zh-CN"/>
        </w:rPr>
        <w:t xml:space="preserve">所有人员工资不低于本市最低工资标准</w:t>
      </w:r>
      <w:r>
        <w:rPr>
          <w:rFonts w:hint="eastAsia" w:ascii="宋体" w:hAnsi="宋体" w:eastAsia="宋体" w:cs="宋体"/>
          <w:color w:val="auto"/>
          <w:highlight w:val="none"/>
          <w:lang w:val="en-US" w:eastAsia="zh-CN"/>
        </w:rPr>
        <w:t xml:space="preserve">2</w:t>
      </w:r>
      <w:r>
        <w:rPr>
          <w:rFonts w:hint="eastAsia" w:ascii="宋体" w:hAnsi="宋体" w:cs="宋体"/>
          <w:color w:val="auto"/>
          <w:highlight w:val="none"/>
          <w:lang w:val="en-US" w:eastAsia="zh-CN"/>
        </w:rPr>
        <w:t xml:space="preserve">430</w:t>
      </w:r>
      <w:r>
        <w:rPr>
          <w:rFonts w:hint="eastAsia" w:ascii="宋体" w:hAnsi="宋体" w:eastAsia="宋体" w:cs="宋体"/>
          <w:color w:val="auto"/>
          <w:highlight w:val="none"/>
          <w:lang w:val="zh-CN" w:eastAsia="zh-CN"/>
        </w:rPr>
        <w:t xml:space="preserve">元/人每月，所有人员必须足额缴纳社保费用，社保（企业部分）不得低于1292.47元/人/每月，</w:t>
      </w:r>
      <w:r>
        <w:rPr>
          <w:rFonts w:hint="eastAsia" w:ascii="宋体" w:hAnsi="宋体" w:eastAsia="宋体" w:cs="宋体"/>
          <w:color w:val="auto"/>
          <w:highlight w:val="none"/>
          <w:lang w:val="en-US" w:eastAsia="zh-CN"/>
        </w:rPr>
        <w:t xml:space="preserve">住房公积金不得低于180.8元</w:t>
      </w:r>
      <w:r>
        <w:rPr>
          <w:rFonts w:hint="eastAsia" w:ascii="宋体" w:hAnsi="宋体" w:eastAsia="宋体" w:cs="宋体"/>
          <w:color w:val="auto"/>
          <w:highlight w:val="none"/>
          <w:lang w:val="zh-CN" w:eastAsia="zh-CN"/>
        </w:rPr>
        <w:t xml:space="preserve">人/每月</w:t>
      </w:r>
      <w:r>
        <w:rPr>
          <w:rFonts w:hint="eastAsia" w:ascii="宋体" w:hAnsi="宋体" w:eastAsia="宋体" w:cs="宋体"/>
          <w:color w:val="auto"/>
          <w:highlight w:val="none"/>
          <w:lang w:val="en-US" w:eastAsia="zh-CN"/>
        </w:rPr>
        <w:t xml:space="preserve">，福利费（含夏季高温费）不得低于100</w:t>
      </w:r>
      <w:r>
        <w:rPr>
          <w:rFonts w:hint="eastAsia" w:ascii="宋体" w:hAnsi="宋体" w:eastAsia="宋体" w:cs="宋体"/>
          <w:color w:val="auto"/>
          <w:highlight w:val="none"/>
          <w:lang w:val="zh-CN" w:eastAsia="zh-CN"/>
        </w:rPr>
        <w:t xml:space="preserve">元/人/每月，</w:t>
      </w:r>
      <w:r>
        <w:rPr>
          <w:rFonts w:hint="eastAsia" w:ascii="宋体" w:hAnsi="宋体" w:eastAsia="宋体" w:cs="宋体"/>
          <w:color w:val="auto"/>
          <w:highlight w:val="none"/>
          <w:lang w:val="en-US" w:eastAsia="zh-CN"/>
        </w:rPr>
        <w:t xml:space="preserve">服装费不得低于25</w:t>
      </w:r>
      <w:r>
        <w:rPr>
          <w:rFonts w:hint="eastAsia" w:ascii="宋体" w:hAnsi="宋体" w:eastAsia="宋体" w:cs="宋体"/>
          <w:color w:val="auto"/>
          <w:highlight w:val="none"/>
          <w:lang w:val="zh-CN" w:eastAsia="zh-CN"/>
        </w:rPr>
        <w:t xml:space="preserve">元/人/每月，</w:t>
      </w:r>
      <w:r>
        <w:rPr>
          <w:rFonts w:hint="eastAsia" w:ascii="宋体" w:hAnsi="宋体" w:eastAsia="宋体" w:cs="宋体"/>
          <w:color w:val="auto"/>
          <w:highlight w:val="none"/>
          <w:lang w:val="en-US" w:eastAsia="zh-CN"/>
        </w:rPr>
        <w:t xml:space="preserve">用具耗材不得低于25</w:t>
      </w:r>
      <w:r>
        <w:rPr>
          <w:rFonts w:hint="eastAsia" w:ascii="宋体" w:hAnsi="宋体" w:eastAsia="宋体" w:cs="宋体"/>
          <w:color w:val="auto"/>
          <w:highlight w:val="none"/>
          <w:lang w:val="zh-CN" w:eastAsia="zh-CN"/>
        </w:rPr>
        <w:t xml:space="preserve">元/人/每月，</w:t>
      </w:r>
      <w:r>
        <w:rPr>
          <w:rFonts w:hint="eastAsia" w:ascii="宋体" w:hAnsi="宋体" w:eastAsia="宋体" w:cs="宋体"/>
          <w:color w:val="auto"/>
          <w:highlight w:val="none"/>
          <w:lang w:val="en-US" w:eastAsia="zh-CN"/>
        </w:rPr>
        <w:t xml:space="preserve">税金费率不得低于6.72%。</w:t>
      </w:r>
      <w:r/>
    </w:p>
    <w:p>
      <w:pPr>
        <w:pStyle w:val="734"/>
        <w:ind w:right="-92"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2、小区公用经费部分：公用水电费各投标人须按“658948.94㎡*0.05元/月*12月”填报，电梯维保须按“3000元/年*11台”，以上费用为不可竞争费。</w:t>
      </w:r>
      <w:r/>
    </w:p>
    <w:p>
      <w:pPr>
        <w:pStyle w:val="734"/>
        <w:ind w:right="-92"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3、投标人</w:t>
      </w:r>
      <w:r>
        <w:rPr>
          <w:rFonts w:hint="eastAsia" w:ascii="宋体" w:hAnsi="宋体" w:eastAsia="宋体" w:cs="宋体"/>
          <w:color w:val="auto"/>
          <w:highlight w:val="none"/>
          <w:lang w:val="zh-CN" w:eastAsia="zh-CN"/>
        </w:rPr>
        <w:t xml:space="preserve">所提供人员、</w:t>
      </w:r>
      <w:r>
        <w:rPr>
          <w:rFonts w:hint="eastAsia" w:ascii="宋体" w:hAnsi="宋体" w:eastAsia="宋体" w:cs="宋体"/>
          <w:color w:val="auto"/>
          <w:highlight w:val="none"/>
          <w:lang w:val="en-US" w:eastAsia="zh-CN"/>
        </w:rPr>
        <w:t xml:space="preserve">公共经费</w:t>
      </w:r>
      <w:r>
        <w:rPr>
          <w:rFonts w:hint="eastAsia" w:ascii="宋体" w:hAnsi="宋体" w:eastAsia="宋体" w:cs="宋体"/>
          <w:color w:val="auto"/>
          <w:highlight w:val="none"/>
          <w:lang w:val="zh-CN" w:eastAsia="zh-CN"/>
        </w:rPr>
        <w:t xml:space="preserve">的费用不得低于上述标准进行测算，</w:t>
      </w:r>
      <w:r>
        <w:rPr>
          <w:rFonts w:hint="eastAsia" w:ascii="宋体" w:hAnsi="宋体" w:eastAsia="宋体" w:cs="宋体"/>
          <w:color w:val="auto"/>
          <w:highlight w:val="none"/>
          <w:lang w:val="en-US" w:eastAsia="zh-CN"/>
        </w:rPr>
        <w:t xml:space="preserve">否则</w:t>
      </w:r>
      <w:r>
        <w:rPr>
          <w:rFonts w:hint="eastAsia" w:ascii="宋体" w:hAnsi="宋体" w:eastAsia="宋体" w:cs="宋体"/>
          <w:color w:val="auto"/>
          <w:highlight w:val="none"/>
          <w:lang w:val="zh-CN" w:eastAsia="zh-CN"/>
        </w:rPr>
        <w:t xml:space="preserve">视为未实质性响应招标文件要求</w:t>
      </w:r>
      <w:r>
        <w:rPr>
          <w:rFonts w:hint="eastAsia" w:ascii="宋体" w:hAnsi="宋体" w:eastAsia="宋体" w:cs="宋体"/>
          <w:color w:val="auto"/>
          <w:highlight w:val="none"/>
          <w:lang w:val="en-US" w:eastAsia="zh-CN"/>
        </w:rPr>
        <w:t xml:space="preserve">。如果招标公告发布之后开标前遇政府调整职工最低工资标准或社会保险缴纳基数，评标委员会进行符合性审查时可仍按上述标准审查，中标后，中标人应按照最新政策文件规定执行。</w:t>
      </w:r>
      <w:r/>
    </w:p>
    <w:p>
      <w:pPr>
        <w:pStyle w:val="734"/>
        <w:ind w:right="-92"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投标报价包括但不限于服务单位完成本项目发生的所有费用，合同履行期内人工工资上涨风险、政策性调整风险等一切费用及市场变化和政策性文件调整而引起的风险因素及可预见的所有费用。招标人保留调整人员数量及公用经费的权利，工程结算时综合单价不作调整，人员数量及公用经费按实结算。</w:t>
      </w:r>
      <w:r/>
    </w:p>
    <w:p>
      <w:pPr>
        <w:pStyle w:val="734"/>
        <w:ind w:right="-9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十</w:t>
      </w:r>
      <w:r>
        <w:rPr>
          <w:rFonts w:hint="eastAsia" w:ascii="宋体" w:hAnsi="宋体" w:cs="宋体"/>
          <w:b/>
          <w:color w:val="auto"/>
          <w:sz w:val="32"/>
          <w:szCs w:val="32"/>
          <w:highlight w:val="none"/>
          <w:lang w:val="en-US" w:eastAsia="zh-CN"/>
        </w:rPr>
        <w:t xml:space="preserve">三</w:t>
      </w:r>
      <w:r>
        <w:rPr>
          <w:rFonts w:hint="eastAsia" w:ascii="宋体" w:hAnsi="宋体" w:eastAsia="宋体" w:cs="宋体"/>
          <w:b/>
          <w:color w:val="auto"/>
          <w:sz w:val="32"/>
          <w:szCs w:val="32"/>
          <w:highlight w:val="none"/>
        </w:rPr>
        <w:t xml:space="preserve">、技术要求响应及偏离表</w:t>
      </w:r>
      <w:r/>
    </w:p>
    <w:tbl>
      <w:tblPr>
        <w:tblStyle w:val="651"/>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jc w:val="center"/>
        <w:spacing w:beforeAutospacing="0" w:afterAutospacing="0"/>
        <w:rPr>
          <w:rFonts w:hint="eastAsia" w:ascii="宋体" w:hAnsi="宋体" w:eastAsia="宋体" w:cs="宋体"/>
          <w:color w:val="auto"/>
          <w:highlight w:val="none"/>
        </w:rPr>
      </w:pPr>
      <w:r/>
      <w:bookmarkStart w:id="112" w:name="_Hlt26955054"/>
      <w:r>
        <w:rPr>
          <w:rFonts w:hint="eastAsia" w:ascii="宋体" w:hAnsi="宋体" w:eastAsia="宋体" w:cs="宋体"/>
          <w:b/>
          <w:color w:val="auto"/>
          <w:sz w:val="32"/>
          <w:szCs w:val="32"/>
          <w:highlight w:val="none"/>
        </w:rPr>
        <w:t xml:space="preserve">十</w:t>
      </w:r>
      <w:r>
        <w:rPr>
          <w:rFonts w:hint="eastAsia" w:ascii="宋体" w:hAnsi="宋体" w:cs="宋体"/>
          <w:b/>
          <w:color w:val="auto"/>
          <w:sz w:val="32"/>
          <w:szCs w:val="32"/>
          <w:highlight w:val="none"/>
          <w:lang w:val="en-US" w:eastAsia="zh-CN"/>
        </w:rPr>
        <w:t xml:space="preserve">四</w:t>
      </w:r>
      <w:r>
        <w:rPr>
          <w:rFonts w:hint="eastAsia" w:ascii="宋体" w:hAnsi="宋体" w:eastAsia="宋体" w:cs="宋体"/>
          <w:b/>
          <w:color w:val="auto"/>
          <w:sz w:val="32"/>
          <w:szCs w:val="32"/>
          <w:highlight w:val="none"/>
        </w:rPr>
        <w:t xml:space="preserve">、商务要求响应及偏离表</w:t>
      </w:r>
      <w:r/>
    </w:p>
    <w:tbl>
      <w:tblPr>
        <w:tblStyle w:val="651"/>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bookmarkStart w:id="113" w:name="_Hlt26580838"/>
            <w:r/>
            <w:bookmarkStart w:id="114" w:name="_Hlt26955064"/>
            <w:r/>
            <w:bookmarkStart w:id="115" w:name="_Hlt26671343"/>
            <w:r/>
            <w:bookmarkStart w:id="116" w:name="_Hlt24879081"/>
            <w:r/>
            <w:bookmarkStart w:id="117" w:name="_Hlt26782999"/>
            <w:r/>
            <w:bookmarkStart w:id="118" w:name="_Hlt26955056"/>
            <w:r/>
            <w:bookmarkStart w:id="119" w:name="_Hlt26609391"/>
            <w:r/>
            <w:bookmarkStart w:id="120" w:name="_Hlt26671372"/>
            <w:r>
              <w:rPr>
                <w:rFonts w:hint="eastAsia" w:ascii="宋体" w:hAnsi="宋体" w:eastAsia="宋体" w:cs="宋体"/>
                <w:color w:val="auto"/>
                <w:highlight w:val="none"/>
              </w:rPr>
              <w:t xml:space="preserve">序号</w:t>
            </w:r>
            <w:bookmarkEnd w:id="113"/>
            <w:r/>
            <w:bookmarkEnd w:id="114"/>
            <w:r/>
            <w:bookmarkEnd w:id="115"/>
            <w:r/>
            <w:bookmarkEnd w:id="116"/>
            <w:r/>
            <w:bookmarkEnd w:id="117"/>
            <w:r/>
            <w:bookmarkEnd w:id="118"/>
            <w:r/>
            <w:bookmarkEnd w:id="119"/>
            <w:r/>
            <w:bookmarkEnd w:id="120"/>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pStyle w:val="734"/>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jc w:val="center"/>
        <w:spacing w:beforeAutospacing="0" w:afterAutospacing="0"/>
        <w:rPr>
          <w:rFonts w:hint="eastAsia" w:ascii="宋体" w:hAnsi="宋体" w:eastAsia="宋体" w:cs="宋体"/>
          <w:color w:val="auto"/>
          <w:highlight w:val="none"/>
        </w:rPr>
      </w:pPr>
      <w:r/>
      <w:bookmarkStart w:id="121" w:name="_格式2__法定代表人授权书"/>
      <w:r/>
      <w:bookmarkStart w:id="122" w:name="_Toc462564146"/>
      <w:r/>
      <w:bookmarkStart w:id="123" w:name="_Hlt26609389"/>
      <w:r/>
      <w:bookmarkStart w:id="124" w:name="_Hlt26671374"/>
      <w:r/>
      <w:bookmarkStart w:id="125" w:name="_Hlt26955066"/>
      <w:r>
        <w:rPr>
          <w:rFonts w:hint="eastAsia" w:ascii="宋体" w:hAnsi="宋体" w:eastAsia="宋体" w:cs="宋体"/>
          <w:color w:val="auto"/>
          <w:highlight w:val="none"/>
        </w:rPr>
        <w:t xml:space="preserve"> </w:t>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b/>
          <w:i/>
          <w:color w:val="auto"/>
          <w:sz w:val="32"/>
          <w:szCs w:val="32"/>
          <w:highlight w:val="none"/>
          <w:u w:val="single"/>
        </w:rPr>
        <w:t xml:space="preserve">十</w:t>
      </w:r>
      <w:r>
        <w:rPr>
          <w:rFonts w:hint="eastAsia" w:ascii="宋体" w:hAnsi="宋体" w:cs="宋体"/>
          <w:b/>
          <w:i/>
          <w:color w:val="auto"/>
          <w:sz w:val="32"/>
          <w:szCs w:val="32"/>
          <w:highlight w:val="none"/>
          <w:u w:val="single"/>
          <w:lang w:val="en-US" w:eastAsia="zh-CN"/>
        </w:rPr>
        <w:t xml:space="preserve">五</w:t>
      </w:r>
      <w:r>
        <w:rPr>
          <w:rFonts w:hint="eastAsia" w:ascii="宋体" w:hAnsi="宋体" w:eastAsia="宋体" w:cs="宋体"/>
          <w:b/>
          <w:i/>
          <w:color w:val="auto"/>
          <w:sz w:val="32"/>
          <w:szCs w:val="32"/>
          <w:highlight w:val="none"/>
          <w:u w:val="single"/>
        </w:rPr>
        <w:t xml:space="preserve">、开标一览表</w:t>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投标人全称（加盖CA电子签章）：</w:t>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招标编号：           </w:t>
      </w:r>
      <w:r/>
    </w:p>
    <w:tbl>
      <w:tblPr>
        <w:tblStyle w:val="651"/>
        <w:tblW w:w="8206"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34"/>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小写：</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（人民币：元</w:t>
            </w:r>
            <w:r>
              <w:rPr>
                <w:rFonts w:hint="eastAsia" w:ascii="宋体" w:hAnsi="宋体" w:eastAsia="宋体" w:cs="宋体"/>
                <w:color w:val="auto"/>
                <w:highlight w:val="none"/>
                <w:lang w:val="en-US" w:eastAsia="zh-CN"/>
              </w:rPr>
              <w:t xml:space="preserve">/年</w:t>
            </w:r>
            <w:r>
              <w:rPr>
                <w:rFonts w:hint="eastAsia" w:ascii="宋体" w:hAnsi="宋体" w:eastAsia="宋体" w:cs="宋体"/>
                <w:color w:val="auto"/>
                <w:highlight w:val="none"/>
              </w:rPr>
              <w:t xml:space="preserve">）</w:t>
            </w:r>
            <w:r/>
          </w:p>
        </w:tc>
      </w:tr>
    </w:tbl>
    <w:p>
      <w:pPr>
        <w:pStyle w:val="73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34"/>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734"/>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tab/>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center"/>
        <w:spacing w:before="50" w:after="50"/>
        <w:widowControl/>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 xml:space="preserve">十</w:t>
      </w:r>
      <w:r>
        <w:rPr>
          <w:rFonts w:hint="eastAsia" w:ascii="宋体" w:hAnsi="宋体" w:eastAsia="宋体" w:cs="宋体"/>
          <w:color w:val="auto"/>
          <w:sz w:val="32"/>
          <w:szCs w:val="32"/>
          <w:highlight w:val="none"/>
          <w:lang w:val="en-US" w:eastAsia="zh-CN"/>
        </w:rPr>
        <w:t xml:space="preserve">六</w:t>
      </w:r>
      <w:r>
        <w:rPr>
          <w:rFonts w:hint="eastAsia" w:ascii="宋体" w:hAnsi="宋体" w:eastAsia="宋体" w:cs="宋体"/>
          <w:color w:val="auto"/>
          <w:sz w:val="32"/>
          <w:szCs w:val="32"/>
          <w:highlight w:val="none"/>
        </w:rPr>
        <w:t xml:space="preserve">、</w:t>
      </w:r>
      <w:r>
        <w:rPr>
          <w:rFonts w:hint="eastAsia" w:ascii="宋体" w:hAnsi="宋体" w:eastAsia="宋体" w:cs="宋体"/>
          <w:color w:val="auto"/>
          <w:sz w:val="32"/>
          <w:szCs w:val="32"/>
          <w:highlight w:val="none"/>
          <w:lang w:val="en-US" w:eastAsia="zh-CN"/>
        </w:rPr>
        <w:t xml:space="preserve">服务方案</w:t>
      </w:r>
      <w:r>
        <w:rPr>
          <w:rFonts w:hint="eastAsia" w:ascii="宋体" w:hAnsi="宋体" w:eastAsia="宋体" w:cs="宋体"/>
          <w:color w:val="auto"/>
          <w:sz w:val="32"/>
          <w:szCs w:val="32"/>
          <w:highlight w:val="none"/>
        </w:rPr>
        <w:t xml:space="preserve">等</w:t>
      </w:r>
      <w:r/>
    </w:p>
    <w:p>
      <w:pPr>
        <w:ind w:firstLine="1600"/>
        <w:spacing w:line="499" w:lineRule="atLeast"/>
        <w:widowControl/>
        <w:rPr>
          <w:rFonts w:hint="eastAsia" w:ascii="宋体" w:hAnsi="宋体" w:eastAsia="宋体" w:cs="宋体"/>
          <w:color w:val="auto"/>
          <w:sz w:val="32"/>
          <w:szCs w:val="32"/>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 xml:space="preserve">十</w:t>
      </w:r>
      <w:r>
        <w:rPr>
          <w:rFonts w:hint="eastAsia" w:ascii="宋体" w:hAnsi="宋体" w:eastAsia="宋体" w:cs="宋体"/>
          <w:color w:val="auto"/>
          <w:sz w:val="32"/>
          <w:szCs w:val="32"/>
          <w:highlight w:val="none"/>
          <w:lang w:val="en-US" w:eastAsia="zh-CN"/>
        </w:rPr>
        <w:t xml:space="preserve">七</w:t>
      </w:r>
      <w:r>
        <w:rPr>
          <w:rFonts w:hint="eastAsia" w:ascii="宋体" w:hAnsi="宋体" w:eastAsia="宋体" w:cs="宋体"/>
          <w:color w:val="auto"/>
          <w:sz w:val="32"/>
          <w:szCs w:val="32"/>
          <w:highlight w:val="none"/>
        </w:rPr>
        <w:t xml:space="preserve">、盐城市政府采购事前信用承诺书</w:t>
      </w:r>
      <w:r/>
    </w:p>
    <w:p>
      <w:pPr>
        <w:ind w:firstLine="64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（四）严格遵守即时信息公示规定，及时维护和更新维护和更新盐城市政府采购网中与本单位相关的信息；</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bookmarkEnd w:id="6"/>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70"/>
      <w:bookmarkEnd w:id="102"/>
      <w:bookmarkEnd w:id="106"/>
      <w:bookmarkEnd w:id="107"/>
      <w:bookmarkEnd w:id="109"/>
      <w:bookmarkEnd w:id="110"/>
      <w:bookmarkEnd w:id="111"/>
      <w:bookmarkEnd w:id="112"/>
      <w:bookmarkEnd w:id="121"/>
      <w:bookmarkEnd w:id="122"/>
      <w:bookmarkEnd w:id="123"/>
      <w:bookmarkEnd w:id="124"/>
      <w:bookmarkEnd w:id="125"/>
      <w:r/>
    </w:p>
    <w:p>
      <w:pPr>
        <w:pStyle w:val="73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734"/>
        <w:jc w:val="both"/>
        <w:spacing w:before="290" w:beforeAutospacing="0" w:afterAutospacing="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734"/>
        <w:jc w:val="both"/>
        <w:spacing w:beforeAutospacing="0" w:afterAutospacing="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34"/>
        <w:jc w:val="both"/>
        <w:spacing w:beforeAutospacing="0" w:afterAutospacing="0" w:line="24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34"/>
        <w:jc w:val="both"/>
        <w:spacing w:beforeAutospacing="0" w:afterAutospacing="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34"/>
        <w:jc w:val="both"/>
        <w:spacing w:beforeAutospacing="0" w:afterAutospacing="0" w:line="24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34"/>
        <w:jc w:val="both"/>
        <w:spacing w:beforeAutospacing="0" w:afterAutospacing="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34"/>
        <w:jc w:val="both"/>
        <w:spacing w:beforeAutospacing="0" w:afterAutospacing="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34"/>
        <w:jc w:val="both"/>
        <w:spacing w:beforeAutospacing="0" w:afterAutospacing="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34"/>
        <w:jc w:val="both"/>
        <w:spacing w:beforeAutospacing="0" w:afterAutospacing="0" w:line="24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34"/>
        <w:jc w:val="both"/>
        <w:spacing w:beforeAutospacing="0" w:afterAutospacing="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34"/>
        <w:jc w:val="both"/>
        <w:spacing w:beforeAutospacing="0" w:afterAutospacing="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734"/>
        <w:jc w:val="both"/>
        <w:spacing w:beforeAutospacing="0" w:afterAutospacing="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734"/>
        <w:jc w:val="both"/>
        <w:spacing w:beforeAutospacing="0" w:afterAutospacing="0" w:line="24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734"/>
        <w:jc w:val="both"/>
        <w:spacing w:beforeAutospacing="0" w:afterAutospacing="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34"/>
        <w:jc w:val="both"/>
        <w:spacing w:beforeAutospacing="0" w:afterAutospacing="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734"/>
        <w:jc w:val="both"/>
        <w:spacing w:beforeAutospacing="0" w:afterAutospacing="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734"/>
        <w:jc w:val="both"/>
        <w:spacing w:beforeAutospacing="0" w:afterAutospacing="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734"/>
        <w:jc w:val="both"/>
        <w:spacing w:beforeAutospacing="0" w:afterAutospacing="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734"/>
        <w:spacing w:beforeAutospacing="0" w:afterAutospacing="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734"/>
        <w:jc w:val="both"/>
        <w:spacing w:beforeAutospacing="0" w:afterAutospacing="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734"/>
        <w:jc w:val="both"/>
        <w:spacing w:beforeAutospacing="0" w:afterAutospacing="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34"/>
        <w:jc w:val="both"/>
        <w:spacing w:beforeAutospacing="0" w:afterAutospacing="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734"/>
        <w:jc w:val="both"/>
        <w:spacing w:beforeAutospacing="0" w:afterAutospacing="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734"/>
        <w:jc w:val="both"/>
        <w:spacing w:beforeAutospacing="0" w:afterAutospacing="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34"/>
        <w:jc w:val="both"/>
        <w:spacing w:beforeAutospacing="0" w:afterAutospacing="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734"/>
        <w:jc w:val="both"/>
        <w:spacing w:beforeAutospacing="0" w:afterAutospacing="0" w:line="24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734"/>
        <w:ind w:firstLine="48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734"/>
        <w:ind w:firstLine="48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34"/>
        <w:ind w:firstLine="48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734"/>
        <w:ind w:firstLine="48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734"/>
        <w:ind w:firstLine="48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734"/>
        <w:ind w:firstLine="480"/>
        <w:spacing w:beforeAutospacing="0" w:afterAutospacing="0"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34"/>
        <w:ind w:firstLine="420"/>
        <w:jc w:val="both"/>
        <w:spacing w:beforeAutospacing="0" w:afterAutospacing="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楷体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72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ind w:left="0" w:firstLine="0"/>
      </w:pPr>
      <w:rPr>
        <w:rFonts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default="1">
    <w:name w:val="Normal"/>
    <w:link w:val="884"/>
    <w:uiPriority w:val="0"/>
    <w:qFormat/>
    <w:pPr>
      <w:jc w:val="both"/>
      <w:widowControl w:val="off"/>
    </w:pPr>
    <w:rPr>
      <w:rFonts w:hint="default" w:ascii="Calibri" w:hAnsi="Calibri" w:eastAsia="Arial" w:cs="Arial"/>
      <w:sz w:val="21"/>
      <w:szCs w:val="24"/>
      <w:lang w:val="en-US" w:eastAsia="zh-CN" w:bidi="ar-SA"/>
    </w:rPr>
  </w:style>
  <w:style w:type="paragraph" w:styleId="641">
    <w:name w:val="Heading 1"/>
    <w:basedOn w:val="640"/>
    <w:next w:val="640"/>
    <w:link w:val="673"/>
    <w:uiPriority w:val="9"/>
    <w:qFormat/>
    <w:pPr>
      <w:keepLines/>
      <w:keepNext/>
      <w:spacing w:before="480" w:after="200"/>
      <w:outlineLvl w:val="0"/>
    </w:pPr>
    <w:rPr>
      <w:rFonts w:ascii="Arial" w:hAnsi="Arial" w:eastAsia="Arial" w:cs="Arial"/>
      <w:sz w:val="40"/>
      <w:szCs w:val="40"/>
    </w:rPr>
  </w:style>
  <w:style w:type="paragraph" w:styleId="642">
    <w:name w:val="Heading 2"/>
    <w:basedOn w:val="640"/>
    <w:next w:val="640"/>
    <w:link w:val="674"/>
    <w:uiPriority w:val="9"/>
    <w:unhideWhenUsed/>
    <w:qFormat/>
    <w:pPr>
      <w:keepLines/>
      <w:keepNext/>
      <w:spacing w:before="360" w:after="200"/>
      <w:outlineLvl w:val="1"/>
    </w:pPr>
    <w:rPr>
      <w:rFonts w:ascii="Arial" w:hAnsi="Arial" w:eastAsia="Arial" w:cs="Arial"/>
      <w:sz w:val="34"/>
    </w:rPr>
  </w:style>
  <w:style w:type="paragraph" w:styleId="643">
    <w:name w:val="Heading 3"/>
    <w:basedOn w:val="640"/>
    <w:next w:val="640"/>
    <w:link w:val="675"/>
    <w:uiPriority w:val="9"/>
    <w:unhideWhenUsed/>
    <w:qFormat/>
    <w:pPr>
      <w:keepLines/>
      <w:keepNext/>
      <w:spacing w:before="320" w:after="200"/>
      <w:outlineLvl w:val="2"/>
    </w:pPr>
    <w:rPr>
      <w:rFonts w:ascii="Arial" w:hAnsi="Arial" w:eastAsia="Arial" w:cs="Arial"/>
      <w:sz w:val="30"/>
      <w:szCs w:val="30"/>
    </w:rPr>
  </w:style>
  <w:style w:type="paragraph" w:styleId="644">
    <w:name w:val="Heading 4"/>
    <w:basedOn w:val="640"/>
    <w:next w:val="640"/>
    <w:link w:val="676"/>
    <w:uiPriority w:val="9"/>
    <w:unhideWhenUsed/>
    <w:qFormat/>
    <w:pPr>
      <w:keepLines/>
      <w:keepNext/>
      <w:spacing w:before="320" w:after="200"/>
      <w:outlineLvl w:val="3"/>
    </w:pPr>
    <w:rPr>
      <w:rFonts w:ascii="Arial" w:hAnsi="Arial" w:eastAsia="Arial" w:cs="Arial"/>
      <w:b/>
      <w:bCs/>
      <w:sz w:val="26"/>
      <w:szCs w:val="26"/>
    </w:rPr>
  </w:style>
  <w:style w:type="paragraph" w:styleId="645">
    <w:name w:val="Heading 5"/>
    <w:basedOn w:val="640"/>
    <w:next w:val="640"/>
    <w:link w:val="677"/>
    <w:uiPriority w:val="9"/>
    <w:unhideWhenUsed/>
    <w:qFormat/>
    <w:pPr>
      <w:keepLines/>
      <w:keepNext/>
      <w:spacing w:before="320" w:after="200"/>
      <w:outlineLvl w:val="4"/>
    </w:pPr>
    <w:rPr>
      <w:rFonts w:ascii="Arial" w:hAnsi="Arial" w:eastAsia="Arial" w:cs="Arial"/>
      <w:b/>
      <w:bCs/>
      <w:sz w:val="24"/>
      <w:szCs w:val="24"/>
    </w:rPr>
  </w:style>
  <w:style w:type="paragraph" w:styleId="646">
    <w:name w:val="Heading 6"/>
    <w:basedOn w:val="640"/>
    <w:next w:val="640"/>
    <w:link w:val="678"/>
    <w:uiPriority w:val="9"/>
    <w:unhideWhenUsed/>
    <w:qFormat/>
    <w:pPr>
      <w:keepLines/>
      <w:keepNext/>
      <w:spacing w:before="320" w:after="200"/>
      <w:outlineLvl w:val="5"/>
    </w:pPr>
    <w:rPr>
      <w:rFonts w:ascii="Arial" w:hAnsi="Arial" w:eastAsia="Arial" w:cs="Arial"/>
      <w:b/>
      <w:bCs/>
      <w:sz w:val="22"/>
      <w:szCs w:val="22"/>
    </w:rPr>
  </w:style>
  <w:style w:type="paragraph" w:styleId="647">
    <w:name w:val="Heading 7"/>
    <w:basedOn w:val="640"/>
    <w:next w:val="640"/>
    <w:link w:val="679"/>
    <w:uiPriority w:val="9"/>
    <w:unhideWhenUsed/>
    <w:qFormat/>
    <w:pPr>
      <w:keepLines/>
      <w:keepNext/>
      <w:spacing w:before="320" w:after="200"/>
      <w:outlineLvl w:val="6"/>
    </w:pPr>
    <w:rPr>
      <w:rFonts w:ascii="Arial" w:hAnsi="Arial" w:eastAsia="Arial" w:cs="Arial"/>
      <w:b/>
      <w:bCs/>
      <w:i/>
      <w:iCs/>
      <w:sz w:val="22"/>
      <w:szCs w:val="22"/>
    </w:rPr>
  </w:style>
  <w:style w:type="paragraph" w:styleId="648">
    <w:name w:val="Heading 8"/>
    <w:basedOn w:val="640"/>
    <w:next w:val="640"/>
    <w:link w:val="680"/>
    <w:uiPriority w:val="9"/>
    <w:unhideWhenUsed/>
    <w:qFormat/>
    <w:pPr>
      <w:keepLines/>
      <w:keepNext/>
      <w:spacing w:before="320" w:after="200"/>
      <w:outlineLvl w:val="7"/>
    </w:pPr>
    <w:rPr>
      <w:rFonts w:ascii="Arial" w:hAnsi="Arial" w:eastAsia="Arial" w:cs="Arial"/>
      <w:i/>
      <w:iCs/>
      <w:sz w:val="22"/>
      <w:szCs w:val="22"/>
    </w:rPr>
  </w:style>
  <w:style w:type="paragraph" w:styleId="649">
    <w:name w:val="Heading 9"/>
    <w:basedOn w:val="640"/>
    <w:next w:val="640"/>
    <w:link w:val="681"/>
    <w:uiPriority w:val="9"/>
    <w:unhideWhenUsed/>
    <w:qFormat/>
    <w:pPr>
      <w:keepLines/>
      <w:keepNext/>
      <w:spacing w:before="320" w:after="200"/>
      <w:outlineLvl w:val="8"/>
    </w:pPr>
    <w:rPr>
      <w:rFonts w:ascii="Arial" w:hAnsi="Arial" w:eastAsia="Arial" w:cs="Arial"/>
      <w:i/>
      <w:iCs/>
      <w:sz w:val="21"/>
      <w:szCs w:val="21"/>
    </w:rPr>
  </w:style>
  <w:style w:type="character" w:styleId="650" w:default="1">
    <w:name w:val="Default Paragraph Font"/>
    <w:uiPriority w:val="1"/>
    <w:semiHidden/>
    <w:unhideWhenUsed/>
    <w:qFormat/>
  </w:style>
  <w:style w:type="table" w:styleId="651" w:default="1">
    <w:name w:val="Normal Table"/>
    <w:uiPriority w:val="99"/>
    <w:semiHidden/>
    <w:unhideWhenUsed/>
    <w:qFormat/>
    <w:tblPr>
      <w:tblCellMar>
        <w:left w:w="108" w:type="dxa"/>
        <w:top w:w="0" w:type="dxa"/>
        <w:right w:w="108" w:type="dxa"/>
        <w:bottom w:w="0" w:type="dxa"/>
      </w:tblCellMar>
    </w:tblPr>
  </w:style>
  <w:style w:type="paragraph" w:styleId="652">
    <w:name w:val="toc 7"/>
    <w:basedOn w:val="640"/>
    <w:next w:val="640"/>
    <w:uiPriority w:val="39"/>
    <w:unhideWhenUsed/>
    <w:qFormat/>
    <w:pPr>
      <w:ind w:left="1701" w:right="0" w:firstLine="0"/>
      <w:spacing w:after="57"/>
    </w:pPr>
  </w:style>
  <w:style w:type="paragraph" w:styleId="653">
    <w:name w:val="Caption"/>
    <w:basedOn w:val="640"/>
    <w:next w:val="64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4">
    <w:name w:val="toc 5"/>
    <w:basedOn w:val="640"/>
    <w:next w:val="640"/>
    <w:uiPriority w:val="39"/>
    <w:unhideWhenUsed/>
    <w:qFormat/>
    <w:pPr>
      <w:ind w:left="1134" w:right="0" w:firstLine="0"/>
      <w:spacing w:after="57"/>
    </w:pPr>
  </w:style>
  <w:style w:type="paragraph" w:styleId="655">
    <w:name w:val="toc 3"/>
    <w:basedOn w:val="640"/>
    <w:next w:val="640"/>
    <w:uiPriority w:val="39"/>
    <w:unhideWhenUsed/>
    <w:qFormat/>
    <w:pPr>
      <w:ind w:left="567" w:right="0" w:firstLine="0"/>
      <w:spacing w:after="57"/>
    </w:pPr>
  </w:style>
  <w:style w:type="paragraph" w:styleId="656">
    <w:name w:val="toc 8"/>
    <w:basedOn w:val="640"/>
    <w:next w:val="640"/>
    <w:uiPriority w:val="39"/>
    <w:unhideWhenUsed/>
    <w:qFormat/>
    <w:pPr>
      <w:ind w:left="1984" w:right="0" w:firstLine="0"/>
      <w:spacing w:after="57"/>
    </w:pPr>
  </w:style>
  <w:style w:type="paragraph" w:styleId="657">
    <w:name w:val="endnote text"/>
    <w:basedOn w:val="640"/>
    <w:uiPriority w:val="99"/>
    <w:semiHidden/>
    <w:unhideWhenUsed/>
    <w:qFormat/>
    <w:pPr>
      <w:spacing w:after="0" w:line="240" w:lineRule="auto"/>
    </w:pPr>
    <w:rPr>
      <w:sz w:val="20"/>
    </w:rPr>
  </w:style>
  <w:style w:type="paragraph" w:styleId="658">
    <w:name w:val="Footer"/>
    <w:basedOn w:val="640"/>
    <w:link w:val="689"/>
    <w:uiPriority w:val="99"/>
    <w:unhideWhenUsed/>
    <w:qFormat/>
    <w:pPr>
      <w:spacing w:after="0" w:line="240" w:lineRule="auto"/>
      <w:tabs>
        <w:tab w:val="center" w:pos="7143" w:leader="none"/>
        <w:tab w:val="right" w:pos="14287" w:leader="none"/>
      </w:tabs>
    </w:pPr>
  </w:style>
  <w:style w:type="paragraph" w:styleId="659">
    <w:name w:val="Header"/>
    <w:basedOn w:val="640"/>
    <w:link w:val="688"/>
    <w:uiPriority w:val="99"/>
    <w:unhideWhenUsed/>
    <w:qFormat/>
    <w:pPr>
      <w:spacing w:after="0" w:line="240" w:lineRule="auto"/>
      <w:tabs>
        <w:tab w:val="center" w:pos="7143" w:leader="none"/>
        <w:tab w:val="right" w:pos="14287" w:leader="none"/>
      </w:tabs>
    </w:pPr>
  </w:style>
  <w:style w:type="paragraph" w:styleId="660">
    <w:name w:val="toc 1"/>
    <w:basedOn w:val="640"/>
    <w:next w:val="640"/>
    <w:uiPriority w:val="39"/>
    <w:unhideWhenUsed/>
    <w:qFormat/>
    <w:pPr>
      <w:ind w:left="0" w:right="0" w:firstLine="0"/>
      <w:spacing w:after="57"/>
    </w:pPr>
  </w:style>
  <w:style w:type="paragraph" w:styleId="661">
    <w:name w:val="toc 4"/>
    <w:basedOn w:val="640"/>
    <w:next w:val="640"/>
    <w:uiPriority w:val="39"/>
    <w:unhideWhenUsed/>
    <w:qFormat/>
    <w:pPr>
      <w:ind w:left="850" w:right="0" w:firstLine="0"/>
      <w:spacing w:after="57"/>
    </w:pPr>
  </w:style>
  <w:style w:type="paragraph" w:styleId="662">
    <w:name w:val="Subtitle"/>
    <w:basedOn w:val="640"/>
    <w:next w:val="640"/>
    <w:uiPriority w:val="11"/>
    <w:qFormat/>
    <w:pPr>
      <w:spacing w:before="200" w:after="200"/>
    </w:pPr>
    <w:rPr>
      <w:sz w:val="24"/>
      <w:szCs w:val="24"/>
    </w:rPr>
  </w:style>
  <w:style w:type="paragraph" w:styleId="663">
    <w:name w:val="footnote text"/>
    <w:basedOn w:val="640"/>
    <w:uiPriority w:val="99"/>
    <w:semiHidden/>
    <w:unhideWhenUsed/>
    <w:qFormat/>
    <w:pPr>
      <w:spacing w:after="40" w:line="240" w:lineRule="auto"/>
    </w:pPr>
    <w:rPr>
      <w:sz w:val="18"/>
    </w:rPr>
  </w:style>
  <w:style w:type="paragraph" w:styleId="664">
    <w:name w:val="toc 6"/>
    <w:basedOn w:val="640"/>
    <w:next w:val="640"/>
    <w:uiPriority w:val="39"/>
    <w:unhideWhenUsed/>
    <w:qFormat/>
    <w:pPr>
      <w:ind w:left="1417" w:right="0" w:firstLine="0"/>
      <w:spacing w:after="57"/>
    </w:pPr>
  </w:style>
  <w:style w:type="paragraph" w:styleId="665">
    <w:name w:val="table of figures"/>
    <w:basedOn w:val="640"/>
    <w:next w:val="640"/>
    <w:uiPriority w:val="99"/>
    <w:unhideWhenUsed/>
    <w:qFormat/>
    <w:pPr>
      <w:spacing w:after="0" w:afterAutospacing="0"/>
    </w:pPr>
  </w:style>
  <w:style w:type="paragraph" w:styleId="666">
    <w:name w:val="toc 2"/>
    <w:basedOn w:val="640"/>
    <w:next w:val="640"/>
    <w:uiPriority w:val="39"/>
    <w:unhideWhenUsed/>
    <w:qFormat/>
    <w:pPr>
      <w:ind w:left="283" w:right="0" w:firstLine="0"/>
      <w:spacing w:after="57"/>
    </w:pPr>
  </w:style>
  <w:style w:type="paragraph" w:styleId="667">
    <w:name w:val="toc 9"/>
    <w:basedOn w:val="640"/>
    <w:next w:val="640"/>
    <w:uiPriority w:val="39"/>
    <w:unhideWhenUsed/>
    <w:qFormat/>
    <w:pPr>
      <w:ind w:left="2268" w:right="0" w:firstLine="0"/>
      <w:spacing w:after="57"/>
    </w:pPr>
  </w:style>
  <w:style w:type="paragraph" w:styleId="668">
    <w:name w:val="Title"/>
    <w:basedOn w:val="640"/>
    <w:next w:val="640"/>
    <w:link w:val="683"/>
    <w:uiPriority w:val="10"/>
    <w:qFormat/>
    <w:pPr>
      <w:contextualSpacing/>
      <w:spacing w:before="300" w:after="200"/>
    </w:pPr>
    <w:rPr>
      <w:sz w:val="48"/>
      <w:szCs w:val="48"/>
    </w:rPr>
  </w:style>
  <w:style w:type="table" w:styleId="66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0">
    <w:name w:val="endnote reference"/>
    <w:uiPriority w:val="99"/>
    <w:semiHidden/>
    <w:unhideWhenUsed/>
    <w:qFormat/>
    <w:rPr>
      <w:vertAlign w:val="superscript"/>
    </w:rPr>
  </w:style>
  <w:style w:type="character" w:styleId="671">
    <w:name w:val="Hyperlink"/>
    <w:uiPriority w:val="99"/>
    <w:unhideWhenUsed/>
    <w:qFormat/>
    <w:rPr>
      <w:color w:val="0000ff" w:themeColor="hyperlink"/>
      <w:u w:val="single"/>
      <w14:textFill>
        <w14:solidFill>
          <w14:schemeClr w14:val="hlink"/>
        </w14:solidFill>
      </w14:textFill>
    </w:rPr>
  </w:style>
  <w:style w:type="character" w:styleId="672">
    <w:name w:val="footnote reference"/>
    <w:uiPriority w:val="99"/>
    <w:unhideWhenUsed/>
    <w:qFormat/>
    <w:rPr>
      <w:vertAlign w:val="superscript"/>
    </w:rPr>
  </w:style>
  <w:style w:type="character" w:styleId="673" w:customStyle="1">
    <w:name w:val="Heading 1 Char"/>
    <w:link w:val="641"/>
    <w:uiPriority w:val="9"/>
    <w:qFormat/>
    <w:rPr>
      <w:rFonts w:ascii="Arial" w:hAnsi="Arial" w:eastAsia="Arial" w:cs="Arial"/>
      <w:sz w:val="40"/>
      <w:szCs w:val="40"/>
    </w:rPr>
  </w:style>
  <w:style w:type="character" w:styleId="674" w:customStyle="1">
    <w:name w:val="Heading 2 Char"/>
    <w:link w:val="642"/>
    <w:uiPriority w:val="9"/>
    <w:qFormat/>
    <w:rPr>
      <w:rFonts w:ascii="Arial" w:hAnsi="Arial" w:eastAsia="Arial" w:cs="Arial"/>
      <w:sz w:val="34"/>
    </w:rPr>
  </w:style>
  <w:style w:type="character" w:styleId="675" w:customStyle="1">
    <w:name w:val="Heading 3 Char"/>
    <w:link w:val="643"/>
    <w:uiPriority w:val="9"/>
    <w:qFormat/>
    <w:rPr>
      <w:rFonts w:ascii="Arial" w:hAnsi="Arial" w:eastAsia="Arial" w:cs="Arial"/>
      <w:sz w:val="30"/>
      <w:szCs w:val="30"/>
    </w:rPr>
  </w:style>
  <w:style w:type="character" w:styleId="676" w:customStyle="1">
    <w:name w:val="Heading 4 Char"/>
    <w:link w:val="644"/>
    <w:uiPriority w:val="9"/>
    <w:qFormat/>
    <w:rPr>
      <w:rFonts w:ascii="Arial" w:hAnsi="Arial" w:eastAsia="Arial" w:cs="Arial"/>
      <w:b/>
      <w:bCs/>
      <w:sz w:val="26"/>
      <w:szCs w:val="26"/>
    </w:rPr>
  </w:style>
  <w:style w:type="character" w:styleId="677" w:customStyle="1">
    <w:name w:val="Heading 5 Char"/>
    <w:link w:val="645"/>
    <w:uiPriority w:val="9"/>
    <w:qFormat/>
    <w:rPr>
      <w:rFonts w:ascii="Arial" w:hAnsi="Arial" w:eastAsia="Arial" w:cs="Arial"/>
      <w:b/>
      <w:bCs/>
      <w:sz w:val="24"/>
      <w:szCs w:val="24"/>
    </w:rPr>
  </w:style>
  <w:style w:type="character" w:styleId="678" w:customStyle="1">
    <w:name w:val="Heading 6 Char"/>
    <w:link w:val="646"/>
    <w:uiPriority w:val="9"/>
    <w:qFormat/>
    <w:rPr>
      <w:rFonts w:ascii="Arial" w:hAnsi="Arial" w:eastAsia="Arial" w:cs="Arial"/>
      <w:b/>
      <w:bCs/>
      <w:sz w:val="22"/>
      <w:szCs w:val="22"/>
    </w:rPr>
  </w:style>
  <w:style w:type="character" w:styleId="679" w:customStyle="1">
    <w:name w:val="Heading 7 Char"/>
    <w:link w:val="647"/>
    <w:uiPriority w:val="9"/>
    <w:qFormat/>
    <w:rPr>
      <w:rFonts w:ascii="Arial" w:hAnsi="Arial" w:eastAsia="Arial" w:cs="Arial"/>
      <w:b/>
      <w:bCs/>
      <w:i/>
      <w:iCs/>
      <w:sz w:val="22"/>
      <w:szCs w:val="22"/>
    </w:rPr>
  </w:style>
  <w:style w:type="character" w:styleId="680" w:customStyle="1">
    <w:name w:val="Heading 8 Char"/>
    <w:link w:val="648"/>
    <w:uiPriority w:val="9"/>
    <w:qFormat/>
    <w:rPr>
      <w:rFonts w:ascii="Arial" w:hAnsi="Arial" w:eastAsia="Arial" w:cs="Arial"/>
      <w:i/>
      <w:iCs/>
      <w:sz w:val="22"/>
      <w:szCs w:val="22"/>
    </w:rPr>
  </w:style>
  <w:style w:type="character" w:styleId="681" w:customStyle="1">
    <w:name w:val="Heading 9 Char"/>
    <w:link w:val="649"/>
    <w:uiPriority w:val="9"/>
    <w:qFormat/>
    <w:rPr>
      <w:rFonts w:ascii="Arial" w:hAnsi="Arial" w:eastAsia="Arial" w:cs="Arial"/>
      <w:i/>
      <w:iCs/>
      <w:sz w:val="21"/>
      <w:szCs w:val="21"/>
    </w:rPr>
  </w:style>
  <w:style w:type="paragraph" w:styleId="682">
    <w:name w:val="List Paragraph"/>
    <w:basedOn w:val="640"/>
    <w:uiPriority w:val="34"/>
    <w:qFormat/>
    <w:pPr>
      <w:contextualSpacing/>
      <w:ind w:left="720"/>
    </w:pPr>
  </w:style>
  <w:style w:type="character" w:styleId="683" w:customStyle="1">
    <w:name w:val="Title Char"/>
    <w:link w:val="668"/>
    <w:uiPriority w:val="10"/>
    <w:qFormat/>
    <w:rPr>
      <w:sz w:val="48"/>
      <w:szCs w:val="48"/>
    </w:rPr>
  </w:style>
  <w:style w:type="paragraph" w:styleId="684">
    <w:name w:val="Quote"/>
    <w:basedOn w:val="640"/>
    <w:next w:val="640"/>
    <w:link w:val="685"/>
    <w:uiPriority w:val="29"/>
    <w:qFormat/>
    <w:pPr>
      <w:ind w:left="720" w:right="720"/>
    </w:pPr>
    <w:rPr>
      <w:i/>
    </w:rPr>
  </w:style>
  <w:style w:type="character" w:styleId="685" w:customStyle="1">
    <w:name w:val="Quote Char"/>
    <w:link w:val="684"/>
    <w:uiPriority w:val="29"/>
    <w:qFormat/>
    <w:rPr>
      <w:i/>
    </w:rPr>
  </w:style>
  <w:style w:type="paragraph" w:styleId="686">
    <w:name w:val="Intense Quote"/>
    <w:basedOn w:val="640"/>
    <w:next w:val="640"/>
    <w:link w:val="6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7" w:customStyle="1">
    <w:name w:val="Intense Quote Char"/>
    <w:link w:val="686"/>
    <w:uiPriority w:val="30"/>
    <w:qFormat/>
    <w:rPr>
      <w:i/>
    </w:rPr>
  </w:style>
  <w:style w:type="character" w:styleId="688" w:customStyle="1">
    <w:name w:val="Header Char"/>
    <w:link w:val="659"/>
    <w:uiPriority w:val="99"/>
    <w:qFormat/>
  </w:style>
  <w:style w:type="character" w:styleId="689" w:customStyle="1">
    <w:name w:val="Footer Char"/>
    <w:link w:val="658"/>
    <w:uiPriority w:val="99"/>
    <w:qFormat/>
  </w:style>
  <w:style w:type="paragraph" w:styleId="690" w:customStyle="1">
    <w:name w:val="TOC Heading"/>
    <w:uiPriority w:val="39"/>
    <w:unhideWhenUsed/>
    <w:qFormat/>
    <w:rPr>
      <w:rFonts w:hint="default" w:ascii="Times New Roman" w:hAnsi="Times New Roman" w:eastAsia="宋体" w:cs="Times New Roman"/>
    </w:rPr>
  </w:style>
  <w:style w:type="paragraph" w:styleId="691" w:customStyle="1">
    <w:name w:val="标题 11"/>
    <w:basedOn w:val="640"/>
    <w:next w:val="640"/>
    <w:link w:val="703"/>
    <w:uiPriority w:val="0"/>
    <w:qFormat/>
    <w:pPr>
      <w:keepLines/>
      <w:keepNext/>
      <w:spacing w:before="480" w:after="200"/>
      <w:outlineLvl w:val="0"/>
    </w:pPr>
    <w:rPr>
      <w:rFonts w:ascii="Arial" w:hAnsi="Arial" w:eastAsia="Arial" w:cs="Arial"/>
      <w:sz w:val="40"/>
      <w:szCs w:val="40"/>
    </w:rPr>
  </w:style>
  <w:style w:type="paragraph" w:styleId="692" w:customStyle="1">
    <w:name w:val="标题 21"/>
    <w:basedOn w:val="640"/>
    <w:next w:val="640"/>
    <w:uiPriority w:val="0"/>
    <w:qFormat/>
    <w:pPr>
      <w:jc w:val="left"/>
      <w:spacing w:before="100" w:beforeAutospacing="1" w:after="100" w:afterAutospacing="1"/>
      <w:outlineLvl w:val="1"/>
    </w:pPr>
    <w:rPr>
      <w:rFonts w:hint="eastAsia" w:ascii="宋体" w:hAnsi="宋体" w:eastAsia="宋体" w:cs="宋体"/>
      <w:b/>
      <w:bCs/>
      <w:sz w:val="36"/>
      <w:szCs w:val="36"/>
      <w:lang w:val="en-US" w:eastAsia="zh-CN"/>
    </w:rPr>
  </w:style>
  <w:style w:type="paragraph" w:styleId="693" w:customStyle="1">
    <w:name w:val="标题 31"/>
    <w:basedOn w:val="640"/>
    <w:next w:val="694"/>
    <w:uiPriority w:val="0"/>
    <w:qFormat/>
    <w:pPr>
      <w:keepLines/>
      <w:keepNext/>
      <w:spacing w:before="260" w:after="260" w:line="416" w:lineRule="auto"/>
      <w:outlineLvl w:val="2"/>
    </w:pPr>
    <w:rPr>
      <w:rFonts w:ascii="Times New Roman" w:hAnsi="Times New Roman" w:eastAsia="宋体" w:cs="Times New Roman"/>
      <w:b/>
      <w:sz w:val="32"/>
      <w:szCs w:val="20"/>
    </w:rPr>
  </w:style>
  <w:style w:type="paragraph" w:styleId="694" w:customStyle="1">
    <w:name w:val="正文缩进1"/>
    <w:basedOn w:val="640"/>
    <w:uiPriority w:val="0"/>
    <w:qFormat/>
    <w:pPr>
      <w:ind w:firstLine="420"/>
    </w:pPr>
    <w:rPr>
      <w:rFonts w:ascii="Times New Roman" w:hAnsi="Times New Roman" w:eastAsia="宋体" w:cs="Times New Roman"/>
    </w:rPr>
  </w:style>
  <w:style w:type="paragraph" w:styleId="695" w:customStyle="1">
    <w:name w:val="标题 41"/>
    <w:basedOn w:val="640"/>
    <w:next w:val="640"/>
    <w:link w:val="704"/>
    <w:uiPriority w:val="0"/>
    <w:qFormat/>
    <w:pPr>
      <w:keepLines/>
      <w:keepNext/>
      <w:spacing w:before="320" w:after="200"/>
      <w:outlineLvl w:val="3"/>
    </w:pPr>
    <w:rPr>
      <w:rFonts w:ascii="Arial" w:hAnsi="Arial" w:eastAsia="Arial" w:cs="Arial"/>
      <w:b/>
      <w:bCs/>
      <w:sz w:val="26"/>
      <w:szCs w:val="26"/>
    </w:rPr>
  </w:style>
  <w:style w:type="paragraph" w:styleId="696" w:customStyle="1">
    <w:name w:val="标题 51"/>
    <w:basedOn w:val="640"/>
    <w:next w:val="640"/>
    <w:link w:val="705"/>
    <w:uiPriority w:val="0"/>
    <w:qFormat/>
    <w:pPr>
      <w:keepLines/>
      <w:keepNext/>
      <w:spacing w:before="320" w:after="200"/>
      <w:outlineLvl w:val="4"/>
    </w:pPr>
    <w:rPr>
      <w:rFonts w:ascii="Arial" w:hAnsi="Arial" w:eastAsia="Arial" w:cs="Arial"/>
      <w:b/>
      <w:bCs/>
      <w:sz w:val="24"/>
      <w:szCs w:val="24"/>
    </w:rPr>
  </w:style>
  <w:style w:type="paragraph" w:styleId="697" w:customStyle="1">
    <w:name w:val="标题 61"/>
    <w:basedOn w:val="640"/>
    <w:next w:val="640"/>
    <w:link w:val="706"/>
    <w:uiPriority w:val="0"/>
    <w:qFormat/>
    <w:pPr>
      <w:keepLines/>
      <w:keepNext/>
      <w:spacing w:before="320" w:after="200"/>
      <w:outlineLvl w:val="5"/>
    </w:pPr>
    <w:rPr>
      <w:rFonts w:ascii="Arial" w:hAnsi="Arial" w:eastAsia="Arial" w:cs="Arial"/>
      <w:b/>
      <w:bCs/>
      <w:sz w:val="22"/>
      <w:szCs w:val="22"/>
    </w:rPr>
  </w:style>
  <w:style w:type="paragraph" w:styleId="698" w:customStyle="1">
    <w:name w:val="标题 71"/>
    <w:basedOn w:val="640"/>
    <w:next w:val="640"/>
    <w:link w:val="707"/>
    <w:uiPriority w:val="0"/>
    <w:qFormat/>
    <w:pPr>
      <w:keepLines/>
      <w:keepNext/>
      <w:spacing w:before="320" w:after="200"/>
      <w:outlineLvl w:val="6"/>
    </w:pPr>
    <w:rPr>
      <w:rFonts w:ascii="Arial" w:hAnsi="Arial" w:eastAsia="Arial" w:cs="Arial"/>
      <w:b/>
      <w:bCs/>
      <w:i/>
      <w:iCs/>
      <w:sz w:val="22"/>
      <w:szCs w:val="22"/>
    </w:rPr>
  </w:style>
  <w:style w:type="paragraph" w:styleId="699" w:customStyle="1">
    <w:name w:val="标题 81"/>
    <w:basedOn w:val="640"/>
    <w:next w:val="640"/>
    <w:link w:val="708"/>
    <w:uiPriority w:val="0"/>
    <w:qFormat/>
    <w:pPr>
      <w:keepLines/>
      <w:keepNext/>
      <w:spacing w:before="320" w:after="200"/>
      <w:outlineLvl w:val="7"/>
    </w:pPr>
    <w:rPr>
      <w:rFonts w:ascii="Arial" w:hAnsi="Arial" w:eastAsia="Arial" w:cs="Arial"/>
      <w:i/>
      <w:iCs/>
      <w:sz w:val="22"/>
      <w:szCs w:val="22"/>
    </w:rPr>
  </w:style>
  <w:style w:type="paragraph" w:styleId="700" w:customStyle="1">
    <w:name w:val="标题 91"/>
    <w:basedOn w:val="640"/>
    <w:next w:val="640"/>
    <w:link w:val="709"/>
    <w:uiPriority w:val="0"/>
    <w:qFormat/>
    <w:pPr>
      <w:keepLines/>
      <w:keepNext/>
      <w:spacing w:before="320" w:after="200"/>
      <w:outlineLvl w:val="8"/>
    </w:pPr>
    <w:rPr>
      <w:rFonts w:ascii="Arial" w:hAnsi="Arial" w:eastAsia="Arial" w:cs="Arial"/>
      <w:i/>
      <w:iCs/>
      <w:sz w:val="21"/>
      <w:szCs w:val="21"/>
    </w:rPr>
  </w:style>
  <w:style w:type="character" w:styleId="701" w:customStyle="1">
    <w:name w:val="默认段落字体1"/>
    <w:link w:val="640"/>
    <w:uiPriority w:val="0"/>
    <w:qFormat/>
    <w:rPr>
      <w:rFonts w:ascii="Times New Roman" w:hAnsi="Times New Roman" w:eastAsia="宋体" w:cs="Times New Roman"/>
    </w:rPr>
  </w:style>
  <w:style w:type="table" w:styleId="702" w:customStyle="1">
    <w:name w:val="普通表格1"/>
    <w:uiPriority w:val="0"/>
    <w:qFormat/>
    <w:rPr>
      <w:rFonts w:ascii="Times New Roman" w:hAnsi="Times New Roman" w:eastAsia="宋体" w:cs="Times New Roman"/>
    </w:rPr>
    <w:tblPr/>
  </w:style>
  <w:style w:type="character" w:styleId="703" w:customStyle="1">
    <w:name w:val="Heading 1 Char_830c6358-8cff-430e-9256-9af79a72943e"/>
    <w:basedOn w:val="701"/>
    <w:link w:val="691"/>
    <w:uiPriority w:val="0"/>
    <w:qFormat/>
    <w:rPr>
      <w:rFonts w:ascii="Arial" w:hAnsi="Arial" w:eastAsia="Arial" w:cs="Arial"/>
      <w:sz w:val="40"/>
      <w:szCs w:val="40"/>
    </w:rPr>
  </w:style>
  <w:style w:type="character" w:styleId="704" w:customStyle="1">
    <w:name w:val="Heading 4 Char_ed2f94e0-2a73-4db1-9431-18a202b76f7a"/>
    <w:basedOn w:val="701"/>
    <w:link w:val="695"/>
    <w:uiPriority w:val="0"/>
    <w:qFormat/>
    <w:rPr>
      <w:rFonts w:ascii="Arial" w:hAnsi="Arial" w:eastAsia="Arial" w:cs="Arial"/>
      <w:b/>
      <w:bCs/>
      <w:sz w:val="26"/>
      <w:szCs w:val="26"/>
    </w:rPr>
  </w:style>
  <w:style w:type="character" w:styleId="705" w:customStyle="1">
    <w:name w:val="Heading 5 Char_0d1144d8-90e4-44fe-b5b2-995535f2a30f"/>
    <w:basedOn w:val="701"/>
    <w:link w:val="696"/>
    <w:uiPriority w:val="0"/>
    <w:qFormat/>
    <w:rPr>
      <w:rFonts w:ascii="Arial" w:hAnsi="Arial" w:eastAsia="Arial" w:cs="Arial"/>
      <w:b/>
      <w:bCs/>
      <w:sz w:val="24"/>
      <w:szCs w:val="24"/>
    </w:rPr>
  </w:style>
  <w:style w:type="character" w:styleId="706" w:customStyle="1">
    <w:name w:val="Heading 6 Char_4fac92d1-86d7-4946-bc5d-c3a80ca8d96d"/>
    <w:basedOn w:val="701"/>
    <w:link w:val="697"/>
    <w:uiPriority w:val="0"/>
    <w:qFormat/>
    <w:rPr>
      <w:rFonts w:ascii="Arial" w:hAnsi="Arial" w:eastAsia="Arial" w:cs="Arial"/>
      <w:b/>
      <w:bCs/>
      <w:sz w:val="22"/>
      <w:szCs w:val="22"/>
    </w:rPr>
  </w:style>
  <w:style w:type="character" w:styleId="707" w:customStyle="1">
    <w:name w:val="Heading 7 Char_0773bd8b-3131-4dbf-84c4-36a133102318"/>
    <w:basedOn w:val="701"/>
    <w:link w:val="698"/>
    <w:uiPriority w:val="0"/>
    <w:qFormat/>
    <w:rPr>
      <w:rFonts w:ascii="Arial" w:hAnsi="Arial" w:eastAsia="Arial" w:cs="Arial"/>
      <w:b/>
      <w:bCs/>
      <w:i/>
      <w:iCs/>
      <w:sz w:val="22"/>
      <w:szCs w:val="22"/>
    </w:rPr>
  </w:style>
  <w:style w:type="character" w:styleId="708" w:customStyle="1">
    <w:name w:val="Heading 8 Char_499c478d-e1d1-43cc-bafe-146d83dbb256"/>
    <w:basedOn w:val="701"/>
    <w:link w:val="699"/>
    <w:uiPriority w:val="0"/>
    <w:qFormat/>
    <w:rPr>
      <w:rFonts w:ascii="Arial" w:hAnsi="Arial" w:eastAsia="Arial" w:cs="Arial"/>
      <w:i/>
      <w:iCs/>
      <w:sz w:val="22"/>
      <w:szCs w:val="22"/>
    </w:rPr>
  </w:style>
  <w:style w:type="character" w:styleId="709" w:customStyle="1">
    <w:name w:val="Heading 9 Char_02437af2-7374-4add-862b-dbb45fc290ec"/>
    <w:basedOn w:val="701"/>
    <w:link w:val="700"/>
    <w:uiPriority w:val="0"/>
    <w:qFormat/>
    <w:rPr>
      <w:rFonts w:ascii="Arial" w:hAnsi="Arial" w:eastAsia="Arial" w:cs="Arial"/>
      <w:i/>
      <w:iCs/>
      <w:sz w:val="21"/>
      <w:szCs w:val="21"/>
    </w:rPr>
  </w:style>
  <w:style w:type="paragraph" w:styleId="710" w:customStyle="1">
    <w:name w:val="目录 71"/>
    <w:basedOn w:val="640"/>
    <w:next w:val="640"/>
    <w:uiPriority w:val="0"/>
    <w:qFormat/>
    <w:pPr>
      <w:ind w:left="1701" w:right="0" w:firstLine="0"/>
      <w:spacing w:after="57"/>
    </w:pPr>
    <w:rPr>
      <w:rFonts w:ascii="Times New Roman" w:hAnsi="Times New Roman" w:eastAsia="宋体" w:cs="Times New Roman"/>
    </w:rPr>
  </w:style>
  <w:style w:type="paragraph" w:styleId="711" w:customStyle="1">
    <w:name w:val="题注1"/>
    <w:basedOn w:val="640"/>
    <w:next w:val="640"/>
    <w:uiPriority w:val="0"/>
    <w:qFormat/>
    <w:pPr>
      <w:spacing w:line="276" w:lineRule="auto"/>
    </w:pPr>
    <w:rPr>
      <w:rFonts w:ascii="Times New Roman" w:hAnsi="Times New Roman" w:eastAsia="宋体" w:cs="Times New Roman"/>
      <w:b/>
      <w:bCs/>
      <w:color w:val="5b9bd5"/>
      <w:sz w:val="18"/>
      <w:szCs w:val="18"/>
    </w:rPr>
  </w:style>
  <w:style w:type="paragraph" w:styleId="712" w:customStyle="1">
    <w:name w:val="正文文本1"/>
    <w:basedOn w:val="640"/>
    <w:next w:val="713"/>
    <w:uiPriority w:val="0"/>
    <w:qFormat/>
    <w:rPr>
      <w:rFonts w:ascii="楷体_GB2312" w:hAnsi="Arial" w:eastAsia="楷体_GB2312" w:cs="Times New Roman"/>
      <w:sz w:val="28"/>
      <w:szCs w:val="28"/>
    </w:rPr>
  </w:style>
  <w:style w:type="paragraph" w:styleId="713" w:customStyle="1">
    <w:name w:val="目录 21"/>
    <w:basedOn w:val="640"/>
    <w:next w:val="640"/>
    <w:uiPriority w:val="0"/>
    <w:qFormat/>
    <w:pPr>
      <w:ind w:left="210"/>
      <w:jc w:val="left"/>
    </w:pPr>
    <w:rPr>
      <w:rFonts w:ascii="Times New Roman" w:hAnsi="Times New Roman" w:eastAsia="宋体" w:cs="Times New Roman"/>
      <w:smallCaps/>
      <w:szCs w:val="24"/>
    </w:rPr>
  </w:style>
  <w:style w:type="paragraph" w:styleId="714" w:customStyle="1">
    <w:name w:val="正文文本缩进1"/>
    <w:basedOn w:val="640"/>
    <w:uiPriority w:val="0"/>
    <w:qFormat/>
    <w:pPr>
      <w:ind w:firstLine="645"/>
    </w:pPr>
    <w:rPr>
      <w:rFonts w:ascii="楷体_GB2312" w:hAnsi="Times New Roman" w:eastAsia="楷体_GB2312" w:cs="Times New Roman"/>
      <w:sz w:val="32"/>
      <w:szCs w:val="32"/>
    </w:rPr>
  </w:style>
  <w:style w:type="paragraph" w:styleId="715" w:customStyle="1">
    <w:name w:val="目录 51"/>
    <w:basedOn w:val="640"/>
    <w:next w:val="640"/>
    <w:uiPriority w:val="0"/>
    <w:qFormat/>
    <w:pPr>
      <w:ind w:left="1134" w:right="0" w:firstLine="0"/>
      <w:spacing w:after="57"/>
    </w:pPr>
    <w:rPr>
      <w:rFonts w:ascii="Times New Roman" w:hAnsi="Times New Roman" w:eastAsia="宋体" w:cs="Times New Roman"/>
    </w:rPr>
  </w:style>
  <w:style w:type="paragraph" w:styleId="716" w:customStyle="1">
    <w:name w:val="目录 31"/>
    <w:basedOn w:val="640"/>
    <w:next w:val="640"/>
    <w:uiPriority w:val="0"/>
    <w:qFormat/>
    <w:pPr>
      <w:ind w:left="567" w:right="0" w:firstLine="0"/>
      <w:spacing w:after="57"/>
    </w:pPr>
    <w:rPr>
      <w:rFonts w:ascii="Times New Roman" w:hAnsi="Times New Roman" w:eastAsia="宋体" w:cs="Times New Roman"/>
    </w:rPr>
  </w:style>
  <w:style w:type="paragraph" w:styleId="717" w:customStyle="1">
    <w:name w:val="目录 81"/>
    <w:basedOn w:val="640"/>
    <w:next w:val="640"/>
    <w:uiPriority w:val="0"/>
    <w:qFormat/>
    <w:pPr>
      <w:ind w:left="1984" w:right="0" w:firstLine="0"/>
      <w:spacing w:after="57"/>
    </w:pPr>
    <w:rPr>
      <w:rFonts w:ascii="Times New Roman" w:hAnsi="Times New Roman" w:eastAsia="宋体" w:cs="Times New Roman"/>
    </w:rPr>
  </w:style>
  <w:style w:type="paragraph" w:styleId="718" w:customStyle="1">
    <w:name w:val="尾注文本1"/>
    <w:basedOn w:val="640"/>
    <w:link w:val="719"/>
    <w:uiPriority w:val="0"/>
    <w:qFormat/>
    <w:pPr>
      <w:spacing w:after="0" w:line="240" w:lineRule="auto"/>
    </w:pPr>
    <w:rPr>
      <w:rFonts w:ascii="Times New Roman" w:hAnsi="Times New Roman" w:eastAsia="宋体" w:cs="Times New Roman"/>
      <w:sz w:val="20"/>
    </w:rPr>
  </w:style>
  <w:style w:type="character" w:styleId="719" w:customStyle="1">
    <w:name w:val="Endnote Text Char"/>
    <w:link w:val="718"/>
    <w:uiPriority w:val="0"/>
    <w:qFormat/>
    <w:rPr>
      <w:rFonts w:ascii="Times New Roman" w:hAnsi="Times New Roman" w:eastAsia="宋体" w:cs="Times New Roman"/>
      <w:sz w:val="20"/>
    </w:rPr>
  </w:style>
  <w:style w:type="paragraph" w:styleId="720" w:customStyle="1">
    <w:name w:val="页脚1"/>
    <w:basedOn w:val="640"/>
    <w:link w:val="721"/>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721" w:customStyle="1">
    <w:name w:val="页脚 Char"/>
    <w:basedOn w:val="701"/>
    <w:link w:val="720"/>
    <w:uiPriority w:val="0"/>
    <w:qFormat/>
    <w:rPr>
      <w:rFonts w:ascii="Times New Roman" w:hAnsi="Times New Roman" w:eastAsia="宋体" w:cs="Times New Roman"/>
      <w:sz w:val="18"/>
      <w:szCs w:val="18"/>
    </w:rPr>
  </w:style>
  <w:style w:type="paragraph" w:styleId="722" w:customStyle="1">
    <w:name w:val="页眉1"/>
    <w:basedOn w:val="640"/>
    <w:link w:val="723"/>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23" w:customStyle="1">
    <w:name w:val="页眉 Char"/>
    <w:basedOn w:val="701"/>
    <w:link w:val="722"/>
    <w:uiPriority w:val="0"/>
    <w:qFormat/>
    <w:rPr>
      <w:rFonts w:ascii="Times New Roman" w:hAnsi="Times New Roman" w:eastAsia="宋体" w:cs="Times New Roman"/>
      <w:sz w:val="18"/>
      <w:szCs w:val="18"/>
    </w:rPr>
  </w:style>
  <w:style w:type="paragraph" w:styleId="724" w:customStyle="1">
    <w:name w:val="目录 11"/>
    <w:basedOn w:val="640"/>
    <w:next w:val="640"/>
    <w:uiPriority w:val="0"/>
    <w:qFormat/>
    <w:pPr>
      <w:ind w:left="0" w:right="0" w:firstLine="0"/>
      <w:spacing w:after="57"/>
    </w:pPr>
    <w:rPr>
      <w:rFonts w:ascii="Times New Roman" w:hAnsi="Times New Roman" w:eastAsia="宋体" w:cs="Times New Roman"/>
    </w:rPr>
  </w:style>
  <w:style w:type="paragraph" w:styleId="725" w:customStyle="1">
    <w:name w:val="目录 41"/>
    <w:basedOn w:val="640"/>
    <w:next w:val="640"/>
    <w:uiPriority w:val="0"/>
    <w:qFormat/>
    <w:pPr>
      <w:ind w:left="850" w:right="0" w:firstLine="0"/>
      <w:spacing w:after="57"/>
    </w:pPr>
    <w:rPr>
      <w:rFonts w:ascii="Times New Roman" w:hAnsi="Times New Roman" w:eastAsia="宋体" w:cs="Times New Roman"/>
    </w:rPr>
  </w:style>
  <w:style w:type="paragraph" w:styleId="726" w:customStyle="1">
    <w:name w:val="副标题1"/>
    <w:basedOn w:val="640"/>
    <w:next w:val="640"/>
    <w:link w:val="727"/>
    <w:uiPriority w:val="0"/>
    <w:qFormat/>
    <w:pPr>
      <w:spacing w:before="200" w:after="200"/>
    </w:pPr>
    <w:rPr>
      <w:rFonts w:ascii="Times New Roman" w:hAnsi="Times New Roman" w:eastAsia="宋体" w:cs="Times New Roman"/>
      <w:sz w:val="24"/>
      <w:szCs w:val="24"/>
    </w:rPr>
  </w:style>
  <w:style w:type="character" w:styleId="727" w:customStyle="1">
    <w:name w:val="Subtitle Char"/>
    <w:basedOn w:val="701"/>
    <w:link w:val="726"/>
    <w:uiPriority w:val="0"/>
    <w:qFormat/>
    <w:rPr>
      <w:rFonts w:ascii="Times New Roman" w:hAnsi="Times New Roman" w:eastAsia="宋体" w:cs="Times New Roman"/>
      <w:sz w:val="24"/>
      <w:szCs w:val="24"/>
    </w:rPr>
  </w:style>
  <w:style w:type="paragraph" w:styleId="728" w:customStyle="1">
    <w:name w:val="脚注文本1"/>
    <w:basedOn w:val="640"/>
    <w:link w:val="729"/>
    <w:uiPriority w:val="0"/>
    <w:qFormat/>
    <w:pPr>
      <w:spacing w:after="40" w:line="240" w:lineRule="auto"/>
    </w:pPr>
    <w:rPr>
      <w:rFonts w:ascii="Times New Roman" w:hAnsi="Times New Roman" w:eastAsia="宋体" w:cs="Times New Roman"/>
      <w:sz w:val="18"/>
    </w:rPr>
  </w:style>
  <w:style w:type="character" w:styleId="729" w:customStyle="1">
    <w:name w:val="Footnote Text Char"/>
    <w:link w:val="728"/>
    <w:uiPriority w:val="0"/>
    <w:qFormat/>
    <w:rPr>
      <w:rFonts w:ascii="Times New Roman" w:hAnsi="Times New Roman" w:eastAsia="宋体" w:cs="Times New Roman"/>
      <w:sz w:val="18"/>
    </w:rPr>
  </w:style>
  <w:style w:type="paragraph" w:styleId="730" w:customStyle="1">
    <w:name w:val="目录 61"/>
    <w:basedOn w:val="640"/>
    <w:next w:val="640"/>
    <w:uiPriority w:val="0"/>
    <w:qFormat/>
    <w:pPr>
      <w:ind w:left="1417" w:right="0" w:firstLine="0"/>
      <w:spacing w:after="57"/>
    </w:pPr>
    <w:rPr>
      <w:rFonts w:ascii="Times New Roman" w:hAnsi="Times New Roman" w:eastAsia="宋体" w:cs="Times New Roman"/>
    </w:rPr>
  </w:style>
  <w:style w:type="paragraph" w:styleId="731" w:customStyle="1">
    <w:name w:val="正文文本缩进 31"/>
    <w:basedOn w:val="640"/>
    <w:uiPriority w:val="0"/>
    <w:qFormat/>
    <w:pPr>
      <w:ind w:left="645" w:firstLine="645"/>
    </w:pPr>
    <w:rPr>
      <w:rFonts w:ascii="Arial" w:hAnsi="Arial" w:eastAsia="仿宋_GB2312" w:cs="Arial"/>
      <w:color w:val="ffff00"/>
      <w:sz w:val="32"/>
      <w:szCs w:val="32"/>
    </w:rPr>
  </w:style>
  <w:style w:type="paragraph" w:styleId="732" w:customStyle="1">
    <w:name w:val="图表目录1"/>
    <w:basedOn w:val="640"/>
    <w:next w:val="640"/>
    <w:uiPriority w:val="0"/>
    <w:qFormat/>
    <w:pPr>
      <w:spacing w:after="0" w:afterAutospacing="0"/>
    </w:pPr>
    <w:rPr>
      <w:rFonts w:ascii="Times New Roman" w:hAnsi="Times New Roman" w:eastAsia="宋体" w:cs="Times New Roman"/>
    </w:rPr>
  </w:style>
  <w:style w:type="paragraph" w:styleId="733" w:customStyle="1">
    <w:name w:val="目录 91"/>
    <w:basedOn w:val="640"/>
    <w:next w:val="640"/>
    <w:uiPriority w:val="0"/>
    <w:qFormat/>
    <w:pPr>
      <w:ind w:left="2268" w:right="0" w:firstLine="0"/>
      <w:spacing w:after="57"/>
    </w:pPr>
    <w:rPr>
      <w:rFonts w:ascii="Times New Roman" w:hAnsi="Times New Roman" w:eastAsia="宋体" w:cs="Times New Roman"/>
    </w:rPr>
  </w:style>
  <w:style w:type="paragraph" w:styleId="734" w:customStyle="1">
    <w:name w:val="普通(网站)1"/>
    <w:basedOn w:val="640"/>
    <w:uiPriority w:val="0"/>
    <w:qFormat/>
    <w:pPr>
      <w:jc w:val="left"/>
      <w:spacing w:beforeAutospacing="1" w:afterAutospacing="1"/>
    </w:pPr>
    <w:rPr>
      <w:rFonts w:ascii="Times New Roman" w:hAnsi="Times New Roman" w:eastAsia="宋体" w:cs="Times New Roman"/>
      <w:sz w:val="24"/>
    </w:rPr>
  </w:style>
  <w:style w:type="paragraph" w:styleId="735" w:customStyle="1">
    <w:name w:val="标题1"/>
    <w:basedOn w:val="640"/>
    <w:next w:val="640"/>
    <w:link w:val="736"/>
    <w:uiPriority w:val="0"/>
    <w:qFormat/>
    <w:pPr>
      <w:contextualSpacing/>
      <w:spacing w:before="300" w:after="200"/>
    </w:pPr>
    <w:rPr>
      <w:rFonts w:ascii="Times New Roman" w:hAnsi="Times New Roman" w:eastAsia="宋体" w:cs="Times New Roman"/>
      <w:sz w:val="48"/>
      <w:szCs w:val="48"/>
    </w:rPr>
  </w:style>
  <w:style w:type="character" w:styleId="736" w:customStyle="1">
    <w:name w:val="Title Char_08720591-4275-402c-841d-0a246034c2ce"/>
    <w:basedOn w:val="701"/>
    <w:link w:val="735"/>
    <w:uiPriority w:val="0"/>
    <w:qFormat/>
    <w:rPr>
      <w:rFonts w:ascii="Times New Roman" w:hAnsi="Times New Roman" w:eastAsia="宋体" w:cs="Times New Roman"/>
      <w:sz w:val="48"/>
      <w:szCs w:val="48"/>
    </w:rPr>
  </w:style>
  <w:style w:type="paragraph" w:styleId="737" w:customStyle="1">
    <w:name w:val="正文首行缩进1"/>
    <w:basedOn w:val="640"/>
    <w:next w:val="640"/>
    <w:uiPriority w:val="0"/>
    <w:qFormat/>
    <w:pPr>
      <w:ind w:firstLine="420"/>
    </w:pPr>
    <w:rPr>
      <w:rFonts w:ascii="Times New Roman" w:hAnsi="Times New Roman" w:eastAsia="宋体" w:cs="Times New Roman"/>
    </w:rPr>
  </w:style>
  <w:style w:type="paragraph" w:styleId="738" w:customStyle="1">
    <w:name w:val="正文首行缩进 21"/>
    <w:basedOn w:val="714"/>
    <w:next w:val="737"/>
    <w:uiPriority w:val="0"/>
    <w:qFormat/>
    <w:pPr>
      <w:ind w:firstLine="420"/>
      <w:spacing w:line="360" w:lineRule="auto"/>
    </w:pPr>
    <w:rPr>
      <w:rFonts w:ascii="宋体" w:hAnsi="宋体" w:eastAsia="宋体" w:cs="Times New Roman"/>
      <w:sz w:val="21"/>
      <w:szCs w:val="20"/>
    </w:rPr>
  </w:style>
  <w:style w:type="table" w:styleId="739" w:customStyle="1">
    <w:name w:val="网格型1"/>
    <w:basedOn w:val="702"/>
    <w:uiPriority w:val="0"/>
    <w:qFormat/>
    <w:pPr>
      <w:jc w:val="both"/>
      <w:widowControl w:val="off"/>
    </w:pPr>
    <w:rPr>
      <w:rFonts w:ascii="Times New Roman" w:hAnsi="Times New Roman" w:eastAsia="宋体" w:cs="Times New Roman"/>
    </w:rPr>
    <w:tblPr/>
  </w:style>
  <w:style w:type="character" w:styleId="740" w:customStyle="1">
    <w:name w:val="尾注引用1"/>
    <w:basedOn w:val="701"/>
    <w:link w:val="640"/>
    <w:uiPriority w:val="0"/>
    <w:qFormat/>
    <w:rPr>
      <w:rFonts w:ascii="Times New Roman" w:hAnsi="Times New Roman" w:eastAsia="宋体" w:cs="Times New Roman"/>
      <w:vertAlign w:val="superscript"/>
    </w:rPr>
  </w:style>
  <w:style w:type="character" w:styleId="741" w:customStyle="1">
    <w:name w:val="超链接1"/>
    <w:link w:val="640"/>
    <w:uiPriority w:val="0"/>
    <w:qFormat/>
    <w:rPr>
      <w:rFonts w:ascii="Times New Roman" w:hAnsi="Times New Roman" w:eastAsia="宋体" w:cs="Times New Roman"/>
      <w:color w:val="0000ff"/>
      <w:u w:val="single"/>
    </w:rPr>
  </w:style>
  <w:style w:type="character" w:styleId="742" w:customStyle="1">
    <w:name w:val="脚注引用1"/>
    <w:basedOn w:val="701"/>
    <w:link w:val="640"/>
    <w:uiPriority w:val="0"/>
    <w:qFormat/>
    <w:rPr>
      <w:rFonts w:ascii="Times New Roman" w:hAnsi="Times New Roman" w:eastAsia="宋体" w:cs="Times New Roman"/>
      <w:vertAlign w:val="superscript"/>
    </w:rPr>
  </w:style>
  <w:style w:type="character" w:styleId="743" w:customStyle="1">
    <w:name w:val="Heading 2 Char_12e7696f-8b44-4b62-aab3-da754793bfc4"/>
    <w:basedOn w:val="701"/>
    <w:link w:val="640"/>
    <w:uiPriority w:val="0"/>
    <w:qFormat/>
    <w:rPr>
      <w:rFonts w:ascii="Arial" w:hAnsi="Arial" w:eastAsia="Arial" w:cs="Arial"/>
      <w:sz w:val="34"/>
    </w:rPr>
  </w:style>
  <w:style w:type="character" w:styleId="744" w:customStyle="1">
    <w:name w:val="Heading 3 Char_d8fd1a90-e9d2-458b-b279-7c8d4f44b489"/>
    <w:basedOn w:val="701"/>
    <w:link w:val="640"/>
    <w:uiPriority w:val="0"/>
    <w:qFormat/>
    <w:rPr>
      <w:rFonts w:ascii="Arial" w:hAnsi="Arial" w:eastAsia="Arial" w:cs="Arial"/>
      <w:sz w:val="30"/>
      <w:szCs w:val="30"/>
    </w:rPr>
  </w:style>
  <w:style w:type="paragraph" w:styleId="745">
    <w:name w:val="No Spacing"/>
    <w:uiPriority w:val="0"/>
    <w:qFormat/>
    <w:pPr>
      <w:spacing w:before="0" w:after="0" w:line="240" w:lineRule="auto"/>
    </w:pPr>
    <w:rPr>
      <w:rFonts w:hint="default" w:ascii="Times New Roman" w:hAnsi="Times New Roman" w:eastAsia="宋体" w:cs="Times New Roman"/>
    </w:rPr>
  </w:style>
  <w:style w:type="paragraph" w:styleId="746" w:customStyle="1">
    <w:name w:val="引用"/>
    <w:basedOn w:val="640"/>
    <w:next w:val="640"/>
    <w:link w:val="747"/>
    <w:uiPriority w:val="0"/>
    <w:qFormat/>
    <w:pPr>
      <w:ind w:left="720" w:right="720"/>
    </w:pPr>
    <w:rPr>
      <w:rFonts w:ascii="Times New Roman" w:hAnsi="Times New Roman" w:eastAsia="宋体" w:cs="Times New Roman"/>
      <w:i/>
    </w:rPr>
  </w:style>
  <w:style w:type="character" w:styleId="747" w:customStyle="1">
    <w:name w:val="Quote Char_2c53f37f-e3e4-465e-be71-123dc105a019"/>
    <w:link w:val="746"/>
    <w:uiPriority w:val="0"/>
    <w:qFormat/>
    <w:rPr>
      <w:rFonts w:ascii="Times New Roman" w:hAnsi="Times New Roman" w:eastAsia="宋体" w:cs="Times New Roman"/>
      <w:i/>
    </w:rPr>
  </w:style>
  <w:style w:type="paragraph" w:styleId="748" w:customStyle="1">
    <w:name w:val="明显引用"/>
    <w:basedOn w:val="640"/>
    <w:next w:val="640"/>
    <w:link w:val="749"/>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749" w:customStyle="1">
    <w:name w:val="Intense Quote Char_266d9334-8f03-4d80-a93a-1c350f1dcaf0"/>
    <w:link w:val="748"/>
    <w:uiPriority w:val="0"/>
    <w:qFormat/>
    <w:rPr>
      <w:rFonts w:ascii="Times New Roman" w:hAnsi="Times New Roman" w:eastAsia="宋体" w:cs="Times New Roman"/>
      <w:i/>
    </w:rPr>
  </w:style>
  <w:style w:type="character" w:styleId="750" w:customStyle="1">
    <w:name w:val="Header Char_109a66f0-c6b5-408a-86eb-45becfd1063f"/>
    <w:basedOn w:val="701"/>
    <w:link w:val="640"/>
    <w:uiPriority w:val="0"/>
    <w:qFormat/>
    <w:rPr>
      <w:rFonts w:ascii="Times New Roman" w:hAnsi="Times New Roman" w:eastAsia="宋体" w:cs="Times New Roman"/>
    </w:rPr>
  </w:style>
  <w:style w:type="character" w:styleId="751" w:customStyle="1">
    <w:name w:val="Footer Char_73657df1-84d9-4cc8-8c95-6aa524389db8"/>
    <w:basedOn w:val="701"/>
    <w:link w:val="640"/>
    <w:uiPriority w:val="0"/>
    <w:qFormat/>
    <w:rPr>
      <w:rFonts w:ascii="Times New Roman" w:hAnsi="Times New Roman" w:eastAsia="宋体" w:cs="Times New Roman"/>
    </w:rPr>
  </w:style>
  <w:style w:type="character" w:styleId="752" w:customStyle="1">
    <w:name w:val="Caption Char"/>
    <w:link w:val="640"/>
    <w:uiPriority w:val="0"/>
    <w:qFormat/>
    <w:rPr>
      <w:rFonts w:ascii="Times New Roman" w:hAnsi="Times New Roman" w:eastAsia="宋体" w:cs="Times New Roman"/>
    </w:rPr>
  </w:style>
  <w:style w:type="table" w:styleId="753" w:customStyle="1">
    <w:name w:val="Table Grid Light"/>
    <w:basedOn w:val="702"/>
    <w:uiPriority w:val="0"/>
    <w:qFormat/>
    <w:pPr>
      <w:spacing w:after="0" w:line="240" w:lineRule="auto"/>
    </w:pPr>
    <w:rPr>
      <w:rFonts w:ascii="Times New Roman" w:hAnsi="Times New Roman" w:eastAsia="宋体" w:cs="Times New Roman"/>
    </w:rPr>
    <w:tblPr/>
  </w:style>
  <w:style w:type="table" w:styleId="754" w:customStyle="1">
    <w:name w:val="Plain Table 1"/>
    <w:basedOn w:val="702"/>
    <w:uiPriority w:val="0"/>
    <w:qFormat/>
    <w:pPr>
      <w:spacing w:after="0" w:line="240" w:lineRule="auto"/>
    </w:pPr>
    <w:rPr>
      <w:rFonts w:ascii="Times New Roman" w:hAnsi="Times New Roman" w:eastAsia="宋体" w:cs="Times New Roman"/>
    </w:rPr>
    <w:tblPr/>
  </w:style>
  <w:style w:type="table" w:styleId="755" w:customStyle="1">
    <w:name w:val="Plain Table 2"/>
    <w:basedOn w:val="702"/>
    <w:uiPriority w:val="0"/>
    <w:qFormat/>
    <w:pPr>
      <w:spacing w:after="0" w:line="240" w:lineRule="auto"/>
    </w:pPr>
    <w:rPr>
      <w:rFonts w:ascii="Times New Roman" w:hAnsi="Times New Roman" w:eastAsia="宋体" w:cs="Times New Roman"/>
    </w:rPr>
    <w:tblPr/>
  </w:style>
  <w:style w:type="table" w:styleId="756" w:customStyle="1">
    <w:name w:val="Plain Table 3"/>
    <w:basedOn w:val="702"/>
    <w:uiPriority w:val="0"/>
    <w:qFormat/>
    <w:pPr>
      <w:spacing w:after="0" w:line="240" w:lineRule="auto"/>
    </w:pPr>
    <w:rPr>
      <w:rFonts w:ascii="Times New Roman" w:hAnsi="Times New Roman" w:eastAsia="宋体" w:cs="Times New Roman"/>
    </w:rPr>
    <w:tblPr/>
  </w:style>
  <w:style w:type="table" w:styleId="757" w:customStyle="1">
    <w:name w:val="Plain Table 4"/>
    <w:basedOn w:val="702"/>
    <w:uiPriority w:val="0"/>
    <w:qFormat/>
    <w:pPr>
      <w:spacing w:after="0" w:line="240" w:lineRule="auto"/>
    </w:pPr>
    <w:rPr>
      <w:rFonts w:ascii="Times New Roman" w:hAnsi="Times New Roman" w:eastAsia="宋体" w:cs="Times New Roman"/>
    </w:rPr>
    <w:tblPr/>
  </w:style>
  <w:style w:type="table" w:styleId="758" w:customStyle="1">
    <w:name w:val="Plain Table 5"/>
    <w:basedOn w:val="702"/>
    <w:uiPriority w:val="0"/>
    <w:qFormat/>
    <w:pPr>
      <w:spacing w:after="0" w:line="240" w:lineRule="auto"/>
    </w:pPr>
    <w:rPr>
      <w:rFonts w:ascii="Times New Roman" w:hAnsi="Times New Roman" w:eastAsia="宋体" w:cs="Times New Roman"/>
    </w:rPr>
    <w:tblPr/>
  </w:style>
  <w:style w:type="table" w:styleId="759" w:customStyle="1">
    <w:name w:val="Grid Table 1 Light"/>
    <w:basedOn w:val="702"/>
    <w:uiPriority w:val="0"/>
    <w:qFormat/>
    <w:pPr>
      <w:spacing w:after="0" w:line="240" w:lineRule="auto"/>
    </w:pPr>
    <w:rPr>
      <w:rFonts w:ascii="Times New Roman" w:hAnsi="Times New Roman" w:eastAsia="宋体" w:cs="Times New Roman"/>
    </w:rPr>
    <w:tblPr/>
  </w:style>
  <w:style w:type="table" w:styleId="760" w:customStyle="1">
    <w:name w:val="Grid Table 1 Light - Accent 1"/>
    <w:basedOn w:val="702"/>
    <w:uiPriority w:val="0"/>
    <w:qFormat/>
    <w:pPr>
      <w:spacing w:after="0" w:line="240" w:lineRule="auto"/>
    </w:pPr>
    <w:rPr>
      <w:rFonts w:ascii="Times New Roman" w:hAnsi="Times New Roman" w:eastAsia="宋体" w:cs="Times New Roman"/>
    </w:rPr>
    <w:tblPr/>
  </w:style>
  <w:style w:type="table" w:styleId="761" w:customStyle="1">
    <w:name w:val="Grid Table 1 Light - Accent 2"/>
    <w:basedOn w:val="702"/>
    <w:uiPriority w:val="0"/>
    <w:qFormat/>
    <w:pPr>
      <w:spacing w:after="0" w:line="240" w:lineRule="auto"/>
    </w:pPr>
    <w:rPr>
      <w:rFonts w:ascii="Times New Roman" w:hAnsi="Times New Roman" w:eastAsia="宋体" w:cs="Times New Roman"/>
    </w:rPr>
    <w:tblPr/>
  </w:style>
  <w:style w:type="table" w:styleId="762" w:customStyle="1">
    <w:name w:val="Grid Table 1 Light - Accent 3"/>
    <w:basedOn w:val="702"/>
    <w:uiPriority w:val="0"/>
    <w:qFormat/>
    <w:pPr>
      <w:spacing w:after="0" w:line="240" w:lineRule="auto"/>
    </w:pPr>
    <w:rPr>
      <w:rFonts w:ascii="Times New Roman" w:hAnsi="Times New Roman" w:eastAsia="宋体" w:cs="Times New Roman"/>
    </w:rPr>
    <w:tblPr/>
  </w:style>
  <w:style w:type="table" w:styleId="763" w:customStyle="1">
    <w:name w:val="Grid Table 1 Light - Accent 4"/>
    <w:basedOn w:val="702"/>
    <w:uiPriority w:val="0"/>
    <w:qFormat/>
    <w:pPr>
      <w:spacing w:after="0" w:line="240" w:lineRule="auto"/>
    </w:pPr>
    <w:rPr>
      <w:rFonts w:ascii="Times New Roman" w:hAnsi="Times New Roman" w:eastAsia="宋体" w:cs="Times New Roman"/>
    </w:rPr>
    <w:tblPr/>
  </w:style>
  <w:style w:type="table" w:styleId="764" w:customStyle="1">
    <w:name w:val="Grid Table 1 Light - Accent 5"/>
    <w:basedOn w:val="702"/>
    <w:uiPriority w:val="0"/>
    <w:qFormat/>
    <w:pPr>
      <w:spacing w:after="0" w:line="240" w:lineRule="auto"/>
    </w:pPr>
    <w:rPr>
      <w:rFonts w:ascii="Times New Roman" w:hAnsi="Times New Roman" w:eastAsia="宋体" w:cs="Times New Roman"/>
    </w:rPr>
    <w:tblPr/>
  </w:style>
  <w:style w:type="table" w:styleId="765" w:customStyle="1">
    <w:name w:val="Grid Table 1 Light - Accent 6"/>
    <w:basedOn w:val="702"/>
    <w:uiPriority w:val="0"/>
    <w:qFormat/>
    <w:pPr>
      <w:spacing w:after="0" w:line="240" w:lineRule="auto"/>
    </w:pPr>
    <w:rPr>
      <w:rFonts w:ascii="Times New Roman" w:hAnsi="Times New Roman" w:eastAsia="宋体" w:cs="Times New Roman"/>
    </w:rPr>
    <w:tblPr/>
  </w:style>
  <w:style w:type="table" w:styleId="766" w:customStyle="1">
    <w:name w:val="Grid Table 2"/>
    <w:basedOn w:val="702"/>
    <w:uiPriority w:val="0"/>
    <w:qFormat/>
    <w:pPr>
      <w:spacing w:after="0" w:line="240" w:lineRule="auto"/>
    </w:pPr>
    <w:rPr>
      <w:rFonts w:ascii="Times New Roman" w:hAnsi="Times New Roman" w:eastAsia="宋体" w:cs="Times New Roman"/>
    </w:rPr>
    <w:tblPr/>
  </w:style>
  <w:style w:type="table" w:styleId="767" w:customStyle="1">
    <w:name w:val="Grid Table 2 - Accent 1"/>
    <w:basedOn w:val="702"/>
    <w:uiPriority w:val="0"/>
    <w:qFormat/>
    <w:pPr>
      <w:spacing w:after="0" w:line="240" w:lineRule="auto"/>
    </w:pPr>
    <w:rPr>
      <w:rFonts w:ascii="Times New Roman" w:hAnsi="Times New Roman" w:eastAsia="宋体" w:cs="Times New Roman"/>
    </w:rPr>
    <w:tblPr/>
  </w:style>
  <w:style w:type="table" w:styleId="768" w:customStyle="1">
    <w:name w:val="Grid Table 2 - Accent 2"/>
    <w:basedOn w:val="702"/>
    <w:uiPriority w:val="0"/>
    <w:qFormat/>
    <w:pPr>
      <w:spacing w:after="0" w:line="240" w:lineRule="auto"/>
    </w:pPr>
    <w:rPr>
      <w:rFonts w:ascii="Times New Roman" w:hAnsi="Times New Roman" w:eastAsia="宋体" w:cs="Times New Roman"/>
    </w:rPr>
    <w:tblPr/>
  </w:style>
  <w:style w:type="table" w:styleId="769" w:customStyle="1">
    <w:name w:val="Grid Table 2 - Accent 3"/>
    <w:basedOn w:val="702"/>
    <w:uiPriority w:val="0"/>
    <w:qFormat/>
    <w:pPr>
      <w:spacing w:after="0" w:line="240" w:lineRule="auto"/>
    </w:pPr>
    <w:rPr>
      <w:rFonts w:ascii="Times New Roman" w:hAnsi="Times New Roman" w:eastAsia="宋体" w:cs="Times New Roman"/>
    </w:rPr>
    <w:tblPr/>
  </w:style>
  <w:style w:type="table" w:styleId="770" w:customStyle="1">
    <w:name w:val="Grid Table 2 - Accent 4"/>
    <w:basedOn w:val="702"/>
    <w:uiPriority w:val="0"/>
    <w:qFormat/>
    <w:pPr>
      <w:spacing w:after="0" w:line="240" w:lineRule="auto"/>
    </w:pPr>
    <w:rPr>
      <w:rFonts w:ascii="Times New Roman" w:hAnsi="Times New Roman" w:eastAsia="宋体" w:cs="Times New Roman"/>
    </w:rPr>
    <w:tblPr/>
  </w:style>
  <w:style w:type="table" w:styleId="771" w:customStyle="1">
    <w:name w:val="Grid Table 2 - Accent 5"/>
    <w:basedOn w:val="702"/>
    <w:uiPriority w:val="0"/>
    <w:qFormat/>
    <w:pPr>
      <w:spacing w:after="0" w:line="240" w:lineRule="auto"/>
    </w:pPr>
    <w:rPr>
      <w:rFonts w:ascii="Times New Roman" w:hAnsi="Times New Roman" w:eastAsia="宋体" w:cs="Times New Roman"/>
    </w:rPr>
    <w:tblPr/>
  </w:style>
  <w:style w:type="table" w:styleId="772" w:customStyle="1">
    <w:name w:val="Grid Table 2 - Accent 6"/>
    <w:basedOn w:val="702"/>
    <w:uiPriority w:val="0"/>
    <w:qFormat/>
    <w:pPr>
      <w:spacing w:after="0" w:line="240" w:lineRule="auto"/>
    </w:pPr>
    <w:rPr>
      <w:rFonts w:ascii="Times New Roman" w:hAnsi="Times New Roman" w:eastAsia="宋体" w:cs="Times New Roman"/>
    </w:rPr>
    <w:tblPr/>
  </w:style>
  <w:style w:type="table" w:styleId="773" w:customStyle="1">
    <w:name w:val="Grid Table 3"/>
    <w:basedOn w:val="702"/>
    <w:uiPriority w:val="0"/>
    <w:qFormat/>
    <w:pPr>
      <w:spacing w:after="0" w:line="240" w:lineRule="auto"/>
    </w:pPr>
    <w:rPr>
      <w:rFonts w:ascii="Times New Roman" w:hAnsi="Times New Roman" w:eastAsia="宋体" w:cs="Times New Roman"/>
    </w:rPr>
    <w:tblPr/>
  </w:style>
  <w:style w:type="table" w:styleId="774" w:customStyle="1">
    <w:name w:val="Grid Table 3 - Accent 1"/>
    <w:basedOn w:val="702"/>
    <w:uiPriority w:val="0"/>
    <w:qFormat/>
    <w:pPr>
      <w:spacing w:after="0" w:line="240" w:lineRule="auto"/>
    </w:pPr>
    <w:rPr>
      <w:rFonts w:ascii="Times New Roman" w:hAnsi="Times New Roman" w:eastAsia="宋体" w:cs="Times New Roman"/>
    </w:rPr>
    <w:tblPr/>
  </w:style>
  <w:style w:type="table" w:styleId="775" w:customStyle="1">
    <w:name w:val="Grid Table 3 - Accent 2"/>
    <w:basedOn w:val="702"/>
    <w:uiPriority w:val="0"/>
    <w:qFormat/>
    <w:pPr>
      <w:spacing w:after="0" w:line="240" w:lineRule="auto"/>
    </w:pPr>
    <w:rPr>
      <w:rFonts w:ascii="Times New Roman" w:hAnsi="Times New Roman" w:eastAsia="宋体" w:cs="Times New Roman"/>
    </w:rPr>
    <w:tblPr/>
  </w:style>
  <w:style w:type="table" w:styleId="776" w:customStyle="1">
    <w:name w:val="Grid Table 3 - Accent 3"/>
    <w:basedOn w:val="702"/>
    <w:uiPriority w:val="0"/>
    <w:qFormat/>
    <w:pPr>
      <w:spacing w:after="0" w:line="240" w:lineRule="auto"/>
    </w:pPr>
    <w:rPr>
      <w:rFonts w:ascii="Times New Roman" w:hAnsi="Times New Roman" w:eastAsia="宋体" w:cs="Times New Roman"/>
    </w:rPr>
    <w:tblPr/>
  </w:style>
  <w:style w:type="table" w:styleId="777" w:customStyle="1">
    <w:name w:val="Grid Table 3 - Accent 4"/>
    <w:basedOn w:val="702"/>
    <w:uiPriority w:val="0"/>
    <w:qFormat/>
    <w:pPr>
      <w:spacing w:after="0" w:line="240" w:lineRule="auto"/>
    </w:pPr>
    <w:rPr>
      <w:rFonts w:ascii="Times New Roman" w:hAnsi="Times New Roman" w:eastAsia="宋体" w:cs="Times New Roman"/>
    </w:rPr>
    <w:tblPr/>
  </w:style>
  <w:style w:type="table" w:styleId="778" w:customStyle="1">
    <w:name w:val="Grid Table 3 - Accent 5"/>
    <w:basedOn w:val="702"/>
    <w:uiPriority w:val="0"/>
    <w:qFormat/>
    <w:pPr>
      <w:spacing w:after="0" w:line="240" w:lineRule="auto"/>
    </w:pPr>
    <w:rPr>
      <w:rFonts w:ascii="Times New Roman" w:hAnsi="Times New Roman" w:eastAsia="宋体" w:cs="Times New Roman"/>
    </w:rPr>
    <w:tblPr/>
  </w:style>
  <w:style w:type="table" w:styleId="779" w:customStyle="1">
    <w:name w:val="Grid Table 3 - Accent 6"/>
    <w:basedOn w:val="702"/>
    <w:uiPriority w:val="0"/>
    <w:qFormat/>
    <w:pPr>
      <w:spacing w:after="0" w:line="240" w:lineRule="auto"/>
    </w:pPr>
    <w:rPr>
      <w:rFonts w:ascii="Times New Roman" w:hAnsi="Times New Roman" w:eastAsia="宋体" w:cs="Times New Roman"/>
    </w:rPr>
    <w:tblPr/>
  </w:style>
  <w:style w:type="table" w:styleId="780" w:customStyle="1">
    <w:name w:val="Grid Table 4"/>
    <w:basedOn w:val="702"/>
    <w:uiPriority w:val="0"/>
    <w:qFormat/>
    <w:pPr>
      <w:spacing w:after="0" w:line="240" w:lineRule="auto"/>
    </w:pPr>
    <w:rPr>
      <w:rFonts w:ascii="Times New Roman" w:hAnsi="Times New Roman" w:eastAsia="宋体" w:cs="Times New Roman"/>
    </w:rPr>
    <w:tblPr/>
  </w:style>
  <w:style w:type="table" w:styleId="781" w:customStyle="1">
    <w:name w:val="Grid Table 4 - Accent 1"/>
    <w:basedOn w:val="702"/>
    <w:uiPriority w:val="0"/>
    <w:qFormat/>
    <w:pPr>
      <w:spacing w:after="0" w:line="240" w:lineRule="auto"/>
    </w:pPr>
    <w:rPr>
      <w:rFonts w:ascii="Times New Roman" w:hAnsi="Times New Roman" w:eastAsia="宋体" w:cs="Times New Roman"/>
    </w:rPr>
    <w:tblPr/>
  </w:style>
  <w:style w:type="table" w:styleId="782" w:customStyle="1">
    <w:name w:val="Grid Table 4 - Accent 2"/>
    <w:basedOn w:val="702"/>
    <w:uiPriority w:val="0"/>
    <w:qFormat/>
    <w:pPr>
      <w:spacing w:after="0" w:line="240" w:lineRule="auto"/>
    </w:pPr>
    <w:rPr>
      <w:rFonts w:ascii="Times New Roman" w:hAnsi="Times New Roman" w:eastAsia="宋体" w:cs="Times New Roman"/>
    </w:rPr>
    <w:tblPr/>
  </w:style>
  <w:style w:type="table" w:styleId="783" w:customStyle="1">
    <w:name w:val="Grid Table 4 - Accent 3"/>
    <w:basedOn w:val="702"/>
    <w:uiPriority w:val="0"/>
    <w:qFormat/>
    <w:pPr>
      <w:spacing w:after="0" w:line="240" w:lineRule="auto"/>
    </w:pPr>
    <w:rPr>
      <w:rFonts w:ascii="Times New Roman" w:hAnsi="Times New Roman" w:eastAsia="宋体" w:cs="Times New Roman"/>
    </w:rPr>
    <w:tblPr/>
  </w:style>
  <w:style w:type="table" w:styleId="784" w:customStyle="1">
    <w:name w:val="Grid Table 4 - Accent 4"/>
    <w:basedOn w:val="702"/>
    <w:uiPriority w:val="0"/>
    <w:qFormat/>
    <w:pPr>
      <w:spacing w:after="0" w:line="240" w:lineRule="auto"/>
    </w:pPr>
    <w:rPr>
      <w:rFonts w:ascii="Times New Roman" w:hAnsi="Times New Roman" w:eastAsia="宋体" w:cs="Times New Roman"/>
    </w:rPr>
    <w:tblPr/>
  </w:style>
  <w:style w:type="table" w:styleId="785" w:customStyle="1">
    <w:name w:val="Grid Table 4 - Accent 5"/>
    <w:basedOn w:val="702"/>
    <w:uiPriority w:val="0"/>
    <w:qFormat/>
    <w:pPr>
      <w:spacing w:after="0" w:line="240" w:lineRule="auto"/>
    </w:pPr>
    <w:rPr>
      <w:rFonts w:ascii="Times New Roman" w:hAnsi="Times New Roman" w:eastAsia="宋体" w:cs="Times New Roman"/>
    </w:rPr>
    <w:tblPr/>
  </w:style>
  <w:style w:type="table" w:styleId="786" w:customStyle="1">
    <w:name w:val="Grid Table 4 - Accent 6"/>
    <w:basedOn w:val="702"/>
    <w:uiPriority w:val="0"/>
    <w:qFormat/>
    <w:pPr>
      <w:spacing w:after="0" w:line="240" w:lineRule="auto"/>
    </w:pPr>
    <w:rPr>
      <w:rFonts w:ascii="Times New Roman" w:hAnsi="Times New Roman" w:eastAsia="宋体" w:cs="Times New Roman"/>
    </w:rPr>
    <w:tblPr/>
  </w:style>
  <w:style w:type="table" w:styleId="787" w:customStyle="1">
    <w:name w:val="Grid Table 5 Dark"/>
    <w:basedOn w:val="702"/>
    <w:uiPriority w:val="0"/>
    <w:qFormat/>
    <w:pPr>
      <w:spacing w:after="0" w:line="240" w:lineRule="auto"/>
    </w:pPr>
    <w:rPr>
      <w:rFonts w:ascii="Times New Roman" w:hAnsi="Times New Roman" w:eastAsia="宋体" w:cs="Times New Roman"/>
    </w:rPr>
    <w:tblPr/>
  </w:style>
  <w:style w:type="table" w:styleId="788" w:customStyle="1">
    <w:name w:val="Grid Table 5 Dark- Accent 1"/>
    <w:basedOn w:val="702"/>
    <w:uiPriority w:val="0"/>
    <w:qFormat/>
    <w:pPr>
      <w:spacing w:after="0" w:line="240" w:lineRule="auto"/>
    </w:pPr>
    <w:rPr>
      <w:rFonts w:ascii="Times New Roman" w:hAnsi="Times New Roman" w:eastAsia="宋体" w:cs="Times New Roman"/>
    </w:rPr>
    <w:tblPr/>
  </w:style>
  <w:style w:type="table" w:styleId="789" w:customStyle="1">
    <w:name w:val="Grid Table 5 Dark - Accent 2"/>
    <w:basedOn w:val="702"/>
    <w:uiPriority w:val="0"/>
    <w:qFormat/>
    <w:pPr>
      <w:spacing w:after="0" w:line="240" w:lineRule="auto"/>
    </w:pPr>
    <w:rPr>
      <w:rFonts w:ascii="Times New Roman" w:hAnsi="Times New Roman" w:eastAsia="宋体" w:cs="Times New Roman"/>
    </w:rPr>
    <w:tblPr/>
  </w:style>
  <w:style w:type="table" w:styleId="790" w:customStyle="1">
    <w:name w:val="Grid Table 5 Dark - Accent 3"/>
    <w:basedOn w:val="702"/>
    <w:uiPriority w:val="0"/>
    <w:qFormat/>
    <w:pPr>
      <w:spacing w:after="0" w:line="240" w:lineRule="auto"/>
    </w:pPr>
    <w:rPr>
      <w:rFonts w:ascii="Times New Roman" w:hAnsi="Times New Roman" w:eastAsia="宋体" w:cs="Times New Roman"/>
    </w:rPr>
    <w:tblPr/>
  </w:style>
  <w:style w:type="table" w:styleId="791" w:customStyle="1">
    <w:name w:val="Grid Table 5 Dark- Accent 4"/>
    <w:basedOn w:val="702"/>
    <w:uiPriority w:val="0"/>
    <w:qFormat/>
    <w:pPr>
      <w:spacing w:after="0" w:line="240" w:lineRule="auto"/>
    </w:pPr>
    <w:rPr>
      <w:rFonts w:ascii="Times New Roman" w:hAnsi="Times New Roman" w:eastAsia="宋体" w:cs="Times New Roman"/>
    </w:rPr>
    <w:tblPr/>
  </w:style>
  <w:style w:type="table" w:styleId="792" w:customStyle="1">
    <w:name w:val="Grid Table 5 Dark - Accent 5"/>
    <w:basedOn w:val="702"/>
    <w:uiPriority w:val="0"/>
    <w:qFormat/>
    <w:pPr>
      <w:spacing w:after="0" w:line="240" w:lineRule="auto"/>
    </w:pPr>
    <w:rPr>
      <w:rFonts w:ascii="Times New Roman" w:hAnsi="Times New Roman" w:eastAsia="宋体" w:cs="Times New Roman"/>
    </w:rPr>
    <w:tblPr/>
  </w:style>
  <w:style w:type="table" w:styleId="793" w:customStyle="1">
    <w:name w:val="Grid Table 5 Dark - Accent 6"/>
    <w:basedOn w:val="702"/>
    <w:uiPriority w:val="0"/>
    <w:qFormat/>
    <w:pPr>
      <w:spacing w:after="0" w:line="240" w:lineRule="auto"/>
    </w:pPr>
    <w:rPr>
      <w:rFonts w:ascii="Times New Roman" w:hAnsi="Times New Roman" w:eastAsia="宋体" w:cs="Times New Roman"/>
    </w:rPr>
    <w:tblPr/>
  </w:style>
  <w:style w:type="table" w:styleId="794" w:customStyle="1">
    <w:name w:val="Grid Table 6 Colorful"/>
    <w:basedOn w:val="702"/>
    <w:uiPriority w:val="0"/>
    <w:qFormat/>
    <w:pPr>
      <w:spacing w:after="0" w:line="240" w:lineRule="auto"/>
    </w:pPr>
    <w:rPr>
      <w:rFonts w:ascii="Times New Roman" w:hAnsi="Times New Roman" w:eastAsia="宋体" w:cs="Times New Roman"/>
    </w:rPr>
    <w:tblPr/>
  </w:style>
  <w:style w:type="table" w:styleId="795" w:customStyle="1">
    <w:name w:val="Grid Table 6 Colorful - Accent 1"/>
    <w:basedOn w:val="702"/>
    <w:uiPriority w:val="0"/>
    <w:qFormat/>
    <w:pPr>
      <w:spacing w:after="0" w:line="240" w:lineRule="auto"/>
    </w:pPr>
    <w:rPr>
      <w:rFonts w:ascii="Times New Roman" w:hAnsi="Times New Roman" w:eastAsia="宋体" w:cs="Times New Roman"/>
    </w:rPr>
    <w:tblPr/>
  </w:style>
  <w:style w:type="table" w:styleId="796" w:customStyle="1">
    <w:name w:val="Grid Table 6 Colorful - Accent 2"/>
    <w:basedOn w:val="702"/>
    <w:uiPriority w:val="0"/>
    <w:qFormat/>
    <w:pPr>
      <w:spacing w:after="0" w:line="240" w:lineRule="auto"/>
    </w:pPr>
    <w:rPr>
      <w:rFonts w:ascii="Times New Roman" w:hAnsi="Times New Roman" w:eastAsia="宋体" w:cs="Times New Roman"/>
    </w:rPr>
    <w:tblPr/>
  </w:style>
  <w:style w:type="table" w:styleId="797" w:customStyle="1">
    <w:name w:val="Grid Table 6 Colorful - Accent 3"/>
    <w:basedOn w:val="702"/>
    <w:uiPriority w:val="0"/>
    <w:qFormat/>
    <w:pPr>
      <w:spacing w:after="0" w:line="240" w:lineRule="auto"/>
    </w:pPr>
    <w:rPr>
      <w:rFonts w:ascii="Times New Roman" w:hAnsi="Times New Roman" w:eastAsia="宋体" w:cs="Times New Roman"/>
    </w:rPr>
    <w:tblPr/>
  </w:style>
  <w:style w:type="table" w:styleId="798" w:customStyle="1">
    <w:name w:val="Grid Table 6 Colorful - Accent 4"/>
    <w:basedOn w:val="702"/>
    <w:uiPriority w:val="0"/>
    <w:qFormat/>
    <w:pPr>
      <w:spacing w:after="0" w:line="240" w:lineRule="auto"/>
    </w:pPr>
    <w:rPr>
      <w:rFonts w:ascii="Times New Roman" w:hAnsi="Times New Roman" w:eastAsia="宋体" w:cs="Times New Roman"/>
    </w:rPr>
    <w:tblPr/>
  </w:style>
  <w:style w:type="table" w:styleId="799" w:customStyle="1">
    <w:name w:val="Grid Table 6 Colorful - Accent 5"/>
    <w:basedOn w:val="702"/>
    <w:uiPriority w:val="0"/>
    <w:qFormat/>
    <w:pPr>
      <w:spacing w:after="0" w:line="240" w:lineRule="auto"/>
    </w:pPr>
    <w:rPr>
      <w:rFonts w:ascii="Times New Roman" w:hAnsi="Times New Roman" w:eastAsia="宋体" w:cs="Times New Roman"/>
    </w:rPr>
    <w:tblPr/>
  </w:style>
  <w:style w:type="table" w:styleId="800" w:customStyle="1">
    <w:name w:val="Grid Table 6 Colorful - Accent 6"/>
    <w:basedOn w:val="702"/>
    <w:uiPriority w:val="0"/>
    <w:qFormat/>
    <w:pPr>
      <w:spacing w:after="0" w:line="240" w:lineRule="auto"/>
    </w:pPr>
    <w:rPr>
      <w:rFonts w:ascii="Times New Roman" w:hAnsi="Times New Roman" w:eastAsia="宋体" w:cs="Times New Roman"/>
    </w:rPr>
    <w:tblPr/>
  </w:style>
  <w:style w:type="table" w:styleId="801" w:customStyle="1">
    <w:name w:val="Grid Table 7 Colorful"/>
    <w:basedOn w:val="702"/>
    <w:uiPriority w:val="0"/>
    <w:qFormat/>
    <w:pPr>
      <w:spacing w:after="0" w:line="240" w:lineRule="auto"/>
    </w:pPr>
    <w:rPr>
      <w:rFonts w:ascii="Times New Roman" w:hAnsi="Times New Roman" w:eastAsia="宋体" w:cs="Times New Roman"/>
    </w:rPr>
    <w:tblPr/>
  </w:style>
  <w:style w:type="table" w:styleId="802" w:customStyle="1">
    <w:name w:val="Grid Table 7 Colorful - Accent 1"/>
    <w:basedOn w:val="702"/>
    <w:uiPriority w:val="0"/>
    <w:qFormat/>
    <w:pPr>
      <w:spacing w:after="0" w:line="240" w:lineRule="auto"/>
    </w:pPr>
    <w:rPr>
      <w:rFonts w:ascii="Times New Roman" w:hAnsi="Times New Roman" w:eastAsia="宋体" w:cs="Times New Roman"/>
    </w:rPr>
    <w:tblPr/>
  </w:style>
  <w:style w:type="table" w:styleId="803" w:customStyle="1">
    <w:name w:val="Grid Table 7 Colorful - Accent 2"/>
    <w:basedOn w:val="702"/>
    <w:uiPriority w:val="0"/>
    <w:qFormat/>
    <w:pPr>
      <w:spacing w:after="0" w:line="240" w:lineRule="auto"/>
    </w:pPr>
    <w:rPr>
      <w:rFonts w:ascii="Times New Roman" w:hAnsi="Times New Roman" w:eastAsia="宋体" w:cs="Times New Roman"/>
    </w:rPr>
    <w:tblPr/>
  </w:style>
  <w:style w:type="table" w:styleId="804" w:customStyle="1">
    <w:name w:val="Grid Table 7 Colorful - Accent 3"/>
    <w:basedOn w:val="702"/>
    <w:uiPriority w:val="0"/>
    <w:qFormat/>
    <w:pPr>
      <w:spacing w:after="0" w:line="240" w:lineRule="auto"/>
    </w:pPr>
    <w:rPr>
      <w:rFonts w:ascii="Times New Roman" w:hAnsi="Times New Roman" w:eastAsia="宋体" w:cs="Times New Roman"/>
    </w:rPr>
    <w:tblPr/>
  </w:style>
  <w:style w:type="table" w:styleId="805" w:customStyle="1">
    <w:name w:val="Grid Table 7 Colorful - Accent 4"/>
    <w:basedOn w:val="702"/>
    <w:uiPriority w:val="0"/>
    <w:qFormat/>
    <w:pPr>
      <w:spacing w:after="0" w:line="240" w:lineRule="auto"/>
    </w:pPr>
    <w:rPr>
      <w:rFonts w:ascii="Times New Roman" w:hAnsi="Times New Roman" w:eastAsia="宋体" w:cs="Times New Roman"/>
    </w:rPr>
    <w:tblPr/>
  </w:style>
  <w:style w:type="table" w:styleId="806" w:customStyle="1">
    <w:name w:val="Grid Table 7 Colorful - Accent 5"/>
    <w:basedOn w:val="702"/>
    <w:uiPriority w:val="0"/>
    <w:qFormat/>
    <w:pPr>
      <w:spacing w:after="0" w:line="240" w:lineRule="auto"/>
    </w:pPr>
    <w:rPr>
      <w:rFonts w:ascii="Times New Roman" w:hAnsi="Times New Roman" w:eastAsia="宋体" w:cs="Times New Roman"/>
    </w:rPr>
    <w:tblPr/>
  </w:style>
  <w:style w:type="table" w:styleId="807" w:customStyle="1">
    <w:name w:val="Grid Table 7 Colorful - Accent 6"/>
    <w:basedOn w:val="702"/>
    <w:uiPriority w:val="0"/>
    <w:qFormat/>
    <w:pPr>
      <w:spacing w:after="0" w:line="240" w:lineRule="auto"/>
    </w:pPr>
    <w:rPr>
      <w:rFonts w:ascii="Times New Roman" w:hAnsi="Times New Roman" w:eastAsia="宋体" w:cs="Times New Roman"/>
    </w:rPr>
    <w:tblPr/>
  </w:style>
  <w:style w:type="table" w:styleId="808" w:customStyle="1">
    <w:name w:val="List Table 1 Light"/>
    <w:basedOn w:val="702"/>
    <w:uiPriority w:val="0"/>
    <w:qFormat/>
    <w:pPr>
      <w:spacing w:after="0" w:line="240" w:lineRule="auto"/>
    </w:pPr>
    <w:rPr>
      <w:rFonts w:ascii="Times New Roman" w:hAnsi="Times New Roman" w:eastAsia="宋体" w:cs="Times New Roman"/>
    </w:rPr>
    <w:tblPr/>
  </w:style>
  <w:style w:type="table" w:styleId="809" w:customStyle="1">
    <w:name w:val="List Table 1 Light - Accent 1"/>
    <w:basedOn w:val="702"/>
    <w:uiPriority w:val="0"/>
    <w:qFormat/>
    <w:pPr>
      <w:spacing w:after="0" w:line="240" w:lineRule="auto"/>
    </w:pPr>
    <w:rPr>
      <w:rFonts w:ascii="Times New Roman" w:hAnsi="Times New Roman" w:eastAsia="宋体" w:cs="Times New Roman"/>
    </w:rPr>
    <w:tblPr/>
  </w:style>
  <w:style w:type="table" w:styleId="810" w:customStyle="1">
    <w:name w:val="List Table 1 Light - Accent 2"/>
    <w:basedOn w:val="702"/>
    <w:uiPriority w:val="0"/>
    <w:qFormat/>
    <w:pPr>
      <w:spacing w:after="0" w:line="240" w:lineRule="auto"/>
    </w:pPr>
    <w:rPr>
      <w:rFonts w:ascii="Times New Roman" w:hAnsi="Times New Roman" w:eastAsia="宋体" w:cs="Times New Roman"/>
    </w:rPr>
    <w:tblPr/>
  </w:style>
  <w:style w:type="table" w:styleId="811" w:customStyle="1">
    <w:name w:val="List Table 1 Light - Accent 3"/>
    <w:basedOn w:val="702"/>
    <w:uiPriority w:val="0"/>
    <w:qFormat/>
    <w:pPr>
      <w:spacing w:after="0" w:line="240" w:lineRule="auto"/>
    </w:pPr>
    <w:rPr>
      <w:rFonts w:ascii="Times New Roman" w:hAnsi="Times New Roman" w:eastAsia="宋体" w:cs="Times New Roman"/>
    </w:rPr>
    <w:tblPr/>
  </w:style>
  <w:style w:type="table" w:styleId="812" w:customStyle="1">
    <w:name w:val="List Table 1 Light - Accent 4"/>
    <w:basedOn w:val="702"/>
    <w:uiPriority w:val="0"/>
    <w:qFormat/>
    <w:pPr>
      <w:spacing w:after="0" w:line="240" w:lineRule="auto"/>
    </w:pPr>
    <w:rPr>
      <w:rFonts w:ascii="Times New Roman" w:hAnsi="Times New Roman" w:eastAsia="宋体" w:cs="Times New Roman"/>
    </w:rPr>
    <w:tblPr/>
  </w:style>
  <w:style w:type="table" w:styleId="813" w:customStyle="1">
    <w:name w:val="List Table 1 Light - Accent 5"/>
    <w:basedOn w:val="702"/>
    <w:uiPriority w:val="0"/>
    <w:qFormat/>
    <w:pPr>
      <w:spacing w:after="0" w:line="240" w:lineRule="auto"/>
    </w:pPr>
    <w:rPr>
      <w:rFonts w:ascii="Times New Roman" w:hAnsi="Times New Roman" w:eastAsia="宋体" w:cs="Times New Roman"/>
    </w:rPr>
    <w:tblPr/>
  </w:style>
  <w:style w:type="table" w:styleId="814" w:customStyle="1">
    <w:name w:val="List Table 1 Light - Accent 6"/>
    <w:basedOn w:val="702"/>
    <w:uiPriority w:val="0"/>
    <w:qFormat/>
    <w:pPr>
      <w:spacing w:after="0" w:line="240" w:lineRule="auto"/>
    </w:pPr>
    <w:rPr>
      <w:rFonts w:ascii="Times New Roman" w:hAnsi="Times New Roman" w:eastAsia="宋体" w:cs="Times New Roman"/>
    </w:rPr>
    <w:tblPr/>
  </w:style>
  <w:style w:type="table" w:styleId="815" w:customStyle="1">
    <w:name w:val="List Table 2"/>
    <w:basedOn w:val="702"/>
    <w:uiPriority w:val="0"/>
    <w:qFormat/>
    <w:pPr>
      <w:spacing w:after="0" w:line="240" w:lineRule="auto"/>
    </w:pPr>
    <w:rPr>
      <w:rFonts w:ascii="Times New Roman" w:hAnsi="Times New Roman" w:eastAsia="宋体" w:cs="Times New Roman"/>
    </w:rPr>
    <w:tblPr/>
  </w:style>
  <w:style w:type="table" w:styleId="816" w:customStyle="1">
    <w:name w:val="List Table 2 - Accent 1"/>
    <w:basedOn w:val="702"/>
    <w:uiPriority w:val="0"/>
    <w:qFormat/>
    <w:pPr>
      <w:spacing w:after="0" w:line="240" w:lineRule="auto"/>
    </w:pPr>
    <w:rPr>
      <w:rFonts w:ascii="Times New Roman" w:hAnsi="Times New Roman" w:eastAsia="宋体" w:cs="Times New Roman"/>
    </w:rPr>
    <w:tblPr/>
  </w:style>
  <w:style w:type="table" w:styleId="817" w:customStyle="1">
    <w:name w:val="List Table 2 - Accent 2"/>
    <w:basedOn w:val="702"/>
    <w:uiPriority w:val="0"/>
    <w:qFormat/>
    <w:pPr>
      <w:spacing w:after="0" w:line="240" w:lineRule="auto"/>
    </w:pPr>
    <w:rPr>
      <w:rFonts w:ascii="Times New Roman" w:hAnsi="Times New Roman" w:eastAsia="宋体" w:cs="Times New Roman"/>
    </w:rPr>
    <w:tblPr/>
  </w:style>
  <w:style w:type="table" w:styleId="818" w:customStyle="1">
    <w:name w:val="List Table 2 - Accent 3"/>
    <w:basedOn w:val="702"/>
    <w:uiPriority w:val="0"/>
    <w:qFormat/>
    <w:pPr>
      <w:spacing w:after="0" w:line="240" w:lineRule="auto"/>
    </w:pPr>
    <w:rPr>
      <w:rFonts w:ascii="Times New Roman" w:hAnsi="Times New Roman" w:eastAsia="宋体" w:cs="Times New Roman"/>
    </w:rPr>
    <w:tblPr/>
  </w:style>
  <w:style w:type="table" w:styleId="819" w:customStyle="1">
    <w:name w:val="List Table 2 - Accent 4"/>
    <w:basedOn w:val="702"/>
    <w:uiPriority w:val="0"/>
    <w:qFormat/>
    <w:pPr>
      <w:spacing w:after="0" w:line="240" w:lineRule="auto"/>
    </w:pPr>
    <w:rPr>
      <w:rFonts w:ascii="Times New Roman" w:hAnsi="Times New Roman" w:eastAsia="宋体" w:cs="Times New Roman"/>
    </w:rPr>
    <w:tblPr/>
  </w:style>
  <w:style w:type="table" w:styleId="820" w:customStyle="1">
    <w:name w:val="List Table 2 - Accent 5"/>
    <w:basedOn w:val="702"/>
    <w:uiPriority w:val="0"/>
    <w:qFormat/>
    <w:pPr>
      <w:spacing w:after="0" w:line="240" w:lineRule="auto"/>
    </w:pPr>
    <w:rPr>
      <w:rFonts w:ascii="Times New Roman" w:hAnsi="Times New Roman" w:eastAsia="宋体" w:cs="Times New Roman"/>
    </w:rPr>
    <w:tblPr/>
  </w:style>
  <w:style w:type="table" w:styleId="821" w:customStyle="1">
    <w:name w:val="List Table 2 - Accent 6"/>
    <w:basedOn w:val="702"/>
    <w:uiPriority w:val="0"/>
    <w:qFormat/>
    <w:pPr>
      <w:spacing w:after="0" w:line="240" w:lineRule="auto"/>
    </w:pPr>
    <w:rPr>
      <w:rFonts w:ascii="Times New Roman" w:hAnsi="Times New Roman" w:eastAsia="宋体" w:cs="Times New Roman"/>
    </w:rPr>
    <w:tblPr/>
  </w:style>
  <w:style w:type="table" w:styleId="822" w:customStyle="1">
    <w:name w:val="List Table 3"/>
    <w:basedOn w:val="702"/>
    <w:uiPriority w:val="0"/>
    <w:qFormat/>
    <w:pPr>
      <w:spacing w:after="0" w:line="240" w:lineRule="auto"/>
    </w:pPr>
    <w:rPr>
      <w:rFonts w:ascii="Times New Roman" w:hAnsi="Times New Roman" w:eastAsia="宋体" w:cs="Times New Roman"/>
    </w:rPr>
    <w:tblPr/>
  </w:style>
  <w:style w:type="table" w:styleId="823" w:customStyle="1">
    <w:name w:val="List Table 3 - Accent 1"/>
    <w:basedOn w:val="702"/>
    <w:uiPriority w:val="0"/>
    <w:qFormat/>
    <w:pPr>
      <w:spacing w:after="0" w:line="240" w:lineRule="auto"/>
    </w:pPr>
    <w:rPr>
      <w:rFonts w:ascii="Times New Roman" w:hAnsi="Times New Roman" w:eastAsia="宋体" w:cs="Times New Roman"/>
    </w:rPr>
    <w:tblPr/>
  </w:style>
  <w:style w:type="table" w:styleId="824" w:customStyle="1">
    <w:name w:val="List Table 3 - Accent 2"/>
    <w:basedOn w:val="702"/>
    <w:uiPriority w:val="0"/>
    <w:qFormat/>
    <w:pPr>
      <w:spacing w:after="0" w:line="240" w:lineRule="auto"/>
    </w:pPr>
    <w:rPr>
      <w:rFonts w:ascii="Times New Roman" w:hAnsi="Times New Roman" w:eastAsia="宋体" w:cs="Times New Roman"/>
    </w:rPr>
    <w:tblPr/>
  </w:style>
  <w:style w:type="table" w:styleId="825" w:customStyle="1">
    <w:name w:val="List Table 3 - Accent 3"/>
    <w:basedOn w:val="702"/>
    <w:uiPriority w:val="0"/>
    <w:qFormat/>
    <w:pPr>
      <w:spacing w:after="0" w:line="240" w:lineRule="auto"/>
    </w:pPr>
    <w:rPr>
      <w:rFonts w:ascii="Times New Roman" w:hAnsi="Times New Roman" w:eastAsia="宋体" w:cs="Times New Roman"/>
    </w:rPr>
    <w:tblPr/>
  </w:style>
  <w:style w:type="table" w:styleId="826" w:customStyle="1">
    <w:name w:val="List Table 3 - Accent 4"/>
    <w:basedOn w:val="702"/>
    <w:uiPriority w:val="0"/>
    <w:qFormat/>
    <w:pPr>
      <w:spacing w:after="0" w:line="240" w:lineRule="auto"/>
    </w:pPr>
    <w:rPr>
      <w:rFonts w:ascii="Times New Roman" w:hAnsi="Times New Roman" w:eastAsia="宋体" w:cs="Times New Roman"/>
    </w:rPr>
    <w:tblPr/>
  </w:style>
  <w:style w:type="table" w:styleId="827" w:customStyle="1">
    <w:name w:val="List Table 3 - Accent 5"/>
    <w:basedOn w:val="702"/>
    <w:uiPriority w:val="0"/>
    <w:qFormat/>
    <w:pPr>
      <w:spacing w:after="0" w:line="240" w:lineRule="auto"/>
    </w:pPr>
    <w:rPr>
      <w:rFonts w:ascii="Times New Roman" w:hAnsi="Times New Roman" w:eastAsia="宋体" w:cs="Times New Roman"/>
    </w:rPr>
    <w:tblPr/>
  </w:style>
  <w:style w:type="table" w:styleId="828" w:customStyle="1">
    <w:name w:val="List Table 3 - Accent 6"/>
    <w:basedOn w:val="702"/>
    <w:uiPriority w:val="0"/>
    <w:qFormat/>
    <w:pPr>
      <w:spacing w:after="0" w:line="240" w:lineRule="auto"/>
    </w:pPr>
    <w:rPr>
      <w:rFonts w:ascii="Times New Roman" w:hAnsi="Times New Roman" w:eastAsia="宋体" w:cs="Times New Roman"/>
    </w:rPr>
    <w:tblPr/>
  </w:style>
  <w:style w:type="table" w:styleId="829" w:customStyle="1">
    <w:name w:val="List Table 4"/>
    <w:basedOn w:val="702"/>
    <w:uiPriority w:val="0"/>
    <w:qFormat/>
    <w:pPr>
      <w:spacing w:after="0" w:line="240" w:lineRule="auto"/>
    </w:pPr>
    <w:rPr>
      <w:rFonts w:ascii="Times New Roman" w:hAnsi="Times New Roman" w:eastAsia="宋体" w:cs="Times New Roman"/>
    </w:rPr>
    <w:tblPr/>
  </w:style>
  <w:style w:type="table" w:styleId="830" w:customStyle="1">
    <w:name w:val="List Table 4 - Accent 1"/>
    <w:basedOn w:val="702"/>
    <w:uiPriority w:val="0"/>
    <w:qFormat/>
    <w:pPr>
      <w:spacing w:after="0" w:line="240" w:lineRule="auto"/>
    </w:pPr>
    <w:rPr>
      <w:rFonts w:ascii="Times New Roman" w:hAnsi="Times New Roman" w:eastAsia="宋体" w:cs="Times New Roman"/>
    </w:rPr>
    <w:tblPr/>
  </w:style>
  <w:style w:type="table" w:styleId="831" w:customStyle="1">
    <w:name w:val="List Table 4 - Accent 2"/>
    <w:basedOn w:val="702"/>
    <w:uiPriority w:val="0"/>
    <w:qFormat/>
    <w:pPr>
      <w:spacing w:after="0" w:line="240" w:lineRule="auto"/>
    </w:pPr>
    <w:rPr>
      <w:rFonts w:ascii="Times New Roman" w:hAnsi="Times New Roman" w:eastAsia="宋体" w:cs="Times New Roman"/>
    </w:rPr>
    <w:tblPr/>
  </w:style>
  <w:style w:type="table" w:styleId="832" w:customStyle="1">
    <w:name w:val="List Table 4 - Accent 3"/>
    <w:basedOn w:val="702"/>
    <w:uiPriority w:val="0"/>
    <w:qFormat/>
    <w:pPr>
      <w:spacing w:after="0" w:line="240" w:lineRule="auto"/>
    </w:pPr>
    <w:rPr>
      <w:rFonts w:ascii="Times New Roman" w:hAnsi="Times New Roman" w:eastAsia="宋体" w:cs="Times New Roman"/>
    </w:rPr>
    <w:tblPr/>
  </w:style>
  <w:style w:type="table" w:styleId="833" w:customStyle="1">
    <w:name w:val="List Table 4 - Accent 4"/>
    <w:basedOn w:val="702"/>
    <w:uiPriority w:val="0"/>
    <w:qFormat/>
    <w:pPr>
      <w:spacing w:after="0" w:line="240" w:lineRule="auto"/>
    </w:pPr>
    <w:rPr>
      <w:rFonts w:ascii="Times New Roman" w:hAnsi="Times New Roman" w:eastAsia="宋体" w:cs="Times New Roman"/>
    </w:rPr>
    <w:tblPr/>
  </w:style>
  <w:style w:type="table" w:styleId="834" w:customStyle="1">
    <w:name w:val="List Table 4 - Accent 5"/>
    <w:basedOn w:val="702"/>
    <w:uiPriority w:val="0"/>
    <w:qFormat/>
    <w:pPr>
      <w:spacing w:after="0" w:line="240" w:lineRule="auto"/>
    </w:pPr>
    <w:rPr>
      <w:rFonts w:ascii="Times New Roman" w:hAnsi="Times New Roman" w:eastAsia="宋体" w:cs="Times New Roman"/>
    </w:rPr>
    <w:tblPr/>
  </w:style>
  <w:style w:type="table" w:styleId="835" w:customStyle="1">
    <w:name w:val="List Table 4 - Accent 6"/>
    <w:basedOn w:val="702"/>
    <w:uiPriority w:val="0"/>
    <w:qFormat/>
    <w:pPr>
      <w:spacing w:after="0" w:line="240" w:lineRule="auto"/>
    </w:pPr>
    <w:rPr>
      <w:rFonts w:ascii="Times New Roman" w:hAnsi="Times New Roman" w:eastAsia="宋体" w:cs="Times New Roman"/>
    </w:rPr>
    <w:tblPr/>
  </w:style>
  <w:style w:type="table" w:styleId="836" w:customStyle="1">
    <w:name w:val="List Table 5 Dark"/>
    <w:basedOn w:val="702"/>
    <w:uiPriority w:val="0"/>
    <w:qFormat/>
    <w:pPr>
      <w:spacing w:after="0" w:line="240" w:lineRule="auto"/>
    </w:pPr>
    <w:rPr>
      <w:rFonts w:ascii="Times New Roman" w:hAnsi="Times New Roman" w:eastAsia="宋体" w:cs="Times New Roman"/>
    </w:rPr>
    <w:tblPr/>
  </w:style>
  <w:style w:type="table" w:styleId="837" w:customStyle="1">
    <w:name w:val="List Table 5 Dark - Accent 1"/>
    <w:basedOn w:val="702"/>
    <w:uiPriority w:val="0"/>
    <w:qFormat/>
    <w:pPr>
      <w:spacing w:after="0" w:line="240" w:lineRule="auto"/>
    </w:pPr>
    <w:rPr>
      <w:rFonts w:ascii="Times New Roman" w:hAnsi="Times New Roman" w:eastAsia="宋体" w:cs="Times New Roman"/>
    </w:rPr>
    <w:tblPr/>
  </w:style>
  <w:style w:type="table" w:styleId="838" w:customStyle="1">
    <w:name w:val="List Table 5 Dark - Accent 2"/>
    <w:basedOn w:val="702"/>
    <w:uiPriority w:val="0"/>
    <w:qFormat/>
    <w:pPr>
      <w:spacing w:after="0" w:line="240" w:lineRule="auto"/>
    </w:pPr>
    <w:rPr>
      <w:rFonts w:ascii="Times New Roman" w:hAnsi="Times New Roman" w:eastAsia="宋体" w:cs="Times New Roman"/>
    </w:rPr>
    <w:tblPr/>
  </w:style>
  <w:style w:type="table" w:styleId="839" w:customStyle="1">
    <w:name w:val="List Table 5 Dark - Accent 3"/>
    <w:basedOn w:val="702"/>
    <w:uiPriority w:val="0"/>
    <w:qFormat/>
    <w:pPr>
      <w:spacing w:after="0" w:line="240" w:lineRule="auto"/>
    </w:pPr>
    <w:rPr>
      <w:rFonts w:ascii="Times New Roman" w:hAnsi="Times New Roman" w:eastAsia="宋体" w:cs="Times New Roman"/>
    </w:rPr>
    <w:tblPr/>
  </w:style>
  <w:style w:type="table" w:styleId="840" w:customStyle="1">
    <w:name w:val="List Table 5 Dark - Accent 4"/>
    <w:basedOn w:val="702"/>
    <w:uiPriority w:val="0"/>
    <w:qFormat/>
    <w:pPr>
      <w:spacing w:after="0" w:line="240" w:lineRule="auto"/>
    </w:pPr>
    <w:rPr>
      <w:rFonts w:ascii="Times New Roman" w:hAnsi="Times New Roman" w:eastAsia="宋体" w:cs="Times New Roman"/>
    </w:rPr>
    <w:tblPr/>
  </w:style>
  <w:style w:type="table" w:styleId="841" w:customStyle="1">
    <w:name w:val="List Table 5 Dark - Accent 5"/>
    <w:basedOn w:val="702"/>
    <w:uiPriority w:val="0"/>
    <w:qFormat/>
    <w:pPr>
      <w:spacing w:after="0" w:line="240" w:lineRule="auto"/>
    </w:pPr>
    <w:rPr>
      <w:rFonts w:ascii="Times New Roman" w:hAnsi="Times New Roman" w:eastAsia="宋体" w:cs="Times New Roman"/>
    </w:rPr>
    <w:tblPr/>
  </w:style>
  <w:style w:type="table" w:styleId="842" w:customStyle="1">
    <w:name w:val="List Table 5 Dark - Accent 6"/>
    <w:basedOn w:val="702"/>
    <w:uiPriority w:val="0"/>
    <w:qFormat/>
    <w:pPr>
      <w:spacing w:after="0" w:line="240" w:lineRule="auto"/>
    </w:pPr>
    <w:rPr>
      <w:rFonts w:ascii="Times New Roman" w:hAnsi="Times New Roman" w:eastAsia="宋体" w:cs="Times New Roman"/>
    </w:rPr>
    <w:tblPr/>
  </w:style>
  <w:style w:type="table" w:styleId="843" w:customStyle="1">
    <w:name w:val="List Table 6 Colorful"/>
    <w:basedOn w:val="702"/>
    <w:uiPriority w:val="0"/>
    <w:qFormat/>
    <w:pPr>
      <w:spacing w:after="0" w:line="240" w:lineRule="auto"/>
    </w:pPr>
    <w:rPr>
      <w:rFonts w:ascii="Times New Roman" w:hAnsi="Times New Roman" w:eastAsia="宋体" w:cs="Times New Roman"/>
    </w:rPr>
    <w:tblPr/>
  </w:style>
  <w:style w:type="table" w:styleId="844" w:customStyle="1">
    <w:name w:val="List Table 6 Colorful - Accent 1"/>
    <w:basedOn w:val="702"/>
    <w:uiPriority w:val="0"/>
    <w:qFormat/>
    <w:pPr>
      <w:spacing w:after="0" w:line="240" w:lineRule="auto"/>
    </w:pPr>
    <w:rPr>
      <w:rFonts w:ascii="Times New Roman" w:hAnsi="Times New Roman" w:eastAsia="宋体" w:cs="Times New Roman"/>
    </w:rPr>
    <w:tblPr/>
  </w:style>
  <w:style w:type="table" w:styleId="845" w:customStyle="1">
    <w:name w:val="List Table 6 Colorful - Accent 2"/>
    <w:basedOn w:val="702"/>
    <w:uiPriority w:val="0"/>
    <w:qFormat/>
    <w:pPr>
      <w:spacing w:after="0" w:line="240" w:lineRule="auto"/>
    </w:pPr>
    <w:rPr>
      <w:rFonts w:ascii="Times New Roman" w:hAnsi="Times New Roman" w:eastAsia="宋体" w:cs="Times New Roman"/>
    </w:rPr>
    <w:tblPr/>
  </w:style>
  <w:style w:type="table" w:styleId="846" w:customStyle="1">
    <w:name w:val="List Table 6 Colorful - Accent 3"/>
    <w:basedOn w:val="702"/>
    <w:uiPriority w:val="0"/>
    <w:qFormat/>
    <w:pPr>
      <w:spacing w:after="0" w:line="240" w:lineRule="auto"/>
    </w:pPr>
    <w:rPr>
      <w:rFonts w:ascii="Times New Roman" w:hAnsi="Times New Roman" w:eastAsia="宋体" w:cs="Times New Roman"/>
    </w:rPr>
    <w:tblPr/>
  </w:style>
  <w:style w:type="table" w:styleId="847" w:customStyle="1">
    <w:name w:val="List Table 6 Colorful - Accent 4"/>
    <w:basedOn w:val="702"/>
    <w:uiPriority w:val="0"/>
    <w:qFormat/>
    <w:pPr>
      <w:spacing w:after="0" w:line="240" w:lineRule="auto"/>
    </w:pPr>
    <w:rPr>
      <w:rFonts w:ascii="Times New Roman" w:hAnsi="Times New Roman" w:eastAsia="宋体" w:cs="Times New Roman"/>
    </w:rPr>
    <w:tblPr/>
  </w:style>
  <w:style w:type="table" w:styleId="848" w:customStyle="1">
    <w:name w:val="List Table 6 Colorful - Accent 5"/>
    <w:basedOn w:val="702"/>
    <w:uiPriority w:val="0"/>
    <w:qFormat/>
    <w:pPr>
      <w:spacing w:after="0" w:line="240" w:lineRule="auto"/>
    </w:pPr>
    <w:rPr>
      <w:rFonts w:ascii="Times New Roman" w:hAnsi="Times New Roman" w:eastAsia="宋体" w:cs="Times New Roman"/>
    </w:rPr>
    <w:tblPr/>
  </w:style>
  <w:style w:type="table" w:styleId="849" w:customStyle="1">
    <w:name w:val="List Table 6 Colorful - Accent 6"/>
    <w:basedOn w:val="702"/>
    <w:uiPriority w:val="0"/>
    <w:qFormat/>
    <w:pPr>
      <w:spacing w:after="0" w:line="240" w:lineRule="auto"/>
    </w:pPr>
    <w:rPr>
      <w:rFonts w:ascii="Times New Roman" w:hAnsi="Times New Roman" w:eastAsia="宋体" w:cs="Times New Roman"/>
    </w:rPr>
    <w:tblPr/>
  </w:style>
  <w:style w:type="table" w:styleId="850" w:customStyle="1">
    <w:name w:val="List Table 7 Colorful"/>
    <w:basedOn w:val="702"/>
    <w:uiPriority w:val="0"/>
    <w:qFormat/>
    <w:pPr>
      <w:spacing w:after="0" w:line="240" w:lineRule="auto"/>
    </w:pPr>
    <w:rPr>
      <w:rFonts w:ascii="Times New Roman" w:hAnsi="Times New Roman" w:eastAsia="宋体" w:cs="Times New Roman"/>
    </w:rPr>
    <w:tblPr/>
  </w:style>
  <w:style w:type="table" w:styleId="851" w:customStyle="1">
    <w:name w:val="List Table 7 Colorful - Accent 1"/>
    <w:basedOn w:val="702"/>
    <w:uiPriority w:val="0"/>
    <w:qFormat/>
    <w:pPr>
      <w:spacing w:after="0" w:line="240" w:lineRule="auto"/>
    </w:pPr>
    <w:rPr>
      <w:rFonts w:ascii="Times New Roman" w:hAnsi="Times New Roman" w:eastAsia="宋体" w:cs="Times New Roman"/>
    </w:rPr>
    <w:tblPr/>
  </w:style>
  <w:style w:type="table" w:styleId="852" w:customStyle="1">
    <w:name w:val="List Table 7 Colorful - Accent 2"/>
    <w:basedOn w:val="702"/>
    <w:uiPriority w:val="0"/>
    <w:qFormat/>
    <w:pPr>
      <w:spacing w:after="0" w:line="240" w:lineRule="auto"/>
    </w:pPr>
    <w:rPr>
      <w:rFonts w:ascii="Times New Roman" w:hAnsi="Times New Roman" w:eastAsia="宋体" w:cs="Times New Roman"/>
    </w:rPr>
    <w:tblPr/>
  </w:style>
  <w:style w:type="table" w:styleId="853" w:customStyle="1">
    <w:name w:val="List Table 7 Colorful - Accent 3"/>
    <w:basedOn w:val="702"/>
    <w:uiPriority w:val="0"/>
    <w:qFormat/>
    <w:pPr>
      <w:spacing w:after="0" w:line="240" w:lineRule="auto"/>
    </w:pPr>
    <w:rPr>
      <w:rFonts w:ascii="Times New Roman" w:hAnsi="Times New Roman" w:eastAsia="宋体" w:cs="Times New Roman"/>
    </w:rPr>
    <w:tblPr/>
  </w:style>
  <w:style w:type="table" w:styleId="854" w:customStyle="1">
    <w:name w:val="List Table 7 Colorful - Accent 4"/>
    <w:basedOn w:val="702"/>
    <w:uiPriority w:val="0"/>
    <w:qFormat/>
    <w:pPr>
      <w:spacing w:after="0" w:line="240" w:lineRule="auto"/>
    </w:pPr>
    <w:rPr>
      <w:rFonts w:ascii="Times New Roman" w:hAnsi="Times New Roman" w:eastAsia="宋体" w:cs="Times New Roman"/>
    </w:rPr>
    <w:tblPr/>
  </w:style>
  <w:style w:type="table" w:styleId="855" w:customStyle="1">
    <w:name w:val="List Table 7 Colorful - Accent 5"/>
    <w:basedOn w:val="702"/>
    <w:uiPriority w:val="0"/>
    <w:qFormat/>
    <w:pPr>
      <w:spacing w:after="0" w:line="240" w:lineRule="auto"/>
    </w:pPr>
    <w:rPr>
      <w:rFonts w:ascii="Times New Roman" w:hAnsi="Times New Roman" w:eastAsia="宋体" w:cs="Times New Roman"/>
    </w:rPr>
    <w:tblPr/>
  </w:style>
  <w:style w:type="table" w:styleId="856" w:customStyle="1">
    <w:name w:val="List Table 7 Colorful - Accent 6"/>
    <w:basedOn w:val="702"/>
    <w:uiPriority w:val="0"/>
    <w:qFormat/>
    <w:pPr>
      <w:spacing w:after="0" w:line="240" w:lineRule="auto"/>
    </w:pPr>
    <w:rPr>
      <w:rFonts w:ascii="Times New Roman" w:hAnsi="Times New Roman" w:eastAsia="宋体" w:cs="Times New Roman"/>
    </w:rPr>
    <w:tblPr/>
  </w:style>
  <w:style w:type="table" w:styleId="857" w:customStyle="1">
    <w:name w:val="Lined - Accent"/>
    <w:basedOn w:val="702"/>
    <w:uiPriority w:val="0"/>
    <w:qFormat/>
    <w:pPr>
      <w:spacing w:after="0" w:line="240" w:lineRule="auto"/>
    </w:pPr>
    <w:rPr>
      <w:rFonts w:ascii="Times New Roman" w:hAnsi="Times New Roman" w:eastAsia="宋体" w:cs="Times New Roman"/>
      <w:color w:val="404040"/>
    </w:rPr>
    <w:tblPr/>
  </w:style>
  <w:style w:type="table" w:styleId="858" w:customStyle="1">
    <w:name w:val="Lined - Accent 1"/>
    <w:basedOn w:val="702"/>
    <w:uiPriority w:val="0"/>
    <w:qFormat/>
    <w:pPr>
      <w:spacing w:after="0" w:line="240" w:lineRule="auto"/>
    </w:pPr>
    <w:rPr>
      <w:rFonts w:ascii="Times New Roman" w:hAnsi="Times New Roman" w:eastAsia="宋体" w:cs="Times New Roman"/>
      <w:color w:val="404040"/>
    </w:rPr>
    <w:tblPr/>
  </w:style>
  <w:style w:type="table" w:styleId="859" w:customStyle="1">
    <w:name w:val="Lined - Accent 2"/>
    <w:basedOn w:val="702"/>
    <w:uiPriority w:val="0"/>
    <w:qFormat/>
    <w:pPr>
      <w:spacing w:after="0" w:line="240" w:lineRule="auto"/>
    </w:pPr>
    <w:rPr>
      <w:rFonts w:ascii="Times New Roman" w:hAnsi="Times New Roman" w:eastAsia="宋体" w:cs="Times New Roman"/>
      <w:color w:val="404040"/>
    </w:rPr>
    <w:tblPr/>
  </w:style>
  <w:style w:type="table" w:styleId="860" w:customStyle="1">
    <w:name w:val="Lined - Accent 3"/>
    <w:basedOn w:val="702"/>
    <w:uiPriority w:val="0"/>
    <w:qFormat/>
    <w:pPr>
      <w:spacing w:after="0" w:line="240" w:lineRule="auto"/>
    </w:pPr>
    <w:rPr>
      <w:rFonts w:ascii="Times New Roman" w:hAnsi="Times New Roman" w:eastAsia="宋体" w:cs="Times New Roman"/>
      <w:color w:val="404040"/>
    </w:rPr>
    <w:tblPr/>
  </w:style>
  <w:style w:type="table" w:styleId="861" w:customStyle="1">
    <w:name w:val="Lined - Accent 4"/>
    <w:basedOn w:val="702"/>
    <w:uiPriority w:val="0"/>
    <w:qFormat/>
    <w:pPr>
      <w:spacing w:after="0" w:line="240" w:lineRule="auto"/>
    </w:pPr>
    <w:rPr>
      <w:rFonts w:ascii="Times New Roman" w:hAnsi="Times New Roman" w:eastAsia="宋体" w:cs="Times New Roman"/>
      <w:color w:val="404040"/>
    </w:rPr>
    <w:tblPr/>
  </w:style>
  <w:style w:type="table" w:styleId="862" w:customStyle="1">
    <w:name w:val="Lined - Accent 5"/>
    <w:basedOn w:val="702"/>
    <w:uiPriority w:val="0"/>
    <w:qFormat/>
    <w:pPr>
      <w:spacing w:after="0" w:line="240" w:lineRule="auto"/>
    </w:pPr>
    <w:rPr>
      <w:rFonts w:ascii="Times New Roman" w:hAnsi="Times New Roman" w:eastAsia="宋体" w:cs="Times New Roman"/>
      <w:color w:val="404040"/>
    </w:rPr>
    <w:tblPr/>
  </w:style>
  <w:style w:type="table" w:styleId="863" w:customStyle="1">
    <w:name w:val="Lined - Accent 6"/>
    <w:basedOn w:val="702"/>
    <w:uiPriority w:val="0"/>
    <w:qFormat/>
    <w:pPr>
      <w:spacing w:after="0" w:line="240" w:lineRule="auto"/>
    </w:pPr>
    <w:rPr>
      <w:rFonts w:ascii="Times New Roman" w:hAnsi="Times New Roman" w:eastAsia="宋体" w:cs="Times New Roman"/>
      <w:color w:val="404040"/>
    </w:rPr>
    <w:tblPr/>
  </w:style>
  <w:style w:type="table" w:styleId="864" w:customStyle="1">
    <w:name w:val="Bordered &amp; Lined - Accent"/>
    <w:basedOn w:val="702"/>
    <w:uiPriority w:val="0"/>
    <w:qFormat/>
    <w:pPr>
      <w:spacing w:after="0" w:line="240" w:lineRule="auto"/>
    </w:pPr>
    <w:rPr>
      <w:rFonts w:ascii="Times New Roman" w:hAnsi="Times New Roman" w:eastAsia="宋体" w:cs="Times New Roman"/>
      <w:color w:val="404040"/>
    </w:rPr>
    <w:tblPr/>
  </w:style>
  <w:style w:type="table" w:styleId="865" w:customStyle="1">
    <w:name w:val="Bordered &amp; Lined - Accent 1"/>
    <w:basedOn w:val="702"/>
    <w:uiPriority w:val="0"/>
    <w:qFormat/>
    <w:pPr>
      <w:spacing w:after="0" w:line="240" w:lineRule="auto"/>
    </w:pPr>
    <w:rPr>
      <w:rFonts w:ascii="Times New Roman" w:hAnsi="Times New Roman" w:eastAsia="宋体" w:cs="Times New Roman"/>
      <w:color w:val="404040"/>
    </w:rPr>
    <w:tblPr/>
  </w:style>
  <w:style w:type="table" w:styleId="866" w:customStyle="1">
    <w:name w:val="Bordered &amp; Lined - Accent 2"/>
    <w:basedOn w:val="702"/>
    <w:uiPriority w:val="0"/>
    <w:qFormat/>
    <w:pPr>
      <w:spacing w:after="0" w:line="240" w:lineRule="auto"/>
    </w:pPr>
    <w:rPr>
      <w:rFonts w:ascii="Times New Roman" w:hAnsi="Times New Roman" w:eastAsia="宋体" w:cs="Times New Roman"/>
      <w:color w:val="404040"/>
    </w:rPr>
    <w:tblPr/>
  </w:style>
  <w:style w:type="table" w:styleId="867" w:customStyle="1">
    <w:name w:val="Bordered &amp; Lined - Accent 3"/>
    <w:basedOn w:val="702"/>
    <w:uiPriority w:val="0"/>
    <w:qFormat/>
    <w:pPr>
      <w:spacing w:after="0" w:line="240" w:lineRule="auto"/>
    </w:pPr>
    <w:rPr>
      <w:rFonts w:ascii="Times New Roman" w:hAnsi="Times New Roman" w:eastAsia="宋体" w:cs="Times New Roman"/>
      <w:color w:val="404040"/>
    </w:rPr>
    <w:tblPr/>
  </w:style>
  <w:style w:type="table" w:styleId="868" w:customStyle="1">
    <w:name w:val="Bordered &amp; Lined - Accent 4"/>
    <w:basedOn w:val="702"/>
    <w:uiPriority w:val="0"/>
    <w:qFormat/>
    <w:pPr>
      <w:spacing w:after="0" w:line="240" w:lineRule="auto"/>
    </w:pPr>
    <w:rPr>
      <w:rFonts w:ascii="Times New Roman" w:hAnsi="Times New Roman" w:eastAsia="宋体" w:cs="Times New Roman"/>
      <w:color w:val="404040"/>
    </w:rPr>
    <w:tblPr/>
  </w:style>
  <w:style w:type="table" w:styleId="869" w:customStyle="1">
    <w:name w:val="Bordered &amp; Lined - Accent 5"/>
    <w:basedOn w:val="702"/>
    <w:uiPriority w:val="0"/>
    <w:qFormat/>
    <w:pPr>
      <w:spacing w:after="0" w:line="240" w:lineRule="auto"/>
    </w:pPr>
    <w:rPr>
      <w:rFonts w:ascii="Times New Roman" w:hAnsi="Times New Roman" w:eastAsia="宋体" w:cs="Times New Roman"/>
      <w:color w:val="404040"/>
    </w:rPr>
    <w:tblPr/>
  </w:style>
  <w:style w:type="table" w:styleId="870" w:customStyle="1">
    <w:name w:val="Bordered &amp; Lined - Accent 6"/>
    <w:basedOn w:val="702"/>
    <w:uiPriority w:val="0"/>
    <w:qFormat/>
    <w:pPr>
      <w:spacing w:after="0" w:line="240" w:lineRule="auto"/>
    </w:pPr>
    <w:rPr>
      <w:rFonts w:ascii="Times New Roman" w:hAnsi="Times New Roman" w:eastAsia="宋体" w:cs="Times New Roman"/>
      <w:color w:val="404040"/>
    </w:rPr>
    <w:tblPr/>
  </w:style>
  <w:style w:type="table" w:styleId="871" w:customStyle="1">
    <w:name w:val="Bordered"/>
    <w:basedOn w:val="702"/>
    <w:uiPriority w:val="0"/>
    <w:qFormat/>
    <w:pPr>
      <w:spacing w:after="0" w:line="240" w:lineRule="auto"/>
    </w:pPr>
    <w:rPr>
      <w:rFonts w:ascii="Times New Roman" w:hAnsi="Times New Roman" w:eastAsia="宋体" w:cs="Times New Roman"/>
    </w:rPr>
    <w:tblPr/>
  </w:style>
  <w:style w:type="table" w:styleId="872" w:customStyle="1">
    <w:name w:val="Bordered - Accent 1"/>
    <w:basedOn w:val="702"/>
    <w:uiPriority w:val="0"/>
    <w:qFormat/>
    <w:pPr>
      <w:spacing w:after="0" w:line="240" w:lineRule="auto"/>
    </w:pPr>
    <w:rPr>
      <w:rFonts w:ascii="Times New Roman" w:hAnsi="Times New Roman" w:eastAsia="宋体" w:cs="Times New Roman"/>
    </w:rPr>
    <w:tblPr/>
  </w:style>
  <w:style w:type="table" w:styleId="873" w:customStyle="1">
    <w:name w:val="Bordered - Accent 2"/>
    <w:basedOn w:val="702"/>
    <w:uiPriority w:val="0"/>
    <w:qFormat/>
    <w:pPr>
      <w:spacing w:after="0" w:line="240" w:lineRule="auto"/>
    </w:pPr>
    <w:rPr>
      <w:rFonts w:ascii="Times New Roman" w:hAnsi="Times New Roman" w:eastAsia="宋体" w:cs="Times New Roman"/>
    </w:rPr>
    <w:tblPr/>
  </w:style>
  <w:style w:type="table" w:styleId="874" w:customStyle="1">
    <w:name w:val="Bordered - Accent 3"/>
    <w:basedOn w:val="702"/>
    <w:uiPriority w:val="0"/>
    <w:qFormat/>
    <w:pPr>
      <w:spacing w:after="0" w:line="240" w:lineRule="auto"/>
    </w:pPr>
    <w:rPr>
      <w:rFonts w:ascii="Times New Roman" w:hAnsi="Times New Roman" w:eastAsia="宋体" w:cs="Times New Roman"/>
    </w:rPr>
    <w:tblPr/>
  </w:style>
  <w:style w:type="table" w:styleId="875" w:customStyle="1">
    <w:name w:val="Bordered - Accent 4"/>
    <w:basedOn w:val="702"/>
    <w:uiPriority w:val="0"/>
    <w:qFormat/>
    <w:pPr>
      <w:spacing w:after="0" w:line="240" w:lineRule="auto"/>
    </w:pPr>
    <w:rPr>
      <w:rFonts w:ascii="Times New Roman" w:hAnsi="Times New Roman" w:eastAsia="宋体" w:cs="Times New Roman"/>
    </w:rPr>
    <w:tblPr/>
  </w:style>
  <w:style w:type="table" w:styleId="876" w:customStyle="1">
    <w:name w:val="Bordered - Accent 5"/>
    <w:basedOn w:val="702"/>
    <w:uiPriority w:val="0"/>
    <w:qFormat/>
    <w:pPr>
      <w:spacing w:after="0" w:line="240" w:lineRule="auto"/>
    </w:pPr>
    <w:rPr>
      <w:rFonts w:ascii="Times New Roman" w:hAnsi="Times New Roman" w:eastAsia="宋体" w:cs="Times New Roman"/>
    </w:rPr>
    <w:tblPr/>
  </w:style>
  <w:style w:type="table" w:styleId="877" w:customStyle="1">
    <w:name w:val="Bordered - Accent 6"/>
    <w:basedOn w:val="702"/>
    <w:uiPriority w:val="0"/>
    <w:qFormat/>
    <w:pPr>
      <w:spacing w:after="0" w:line="240" w:lineRule="auto"/>
    </w:pPr>
    <w:rPr>
      <w:rFonts w:ascii="Times New Roman" w:hAnsi="Times New Roman" w:eastAsia="宋体" w:cs="Times New Roman"/>
    </w:rPr>
    <w:tblPr/>
  </w:style>
  <w:style w:type="paragraph" w:styleId="878" w:customStyle="1">
    <w:name w:val="TOC Heading_f40f51af-e6ca-4493-a7c2-98a14f717376"/>
    <w:uiPriority w:val="0"/>
    <w:qFormat/>
    <w:rPr>
      <w:rFonts w:hint="default" w:ascii="Times New Roman" w:hAnsi="Times New Roman" w:eastAsia="宋体" w:cs="Times New Roman"/>
    </w:rPr>
  </w:style>
  <w:style w:type="paragraph" w:styleId="879" w:customStyle="1">
    <w:name w:val="4"/>
    <w:basedOn w:val="640"/>
    <w:next w:val="731"/>
    <w:uiPriority w:val="0"/>
    <w:qFormat/>
    <w:pPr>
      <w:ind w:firstLine="420"/>
      <w:spacing w:line="360" w:lineRule="auto"/>
    </w:pPr>
    <w:rPr>
      <w:rFonts w:ascii="Times New Roman" w:hAnsi="Times New Roman" w:eastAsia="宋体" w:cs="Times New Roman"/>
      <w:color w:val="ff0000"/>
      <w:sz w:val="24"/>
    </w:rPr>
  </w:style>
  <w:style w:type="paragraph" w:styleId="880" w:customStyle="1">
    <w:name w:val="纯文本1"/>
    <w:basedOn w:val="640"/>
    <w:uiPriority w:val="0"/>
    <w:qFormat/>
    <w:rPr>
      <w:rFonts w:ascii="宋体" w:hAnsi="Courier New" w:eastAsia="楷体_GB2312" w:cs="Times New Roman"/>
      <w:sz w:val="28"/>
      <w:szCs w:val="20"/>
    </w:rPr>
  </w:style>
  <w:style w:type="character" w:styleId="881" w:customStyle="1">
    <w:name w:val="font71"/>
    <w:basedOn w:val="701"/>
    <w:link w:val="640"/>
    <w:uiPriority w:val="0"/>
    <w:qFormat/>
    <w:rPr>
      <w:rFonts w:hint="eastAsia" w:ascii="宋体" w:hAnsi="宋体" w:eastAsia="宋体" w:cs="宋体"/>
      <w:color w:val="000000"/>
      <w:sz w:val="22"/>
      <w:szCs w:val="22"/>
      <w:u w:val="none"/>
    </w:rPr>
  </w:style>
  <w:style w:type="character" w:styleId="882" w:customStyle="1">
    <w:name w:val="font61"/>
    <w:basedOn w:val="701"/>
    <w:link w:val="640"/>
    <w:uiPriority w:val="0"/>
    <w:qFormat/>
    <w:rPr>
      <w:rFonts w:ascii="Arial" w:hAnsi="Arial" w:eastAsia="宋体" w:cs="Arial"/>
      <w:color w:val="000000"/>
      <w:sz w:val="22"/>
      <w:szCs w:val="22"/>
      <w:u w:val="none"/>
    </w:rPr>
  </w:style>
  <w:style w:type="paragraph" w:styleId="883" w:customStyle="1">
    <w:name w:val="列出段落"/>
    <w:basedOn w:val="640"/>
    <w:uiPriority w:val="0"/>
    <w:qFormat/>
    <w:pPr>
      <w:contextualSpacing/>
      <w:ind w:left="720"/>
      <w:jc w:val="left"/>
      <w:widowControl/>
    </w:pPr>
    <w:rPr>
      <w:rFonts w:ascii="Calibri" w:hAnsi="Calibri" w:eastAsia="宋体" w:cs="Times New Roman"/>
      <w:sz w:val="24"/>
      <w:szCs w:val="24"/>
      <w:lang w:eastAsia="en-US" w:bidi="en-US"/>
    </w:rPr>
  </w:style>
  <w:style w:type="character" w:styleId="884" w:customStyle="1">
    <w:name w:val="font11"/>
    <w:basedOn w:val="701"/>
    <w:link w:val="640"/>
    <w:uiPriority w:val="0"/>
    <w:qFormat/>
    <w:rPr>
      <w:rFonts w:ascii="仿宋_GB2312" w:hAnsi="Times New Roman" w:eastAsia="仿宋_GB2312" w:cs="仿宋_GB2312"/>
      <w:color w:val="000000"/>
      <w:sz w:val="20"/>
      <w:szCs w:val="20"/>
      <w:u w:val="none"/>
    </w:rPr>
  </w:style>
  <w:style w:type="numbering" w:styleId="180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陆一</dc:creator>
  <cp:lastModifiedBy>江苏仁禾中衡工程咨询房地产估价有限公司</cp:lastModifiedBy>
  <cp:revision>8</cp:revision>
  <dcterms:created xsi:type="dcterms:W3CDTF">2024-01-18T02:05:00Z</dcterms:created>
  <dcterms:modified xsi:type="dcterms:W3CDTF">2026-02-10T02:48:13Z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eyJoZGlkIjoiMzYxMmUxNDY4MWRlYzllMjQ2ZDBlYTNjYzYxOTlkMTciLCJ1c2VySWQiOiI0MDI4NDQyMzMifQ==</vt:lpwstr>
  </property>
  <property fmtid="{D5CDD505-2E9C-101B-9397-08002B2CF9AE}" pid="3" name="KSOProductBuildVer">
    <vt:lpwstr>2052-12.1.0.24657</vt:lpwstr>
  </property>
  <property fmtid="{D5CDD505-2E9C-101B-9397-08002B2CF9AE}" pid="4" name="ICV">
    <vt:lpwstr>5A1D18FD07774135B2770151CC150BE7_13</vt:lpwstr>
  </property>
</Properties>
</file>