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beforeAutospacing="0" w:after="120" w:afterAutospacing="0" w:line="360" w:lineRule="auto"/>
      </w:pPr>
      <w:r>
        <w:rPr>
          <w:rFonts w:ascii="Arial" w:hAnsi="Arial" w:cs="Arial"/>
          <w:b/>
          <w:color w:val="000000"/>
          <w:sz w:val="84"/>
          <w:szCs w:val="84"/>
        </w:rPr>
        <w:t xml:space="preserve">招 标 文 件</w:t>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t xml:space="preserve">项目名称：响水县教育局校园安防建设项目</w:t>
      </w:r>
      <w:r/>
    </w:p>
    <w:p>
      <w:pPr>
        <w:jc w:val="center"/>
        <w:rPr>
          <w:sz w:val="24"/>
          <w:szCs w:val="32"/>
        </w:rPr>
      </w:pPr>
      <w:r>
        <w:rPr>
          <w:rFonts w:hint="eastAsia" w:ascii="宋体" w:hAnsi="宋体" w:eastAsia="宋体"/>
          <w:b/>
          <w:bCs/>
          <w:sz w:val="36"/>
          <w:szCs w:val="36"/>
        </w:rPr>
        <w:t xml:space="preserve">项目编号：</w:t>
      </w:r>
      <w:r>
        <w:rPr>
          <w:rFonts w:hint="eastAsia" w:ascii="宋体" w:hAnsi="宋体" w:eastAsia="宋体"/>
          <w:b/>
          <w:bCs/>
          <w:sz w:val="36"/>
          <w:szCs w:val="36"/>
          <w:lang w:eastAsia="zh-CN"/>
        </w:rPr>
        <w:t xml:space="preserve">JSZC-320921-YCWL-G2026-0001</w:t>
      </w:r>
      <w:r>
        <w:rPr>
          <w:rFonts w:hint="eastAsia" w:ascii="宋体" w:hAnsi="宋体" w:eastAsia="宋体"/>
          <w:b/>
          <w:bCs/>
          <w:sz w:val="36"/>
          <w:szCs w:val="36"/>
        </w:rPr>
        <w:tab/>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响水县教育局</w:t>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2026年</w:t>
      </w:r>
      <w:r>
        <w:rPr>
          <w:rFonts w:hint="eastAsia" w:ascii="宋体" w:hAnsi="宋体" w:eastAsia="宋体" w:cs="宋体"/>
          <w:b/>
          <w:sz w:val="36"/>
          <w:szCs w:val="36"/>
          <w:shd w:val="clear" w:color="auto" w:fill="ffffff" w:themeFill="background1"/>
          <w:lang w:val="en-US" w:eastAsia="zh-CN"/>
        </w:rPr>
        <w:t xml:space="preserve">5</w:t>
      </w:r>
      <w:r>
        <w:rPr>
          <w:rFonts w:hint="eastAsia" w:ascii="宋体" w:hAnsi="宋体" w:eastAsia="宋体" w:cs="宋体"/>
          <w:b/>
          <w:sz w:val="36"/>
          <w:szCs w:val="36"/>
          <w:shd w:val="clear" w:color="auto" w:fill="ffffff" w:themeFill="background1"/>
        </w:rPr>
        <w:t xml:space="preserve">月</w:t>
      </w:r>
      <w:r/>
    </w:p>
    <w:p>
      <w:pPr>
        <w:rPr>
          <w:rFonts w:hint="eastAsia" w:ascii="黑体" w:hAnsi="宋体" w:eastAsia="黑体" w:cs="黑体"/>
          <w:b/>
          <w:color w:val="000000"/>
          <w:sz w:val="44"/>
          <w:szCs w:val="44"/>
        </w:rPr>
      </w:pPr>
      <w:r/>
      <w:bookmarkStart w:id="0" w:name="_Toc513029200"/>
      <w:r/>
      <w:bookmarkStart w:id="1" w:name="_Toc523127445"/>
      <w:r/>
      <w:bookmarkStart w:id="2" w:name="_Toc479757206"/>
      <w:r/>
      <w:bookmarkStart w:id="3" w:name="_Toc120614210"/>
      <w:r/>
      <w:bookmarkStart w:id="4" w:name="_Toc16938516"/>
      <w:r/>
      <w:bookmarkStart w:id="5" w:name="_Toc20823272"/>
      <w:r>
        <w:rPr>
          <w:rFonts w:ascii="黑体" w:hAnsi="宋体" w:eastAsia="黑体" w:cs="黑体"/>
          <w:b/>
          <w:color w:val="000000"/>
          <w:sz w:val="44"/>
          <w:szCs w:val="44"/>
        </w:rPr>
        <w:br w:type="page" w:clear="all"/>
      </w:r>
      <w:r/>
    </w:p>
    <w:p>
      <w:pPr>
        <w:pStyle w:val="788"/>
        <w:jc w:val="center"/>
        <w:spacing w:beforeAutospacing="0" w:afterAutospacing="0" w:line="480" w:lineRule="auto"/>
      </w:pP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88"/>
        <w:ind w:firstLine="2891"/>
        <w:spacing w:beforeAutospacing="0" w:afterAutospacing="0" w:line="480" w:lineRule="auto"/>
      </w:pPr>
      <w:r>
        <w:t xml:space="preserve"> </w:t>
      </w:r>
      <w:r/>
    </w:p>
    <w:p>
      <w:pPr>
        <w:pStyle w:val="788"/>
        <w:spacing w:beforeAutospacing="0" w:afterAutospacing="0" w:line="480" w:lineRule="auto"/>
        <w:tabs>
          <w:tab w:val="left" w:pos="1441" w:leader="none"/>
        </w:tabs>
      </w:pPr>
      <w:r>
        <w:rPr>
          <w:rFonts w:hint="eastAsia" w:ascii="黑体" w:hAnsi="宋体" w:eastAsia="黑体" w:cs="黑体"/>
          <w:color w:val="000000"/>
          <w:sz w:val="36"/>
          <w:szCs w:val="36"/>
        </w:rPr>
        <w:t xml:space="preserve">一、</w:t>
      </w:r>
      <w:bookmarkStart w:id="6" w:name="OLE_LINK34"/>
      <w:r>
        <w:rPr>
          <w:rFonts w:hint="eastAsia" w:ascii="黑体" w:hAnsi="宋体" w:eastAsia="黑体" w:cs="黑体"/>
          <w:color w:val="000000"/>
          <w:sz w:val="36"/>
          <w:szCs w:val="36"/>
        </w:rPr>
        <w:t xml:space="preserve">招标公告</w:t>
      </w:r>
      <w:bookmarkEnd w:id="6"/>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pPr>
      <w:r>
        <w:rPr>
          <w:rFonts w:hint="eastAsia" w:ascii="黑体" w:hAnsi="宋体" w:eastAsia="黑体" w:cs="黑体"/>
          <w:color w:val="000000"/>
          <w:sz w:val="36"/>
          <w:szCs w:val="36"/>
        </w:rPr>
        <w:t xml:space="preserve">二、</w:t>
      </w:r>
      <w:bookmarkStart w:id="7" w:name="OLE_LINK41"/>
      <w:r>
        <w:rPr>
          <w:rFonts w:hint="eastAsia" w:ascii="黑体" w:hAnsi="宋体" w:eastAsia="黑体" w:cs="黑体"/>
          <w:color w:val="000000"/>
          <w:sz w:val="36"/>
          <w:szCs w:val="36"/>
        </w:rPr>
        <w:t xml:space="preserve">投标人须知</w:t>
      </w:r>
      <w:bookmarkEnd w:id="7"/>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三、</w:t>
      </w:r>
      <w:bookmarkStart w:id="8" w:name="OLE_LINK42"/>
      <w:r>
        <w:rPr>
          <w:rFonts w:hint="eastAsia" w:ascii="黑体" w:hAnsi="宋体" w:eastAsia="黑体" w:cs="黑体"/>
          <w:color w:val="000000"/>
          <w:sz w:val="36"/>
          <w:szCs w:val="36"/>
        </w:rPr>
        <w:t xml:space="preserve">合同条款</w:t>
      </w:r>
      <w:bookmarkEnd w:id="8"/>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四、</w:t>
      </w:r>
      <w:bookmarkStart w:id="9" w:name="OLE_LINK38"/>
      <w:r>
        <w:rPr>
          <w:rFonts w:hint="eastAsia" w:ascii="黑体" w:hAnsi="宋体" w:eastAsia="黑体" w:cs="黑体"/>
          <w:color w:val="000000"/>
          <w:sz w:val="36"/>
          <w:szCs w:val="36"/>
        </w:rPr>
        <w:t xml:space="preserve">采购需求</w:t>
      </w:r>
      <w:bookmarkEnd w:id="9"/>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五、</w:t>
      </w:r>
      <w:bookmarkStart w:id="10" w:name="OLE_LINK39"/>
      <w:r>
        <w:rPr>
          <w:rFonts w:hint="eastAsia" w:ascii="黑体" w:hAnsi="宋体" w:eastAsia="黑体" w:cs="黑体"/>
          <w:color w:val="000000"/>
          <w:sz w:val="36"/>
          <w:szCs w:val="36"/>
        </w:rPr>
        <w:t xml:space="preserve">评标方法与评标标准</w:t>
      </w:r>
      <w:bookmarkEnd w:id="10"/>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六、</w:t>
      </w:r>
      <w:bookmarkStart w:id="11" w:name="OLE_LINK40"/>
      <w:r>
        <w:rPr>
          <w:rFonts w:hint="eastAsia" w:ascii="黑体" w:hAnsi="宋体" w:eastAsia="黑体" w:cs="黑体"/>
          <w:color w:val="000000"/>
          <w:sz w:val="36"/>
          <w:szCs w:val="36"/>
        </w:rPr>
        <w:t xml:space="preserve">投标文件格式</w:t>
      </w:r>
      <w:bookmarkEnd w:id="11"/>
      <w:r>
        <w:rPr>
          <w:rFonts w:hint="eastAsia" w:ascii="黑体" w:hAnsi="宋体" w:eastAsia="黑体" w:cs="黑体"/>
          <w:color w:val="000000"/>
          <w:sz w:val="36"/>
          <w:szCs w:val="36"/>
        </w:rPr>
        <w:t xml:space="preserve">………………………………</w:t>
      </w:r>
      <w:r/>
    </w:p>
    <w:p>
      <w:pPr>
        <w:pStyle w:val="788"/>
        <w:ind w:firstLine="3080"/>
        <w:keepNext/>
        <w:spacing w:beforeAutospacing="0" w:afterAutospacing="0"/>
        <w:rPr>
          <w:rFonts w:hint="eastAsia" w:ascii="黑体" w:hAnsi="宋体" w:eastAsia="黑体" w:cs="黑体"/>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bookmarkStart w:id="12" w:name="_Toc28359086"/>
      <w:r/>
      <w:r/>
    </w:p>
    <w:p>
      <w:pPr>
        <w:pStyle w:val="788"/>
        <w:jc w:val="center"/>
        <w:keepNext/>
        <w:spacing w:beforeAutospacing="0" w:afterAutospacing="0" w:line="360" w:lineRule="auto"/>
        <w:rPr>
          <w:rFonts w:eastAsia="黑体"/>
        </w:rPr>
      </w:pPr>
      <w:r>
        <w:rPr>
          <w:rFonts w:hint="eastAsia" w:ascii="黑体" w:hAnsi="宋体" w:eastAsia="黑体" w:cs="黑体"/>
          <w:color w:val="000000"/>
          <w:sz w:val="44"/>
          <w:szCs w:val="44"/>
        </w:rPr>
        <w:t xml:space="preserve">第一章 招标公告</w:t>
      </w:r>
      <w:r/>
    </w:p>
    <w:p>
      <w:pPr>
        <w:pStyle w:val="788"/>
        <w:ind w:firstLine="480"/>
        <w:jc w:val="both"/>
        <w:spacing w:before="60" w:beforeAutospacing="0" w:after="60" w:afterAutospacing="0" w:line="42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bookmarkStart w:id="13" w:name="_Toc28359079"/>
      <w:r/>
      <w:bookmarkStart w:id="14" w:name="_Toc28359002"/>
      <w:r/>
      <w:bookmarkStart w:id="15" w:name="_Toc35393621"/>
      <w:r/>
      <w:bookmarkStart w:id="16" w:name="_Toc35393790"/>
      <w:r/>
      <w:bookmarkStart w:id="17" w:name="_Toc38985263"/>
      <w:r/>
      <w:bookmarkStart w:id="18" w:name="_Hlk24379207"/>
      <w:r>
        <w:rPr>
          <w:rFonts w:hint="eastAsia" w:ascii="宋体" w:hAnsi="宋体" w:eastAsia="宋体" w:cs="宋体"/>
        </w:rPr>
        <w:t xml:space="preserve">项目概况</w:t>
      </w:r>
      <w:r/>
    </w:p>
    <w:p>
      <w:pPr>
        <w:pStyle w:val="788"/>
        <w:ind w:firstLine="480"/>
        <w:jc w:val="both"/>
        <w:spacing w:before="60" w:beforeAutospacing="0" w:after="60" w:afterAutospacing="0" w:line="42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响水县教育局校园安防建设项目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5</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9</w:t>
      </w:r>
      <w:r>
        <w:rPr>
          <w:rFonts w:hint="eastAsia" w:ascii="宋体" w:hAnsi="宋体" w:eastAsia="宋体" w:cs="宋体"/>
          <w:u w:val="single"/>
        </w:rPr>
        <w:t xml:space="preserve">点</w:t>
      </w:r>
      <w:r>
        <w:rPr>
          <w:rFonts w:hint="eastAsia" w:ascii="宋体" w:hAnsi="宋体" w:eastAsia="宋体" w:cs="宋体"/>
          <w:u w:val="single"/>
          <w:lang w:val="en-US" w:eastAsia="zh-CN"/>
        </w:rPr>
        <w:t xml:space="preserve">00</w:t>
      </w:r>
      <w:r>
        <w:rPr>
          <w:rFonts w:hint="eastAsia" w:ascii="宋体" w:hAnsi="宋体" w:eastAsia="宋体" w:cs="宋体"/>
          <w:u w:val="single"/>
        </w:rPr>
        <w:t xml:space="preserve">分（</w:t>
      </w:r>
      <w:r>
        <w:rPr>
          <w:rFonts w:hint="eastAsia" w:ascii="宋体" w:hAnsi="宋体" w:eastAsia="宋体" w:cs="宋体"/>
        </w:rPr>
        <w:t xml:space="preserve">北京时间）前递交投标文件。</w:t>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一、项目基本情况</w:t>
      </w:r>
      <w:bookmarkEnd w:id="13"/>
      <w:r/>
      <w:bookmarkEnd w:id="14"/>
      <w:r/>
      <w:bookmarkEnd w:id="15"/>
      <w:r/>
      <w:bookmarkEnd w:id="16"/>
      <w:r/>
      <w:bookmarkEnd w:id="17"/>
      <w:r/>
      <w:bookmarkEnd w:id="18"/>
      <w:r/>
      <w:r/>
    </w:p>
    <w:p>
      <w:pPr>
        <w:ind w:firstLine="480"/>
        <w:jc w:val="left"/>
        <w:spacing w:before="60" w:after="60" w:line="420" w:lineRule="exact"/>
        <w:rPr>
          <w:rFonts w:hint="eastAsia" w:ascii="宋体" w:hAnsi="宋体" w:eastAsia="宋体"/>
          <w:sz w:val="24"/>
          <w:shd w:val="clear" w:color="auto" w:fill="ffffff" w:themeFill="background1"/>
          <w:lang w:eastAsia="zh-CN"/>
        </w:rPr>
      </w:pPr>
      <w:r/>
      <w:bookmarkStart w:id="19" w:name="OLE_LINK24"/>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lang w:eastAsia="zh-CN"/>
        </w:rPr>
        <w:t xml:space="preserve">JSZC-320921-YCWL-G2026-0001</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2.项目名称：响水县教育局校园安防建设项目</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20" w:name="OLE_LINK94"/>
      <w:r/>
      <w:bookmarkStart w:id="21" w:name="OLE_LINK77"/>
      <w:r>
        <w:rPr>
          <w:rFonts w:hint="eastAsia" w:ascii="宋体" w:hAnsi="宋体" w:eastAsia="宋体"/>
          <w:sz w:val="24"/>
          <w:shd w:val="clear" w:color="auto" w:fill="ffffff" w:themeFill="background1"/>
        </w:rPr>
        <w:t xml:space="preserve">1200万元</w:t>
      </w:r>
      <w:bookmarkEnd w:id="20"/>
      <w:r/>
      <w:bookmarkEnd w:id="21"/>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5.最高限价：11961783元</w:t>
      </w:r>
      <w:bookmarkEnd w:id="19"/>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6.采购需求：响水县教育局校园安防建设项目，详情见采购文件第四章“采购需求”。</w:t>
      </w:r>
      <w:r/>
    </w:p>
    <w:p>
      <w:pPr>
        <w:ind w:firstLine="480"/>
        <w:jc w:val="left"/>
        <w:spacing w:before="60" w:after="60" w:line="420" w:lineRule="exact"/>
        <w:rPr>
          <w:rFonts w:hint="eastAsia" w:ascii="宋体" w:hAnsi="宋体" w:eastAsia="宋体"/>
          <w:sz w:val="24"/>
          <w:shd w:val="clear" w:color="auto" w:fill="ffffff" w:themeFill="background1"/>
        </w:rPr>
      </w:pPr>
      <w:r/>
      <w:bookmarkStart w:id="22" w:name="_Toc28359080"/>
      <w:r/>
      <w:bookmarkStart w:id="23" w:name="_Toc35393622"/>
      <w:r/>
      <w:bookmarkStart w:id="24" w:name="_Toc38985264"/>
      <w:r/>
      <w:bookmarkStart w:id="25" w:name="_Toc28359003"/>
      <w:r/>
      <w:bookmarkStart w:id="26" w:name="_Toc35393791"/>
      <w:r>
        <w:rPr>
          <w:rFonts w:hint="eastAsia" w:ascii="宋体" w:hAnsi="宋体" w:eastAsia="宋体"/>
          <w:sz w:val="24"/>
          <w:shd w:val="clear" w:color="auto" w:fill="ffffff" w:themeFill="background1"/>
        </w:rPr>
        <w:t xml:space="preserve">7.合同履行期限：合同签订后90个日历天完成供货（安装）并交付使用。</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8.本项目（是/否）接受联合体投标：否</w:t>
      </w:r>
      <w:r/>
    </w:p>
    <w:p>
      <w:pPr>
        <w:ind w:firstLine="422"/>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cs="宋体"/>
          <w:b/>
          <w:color w:val="000000"/>
        </w:rPr>
        <w:t xml:space="preserve">二、申请人的资格要求：</w:t>
      </w:r>
      <w:bookmarkEnd w:id="22"/>
      <w:r/>
      <w:bookmarkEnd w:id="23"/>
      <w:r/>
      <w:bookmarkEnd w:id="24"/>
      <w:r/>
      <w:bookmarkEnd w:id="25"/>
      <w:r/>
      <w:bookmarkEnd w:id="26"/>
      <w:r/>
      <w:r/>
    </w:p>
    <w:p>
      <w:pPr>
        <w:pStyle w:val="788"/>
        <w:ind w:firstLine="480"/>
        <w:spacing w:before="60" w:beforeAutospacing="0" w:after="60" w:afterAutospacing="0" w:line="420" w:lineRule="exact"/>
        <w:rPr>
          <w:rFonts w:hint="eastAsia" w:ascii="宋体" w:hAnsi="宋体" w:eastAsia="宋体" w:cs="宋体"/>
        </w:rPr>
      </w:pPr>
      <w:r>
        <w:rPr>
          <w:rFonts w:hint="eastAsia" w:ascii="宋体" w:hAnsi="宋体" w:eastAsia="宋体" w:cs="宋体"/>
          <w:color w:val="000000"/>
        </w:rPr>
        <w:t xml:space="preserve">（一）满足《中华人民共和国政府采购法》第二十二条规定，并提供下列材料：</w:t>
      </w:r>
      <w:r/>
    </w:p>
    <w:p>
      <w:pPr>
        <w:pStyle w:val="788"/>
        <w:ind w:firstLine="480"/>
        <w:spacing w:before="60" w:beforeAutospacing="0" w:after="60" w:afterAutospacing="0" w:line="420" w:lineRule="exact"/>
        <w:rPr>
          <w:rFonts w:hint="eastAsia" w:ascii="宋体" w:hAnsi="宋体" w:eastAsia="宋体" w:cs="宋体"/>
        </w:rPr>
      </w:pPr>
      <w:r/>
      <w:bookmarkStart w:id="27" w:name="OLE_LINK37"/>
      <w:r>
        <w:rPr>
          <w:rFonts w:hint="eastAsia" w:ascii="宋体" w:hAnsi="宋体" w:eastAsia="宋体" w:cs="宋体"/>
          <w:color w:val="000000"/>
        </w:rPr>
        <w:t xml:space="preserve">1.法人或者其他组织的营业执照等证明文件，自然人的身份证明。</w:t>
      </w:r>
      <w:bookmarkEnd w:id="27"/>
      <w:r/>
      <w:r/>
    </w:p>
    <w:p>
      <w:pPr>
        <w:pStyle w:val="788"/>
        <w:ind w:firstLine="480"/>
        <w:spacing w:before="60" w:beforeAutospacing="0" w:after="60" w:afterAutospacing="0" w:line="420" w:lineRule="exact"/>
        <w:rPr>
          <w:rFonts w:hint="eastAsia" w:ascii="宋体" w:hAnsi="宋体" w:eastAsia="宋体" w:cs="宋体"/>
          <w:color w:val="000000"/>
        </w:rPr>
      </w:pPr>
      <w:r/>
      <w:bookmarkStart w:id="28" w:name="_Hlk203119529"/>
      <w:r/>
      <w:bookmarkStart w:id="29" w:name="OLE_LINK64"/>
      <w:r/>
      <w:bookmarkStart w:id="30" w:name="OLE_LINK25"/>
      <w:r>
        <w:rPr>
          <w:rFonts w:hint="eastAsia" w:ascii="宋体" w:hAnsi="宋体" w:eastAsia="宋体" w:cs="宋体"/>
          <w:color w:val="000000"/>
        </w:rPr>
        <w:t xml:space="preserve">2.</w:t>
      </w:r>
      <w:bookmarkEnd w:id="28"/>
      <w:r>
        <w:rPr>
          <w:rFonts w:hint="eastAsia" w:ascii="宋体" w:hAnsi="宋体" w:eastAsia="宋体"/>
        </w:rPr>
        <w:t xml:space="preserve">2024年度或2025年度的财务状况报告（成立不满一年无需提供）</w:t>
      </w:r>
      <w:r>
        <w:rPr>
          <w:rFonts w:hint="eastAsia" w:ascii="宋体" w:hAnsi="宋体" w:eastAsia="宋体" w:cs="宋体"/>
          <w:color w:val="000000"/>
        </w:rPr>
        <w:t xml:space="preserve">。</w:t>
      </w:r>
      <w:bookmarkEnd w:id="29"/>
      <w:r/>
      <w:bookmarkEnd w:id="30"/>
      <w:r/>
      <w:r/>
    </w:p>
    <w:p>
      <w:pPr>
        <w:pStyle w:val="788"/>
        <w:ind w:firstLine="480"/>
        <w:spacing w:before="60" w:beforeAutospacing="0" w:after="60" w:afterAutospacing="0" w:line="420" w:lineRule="exact"/>
        <w:rPr>
          <w:rFonts w:hint="eastAsia" w:ascii="宋体" w:hAnsi="宋体" w:eastAsia="宋体" w:cs="宋体"/>
          <w:color w:val="000000"/>
        </w:rPr>
      </w:pPr>
      <w:r/>
      <w:bookmarkStart w:id="31" w:name="OLE_LINK65"/>
      <w:r>
        <w:rPr>
          <w:rFonts w:hint="eastAsia" w:ascii="宋体" w:hAnsi="宋体" w:eastAsia="宋体" w:cs="宋体"/>
          <w:color w:val="000000"/>
        </w:rPr>
        <w:t xml:space="preserve">3.具备履行合同所必需的设备和专业技术能力的书面声明。</w:t>
      </w:r>
      <w:bookmarkEnd w:id="31"/>
      <w:r/>
      <w:r/>
    </w:p>
    <w:p>
      <w:pPr>
        <w:pStyle w:val="788"/>
        <w:ind w:firstLine="480"/>
        <w:spacing w:before="60" w:beforeAutospacing="0" w:after="60" w:afterAutospacing="0" w:line="420" w:lineRule="exact"/>
        <w:rPr>
          <w:rFonts w:hint="eastAsia" w:ascii="宋体" w:hAnsi="宋体" w:eastAsia="宋体" w:cs="宋体"/>
        </w:rPr>
      </w:pPr>
      <w:r/>
      <w:bookmarkStart w:id="32" w:name="OLE_LINK66"/>
      <w:r>
        <w:rPr>
          <w:rFonts w:hint="eastAsia" w:ascii="宋体" w:hAnsi="宋体" w:eastAsia="宋体" w:cs="宋体"/>
          <w:color w:val="000000"/>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bookmarkEnd w:id="32"/>
      <w:r/>
      <w:r/>
    </w:p>
    <w:p>
      <w:pPr>
        <w:pStyle w:val="788"/>
        <w:ind w:firstLine="480"/>
        <w:spacing w:before="60" w:beforeAutospacing="0" w:after="60" w:afterAutospacing="0" w:line="420" w:lineRule="exact"/>
        <w:rPr>
          <w:rFonts w:hint="eastAsia" w:ascii="宋体" w:hAnsi="宋体" w:eastAsia="宋体" w:cs="宋体"/>
          <w:color w:val="000000"/>
        </w:rPr>
      </w:pPr>
      <w:r/>
      <w:bookmarkStart w:id="33" w:name="OLE_LINK69"/>
      <w:r>
        <w:rPr>
          <w:rFonts w:hint="eastAsia" w:ascii="宋体" w:hAnsi="宋体" w:eastAsia="宋体" w:cs="宋体"/>
          <w:color w:val="000000"/>
        </w:rPr>
        <w:t xml:space="preserve">5.参加政府采购活动前3年内在经营活动中没有重大违法记录的书面声明。</w:t>
      </w:r>
      <w:bookmarkEnd w:id="33"/>
      <w:r/>
      <w:r/>
    </w:p>
    <w:p>
      <w:pPr>
        <w:pStyle w:val="788"/>
        <w:ind w:firstLine="480"/>
        <w:spacing w:before="60" w:beforeAutospacing="0" w:after="60" w:afterAutospacing="0" w:line="420" w:lineRule="exact"/>
        <w:rPr>
          <w:rFonts w:hint="eastAsia" w:ascii="宋体" w:hAnsi="宋体" w:eastAsia="宋体" w:cs="宋体"/>
          <w:color w:val="000000"/>
        </w:rPr>
      </w:pPr>
      <w:r/>
      <w:bookmarkStart w:id="34" w:name="OLE_LINK71"/>
      <w:r/>
      <w:bookmarkStart w:id="35" w:name="OLE_LINK26"/>
      <w:r>
        <w:rPr>
          <w:rFonts w:hint="eastAsia" w:ascii="宋体" w:hAnsi="宋体" w:eastAsia="宋体" w:cs="宋体"/>
          <w:color w:val="000000"/>
        </w:rPr>
        <w:t xml:space="preserve">6.法律、行政法规规定的其他条件。</w:t>
      </w:r>
      <w:bookmarkEnd w:id="34"/>
      <w:r/>
      <w:bookmarkEnd w:id="35"/>
      <w:r/>
      <w:r/>
    </w:p>
    <w:p>
      <w:pPr>
        <w:pStyle w:val="788"/>
        <w:ind w:firstLine="480"/>
        <w:spacing w:before="60" w:beforeAutospacing="0" w:after="60" w:afterAutospacing="0" w:line="420" w:lineRule="exact"/>
        <w:rPr>
          <w:rFonts w:hint="eastAsia" w:ascii="宋体" w:hAnsi="宋体" w:eastAsia="宋体" w:cs="宋体"/>
          <w:color w:val="000000"/>
        </w:rPr>
      </w:pPr>
      <w:r/>
      <w:bookmarkStart w:id="36" w:name="OLE_LINK17"/>
      <w:r/>
      <w:bookmarkStart w:id="37" w:name="OLE_LINK73"/>
      <w:r>
        <w:rPr>
          <w:rFonts w:hint="eastAsia" w:ascii="宋体" w:hAnsi="宋体" w:eastAsia="宋体"/>
          <w:shd w:val="clear" w:color="auto" w:fill="ffffff" w:themeFill="background1"/>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r/>
      <w:bookmarkEnd w:id="37"/>
      <w:r/>
      <w:r/>
    </w:p>
    <w:p>
      <w:pPr>
        <w:pStyle w:val="788"/>
        <w:ind w:firstLine="480"/>
        <w:spacing w:before="60" w:beforeAutospacing="0" w:after="60" w:afterAutospacing="0" w:line="420" w:lineRule="exact"/>
        <w:rPr>
          <w:rFonts w:hint="eastAsia" w:ascii="宋体" w:hAnsi="宋体" w:eastAsia="宋体" w:cs="宋体"/>
          <w:color w:val="000000"/>
        </w:rPr>
      </w:pPr>
      <w:r/>
      <w:bookmarkStart w:id="38" w:name="OLE_LINK74"/>
      <w:r>
        <w:rPr>
          <w:rFonts w:hint="eastAsia" w:ascii="宋体" w:hAnsi="宋体" w:eastAsia="宋体" w:cs="宋体"/>
          <w:color w:val="000000"/>
        </w:rPr>
        <w:t xml:space="preserve">8.单位负责人为同一人或者存在直接控股、管理关系的不同供应商，不得参加同一合同项下的政府采购活动。</w:t>
      </w:r>
      <w:bookmarkEnd w:id="38"/>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（二）落实政府采购政策需满足的资格要求：</w:t>
      </w:r>
      <w:r/>
    </w:p>
    <w:p>
      <w:pPr>
        <w:ind w:firstLine="480"/>
        <w:jc w:val="left"/>
        <w:spacing w:before="60" w:after="60" w:line="420" w:lineRule="exact"/>
        <w:rPr>
          <w:rFonts w:hint="eastAsia" w:ascii="宋体" w:hAnsi="宋体" w:eastAsia="宋体"/>
          <w:sz w:val="24"/>
          <w:shd w:val="clear" w:color="auto" w:fill="ffffff" w:themeFill="background1"/>
        </w:rPr>
      </w:pPr>
      <w:r/>
      <w:bookmarkStart w:id="39" w:name="OLE_LINK76"/>
      <w:r>
        <w:rPr>
          <w:rFonts w:hint="eastAsia" w:ascii="宋体" w:hAnsi="宋体" w:eastAsia="宋体" w:cs="宋体"/>
          <w:color w:val="000000"/>
          <w:sz w:val="24"/>
        </w:rPr>
        <w:t xml:space="preserve">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w:t>
      </w:r>
      <w:bookmarkEnd w:id="39"/>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（三）本项目的特定资格要求：</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投标人必须是在中国境内注册，具有中华人民共和国工业和信息化部颁发的中华人民共和国基础电信业务经营许可证的运营商或经过总公司授权的分（支）公司。</w:t>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before="60" w:after="60" w:line="420" w:lineRule="exact"/>
        <w:rPr>
          <w:rFonts w:hint="eastAsia" w:ascii="宋体" w:hAnsi="宋体" w:eastAsia="宋体"/>
          <w:sz w:val="24"/>
          <w:shd w:val="clear" w:color="auto" w:fill="ffffff" w:themeFill="background1"/>
        </w:rPr>
      </w:pPr>
      <w:r/>
      <w:bookmarkStart w:id="40" w:name="_Toc28359005"/>
      <w:r/>
      <w:bookmarkStart w:id="41" w:name="_Toc35393793"/>
      <w:r/>
      <w:bookmarkStart w:id="42" w:name="_Toc35393624"/>
      <w:r/>
      <w:bookmarkStart w:id="43" w:name="_Toc28359082"/>
      <w:r/>
      <w:bookmarkStart w:id="44" w:name="_Toc38985266"/>
      <w:r>
        <w:rPr>
          <w:rFonts w:hint="eastAsia" w:ascii="宋体" w:hAnsi="宋体" w:eastAsia="宋体"/>
          <w:sz w:val="24"/>
          <w:shd w:val="clear" w:color="auto" w:fill="ffffff" w:themeFill="background1"/>
        </w:rPr>
        <w:t xml:space="preserve">1.时间：</w:t>
      </w:r>
      <w:bookmarkEnd w:id="40"/>
      <w:r/>
      <w:bookmarkEnd w:id="41"/>
      <w:r/>
      <w:bookmarkEnd w:id="42"/>
      <w:r/>
      <w:bookmarkEnd w:id="43"/>
      <w:r/>
      <w:bookmarkEnd w:id="44"/>
      <w:r>
        <w:rPr>
          <w:rFonts w:hint="eastAsia" w:ascii="宋体" w:hAnsi="宋体" w:eastAsia="宋体"/>
          <w:sz w:val="24"/>
          <w:shd w:val="clear" w:color="auto" w:fill="ffffff" w:themeFill="background1"/>
        </w:rPr>
        <w:t xml:space="preserve">自招标文件公告发布之日起5个工作日。</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2.地点：“苏采云”系统内免费下载（投标人必须在苏采云系统中获取采购文件，方能参与政府采购项目）</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1.时间：2026年</w:t>
      </w:r>
      <w:r>
        <w:rPr>
          <w:rFonts w:hint="eastAsia" w:ascii="宋体" w:hAnsi="宋体" w:eastAsia="宋体"/>
          <w:sz w:val="24"/>
          <w:shd w:val="clear" w:color="auto" w:fill="ffffff" w:themeFill="background1"/>
          <w:lang w:val="en-US" w:eastAsia="zh-CN"/>
        </w:rPr>
        <w:t xml:space="preserve">6</w:t>
      </w:r>
      <w:r>
        <w:rPr>
          <w:rFonts w:hint="eastAsia" w:ascii="宋体" w:hAnsi="宋体" w:eastAsia="宋体"/>
          <w:sz w:val="24"/>
          <w:shd w:val="clear" w:color="auto" w:fill="ffffff" w:themeFill="background1"/>
        </w:rPr>
        <w:t xml:space="preserve">月</w:t>
      </w:r>
      <w:r>
        <w:rPr>
          <w:rFonts w:hint="eastAsia" w:ascii="宋体" w:hAnsi="宋体" w:eastAsia="宋体"/>
          <w:sz w:val="24"/>
          <w:shd w:val="clear" w:color="auto" w:fill="ffffff" w:themeFill="background1"/>
          <w:lang w:val="en-US" w:eastAsia="zh-CN"/>
        </w:rPr>
        <w:t xml:space="preserve">5</w:t>
      </w:r>
      <w:r>
        <w:rPr>
          <w:rFonts w:hint="eastAsia" w:ascii="宋体" w:hAnsi="宋体" w:eastAsia="宋体"/>
          <w:sz w:val="24"/>
          <w:shd w:val="clear" w:color="auto" w:fill="ffffff" w:themeFill="background1"/>
        </w:rPr>
        <w:t xml:space="preserve">日</w:t>
      </w:r>
      <w:r>
        <w:rPr>
          <w:rFonts w:hint="eastAsia" w:ascii="宋体" w:hAnsi="宋体" w:eastAsia="宋体"/>
          <w:sz w:val="24"/>
          <w:shd w:val="clear" w:color="auto" w:fill="ffffff" w:themeFill="background1"/>
          <w:lang w:val="en-US" w:eastAsia="zh-CN"/>
        </w:rPr>
        <w:t xml:space="preserve">9</w:t>
      </w:r>
      <w:r>
        <w:rPr>
          <w:rFonts w:hint="eastAsia" w:ascii="宋体" w:hAnsi="宋体" w:eastAsia="宋体"/>
          <w:sz w:val="24"/>
          <w:shd w:val="clear" w:color="auto" w:fill="ffffff" w:themeFill="background1"/>
        </w:rPr>
        <w:t xml:space="preserve">点</w:t>
      </w:r>
      <w:r>
        <w:rPr>
          <w:rFonts w:hint="eastAsia" w:ascii="宋体" w:hAnsi="宋体" w:eastAsia="宋体"/>
          <w:sz w:val="24"/>
          <w:shd w:val="clear" w:color="auto" w:fill="ffffff" w:themeFill="background1"/>
          <w:lang w:val="en-US" w:eastAsia="zh-CN"/>
        </w:rPr>
        <w:t xml:space="preserve">00</w:t>
      </w:r>
      <w:r>
        <w:rPr>
          <w:rFonts w:hint="eastAsia" w:ascii="宋体" w:hAnsi="宋体" w:eastAsia="宋体"/>
          <w:sz w:val="24"/>
          <w:shd w:val="clear" w:color="auto" w:fill="ffffff" w:themeFill="background1"/>
        </w:rPr>
        <w:t xml:space="preserve">分（北京时间）</w:t>
      </w:r>
      <w:r/>
    </w:p>
    <w:p>
      <w:pPr>
        <w:pStyle w:val="788"/>
        <w:ind w:firstLine="480"/>
        <w:spacing w:before="60" w:beforeAutospacing="0" w:after="60" w:afterAutospacing="0" w:line="420" w:lineRule="exact"/>
        <w:rPr>
          <w:rFonts w:hint="eastAsia" w:ascii="宋体" w:hAnsi="宋体" w:eastAsia="宋体" w:cs="宋体"/>
        </w:rPr>
      </w:pPr>
      <w:r>
        <w:rPr>
          <w:rFonts w:hint="eastAsia" w:ascii="宋体" w:hAnsi="宋体" w:eastAsia="宋体" w:cs="宋体"/>
          <w:color w:val="000000"/>
        </w:rPr>
        <w:t xml:space="preserve">2.地点：苏采云“不见面”开标大厅 。</w:t>
      </w:r>
      <w:r/>
    </w:p>
    <w:p>
      <w:pPr>
        <w:pStyle w:val="788"/>
        <w:ind w:firstLine="482"/>
        <w:keepLines/>
        <w:keepNext/>
        <w:spacing w:before="60" w:beforeAutospacing="0" w:after="60" w:afterAutospacing="0" w:line="420" w:lineRule="exact"/>
        <w:rPr>
          <w:rFonts w:hint="eastAsia" w:ascii="宋体" w:hAnsi="宋体" w:eastAsia="宋体" w:cs="宋体"/>
        </w:rPr>
      </w:pPr>
      <w:r/>
      <w:bookmarkStart w:id="45" w:name="_Toc38985267"/>
      <w:r/>
      <w:bookmarkStart w:id="46" w:name="_Toc28359007"/>
      <w:r/>
      <w:bookmarkStart w:id="47" w:name="_Toc28359084"/>
      <w:r/>
      <w:bookmarkStart w:id="48" w:name="_Toc35393794"/>
      <w:r/>
      <w:bookmarkStart w:id="49" w:name="_Toc35393625"/>
      <w:r>
        <w:rPr>
          <w:rFonts w:hint="eastAsia" w:ascii="宋体" w:hAnsi="宋体" w:eastAsia="宋体" w:cs="宋体"/>
          <w:b/>
          <w:color w:val="000000"/>
        </w:rPr>
        <w:t xml:space="preserve">五、公告期限</w:t>
      </w:r>
      <w:bookmarkEnd w:id="45"/>
      <w:r/>
      <w:bookmarkEnd w:id="46"/>
      <w:r/>
      <w:bookmarkEnd w:id="47"/>
      <w:r/>
      <w:bookmarkEnd w:id="48"/>
      <w:r/>
      <w:bookmarkEnd w:id="49"/>
      <w:r/>
      <w:r/>
    </w:p>
    <w:p>
      <w:pPr>
        <w:ind w:firstLine="480"/>
        <w:jc w:val="left"/>
        <w:spacing w:before="60" w:after="60" w:line="420" w:lineRule="exact"/>
        <w:rPr>
          <w:rFonts w:hint="eastAsia" w:ascii="宋体" w:hAnsi="宋体" w:eastAsia="宋体"/>
          <w:sz w:val="24"/>
          <w:shd w:val="clear" w:color="auto" w:fill="ffffff" w:themeFill="background1"/>
        </w:rPr>
      </w:pPr>
      <w:r/>
      <w:bookmarkStart w:id="50" w:name="_Toc35393626"/>
      <w:r/>
      <w:bookmarkStart w:id="51" w:name="_Toc38985268"/>
      <w:r/>
      <w:bookmarkStart w:id="52" w:name="_Toc35393795"/>
      <w:r>
        <w:rPr>
          <w:rFonts w:hint="eastAsia" w:ascii="宋体" w:hAnsi="宋体" w:eastAsia="宋体"/>
          <w:sz w:val="24"/>
          <w:shd w:val="clear" w:color="auto" w:fill="ffffff" w:themeFill="background1"/>
        </w:rPr>
        <w:t xml:space="preserve">自本公告发布之日起5个工作日。</w:t>
      </w:r>
      <w:bookmarkEnd w:id="50"/>
      <w:r/>
      <w:bookmarkEnd w:id="51"/>
      <w:r/>
      <w:bookmarkEnd w:id="52"/>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六、其他补充事宜</w:t>
      </w:r>
      <w:r/>
    </w:p>
    <w:p>
      <w:pPr>
        <w:pStyle w:val="788"/>
        <w:ind w:firstLine="480"/>
        <w:spacing w:before="60" w:beforeAutospacing="0" w:after="60" w:afterAutospacing="0" w:line="420" w:lineRule="exact"/>
        <w:rPr>
          <w:rFonts w:hint="eastAsia" w:ascii="宋体" w:hAnsi="宋体" w:eastAsia="宋体" w:cs="宋体"/>
          <w:color w:val="000000"/>
        </w:rPr>
      </w:pPr>
      <w:r/>
      <w:bookmarkStart w:id="53"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3.有关本次招标的事项若存在变动或修改，敬请及时关注采购代理机构在“中国政府采购网”、“江苏政府采购网”、“盐城市政府采购网”发布的更正公告。</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4.</w:t>
      </w:r>
      <w:bookmarkStart w:id="54" w:name="OLE_LINK11"/>
      <w:r>
        <w:rPr>
          <w:rFonts w:hint="eastAsia" w:ascii="宋体" w:hAnsi="宋体" w:eastAsia="宋体" w:cs="宋体"/>
          <w:color w:val="000000"/>
        </w:rPr>
        <w:t xml:space="preserve">本次招标不收取投标保证金，不收取质量保证金</w:t>
      </w:r>
      <w:bookmarkEnd w:id="54"/>
      <w:r>
        <w:rPr>
          <w:rFonts w:hint="eastAsia" w:ascii="宋体" w:hAnsi="宋体" w:eastAsia="宋体" w:cs="宋体"/>
          <w:color w:val="000000"/>
        </w:rPr>
        <w:t xml:space="preserve">。</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5.本</w:t>
      </w:r>
      <w:bookmarkStart w:id="55" w:name="OLE_LINK21"/>
      <w:r>
        <w:rPr>
          <w:rFonts w:hint="eastAsia" w:ascii="宋体" w:hAnsi="宋体" w:eastAsia="宋体" w:cs="宋体"/>
          <w:color w:val="000000"/>
        </w:rPr>
        <w:t xml:space="preserve">项目严</w:t>
      </w:r>
      <w:bookmarkEnd w:id="55"/>
      <w:r>
        <w:rPr>
          <w:rFonts w:hint="eastAsia" w:ascii="宋体" w:hAnsi="宋体" w:eastAsia="宋体" w:cs="宋体"/>
          <w:color w:val="000000"/>
        </w:rPr>
        <w:t xml:space="preserve">格按照财库[2026]2号文的规定，进行异常低价投标的审查程序。</w:t>
      </w:r>
      <w:r/>
    </w:p>
    <w:p>
      <w:pPr>
        <w:pStyle w:val="788"/>
        <w:ind w:firstLine="482"/>
        <w:keepLines/>
        <w:keepNext/>
        <w:spacing w:before="60" w:beforeAutospacing="0" w:after="60" w:afterAutospacing="0" w:line="420" w:lineRule="exact"/>
        <w:rPr>
          <w:rFonts w:hint="eastAsia"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53"/>
      <w:r/>
      <w:r/>
    </w:p>
    <w:p>
      <w:pPr>
        <w:ind w:firstLine="480"/>
        <w:spacing w:before="60" w:after="60" w:line="420" w:lineRule="exact"/>
        <w:rPr>
          <w:rFonts w:hint="eastAsia" w:ascii="宋体" w:hAnsi="宋体" w:eastAsia="宋体"/>
          <w:sz w:val="24"/>
        </w:rPr>
      </w:pPr>
      <w:r/>
      <w:bookmarkStart w:id="56" w:name="OLE_LINK23"/>
      <w:r>
        <w:rPr>
          <w:rFonts w:hint="eastAsia" w:ascii="宋体" w:hAnsi="宋体" w:eastAsia="宋体"/>
          <w:sz w:val="24"/>
        </w:rPr>
        <w:t xml:space="preserve">1.采购人信息</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名 称：响水县教育局</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地 址：响水县城黄海路98号</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联系人：刘先生</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联系方式：</w:t>
      </w:r>
      <w:bookmarkEnd w:id="56"/>
      <w:r>
        <w:rPr>
          <w:rFonts w:hint="eastAsia" w:ascii="宋体" w:hAnsi="宋体" w:eastAsia="宋体"/>
          <w:sz w:val="24"/>
        </w:rPr>
        <w:t xml:space="preserve">13815500033</w:t>
      </w:r>
      <w:r/>
    </w:p>
    <w:p>
      <w:pPr>
        <w:ind w:firstLine="480"/>
        <w:spacing w:before="60" w:after="60" w:line="420" w:lineRule="exact"/>
        <w:rPr>
          <w:rFonts w:hint="eastAsia" w:ascii="宋体" w:hAnsi="宋体" w:eastAsia="宋体"/>
          <w:sz w:val="24"/>
        </w:rPr>
      </w:pPr>
      <w:r/>
      <w:bookmarkStart w:id="57" w:name="_Toc28359087"/>
      <w:r/>
      <w:bookmarkStart w:id="58" w:name="_Toc28359010"/>
      <w:r>
        <w:rPr>
          <w:rFonts w:hint="eastAsia" w:ascii="宋体" w:hAnsi="宋体" w:eastAsia="宋体"/>
          <w:sz w:val="24"/>
        </w:rPr>
        <w:t xml:space="preserve">2.采购代理机构信息</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名 称：盐城文力项目管理有限公司　</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地　址：响水县城幸福南路107号　</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联系人：蒋工</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联系方式：19551288069</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3.项目联系方式</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项目联系人：蒋工</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电　话：</w:t>
      </w:r>
      <w:bookmarkEnd w:id="57"/>
      <w:r/>
      <w:bookmarkEnd w:id="58"/>
      <w:r>
        <w:rPr>
          <w:rFonts w:hint="eastAsia" w:ascii="宋体" w:hAnsi="宋体" w:eastAsia="宋体"/>
          <w:sz w:val="24"/>
        </w:rPr>
        <w:t xml:space="preserve">19551288069</w:t>
      </w:r>
      <w:r/>
    </w:p>
    <w:p>
      <w:pPr>
        <w:ind w:firstLine="480"/>
        <w:spacing w:before="60" w:after="60" w:line="420" w:lineRule="exact"/>
        <w:rPr>
          <w:rFonts w:hint="eastAsia" w:ascii="宋体" w:hAnsi="宋体" w:eastAsia="宋体"/>
          <w:sz w:val="24"/>
        </w:rPr>
      </w:pPr>
      <w:r/>
      <w:bookmarkStart w:id="59" w:name="_Toc120614211"/>
      <w:r>
        <w:rPr>
          <w:rFonts w:hint="eastAsia" w:ascii="宋体" w:hAnsi="宋体" w:eastAsia="宋体"/>
          <w:sz w:val="24"/>
        </w:rPr>
        <w:br w:type="page" w:clear="all"/>
      </w:r>
      <w:r/>
    </w:p>
    <w:p>
      <w:pPr>
        <w:pStyle w:val="788"/>
        <w:ind w:firstLine="2209"/>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59"/>
      <w:r/>
      <w:bookmarkStart w:id="60" w:name="_Toc16938518"/>
      <w:r/>
      <w:bookmarkStart w:id="61" w:name="_Toc20823274"/>
      <w:r/>
      <w:bookmarkStart w:id="62" w:name="_Toc120614213"/>
      <w:r/>
      <w:bookmarkStart w:id="63" w:name="_Toc513029202"/>
      <w:r>
        <w:rPr>
          <w:rFonts w:hint="eastAsia" w:ascii="黑体" w:hAnsi="宋体" w:eastAsia="黑体" w:cs="黑体"/>
          <w:b/>
          <w:color w:val="000000"/>
          <w:sz w:val="44"/>
          <w:szCs w:val="44"/>
        </w:rPr>
        <w:t xml:space="preserve">投标人须知</w:t>
      </w:r>
      <w:bookmarkEnd w:id="60"/>
      <w:r/>
      <w:bookmarkEnd w:id="61"/>
      <w:r/>
      <w:bookmarkEnd w:id="62"/>
      <w:r/>
      <w:bookmarkEnd w:id="63"/>
      <w:r/>
      <w:r/>
    </w:p>
    <w:p>
      <w:pPr>
        <w:pStyle w:val="788"/>
        <w:ind w:firstLine="482"/>
        <w:keepLines/>
        <w:keepNext/>
        <w:spacing w:before="145" w:beforeAutospacing="0" w:after="145" w:afterAutospacing="0" w:line="360" w:lineRule="auto"/>
        <w:rPr>
          <w:rFonts w:hint="eastAsia" w:ascii="宋体" w:hAnsi="宋体" w:eastAsia="宋体" w:cs="宋体"/>
        </w:rPr>
      </w:pPr>
      <w:r/>
      <w:bookmarkStart w:id="64" w:name="_Toc20823275"/>
      <w:r/>
      <w:bookmarkStart w:id="65" w:name="_Toc120614214"/>
      <w:r/>
      <w:bookmarkStart w:id="66" w:name="_Toc16938519"/>
      <w:r/>
      <w:bookmarkStart w:id="67" w:name="_Toc513029203"/>
      <w:r>
        <w:rPr>
          <w:rFonts w:hint="eastAsia" w:ascii="宋体" w:hAnsi="宋体" w:eastAsia="宋体" w:cs="宋体"/>
          <w:b/>
          <w:color w:val="000000"/>
        </w:rPr>
        <w:t xml:space="preserve">一、总则</w:t>
      </w:r>
      <w:bookmarkEnd w:id="64"/>
      <w:r/>
      <w:bookmarkEnd w:id="65"/>
      <w:r/>
      <w:bookmarkEnd w:id="66"/>
      <w:r/>
      <w:bookmarkEnd w:id="67"/>
      <w:r/>
      <w:r/>
    </w:p>
    <w:p>
      <w:pPr>
        <w:pStyle w:val="788"/>
        <w:ind w:firstLine="480"/>
        <w:keepLines/>
        <w:keepNext/>
        <w:spacing w:beforeAutospacing="0" w:afterAutospacing="0" w:line="360" w:lineRule="auto"/>
        <w:rPr>
          <w:rFonts w:hint="eastAsia" w:ascii="宋体" w:hAnsi="宋体" w:eastAsia="宋体" w:cs="宋体"/>
        </w:rPr>
      </w:pPr>
      <w:r/>
      <w:bookmarkStart w:id="68" w:name="_Toc20823276"/>
      <w:r/>
      <w:bookmarkStart w:id="69" w:name="_Toc513029204"/>
      <w:r/>
      <w:bookmarkStart w:id="70" w:name="_Toc458694821"/>
      <w:r/>
      <w:bookmarkStart w:id="71" w:name="_Toc16938520"/>
      <w:r/>
      <w:bookmarkStart w:id="72" w:name="_Hlt16619475"/>
      <w:r>
        <w:rPr>
          <w:rFonts w:hint="eastAsia" w:ascii="宋体" w:hAnsi="宋体" w:eastAsia="宋体" w:cs="宋体"/>
          <w:color w:val="000000"/>
        </w:rPr>
        <w:t xml:space="preserve">1</w:t>
      </w:r>
      <w:bookmarkEnd w:id="68"/>
      <w:r>
        <w:rPr>
          <w:rFonts w:hint="eastAsia" w:ascii="宋体" w:hAnsi="宋体" w:eastAsia="宋体" w:cs="宋体"/>
          <w:color w:val="000000"/>
        </w:rPr>
        <w:t xml:space="preserve">、招标方式</w:t>
      </w:r>
      <w:bookmarkEnd w:id="69"/>
      <w:r/>
      <w:bookmarkEnd w:id="70"/>
      <w:r/>
      <w:bookmarkEnd w:id="71"/>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788"/>
        <w:ind w:firstLine="480"/>
        <w:keepLines/>
        <w:keepNext/>
        <w:spacing w:beforeAutospacing="0" w:afterAutospacing="0" w:line="360" w:lineRule="auto"/>
        <w:rPr>
          <w:rFonts w:hint="eastAsia" w:ascii="宋体" w:hAnsi="宋体" w:eastAsia="宋体" w:cs="宋体"/>
        </w:rPr>
      </w:pPr>
      <w:r/>
      <w:bookmarkStart w:id="73" w:name="_Toc513029205"/>
      <w:r/>
      <w:bookmarkStart w:id="74" w:name="_Toc20823277"/>
      <w:r/>
      <w:bookmarkStart w:id="75" w:name="_Toc16938521"/>
      <w:r>
        <w:rPr>
          <w:rFonts w:hint="eastAsia" w:ascii="宋体" w:hAnsi="宋体" w:eastAsia="宋体" w:cs="宋体"/>
          <w:color w:val="000000"/>
        </w:rPr>
        <w:t xml:space="preserve">2、合格的投标人</w:t>
      </w:r>
      <w:bookmarkEnd w:id="73"/>
      <w:r/>
      <w:bookmarkEnd w:id="74"/>
      <w:r/>
      <w:bookmarkEnd w:id="75"/>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788"/>
        <w:ind w:firstLine="480"/>
        <w:keepLines/>
        <w:keepNext/>
        <w:spacing w:beforeAutospacing="0" w:afterAutospacing="0" w:line="360" w:lineRule="auto"/>
        <w:rPr>
          <w:rFonts w:hint="eastAsia" w:ascii="宋体" w:hAnsi="宋体" w:eastAsia="宋体" w:cs="宋体"/>
        </w:rPr>
      </w:pPr>
      <w:r/>
      <w:bookmarkStart w:id="76" w:name="_Toc16938522"/>
      <w:r/>
      <w:bookmarkStart w:id="77" w:name="_Toc513029206"/>
      <w:r/>
      <w:bookmarkStart w:id="78" w:name="_Toc20823278"/>
      <w:r>
        <w:rPr>
          <w:rFonts w:hint="eastAsia" w:ascii="宋体" w:hAnsi="宋体" w:eastAsia="宋体" w:cs="宋体"/>
          <w:color w:val="000000"/>
        </w:rPr>
        <w:t xml:space="preserve">3、适用法律</w:t>
      </w:r>
      <w:bookmarkEnd w:id="76"/>
      <w:r/>
      <w:bookmarkEnd w:id="77"/>
      <w:r/>
      <w:bookmarkEnd w:id="78"/>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788"/>
        <w:ind w:firstLine="480"/>
        <w:keepLines/>
        <w:keepNext/>
        <w:spacing w:beforeAutospacing="0" w:afterAutospacing="0" w:line="360" w:lineRule="auto"/>
        <w:rPr>
          <w:rFonts w:hint="eastAsia" w:ascii="宋体" w:hAnsi="宋体" w:eastAsia="宋体" w:cs="宋体"/>
        </w:rPr>
      </w:pPr>
      <w:r/>
      <w:bookmarkStart w:id="79" w:name="_Toc462564067"/>
      <w:r/>
      <w:bookmarkStart w:id="80" w:name="_Toc20823279"/>
      <w:r/>
      <w:bookmarkStart w:id="81" w:name="_Toc513029207"/>
      <w:r/>
      <w:bookmarkStart w:id="82" w:name="_Toc16938523"/>
      <w:r>
        <w:rPr>
          <w:rFonts w:hint="eastAsia" w:ascii="宋体" w:hAnsi="宋体" w:eastAsia="宋体" w:cs="宋体"/>
          <w:color w:val="000000"/>
        </w:rPr>
        <w:t xml:space="preserve">4、投标费用</w:t>
      </w:r>
      <w:bookmarkEnd w:id="79"/>
      <w:r/>
      <w:bookmarkEnd w:id="80"/>
      <w:r/>
      <w:bookmarkEnd w:id="81"/>
      <w:r/>
      <w:bookmarkEnd w:id="82"/>
      <w:r/>
      <w:r/>
    </w:p>
    <w:p>
      <w:pPr>
        <w:pStyle w:val="788"/>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788"/>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 本项目采购代理服务费执行苏招协[2022]002号计取，包含在投标总价中不得单独列项，由中标人在领取中标通知书时一次性支付给代理机构。</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88"/>
        <w:ind w:firstLine="482"/>
        <w:keepLines/>
        <w:keepNext/>
        <w:spacing w:before="145" w:beforeAutospacing="0" w:after="145" w:afterAutospacing="0" w:line="360" w:lineRule="auto"/>
        <w:rPr>
          <w:rFonts w:hint="eastAsia" w:ascii="宋体" w:hAnsi="宋体" w:eastAsia="宋体" w:cs="宋体"/>
        </w:rPr>
      </w:pPr>
      <w:r/>
      <w:bookmarkStart w:id="83" w:name="_Toc120614215"/>
      <w:r/>
      <w:bookmarkStart w:id="84" w:name="_Toc20823281"/>
      <w:r/>
      <w:bookmarkStart w:id="85" w:name="_Toc513029209"/>
      <w:r/>
      <w:bookmarkStart w:id="86" w:name="_Toc16938525"/>
      <w:r>
        <w:rPr>
          <w:rFonts w:hint="eastAsia" w:ascii="宋体" w:hAnsi="宋体" w:eastAsia="宋体" w:cs="宋体"/>
          <w:b/>
          <w:color w:val="000000"/>
        </w:rPr>
        <w:t xml:space="preserve">二、招标文件</w:t>
      </w:r>
      <w:bookmarkEnd w:id="83"/>
      <w:r/>
      <w:bookmarkEnd w:id="84"/>
      <w:r/>
      <w:bookmarkEnd w:id="85"/>
      <w:r/>
      <w:bookmarkEnd w:id="86"/>
      <w:r/>
      <w:r/>
    </w:p>
    <w:p>
      <w:pPr>
        <w:pStyle w:val="788"/>
        <w:ind w:firstLine="480"/>
        <w:keepLines/>
        <w:keepNext/>
        <w:spacing w:beforeAutospacing="0" w:afterAutospacing="0" w:line="360" w:lineRule="auto"/>
        <w:rPr>
          <w:rFonts w:hint="eastAsia" w:ascii="宋体" w:hAnsi="宋体" w:eastAsia="宋体" w:cs="宋体"/>
        </w:rPr>
      </w:pPr>
      <w:r/>
      <w:bookmarkStart w:id="87" w:name="_Toc20823282"/>
      <w:r/>
      <w:bookmarkStart w:id="88" w:name="_Toc16938526"/>
      <w:r/>
      <w:bookmarkStart w:id="89" w:name="_Toc513029210"/>
      <w:r>
        <w:rPr>
          <w:rFonts w:hint="eastAsia" w:ascii="宋体" w:hAnsi="宋体" w:eastAsia="宋体" w:cs="宋体"/>
          <w:color w:val="000000"/>
        </w:rPr>
        <w:t xml:space="preserve">6、招标文件构成</w:t>
      </w:r>
      <w:bookmarkEnd w:id="87"/>
      <w:r/>
      <w:bookmarkEnd w:id="88"/>
      <w:r/>
      <w:bookmarkEnd w:id="8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88"/>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8"/>
        <w:ind w:firstLine="480"/>
        <w:keepLines/>
        <w:keepNext/>
        <w:spacing w:beforeAutospacing="0" w:afterAutospacing="0" w:line="360" w:lineRule="auto"/>
        <w:rPr>
          <w:rFonts w:hint="eastAsia" w:ascii="宋体" w:hAnsi="宋体" w:eastAsia="宋体" w:cs="宋体"/>
        </w:rPr>
      </w:pPr>
      <w:r/>
      <w:bookmarkStart w:id="90" w:name="_Toc513029211"/>
      <w:r/>
      <w:bookmarkStart w:id="91" w:name="_Toc462564070"/>
      <w:r/>
      <w:bookmarkStart w:id="92" w:name="_Toc16938527"/>
      <w:r/>
      <w:bookmarkStart w:id="93" w:name="_Toc20823283"/>
      <w:r>
        <w:rPr>
          <w:rFonts w:hint="eastAsia" w:ascii="宋体" w:hAnsi="宋体" w:eastAsia="宋体" w:cs="宋体"/>
          <w:color w:val="000000"/>
        </w:rPr>
        <w:t xml:space="preserve">7、招标文件的澄清</w:t>
      </w:r>
      <w:bookmarkEnd w:id="90"/>
      <w:r/>
      <w:bookmarkEnd w:id="91"/>
      <w:r/>
      <w:bookmarkEnd w:id="92"/>
      <w:r/>
      <w:bookmarkEnd w:id="93"/>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788"/>
        <w:ind w:firstLine="480"/>
        <w:keepLines/>
        <w:keepNext/>
        <w:spacing w:beforeAutospacing="0" w:afterAutospacing="0" w:line="360" w:lineRule="auto"/>
        <w:rPr>
          <w:rFonts w:hint="eastAsia" w:ascii="宋体" w:hAnsi="宋体" w:eastAsia="宋体" w:cs="宋体"/>
        </w:rPr>
      </w:pPr>
      <w:r/>
      <w:bookmarkStart w:id="94" w:name="_Toc20823284"/>
      <w:r/>
      <w:bookmarkStart w:id="95" w:name="_Toc462564071"/>
      <w:r/>
      <w:bookmarkStart w:id="96" w:name="_Toc16938528"/>
      <w:r/>
      <w:bookmarkStart w:id="97" w:name="_Toc513029212"/>
      <w:r>
        <w:rPr>
          <w:rFonts w:hint="eastAsia" w:ascii="宋体" w:hAnsi="宋体" w:eastAsia="宋体" w:cs="宋体"/>
          <w:color w:val="000000"/>
        </w:rPr>
        <w:t xml:space="preserve">8、招标文件的修改</w:t>
      </w:r>
      <w:bookmarkEnd w:id="94"/>
      <w:r/>
      <w:bookmarkEnd w:id="95"/>
      <w:r/>
      <w:bookmarkEnd w:id="96"/>
      <w:r/>
      <w:bookmarkEnd w:id="97"/>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88"/>
        <w:ind w:firstLine="482"/>
        <w:keepLines/>
        <w:keepNext/>
        <w:spacing w:before="145" w:beforeAutospacing="0" w:after="145" w:afterAutospacing="0" w:line="360" w:lineRule="auto"/>
        <w:rPr>
          <w:rFonts w:hint="eastAsia" w:ascii="宋体" w:hAnsi="宋体" w:eastAsia="宋体" w:cs="宋体"/>
        </w:rPr>
      </w:pPr>
      <w:r/>
      <w:bookmarkStart w:id="98" w:name="_Toc120614216"/>
      <w:r/>
      <w:bookmarkStart w:id="99" w:name="_Toc462564072"/>
      <w:r/>
      <w:bookmarkStart w:id="100" w:name="_Toc20823285"/>
      <w:r/>
      <w:bookmarkStart w:id="101" w:name="_Toc16938529"/>
      <w:r/>
      <w:bookmarkStart w:id="102" w:name="_Toc513029213"/>
      <w:r>
        <w:rPr>
          <w:rFonts w:hint="eastAsia" w:ascii="宋体" w:hAnsi="宋体" w:eastAsia="宋体" w:cs="宋体"/>
          <w:b/>
          <w:color w:val="000000"/>
        </w:rPr>
        <w:t xml:space="preserve">三、投标文件的编制</w:t>
      </w:r>
      <w:bookmarkEnd w:id="98"/>
      <w:r/>
      <w:bookmarkEnd w:id="99"/>
      <w:r/>
      <w:bookmarkEnd w:id="100"/>
      <w:r/>
      <w:bookmarkEnd w:id="101"/>
      <w:r/>
      <w:bookmarkEnd w:id="102"/>
      <w:r/>
      <w:r/>
    </w:p>
    <w:p>
      <w:pPr>
        <w:pStyle w:val="788"/>
        <w:ind w:firstLine="480"/>
        <w:keepLines/>
        <w:keepNext/>
        <w:spacing w:beforeAutospacing="0" w:afterAutospacing="0" w:line="360" w:lineRule="auto"/>
        <w:rPr>
          <w:rFonts w:hint="eastAsia" w:ascii="宋体" w:hAnsi="宋体" w:eastAsia="宋体" w:cs="宋体"/>
        </w:rPr>
      </w:pPr>
      <w:r/>
      <w:bookmarkStart w:id="103" w:name="_Toc16938530"/>
      <w:r/>
      <w:bookmarkStart w:id="104" w:name="_Toc20823286"/>
      <w:r/>
      <w:bookmarkStart w:id="105" w:name="_Toc513029214"/>
      <w:r/>
      <w:bookmarkStart w:id="106" w:name="_Toc462564073"/>
      <w:r>
        <w:rPr>
          <w:rFonts w:hint="eastAsia" w:ascii="宋体" w:hAnsi="宋体" w:eastAsia="宋体" w:cs="宋体"/>
          <w:color w:val="000000"/>
        </w:rPr>
        <w:t xml:space="preserve">9、投标文件的语言及度量衡单位</w:t>
      </w:r>
      <w:bookmarkEnd w:id="103"/>
      <w:r/>
      <w:bookmarkEnd w:id="104"/>
      <w:r/>
      <w:bookmarkEnd w:id="105"/>
      <w:r/>
      <w:bookmarkEnd w:id="106"/>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788"/>
        <w:ind w:firstLine="480"/>
        <w:keepLines/>
        <w:keepNext/>
        <w:spacing w:beforeAutospacing="0" w:afterAutospacing="0" w:line="360" w:lineRule="auto"/>
        <w:rPr>
          <w:rFonts w:hint="eastAsia" w:ascii="宋体" w:hAnsi="宋体" w:eastAsia="宋体" w:cs="宋体"/>
        </w:rPr>
      </w:pPr>
      <w:r/>
      <w:bookmarkStart w:id="107" w:name="_Toc20823287"/>
      <w:r/>
      <w:bookmarkStart w:id="108" w:name="_Toc16938531"/>
      <w:r/>
      <w:bookmarkStart w:id="109" w:name="_Toc513029215"/>
      <w:r/>
      <w:bookmarkStart w:id="110" w:name="_Toc462564074"/>
      <w:r>
        <w:rPr>
          <w:rFonts w:hint="eastAsia" w:ascii="宋体" w:hAnsi="宋体" w:eastAsia="宋体" w:cs="宋体"/>
          <w:color w:val="000000"/>
        </w:rPr>
        <w:t xml:space="preserve">10、投标文件构成</w:t>
      </w:r>
      <w:bookmarkEnd w:id="107"/>
      <w:r/>
      <w:bookmarkEnd w:id="108"/>
      <w:r/>
      <w:bookmarkEnd w:id="109"/>
      <w:r/>
      <w:bookmarkEnd w:id="110"/>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投标人编写的投标文件应包括资格证明文件、符合性证明文件、投标分项报价表、技术需求响应及偏离表、商务需求响应及偏离表、其他证明文件、投标函、开标一览表等部分。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88"/>
        <w:ind w:firstLine="480"/>
        <w:keepLines/>
        <w:keepNext/>
        <w:spacing w:beforeAutospacing="0" w:afterAutospacing="0" w:line="360" w:lineRule="auto"/>
        <w:rPr>
          <w:rFonts w:hint="eastAsia" w:ascii="宋体" w:hAnsi="宋体" w:eastAsia="宋体" w:cs="宋体"/>
        </w:rPr>
      </w:pPr>
      <w:r/>
      <w:bookmarkStart w:id="111" w:name="_Toc49090508"/>
      <w:r/>
      <w:bookmarkStart w:id="112" w:name="_Toc513029216"/>
      <w:r/>
      <w:bookmarkStart w:id="113" w:name="_Toc14577357"/>
      <w:r/>
      <w:bookmarkStart w:id="114" w:name="_Toc513029219"/>
      <w:r/>
      <w:bookmarkStart w:id="115" w:name="_Toc14577355"/>
      <w:r/>
      <w:bookmarkStart w:id="116" w:name="_Toc49090509"/>
      <w:r/>
      <w:bookmarkStart w:id="117" w:name="_Toc49090507"/>
      <w:r/>
      <w:bookmarkStart w:id="118" w:name="_Toc14577354"/>
      <w:r/>
      <w:bookmarkStart w:id="119" w:name="_Hlt26954838"/>
      <w:r/>
      <w:bookmarkStart w:id="120" w:name="_Hlt26670360"/>
      <w:r/>
      <w:bookmarkStart w:id="121" w:name="_Hlt26668975"/>
      <w:r>
        <w:rPr>
          <w:rFonts w:hint="eastAsia" w:ascii="宋体" w:hAnsi="宋体" w:eastAsia="宋体" w:cs="宋体"/>
          <w:color w:val="000000"/>
        </w:rPr>
        <w:t xml:space="preserve">11、证明投标人及投标标的符合招标文件规定的文件</w:t>
      </w:r>
      <w:bookmarkEnd w:id="111"/>
      <w:r/>
      <w:bookmarkEnd w:id="112"/>
      <w:r/>
      <w:bookmarkEnd w:id="113"/>
      <w:r/>
      <w:bookmarkEnd w:id="114"/>
      <w:r/>
      <w:bookmarkEnd w:id="115"/>
      <w:r/>
      <w:bookmarkEnd w:id="116"/>
      <w:r/>
      <w:bookmarkEnd w:id="117"/>
      <w:r/>
      <w:bookmarkEnd w:id="118"/>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88"/>
        <w:ind w:firstLine="480"/>
        <w:keepLines/>
        <w:keepNext/>
        <w:spacing w:beforeAutospacing="0" w:afterAutospacing="0" w:line="360" w:lineRule="auto"/>
        <w:rPr>
          <w:rFonts w:hint="eastAsia" w:ascii="宋体" w:hAnsi="宋体" w:eastAsia="宋体" w:cs="宋体"/>
        </w:rPr>
      </w:pPr>
      <w:r/>
      <w:bookmarkStart w:id="122" w:name="_Hlt26670482"/>
      <w:r/>
      <w:bookmarkStart w:id="123" w:name="_Hlt26954846"/>
      <w:r/>
      <w:bookmarkStart w:id="124" w:name="_Hlt26954848"/>
      <w:r/>
      <w:bookmarkStart w:id="125" w:name="_Hlt26954731"/>
      <w:r/>
      <w:bookmarkStart w:id="126" w:name="_Hlt26670486"/>
      <w:r>
        <w:rPr>
          <w:rFonts w:hint="eastAsia" w:ascii="宋体" w:hAnsi="宋体" w:eastAsia="宋体" w:cs="宋体"/>
          <w:color w:val="000000"/>
        </w:rPr>
        <w:t xml:space="preserve">13、技术需求响应及偏离表、商务需求响应及偏离表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 投标人需对招标文件中的技术需求与商务需求逐项作出响应或偏离，并说明原因。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788"/>
        <w:ind w:firstLine="480"/>
        <w:keepLines/>
        <w:keepNext/>
        <w:spacing w:beforeAutospacing="0" w:afterAutospacing="0" w:line="360" w:lineRule="auto"/>
        <w:rPr>
          <w:rFonts w:hint="eastAsia" w:ascii="宋体" w:hAnsi="宋体" w:eastAsia="宋体" w:cs="宋体"/>
        </w:rPr>
      </w:pPr>
      <w:r/>
      <w:bookmarkStart w:id="127" w:name="_Toc49090510"/>
      <w:r/>
      <w:bookmarkStart w:id="128" w:name="_Toc14577359"/>
      <w:r>
        <w:rPr>
          <w:rFonts w:hint="eastAsia" w:ascii="宋体" w:hAnsi="宋体" w:eastAsia="宋体" w:cs="宋体"/>
          <w:color w:val="000000"/>
        </w:rPr>
        <w:t xml:space="preserve">15、投标函和开标一览表</w:t>
      </w:r>
      <w:bookmarkEnd w:id="127"/>
      <w:r/>
      <w:bookmarkEnd w:id="128"/>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88"/>
        <w:ind w:firstLine="480"/>
        <w:keepLines/>
        <w:keepNext/>
        <w:spacing w:beforeAutospacing="0" w:afterAutospacing="0" w:line="360" w:lineRule="auto"/>
        <w:rPr>
          <w:rFonts w:hint="eastAsia" w:ascii="宋体" w:hAnsi="宋体" w:eastAsia="宋体" w:cs="宋体"/>
        </w:rPr>
      </w:pPr>
      <w:r/>
      <w:bookmarkStart w:id="129" w:name="_Toc14577360"/>
      <w:r/>
      <w:bookmarkStart w:id="130" w:name="_Toc49090511"/>
      <w:r>
        <w:rPr>
          <w:rFonts w:hint="eastAsia" w:ascii="宋体" w:hAnsi="宋体" w:eastAsia="宋体" w:cs="宋体"/>
          <w:color w:val="000000"/>
        </w:rPr>
        <w:t xml:space="preserve">16、投标有效期</w:t>
      </w:r>
      <w:bookmarkEnd w:id="129"/>
      <w:r/>
      <w:bookmarkEnd w:id="130"/>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88"/>
        <w:ind w:firstLine="482"/>
        <w:keepLines/>
        <w:keepNext/>
        <w:spacing w:before="145" w:beforeAutospacing="0" w:after="145" w:afterAutospacing="0" w:line="360" w:lineRule="auto"/>
        <w:rPr>
          <w:rFonts w:hint="eastAsia" w:ascii="宋体" w:hAnsi="宋体" w:eastAsia="宋体" w:cs="宋体"/>
        </w:rPr>
      </w:pPr>
      <w:r/>
      <w:bookmarkStart w:id="131" w:name="_Toc513029224"/>
      <w:r/>
      <w:bookmarkStart w:id="132" w:name="_Toc16938540"/>
      <w:r/>
      <w:bookmarkStart w:id="133" w:name="_Toc120614217"/>
      <w:r/>
      <w:bookmarkStart w:id="134" w:name="_Toc20823296"/>
      <w:r/>
      <w:bookmarkStart w:id="135" w:name="_Hlt26954852"/>
      <w:r/>
      <w:bookmarkStart w:id="136" w:name="_Hlt26954739"/>
      <w:r>
        <w:rPr>
          <w:rFonts w:hint="eastAsia" w:ascii="宋体" w:hAnsi="宋体" w:eastAsia="宋体" w:cs="宋体"/>
          <w:b/>
          <w:color w:val="000000"/>
        </w:rPr>
        <w:t xml:space="preserve">四、投标文件的递交</w:t>
      </w:r>
      <w:bookmarkEnd w:id="131"/>
      <w:r/>
      <w:bookmarkEnd w:id="132"/>
      <w:r/>
      <w:bookmarkEnd w:id="133"/>
      <w:r/>
      <w:bookmarkEnd w:id="134"/>
      <w:r/>
      <w:r/>
    </w:p>
    <w:p>
      <w:pPr>
        <w:pStyle w:val="788"/>
        <w:ind w:firstLine="480"/>
        <w:keepLines/>
        <w:keepNext/>
        <w:spacing w:beforeAutospacing="0" w:afterAutospacing="0" w:line="360" w:lineRule="auto"/>
        <w:rPr>
          <w:rFonts w:hint="eastAsia" w:ascii="宋体" w:hAnsi="宋体" w:eastAsia="宋体" w:cs="宋体"/>
        </w:rPr>
      </w:pPr>
      <w:r/>
      <w:bookmarkStart w:id="137" w:name="_Toc462564084"/>
      <w:r/>
      <w:bookmarkStart w:id="138" w:name="_Toc513029225"/>
      <w:r/>
      <w:bookmarkStart w:id="139" w:name="_Toc20823297"/>
      <w:r/>
      <w:bookmarkStart w:id="140" w:name="_Toc16938541"/>
      <w:r>
        <w:rPr>
          <w:rFonts w:hint="eastAsia" w:ascii="宋体" w:hAnsi="宋体" w:eastAsia="宋体" w:cs="宋体"/>
          <w:color w:val="000000"/>
        </w:rPr>
        <w:t xml:space="preserve">18、电子投标文件</w:t>
      </w:r>
      <w:bookmarkEnd w:id="137"/>
      <w:r/>
      <w:bookmarkEnd w:id="138"/>
      <w:r/>
      <w:bookmarkEnd w:id="139"/>
      <w:r/>
      <w:bookmarkEnd w:id="140"/>
      <w:r>
        <w:rPr>
          <w:rFonts w:hint="eastAsia" w:ascii="宋体" w:hAnsi="宋体" w:eastAsia="宋体" w:cs="宋体"/>
          <w:color w:val="000000"/>
        </w:rPr>
        <w:t xml:space="preserve">的递交</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18.1投标人应当按照《操作手册》规定，在投标截止时间前制作并上传电子投标文件。</w:t>
      </w:r>
      <w:bookmarkStart w:id="141" w:name="_Toc16938542"/>
      <w:r/>
      <w:bookmarkEnd w:id="141"/>
      <w:r/>
      <w:bookmarkStart w:id="142" w:name="_Toc20823298"/>
      <w:r/>
      <w:bookmarkEnd w:id="142"/>
      <w:r/>
      <w:bookmarkStart w:id="143" w:name="_Toc513029226"/>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采购代理机构可以按照规定，通过修改招标文件酌情延长投标截止日期，在此情况下，投标人的所有权利和义务以及投标人受制的截止日期均应以延长后新的截止日期为准。</w:t>
      </w:r>
      <w:r/>
    </w:p>
    <w:p>
      <w:pPr>
        <w:pStyle w:val="788"/>
        <w:ind w:firstLine="480"/>
        <w:keepLines/>
        <w:keepNext/>
        <w:spacing w:beforeAutospacing="0" w:afterAutospacing="0" w:line="360" w:lineRule="auto"/>
        <w:rPr>
          <w:rFonts w:hint="eastAsia" w:ascii="宋体" w:hAnsi="宋体" w:eastAsia="宋体" w:cs="宋体"/>
        </w:rPr>
      </w:pPr>
      <w:r/>
      <w:bookmarkStart w:id="144" w:name="_Toc513029227"/>
      <w:r/>
      <w:bookmarkStart w:id="145" w:name="_Toc16938543"/>
      <w:r/>
      <w:bookmarkStart w:id="146" w:name="_Toc20823299"/>
      <w:r>
        <w:rPr>
          <w:rFonts w:hint="eastAsia" w:ascii="宋体" w:hAnsi="宋体" w:eastAsia="宋体" w:cs="宋体"/>
          <w:color w:val="000000"/>
        </w:rPr>
        <w:t xml:space="preserve">20、投标文件</w:t>
      </w:r>
      <w:bookmarkEnd w:id="144"/>
      <w:r/>
      <w:bookmarkEnd w:id="145"/>
      <w:r/>
      <w:bookmarkEnd w:id="146"/>
      <w:r>
        <w:rPr>
          <w:rFonts w:hint="eastAsia" w:ascii="宋体" w:hAnsi="宋体" w:eastAsia="宋体" w:cs="宋体"/>
          <w:color w:val="000000"/>
        </w:rPr>
        <w:t xml:space="preserve">的拒收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采购代理机构拒绝接收在其规定的投标截止时间后上传的任何投标文件。</w:t>
      </w:r>
      <w:r/>
    </w:p>
    <w:p>
      <w:pPr>
        <w:pStyle w:val="788"/>
        <w:ind w:firstLine="480"/>
        <w:keepLines/>
        <w:keepNext/>
        <w:spacing w:beforeAutospacing="0" w:afterAutospacing="0" w:line="360" w:lineRule="auto"/>
        <w:rPr>
          <w:rFonts w:hint="eastAsia" w:ascii="宋体" w:hAnsi="宋体" w:eastAsia="宋体" w:cs="宋体"/>
        </w:rPr>
      </w:pPr>
      <w:r/>
      <w:bookmarkStart w:id="147" w:name="_Toc16938544"/>
      <w:r/>
      <w:bookmarkStart w:id="148" w:name="_Toc513029228"/>
      <w:r/>
      <w:bookmarkStart w:id="149" w:name="_Toc20823300"/>
      <w:r>
        <w:rPr>
          <w:rFonts w:hint="eastAsia" w:ascii="宋体" w:hAnsi="宋体" w:eastAsia="宋体" w:cs="宋体"/>
          <w:color w:val="000000"/>
        </w:rPr>
        <w:t xml:space="preserve">21、投标文件的撤回和修改</w:t>
      </w:r>
      <w:bookmarkEnd w:id="147"/>
      <w:r/>
      <w:bookmarkEnd w:id="148"/>
      <w:r/>
      <w:bookmarkEnd w:id="14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88"/>
        <w:ind w:firstLine="482"/>
        <w:keepLines/>
        <w:keepNext/>
        <w:spacing w:before="145" w:beforeAutospacing="0" w:after="145" w:afterAutospacing="0" w:line="360" w:lineRule="auto"/>
        <w:rPr>
          <w:rFonts w:hint="eastAsia" w:ascii="宋体" w:hAnsi="宋体" w:eastAsia="宋体" w:cs="宋体"/>
        </w:rPr>
      </w:pPr>
      <w:r/>
      <w:bookmarkStart w:id="150" w:name="_Toc20823301"/>
      <w:r/>
      <w:bookmarkStart w:id="151" w:name="_Toc513029229"/>
      <w:r/>
      <w:bookmarkStart w:id="152" w:name="_Toc120614218"/>
      <w:r/>
      <w:bookmarkStart w:id="153" w:name="_Toc16938545"/>
      <w:r>
        <w:rPr>
          <w:rFonts w:hint="eastAsia" w:ascii="宋体" w:hAnsi="宋体" w:eastAsia="宋体" w:cs="宋体"/>
          <w:b/>
          <w:color w:val="000000"/>
        </w:rPr>
        <w:t xml:space="preserve">五、开标与评标</w:t>
      </w:r>
      <w:bookmarkEnd w:id="150"/>
      <w:r/>
      <w:bookmarkEnd w:id="151"/>
      <w:r/>
      <w:bookmarkEnd w:id="152"/>
      <w:r/>
      <w:bookmarkEnd w:id="153"/>
      <w:r/>
      <w:r/>
    </w:p>
    <w:p>
      <w:pPr>
        <w:pStyle w:val="788"/>
        <w:ind w:firstLine="480"/>
        <w:keepLines/>
        <w:keepNext/>
        <w:spacing w:beforeAutospacing="0" w:afterAutospacing="0" w:line="360" w:lineRule="auto"/>
        <w:rPr>
          <w:rFonts w:hint="eastAsia" w:ascii="宋体" w:hAnsi="宋体" w:eastAsia="宋体" w:cs="宋体"/>
        </w:rPr>
      </w:pPr>
      <w:r/>
      <w:bookmarkStart w:id="154" w:name="_Toc16938546"/>
      <w:r/>
      <w:bookmarkStart w:id="155" w:name="_Toc20823302"/>
      <w:r/>
      <w:bookmarkStart w:id="156" w:name="_Toc513029230"/>
      <w:r>
        <w:rPr>
          <w:rFonts w:hint="eastAsia" w:ascii="宋体" w:hAnsi="宋体" w:eastAsia="宋体" w:cs="宋体"/>
          <w:color w:val="000000"/>
        </w:rPr>
        <w:t xml:space="preserve">22、开标</w:t>
      </w:r>
      <w:bookmarkEnd w:id="154"/>
      <w:r/>
      <w:bookmarkEnd w:id="155"/>
      <w:r/>
      <w:bookmarkEnd w:id="156"/>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组织。苏采云系统将自动对项目进行开标，并宣布各投标人名称和投标价格。</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pStyle w:val="788"/>
        <w:ind w:firstLine="480"/>
        <w:keepLines/>
        <w:keepNext/>
        <w:spacing w:beforeAutospacing="0" w:afterAutospacing="0" w:line="360" w:lineRule="auto"/>
        <w:rPr>
          <w:rFonts w:hint="eastAsia" w:ascii="宋体" w:hAnsi="宋体" w:eastAsia="宋体" w:cs="宋体"/>
        </w:rPr>
      </w:pPr>
      <w:r/>
      <w:bookmarkStart w:id="157" w:name="_Toc16938547"/>
      <w:r/>
      <w:bookmarkStart w:id="158" w:name="_Toc513029231"/>
      <w:r/>
      <w:bookmarkStart w:id="159" w:name="_Toc20823303"/>
      <w:r>
        <w:rPr>
          <w:rFonts w:hint="eastAsia" w:ascii="宋体" w:hAnsi="宋体" w:eastAsia="宋体" w:cs="宋体"/>
          <w:color w:val="000000"/>
        </w:rPr>
        <w:t xml:space="preserve">23、评标委员会</w:t>
      </w:r>
      <w:bookmarkEnd w:id="157"/>
      <w:r/>
      <w:bookmarkEnd w:id="158"/>
      <w:r/>
      <w:bookmarkEnd w:id="15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23.1开标后，采购代理机构将立即组织评标委员会（以下简称评委会）进行评标。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23.3评委会独立工作，负责评审所有投标文件并确定中标侯选人。</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24.评标过程的保密与公正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采购代理机构和评标委员会不向未中标的投标人解释未中标原因，也不公布评标过程中的相关</w:t>
      </w:r>
      <w:r>
        <w:rPr>
          <w:rFonts w:hint="eastAsia" w:ascii="宋体" w:hAnsi="宋体" w:eastAsia="宋体" w:cs="宋体"/>
        </w:rPr>
        <w:t xml:space="preserve">细节。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788"/>
        <w:ind w:firstLine="480"/>
        <w:keepLines/>
        <w:keepNext/>
        <w:spacing w:beforeAutospacing="0" w:afterAutospacing="0" w:line="360" w:lineRule="auto"/>
        <w:rPr>
          <w:rFonts w:hint="eastAsia" w:ascii="宋体" w:hAnsi="宋体" w:eastAsia="宋体" w:cs="宋体"/>
        </w:rPr>
      </w:pPr>
      <w:r/>
      <w:bookmarkStart w:id="160" w:name="_Toc513029232"/>
      <w:r/>
      <w:bookmarkStart w:id="161" w:name="_Toc16938548"/>
      <w:r/>
      <w:bookmarkStart w:id="162" w:name="_Toc20823304"/>
      <w:r>
        <w:rPr>
          <w:rFonts w:hint="eastAsia" w:ascii="宋体" w:hAnsi="宋体" w:eastAsia="宋体" w:cs="宋体"/>
          <w:color w:val="000000"/>
        </w:rPr>
        <w:t xml:space="preserve">25．投标文件的澄清</w:t>
      </w:r>
      <w:bookmarkEnd w:id="160"/>
      <w:r/>
      <w:bookmarkEnd w:id="161"/>
      <w:r/>
      <w:bookmarkEnd w:id="162"/>
      <w:r/>
      <w:r/>
    </w:p>
    <w:p>
      <w:pPr>
        <w:pStyle w:val="788"/>
        <w:ind w:firstLine="480"/>
        <w:spacing w:beforeAutospacing="0" w:afterAutospacing="0" w:line="360" w:lineRule="auto"/>
        <w:rPr>
          <w:rFonts w:hint="eastAsia" w:ascii="宋体" w:hAnsi="宋体" w:eastAsia="宋体" w:cs="宋体"/>
        </w:rPr>
      </w:pPr>
      <w:r/>
      <w:bookmarkStart w:id="163" w:name="_Toc20823305"/>
      <w:r/>
      <w:bookmarkStart w:id="164" w:name="_Toc16938549"/>
      <w:r/>
      <w:bookmarkStart w:id="165"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63"/>
      <w:r/>
      <w:bookmarkEnd w:id="164"/>
      <w:r/>
      <w:bookmarkEnd w:id="165"/>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8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未通过资格审查或符合性审查的投标人，采购代理机构将</w:t>
      </w:r>
      <w:r>
        <w:rPr>
          <w:rFonts w:hint="eastAsia" w:ascii="宋体" w:hAnsi="宋体" w:eastAsia="宋体" w:cs="宋体"/>
        </w:rPr>
        <w:t xml:space="preserve">在苏采云系统中告知未通过资格审查或符合性审查的原因，评审结束后，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88"/>
        <w:ind w:firstLine="480"/>
        <w:spacing w:beforeAutospacing="0" w:afterAutospacing="0" w:line="360" w:lineRule="auto"/>
        <w:rPr>
          <w:rFonts w:hint="eastAsia" w:ascii="宋体" w:hAnsi="宋体" w:eastAsia="宋体" w:cs="宋体"/>
        </w:rPr>
      </w:pPr>
      <w:r/>
      <w:bookmarkStart w:id="166" w:name="_Toc20823306"/>
      <w:r/>
      <w:bookmarkStart w:id="167" w:name="_Toc513029234"/>
      <w:r/>
      <w:bookmarkStart w:id="168"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6"/>
      <w:r/>
      <w:bookmarkEnd w:id="167"/>
      <w:r/>
      <w:bookmarkEnd w:id="168"/>
      <w:r/>
      <w:r/>
    </w:p>
    <w:p>
      <w:pPr>
        <w:pStyle w:val="788"/>
        <w:ind w:firstLine="480"/>
        <w:spacing w:beforeAutospacing="0" w:afterAutospacing="0" w:line="360" w:lineRule="auto"/>
        <w:rPr>
          <w:rFonts w:hint="eastAsia" w:ascii="宋体" w:hAnsi="宋体" w:eastAsia="宋体" w:cs="宋体"/>
        </w:rPr>
      </w:pPr>
      <w:r/>
      <w:bookmarkStart w:id="169" w:name="OLE_LINK2"/>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bookmarkEnd w:id="16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27、无效投标条款和废标条款</w:t>
      </w:r>
      <w:r/>
    </w:p>
    <w:p>
      <w:pPr>
        <w:pStyle w:val="788"/>
        <w:ind w:firstLine="480"/>
        <w:spacing w:beforeAutospacing="0" w:afterAutospacing="0" w:line="360" w:lineRule="auto"/>
        <w:rPr>
          <w:rFonts w:hint="eastAsia" w:ascii="宋体" w:hAnsi="宋体" w:eastAsia="宋体" w:cs="宋体"/>
        </w:rPr>
      </w:pPr>
      <w:r/>
      <w:bookmarkStart w:id="170" w:name="_Toc20823307"/>
      <w:r/>
      <w:bookmarkStart w:id="171" w:name="_Toc16938551"/>
      <w:r/>
      <w:bookmarkStart w:id="172" w:name="_Toc513029235"/>
      <w:r>
        <w:rPr>
          <w:rFonts w:hint="eastAsia" w:ascii="宋体" w:hAnsi="宋体" w:eastAsia="宋体" w:cs="宋体"/>
        </w:rPr>
        <w:t xml:space="preserve">27.1无效投标条款</w:t>
      </w:r>
      <w:bookmarkEnd w:id="170"/>
      <w:r/>
      <w:bookmarkEnd w:id="171"/>
      <w:r/>
      <w:bookmarkEnd w:id="172"/>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color w:val="000000"/>
        </w:rPr>
        <w:t xml:space="preserve">27.1.10评标委员会认为投标人的报价明显低</w:t>
      </w:r>
      <w:r>
        <w:rPr>
          <w:rFonts w:hint="eastAsia" w:ascii="宋体" w:hAnsi="宋体" w:eastAsia="宋体" w:cs="宋体"/>
          <w:b/>
          <w:bCs/>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8"/>
        <w:ind w:firstLine="482"/>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27.2.5 因苏采云系统系统故障原因造成开标不成功的。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w:t>
      </w:r>
      <w:r>
        <w:rPr>
          <w:rFonts w:hint="eastAsia" w:ascii="宋体" w:hAnsi="宋体" w:eastAsia="宋体" w:cs="宋体"/>
          <w:color w:val="000000"/>
        </w:rPr>
        <w:t xml:space="preserve">三家情况，按政府采购相关规定执行。</w:t>
      </w:r>
      <w:r/>
    </w:p>
    <w:p>
      <w:pPr>
        <w:pStyle w:val="788"/>
        <w:ind w:firstLine="482"/>
        <w:keepLines/>
        <w:keepNext/>
        <w:spacing w:before="145" w:beforeAutospacing="0" w:after="145" w:afterAutospacing="0" w:line="360" w:lineRule="auto"/>
        <w:rPr>
          <w:rFonts w:hint="eastAsia" w:ascii="宋体" w:hAnsi="宋体" w:eastAsia="宋体" w:cs="宋体"/>
        </w:rPr>
      </w:pPr>
      <w:r/>
      <w:bookmarkStart w:id="173" w:name="_Toc120614219"/>
      <w:r>
        <w:rPr>
          <w:rFonts w:hint="eastAsia" w:ascii="宋体" w:hAnsi="宋体" w:eastAsia="宋体" w:cs="宋体"/>
          <w:b/>
          <w:color w:val="000000"/>
        </w:rPr>
        <w:t xml:space="preserve">六、定标</w:t>
      </w:r>
      <w:bookmarkEnd w:id="173"/>
      <w:r/>
      <w:r/>
    </w:p>
    <w:p>
      <w:pPr>
        <w:pStyle w:val="788"/>
        <w:ind w:firstLine="480"/>
        <w:keepLines/>
        <w:keepNext/>
        <w:spacing w:beforeAutospacing="0" w:afterAutospacing="0" w:line="360" w:lineRule="auto"/>
        <w:rPr>
          <w:rFonts w:hint="eastAsia" w:ascii="宋体" w:hAnsi="宋体" w:eastAsia="宋体" w:cs="宋体"/>
        </w:rPr>
      </w:pPr>
      <w:r/>
      <w:bookmarkStart w:id="174" w:name="_Toc20823310"/>
      <w:r/>
      <w:bookmarkStart w:id="175" w:name="_Toc16938554"/>
      <w:r/>
      <w:bookmarkStart w:id="176" w:name="_Toc513029238"/>
      <w:r>
        <w:rPr>
          <w:rFonts w:hint="eastAsia" w:ascii="宋体" w:hAnsi="宋体" w:eastAsia="宋体" w:cs="宋体"/>
          <w:color w:val="000000"/>
        </w:rPr>
        <w:t xml:space="preserve">28、</w:t>
      </w:r>
      <w:bookmarkEnd w:id="174"/>
      <w:r>
        <w:rPr>
          <w:rFonts w:hint="eastAsia" w:ascii="宋体" w:hAnsi="宋体" w:eastAsia="宋体" w:cs="宋体"/>
          <w:color w:val="000000"/>
        </w:rPr>
        <w:t xml:space="preserve">确定</w:t>
      </w:r>
      <w:bookmarkEnd w:id="175"/>
      <w:r/>
      <w:bookmarkEnd w:id="176"/>
      <w:r>
        <w:rPr>
          <w:rFonts w:hint="eastAsia" w:ascii="宋体" w:hAnsi="宋体" w:eastAsia="宋体" w:cs="宋体"/>
          <w:color w:val="000000"/>
        </w:rPr>
        <w:t xml:space="preserve">中标单位</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采购代理机构将在“中国政府采购网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788"/>
        <w:ind w:firstLine="480"/>
        <w:spacing w:beforeAutospacing="0" w:afterAutospacing="0" w:line="360" w:lineRule="auto"/>
        <w:rPr>
          <w:rFonts w:hint="eastAsia" w:ascii="宋体" w:hAnsi="宋体" w:eastAsia="宋体" w:cs="宋体"/>
        </w:rPr>
      </w:pPr>
      <w:r/>
      <w:bookmarkStart w:id="177" w:name="_Toc200451960"/>
      <w:r>
        <w:rPr>
          <w:rFonts w:hint="eastAsia" w:ascii="宋体" w:hAnsi="宋体" w:eastAsia="宋体" w:cs="宋体"/>
          <w:color w:val="000000"/>
        </w:rPr>
        <w:t xml:space="preserve">28.5.有下列情形之一的，视为投标人串通投标，投标无效：</w:t>
      </w:r>
      <w:bookmarkEnd w:id="177"/>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29.2.3对中标或者成交结果提出质疑的，为中标或者成交结果公告期限届满之日。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采购代理机构及采购人只接收以纸质原件形式送达的质疑,采购人和采购代理机构不接受未填写快递运单的快件。采购代理机构质疑接收地址：响水县城幸福南路107号，收件人：蒋工 联系电话：</w:t>
      </w:r>
      <w:r>
        <w:rPr>
          <w:rFonts w:hint="eastAsia" w:ascii="宋体" w:hAnsi="宋体" w:eastAsia="宋体"/>
        </w:rPr>
        <w:t xml:space="preserve">19551288069</w:t>
      </w:r>
      <w:r>
        <w:rPr>
          <w:rFonts w:hint="eastAsia" w:ascii="宋体" w:hAnsi="宋体" w:eastAsia="宋体" w:cs="宋体"/>
        </w:rPr>
        <w:t xml:space="preserve">。</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30.l中标结果确定后，采购代理机构将向中标人发出中标通知书。请中标人在中标结果公告届满之日起30日内,使用CA数字证书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88"/>
        <w:ind w:firstLine="482"/>
        <w:keepLines/>
        <w:keepNext/>
        <w:spacing w:before="145" w:beforeAutospacing="0" w:after="145" w:afterAutospacing="0" w:line="360" w:lineRule="auto"/>
        <w:rPr>
          <w:rFonts w:hint="eastAsia" w:ascii="宋体" w:hAnsi="宋体" w:eastAsia="宋体" w:cs="宋体"/>
        </w:rPr>
      </w:pPr>
      <w:r/>
      <w:bookmarkStart w:id="178" w:name="_Toc20823308"/>
      <w:r/>
      <w:bookmarkStart w:id="179" w:name="_Toc16938552"/>
      <w:r/>
      <w:bookmarkStart w:id="180" w:name="_Toc513029236"/>
      <w:r/>
      <w:bookmarkStart w:id="181" w:name="_Toc120614220"/>
      <w:r>
        <w:rPr>
          <w:rFonts w:hint="eastAsia" w:ascii="宋体" w:hAnsi="宋体" w:eastAsia="宋体" w:cs="宋体"/>
          <w:b/>
          <w:color w:val="000000"/>
        </w:rPr>
        <w:t xml:space="preserve">七、授予合同</w:t>
      </w:r>
      <w:bookmarkEnd w:id="178"/>
      <w:r/>
      <w:bookmarkEnd w:id="179"/>
      <w:r/>
      <w:bookmarkEnd w:id="180"/>
      <w:r/>
      <w:bookmarkEnd w:id="181"/>
      <w:r/>
      <w:r/>
    </w:p>
    <w:p>
      <w:pPr>
        <w:pStyle w:val="788"/>
        <w:ind w:firstLine="480"/>
        <w:keepLines/>
        <w:keepNext/>
        <w:spacing w:beforeAutospacing="0" w:afterAutospacing="0" w:line="360" w:lineRule="auto"/>
        <w:rPr>
          <w:rFonts w:hint="eastAsia" w:ascii="宋体" w:hAnsi="宋体" w:eastAsia="宋体" w:cs="宋体"/>
        </w:rPr>
      </w:pPr>
      <w:r/>
      <w:bookmarkStart w:id="182" w:name="_Toc20823309"/>
      <w:r/>
      <w:bookmarkStart w:id="183" w:name="_Toc513029237"/>
      <w:r/>
      <w:bookmarkStart w:id="184" w:name="_Toc16938553"/>
      <w:r>
        <w:rPr>
          <w:rFonts w:hint="eastAsia" w:ascii="宋体" w:hAnsi="宋体" w:eastAsia="宋体" w:cs="宋体"/>
          <w:color w:val="000000"/>
        </w:rPr>
        <w:t xml:space="preserve">31. 签订合同</w:t>
      </w:r>
      <w:bookmarkEnd w:id="182"/>
      <w:r/>
      <w:bookmarkEnd w:id="183"/>
      <w:r/>
      <w:bookmarkEnd w:id="184"/>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w:t>
      </w:r>
      <w:bookmarkStart w:id="185" w:name="OLE_LINK45"/>
      <w:r>
        <w:rPr>
          <w:rFonts w:hint="eastAsia" w:ascii="宋体" w:hAnsi="宋体" w:eastAsia="宋体" w:cs="宋体"/>
        </w:rPr>
        <w:t xml:space="preserve">《中华人民共和国残疾人证》或者《中华人民共和国残疾军人证》（1 至8 级）的自然人</w:t>
      </w:r>
      <w:bookmarkEnd w:id="185"/>
      <w:r>
        <w:rPr>
          <w:rFonts w:hint="eastAsia" w:ascii="宋体" w:hAnsi="宋体" w:eastAsia="宋体" w:cs="宋体"/>
        </w:rPr>
        <w:t xml:space="preserve">，包括具有劳动条件和劳动意愿的精神残疾人。在职职工人数是指与残疾人福利性单位建立劳动关系并依法签订劳动合同或服务协议的雇员人数。</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jc w:val="lef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33.8实施本国产品标准及相关政策</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1.本项目对采购本国产品给予政策支持，具体内容见招标文件“第五章 评标方法与评标标准”。</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951"/>
        <w:ind w:left="0" w:firstLine="480"/>
        <w:jc w:val="left"/>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shd w:val="nil" w:color="auto"/>
        <w:rPr>
          <w:rFonts w:hint="eastAsia" w:ascii="宋体" w:hAnsi="宋体" w:eastAsia="宋体" w:cs="宋体"/>
          <w:b/>
          <w:bCs/>
          <w:sz w:val="48"/>
          <w:szCs w:val="48"/>
        </w:rPr>
      </w:pPr>
      <w:r>
        <w:rPr>
          <w:rFonts w:hint="eastAsia" w:ascii="宋体" w:hAnsi="宋体" w:eastAsia="宋体" w:cs="宋体"/>
          <w:b/>
          <w:sz w:val="48"/>
          <w:szCs w:val="44"/>
          <w:highlight w:val="none"/>
        </w:rPr>
        <w:br w:type="page" w:clear="all"/>
      </w:r>
      <w:r>
        <w:rPr>
          <w:rFonts w:hint="eastAsia" w:ascii="宋体" w:hAnsi="宋体" w:eastAsia="宋体" w:cs="宋体"/>
          <w:b/>
          <w:sz w:val="48"/>
          <w:szCs w:val="44"/>
          <w:highlight w:val="none"/>
        </w:rPr>
      </w:r>
      <w:r/>
    </w:p>
    <w:p>
      <w:pPr>
        <w:ind w:firstLine="2409"/>
        <w:jc w:val="left"/>
        <w:spacing w:line="360" w:lineRule="auto"/>
        <w:widowControl/>
        <w:rPr>
          <w:rFonts w:hint="eastAsia" w:ascii="宋体" w:hAnsi="宋体" w:eastAsia="宋体" w:cs="宋体"/>
          <w:b/>
          <w:bCs/>
          <w:sz w:val="48"/>
          <w:szCs w:val="48"/>
          <w:highlight w:val="none"/>
        </w:rPr>
      </w:pPr>
      <w:r/>
      <w:bookmarkStart w:id="186" w:name="_Toc479757211"/>
      <w:r/>
      <w:bookmarkStart w:id="187" w:name="_Toc462564139"/>
      <w:r/>
      <w:bookmarkStart w:id="188" w:name="_Toc20823346"/>
      <w:r/>
      <w:bookmarkStart w:id="189" w:name="_Hlt16619350"/>
      <w:r/>
      <w:bookmarkStart w:id="190" w:name="_Toc16938590"/>
      <w:r/>
      <w:bookmarkStart w:id="191" w:name="_Toc120614244"/>
      <w:r/>
      <w:bookmarkStart w:id="192" w:name="_Hlt16619369"/>
      <w:r>
        <w:rPr>
          <w:rFonts w:hint="eastAsia" w:ascii="宋体" w:hAnsi="宋体" w:eastAsia="宋体" w:cs="宋体"/>
          <w:b/>
          <w:sz w:val="48"/>
          <w:szCs w:val="44"/>
        </w:rPr>
        <w:t xml:space="preserve">第三章  合同条款</w:t>
      </w:r>
      <w:r/>
    </w:p>
    <w:p>
      <w:pPr>
        <w:rPr>
          <w:rFonts w:hint="eastAsia" w:ascii="宋体" w:hAnsi="宋体" w:cs="宋体"/>
        </w:rPr>
      </w:pPr>
      <w:r/>
      <w:bookmarkStart w:id="193" w:name="EB6d2006462e294de090c16e672cecc3bd"/>
      <w:r/>
      <w:bookmarkEnd w:id="193"/>
      <w:r/>
      <w:r/>
    </w:p>
    <w:p>
      <w:pPr>
        <w:jc w:val="center"/>
        <w:rPr>
          <w:rFonts w:hint="eastAsia" w:ascii="宋体" w:hAnsi="宋体" w:cs="宋体"/>
          <w:b/>
          <w:bCs/>
          <w:spacing w:val="-20"/>
          <w:sz w:val="48"/>
          <w:szCs w:val="48"/>
        </w:rPr>
      </w:pPr>
      <w:r/>
      <w:bookmarkStart w:id="194"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sz w:val="44"/>
          <w:szCs w:val="44"/>
        </w:rPr>
      </w:r>
      <w:bookmarkEnd w:id="194"/>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采购服务涉及的货物名称及数量（台/套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eastAsia="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rPr>
          <w:rFonts w:ascii="Wingdings" w:hAnsi="Wingdings" w:eastAsia="Wingdings" w:cs="Wingdings"/>
          <w:sz w:val="24"/>
        </w:rPr>
        <w:t xml:space="preserve"></w:t>
      </w:r>
      <w:r>
        <w:rPr>
          <w:rFonts w:hint="eastAsia" w:ascii="宋体" w:hAnsi="宋体" w:cs="宋体"/>
          <w:sz w:val="24"/>
        </w:rPr>
        <w:t xml:space="preserve">是</w:t>
      </w: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《政府采购品目分类目录》底级品目名称： 数量： 金额：</w:t>
      </w:r>
      <w:r/>
    </w:p>
    <w:p>
      <w:pPr>
        <w:numPr>
          <w:ilvl w:val="255"/>
          <w:numId w:val="0"/>
        </w:numPr>
        <w:ind w:firstLine="48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numPr>
          <w:ilvl w:val="255"/>
          <w:numId w:val="0"/>
        </w:numPr>
        <w:ind w:firstLine="48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jc w:val="center"/>
        <w:rPr>
          <w:rFonts w:hint="eastAsia" w:ascii="宋体" w:hAnsi="宋体"/>
          <w:sz w:val="24"/>
        </w:rPr>
      </w:pPr>
      <w:r>
        <w:rPr>
          <w:rFonts w:hint="eastAsia" w:ascii="宋体" w:hAnsi="宋体"/>
          <w:sz w:val="24"/>
        </w:rPr>
        <w:t xml:space="preserve"> （2）付款方式（按项目实际勾选填写，具体详见专用条款第二节</w:t>
      </w:r>
      <w:r/>
    </w:p>
    <w:p>
      <w:pPr>
        <w:spacing w:line="360" w:lineRule="auto"/>
        <w:rPr>
          <w:rFonts w:hint="eastAsia" w:ascii="宋体" w:hAnsi="宋体"/>
          <w:sz w:val="24"/>
        </w:rPr>
      </w:pPr>
      <w:r>
        <w:rPr>
          <w:rFonts w:hint="eastAsia" w:ascii="宋体" w:hAnsi="宋体"/>
          <w:sz w:val="24"/>
        </w:rPr>
        <w:t xml:space="preserve">第12.2款）：</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合同签订后付至合同价的30%作为预付款，项目全部完成验收合格交付使用后付至合同价的40%，自验收合格之日起，满一年付至审定价的70%，满二年付至审定价的95%，剩余部分质保期满结清。其中涉及预付款的：合同签订后付至合同价的30%作为预付款（合同签订时，供应商明确表示无需预付款或者主动要求降低预付款比例的由双方另行商定。）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响水县境内</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sz w:val="24"/>
          <w:u w:val="single"/>
        </w:rPr>
        <w:t xml:space="preserve">供应商应当以支票、汇票、本票或者金融机构、担保机构出具的保函等非现金形式提交履约保证金。</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中标金额的10%</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验收合格。               </w:t>
      </w:r>
      <w:r/>
    </w:p>
    <w:p>
      <w:pPr>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788"/>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合同验收</w:t>
      </w:r>
      <w:r/>
    </w:p>
    <w:p>
      <w:pPr>
        <w:ind w:firstLine="480"/>
        <w:spacing w:line="36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76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758"/>
        <w:spacing w:before="156"/>
        <w:rPr>
          <w:rFonts w:hint="eastAsia" w:ascii="黑体" w:hAnsi="黑体" w:eastAsia="黑体"/>
          <w:sz w:val="28"/>
          <w:szCs w:val="28"/>
        </w:rPr>
      </w:pPr>
      <w:r>
        <w:rPr>
          <w:u w:val="single"/>
        </w:rPr>
        <w:br w:type="page" w:clear="all"/>
      </w:r>
      <w:bookmarkStart w:id="195" w:name="_Toc27624"/>
      <w:r/>
      <w:bookmarkStart w:id="196" w:name="_Toc20313"/>
      <w:r>
        <w:rPr>
          <w:rFonts w:ascii="黑体" w:hAnsi="黑体" w:eastAsia="黑体"/>
          <w:b w:val="0"/>
          <w:bCs w:val="0"/>
          <w:sz w:val="28"/>
          <w:szCs w:val="28"/>
        </w:rPr>
        <w:t xml:space="preserve">第二节 政府采购合同通用条款</w:t>
      </w:r>
      <w:bookmarkEnd w:id="19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71"/>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71"/>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w:t>
      </w:r>
      <w:r>
        <w:rPr>
          <w:rFonts w:hint="eastAsia" w:ascii="宋体" w:hAnsi="宋体" w:cs="宋体"/>
          <w:szCs w:val="21"/>
        </w:rPr>
        <w:t xml:space="preserve">乙方在运输到达之前应提前通知甲方，并提示货物运输装卸的注意事项，甲方配合乙方做好货物的接收工作。</w:t>
      </w:r>
      <w:r/>
    </w:p>
    <w:p>
      <w:pPr>
        <w:pStyle w:val="948"/>
        <w:ind w:firstLine="420"/>
        <w:rPr>
          <w:rFonts w:hint="eastAsia"/>
          <w:sz w:val="21"/>
        </w:rPr>
      </w:pPr>
      <w:r>
        <w:rPr>
          <w:rFonts w:hint="eastAsia" w:ascii="宋体" w:hAnsi="宋体" w:eastAsia="宋体" w:cs="Times New Roman"/>
          <w:sz w:val="21"/>
        </w:rPr>
        <w:t xml:space="preserve">7.6如因包装、运输问题导致货物损毁、丢失或者品质下降，甲方有权要求降价、换货、拒收部分或整批货物，由此产生的费用和损失，均由乙方承担。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774"/>
        <w:ind w:firstLine="420"/>
        <w:jc w:val="left"/>
        <w:spacing w:line="400" w:lineRule="exact"/>
        <w:rPr>
          <w:rFonts w:hint="eastAsia" w:hAnsi="宋体"/>
          <w:b/>
        </w:rPr>
      </w:pPr>
      <w:r>
        <w:rPr>
          <w:rFonts w:hint="eastAsia" w:hAnsi="宋体"/>
        </w:rPr>
        <w:t xml:space="preserve">8.1质量标准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4"/>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10.1乙方对其所销售的货物应当享有知识产权或经权利人合法授权，保证没有侵犯任何第三人的知识产权等权利。</w:t>
      </w:r>
      <w:bookmarkStart w:id="19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7"/>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10.2双方确定，乙方将服务成果交付甲方使用，本项目所有软件、硬件及相关设施产权归乙方所有。</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12.1合同价款支付按照国库集中支付制度及财政管理相关规定执行。</w:t>
      </w:r>
      <w:r/>
    </w:p>
    <w:p>
      <w:pPr>
        <w:pStyle w:val="758"/>
        <w:ind w:firstLine="420"/>
        <w:spacing w:line="400" w:lineRule="exact"/>
        <w:rPr>
          <w:rFonts w:hint="eastAsia"/>
        </w:rPr>
      </w:pPr>
      <w:r>
        <w:rPr>
          <w:b w:val="0"/>
          <w:bCs w:val="0"/>
          <w:sz w:val="21"/>
          <w:szCs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71"/>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8"/>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8"/>
        <w:rPr>
          <w:rFonts w:hint="eastAsia" w:ascii="宋体" w:hAnsi="宋体"/>
        </w:rPr>
      </w:pPr>
      <w:r>
        <w:rPr>
          <w:rFonts w:hint="eastAsia" w:ascii="宋体" w:hAnsi="宋体"/>
        </w:rPr>
        <w:t xml:space="preserve">16.4</w:t>
      </w:r>
      <w:r>
        <w:rPr>
          <w:rFonts w:hint="eastAsia" w:ascii="宋体" w:hAnsi="宋体" w:eastAsia="宋体" w:cs="Times New Roman"/>
          <w:sz w:val="21"/>
        </w:rPr>
        <w:t xml:space="preserve">涉及国家利益、社会公共利益的情形</w:t>
      </w:r>
      <w:r/>
    </w:p>
    <w:p>
      <w:pPr>
        <w:pStyle w:val="948"/>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19.2选择仲裁的，应在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19.3如甲乙双方有争议的事项不影响合同其他部分的履行，在争议解决期间，合同其他部分应当继续履行。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71"/>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21.1本合同的订立、生效、解释、履行及与本合同有关的争议解决，均适用法律、行政法规。</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948"/>
        <w:ind w:firstLine="0"/>
        <w:jc w:val="both"/>
        <w:rPr>
          <w:rFonts w:hint="eastAsia"/>
          <w:sz w:val="21"/>
        </w:rPr>
      </w:pPr>
      <w:r>
        <w:rPr>
          <w:rFonts w:hint="eastAsia" w:ascii="宋体" w:hAnsi="宋体" w:eastAsia="宋体" w:cs="宋体"/>
          <w:sz w:val="21"/>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23.2合同附件与合同正文具有同等的法律效力。</w:t>
      </w:r>
      <w:r>
        <w:rPr>
          <w:rFonts w:hint="eastAsia" w:ascii="黑体" w:hAnsi="华文中宋" w:eastAsia="黑体"/>
          <w:sz w:val="24"/>
        </w:rPr>
        <w:br w:type="page" w:clear="all"/>
      </w:r>
      <w:r>
        <w:rPr>
          <w:rFonts w:hint="eastAsia" w:ascii="黑体" w:hAnsi="华文中宋" w:eastAsia="黑体"/>
          <w:sz w:val="28"/>
          <w:szCs w:val="28"/>
        </w:rPr>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96"/>
      <w:r/>
      <w:r/>
    </w:p>
    <w:tbl>
      <w:tblPr>
        <w:tblStyle w:val="76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948"/>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948"/>
              <w:ind w:firstLine="0"/>
              <w:rPr>
                <w:rFonts w:hint="eastAsia"/>
              </w:rPr>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88"/>
              <w:jc w:val="both"/>
              <w:spacing w:before="120" w:beforeAutospacing="0" w:after="120" w:afterAutospacing="0"/>
              <w:rPr>
                <w:rFonts w:hint="eastAsia" w:ascii="宋体" w:hAnsi="宋体"/>
              </w:rPr>
            </w:pPr>
            <w:r>
              <w:rPr>
                <w:rFonts w:hint="eastAsia" w:ascii="宋体" w:hAnsi="宋体"/>
              </w:rPr>
              <w:t xml:space="preserve">1.货物免费质保期三年。（</w:t>
            </w:r>
            <w:r>
              <w:rPr>
                <w:rFonts w:hint="eastAsia" w:ascii="宋体" w:hAnsi="宋体" w:cs="宋体"/>
              </w:rPr>
              <w:t xml:space="preserve">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如在使用过程中发生质量问题，乙方在接到甲方通知后在</w:t>
            </w:r>
            <w:r>
              <w:rPr>
                <w:rFonts w:hint="eastAsia" w:ascii="宋体" w:hAnsi="宋体"/>
                <w:sz w:val="24"/>
                <w:u w:val="single"/>
              </w:rPr>
              <w:t xml:space="preserve">2</w:t>
            </w:r>
            <w:r>
              <w:rPr>
                <w:rFonts w:hint="eastAsia" w:ascii="宋体" w:hAnsi="宋体"/>
                <w:sz w:val="24"/>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88"/>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u w:val="single"/>
              </w:rPr>
            </w:pPr>
            <w:r>
              <w:rPr>
                <w:rFonts w:hint="eastAsia" w:ascii="宋体" w:hAnsi="宋体"/>
                <w:sz w:val="24"/>
                <w:u w:val="single"/>
              </w:rPr>
              <w:t xml:space="preserve">合同签订后付至合同价的30%作为预付款，项目全部完成验收合格交付使用后付至合同价的40%，自验收合格之日起，满一年付至审定价的70%，满二年付至审定价的95%，剩余部分质保期满结清。其中涉及预付款的：合同签订后付至合同价的30%作为预付款（合同签订时，供应商明确表示无需预付款或者主动要求降低预付款比例的由双方另行商定。）</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sz w:val="24"/>
              </w:rPr>
            </w:pPr>
            <w:r>
              <w:rPr>
                <w:rFonts w:hint="eastAsia" w:ascii="宋体" w:hAnsi="宋体"/>
                <w:sz w:val="24"/>
              </w:rPr>
              <w:t xml:space="preserve">(</w:t>
            </w:r>
            <w:r>
              <w:rPr>
                <w:rFonts w:hint="eastAsia" w:ascii="宋体" w:hAnsi="宋体"/>
                <w:sz w:val="24"/>
                <w:lang w:val="en-US" w:eastAsia="zh-CN"/>
              </w:rPr>
              <w:t xml:space="preserve">2</w:t>
            </w:r>
            <w:r>
              <w:rPr>
                <w:rFonts w:hint="eastAsia" w:ascii="宋体" w:hAnsi="宋体"/>
                <w:sz w:val="24"/>
              </w:rPr>
              <w:t xml:space="preserve">)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8"/>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8"/>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千分之五</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10</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5%</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5%</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88"/>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  </w:t>
            </w:r>
            <w:r>
              <w:rPr>
                <w:rFonts w:hint="eastAsia" w:ascii="宋体" w:hAnsi="宋体" w:cs="宋体"/>
              </w:rPr>
              <w:t xml:space="preserve">的违约金。</w:t>
            </w:r>
            <w:r/>
          </w:p>
          <w:p>
            <w:pPr>
              <w:pStyle w:val="788"/>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2</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响水县</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7</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供货期限：</w:t>
            </w:r>
            <w:r>
              <w:rPr>
                <w:rFonts w:hint="eastAsia" w:ascii="宋体" w:hAnsi="宋体"/>
                <w:sz w:val="24"/>
                <w:u w:val="single"/>
              </w:rPr>
              <w:t xml:space="preserve">合同签订后90个日历天完成供货（安装）并交付使用。</w:t>
            </w:r>
            <w:r/>
          </w:p>
          <w:p>
            <w:pPr>
              <w:jc w:val="left"/>
              <w:rPr>
                <w:rFonts w:hint="eastAsia" w:ascii="宋体" w:hAnsi="宋体"/>
                <w:sz w:val="24"/>
              </w:rPr>
            </w:pPr>
            <w:r>
              <w:rPr>
                <w:rFonts w:hint="eastAsia" w:ascii="宋体" w:hAnsi="宋体"/>
                <w:sz w:val="24"/>
              </w:rPr>
              <w:t xml:space="preserve">供货地点：</w:t>
            </w:r>
            <w:r>
              <w:rPr>
                <w:rFonts w:hint="eastAsia" w:ascii="宋体" w:hAnsi="宋体"/>
                <w:sz w:val="24"/>
                <w:u w:val="single"/>
              </w:rPr>
              <w:t xml:space="preserve">甲方指定地点</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  </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88"/>
        <w:ind w:firstLine="3080"/>
        <w:spacing w:before="120" w:beforeAutospacing="0" w:after="120" w:afterAutospacing="0" w:line="0" w:lineRule="atLeast"/>
      </w:pPr>
      <w:r>
        <w:rPr>
          <w:rFonts w:hint="eastAsia" w:ascii="黑体" w:hAnsi="宋体" w:eastAsia="黑体" w:cs="黑体"/>
          <w:color w:val="000000"/>
          <w:sz w:val="44"/>
          <w:szCs w:val="44"/>
        </w:rPr>
        <w:t xml:space="preserve">第</w:t>
      </w:r>
      <w:bookmarkEnd w:id="186"/>
      <w:r>
        <w:rPr>
          <w:rFonts w:hint="eastAsia" w:ascii="黑体" w:hAnsi="宋体" w:eastAsia="黑体" w:cs="黑体"/>
          <w:color w:val="000000"/>
          <w:sz w:val="44"/>
          <w:szCs w:val="44"/>
        </w:rPr>
        <w:t xml:space="preserve">四章 采购需求</w:t>
      </w:r>
      <w:bookmarkEnd w:id="187"/>
      <w:r/>
      <w:bookmarkEnd w:id="188"/>
      <w:r/>
      <w:bookmarkEnd w:id="189"/>
      <w:r/>
      <w:bookmarkEnd w:id="190"/>
      <w:r/>
      <w:bookmarkEnd w:id="191"/>
      <w:r/>
      <w:r/>
    </w:p>
    <w:p>
      <w:pPr>
        <w:pStyle w:val="788"/>
        <w:spacing w:beforeAutospacing="0" w:afterAutospacing="0" w:line="0" w:lineRule="atLeast"/>
        <w:rPr>
          <w:rFonts w:hint="eastAsia" w:ascii="宋体" w:hAnsi="宋体" w:eastAsia="宋体" w:cs="宋体"/>
          <w:color w:val="000000"/>
        </w:rPr>
      </w:pPr>
      <w:r/>
      <w:bookmarkStart w:id="198" w:name="_Toc26554093"/>
      <w:r/>
      <w:bookmarkStart w:id="199" w:name="_Toc49090575"/>
      <w:r>
        <w:rPr>
          <w:rFonts w:hint="eastAsia" w:ascii="宋体" w:hAnsi="宋体" w:eastAsia="宋体" w:cs="宋体"/>
          <w:color w:val="000000"/>
        </w:rPr>
        <w:t xml:space="preserve">项目属性：货物类项目。</w:t>
      </w:r>
      <w:bookmarkEnd w:id="198"/>
      <w:r/>
      <w:bookmarkEnd w:id="199"/>
      <w:r/>
      <w:r/>
    </w:p>
    <w:p>
      <w:pPr>
        <w:pStyle w:val="955"/>
        <w:ind w:firstLine="482"/>
        <w:jc w:val="left"/>
        <w:spacing w:before="60" w:after="60" w:line="420" w:lineRule="exact"/>
        <w:widowControl/>
        <w:rPr>
          <w:rFonts w:hint="eastAsia" w:ascii="宋体" w:hAnsi="宋体" w:eastAsia="宋体" w:cs="宋体"/>
          <w:b/>
          <w:bCs/>
          <w:sz w:val="24"/>
        </w:rPr>
      </w:pPr>
      <w:r>
        <w:rPr>
          <w:rFonts w:ascii="宋体" w:hAnsi="宋体" w:eastAsia="宋体" w:cs="宋体"/>
          <w:b/>
          <w:bCs/>
          <w:sz w:val="24"/>
        </w:rPr>
        <w:t xml:space="preserve">一、</w:t>
      </w:r>
      <w:r>
        <w:rPr>
          <w:rFonts w:hint="eastAsia" w:ascii="宋体" w:hAnsi="宋体" w:eastAsia="宋体" w:cs="宋体"/>
          <w:b/>
          <w:bCs/>
          <w:sz w:val="24"/>
        </w:rPr>
        <w:t xml:space="preserve">采购清单</w:t>
      </w:r>
      <w:r/>
    </w:p>
    <w:tbl>
      <w:tblPr>
        <w:tblStyle w:val="7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924"/>
        <w:gridCol w:w="4047"/>
        <w:gridCol w:w="428"/>
        <w:gridCol w:w="822"/>
        <w:gridCol w:w="839"/>
        <w:gridCol w:w="1045"/>
      </w:tblGrid>
      <w:tr>
        <w:trPr/>
        <w:tc>
          <w:tcPr>
            <w:gridSpan w:val="7"/>
            <w:tcW w:w="5000" w:type="pct"/>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响水教育局校园安防建设项目</w:t>
            </w:r>
            <w:r/>
          </w:p>
        </w:tc>
      </w:tr>
      <w:tr>
        <w:trPr/>
        <w:tc>
          <w:tcPr>
            <w:tcW w:w="244"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tcW w:w="543"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产品</w:t>
            </w:r>
            <w:r/>
          </w:p>
        </w:tc>
        <w:tc>
          <w:tcPr>
            <w:tcW w:w="237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参数</w:t>
            </w:r>
            <w:r/>
          </w:p>
        </w:tc>
        <w:tc>
          <w:tcPr>
            <w:tcW w:w="251"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单位</w:t>
            </w:r>
            <w:r/>
          </w:p>
        </w:tc>
        <w:tc>
          <w:tcPr>
            <w:tcW w:w="481"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数量</w:t>
            </w:r>
            <w:r/>
          </w:p>
        </w:tc>
        <w:tc>
          <w:tcPr>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单价（元）</w:t>
            </w:r>
            <w:r/>
          </w:p>
        </w:tc>
        <w:tc>
          <w:tcPr>
            <w:tcW w:w="611"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合价</w:t>
            </w:r>
            <w:r/>
          </w:p>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（元）</w:t>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一、视频综合平台及等保</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t xml:space="preserve">　</w:t>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t xml:space="preserve">　</w:t>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工作站</w:t>
            </w:r>
            <w:r/>
          </w:p>
        </w:tc>
        <w:tc>
          <w:tcPr>
            <w:tcW w:w="2375" w:type="pct"/>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1、尺寸：2U机架式工作站</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2、处理器：1颗国产化CPU，24核 主频2.5GHz</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3、内存：配置不低于128G内存（4根32G DDR4 ECC内存条），4个DDR4 DIMM插槽</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4、硬盘：2块4T 3.5吋 SATA 热插拔机械硬盘，最大支持12块3.5吋/2.5吋的SAS/SATA机械硬盘或固态硬盘</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5、电源：2个900W交流电源模块，支持1+1冗余；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6、风扇：4个热拔插风扇，支持N+1冗余</w:t>
            </w:r>
            <w:r/>
          </w:p>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7、RAID卡：SAS3908 4G缓存，支持RAID 0,1,10,5,6,50,60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智慧校园综合管理底座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1、基础资源管理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（1）组织管理：支持基础信息的增删改查、导入、导出等功能；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（2）设备管理：支持视频等设备增删改查、导入、导出、自动搜索等功能；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用户管理：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（4）角色管理：支持角色基础信息的增删改查；角色关联权限，可配置角色的应用菜单、部门、逻辑组织以及系统资源操作权限；支持角色的复制能力；</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（5）部门管理：支持部门信息增删改查、导入、导出等功能；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（6）人员管理：支持人员基础信息的增删改查、导入、导出、移动等功能；支持人员信息的采集，包含：人脸、指纹、卡片等，人脸照片支持图片质量检测；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（7）支持卡片基础信息的增删改查、导入、导出等功能；支持人员开卡、挂失、解挂、退卡、补卡、回收等功能；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（8）车辆管理：支持车辆基础信息的增删改查、导入、导出等功能；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（9）地图管理：提供地图管理配置能力，地图类型包含；二维、光栅、三维地图，支持厂家包含：百度、谷歌、高德、天地图、 Arcgis；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（10）资源绑定：平台资源绑定，包含：设备、通道等，绑定的资源可供各业务系统调阅使用；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门户管理：提供门户首页内容自定义能力，支持自定义快捷入口、自定义菜单内容、自定义页面元素设置；支持门户展示元素自定义，包括页面logo图标、修改网站标题、设置并添加网站外部链接、界面微件自定义布局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（12）级联管理：提供级联管理能力，包含：实现上下级基础资源数据汇聚，视频预览、回放、对讲、反控制，门禁、卡口的抓拍记录汇聚等；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2、视频管理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（1）支持实时视频、录像回放、录像下载、电视墙、雷球联动，热成像；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（2）支持手机移动客户端进行实时视频监控，音频播放，本地截图，本地录像，云台控制，远程视频回放；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（3）录像支持1/2、1/4、1/8、1/16、1/32、1/64、2、4、8、16、32、64倍速快/慢放；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3、加密数据库</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（1）原生加密：支持采用多层级密钥保护体系，对数据做全链路加密；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（2）极致安全：支持安全网络传输来防护网络拦截造成的信息泄露。支持一机一密的数据密态存储，让数据可用不可读；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（3）无感对接：支持非加密数据一键导入到平台，实现数据切换；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可视化运维：提供数据库的运行监控大盘，包括CPU、内存及存储空间实时使用情况，慢sql统计分析。同时支持数据的备份还原，及时主机损坏也能通过备份数据快速恢复到新平台上，保护数据不丢失，业务稳定运行；</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4、支持5000路视频通道接入；</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5、基于GB/T 28181等联网标准实现视频监控平台间的级联、互联功能，支持多平台多层次级联，实现平台之间的跨域互联互通与资源共享。内置国标接入2000路授权；</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一体化运管平台</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1、为支持项目后期统一运维管理及后期能力扩展，包括本项目中的入侵防御、日志审计、交换机等网络设备，平台需支持多种格式的包括SNMP V1/V2C/V3、SSH、TELNET、WMI、JDBC、JMX、HTTP第三方脚本等多种方式实现对监控对象统一管理。（需提供软件功能截图加盖投标人公章）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针对纳管设备，支持查看实时基础信息、内存、CPU、网卡、端口、分区等采集信息；同时支持查看历史数据，可按小时、天、最近七天、最近三十天、自定义时间范围查看历史数据，可通过自动聚合图形灵活选择多个数据对比呈现。</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3、平台内支持基于网络数通设备，配置线路监控，实现丢包率、延时、抖动、出入流速、带宽利用率等线路数据监控。（需提供软件功能截图加盖投标人公章）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4、平台内置100+告警规则，可批量导入导出告警规则，可灵活启用单条告警规则。支持自定义新建告警阈值，包括自定义告警标题、告警内容，支持告警分类分级。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5、平台支持以邮箱、短信、企业微信、钉钉、微信公众号、5G消息、IVR语音智能外呼等多种方式，将自动发现的设备和业务通知运维人员，同时可以统计对象的在线和离线时间以及状态。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6、资产概览，可全局呈现项目资产数据、维保分布、资产利用率分布、供应厂商及品牌情况。资产信息变更自动在系统中留存，并可通过平台批量导出变更信息。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7、资产可视化，支持通过力导布局、辐射布局、层次布局等多种方式呈现项目资产拓扑。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8、平台具备驾驶舱工作台，提供统一的数智大屏，呈现告警、工单、资产总览，同时具备监控、资产、拨测、工单等分中心的概览页面直观呈现各业务模块运维数据。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9、系统支持分权分域，可为不同的角色、账号单独分配系统权限。系统支持多租户模式，能够租户模式实现项目间数据隔离与安全性，满足大运营模式，为不同租户配置不同的运维功能。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平台支持SaaS服务、本地化部署、监控一体机等方式。本地化部署支持一键安装。平台具备云平台运维能力，适配常见云平台北向API接口，支持Vmware、华为云、阿里云等常见云平台厂家，能够对接获取云平台内物理机、虚拟机、集群、存储、网络等运维指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11、平台必须部署在本地，不得部署在外部网络。如外网可访问，必须满足二级等保要求。</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★注：所投一体化运管平台已适配或承诺适配基于安全可靠测评结果等级I级及以上的处理器(CPU)、操作系统、数据库开发，投标时须提供相关承诺，否则作无效投标处理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格式自拟）</w:t>
            </w:r>
            <w:r>
              <w:rPr>
                <w:rFonts w:hint="eastAsia" w:ascii="宋体" w:hAnsi="宋体" w:eastAsia="宋体" w:cs="宋体"/>
                <w:color w:val="000000"/>
                <w:sz w:val="20"/>
                <w:szCs w:val="20"/>
              </w:rPr>
              <w:t xml:space="preserve">。</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光模块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SFP+ 万兆模块(1550nm,40km,LC)</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108</w:t>
            </w:r>
            <w:r/>
          </w:p>
        </w:tc>
        <w:tc>
          <w:tcPr>
            <w:tcW w:w="49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双向网闸</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1.吞吐量≥1Gbps，并发连接数≥10W。标配提供文件交换、数据库访问和同步、视频交换、访问交换等功能模块。≥2U设备，“双主机+隔离卡”架构，单主机硬件信息≥6电4光2万兆光，内存≥16GB，硬盘≥960G SSD，≥冗余电源。</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2.支持Oracle：11g/12c/19c、SQL Server：2008/2012/2016/2019、MySQL：5/5.6/8、DB2：v9/v11、Sybase：15/16、PostgreSQL：9及国产人大金仓：V7/V8/V8R6、达梦： 7等主流同构异构数据库同步功能，并且支持基于向导式的数据库同步任务配置。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3.支持国际主流视频控制协议SIP、RTMP、GB28181。</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4.支持对客户端IP、端口、访问时间、命令的检查过滤功能。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5.具备自负载功能，无需使用第三方负载均衡设备。支持多台设备集群提升平台性能。</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防火墙</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1.网络层吞吐量≥20G，防病毒吞吐量≥1.5G，IPS吞吐量≥1.5G，并发连接数≥300万，规格≥2U，内存大小≥8G，硬盘容量≥128G SSD，电源≥冗余电源，接口≥8千兆电口+2万兆光口SFP+，本次配置入侵防御及防病毒功能模块。</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2.▲产品支持Cookie攻击防护功能，并通过日志记录Cookie被篡改。</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3.产品原生支持BOT防护功能，可过滤机器人自动化流量，非联动其他组件或产品，并支持用户自定义URL保护范围和保护阈值。</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4.产品应具备独立的勒索病毒防护模块，非普通防病毒功能，支持对特定的业务进行勒索风险自动化评估，并依据评估结果自动生成防护策略。</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5.支持SYN Flood、ICMP Flood、UDP Flood、DNS Flood、ARP Flood等DoS/DDoS攻击防护；支持IP地址扫描和端口扫描防护。</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6.产品支持对文件传输行为进行安全过滤，支持基于上传、下载、双向的文件内容过滤，内容过滤类型至少支持网页、脚本、压缩文件、图片、可执行文件、适配、文本等常见文件类型。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7.可提供最新的威胁情报信息，能够对新爆发的流行高危漏洞进行预警和自动检测，发现问题后支持一键生成防护规则；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8.▲支持服务器漏洞防扫描功能，并对扫描源IP进行日志记录和联动封锁。</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日志审计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1.含主机审计许可证书数量≥50，平均每秒处理日志数（eps）最大性能≥2500。规格≥2U，内存大小≥16G，硬盘容量≥128G minisata+4T SATA*2，电源≥单电源，接口≥6千兆电口+2万兆光口SFP+。</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网站攻击、漏洞利用、C&amp;C通信、暴力破解、拒绝服务、主机脆弱性、主机异常、恶意软件、账号异常、权限异常、侦查探测等内置关联分析规则，内置关联分析规则数量达到350条以上，支持自定义关联分析规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3.支持资产全生命周期管理，资产入库审核、资产离线风险识别、资产退库、资产数据更新，责任人管理机制等，支持自定义资产标签、属性。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4.支持对IPv4/ipv6对象的自动发现功能，对自动发现的设备可以修改、删除或转为资产。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5.支持通过正则、分隔符、json、xml的可视方式进行自定义规则解析，支持对解析结果字段的新增、合并、映射。</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堡垒机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1.含运维授权数≥50，图形运维最大并发数≥100，字符运维最大并发数≥200。规格≥1U，内存大小≥8G，硬盘容量≥4T SATA，电源≥单电源，接口≥6千兆电口。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2.用户登陆认证方式支持静态口令认证、手机动态口令认证、Usbkey（数字证书）认证、AD域认证、Radius认证等认证方式；并支持各种认证方式和静态口令组合认证。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3.支持一对一、一对多、多对多授权，如将单个资产授权多个用户，一个用户授予多个资产，用户组向资产组授权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4.支持RDP安全模式（RDP、NLA、TLS、ANY）设置，以适应RDP-Tcp属性中的所有功能配置，包括加密级别为客户端兼容、低、高、符合FIPS标准等加密级别</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定期变更目标设备真实口令，支持自定义口令变更周期和口令强度。口令变更方式至少支持手动指定固定口令、通过密码表生成口令、依照设备挂载的口令策略生成随机口令、依照密码策略生成同一口令等方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6.支持命令黑命单，对字符型设备（如linux/unix/网络设备）的高危命令执行进行阻断，如rm、shutdown、reboot等</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高空</w:t>
            </w:r>
            <w:r>
              <w:rPr>
                <w:rFonts w:hint="eastAsia" w:ascii="宋体" w:hAnsi="宋体" w:eastAsia="宋体" w:cs="宋体"/>
                <w:color w:val="000000"/>
                <w:sz w:val="20"/>
                <w:szCs w:val="20"/>
                <w:lang w:val="en-US" w:eastAsia="zh-CN"/>
              </w:rPr>
              <w:t xml:space="preserve">点位</w:t>
            </w:r>
            <w:r>
              <w:rPr>
                <w:rFonts w:hint="eastAsia" w:ascii="宋体" w:hAnsi="宋体" w:eastAsia="宋体" w:cs="宋体"/>
                <w:color w:val="000000"/>
                <w:sz w:val="20"/>
                <w:szCs w:val="20"/>
              </w:rPr>
              <w:t xml:space="preserve">服务费</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服务期三年，高空监控点位要求偏差位置小于50米（含50米），平台高度不低于30米，荷载能力不低于100kg。</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处</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传输链路</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100M专线</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条</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二、监控系统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400万球机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1.采用全景细节一体化设计，全景采用不低于8个镜头拼接成不小于360度全景画面，细节内置大倍率高速变焦镜头；</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2.采用8个不低于200万像素1/2.8英寸CMOS图像传感器；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3.支持不低于2颗GPU芯片；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4.内置4颗补光灯，1个光纤接口；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5.▲设备内置水平仪,当检测到水平仪内水珠位于水平仪中心位置处时,样机安装基本不倾斜；</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6.内置拾音器,具有回声抵消功能,可抵消语音对讲时的回声影响；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7.全景支持绊线入侵，区域入侵，支持人车分类；细节支持周界防范、视频结构化、人脸检测；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8.设备能听清距设备5m处声级不小于70dB(A)的声音；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9.全景：2.8mm@F1.0；细节：5.3mm～134mm；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10.不同智能行为分析可设置联动不同的声音,可通过内置扬声器播放；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11.细节内置4颗高效红外补光灯，最大红外监控距离100米；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12.▲支持自动拼接功能,可将任意连续的2~8个图像传感器输出的监视画面进行无缝拼接显示；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13.主视频图像拼接后：最大水平视场角≥360。最大垂直视场角&gt;110；</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14.支持检测当前镜头指向方向与地平面夹角,并可根据夹角变化自动调整倍率；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15.支持报警3进2出，音频2进1出，BNC，RS485，最大支持512G Micro SD卡，支持双MIC；内置双扬声器；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16.DC36V供电方式，支持12V电源返送；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17.支持IP67防护等级；</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400万红外枪型网络摄像机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1.采用高性能400万像素1/3英寸CMOS图像传感器，低照度效果好，图像清晰度高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2.最大可输出400万(2560×1440)@25fps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3.支持H.265编码，压缩比高，超低码流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4.内置高效红外补光灯，最大红外监控距离50米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5.支持ROI，SMART H.264+/H.265+，灵活编码，适用不同带宽和存储环境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6.支持数字宽动态，3D降噪，强光抑制，背光补偿，数字水印，适用不同监控环境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7.支持多种异常检测：动态检测，视频遮挡，网络断开，IP冲突，音频异常侦测，非法访问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8.内置MIC</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9.支持DC12V/POE供电方式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10.支持IP67防护等级</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438</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出入口智能抓拍相机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1.采用双镜头、独立双舱一体化设计，内置不少于1个云台，支持双通道互为180度夹角监控；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2.通道1（细节）：采用不低于400万像素1/1.8英寸CMOS图像传感器；通道2（细节）：采用不低于400万像素1/1.8英寸CMOS图像传感器；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3.内置1个GPU芯片；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4.通道1（细节）：8mm~32mm；通道2（细节）：8mm~32mm；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5.▲两路通道均支持独立电动云台控制,通道1（细节）：水平旋转范围：0°~355°;垂直旋转范围：-5°~30°;通道2（细节）垂直旋转范围：-5°~30°,水平-13°～13°；</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6.支持手动分区补光控制模式，在手动分区补光模式下,可手动调节视频画面8个区域的补光强度变化；</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双通道均支持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8.▲支持光源矩形光斑补光,并可通过矩形光斑朝向的偏移实现偏光补光；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9.支持图像矫正功能，细节摄像机可通过电动控制实现光路轴向±15°的旋转,实现图像矫正,保持图像水平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10.支持GPS/北斗定位功能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11.支持DC12V供电方式，支持12V电源返送，最大电流165mA；</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12.可通过IE浏览器自定义旋转角度,可一键调节云台至设置的角度；</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13.支持IP67防护等级 ；</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400万双光警戒枪型网络摄像机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1.采用星光级低照度1/2.7英寸CMOS图像传感器，低照度效果好，图像清晰度高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2.最大可输出400万（2688 × 1520）@25fps，内置GPU芯片。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3.支持H.265编码，压缩比高，实现超低码流传输</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4.内置高效暖光和红外补光灯，最大红外监控距离60米，最大暖光监控距离30米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5.支持车辆检测：支持机动车抓拍及报警联动，支持机动车号牌识别；</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6.支持人脸检测：支持跟踪，支持优选，支持抓拍，支持上报最优的人脸抓图，支持人脸增强，人脸曝光，支持人脸属性提取，支持6种属性，8种表情</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7.支持绊线入侵，区域入侵，快速移动，物品遗留，物品搬移，徘徊检测，人员聚集，停车检测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8.支持声光报警联动，当报警产生时，可触发联动声音警报和灯光闪烁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9.支持一键撤防，可在自定义设置的时间段内对报警输出，邮件，音频，灯光等事件联动项进行统一撤防控制</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10.支持三码流功能，两路高清视频显示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11.支持走廊模式，宽动态，3D降噪，强光抑制，背光补偿，数字水印，适用不同监控环境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12.支持ROI，SMART H.264/H.265，AI H.264/H.265，灵活编码，适用不同带宽和存储环境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13.支持最大支持512G Micro SD卡，内置麦克和扬声器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14.支持DC12V/PoE供电方式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15.支持IP67防护等级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16.支持SMD 3.0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749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球机支架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49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出入口相机支架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49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枪机支架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1187</w:t>
            </w:r>
            <w:r/>
          </w:p>
        </w:tc>
        <w:tc>
          <w:tcPr>
            <w:tcW w:w="49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立杆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3.5米高不锈钢材质，含抱杆箱和基础，满足使用需求。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76</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网络视频存储器（24盘位）</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1.设备规格：≤4U，≥24盘位；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2.具有1个控制单元，1个64位六核处理器，标配8GB内存，可扩展至128GB。具有128GB SSD固态硬盘，可扩展至2个512GB SSD固态硬盘。可扩展1个2.5英寸SATA硬盘。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3.支持RAID0、1、5、6、10、50、60、JBOD、Hot-Spare（热备）多种RAID模式；电源、风扇、接口、数据通道冗余。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4.支持视频流直存功能，支持图片直存，支持标准iSCSI协议存储，支持IPSAN，支持NAS服务，支持N+M集群。支持不少于320路私有、onvif、国标6.等前端1：1：1接入、存储和转发。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5.前端IPC、NVR、DVR发生断网，待恢复网络连接后，可将断网时段内的录像续传到服务器。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同时接入不少于512路的人脸、人体检测、车辆检测等摄像机，支持当侦测到人脸、人体、车辆等时，可进行抠图和抓拍，并触发报警联动录像、抓拍图片、弹出报警画面、发送语音提示、上传中心、蜂鸣报警以及日志记录；支持按照人脸、人体、车辆的各属性进行查询检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当使用账户登录时连续输入身份鉴别信息错误次数超过设定的阀值时自动锁定账户一段时间，并产生报警信息；可限制仅允许用户在特定IP主机上登录设备；可限制仅允许用户在特定时间段登录设备；应具备账户密码重置功能；可设置当用户账户登录成功后30分钟内无操作，则强制注销该账户登录状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8.支持配置文件和数据导出功能，且支持配置文件和数据加密导出；支持后台配置数据、账户数据和密钥数据均采用AES加密算法进行存储。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9.支持系统存储资源自动统一配置，当分配的空间不足时，系统可自动分配更多的空间给用户。</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10.支持同时损坏8块硬盘时所属RAID存储数据不应丢失，应能正常读写。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11.设备可建立共享文件夹，共享文件夹同时支持SAMBA和NFS协议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12.支持1/16、1/8、1/4、1/2、2、4、8、16、32、64、128、256倍速回放录像。</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网络视频存储器（48盘位）</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1.设备规格：≤6U，≥48盘位；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2.具有1个控制单元，1个64位六核处理器，标配8GB内存，可扩展至128GB。具有128GB SSD固态硬盘，可扩展至2个512GB SSD固态硬盘。可扩展1个2.5英寸SATA硬盘。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3.支持RAID0、1、5、6、10、50、60、JBOD、Hot-Spare（热备）多种RAID模式；电源、风扇、接口、数据通道冗余。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4.支持视频流直存功能，支持图片直存，支持标准iSCSI协议存储，支持IPSAN，支持NAS服务，支持N+M集群。支持不少于320路私有、onvif、国标6.等前端1：1：1接入、存储和转发。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5.前端IPC、NVR、DVR发生断网，待恢复网络连接后，可将断网时段内的录像续传到服务器。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同时接入不少于512路的人脸、人体检测、车辆检测等摄像机，支持当侦测到人脸、人体、车辆等时，可进行抠图和抓拍，并触发报警联动录像、抓拍图片、弹出报警画面、发送语音提示、上传中心、蜂鸣报警以及日志记录；支持按照人脸、人体、车辆的各属性进行查询检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当使用账户登录时连续输入身份鉴别信息错误次数超过设定的阀值时自动锁定账户一段时间，并产生报警信息；可限制仅允许用户在特定IP主机上登录设备；可限制仅允许用户在特定时间段登录设备；应具备账户密码重置功能；可设置当用户账户登录成功后30分钟内无操作，则强制注销该账户登录状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8.支持配置文件和数据导出功能，且支持配置文件和数据加密导出；支持后台配置数据、账户数据和密钥数据均采用AES加密算法进行存储。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9.支持系统存储资源自动统一配置，当分配的空间不足时，系统可自动分配更多的空间给用户。</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10.支持同时损坏8块硬盘时所属RAID存储数据不应丢失，应能正常读写。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11.设备可建立共享文件夹，共享文件夹同时支持SAMBA和NFS协议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12.支持1/16、1/8、1/4、1/2、2、4、8、16、32、64、128、256倍速回放录像。</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网络硬盘录像机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1.主处理器：工业级微控制器；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2.操作系统：嵌入式Linux操作系统；</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3.后智能分析：支持后智能人脸检测、人脸识别、周界防范、智能动检；</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4.前智能分析：支持前智能人脸检测、人脸识别、视频结构化、周界防范、智能动检、立体行为分析、人像检测、人群分布、人数统计、热度图、车5.牌识别、车辆密度、物品监控、抛物检测、电瓶车入梯；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6.精准检索（摘要）性能：最大支持32路，每路1个事件/秒；</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7.周界后智能性能（路数）：4路，每路绘制10规则线；</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8.周界前智能性能（路数）：全通道（最大处理16个事件/秒）；</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9.人脸检测后智能性能（1080P）(路数)：2路，单路同时最多检测12张人脸；</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10.人脸识别后智能性能（1080P）(路数)：1. 前端人脸检测+后端人脸比对支持16路图片流，最多同时处理16张/秒人脸；2. 后端人脸检测+后端11.人脸比对支持2路视频流，最多同时处理12张/秒人脸；</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12.人脸识别前智能性能（路数）：全通道（最大处理16个事件/秒）；</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13.接入路数：32路；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14.分辨率：32MP；24MP；16MP；12MP；8MP；6MP；5MP；4MP；3MP；1080p；720p；960p；D1；CIF；</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解码能力：不开智能：2路32MP@25fps；2路24MP@25fps；4路16MP@30fps；5路12MP@30fps；8路8MP@30fps；10路6MP@30fps；12路5MP@30fps；16路4MP@30fps；32路1080p@30fps；开智能：1路32MP@25fps；1路24MP@25fps；2路16MP@30fps；4路12MP@30fps；6路8MP@30fps；8路6MP@30fps；8路5MP@30fps；12路4MP@30fps；24路1080p@30f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16.报警输入：16路；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17.报警输出：8路，其中7路继电器输出，1路12V1A ctrl输出；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18.硬盘接口：8个SATA，单盘最大20T；</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19.RS-485接口：2个（1个半双工串行AB接口，1个全双工串行接口）；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20.网络接口：2个（10M/100M/1000M以太网口，RJ-45）</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硬盘（8T）</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1.单盘容量：8TB；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2.缓存：256MB；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3.转速：7200RPM；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4.硬盘接口：SATA</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硬盘（16T）</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1.单盘容量：16TB；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2.缓存：512MB；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3.转速：7200RPM；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4.硬盘接口：SATA</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监控用壁挂箱</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400mm*400mm*300mm不锈钢材质 满足使用需求。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三、网络系统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防火墙</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1.网络层吞吐量≥3G，防病毒吞吐量≥500M，IPS吞吐量≥400M，并发连接数≥100万，规格≥1U，内存大小≥4G，硬盘容量≥64G SSD，电源≥单电源，接口≥6千兆电口+2千兆光口SFP。</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2.支持基于IMAP、FTP、RDP、VNC、SSH、TELNET、ORACLE、MYSQL、MSSQL等应用协议进行深度检测与防护。</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3.支持对已被种植远控木马、病毒等恶意软件的终端进行检测，并且能够对检测到的恶意软件行为进行深入分析，展示与外部命令控制服务器的交互行为及其他可疑行为。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4.▲产品支持数据库漏洞攻击防护功能，能够防护数据库漏洞攻击的漏洞攻击。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5.支持基于应用类型，网站类型，文件类型进行带宽分配和流量控制，支持基于时间、地域、认证用户、子接口和VLAN等因素实现对象的流量控制。</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6.产品支持Cookie攻击防护功能，并通过日志记录Cookie被篡改。</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7.▲支持对压缩病毒文件进行检测和拦截，压缩层数支持15层及以上。</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8.支持僵尸网络检测，防止失陷主机威胁内网扩散。</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上网行为管理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1.网络层吞吐量（大包）≥2Gb，应用层吞吐量≥150Mb，带宽性能≥100Mb，规格≥1U，内存大小≥4G，硬盘容量≥128G SSD，电源≥单电源，接口≥4千兆电口。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2.▲支持使用账号密码+动态令牌(Authenticator APP)验证码身份认证，支持通过短信和密码绑定动态令牌。</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3.支持radius、AD、POP3、Proxy、PPPOE、 H3C IMC/CAMS、锐捷 SAM、城市热点等系统进行认证单点登录，可强制指定用户、指定IP段的用户必须使用单点登录。</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4.支持在不同线路上，根据不同的应用、目标IP、时间段、日期、用户/用户组、位置、终端类型来保证或者限制流量，可根据百分比或数值设置通道带宽，并支持设置各通道的优先级。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5.支持加密的网页、论坛、BBS上的发帖行为精细化管理：过滤同时匹配三个以上关键字过滤的网络发帖行为、允许用户浏览帖子但不准发帖功能。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6.支持为用户添加属性（职位、临时项目组、邮件组等），能够根据用户属性配置上网权限策略、流控策略，审计策略等。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7.▲支持ssl中间人解密和准入客户端解密。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8.支持自动注销指定时间内无流量的已认证用户。</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汇聚交换机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1.千兆接入交换机 ，24个10/100/1000M自适应电口，4个1G/10G SFP+光口，固化交流电源和风扇。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 交换容量672Gbps/6.72Tbps | 包转发率≥171Mpps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 支持动态路由协议（RIP、OSPF）、VSU、802.X认证、ERPS环网保护协议、链路聚合</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 支持云管理&amp;本地管理</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8口POE交换机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1.千兆接入交换机 ， 8个10/100/1000M自适应电口，2个1G/2.5G SFP光口，带风扇，1-8端口支持PoE/PoE+远程供电。 PoE 输出功率：≥240W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 交换容量≥336Gbps  包转发率≥42Mpps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 支持静态路由、链路聚合、EEE节能以太网技术、端口防雷能力10KV以上</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 支持云管理&amp;本地管理二层 | 千兆接入交换机 | 24个10/100/1000Base-T自适应以太网接口，4个1G/2.5G SFP光口，POE输出功率370W。 | 支持PoE+ | 交换容量432Gbps/4.32Tbps | 包转发率108Mpps/126Mpps  | 支持静态路由、链路聚合、EEE节能以太网技术、端口防雷能力10KV | 支持云管理＆本地管理</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96</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24口POE交换机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1.千兆接入交换机 ， 24个10/100/1000M自适应电口，2个1G/2.5G SFP光口，带风扇，1-24端口支持PoE/PoE+远程供电。 PoE 输出功率：≥370W。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 交换容量≥336Gbps  包转发率≥42Mpps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 支持静态路由、链路聚合、EEE节能以太网技术、端口防雷能力10KV以上</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 支持云管理&amp;本地管理</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光模块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光模块-SFP-GE-单模模块-(1310nm,10km,LC)</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278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服务器机柜</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1.19英寸标准机架式机柜，符合GB/T3047.2标准，尺寸600*1000*2000MM；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2.全部采用优质冷轧钢板，厚度：方孔条2.0，其他1.2mm，机柜表面采用先喷砂，后喷塑的表面处理工艺，保证机柜表面涂层的牢固可靠，耐酸碱、耐腐蚀、防静电；</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3.采用前后网设计，具备旋把门锁，可拆卸的左右侧门，方便安装调试，可同时安装脚轮和支撑脚，方便移动，结构坚固，承载不小于500Kg</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57</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四、智能升降柱</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智能液压升降柱</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1、液压驱动；304不锈钢材质；内筒壁厚不低于6mm；升降高度不低于60cm；内筒直径不低于219M</w:t>
            </w:r>
            <w:r>
              <w:rPr>
                <w:rFonts w:hint="eastAsia" w:ascii="宋体" w:hAnsi="宋体" w:eastAsia="宋体" w:cs="宋体"/>
                <w:color w:val="000000"/>
                <w:sz w:val="20"/>
                <w:szCs w:val="20"/>
              </w:rPr>
              <w:t xml:space="preserve">M。                      　　　　　  　　　　　　　　　                                                                                     　2、动力系统电压220V；支持遥控器或按键控制；升降速度不低于150MM/S。  　　　　　                 　　　　　　　　　　　　　　　　　　　                                                </w:t>
            </w:r>
            <w:r>
              <w:rPr>
                <w:rFonts w:hint="eastAsia" w:ascii="宋体" w:hAnsi="宋体" w:eastAsia="宋体" w:cs="宋体"/>
                <w:color w:val="000000"/>
                <w:sz w:val="20"/>
                <w:szCs w:val="20"/>
              </w:rPr>
              <w:t xml:space="preserve">                                              3、浸水性能：路障阻挡主体置于水池中浸泡48h无漏电现象，且能正常升降。　　　　　　      　　　　　　　　　　　　　                                                                                                   　4、阻挡柱体应能正常升降、无卡滞、到位可靠。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5、冲撞测试性能不低</w:t>
            </w:r>
            <w:r>
              <w:rPr>
                <w:rFonts w:hint="eastAsia" w:ascii="宋体" w:hAnsi="宋体" w:eastAsia="宋体" w:cs="宋体"/>
                <w:color w:val="000000"/>
                <w:sz w:val="20"/>
                <w:szCs w:val="20"/>
              </w:rPr>
              <w:t xml:space="preserve">于B3级，在外部供电停止状态下通过自备电源供电具有升降功能。    　　　　　　　   　　   　　　　　　　　　　　　 　　                       　                                                      6、升降柱连续升降5000次无停机及故障，且升降灵活，到位准确。　　　　　　　　　　　　　　　　　　　　　　　　　　7、▲升降柱系统具备机芯保护功能，当温度低于设置值时，自动开启机芯加热功能，保障液压部件始终处于最佳工作环境。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8、抗电强度：应符合GB16796-2009中5.4.3的规定；绝缘电阻应符合GB16796-2009中5.4.4的规定；泄漏电流应符合GB16796-2009中5.4.6的规定。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9、路桩阻挡主体应进行防锈处理，耐腐蚀等级应大于或等于GA/T1343-2016标准表4规定的7级要求。</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10、应急功能：在外部供电停止状态下，应具有备用电源或具有手动升降功能。　　　　　　　　　　　　11、▲防顶车系统：当车辆停止或行驶在升降柱上端时，因具备防顶车功能，手动及遥控平台操控升降柱上升则不接收上升信号，如升降柱正处于上升状态时出现车辆通行，升降柱自动发出下降信号，防止顶车或刮车故障。</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智能控制箱</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 断电保护功能：电路出现波动在过压、欠压，电流过大，或者短路时设备应具有自动断电保护功能，电路恢复正常或者手动复位则设备可正常工作。　　　　　　　　　　　　　　　　　　　　　　　　　　2、控制系统稳定性：升降柱无信号输入，无操作指令，不会输出信号，设备不会自动运行。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3、分组控制功能：升降柱控制柜可对升降路障的上升和下降实现分组控制。　　　　　　　　　　　　　4、保护功能：具备优先升起反恐保护功能及红外保护接口；　　　　 　　　　　　　　　　　　　　　　5、治安联动：具备治安报警系统联动控制接口；　　　　　　　　　　　　　　　　　　　　　　　　　　6、控制功能：可通过手动按键和无线遥控器控制柱身上升和下降　　　　　　　　　　　　　　　　　　　　7、升降柱控制箱可与升降柱控制平台软件无缝联接，平台集中控制功能。（提供升降柱平台软件著作权加盖厂商公章）</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智能遥控器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具备自主学习功能，可控制单根起降、多根起降、整体起降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47</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应急电源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2V7AH，停电时控制升降柱应急下降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主供电电缆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国标RVV3*4.0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790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国标RVV4*1.5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2340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控制线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国标RVV3*1.5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2340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管道　</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国标PVC材质　直径50MM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排水系统</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每个大门单独设置排水井，安装全自动水泵，水泵功率不低于300W，水面高于设置高度时，自动排水。</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土建、预埋及安装调试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包含路面切割，开挖，安装柱体，垃圾运输，混凝土浇筑，路面恢复、安装调试，井盖，固定钢筋等项目所需其它工作量。</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五、巡更系统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45</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巡更棒</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1.产品材质 三防机身：</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2.感应距离 靠近巡更点0-3cm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3.防护等级 IP65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4.存储容量云端容量无限制(无信号可本地存储≥10000条)</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5.工作温度 -10℃~+55℃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6.通讯方式 免驱通讯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7.提示方式 ：语音/声音/震动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8.闹钟功能  自定义添加闹钟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9.内置电池 大于等于1800毫安聚合物锂电池：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10.数据查询：内置4G流量卡，数据自动上传，支持手机、电脑在线看数据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11.带手电照明功能，设备上支持查询打卡信息；</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180</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46</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标识牌含夜标</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1.标识信息钮位置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2.保护墙内信息钮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3.体现巡更管理系统的工程形象</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4.夜光显示</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675</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巡逻点卡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1.射频卡点位信息。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2.可选用多种类型可以打孔安装或者粘贴安装，防水防晒。</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675</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巡逻员卡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1.外型美观，携带方便，外表面有号码印刷，人员射频卡。</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2.使用人员卡可以实现多人共用一台巡更机。可以把巡更计划安排到人，责任落实到人。</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268</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巡更管理软件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1.智能排班：只需一次排班便可长期使用，不需要反复多次排班</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2.自动识别：自动识别地点和人员，任何点都可以复用到多条线路，自动匹配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3.自动通讯：自动完成巡更机通讯、时钟校验、数据上载、数据下载等功能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4.联网功能：可以通过因特网将数据传输到管理中心，可通过浏览器进行查询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5.自动维护：自动完成数据月备份、周备份和即时备份，自动清除过期数据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6.方便安装：可导出基础信息，软件重装后导入即可，不用重新设置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7.存储时间≥24个月。</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巡更通讯座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1.通信方式 USB接口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2.读卡类型 EMID 射频格式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3.工作温度 -10℃～ 45℃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4.工作湿度 0～95℅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5.有指示灯方便识别数据传输状态。</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六、张力围栏</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52</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网络型张力四道双防区控制器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1.材质：控制杆体采用铝制材料+抗氧化处理，所有配件螺丝采SUS304不锈钢材质；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2.外壳防护等级：IP55；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3.工作电压：AC220V、DC12V~24V；</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功率：2W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4.避雷隔离：张力模块与外壳完全与钢丝绳隔离；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5.设备运行指示灯：对系统运行状态进行实时显示；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6.现场故障、报警提示：蜂鸣音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7.张力模块 张力测量值：100N-450N 张力负荷分度值：1N 可承受最大张力：1000N</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8.▲网络型设备，控制器具备RJ45通信接口。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9.▲终端具有精准定位功能，能实时显示防区报警的精确位置，精准定位单元实时判断报警发生位置，定位精度不大于5米。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10.▲警戒张力值调整功能，调整间隔时间在1S-28800S内可设置。</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网络型张力四道单防区控制器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1.材质：控制杆体采用铝制材料+抗氧化处理，所有配件螺丝采SUS304不锈钢材质；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2.外壳防护等级：IP55；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3.工作电压：AC220V、DC12V~24V；</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功率：2W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4.避雷隔离：张力模块与外壳完全与钢丝绳隔离；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5.设备运行指示灯：对系统运行状态进行实时显示；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6.现场故障、报警提示：蜂鸣音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7.张力模块 张力测量值：100N-450N 张力负荷分度值：1N 可承受最大张力：1000N</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万向底座（控制杆配套）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材质：铝制材料+抗氧化处理，所有配件螺丝采用SUS304不锈钢；跟四道控制杆配套，安装角度、高度可调节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不锈钢弹簧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材质：SUS304不锈钢； 拉力值80-320KG 永不生锈</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620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四道受力杆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材质：铝制材料+抗氧化处理，高度不低于80CM，壁厚不低于3MM，所有配件螺丝采用SUS304不锈钢；安装角度可调节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转向滑轮</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1.材质：铝合金材质；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2.用于拐角处平稳过线,减少磨擦</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3.方向可调,永不生锈</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448</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四道支撑杆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1.材质：铝制材料+抗氧化处理，高度不低于80CM，壁厚不低于2MM，所有配件螺丝采用SUS304不锈钢；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2.安装角度、高度可调节</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1422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万向底座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1.铝合金材质+抗氧化处理壁厚不低于3MM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2.L型底座</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2157</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60</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紧线器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1.材质：铝合金材质；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2.钢丝绳收紧自锁功能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3.方向可调</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620</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61</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压接铝套（和钢丝绳配套）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1.材质：铝制材料；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2.直径：3mm；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3.钢丝绳每端至少固定2只</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2124</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不锈钢钢丝绳</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1.材质：SUS304不锈钢；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2.直径：多股，直径不小于1.2mm；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21800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围栏警示牌</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ABS工程塑料　三扣型设计　不易晃动　尺寸15*25CM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602</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警号</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12V旋转声光红色警示灯，警笛音90分贝，LED灯珠，配L型不锈钢支架（厚2MM）。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避雷器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采用国际先进的加工工艺和科学技术，可实现雷击电子围栏前端时，避雷器上具有双避雷球、扼流圈、等同时，多次放电，以求达到多重保护主机设备。三页避雷器，配不锈钢支架。满足设计及使用需求。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368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24V电源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张力探测器专用电源　24V2A</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终端盒</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不锈钢材质  尺寸200*300*100MM，两侧具备散热孔</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中心控制主机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LED中文液晶显示、密码操作，实时监测前端张力围栏主机，DC12V报警输出，RS232串口输出，具备一键布撤防、自动定时布/撤、高低压切换功能。具有语音提示功能，应能实现防区报警、操作步骤等同步语音提示。</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联动模块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工作电压：12V；防区数量：16；与电子地图无缝联动，每路联动信号常开常闭可调，指示灯显示通讯和工作状态，实时联动电子地图精确显示报警防区的信号灯。</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电子地图</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系统工作状态灯：通过LED灯能实时显示系统工作状态（布、撤防）。</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防区指示灯：当有报警信号发生时能及时显示报警区域位置,便于安保人员巡查。</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供电方式：DC12V（电子地图联动模块DC12V输出直接连接）。</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亚克力定制全屏无边框设计　尺寸80*120CM。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信号线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国标RVVP2*1.0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7710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国标RVV2*1.0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7710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管道　</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国标直径20MM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7710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工程辅材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膨胀螺丝 线卡等工程所需辅材</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七、综合布线系统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六类非屏蔽网线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1.名称：六类4对非屏蔽双绞线电缆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2.规格：非屏蔽单股线，铜芯材质：优质无氧铜，芯线外被</w:t>
            </w:r>
            <w:r>
              <w:rPr>
                <w:rFonts w:hint="eastAsia" w:ascii="宋体" w:hAnsi="宋体" w:eastAsia="宋体" w:cs="宋体"/>
                <w:color w:val="000000"/>
                <w:sz w:val="20"/>
                <w:szCs w:val="20"/>
              </w:rPr>
              <w:t xml:space="preserve">：HDPE，外护套PVC；通过ANSI/TIA/EIA568C.2250MHZ带宽测试要求；适当的外径，安装时不易扭绞和卡住；护套是PVC;颜色可供多种选择；提供线缆长度标记，减少浪费；具有十字PE骨架，保证传输性能；直流电阻≤9.5Ω/100m；特性阻抗100±15Ω；绝缘电阻≧5000MΩ/km；线对直流电阻不平衡≤2.5%；工作电容≤5.6nF/100m；电缆对数：4对；导体材料：无氧圆铜（纯度大于99.99%）；线规：23AWG0.57mm；电缆外径：≤6.1mm；绝缘材料：HDPE（实心聚烯烃）；</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65500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主干电源线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国标3*2.5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18760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4芯光纤</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1.室外通信光缆 4芯，石英玻璃材质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2.光纤规格 B1.3/OS2，9μm/125μm，适配千兆光模块</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3.传输波长 1310nm、1550nm（长距离）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4.衰减系数 1310nm≤0.36dB/km；1550nm≤0.22dB/km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5.结构及敷设 GYTS带铠，支持管道/直埋/架空</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18760</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网络理线架（8口）</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1.名称：19"标准机柜用1U宽度理线器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技术参数：理线架采用优质冷轧板冲压成型，静电粉末喷塑,标准依照19"机架标准,适用于配线架、跳线架及设备跳线的水平和垂直方向的线缆管理。设计简洁，对于各种线缆提供灵活，有效和安全的管理，使布线系统整洁美观。符合19"机架标准, 配带有机柜配套螺丝，易于安装操作。理线器整体材质：钢架+黑色喷塑；安装高度：1U；安装方式：机柜螺丝安装；使用温度： -40～70℃；湿度：85%（温度85℃±3℃）</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3.支持8口交换机配套，可整理≥8根六类网线/4芯光缆，理线有序、便于检修，适配8口交换机机房组网整理需求</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96</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网络理线架（24口）</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1.名称：19"标准机柜用1U宽度理线器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技术参数：理线架采用优质冷轧板冲压成型，静电粉末喷塑,标准依照19"机架标准,适用于配线架、跳线架及设备跳线的水平和垂直方向的线缆管理。设计简洁，对于各种线缆提供灵活，有效和安全的管理，使布线系统整洁美观。符合19"机架标准, 配带有机柜配套螺丝，易于安装操作。理线器整体材质：钢架+黑色喷塑；安装高度：1U；安装方式：机柜螺丝安装；使用温度： -40～70℃；湿度：85%（温度85℃±3℃）</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3.支持24口交换机配套，可整理≥24根六类网线/4芯光缆，理线有序、便于检修，适配24口交换机机房组网整理需求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光纤跳线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LC-LC单模双芯 跳线 3m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PVC管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φ25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44180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开槽</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10公分宽，20公分深，含恢复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辅材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管卡、八六盒、扎带、水晶头、胶布、熔纤、熔纤盒</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bl>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备注：投标人提供的设备设施必须是生产企业原厂生产的（不得拆机、改装）、全新的、未使用过的，完全符合国家和原厂质量检测标准，并具有产品质量检验合格证；投标人如采用贴牌产品，一经发现取消中标资格、终止合同，并承担相应的法律责任。</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采购人不组织集中现场考察或答疑，投标人可自行前往项目现场进行考察。未考察现场或考察工作不详细的投标人中标后，不得以不完全了解现场情况为理由而向采购人提出任何索赔或其他要求，对此采购人不承担任何责任并将不做任何答复。</w:t>
      </w:r>
      <w:r/>
    </w:p>
    <w:p>
      <w:pPr>
        <w:pStyle w:val="955"/>
        <w:ind w:firstLine="482"/>
        <w:jc w:val="left"/>
        <w:spacing w:before="60" w:after="60" w:line="420" w:lineRule="exact"/>
        <w:widowControl/>
        <w:rPr>
          <w:rFonts w:hint="eastAsia" w:ascii="宋体" w:hAnsi="宋体" w:eastAsia="宋体" w:cs="宋体"/>
          <w:b/>
          <w:bCs/>
          <w:sz w:val="24"/>
        </w:rPr>
      </w:pPr>
      <w:r/>
      <w:bookmarkStart w:id="200" w:name="OLE_LINK1"/>
      <w:r>
        <w:rPr>
          <w:rFonts w:ascii="宋体" w:hAnsi="宋体" w:eastAsia="宋体" w:cs="宋体"/>
          <w:b/>
          <w:bCs/>
          <w:sz w:val="24"/>
        </w:rPr>
        <w:t xml:space="preserve">二、</w:t>
      </w:r>
      <w:r>
        <w:rPr>
          <w:rFonts w:hint="eastAsia" w:ascii="宋体" w:hAnsi="宋体" w:eastAsia="宋体" w:cs="宋体"/>
          <w:b/>
          <w:bCs/>
          <w:sz w:val="24"/>
        </w:rPr>
        <w:t xml:space="preserve">高空监控点位</w:t>
      </w:r>
      <w:bookmarkEnd w:id="200"/>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为提升全县校园安全保障能力，预防和震慑犯罪，加强校园秩序管理，提升校园管理精细化水平，提高应急处置效率，减少事故损失，保护师生人身财产安全，计划在部分重点学校建设共计6个高空监控点位，每处高空监控</w:t>
      </w:r>
      <w:r>
        <w:rPr>
          <w:rFonts w:hint="eastAsia" w:ascii="宋体" w:hAnsi="宋体" w:eastAsia="宋体" w:cs="宋体"/>
          <w:sz w:val="24"/>
          <w:lang w:val="en-US" w:eastAsia="zh-CN"/>
        </w:rPr>
        <w:t xml:space="preserve">点</w:t>
      </w:r>
      <w:r>
        <w:rPr>
          <w:rFonts w:hint="eastAsia" w:ascii="宋体" w:hAnsi="宋体" w:eastAsia="宋体" w:cs="宋体"/>
          <w:sz w:val="24"/>
        </w:rPr>
        <w:t xml:space="preserve">位可实时监控周边半径不小于1公里范围内。同时采用有线光纤等传输方式将视频监控图像及信号传回监控中心，监控中心可采用大屏显示前端监控视频图像等信息，本次安装利用高空监控点位进行高空安装。</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高空监控</w:t>
      </w:r>
      <w:r>
        <w:rPr>
          <w:rFonts w:hint="eastAsia" w:ascii="宋体" w:hAnsi="宋体" w:eastAsia="宋体" w:cs="宋体"/>
          <w:sz w:val="24"/>
          <w:lang w:val="en-US" w:eastAsia="zh-CN"/>
        </w:rPr>
        <w:t xml:space="preserve">点位</w:t>
      </w:r>
      <w:r>
        <w:rPr>
          <w:rFonts w:hint="eastAsia" w:ascii="宋体" w:hAnsi="宋体" w:eastAsia="宋体" w:cs="宋体"/>
          <w:sz w:val="24"/>
        </w:rPr>
        <w:t xml:space="preserve">要求偏差位置小于50米（含50米），平台高度不低于30米，荷载能力不低于100kg。</w:t>
      </w:r>
      <w:r/>
    </w:p>
    <w:tbl>
      <w:tblPr>
        <w:tblStyle w:val="76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12"/>
        <w:gridCol w:w="7107"/>
      </w:tblGrid>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4170"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高空监控规划点位学校（官方名称）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江苏省响水中学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响水县周集实验学校</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fldChar w:fldCharType="begin"/>
            </w:r>
            <w:r>
              <w:instrText xml:space="preserve"> HYPERLINK "http://www.cnki.com.cn/Article/CJFDTotal-XISS202403053.htm" \t "_blank" </w:instrText>
            </w:r>
            <w:r>
              <w:fldChar w:fldCharType="separate"/>
            </w:r>
            <w:r>
              <w:t xml:space="preserve">响水县张集实验学校</w:t>
            </w:r>
            <w:r>
              <w:fldChar w:fldCharType="end"/>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ascii="宋体" w:hAnsi="宋体" w:eastAsia="宋体" w:cs="宋体"/>
                <w:sz w:val="24"/>
              </w:rPr>
              <w:t xml:space="preserve">响水县小尖中学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响水县银河路小学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响水县老舍中心小学</w:t>
            </w:r>
            <w:r/>
          </w:p>
        </w:tc>
      </w:tr>
    </w:tbl>
    <w:p>
      <w:pPr>
        <w:ind w:firstLine="480"/>
        <w:jc w:val="left"/>
        <w:spacing w:before="60" w:after="60" w:line="420" w:lineRule="exact"/>
        <w:widowControl/>
        <w:rPr>
          <w:rFonts w:hint="default" w:ascii="宋体" w:hAnsi="宋体" w:eastAsia="宋体" w:cs="宋体"/>
          <w:b/>
          <w:bCs/>
          <w:sz w:val="24"/>
          <w:lang w:val="en-US" w:eastAsia="zh-CN"/>
        </w:rPr>
      </w:pPr>
      <w:r>
        <w:rPr>
          <w:rFonts w:hint="eastAsia" w:ascii="宋体" w:hAnsi="宋体" w:eastAsia="宋体" w:cs="宋体"/>
          <w:sz w:val="24"/>
          <w:lang w:val="en-US" w:eastAsia="zh-CN" w:bidi="ar"/>
        </w:rPr>
        <w:t xml:space="preserve">供应商</w:t>
      </w:r>
      <w:r>
        <w:rPr>
          <w:rFonts w:hint="eastAsia" w:ascii="宋体" w:hAnsi="宋体" w:eastAsia="宋体" w:cs="宋体"/>
          <w:sz w:val="24"/>
          <w:lang w:bidi="ar"/>
        </w:rPr>
        <w:t xml:space="preserve">提供高空监控规划点位照片及经纬度</w:t>
      </w:r>
      <w:r>
        <w:rPr>
          <w:rFonts w:hint="eastAsia" w:ascii="宋体" w:hAnsi="宋体" w:eastAsia="宋体" w:cs="宋体"/>
          <w:sz w:val="24"/>
          <w:lang w:val="en-US" w:eastAsia="zh-CN" w:bidi="ar"/>
        </w:rPr>
        <w:t xml:space="preserve">的优先，同时中标后一周内需提供点位产权授权。</w:t>
      </w:r>
      <w:r/>
    </w:p>
    <w:p>
      <w:pPr>
        <w:ind w:firstLine="482"/>
        <w:jc w:val="left"/>
        <w:spacing w:before="60" w:after="60" w:line="420" w:lineRule="exact"/>
        <w:widowControl/>
        <w:rPr>
          <w:rFonts w:hint="eastAsia" w:ascii="宋体" w:hAnsi="宋体" w:eastAsia="宋体" w:cs="宋体"/>
          <w:b/>
          <w:bCs/>
          <w:sz w:val="24"/>
        </w:rPr>
      </w:pPr>
      <w:r>
        <w:rPr>
          <w:rFonts w:hint="eastAsia" w:ascii="宋体" w:hAnsi="宋体" w:eastAsia="宋体" w:cs="宋体"/>
          <w:b/>
          <w:bCs/>
          <w:sz w:val="24"/>
        </w:rPr>
        <w:t xml:space="preserve">三、合同履行期限</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合同签订后90个日历天完成供货（安装）并交付使用。</w:t>
      </w:r>
      <w:r/>
    </w:p>
    <w:p>
      <w:pPr>
        <w:ind w:firstLine="482"/>
        <w:jc w:val="left"/>
        <w:spacing w:before="60" w:after="60" w:line="420" w:lineRule="exact"/>
        <w:widowControl/>
        <w:rPr>
          <w:rFonts w:hint="eastAsia" w:ascii="宋体" w:hAnsi="宋体" w:eastAsia="宋体" w:cs="宋体"/>
          <w:sz w:val="24"/>
          <w:highlight w:val="none"/>
        </w:rPr>
      </w:pPr>
      <w:r>
        <w:rPr>
          <w:rFonts w:hint="eastAsia" w:ascii="宋体" w:hAnsi="宋体" w:eastAsia="宋体" w:cs="宋体"/>
          <w:b/>
          <w:bCs/>
          <w:sz w:val="24"/>
        </w:rPr>
        <w:t xml:space="preserve">四、</w:t>
      </w:r>
      <w:r>
        <w:rPr>
          <w:rFonts w:hint="eastAsia" w:ascii="宋体" w:hAnsi="宋体" w:eastAsia="宋体" w:cs="宋体"/>
          <w:b/>
          <w:bCs/>
          <w:sz w:val="24"/>
          <w:highlight w:val="none"/>
        </w:rPr>
        <w:t xml:space="preserve">投标要求</w:t>
      </w:r>
      <w:r/>
    </w:p>
    <w:p>
      <w:pPr>
        <w:ind w:firstLine="480"/>
        <w:spacing w:before="60" w:after="60" w:line="42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1.供应商具有</w:t>
      </w:r>
      <w:r>
        <w:rPr>
          <w:rFonts w:hint="eastAsia" w:ascii="宋体" w:hAnsi="宋体" w:eastAsia="宋体" w:cs="宋体"/>
          <w:sz w:val="24"/>
          <w:highlight w:val="none"/>
          <w:lang w:bidi="ar"/>
        </w:rPr>
        <w:t xml:space="preserve">有效的信息安全管理体系认证证书、信息技术服务管理体系认证证书</w:t>
      </w:r>
      <w:r>
        <w:rPr>
          <w:rFonts w:hint="eastAsia" w:ascii="宋体" w:hAnsi="宋体" w:eastAsia="宋体" w:cs="宋体"/>
          <w:sz w:val="24"/>
          <w:highlight w:val="none"/>
          <w:lang w:eastAsia="zh-CN" w:bidi="ar"/>
        </w:rPr>
        <w:t xml:space="preserve">的</w:t>
      </w:r>
      <w:r>
        <w:rPr>
          <w:rFonts w:hint="eastAsia" w:ascii="宋体" w:hAnsi="宋体" w:eastAsia="宋体" w:cs="宋体"/>
          <w:sz w:val="24"/>
          <w:highlight w:val="none"/>
          <w:lang w:val="en-US" w:eastAsia="zh-CN" w:bidi="ar"/>
        </w:rPr>
        <w:t xml:space="preserve">优先</w:t>
      </w:r>
      <w:r>
        <w:rPr>
          <w:rFonts w:hint="eastAsia" w:ascii="宋体" w:hAnsi="宋体" w:eastAsia="宋体" w:cs="宋体"/>
          <w:sz w:val="24"/>
          <w:highlight w:val="none"/>
        </w:rPr>
        <w:t xml:space="preserve">，中标人应承诺严格执行招标文件要求和有关技术标准、规范要求，保质、保量、按时完成工作。</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highlight w:val="none"/>
        </w:rPr>
        <w:t xml:space="preserve">2.根据项目需求应</w:t>
      </w:r>
      <w:r>
        <w:rPr>
          <w:rFonts w:hint="eastAsia" w:ascii="宋体" w:hAnsi="宋体" w:eastAsia="宋体" w:cs="宋体"/>
        </w:rPr>
        <w:t xml:space="preserve">制定</w:t>
      </w:r>
      <w:r>
        <w:rPr>
          <w:rFonts w:hint="eastAsia" w:ascii="宋体" w:hAnsi="宋体" w:eastAsia="宋体" w:cs="宋体"/>
          <w:lang w:bidi="ar"/>
        </w:rPr>
        <w:t xml:space="preserve">各系统技术方案</w:t>
      </w:r>
      <w:r>
        <w:rPr>
          <w:rFonts w:hint="eastAsia" w:ascii="宋体" w:hAnsi="宋体" w:eastAsia="宋体" w:cs="宋体"/>
        </w:rPr>
        <w:t xml:space="preserve">，内容应当包括但不限于以下内容：</w:t>
      </w:r>
      <w:r>
        <w:rPr>
          <w:rFonts w:hint="eastAsia" w:ascii="宋体" w:hAnsi="宋体" w:eastAsia="宋体" w:cs="宋体"/>
          <w:lang w:bidi="ar"/>
        </w:rPr>
        <w:t xml:space="preserve">1）本项目深度了解及分析及项目系统架构表述；2）产品的性能分析及方案的兼容性可扩展性；3）各系统设备连接，设备分布及布局优化；4）技术力量保障措施；5）项目网络组网方案及网络安全可靠性</w:t>
      </w:r>
      <w:r>
        <w:rPr>
          <w:rFonts w:hint="eastAsia" w:ascii="宋体" w:hAnsi="宋体" w:eastAsia="宋体" w:cs="宋体"/>
        </w:rPr>
        <w:t xml:space="preserve">。</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3.根据项目需求应制定</w:t>
      </w:r>
      <w:r>
        <w:rPr>
          <w:rFonts w:hint="eastAsia" w:ascii="宋体" w:hAnsi="宋体" w:eastAsia="宋体" w:cs="宋体"/>
          <w:lang w:bidi="ar"/>
        </w:rPr>
        <w:t xml:space="preserve">项目施工方案</w:t>
      </w:r>
      <w:r>
        <w:rPr>
          <w:rFonts w:hint="eastAsia" w:ascii="宋体" w:hAnsi="宋体" w:eastAsia="宋体" w:cs="宋体"/>
        </w:rPr>
        <w:t xml:space="preserve">，内容应当包括但不限于以下内容：</w:t>
      </w:r>
      <w:r>
        <w:rPr>
          <w:rFonts w:hint="eastAsia" w:ascii="宋体" w:hAnsi="宋体" w:eastAsia="宋体" w:cs="宋体"/>
          <w:lang w:bidi="ar"/>
        </w:rPr>
        <w:t xml:space="preserve">1）施工前准备；2）进度计划；3）实施流程；4）施工安全保障措施；5）项目施工人员保障措施；6）设备质量保障措施；7）施工质量保障；8）文明施工；9）验收方案；10）项目培训大纲等</w:t>
      </w:r>
      <w:r>
        <w:rPr>
          <w:rFonts w:hint="eastAsia" w:ascii="宋体" w:hAnsi="宋体" w:eastAsia="宋体" w:cs="宋体"/>
        </w:rPr>
        <w:t xml:space="preserve">。</w:t>
      </w:r>
      <w:r/>
    </w:p>
    <w:p>
      <w:pPr>
        <w:pStyle w:val="788"/>
        <w:ind w:firstLine="480"/>
        <w:jc w:val="both"/>
        <w:spacing w:before="60" w:beforeAutospacing="0" w:after="60" w:afterAutospacing="0" w:line="420" w:lineRule="exact"/>
        <w:rPr>
          <w:rFonts w:hint="eastAsia" w:ascii="宋体" w:hAnsi="宋体" w:eastAsia="宋体" w:cs="宋体"/>
          <w:lang w:bidi="ar"/>
        </w:rPr>
      </w:pPr>
      <w:r>
        <w:rPr>
          <w:rFonts w:hint="eastAsia" w:ascii="宋体" w:hAnsi="宋体" w:eastAsia="宋体" w:cs="宋体"/>
        </w:rPr>
        <w:t xml:space="preserve">4.根据项目需求应制定</w:t>
      </w:r>
      <w:r>
        <w:rPr>
          <w:rFonts w:hint="eastAsia" w:ascii="宋体" w:hAnsi="宋体" w:eastAsia="宋体" w:cs="宋体"/>
          <w:lang w:bidi="ar"/>
        </w:rPr>
        <w:t xml:space="preserve">售后服务方案</w:t>
      </w:r>
      <w:r>
        <w:rPr>
          <w:rFonts w:hint="eastAsia" w:ascii="宋体" w:hAnsi="宋体" w:eastAsia="宋体" w:cs="宋体"/>
        </w:rPr>
        <w:t xml:space="preserve">，内容应当包括但不限于以下内容：</w:t>
      </w:r>
      <w:r>
        <w:rPr>
          <w:rFonts w:hint="eastAsia" w:ascii="宋体" w:hAnsi="宋体" w:eastAsia="宋体" w:cs="宋体"/>
          <w:lang w:bidi="ar"/>
        </w:rPr>
        <w:t xml:space="preserve">1）售后服务计划；2）保修期内每个子系统的备品备件完善情况；3）人员配置；4）障碍修复时间、应急保障等。</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lang w:bidi="ar"/>
        </w:rPr>
        <w:t xml:space="preserve">5.供应商提供</w:t>
      </w:r>
      <w:r>
        <w:rPr>
          <w:rFonts w:hint="eastAsia" w:ascii="宋体" w:hAnsi="宋体" w:eastAsia="宋体" w:cs="宋体"/>
        </w:rPr>
        <w:t xml:space="preserve">运管平台的演示视频</w:t>
      </w:r>
      <w:r>
        <w:rPr>
          <w:rFonts w:hint="eastAsia" w:ascii="宋体" w:hAnsi="宋体" w:eastAsia="宋体" w:cs="宋体"/>
          <w:lang w:val="en-US" w:eastAsia="zh-CN"/>
        </w:rPr>
        <w:t xml:space="preserve">优先</w:t>
      </w:r>
      <w:r>
        <w:rPr>
          <w:rFonts w:hint="eastAsia" w:ascii="宋体" w:hAnsi="宋体" w:eastAsia="宋体" w:cs="宋体"/>
        </w:rPr>
        <w:t xml:space="preserve">。</w:t>
      </w:r>
      <w:r/>
    </w:p>
    <w:p>
      <w:pPr>
        <w:pStyle w:val="788"/>
        <w:ind w:firstLine="482"/>
        <w:jc w:val="both"/>
        <w:spacing w:before="60" w:beforeAutospacing="0" w:after="60" w:afterAutospacing="0" w:line="420" w:lineRule="exact"/>
        <w:rPr>
          <w:rFonts w:hint="eastAsia" w:ascii="宋体" w:hAnsi="宋体" w:eastAsia="宋体" w:cs="宋体"/>
        </w:rPr>
      </w:pPr>
      <w:r>
        <w:rPr>
          <w:rFonts w:hint="eastAsia" w:ascii="宋体" w:hAnsi="宋体" w:eastAsia="宋体" w:cs="宋体"/>
          <w:b/>
          <w:bCs/>
        </w:rPr>
        <w:t xml:space="preserve">五、验收要求及程序</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1.中标方除应为本项目服务相关人员提供必要的劳动保护条件外，还应为其办理作业时的人身安全保险和意外伤害险。一切安全责任事故均由中标供应商负责（保险种类由中标供应商自行选择）。</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2.设备设施等搭建、使用、维护、拆除期间造成的所有人身、财产损失由中标方承担并赔偿所有损失。 </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3.货物到达指定地点后，使用方参与货物清单的清点以及对应的原材料的审核，确认无误后方可进场。竣工验收，项目试运行无误后，方可支付相关款项。</w:t>
      </w:r>
      <w:r/>
    </w:p>
    <w:p>
      <w:pPr>
        <w:pStyle w:val="788"/>
        <w:ind w:firstLine="482"/>
        <w:jc w:val="both"/>
        <w:spacing w:before="60" w:beforeAutospacing="0" w:after="60" w:afterAutospacing="0" w:line="420" w:lineRule="exact"/>
        <w:rPr>
          <w:rFonts w:hint="eastAsia" w:ascii="宋体" w:hAnsi="宋体" w:eastAsia="宋体" w:cs="宋体"/>
          <w:b/>
          <w:bCs/>
        </w:rPr>
      </w:pPr>
      <w:r>
        <w:rPr>
          <w:rFonts w:hint="eastAsia" w:ascii="宋体" w:hAnsi="宋体" w:eastAsia="宋体" w:cs="宋体"/>
          <w:b/>
          <w:bCs/>
        </w:rPr>
        <w:t xml:space="preserve">六、其他要求</w:t>
      </w:r>
      <w:r/>
    </w:p>
    <w:p>
      <w:pPr>
        <w:pStyle w:val="788"/>
        <w:ind w:firstLine="480"/>
        <w:jc w:val="both"/>
        <w:spacing w:before="60" w:beforeAutospacing="0" w:after="60" w:afterAutospacing="0" w:line="420" w:lineRule="exact"/>
        <w:rPr>
          <w:rFonts w:hint="eastAsia" w:ascii="宋体" w:hAnsi="宋体" w:eastAsia="宋体" w:cs="宋体"/>
          <w:b/>
          <w:bCs/>
          <w:i/>
          <w:iCs/>
          <w:u w:val="single"/>
        </w:rPr>
      </w:pPr>
      <w:r>
        <w:rPr>
          <w:rFonts w:hint="eastAsia" w:ascii="宋体" w:hAnsi="宋体" w:eastAsia="宋体" w:cs="宋体"/>
        </w:rPr>
        <w:t xml:space="preserve">1.核心产品：400万双光警戒枪型网络摄像机，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2.免费质保期：三年。(自出具验收合格报告并交付使用之日起算)。乙方应以优良的服务态度，便利、快捷的方式在2小时内响应，12小时内解决使用单位提出的维修要求。</w:t>
      </w:r>
      <w:r/>
    </w:p>
    <w:p>
      <w:pPr>
        <w:pStyle w:val="788"/>
        <w:ind w:firstLine="480"/>
        <w:jc w:val="both"/>
        <w:spacing w:before="60" w:beforeAutospacing="0" w:after="60" w:afterAutospacing="0" w:line="420" w:lineRule="exact"/>
        <w:rPr>
          <w:rFonts w:hint="default" w:ascii="宋体" w:hAnsi="宋体" w:eastAsia="宋体" w:cs="宋体"/>
          <w:lang w:val="en-US" w:eastAsia="zh-CN"/>
        </w:rPr>
      </w:pPr>
      <w:r>
        <w:rPr>
          <w:rFonts w:hint="eastAsia" w:ascii="宋体" w:hAnsi="宋体" w:eastAsia="宋体" w:cs="宋体"/>
        </w:rPr>
        <w:t xml:space="preserve">3.本项目包含</w:t>
      </w:r>
      <w:r>
        <w:rPr>
          <w:rFonts w:hint="eastAsia" w:ascii="宋体" w:hAnsi="宋体" w:eastAsia="宋体" w:cs="宋体"/>
          <w:lang w:val="en-US" w:eastAsia="zh-CN"/>
        </w:rPr>
        <w:t xml:space="preserve">全县</w:t>
      </w:r>
      <w:r>
        <w:rPr>
          <w:rFonts w:hint="eastAsia" w:ascii="宋体" w:hAnsi="宋体" w:eastAsia="宋体" w:cs="宋体"/>
        </w:rPr>
        <w:t xml:space="preserve">66所公办学校和24所民办学校大门口监控接入平台的</w:t>
      </w:r>
      <w:r>
        <w:rPr>
          <w:rFonts w:hint="eastAsia" w:ascii="宋体" w:hAnsi="宋体" w:eastAsia="宋体" w:cs="宋体"/>
          <w:lang w:val="en-US" w:eastAsia="zh-CN"/>
        </w:rPr>
        <w:t xml:space="preserve">线路及</w:t>
      </w:r>
      <w:r>
        <w:rPr>
          <w:rFonts w:hint="eastAsia" w:ascii="宋体" w:hAnsi="宋体" w:eastAsia="宋体" w:cs="宋体"/>
        </w:rPr>
        <w:t xml:space="preserve">调测费用。</w:t>
      </w:r>
      <w:r>
        <w:rPr>
          <w:rFonts w:hint="eastAsia" w:ascii="宋体" w:hAnsi="宋体" w:eastAsia="宋体" w:cs="宋体"/>
          <w:lang w:val="en-US" w:eastAsia="zh-CN"/>
        </w:rPr>
        <w:t xml:space="preserve">通信线路须提供免费调测、7*24小时运维及故障抢修、全程独享、物理隔离，运行稳定可靠，满足项目长期不间断使用需求。中标人须对全县所有校园通信网络进行扩容提升，确保本项目流畅传输，数据安全稳定。</w:t>
      </w:r>
      <w:r/>
    </w:p>
    <w:p>
      <w:pPr>
        <w:pStyle w:val="788"/>
        <w:ind w:firstLine="480"/>
        <w:jc w:val="both"/>
        <w:spacing w:before="60" w:beforeAutospacing="0" w:after="60" w:afterAutospacing="0" w:line="420" w:lineRule="exact"/>
        <w:rPr>
          <w:rFonts w:hint="default" w:ascii="宋体" w:hAnsi="宋体" w:eastAsia="宋体" w:cs="宋体"/>
          <w:lang w:val="en-US" w:eastAsia="zh-CN"/>
        </w:rPr>
      </w:pPr>
      <w:r>
        <w:rPr>
          <w:rFonts w:hint="eastAsia" w:ascii="宋体" w:hAnsi="宋体" w:eastAsia="宋体" w:cs="宋体"/>
          <w:lang w:val="en-US" w:eastAsia="zh-CN"/>
        </w:rPr>
        <w:t xml:space="preserve">4.本项目需预留响水县城市驾驶舱平台全兼容、可开放的对接接口以及配套数据权限，中标人在接口开发、联调测试、技术适配全流程工作中，须和相关建设单位保持无障碍沟通，确保本项目后期能</w:t>
      </w:r>
      <w:bookmarkStart w:id="259" w:name="_GoBack"/>
      <w:r/>
      <w:bookmarkEnd w:id="259"/>
      <w:r>
        <w:rPr>
          <w:rFonts w:hint="eastAsia" w:ascii="宋体" w:hAnsi="宋体" w:eastAsia="宋体" w:cs="宋体"/>
          <w:lang w:val="en-US" w:eastAsia="zh-CN"/>
        </w:rPr>
        <w:t xml:space="preserve">与城市驾驶舱平台实现无缝对接、稳定贯通、数据双向交互，确保数据安全。</w:t>
      </w:r>
      <w:r/>
    </w:p>
    <w:p>
      <w:pPr>
        <w:pStyle w:val="788"/>
        <w:ind w:firstLine="482"/>
        <w:jc w:val="both"/>
        <w:spacing w:before="60" w:beforeAutospacing="0" w:after="60" w:afterAutospacing="0" w:line="420" w:lineRule="exact"/>
        <w:rPr>
          <w:rFonts w:hint="eastAsia" w:ascii="宋体" w:hAnsi="宋体" w:eastAsia="宋体" w:cs="宋体"/>
          <w:b/>
          <w:bCs/>
        </w:rPr>
      </w:pPr>
      <w:r>
        <w:rPr>
          <w:rFonts w:hint="eastAsia" w:ascii="宋体" w:hAnsi="宋体" w:eastAsia="宋体" w:cs="宋体"/>
          <w:b/>
          <w:bCs/>
          <w:lang w:val="en-US" w:eastAsia="zh-CN"/>
        </w:rPr>
        <w:t xml:space="preserve">5</w:t>
      </w:r>
      <w:r>
        <w:rPr>
          <w:rFonts w:hint="eastAsia" w:ascii="宋体" w:hAnsi="宋体" w:eastAsia="宋体" w:cs="宋体"/>
          <w:b/>
          <w:bCs/>
        </w:rPr>
        <w:t xml:space="preserve">.产品要求：为保证产品质量，对于标“▲”的重要参数投标人须提供满足招标文件要求的具备CMA认证测试检测报告彩色扫描件并加盖投标人公章进行佐证。</w:t>
      </w:r>
      <w:r/>
    </w:p>
    <w:p>
      <w:pPr>
        <w:ind w:firstLine="482"/>
        <w:jc w:val="left"/>
        <w:spacing w:before="60" w:after="60" w:line="420" w:lineRule="exact"/>
        <w:widowControl/>
        <w:rPr>
          <w:rFonts w:hint="eastAsia" w:ascii="宋体" w:hAnsi="宋体" w:eastAsia="宋体" w:cs="宋体"/>
          <w:b/>
          <w:bCs/>
          <w:sz w:val="24"/>
        </w:rPr>
      </w:pPr>
      <w:r>
        <w:rPr>
          <w:rFonts w:hint="eastAsia" w:ascii="宋体" w:hAnsi="宋体" w:eastAsia="宋体" w:cs="宋体"/>
          <w:b/>
          <w:bCs/>
          <w:sz w:val="24"/>
        </w:rPr>
        <w:t xml:space="preserve">六、付款方式</w:t>
      </w:r>
      <w:r/>
    </w:p>
    <w:p>
      <w:pPr>
        <w:ind w:firstLine="480"/>
        <w:jc w:val="left"/>
        <w:spacing w:before="60" w:after="60" w:line="420" w:lineRule="exact"/>
        <w:widowControl/>
        <w:rPr>
          <w:rFonts w:hint="eastAsia" w:ascii="宋体" w:hAnsi="宋体" w:eastAsia="宋体" w:cs="宋体"/>
          <w:sz w:val="24"/>
          <w:u w:val="single"/>
        </w:rPr>
      </w:pPr>
      <w:r>
        <w:rPr>
          <w:rFonts w:hint="eastAsia" w:ascii="宋体" w:hAnsi="宋体" w:eastAsia="宋体" w:cs="宋体"/>
          <w:sz w:val="24"/>
          <w:u w:val="single"/>
        </w:rPr>
        <w:t xml:space="preserve">合同签订后付至合同价的30%作为预付款，项目全部完成验收合格交付使用后付至合同价的40%，自验收合格之日起，满一年付至审定价的70%，满二年付至审定价的95%，剩余部分质保期满结清。其中涉及预付款的：合同签订后付至合同价的30%作为预付款（合同签订时，供应商明确表示无需预付款或者主动要求降低预付款比例的由双方另行商定。）</w:t>
      </w:r>
      <w:r/>
    </w:p>
    <w:p>
      <w:pPr>
        <w:ind w:left="-210" w:firstLine="482"/>
        <w:jc w:val="left"/>
        <w:spacing w:line="440" w:lineRule="exact"/>
        <w:widowControl/>
        <w:rPr>
          <w:rFonts w:hint="eastAsia" w:ascii="宋体" w:hAnsi="宋体" w:cs="宋体"/>
          <w:b/>
          <w:bCs/>
          <w:sz w:val="24"/>
        </w:rPr>
      </w:pPr>
      <w:r>
        <w:rPr>
          <w:rFonts w:hint="eastAsia" w:ascii="宋体" w:hAnsi="宋体" w:cs="宋体"/>
          <w:b/>
          <w:bCs/>
          <w:sz w:val="24"/>
        </w:rPr>
        <w:t xml:space="preserve">七、采购标的对应的中小企业划分标准所属行业一览表</w:t>
      </w:r>
      <w:r/>
    </w:p>
    <w:tbl>
      <w:tblPr>
        <w:tblStyle w:val="767"/>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36"/>
        <w:gridCol w:w="4457"/>
        <w:gridCol w:w="3246"/>
      </w:tblGrid>
      <w:tr>
        <w:trPr>
          <w:jc w:val="center"/>
          <w:tblCellSpacing w:w="0" w:type="dxa"/>
          <w:trHeight w:val="462"/>
        </w:trPr>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2609"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2609" w:type="pct"/>
            <w:vAlign w:val="center"/>
            <w:textDirection w:val="lrTb"/>
            <w:noWrap w:val="false"/>
          </w:tcPr>
          <w:p>
            <w:pPr>
              <w:pStyle w:val="788"/>
              <w:jc w:val="center"/>
              <w:spacing w:before="60" w:beforeAutospacing="0" w:after="60" w:afterAutospacing="0" w:line="420" w:lineRule="exact"/>
            </w:pPr>
            <w:r>
              <w:rPr>
                <w:rFonts w:hint="eastAsia"/>
              </w:rPr>
              <w:t xml:space="preserve">响水县教育局校园安防建设项目</w:t>
            </w:r>
            <w:r/>
          </w:p>
        </w:tc>
        <w:tc>
          <w:tcPr>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pStyle w:val="788"/>
              <w:jc w:val="center"/>
              <w:spacing w:before="60" w:beforeAutospacing="0" w:after="60" w:afterAutospacing="0" w:line="420" w:lineRule="exact"/>
            </w:pPr>
            <w:r>
              <w:rPr>
                <w:rFonts w:hint="eastAsia"/>
              </w:rPr>
              <w:t xml:space="preserve">工业</w:t>
            </w:r>
            <w:r/>
          </w:p>
        </w:tc>
      </w:tr>
    </w:tbl>
    <w:p>
      <w:pPr>
        <w:ind w:firstLine="3373"/>
        <w:jc w:val="left"/>
        <w:widowControl/>
        <w:rPr>
          <w:rFonts w:hint="eastAsia" w:ascii="宋体" w:hAnsi="宋体"/>
          <w:b/>
          <w:bCs/>
          <w:sz w:val="28"/>
          <w:szCs w:val="28"/>
          <w:shd w:val="clear" w:color="auto" w:fill="ffffff" w:themeFill="background1"/>
        </w:rPr>
      </w:pPr>
      <w:r>
        <w:rPr>
          <w:rFonts w:ascii="宋体" w:hAnsi="宋体"/>
          <w:b/>
          <w:bCs/>
          <w:sz w:val="28"/>
          <w:szCs w:val="28"/>
          <w:shd w:val="clear" w:color="auto" w:fill="ffffff" w:themeFill="background1"/>
        </w:rPr>
        <w:br w:type="page" w:clear="all"/>
      </w:r>
      <w:r/>
    </w:p>
    <w:p>
      <w:pPr>
        <w:pStyle w:val="788"/>
        <w:jc w:val="center"/>
        <w:spacing w:before="120" w:beforeAutospacing="0" w:after="120" w:afterAutospacing="0" w:line="0" w:lineRule="atLeast"/>
        <w:rPr>
          <w:rFonts w:hint="eastAsia" w:ascii="黑体" w:hAnsi="宋体" w:eastAsia="黑体" w:cs="黑体"/>
          <w:sz w:val="44"/>
          <w:szCs w:val="44"/>
        </w:rPr>
      </w:pPr>
      <w:r/>
      <w:bookmarkStart w:id="201" w:name="_Toc120614281"/>
      <w:r>
        <w:rPr>
          <w:rFonts w:hint="eastAsia" w:ascii="黑体" w:hAnsi="宋体" w:eastAsia="黑体" w:cs="黑体"/>
          <w:sz w:val="44"/>
          <w:szCs w:val="44"/>
        </w:rPr>
        <w:t xml:space="preserve">第五章  评标方法与评标标准</w:t>
      </w:r>
      <w:r/>
    </w:p>
    <w:p>
      <w:pPr>
        <w:pStyle w:val="788"/>
        <w:spacing w:beforeAutospacing="0" w:afterAutospacing="0"/>
      </w:pPr>
      <w:r/>
      <w:r/>
    </w:p>
    <w:p>
      <w:pPr>
        <w:ind w:firstLine="482"/>
        <w:jc w:val="left"/>
        <w:spacing w:before="5" w:after="5" w:line="4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pStyle w:val="950"/>
        <w:spacing w:before="5" w:after="5" w:line="420" w:lineRule="exact"/>
        <w:rPr>
          <w:rFonts w:hint="eastAsia"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88"/>
        <w:ind w:firstLine="482"/>
        <w:spacing w:before="5" w:beforeAutospacing="0" w:after="5" w:afterAutospacing="0" w:line="420" w:lineRule="exact"/>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1、小微型企业价格扣除</w:t>
      </w:r>
      <w:r/>
    </w:p>
    <w:p>
      <w:pPr>
        <w:pStyle w:val="950"/>
        <w:spacing w:before="5" w:after="5" w:line="420" w:lineRule="exact"/>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788"/>
        <w:ind w:firstLine="480"/>
        <w:spacing w:before="5" w:beforeAutospacing="0" w:after="5" w:afterAutospacing="0" w:line="420" w:lineRule="exac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788"/>
        <w:ind w:firstLine="480"/>
        <w:spacing w:before="5" w:beforeAutospacing="0" w:after="5" w:afterAutospacing="0" w:line="420" w:lineRule="exac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7、采购本国产品的支持政策</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（3）本项目政府采购活动中既有本国产品又有非本国产品参与竞争的，依法对本国产品给予价格评审优惠，对本国产品的报价给予20%的价格扣除，用扣除后的价格参与评审。</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（5）投标人需按照招标文件的要求提供《关于符合本国产品标准的声明函》（以下简称《声明函》），如不提供将不享受本国产品价格评审优惠。</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8、严格执行政府采购关于支持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88"/>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三、评标方法与评标标准</w:t>
      </w:r>
      <w:r/>
    </w:p>
    <w:tbl>
      <w:tblPr>
        <w:tblStyle w:val="767"/>
        <w:tblW w:w="0" w:type="auto"/>
        <w:jc w:val="center"/>
        <w:tblLayout w:type="fixed"/>
        <w:tblCellMar>
          <w:left w:w="108" w:type="dxa"/>
          <w:top w:w="0" w:type="dxa"/>
          <w:right w:w="108" w:type="dxa"/>
          <w:bottom w:w="0" w:type="dxa"/>
        </w:tblCellMar>
        <w:tblLook w:val="04A0" w:firstRow="1" w:lastRow="0" w:firstColumn="1" w:lastColumn="0" w:noHBand="0" w:noVBand="1"/>
      </w:tblPr>
      <w:tblGrid>
        <w:gridCol w:w="1354"/>
        <w:gridCol w:w="780"/>
        <w:gridCol w:w="6388"/>
      </w:tblGrid>
      <w:tr>
        <w:trPr>
          <w:jc w:val="center"/>
          <w:trHeight w:val="591"/>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评分标准</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30分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sz w:val="24"/>
                <w:lang w:bidi="ar"/>
              </w:rPr>
              <w:t xml:space="preserve">采用低价优先法计算，即满足招标文件要求且投标价格最低的投标报价为评标基准价，其价格分为满分。</w:t>
            </w:r>
            <w:r/>
          </w:p>
          <w:p>
            <w:pPr>
              <w:jc w:val="left"/>
              <w:rPr>
                <w:rFonts w:hint="eastAsia" w:ascii="宋体" w:hAnsi="宋体" w:eastAsia="宋体" w:cs="宋体"/>
                <w:sz w:val="24"/>
                <w:lang w:bidi="ar"/>
              </w:rPr>
            </w:pPr>
            <w:r>
              <w:rPr>
                <w:rFonts w:hint="eastAsia" w:ascii="宋体" w:hAnsi="宋体" w:eastAsia="宋体" w:cs="宋体"/>
                <w:sz w:val="24"/>
                <w:lang w:bidi="ar"/>
              </w:rPr>
              <w:t xml:space="preserve">其他投标人的价格分统一按照下列公式计算：</w:t>
            </w:r>
            <w:r/>
          </w:p>
          <w:p>
            <w:pPr>
              <w:jc w:val="left"/>
              <w:rPr>
                <w:rFonts w:hint="eastAsia" w:ascii="宋体" w:hAnsi="宋体" w:eastAsia="宋体" w:cs="宋体"/>
                <w:sz w:val="24"/>
                <w:lang w:bidi="ar"/>
              </w:rPr>
            </w:pPr>
            <w:r>
              <w:rPr>
                <w:rFonts w:hint="eastAsia" w:ascii="宋体" w:hAnsi="宋体" w:eastAsia="宋体" w:cs="宋体"/>
                <w:sz w:val="24"/>
                <w:lang w:bidi="ar"/>
              </w:rPr>
              <w:t xml:space="preserve">投标报价得分=(评标基准价／投标报价)×30。</w:t>
            </w:r>
            <w:r/>
          </w:p>
          <w:p>
            <w:pPr>
              <w:jc w:val="left"/>
              <w:rPr>
                <w:rFonts w:hint="eastAsia" w:ascii="宋体" w:hAnsi="宋体" w:eastAsia="宋体" w:cs="宋体"/>
                <w:sz w:val="24"/>
                <w:lang w:bidi="ar"/>
              </w:rPr>
            </w:pPr>
            <w:r>
              <w:rPr>
                <w:rFonts w:hint="eastAsia" w:ascii="宋体" w:hAnsi="宋体" w:eastAsia="宋体" w:cs="宋体"/>
                <w:sz w:val="24"/>
                <w:lang w:bidi="ar"/>
              </w:rPr>
              <w:t xml:space="preserve">投标人投标报价得分按“四舍五入”精确到小数点后两位。</w:t>
            </w:r>
            <w:r/>
          </w:p>
          <w:p>
            <w:pPr>
              <w:jc w:val="left"/>
              <w:rPr>
                <w:rFonts w:hint="eastAsia" w:ascii="宋体" w:hAnsi="宋体" w:eastAsia="宋体" w:cs="宋体"/>
                <w:sz w:val="24"/>
                <w:lang w:bidi="ar"/>
              </w:rPr>
            </w:pPr>
            <w:r>
              <w:rPr>
                <w:rFonts w:hint="eastAsia" w:ascii="宋体" w:hAnsi="宋体" w:eastAsia="宋体" w:cs="宋体"/>
                <w:sz w:val="24"/>
                <w:lang w:bidi="ar"/>
              </w:rPr>
              <w:t xml:space="preserve">本项目对小型和微型企业产品给予20%的扣除价格，用扣除后的价格参与评审。</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产品性能参数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36分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spacing w:before="120" w:after="120" w:line="85" w:lineRule="atLeast"/>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bidi="ar"/>
              </w:rPr>
              <w:t xml:space="preserve">1、对主要设备采购需求中加“▲”技术参数要求的，每提供一项得2分，满分30分。注： 评委凭投标人提供的有效证明文件原件扫描件为考评依据，不提供不得分。</w:t>
            </w:r>
            <w:r/>
          </w:p>
          <w:p>
            <w:pPr>
              <w:jc w:val="left"/>
              <w:rPr>
                <w:rFonts w:hint="eastAsia" w:ascii="宋体" w:hAnsi="宋体" w:eastAsia="宋体" w:cs="宋体"/>
                <w:sz w:val="24"/>
                <w:lang w:bidi="ar"/>
              </w:rPr>
            </w:pPr>
            <w:r>
              <w:rPr>
                <w:rFonts w:hint="eastAsia" w:ascii="宋体" w:hAnsi="宋体" w:eastAsia="宋体" w:cs="宋体"/>
                <w:sz w:val="24"/>
                <w:lang w:bidi="ar"/>
              </w:rPr>
              <w:t xml:space="preserve">2、投标人每提供一个高空监控规划点位照片及经纬度，得1分，最高得6分，未提供不得分。</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投标人综合实力</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4分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投标人具有有效的信息安全管理体系认证证书、信息技术服务管理体系认证证书，每提供一份得2分，未提供的不得分，本项最高得4分。</w:t>
            </w:r>
            <w:r/>
          </w:p>
          <w:p>
            <w:pPr>
              <w:jc w:val="left"/>
              <w:spacing w:before="120" w:after="120" w:line="85" w:lineRule="atLeast"/>
              <w:rPr>
                <w:rFonts w:hint="eastAsia" w:ascii="宋体" w:hAnsi="宋体" w:eastAsia="宋体" w:cs="宋体"/>
                <w:sz w:val="24"/>
              </w:rPr>
            </w:pPr>
            <w:r>
              <w:rPr>
                <w:rFonts w:hint="eastAsia" w:ascii="宋体" w:hAnsi="宋体" w:eastAsia="宋体" w:cs="宋体"/>
                <w:sz w:val="24"/>
                <w:lang w:bidi="ar"/>
              </w:rPr>
              <w:t xml:space="preserve">注：以上资质需提供相关证书复印件并加盖投标人公章。(分公司投标的可提供总公司的资质证书，但需同步提供总公司相关投标授权书)</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技术、实施方案</w:t>
            </w:r>
            <w:r/>
          </w:p>
        </w:tc>
        <w:tc>
          <w:tcPr>
            <w:tcBorders>
              <w:top w:val="single" w:color="000000" w:sz="4" w:space="0"/>
              <w:left w:val="single" w:color="000000" w:sz="4" w:space="0"/>
              <w:right w:val="single" w:color="000000" w:sz="4" w:space="0"/>
            </w:tcBorders>
            <w:tcW w:w="780" w:type="dxa"/>
            <w:vAlign w:val="center"/>
            <w:textDirection w:val="lrTb"/>
            <w:noWrap w:val="false"/>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15分</w:t>
            </w:r>
            <w:r/>
          </w:p>
        </w:tc>
        <w:tc>
          <w:tcPr>
            <w:tcBorders>
              <w:top w:val="single" w:color="000000" w:sz="4" w:space="0"/>
              <w:left w:val="single" w:color="000000" w:sz="4" w:space="0"/>
              <w:right w:val="single" w:color="000000" w:sz="4" w:space="0"/>
            </w:tcBorders>
            <w:tcW w:w="6388" w:type="dxa"/>
            <w:vAlign w:val="center"/>
            <w:textDirection w:val="lrTb"/>
            <w:noWrap w:val="false"/>
          </w:tcPr>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1、投标人提供各系统技术方案包括但不限于：</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1）本项目深度了解及分析及项目系统架构表述；2）产品的性能分析及方案的兼容性可扩展性；3）各系统设备连接，设备分布及布局优化；4）技术力量保障措施；5）项目网络组网方案及网络安全可靠性。</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上述各评分小项，方案内容优于采购需求得6分；方案满足采购需求的，得4分；虽有方案，但方案内容存在缺陷的，得2分；方案不符合招标文件要求的或未提供的不得分</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2、投标人提供完善的项目施工方案包括但不限于：</w:t>
            </w:r>
            <w:r/>
          </w:p>
          <w:p>
            <w:pPr>
              <w:jc w:val="left"/>
              <w:spacing w:before="120" w:after="120" w:line="85" w:lineRule="atLeast"/>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bidi="ar"/>
              </w:rPr>
              <w:t xml:space="preserve">1）施工前准备；2）进度计划；3）实施流程；4）施工安全保障措施；5）项目施工人员保障措施；6）设备质量保障措施；7）施工质量保障；8）文明施工；9）验收方案；10）项目培训大纲等。</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施工方案内容优于采购需求得9分；方案满足采购需求的，得6分；虽有方案，但方案内容存在缺陷的，得3分；未提供的，该项不得分。</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（缺陷是指：存在项目名称错误、地点区域错误、内容与本项目需求无关、方案内容矛盾、仅有框架或标题、适用的标准（方法）错误、明显复制其他项目内容等任意一种情形）</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4分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针对本项目售后服务方案包括但不限于：1）售后服务计划；2）保修期内每个子系统的备品备件完善情况；3）人员配置；4）障碍修复时间、应急保障等。方案内容优于采购需求得2分；方案满足采购需求的，得1分；虽有方案，但方案内容存在缺陷的，得0.5分；未提供的，该项不得分。</w:t>
            </w:r>
            <w:r/>
          </w:p>
          <w:p>
            <w:pP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（缺陷是指：存在项目名称错误、地点区域错误、内容与本项目需求无关、方案内容矛盾、仅有框架或标题、适用的标准（方法）错误、明显复制其他项目内容等任意一种情形）</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2、售后服务承诺函响应：承诺2小时内障碍修复得2分，承诺2小时至4小时内障碍修复得1.5分，4小时至6小时内障碍修复得1分。其余不得分。（以售后服务承诺函内容为准，格式自拟）</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运管平台演示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9分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1、平台需具备强大的设备监管功能，提供多种类型的设备接入纳管，演示包括操作系统、服务器硬件、网络设备、存储设备、安全设备的接入纳管，以及采集到设备的实时数据和历史数据。</w:t>
            </w:r>
            <w:r/>
          </w:p>
          <w:p>
            <w:pPr>
              <w:jc w:val="left"/>
              <w:rPr>
                <w:rFonts w:hint="eastAsia" w:ascii="宋体" w:hAnsi="宋体" w:eastAsia="宋体" w:cs="宋体"/>
                <w:sz w:val="24"/>
              </w:rPr>
            </w:pPr>
            <w:r>
              <w:rPr>
                <w:rFonts w:hint="eastAsia" w:ascii="宋体" w:hAnsi="宋体" w:eastAsia="宋体" w:cs="宋体"/>
                <w:sz w:val="24"/>
              </w:rPr>
              <w:t xml:space="preserve">本项满分3分，演示操作系统纳管、服务器硬件纳管、网络设备纳管、存储设备纳管、安全设备纳管、采集到设备实时数据六个功能点，每个功能点得0.5分，满分3分。</w:t>
            </w:r>
            <w:r/>
          </w:p>
          <w:p>
            <w:pPr>
              <w:jc w:val="left"/>
              <w:rPr>
                <w:rFonts w:hint="eastAsia" w:ascii="宋体" w:hAnsi="宋体" w:eastAsia="宋体" w:cs="宋体"/>
                <w:sz w:val="24"/>
              </w:rPr>
            </w:pPr>
            <w:r>
              <w:rPr>
                <w:rFonts w:hint="eastAsia" w:ascii="宋体" w:hAnsi="宋体" w:eastAsia="宋体" w:cs="宋体"/>
                <w:sz w:val="24"/>
              </w:rPr>
              <w:t xml:space="preserve">2、为便于项目后期运维管理，平台支持运维流程派单，可进行告警自动派单以及人工派单，有效支持事件管理、问题管理、变更管理、发布管理、400报障等运维流程工单，工单流传可上传附件、点评、工单流程可视化。</w:t>
            </w:r>
            <w:r/>
          </w:p>
          <w:p>
            <w:pPr>
              <w:jc w:val="left"/>
              <w:rPr>
                <w:rFonts w:hint="eastAsia" w:ascii="宋体" w:hAnsi="宋体" w:eastAsia="宋体" w:cs="宋体"/>
                <w:sz w:val="24"/>
              </w:rPr>
            </w:pPr>
            <w:r>
              <w:rPr>
                <w:rFonts w:hint="eastAsia" w:ascii="宋体" w:hAnsi="宋体" w:eastAsia="宋体" w:cs="宋体"/>
                <w:sz w:val="24"/>
              </w:rPr>
              <w:t xml:space="preserve">本项满分3分，演示告警自动派单、告警人工派单、事件管理工单、问题管理工单、变更管理工单、发布管理工单六个功能点，每个功能点得0.5分，满分3分。</w:t>
            </w:r>
            <w:r/>
          </w:p>
          <w:p>
            <w:pPr>
              <w:jc w:val="left"/>
              <w:rPr>
                <w:rFonts w:hint="eastAsia" w:ascii="宋体" w:hAnsi="宋体" w:eastAsia="宋体" w:cs="宋体"/>
                <w:sz w:val="24"/>
              </w:rPr>
            </w:pPr>
            <w:r>
              <w:rPr>
                <w:rFonts w:hint="eastAsia" w:ascii="宋体" w:hAnsi="宋体" w:eastAsia="宋体" w:cs="宋体"/>
                <w:sz w:val="24"/>
              </w:rPr>
              <w:t xml:space="preserve">3、平台自动生成运维报告，支持自动化导出运维服务报告，包括业务总体健康概览、平台容量分析、设备运行指标分析、业务自动拨测分析、工单闭环管控分析、告警统计、告警分析等数据。</w:t>
            </w:r>
            <w:r/>
          </w:p>
          <w:p>
            <w:pPr>
              <w:jc w:val="left"/>
              <w:rPr>
                <w:rFonts w:hint="eastAsia" w:ascii="宋体" w:hAnsi="宋体" w:eastAsia="宋体" w:cs="宋体"/>
                <w:sz w:val="24"/>
              </w:rPr>
            </w:pPr>
            <w:r>
              <w:rPr>
                <w:rFonts w:hint="eastAsia" w:ascii="宋体" w:hAnsi="宋体" w:eastAsia="宋体" w:cs="宋体"/>
                <w:sz w:val="24"/>
              </w:rPr>
              <w:t xml:space="preserve">本项满分3分，演示自动化导出运维服务报告，报告内容包括业务总体健康概览、平台容量分析、设备运行指标分析、业务自动拨测分析、工单闭环管控分析、告警分析六项分析数据，每项分析数据得0.5分，满分3分。</w:t>
            </w:r>
            <w:r/>
          </w:p>
          <w:p>
            <w:pPr>
              <w:jc w:val="left"/>
              <w:rPr>
                <w:rFonts w:hint="eastAsia" w:ascii="宋体" w:hAnsi="宋体" w:eastAsia="宋体" w:cs="宋体"/>
                <w:sz w:val="24"/>
              </w:rPr>
            </w:pPr>
            <w:r>
              <w:rPr>
                <w:rFonts w:hint="eastAsia" w:ascii="宋体" w:hAnsi="宋体" w:eastAsia="宋体" w:cs="宋体"/>
                <w:sz w:val="24"/>
              </w:rPr>
              <w:t xml:space="preserve">注：演示视频需进行录屏展示，提供Demo、PPT演示稿或截图等其他方式不得分。</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2分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lang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rPr>
                <w:rFonts w:hint="eastAsia" w:ascii="宋体" w:hAnsi="宋体" w:eastAsia="宋体" w:cs="宋体"/>
                <w:sz w:val="24"/>
                <w:lang w:bidi="ar"/>
              </w:rPr>
              <w:br/>
            </w:r>
            <w:r>
              <w:rPr>
                <w:rFonts w:hint="eastAsia" w:ascii="宋体" w:hAnsi="宋体" w:eastAsia="宋体" w:cs="宋体"/>
                <w:sz w:val="24"/>
                <w:lang w:bidi="ar"/>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jc w:val="left"/>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88"/>
        <w:ind w:firstLine="2200"/>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  投标文件格式 </w:t>
      </w:r>
      <w:r/>
    </w:p>
    <w:p>
      <w:pPr>
        <w:pStyle w:val="788"/>
        <w:ind w:firstLine="2891"/>
        <w:keepNext/>
        <w:spacing w:beforeAutospacing="0" w:afterAutospacing="0"/>
      </w:pPr>
      <w:r/>
      <w:r/>
    </w:p>
    <w:p>
      <w:pPr>
        <w:pStyle w:val="788"/>
        <w:ind w:firstLine="1446"/>
        <w:spacing w:beforeAutospacing="0" w:afterAutospacing="0"/>
      </w:pPr>
      <w:r/>
      <w:bookmarkStart w:id="202" w:name="_Toc49090576"/>
      <w:r/>
      <w:bookmarkEnd w:id="202"/>
      <w:r/>
      <w:bookmarkStart w:id="203" w:name="_Toc120614282"/>
      <w:r/>
      <w:bookmarkEnd w:id="203"/>
      <w:r/>
      <w:bookmarkStart w:id="204" w:name="_Hlt26955039"/>
      <w:r/>
      <w:bookmarkStart w:id="205" w:name="_Toc26554094"/>
      <w:r/>
      <w:bookmarkStart w:id="206" w:name="_Hlt26671244"/>
      <w:r>
        <w:rPr>
          <w:rFonts w:hint="eastAsia" w:ascii="宋体" w:hAnsi="宋体" w:eastAsia="宋体" w:cs="宋体"/>
          <w:b/>
          <w:color w:val="000000"/>
          <w:sz w:val="72"/>
          <w:szCs w:val="72"/>
        </w:rPr>
        <w:t xml:space="preserve">投  标  文  件</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88"/>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88"/>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88"/>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8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88"/>
        <w:ind w:firstLine="2891"/>
        <w:spacing w:beforeAutospacing="0" w:afterAutospacing="0" w:line="0" w:lineRule="atLeast"/>
      </w:pPr>
      <w:r>
        <w:t xml:space="preserve"> </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一、法人或者其他组织的营业执照等证明文件，自然人的身份证明</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二、</w:t>
      </w:r>
      <w:bookmarkStart w:id="207" w:name="_Hlk203119391"/>
      <w:r>
        <w:rPr>
          <w:rFonts w:hint="eastAsia" w:ascii="宋体" w:hAnsi="宋体" w:eastAsia="宋体" w:cs="宋体"/>
          <w:i/>
          <w:u w:val="single"/>
        </w:rPr>
        <w:t xml:space="preserve">2024年度或2025年度的财务状况报告（至少提供资产负债表、利润表、现金流量表，投标人成立不满一年无需提供）</w:t>
      </w:r>
      <w:bookmarkEnd w:id="207"/>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五、参加政府采购活动前 3 年内在经营活动中没有重大违法记录的书面声明</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六、特定资格要求的证明文件</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七、法人授权书</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八、</w:t>
      </w:r>
      <w:bookmarkStart w:id="208" w:name="OLE_LINK100"/>
      <w:r/>
      <w:bookmarkStart w:id="209" w:name="OLE_LINK47"/>
      <w:r>
        <w:rPr>
          <w:rFonts w:hint="eastAsia" w:ascii="宋体" w:hAnsi="宋体" w:eastAsia="宋体" w:cs="宋体"/>
          <w:i/>
          <w:u w:val="single"/>
        </w:rPr>
        <w:t xml:space="preserve">投标函</w:t>
      </w:r>
      <w:bookmarkEnd w:id="208"/>
      <w:r/>
      <w:bookmarkEnd w:id="209"/>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九、中小企业声明函</w:t>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w:t>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十二、</w:t>
      </w:r>
      <w:bookmarkStart w:id="210" w:name="OLE_LINK48"/>
      <w:r>
        <w:rPr>
          <w:rFonts w:hint="eastAsia" w:ascii="宋体" w:hAnsi="宋体" w:eastAsia="宋体" w:cs="宋体"/>
          <w:iCs/>
        </w:rPr>
        <w:t xml:space="preserve">投标分项报价表</w:t>
      </w:r>
      <w:bookmarkEnd w:id="210"/>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十三、</w:t>
      </w:r>
      <w:bookmarkStart w:id="211" w:name="OLE_LINK49"/>
      <w:r>
        <w:rPr>
          <w:rFonts w:hint="eastAsia" w:ascii="宋体" w:hAnsi="宋体" w:eastAsia="宋体" w:cs="宋体"/>
          <w:iCs/>
        </w:rPr>
        <w:t xml:space="preserve">技术需求响应及偏离表</w:t>
      </w:r>
      <w:bookmarkEnd w:id="211"/>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十四、</w:t>
      </w:r>
      <w:bookmarkStart w:id="212" w:name="OLE_LINK27"/>
      <w:r/>
      <w:bookmarkStart w:id="213" w:name="OLE_LINK109"/>
      <w:r>
        <w:rPr>
          <w:rFonts w:hint="eastAsia" w:ascii="宋体" w:hAnsi="宋体" w:eastAsia="宋体" w:cs="宋体"/>
          <w:iCs/>
        </w:rPr>
        <w:t xml:space="preserve">商务需求响应及偏离表</w:t>
      </w:r>
      <w:bookmarkEnd w:id="212"/>
      <w:r/>
      <w:bookmarkEnd w:id="213"/>
      <w:r/>
      <w:r/>
    </w:p>
    <w:p>
      <w:pPr>
        <w:pStyle w:val="788"/>
        <w:ind w:firstLine="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十五、开标一览表</w:t>
      </w:r>
      <w:r/>
    </w:p>
    <w:p>
      <w:pPr>
        <w:pStyle w:val="788"/>
        <w:ind w:firstLine="480"/>
        <w:jc w:val="both"/>
        <w:spacing w:beforeAutospacing="0" w:afterAutospacing="0" w:line="500" w:lineRule="exact"/>
        <w:rPr>
          <w:rFonts w:hint="eastAsia" w:ascii="宋体" w:hAnsi="宋体" w:eastAsia="宋体" w:cs="宋体"/>
          <w:iCs/>
        </w:rPr>
      </w:pPr>
      <w:r/>
      <w:bookmarkStart w:id="214" w:name="_Hlk194934004"/>
      <w:r>
        <w:rPr>
          <w:rFonts w:hint="eastAsia" w:ascii="宋体" w:hAnsi="宋体" w:eastAsia="宋体" w:cs="宋体"/>
          <w:iCs/>
        </w:rPr>
        <w:t xml:space="preserve">十六、</w:t>
      </w:r>
      <w:bookmarkStart w:id="215" w:name="OLE_LINK50"/>
      <w:r>
        <w:rPr>
          <w:rFonts w:hint="eastAsia" w:ascii="宋体" w:hAnsi="宋体" w:eastAsia="宋体" w:cs="宋体"/>
          <w:iCs/>
        </w:rPr>
        <w:t xml:space="preserve">招标</w:t>
      </w:r>
      <w:bookmarkStart w:id="216" w:name="OLE_LINK7"/>
      <w:r>
        <w:rPr>
          <w:rFonts w:hint="eastAsia" w:ascii="宋体" w:hAnsi="宋体" w:eastAsia="宋体" w:cs="宋体"/>
          <w:iCs/>
        </w:rPr>
        <w:t xml:space="preserve">文件中规定要求提供的证明材料和投标人认为需要提供的其他材</w:t>
      </w:r>
      <w:bookmarkEnd w:id="216"/>
      <w:r>
        <w:rPr>
          <w:rFonts w:hint="eastAsia" w:ascii="宋体" w:hAnsi="宋体" w:eastAsia="宋体" w:cs="宋体"/>
          <w:iCs/>
        </w:rPr>
        <w:t xml:space="preserve">料</w:t>
      </w:r>
      <w:bookmarkEnd w:id="215"/>
      <w:r/>
      <w:r/>
    </w:p>
    <w:p>
      <w:pPr>
        <w:pStyle w:val="788"/>
        <w:ind w:firstLine="480"/>
        <w:jc w:val="both"/>
        <w:spacing w:beforeAutospacing="0" w:afterAutospacing="0" w:line="500" w:lineRule="exact"/>
        <w:rPr>
          <w:rFonts w:hint="eastAsia" w:ascii="宋体" w:hAnsi="宋体" w:eastAsia="宋体" w:cs="宋体"/>
          <w:iCs/>
        </w:rPr>
      </w:pPr>
      <w:r/>
      <w:bookmarkStart w:id="217" w:name="OLE_LINK84"/>
      <w:r>
        <w:rPr>
          <w:rFonts w:hint="eastAsia" w:ascii="宋体" w:hAnsi="宋体" w:eastAsia="宋体" w:cs="宋体"/>
          <w:iCs/>
        </w:rPr>
        <w:t xml:space="preserve">十七、</w:t>
      </w:r>
      <w:bookmarkStart w:id="218" w:name="OLE_LINK51"/>
      <w:r>
        <w:rPr>
          <w:rFonts w:hint="eastAsia" w:ascii="宋体" w:hAnsi="宋体" w:eastAsia="宋体" w:cs="宋体"/>
          <w:iCs/>
        </w:rPr>
        <w:t xml:space="preserve">盐城市政府采购事前信用承诺书</w:t>
      </w:r>
      <w:bookmarkEnd w:id="214"/>
      <w:r/>
      <w:bookmarkEnd w:id="217"/>
      <w:r/>
      <w:bookmarkEnd w:id="218"/>
      <w:r/>
      <w:r/>
    </w:p>
    <w:p>
      <w:pPr>
        <w:pStyle w:val="788"/>
        <w:ind w:firstLine="480"/>
        <w:jc w:val="both"/>
        <w:spacing w:beforeAutospacing="0" w:afterAutospacing="0" w:line="500" w:lineRule="exact"/>
        <w:rPr>
          <w:rFonts w:hint="eastAsia" w:ascii="宋体" w:hAnsi="宋体" w:eastAsia="宋体" w:cs="宋体"/>
          <w:iCs/>
        </w:rPr>
      </w:pPr>
      <w:r/>
      <w:bookmarkStart w:id="219" w:name="_Toc120614284"/>
      <w:r/>
      <w:r/>
    </w:p>
    <w:p>
      <w:pPr>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br w:type="page" w:clear="all"/>
      </w:r>
      <w:r/>
    </w:p>
    <w:p>
      <w:pPr>
        <w:pStyle w:val="788"/>
        <w:spacing w:beforeAutospacing="0" w:afterAutospacing="0" w:line="360" w:lineRule="auto"/>
      </w:pPr>
      <w:r>
        <w:rPr>
          <w:rFonts w:hint="eastAsia" w:cs="黑体"/>
          <w:i/>
          <w:sz w:val="32"/>
          <w:szCs w:val="32"/>
          <w:u w:val="single"/>
          <w:shd w:val="clear" w:color="auto" w:fill="ffffff" w:themeFill="background1"/>
        </w:rPr>
        <w:t xml:space="preserve">一、法人或者其他组织的营业执照等证明文件，自然人的身份证明</w:t>
      </w:r>
      <w:r/>
    </w:p>
    <w:p>
      <w:pPr>
        <w:pStyle w:val="788"/>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二、2024年度或2025年度的财务状况报告（至少提供资产负债表、利润表、现金流量表，投标人成立不满一年无需提供）</w:t>
      </w:r>
      <w:r/>
    </w:p>
    <w:p>
      <w:pPr>
        <w:pStyle w:val="788"/>
        <w:rPr>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788"/>
        <w:ind w:firstLine="480"/>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788"/>
        <w:ind w:firstLine="480"/>
        <w:spacing w:line="0" w:lineRule="atLeast"/>
        <w:rPr>
          <w:u w:val="single"/>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eastAsia="宋体"/>
          <w:u w:val="single"/>
          <w:shd w:val="clear" w:color="auto" w:fill="ffffff" w:themeFill="background1"/>
        </w:rPr>
        <w:t xml:space="preserve"> </w:t>
      </w:r>
      <w:r>
        <w:rPr>
          <w:rFonts w:hint="eastAsia"/>
          <w:u w:val="single"/>
          <w:shd w:val="clear" w:color="auto" w:fill="ffffff" w:themeFill="background1"/>
        </w:rPr>
        <w:t xml:space="preserve"> </w:t>
      </w:r>
      <w:r/>
    </w:p>
    <w:p>
      <w:pPr>
        <w:pStyle w:val="788"/>
        <w:ind w:firstLine="480"/>
        <w:spacing w:line="0" w:lineRule="atLeast"/>
        <w:rPr>
          <w:shd w:val="clear" w:color="auto" w:fill="ffffff" w:themeFill="background1"/>
        </w:rPr>
      </w:pP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eastAsia="宋体"/>
          <w:u w:val="single"/>
          <w:shd w:val="clear" w:color="auto" w:fill="ffffff" w:themeFill="background1"/>
        </w:rPr>
        <w:t xml:space="preserve"> </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788"/>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788"/>
        <w:ind w:firstLine="480"/>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788"/>
        <w:rPr>
          <w:shd w:val="clear" w:color="auto" w:fill="ffffff" w:themeFill="background1"/>
        </w:rPr>
      </w:pPr>
      <w:r>
        <w:rPr>
          <w:rFonts w:hint="eastAsia" w:cs="黑体"/>
          <w:i/>
          <w:sz w:val="32"/>
          <w:szCs w:val="32"/>
          <w:u w:val="single"/>
          <w:shd w:val="clear" w:color="auto" w:fill="ffffff" w:themeFill="background1"/>
        </w:rPr>
        <w:t xml:space="preserve">五、参加政府采购活动前 3 年内在经营活动中没有重大违法记录的书面声明</w:t>
      </w:r>
      <w:r/>
    </w:p>
    <w:p>
      <w:pPr>
        <w:pStyle w:val="788"/>
        <w:ind w:firstLine="3092"/>
        <w:spacing w:line="0" w:lineRule="atLeast"/>
        <w:rPr>
          <w:shd w:val="clear" w:color="auto" w:fill="ffffff" w:themeFill="background1"/>
        </w:rPr>
      </w:pPr>
      <w:r>
        <w:rPr>
          <w:rFonts w:hint="eastAsia"/>
          <w:b/>
          <w:sz w:val="44"/>
          <w:szCs w:val="44"/>
          <w:shd w:val="clear" w:color="auto" w:fill="ffffff" w:themeFill="background1"/>
        </w:rPr>
        <w:t xml:space="preserve">声  明</w:t>
      </w:r>
      <w:r/>
    </w:p>
    <w:p>
      <w:pPr>
        <w:pStyle w:val="788"/>
        <w:ind w:firstLine="480"/>
        <w:spacing w:line="0" w:lineRule="atLeast"/>
        <w:rPr>
          <w:shd w:val="clear" w:color="auto" w:fill="ffffff" w:themeFill="background1"/>
        </w:rPr>
      </w:pPr>
      <w:r>
        <w:rPr>
          <w:rFonts w:hint="eastAsia"/>
          <w:shd w:val="clear" w:color="auto" w:fill="ffffff" w:themeFill="background1"/>
        </w:rPr>
        <w:t xml:space="preserve">我单位郑重声明：参加本次政府采购活动前 3 年内，我单位在经营活动中没有因违法经营受到刑事处罚或者责令停产停业、吊销许可证或者执照、较大数额罚款等行政处罚。</w:t>
      </w:r>
      <w:r/>
    </w:p>
    <w:p>
      <w:pPr>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br w:type="page" w:clear="all"/>
      </w:r>
      <w:r/>
    </w:p>
    <w:p>
      <w:pPr>
        <w:pStyle w:val="788"/>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六、特定资格要求的证明文件：</w:t>
      </w:r>
      <w:r/>
    </w:p>
    <w:p>
      <w:pPr>
        <w:pStyle w:val="771"/>
        <w:jc w:val="left"/>
        <w:spacing w:after="0" w:line="360" w:lineRule="auto"/>
        <w:rPr>
          <w:rFonts w:hint="eastAsia" w:ascii="宋体" w:hAnsi="宋体" w:eastAsia="宋体"/>
          <w:sz w:val="32"/>
          <w:szCs w:val="32"/>
          <w:shd w:val="clear" w:color="auto" w:fill="ffffff" w:themeFill="background1"/>
        </w:rPr>
      </w:pPr>
      <w:r>
        <w:rPr>
          <w:rFonts w:hint="eastAsia" w:cs="黑体" w:asciiTheme="minorHAnsi" w:hAnsiTheme="minorHAnsi"/>
          <w:i/>
          <w:sz w:val="32"/>
          <w:szCs w:val="32"/>
          <w:u w:val="single"/>
          <w:shd w:val="clear" w:color="auto" w:fill="ffffff" w:themeFill="background1"/>
        </w:rPr>
        <w:t xml:space="preserve">投标人必须是在中国境内注册，具有中华人民共和国工业和信息化部颁发的中华人民共和国基础电信业务经营许可证的运营商或经过总公司授权的分（支）公司。</w:t>
      </w:r>
      <w:r/>
    </w:p>
    <w:p>
      <w:pPr>
        <w:jc w:val="left"/>
        <w:widowControl/>
        <w:rPr>
          <w:rFonts w:hint="eastAsia" w:ascii="黑体" w:hAnsi="宋体" w:eastAsia="黑体" w:cs="黑体"/>
          <w:i/>
          <w:color w:val="000000"/>
          <w:sz w:val="32"/>
          <w:szCs w:val="32"/>
        </w:rPr>
      </w:pPr>
      <w:r>
        <w:rPr>
          <w:rFonts w:hint="eastAsia" w:ascii="黑体" w:hAnsi="宋体" w:eastAsia="黑体" w:cs="黑体"/>
          <w:i/>
          <w:color w:val="000000"/>
          <w:sz w:val="32"/>
          <w:szCs w:val="32"/>
        </w:rPr>
        <w:br w:type="page" w:clear="all"/>
      </w:r>
      <w:r/>
    </w:p>
    <w:p>
      <w:pPr>
        <w:pStyle w:val="771"/>
        <w:ind w:firstLine="2880"/>
        <w:jc w:val="left"/>
        <w:spacing w:after="0" w:line="360" w:lineRule="auto"/>
      </w:pPr>
      <w:r>
        <w:rPr>
          <w:rFonts w:hint="eastAsia" w:ascii="黑体" w:hAnsi="宋体" w:eastAsia="黑体" w:cs="黑体"/>
          <w:i/>
          <w:color w:val="000000"/>
          <w:sz w:val="32"/>
          <w:szCs w:val="32"/>
          <w:u w:val="single"/>
        </w:rPr>
        <w:t xml:space="preserve">七、</w:t>
      </w:r>
      <w:bookmarkStart w:id="220" w:name="OLE_LINK52"/>
      <w:r>
        <w:rPr>
          <w:rFonts w:hint="eastAsia" w:ascii="黑体" w:hAnsi="宋体" w:eastAsia="黑体" w:cs="黑体"/>
          <w:i/>
          <w:color w:val="000000"/>
          <w:sz w:val="32"/>
          <w:szCs w:val="32"/>
          <w:u w:val="single"/>
        </w:rPr>
        <w:t xml:space="preserve">法人授权书</w:t>
      </w:r>
      <w:r/>
    </w:p>
    <w:p>
      <w:pPr>
        <w:pStyle w:val="788"/>
        <w:ind w:firstLine="480"/>
        <w:spacing w:before="100" w:after="100" w:line="360" w:lineRule="auto"/>
        <w:tabs>
          <w:tab w:val="left" w:pos="360" w:leader="none"/>
        </w:tabs>
        <w:rPr>
          <w:shd w:val="clear" w:color="auto" w:fill="ffffff" w:themeFill="background1"/>
        </w:rPr>
      </w:pPr>
      <w:r/>
      <w:bookmarkStart w:id="221" w:name="_格式3__银行出具的资信证明"/>
      <w:r/>
      <w:bookmarkStart w:id="222" w:name="_Hlt26671380"/>
      <w:r/>
      <w:bookmarkStart w:id="223" w:name="_Hlt26955070"/>
      <w:r>
        <w:rPr>
          <w:shd w:val="clear" w:color="auto" w:fill="ffffff" w:themeFill="background1"/>
        </w:rPr>
        <w:t xml:space="preserve">本授权书声明：____________（投标人名称）授权________________（被授权人的姓名）为我方就</w:t>
      </w:r>
      <w:r>
        <w:rPr>
          <w:rFonts w:hint="eastAsia" w:ascii="宋体" w:hAnsi="宋体" w:eastAsia="宋体"/>
          <w:shd w:val="clear" w:color="auto" w:fill="ffffff" w:themeFill="background1"/>
        </w:rPr>
        <w:t xml:space="preserve">JSZC-</w:t>
      </w:r>
      <w:r>
        <w:rPr>
          <w:rFonts w:hint="eastAsia" w:ascii="宋体" w:hAnsi="宋体" w:eastAsia="宋体"/>
          <w:u w:val="single"/>
          <w:shd w:val="clear" w:color="auto" w:fill="ffffff" w:themeFill="background1"/>
        </w:rPr>
        <w:t xml:space="preserve">    </w:t>
      </w:r>
      <w:r>
        <w:rPr>
          <w:rFonts w:hint="eastAsia" w:ascii="宋体" w:hAnsi="宋体" w:eastAsia="宋体"/>
          <w:u w:val="single"/>
          <w:shd w:val="clear" w:color="auto" w:fill="ffffff" w:themeFill="background1"/>
        </w:rPr>
        <w:tab/>
      </w:r>
      <w:r>
        <w:rPr>
          <w:shd w:val="clear" w:color="auto" w:fill="ffffff" w:themeFill="background1"/>
        </w:rPr>
        <w:t xml:space="preserve">项目采购活动的合法代理人，以本单位名义全权处理一切与该项目采购有关的事务。</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本授权书于______年____月____日起生效，特此声明。</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（加盖CA电子公章）</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bookmarkEnd w:id="220"/>
      <w:r/>
      <w:r/>
    </w:p>
    <w:p>
      <w:pPr>
        <w:rPr>
          <w:rFonts w:cs="黑体"/>
          <w:b/>
          <w:sz w:val="32"/>
          <w:szCs w:val="32"/>
          <w:shd w:val="clear" w:color="auto" w:fill="ffffff" w:themeFill="background1"/>
        </w:rPr>
      </w:pPr>
      <w:r>
        <w:rPr>
          <w:rFonts w:hint="eastAsia" w:cs="黑体"/>
          <w:b/>
          <w:sz w:val="32"/>
          <w:szCs w:val="32"/>
          <w:shd w:val="clear" w:color="auto" w:fill="ffffff" w:themeFill="background1"/>
        </w:rPr>
        <w:br w:type="page" w:clear="all"/>
      </w:r>
      <w:r/>
    </w:p>
    <w:p>
      <w:pPr>
        <w:pStyle w:val="771"/>
        <w:ind w:firstLine="2880"/>
        <w:jc w:val="left"/>
        <w:spacing w:after="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w:t>
      </w:r>
      <w:bookmarkStart w:id="224" w:name="OLE_LINK53"/>
      <w:r/>
      <w:bookmarkStart w:id="225" w:name="OLE_LINK112"/>
      <w:r/>
      <w:bookmarkStart w:id="226" w:name="OLE_LINK101"/>
      <w:r>
        <w:rPr>
          <w:rFonts w:hint="eastAsia" w:ascii="黑体" w:hAnsi="宋体" w:eastAsia="黑体" w:cs="黑体"/>
          <w:i/>
          <w:color w:val="000000"/>
          <w:sz w:val="32"/>
          <w:szCs w:val="32"/>
          <w:u w:val="single"/>
        </w:rPr>
        <w:t xml:space="preserve">投标函</w:t>
      </w:r>
      <w:r/>
    </w:p>
    <w:p>
      <w:pPr>
        <w:pStyle w:val="788"/>
        <w:spacing w:beforeAutospacing="0" w:afterAutospacing="0" w:line="360" w:lineRule="auto"/>
        <w:rPr>
          <w:rFonts w:eastAsia="宋体"/>
          <w:shd w:val="clear" w:color="auto" w:fill="ffffff" w:themeFill="background1"/>
        </w:rPr>
      </w:pPr>
      <w:r>
        <w:rPr>
          <w:rFonts w:hint="eastAsia"/>
          <w:shd w:val="clear" w:color="auto" w:fill="ffffff" w:themeFill="background1"/>
        </w:rPr>
        <w:t xml:space="preserve">致：</w:t>
      </w:r>
      <w:r>
        <w:rPr>
          <w:rFonts w:hint="eastAsia" w:eastAsia="宋体"/>
          <w:shd w:val="clear" w:color="auto" w:fill="ffffff" w:themeFill="background1"/>
        </w:rPr>
        <w:t xml:space="preserve">盐城文力项目管理有限公司/响水县教育局</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eastAsia="宋体"/>
          <w:shd w:val="clear" w:color="auto" w:fill="ffffff" w:themeFill="background1"/>
        </w:rPr>
        <w:t xml:space="preserve">JSZC-</w:t>
      </w:r>
      <w:r>
        <w:rPr>
          <w:rFonts w:hint="eastAsia" w:eastAsia="宋体"/>
          <w:u w:val="single"/>
          <w:shd w:val="clear" w:color="auto" w:fill="ffffff" w:themeFill="background1"/>
        </w:rPr>
        <w:t xml:space="preserve">      </w:t>
      </w:r>
      <w:r>
        <w:rPr>
          <w:rFonts w:hint="eastAsia"/>
          <w:u w:val="single"/>
          <w:shd w:val="clear" w:color="auto" w:fill="ffffff" w:themeFill="background1"/>
        </w:rPr>
        <w:tab/>
      </w:r>
      <w:r>
        <w:rPr>
          <w:rFonts w:hint="eastAsia"/>
          <w:shd w:val="clear" w:color="auto" w:fill="ffffff" w:themeFill="background1"/>
        </w:rPr>
        <w:t xml:space="preserve">号招标文件，正式授权下述签字人______(姓名)代表我方______________（投标人的名称），全权处理本次项目投标的有关事宜。</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据此函，__________签字人兹宣布同意如下：</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1.按招标文件规定的各项要求，向买方提供所需货物（包含与货物相关的服务）。</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2.我们完全理解贵方不一定将合同授予最低报价的投标人。</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3.我们已详细审核全部招标文件及其有效补充文件，我们知道必须放弃提出含糊不清或误解问题的权利。</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4.我们同意从规定的开标日期起遵循本投标文件，并在规定的投标有效期期满之前均具有约束力（投标有效期：开标之日后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九十（90）天</w:t>
      </w:r>
      <w:r>
        <w:rPr>
          <w:rFonts w:hint="eastAsia"/>
          <w:shd w:val="clear" w:color="auto" w:fill="ffffff" w:themeFill="background1"/>
        </w:rPr>
        <w:t xml:space="preserve">）。</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5.同意向贵方提供贵方可能另外要求的与投标有关的任何证据或资料，并保证我方已提供和将要提供的文件是真实的、准确的。</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6.一旦我方中标,我方将根据招标文件的规定，严格履行合同的责任和义务,并保证在招标文件规定的时间完成项目，交付买方验收、使用。</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7.与本投标有关的正式通讯地址为：</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地          址：</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邮          编：</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电          话：</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传          真：</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账          号： </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日          期：____年____月____日</w:t>
      </w:r>
      <w:bookmarkEnd w:id="224"/>
      <w:r/>
      <w:r/>
    </w:p>
    <w:p>
      <w:pPr>
        <w:pStyle w:val="788"/>
        <w:ind w:firstLine="2891"/>
        <w:spacing w:beforeAutospacing="0" w:afterAutospacing="0" w:line="0" w:lineRule="atLeast"/>
      </w:pPr>
      <w:r/>
      <w:bookmarkEnd w:id="225"/>
      <w:r/>
      <w:r/>
    </w:p>
    <w:p>
      <w:pPr>
        <w:pStyle w:val="788"/>
        <w:ind w:firstLine="2891"/>
        <w:spacing w:beforeAutospacing="0" w:afterAutospacing="0" w:line="0" w:lineRule="atLeast"/>
      </w:pPr>
      <w:r/>
      <w:r/>
    </w:p>
    <w:p>
      <w:pPr>
        <w:pStyle w:val="788"/>
        <w:ind w:firstLine="2891"/>
        <w:spacing w:beforeAutospacing="0" w:afterAutospacing="0" w:line="0" w:lineRule="atLeast"/>
      </w:pPr>
      <w:r/>
      <w:r/>
    </w:p>
    <w:p>
      <w:pPr>
        <w:pStyle w:val="788"/>
        <w:ind w:firstLine="2891"/>
        <w:spacing w:beforeAutospacing="0" w:afterAutospacing="0" w:line="0" w:lineRule="atLeast"/>
      </w:pPr>
      <w:r/>
      <w:r/>
    </w:p>
    <w:p>
      <w:pPr>
        <w:pStyle w:val="788"/>
        <w:ind w:firstLine="2891"/>
        <w:spacing w:beforeAutospacing="0" w:afterAutospacing="0" w:line="0" w:lineRule="atLeast"/>
      </w:pPr>
      <w:r/>
      <w:bookmarkEnd w:id="226"/>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88"/>
        <w:ind w:firstLine="2249"/>
        <w:spacing w:beforeAutospacing="0" w:afterAutospacing="0" w:line="0" w:lineRule="atLeast"/>
      </w:pPr>
      <w:r>
        <w:rPr>
          <w:rFonts w:hint="eastAsia" w:ascii="黑体" w:hAnsi="宋体" w:eastAsia="黑体" w:cs="黑体"/>
          <w:b/>
          <w:sz w:val="32"/>
          <w:szCs w:val="32"/>
        </w:rPr>
        <w:t xml:space="preserve">九、</w:t>
      </w:r>
      <w:bookmarkStart w:id="227" w:name="OLE_LINK113"/>
      <w:r/>
      <w:bookmarkStart w:id="228" w:name="OLE_LINK54"/>
      <w:r/>
      <w:bookmarkStart w:id="229" w:name="OLE_LINK102"/>
      <w:r>
        <w:rPr>
          <w:rFonts w:hint="eastAsia" w:ascii="黑体" w:hAnsi="宋体" w:eastAsia="黑体" w:cs="黑体"/>
          <w:b/>
          <w:sz w:val="32"/>
          <w:szCs w:val="32"/>
        </w:rPr>
        <w:t xml:space="preserve">中小企业声明函（货物）</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771"/>
        <w:ind w:firstLine="600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771"/>
        <w:ind w:firstLine="2891"/>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788"/>
        <w:ind w:right="480" w:firstLine="2891"/>
        <w:spacing w:beforeAutospacing="0" w:afterAutospacing="0" w:line="360" w:lineRule="auto"/>
        <w:rPr>
          <w:rFonts w:hint="eastAsia" w:ascii="宋体" w:hAnsi="宋体" w:eastAsia="宋体"/>
          <w:bCs/>
        </w:rPr>
      </w:pPr>
      <w:r>
        <w:rPr>
          <w:rFonts w:hint="eastAsia" w:ascii="宋体" w:hAnsi="宋体" w:eastAsia="宋体" w:cs="宋体"/>
          <w:bCs/>
        </w:rPr>
        <w:t xml:space="preserve">日 期：</w:t>
      </w:r>
      <w:r/>
    </w:p>
    <w:p>
      <w:pPr>
        <w:pStyle w:val="788"/>
        <w:ind w:firstLine="2891"/>
        <w:spacing w:beforeAutospacing="0" w:afterAutospacing="0" w:line="360" w:lineRule="auto"/>
      </w:pPr>
      <w:r>
        <w:t xml:space="preserve"> </w:t>
      </w:r>
      <w:r/>
    </w:p>
    <w:p>
      <w:pPr>
        <w:pStyle w:val="788"/>
        <w:spacing w:beforeAutospacing="0" w:afterAutospacing="0" w:line="360" w:lineRule="auto"/>
      </w:pPr>
      <w:r>
        <w:rPr>
          <w:rFonts w:hint="eastAsia" w:ascii="宋体" w:hAnsi="宋体" w:eastAsia="宋体" w:cs="宋体"/>
        </w:rPr>
        <w:t xml:space="preserve">备注1：从业人员、营业收入、资产总额填报上一年度数据，无上一年度数据的新成立企业可不填报。</w:t>
      </w:r>
      <w:r/>
    </w:p>
    <w:p>
      <w:pPr>
        <w:pStyle w:val="788"/>
        <w:spacing w:beforeAutospacing="0" w:afterAutospacing="0" w:line="360" w:lineRule="auto"/>
      </w:pPr>
      <w:r>
        <w:rPr>
          <w:rFonts w:hint="eastAsia" w:ascii="宋体" w:hAnsi="宋体" w:eastAsia="宋体" w:cs="宋体"/>
          <w:b/>
          <w:bCs/>
        </w:rPr>
        <w:t xml:space="preserve">备注2：供应商如不提供此声明函，价格将不做相应扣除（如项目全面面向中小企业，则资格审查不通过）。</w:t>
      </w:r>
      <w:r/>
    </w:p>
    <w:p>
      <w:pPr>
        <w:pStyle w:val="788"/>
        <w:ind w:firstLine="2570"/>
        <w:spacing w:beforeAutospacing="0" w:afterAutospacing="0" w:line="0" w:lineRule="atLeast"/>
      </w:pPr>
      <w:r>
        <w:rPr>
          <w:rFonts w:hint="eastAsia" w:ascii="黑体" w:hAnsi="宋体" w:eastAsia="黑体" w:cs="黑体"/>
          <w:b/>
          <w:sz w:val="32"/>
          <w:szCs w:val="32"/>
        </w:rPr>
        <w:br w:type="page" w:clear="all"/>
      </w:r>
      <w:bookmarkEnd w:id="227"/>
      <w:r>
        <w:rPr>
          <w:rFonts w:hint="eastAsia" w:ascii="黑体" w:hAnsi="宋体" w:eastAsia="黑体" w:cs="黑体"/>
          <w:b/>
          <w:color w:val="000000"/>
          <w:sz w:val="32"/>
          <w:szCs w:val="32"/>
        </w:rPr>
        <w:t xml:space="preserve">十、</w:t>
      </w:r>
      <w:bookmarkStart w:id="230" w:name="OLE_LINK114"/>
      <w:r>
        <w:rPr>
          <w:rFonts w:hint="eastAsia" w:ascii="黑体" w:hAnsi="宋体" w:eastAsia="黑体" w:cs="黑体"/>
          <w:b/>
          <w:color w:val="000000"/>
          <w:sz w:val="32"/>
          <w:szCs w:val="32"/>
        </w:rPr>
        <w:t xml:space="preserve">残疾人福利性单位声明函</w:t>
      </w:r>
      <w:r/>
    </w:p>
    <w:p>
      <w:pPr>
        <w:pStyle w:val="788"/>
        <w:ind w:firstLine="480"/>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88"/>
        <w:ind w:firstLine="480"/>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788"/>
        <w:ind w:firstLine="2891"/>
        <w:spacing w:beforeAutospacing="0" w:afterAutospacing="0" w:line="360" w:lineRule="auto"/>
      </w:pPr>
      <w:r>
        <w:t xml:space="preserve"> </w:t>
      </w:r>
      <w:r/>
    </w:p>
    <w:p>
      <w:pPr>
        <w:pStyle w:val="788"/>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备注中标供应商为残疾人福利单位的，此声明函将随中标结果同时公告，接受社会监督</w:t>
      </w:r>
      <w:r/>
    </w:p>
    <w:p>
      <w:pPr>
        <w:pStyle w:val="788"/>
        <w:ind w:firstLine="2891"/>
        <w:spacing w:beforeAutospacing="0" w:afterAutospacing="0" w:line="360" w:lineRule="auto"/>
      </w:pPr>
      <w:r>
        <w:t xml:space="preserve"> </w:t>
      </w:r>
      <w:r/>
    </w:p>
    <w:p>
      <w:pPr>
        <w:pStyle w:val="788"/>
        <w:ind w:right="1560"/>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eastAsia="宋体" w:cs="宋体"/>
          <w:color w:val="000000"/>
        </w:rPr>
      </w:r>
      <w:r/>
    </w:p>
    <w:p>
      <w:pPr>
        <w:pStyle w:val="788"/>
        <w:ind w:right="1560"/>
        <w:jc w:val="right"/>
        <w:spacing w:beforeAutospacing="0" w:afterAutospacing="0" w:line="360" w:lineRule="auto"/>
        <w:tabs>
          <w:tab w:val="left" w:pos="4864" w:leader="none"/>
        </w:tabs>
      </w:pPr>
      <w:r>
        <w:rPr>
          <w:rFonts w:hint="eastAsia" w:ascii="宋体" w:hAnsi="宋体" w:eastAsia="宋体" w:cs="宋体"/>
          <w:color w:val="000000"/>
        </w:rPr>
        <w:t xml:space="preserve">供应商全称（加盖CA电子公章）：</w:t>
      </w:r>
      <w:r/>
    </w:p>
    <w:p>
      <w:pPr>
        <w:pStyle w:val="788"/>
        <w:ind w:right="1560"/>
        <w:jc w:val="right"/>
        <w:spacing w:beforeAutospacing="0" w:afterAutospacing="0" w:line="360" w:lineRule="auto"/>
        <w:tabs>
          <w:tab w:val="left" w:pos="4864" w:leader="none"/>
        </w:tabs>
      </w:pPr>
      <w:r>
        <w:rPr>
          <w:rFonts w:hint="eastAsia" w:ascii="宋体" w:hAnsi="宋体" w:eastAsia="宋体" w:cs="宋体"/>
          <w:color w:val="000000"/>
        </w:rPr>
        <w:t xml:space="preserve">日  期：</w:t>
      </w:r>
      <w:r/>
    </w:p>
    <w:p>
      <w:pPr>
        <w:pStyle w:val="788"/>
        <w:ind w:firstLine="2891"/>
        <w:spacing w:beforeAutospacing="0" w:afterAutospacing="0" w:line="0" w:lineRule="atLeast"/>
      </w:pPr>
      <w:r>
        <w:t xml:space="preserve"> </w:t>
      </w:r>
      <w:bookmarkEnd w:id="228"/>
      <w:r/>
      <w:bookmarkEnd w:id="230"/>
      <w:r/>
      <w:bookmarkEnd w:id="229"/>
      <w:r/>
      <w:r/>
    </w:p>
    <w:p>
      <w:pPr>
        <w:rPr>
          <w:rFonts w:hint="eastAsia" w:ascii="黑体" w:hAnsi="宋体" w:eastAsia="黑体" w:cs="黑体"/>
          <w:b/>
          <w:color w:val="000000"/>
          <w:sz w:val="32"/>
          <w:szCs w:val="32"/>
        </w:rPr>
      </w:pPr>
      <w:r/>
      <w:bookmarkStart w:id="231" w:name="OLE_LINK12"/>
      <w:r>
        <w:rPr>
          <w:rFonts w:hint="eastAsia" w:ascii="黑体" w:hAnsi="宋体" w:eastAsia="黑体" w:cs="黑体"/>
          <w:b/>
          <w:color w:val="000000"/>
          <w:sz w:val="32"/>
          <w:szCs w:val="32"/>
        </w:rPr>
        <w:br w:type="page" w:clear="all"/>
      </w:r>
      <w:r/>
    </w:p>
    <w:p>
      <w:pPr>
        <w:pStyle w:val="788"/>
        <w:ind w:firstLine="1285"/>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十一、关于符合本国产品标准的声明</w:t>
      </w:r>
      <w:bookmarkEnd w:id="231"/>
      <w:r>
        <w:rPr>
          <w:rFonts w:hint="eastAsia" w:ascii="黑体" w:hAnsi="宋体" w:eastAsia="黑体" w:cs="黑体"/>
          <w:b/>
          <w:color w:val="000000"/>
          <w:sz w:val="32"/>
          <w:szCs w:val="32"/>
        </w:rPr>
        <w:t xml:space="preserve">函</w:t>
      </w:r>
      <w:r/>
    </w:p>
    <w:p>
      <w:pPr>
        <w:pStyle w:val="788"/>
        <w:ind w:firstLine="2570"/>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ind w:firstLine="420"/>
        <w:spacing w:line="360" w:lineRule="auto"/>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firstLine="420"/>
        <w:spacing w:before="30" w:after="30" w:line="360" w:lineRule="auto"/>
        <w:rPr>
          <w:rFonts w:hint="eastAsia" w:ascii="宋体" w:hAnsi="宋体" w:eastAsia="宋体" w:cs="方正魏碑_GBK"/>
          <w:sz w:val="24"/>
        </w:rP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rPr>
          <w:rFonts w:ascii="宋体" w:hAnsi="宋体" w:eastAsia="宋体" w:cs="宋体"/>
          <w:b/>
          <w:bCs/>
          <w:sz w:val="24"/>
          <w:shd w:val="clear" w:color="auto" w:fill="ffffff"/>
        </w:rPr>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ind w:right="1560" w:firstLine="904"/>
        <w:jc w:val="left"/>
        <w:spacing w:beforeAutospacing="1" w:afterAutospacing="1" w:line="360" w:lineRule="auto"/>
        <w:tabs>
          <w:tab w:val="left" w:pos="4864" w:leader="none"/>
        </w:tabs>
        <w:rPr>
          <w:rFonts w:cs="Times New Roman"/>
          <w:sz w:val="24"/>
        </w:rPr>
      </w:pPr>
      <w:r>
        <w:rPr>
          <w:rFonts w:hint="eastAsia" w:ascii="宋体" w:hAnsi="宋体" w:eastAsia="宋体" w:cs="Times New Roman"/>
          <w:spacing w:val="6"/>
          <w:sz w:val="24"/>
        </w:rPr>
        <w:t xml:space="preserve">           </w:t>
      </w:r>
      <w:r>
        <w:rPr>
          <w:rFonts w:hint="eastAsia" w:ascii="宋体" w:hAnsi="宋体" w:eastAsia="宋体" w:cs="Times New Roman"/>
          <w:sz w:val="24"/>
        </w:rPr>
        <w:t xml:space="preserve">        </w:t>
      </w:r>
      <w:r>
        <w:rPr>
          <w:rFonts w:hint="eastAsia" w:ascii="宋体" w:hAnsi="宋体" w:eastAsia="宋体" w:cs="宋体"/>
          <w:color w:val="000000"/>
          <w:sz w:val="24"/>
        </w:rPr>
        <w:t xml:space="preserve">公司（单位）名称（盖章）：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4" w:after="4" w:line="400" w:lineRule="exact"/>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4" w:after="4" w:line="400" w:lineRule="exact"/>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w:t>
      </w:r>
      <w:r>
        <w:rPr>
          <w:rFonts w:ascii="SimSun" w:hAnsi="SimSun" w:eastAsia="SimSun" w:cs="SimSun"/>
          <w:color w:val="000000"/>
          <w:sz w:val="24"/>
          <w:highlight w:val="white"/>
        </w:rPr>
        <w:t xml:space="preserve">《声明函》中标注“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rPr>
          <w:rFonts w:hint="eastAsia" w:ascii="宋体" w:hAnsi="宋体" w:eastAsia="宋体" w:cs="方正魏碑_GBK"/>
          <w:sz w:val="24"/>
          <w:shd w:val="clear" w:color="auto" w:fill="ffffff"/>
        </w:rPr>
        <w:t xml:space="preserve">。</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88"/>
        <w:ind w:firstLine="2570"/>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十二、</w:t>
      </w:r>
      <w:bookmarkStart w:id="232" w:name="OLE_LINK55"/>
      <w:r/>
      <w:bookmarkStart w:id="233" w:name="OLE_LINK103"/>
      <w:r>
        <w:rPr>
          <w:rFonts w:hint="eastAsia" w:ascii="黑体" w:hAnsi="宋体" w:eastAsia="黑体" w:cs="黑体"/>
          <w:b/>
          <w:color w:val="000000"/>
          <w:sz w:val="32"/>
          <w:szCs w:val="32"/>
        </w:rPr>
        <w:t xml:space="preserve">投标分项报价表</w:t>
      </w:r>
      <w:r/>
    </w:p>
    <w:p>
      <w:pPr>
        <w:jc w:val="left"/>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Style w:val="767"/>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序号</w:t>
            </w:r>
            <w:r/>
          </w:p>
        </w:tc>
        <w:tc>
          <w:tcPr>
            <w:tcW w:w="9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1</w:t>
            </w:r>
            <w:r/>
          </w:p>
        </w:tc>
        <w:tc>
          <w:tcPr>
            <w:tcW w:w="905"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2</w:t>
            </w:r>
            <w:r/>
          </w:p>
        </w:tc>
        <w:tc>
          <w:tcPr>
            <w:tcW w:w="129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3</w:t>
            </w:r>
            <w:r/>
          </w:p>
        </w:tc>
        <w:tc>
          <w:tcPr>
            <w:tcW w:w="7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4</w:t>
            </w:r>
            <w:r/>
          </w:p>
        </w:tc>
        <w:tc>
          <w:tcPr>
            <w:tcW w:w="91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5</w:t>
            </w:r>
            <w:r/>
          </w:p>
        </w:tc>
        <w:tc>
          <w:tcPr>
            <w:tcW w:w="6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6</w:t>
            </w:r>
            <w:r/>
          </w:p>
        </w:tc>
        <w:tc>
          <w:tcPr>
            <w:tcW w:w="126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7</w:t>
            </w:r>
            <w:r/>
          </w:p>
        </w:tc>
        <w:tc>
          <w:tcPr>
            <w:tcW w:w="115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1</w:t>
            </w:r>
            <w:r/>
          </w:p>
        </w:tc>
        <w:tc>
          <w:tcPr>
            <w:tcW w:w="9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产品</w:t>
            </w:r>
            <w:r/>
          </w:p>
          <w:p>
            <w:pPr>
              <w:pStyle w:val="788"/>
              <w:jc w:val="center"/>
              <w:spacing w:beforeAutospacing="0" w:afterAutospacing="0" w:line="0" w:lineRule="atLeast"/>
            </w:pPr>
            <w:r>
              <w:rPr>
                <w:rFonts w:hint="eastAsia" w:ascii="宋体" w:hAnsi="宋体" w:eastAsia="宋体" w:cs="宋体"/>
                <w:color w:val="000000"/>
              </w:rPr>
              <w:t xml:space="preserve">名称</w:t>
            </w:r>
            <w:r/>
          </w:p>
        </w:tc>
        <w:tc>
          <w:tcPr>
            <w:tcW w:w="905"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品牌</w:t>
            </w:r>
            <w:r/>
          </w:p>
        </w:tc>
        <w:tc>
          <w:tcPr>
            <w:tcW w:w="129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规格</w:t>
            </w:r>
            <w:r/>
          </w:p>
          <w:p>
            <w:pPr>
              <w:pStyle w:val="788"/>
              <w:jc w:val="center"/>
              <w:spacing w:beforeAutospacing="0" w:afterAutospacing="0" w:line="0" w:lineRule="atLeast"/>
            </w:pPr>
            <w:r>
              <w:rPr>
                <w:rFonts w:hint="eastAsia" w:ascii="宋体" w:hAnsi="宋体" w:eastAsia="宋体" w:cs="宋体"/>
                <w:color w:val="000000"/>
              </w:rPr>
              <w:t xml:space="preserve">型号</w:t>
            </w:r>
            <w:r/>
          </w:p>
        </w:tc>
        <w:tc>
          <w:tcPr>
            <w:tcW w:w="7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产地</w:t>
            </w:r>
            <w:r/>
          </w:p>
        </w:tc>
        <w:tc>
          <w:tcPr>
            <w:tcW w:w="91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交付期</w:t>
            </w:r>
            <w:r/>
          </w:p>
        </w:tc>
        <w:tc>
          <w:tcPr>
            <w:tcW w:w="6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数量</w:t>
            </w:r>
            <w:r/>
          </w:p>
        </w:tc>
        <w:tc>
          <w:tcPr>
            <w:tcW w:w="126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分项单价</w:t>
            </w:r>
            <w:r/>
          </w:p>
        </w:tc>
        <w:tc>
          <w:tcPr>
            <w:tcW w:w="115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2</w:t>
            </w:r>
            <w:r/>
          </w:p>
        </w:tc>
        <w:tc>
          <w:tcPr>
            <w:tcW w:w="996" w:type="dxa"/>
            <w:vAlign w:val="center"/>
            <w:textDirection w:val="lrTb"/>
            <w:noWrap w:val="false"/>
          </w:tcPr>
          <w:p>
            <w:pPr>
              <w:pStyle w:val="788"/>
              <w:jc w:val="both"/>
              <w:spacing w:beforeAutospacing="0" w:afterAutospacing="0" w:line="0" w:lineRule="atLeast"/>
            </w:pPr>
            <w:r>
              <w:t xml:space="preserve"> </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3</w:t>
            </w:r>
            <w:r/>
          </w:p>
        </w:tc>
        <w:tc>
          <w:tcPr>
            <w:tcW w:w="996" w:type="dxa"/>
            <w:vAlign w:val="center"/>
            <w:textDirection w:val="lrTb"/>
            <w:noWrap w:val="false"/>
          </w:tcPr>
          <w:p>
            <w:pPr>
              <w:pStyle w:val="788"/>
              <w:jc w:val="both"/>
              <w:spacing w:beforeAutospacing="0" w:afterAutospacing="0" w:line="0" w:lineRule="atLeast"/>
            </w:pPr>
            <w:r>
              <w:t xml:space="preserve"> </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4</w:t>
            </w:r>
            <w:r/>
          </w:p>
        </w:tc>
        <w:tc>
          <w:tcPr>
            <w:tcW w:w="996" w:type="dxa"/>
            <w:vAlign w:val="center"/>
            <w:textDirection w:val="lrTb"/>
            <w:noWrap w:val="false"/>
          </w:tcPr>
          <w:p>
            <w:pPr>
              <w:pStyle w:val="788"/>
              <w:jc w:val="both"/>
              <w:spacing w:beforeAutospacing="0" w:afterAutospacing="0" w:line="0" w:lineRule="atLeast"/>
            </w:pPr>
            <w:r>
              <w:t xml:space="preserve"> </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w:t>
            </w:r>
            <w:r/>
          </w:p>
        </w:tc>
        <w:tc>
          <w:tcPr>
            <w:tcW w:w="996" w:type="dxa"/>
            <w:vAlign w:val="center"/>
            <w:textDirection w:val="lrTb"/>
            <w:noWrap w:val="false"/>
          </w:tcPr>
          <w:p>
            <w:pPr>
              <w:pStyle w:val="788"/>
              <w:jc w:val="both"/>
              <w:spacing w:beforeAutospacing="0" w:afterAutospacing="0" w:line="0" w:lineRule="atLeast"/>
            </w:pPr>
            <w:r>
              <w:rPr>
                <w:rFonts w:hint="eastAsia" w:ascii="宋体" w:hAnsi="宋体" w:eastAsia="宋体" w:cs="宋体"/>
                <w:color w:val="000000"/>
              </w:rPr>
              <w:t xml:space="preserve">……</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投标总报价（人民币：元）</w:t>
            </w:r>
            <w:r/>
          </w:p>
        </w:tc>
        <w:tc>
          <w:tcPr>
            <w:tcW w:w="1151" w:type="dxa"/>
            <w:vAlign w:val="center"/>
            <w:textDirection w:val="lrTb"/>
            <w:noWrap w:val="false"/>
          </w:tcPr>
          <w:p>
            <w:pPr>
              <w:pStyle w:val="788"/>
              <w:jc w:val="both"/>
              <w:spacing w:beforeAutospacing="0" w:afterAutospacing="0"/>
            </w:pPr>
            <w:r>
              <w:t xml:space="preserve"> </w:t>
            </w:r>
            <w:r/>
          </w:p>
        </w:tc>
      </w:tr>
      <w:tr>
        <w:trPr>
          <w:tblCellSpacing w:w="0" w:type="dxa"/>
          <w:trHeight w:val="1030"/>
        </w:trPr>
        <w:tc>
          <w:tcPr>
            <w:gridSpan w:val="9"/>
            <w:tcW w:w="8517" w:type="dxa"/>
            <w:vAlign w:val="center"/>
            <w:textDirection w:val="lrTb"/>
            <w:noWrap w:val="false"/>
          </w:tcPr>
          <w:p>
            <w:pPr>
              <w:pStyle w:val="788"/>
              <w:jc w:val="both"/>
              <w:spacing w:beforeAutospacing="0" w:afterAutospacing="0"/>
            </w:pPr>
            <w:r>
              <w:rPr>
                <w:rFonts w:hint="eastAsia" w:ascii="宋体" w:hAnsi="宋体" w:eastAsia="宋体" w:cs="宋体"/>
              </w:rPr>
              <w:t xml:space="preserve">本采购包中提供的符合本国产品标准的产品成本之和占该采购包提供的全部产品成本之和的比例为________%。</w:t>
            </w:r>
            <w:bookmarkEnd w:id="232"/>
            <w:r/>
            <w:r/>
          </w:p>
        </w:tc>
      </w:tr>
    </w:tbl>
    <w:p>
      <w:pPr>
        <w:spacing w:line="360" w:lineRule="auto"/>
        <w:rPr>
          <w:rFonts w:hint="eastAsia" w:ascii="宋体" w:hAnsi="宋体" w:eastAsia="宋体" w:cs="宋体"/>
          <w:sz w:val="24"/>
        </w:rPr>
        <w:pBdr>
          <w:top w:val="none" w:color="000000" w:sz="0" w:space="0"/>
          <w:left w:val="none" w:color="000000" w:sz="0" w:space="23"/>
          <w:bottom w:val="none" w:color="000000" w:sz="0" w:space="0"/>
          <w:right w:val="none" w:color="000000" w:sz="0" w:space="0"/>
        </w:pBdr>
      </w:pPr>
      <w:r>
        <w:rPr>
          <w:rFonts w:ascii="宋体" w:hAnsi="宋体" w:eastAsia="宋体" w:cs="宋体"/>
          <w:sz w:val="24"/>
        </w:rPr>
        <w:t xml:space="preserve">备注：</w:t>
      </w:r>
      <w:r/>
    </w:p>
    <w:p>
      <w:pPr>
        <w:spacing w:line="360" w:lineRule="auto"/>
        <w:rPr>
          <w:rFonts w:hint="eastAsia" w:ascii="宋体" w:hAnsi="宋体" w:eastAsia="宋体" w:cs="宋体"/>
          <w:sz w:val="24"/>
        </w:rPr>
        <w:pBdr>
          <w:top w:val="none" w:color="000000" w:sz="0" w:space="0"/>
          <w:left w:val="none" w:color="000000" w:sz="0" w:space="23"/>
          <w:bottom w:val="none" w:color="000000" w:sz="0" w:space="0"/>
          <w:right w:val="none" w:color="000000" w:sz="0" w:space="0"/>
        </w:pBdr>
      </w:pPr>
      <w:r>
        <w:rPr>
          <w:rFonts w:hint="eastAsia" w:ascii="宋体" w:hAnsi="宋体" w:eastAsia="宋体" w:cs="宋体"/>
          <w:sz w:val="24"/>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spacing w:line="360" w:lineRule="auto"/>
        <w:rPr>
          <w:rFonts w:hint="eastAsia" w:ascii="宋体" w:hAnsi="宋体" w:eastAsia="宋体" w:cs="宋体"/>
          <w:sz w:val="24"/>
        </w:rPr>
        <w:pBdr>
          <w:top w:val="none" w:color="000000" w:sz="0" w:space="0"/>
          <w:left w:val="none" w:color="000000" w:sz="0" w:space="23"/>
          <w:bottom w:val="none" w:color="000000" w:sz="0" w:space="0"/>
          <w:right w:val="none" w:color="000000" w:sz="0" w:space="0"/>
        </w:pBdr>
      </w:pPr>
      <w:r>
        <w:rPr>
          <w:rFonts w:hint="eastAsia" w:ascii="宋体" w:hAnsi="宋体" w:eastAsia="宋体" w:cs="宋体"/>
          <w:sz w:val="24"/>
        </w:rPr>
        <w:t xml:space="preserve">2.“投标分项报价表”中“投标总报价”数额应当与“开标一览表”中“投标总报价”数额一致</w:t>
      </w:r>
      <w:r>
        <w:rPr>
          <w:rFonts w:ascii="宋体" w:hAnsi="宋体" w:eastAsia="宋体" w:cs="宋体"/>
          <w:sz w:val="24"/>
        </w:rPr>
        <w:t xml:space="preserve">。</w:t>
      </w:r>
      <w:r/>
    </w:p>
    <w:p>
      <w:pPr>
        <w:spacing w:line="360" w:lineRule="auto"/>
        <w:tabs>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ascii="宋体" w:hAnsi="宋体" w:eastAsia="宋体" w:cs="宋体"/>
          <w:color w:val="000000"/>
          <w:sz w:val="24"/>
        </w:rPr>
        <w:t xml:space="preserve">.</w:t>
      </w:r>
      <w:r>
        <w:rPr>
          <w:rFonts w:hint="eastAsia" w:ascii="宋体" w:hAnsi="宋体" w:eastAsia="宋体" w:cs="宋体"/>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sz w:val="24"/>
        </w:rPr>
      </w:pPr>
      <w:r>
        <w:rPr>
          <w:rFonts w:hint="eastAsia" w:ascii="宋体" w:hAnsi="宋体" w:eastAsia="宋体"/>
          <w:sz w:val="24"/>
        </w:rPr>
      </w:r>
      <w:r/>
    </w:p>
    <w:p>
      <w:pPr>
        <w:jc w:val="right"/>
        <w:spacing w:line="360" w:lineRule="auto"/>
        <w:rPr>
          <w:rFonts w:hint="eastAsia" w:ascii="宋体" w:hAnsi="宋体" w:eastAsia="宋体"/>
          <w:sz w:val="24"/>
        </w:rPr>
      </w:pPr>
      <w:r>
        <w:rPr>
          <w:rFonts w:hint="eastAsia" w:ascii="宋体" w:hAnsi="宋体" w:eastAsia="宋体"/>
          <w:sz w:val="24"/>
        </w:rPr>
        <w:t xml:space="preserve">供应商全称（加盖CA电子公章）：</w:t>
      </w:r>
      <w:r/>
    </w:p>
    <w:p>
      <w:pPr>
        <w:jc w:val="right"/>
        <w:spacing w:line="360" w:lineRule="auto"/>
      </w:pPr>
      <w:r>
        <w:rPr>
          <w:rFonts w:hint="eastAsia" w:ascii="宋体" w:hAnsi="宋体" w:eastAsia="宋体"/>
          <w:sz w:val="24"/>
        </w:rPr>
        <w:t xml:space="preserve">日  期：</w:t>
      </w:r>
      <w:bookmarkEnd w:id="233"/>
      <w:r>
        <w:t xml:space="preserve"> </w:t>
      </w:r>
      <w:r/>
    </w:p>
    <w:p>
      <w:pPr>
        <w:jc w:val="right"/>
        <w:spacing w:line="360" w:lineRule="auto"/>
      </w:p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88"/>
        <w:jc w:val="center"/>
        <w:spacing w:beforeAutospacing="0" w:afterAutospacing="0"/>
      </w:pPr>
      <w:r>
        <w:rPr>
          <w:rFonts w:hint="eastAsia" w:ascii="黑体" w:hAnsi="宋体" w:eastAsia="黑体" w:cs="黑体"/>
          <w:b/>
          <w:color w:val="000000"/>
          <w:sz w:val="32"/>
          <w:szCs w:val="32"/>
        </w:rPr>
        <w:t xml:space="preserve">十三、</w:t>
      </w:r>
      <w:bookmarkStart w:id="234" w:name="OLE_LINK115"/>
      <w:r/>
      <w:bookmarkStart w:id="235" w:name="OLE_LINK104"/>
      <w:r/>
      <w:bookmarkStart w:id="236" w:name="OLE_LINK56"/>
      <w:r>
        <w:rPr>
          <w:rFonts w:hint="eastAsia" w:ascii="黑体" w:hAnsi="宋体" w:eastAsia="黑体" w:cs="黑体"/>
          <w:b/>
          <w:color w:val="000000"/>
          <w:sz w:val="32"/>
          <w:szCs w:val="32"/>
        </w:rPr>
        <w:t xml:space="preserve">技术需求响应及偏离表</w:t>
      </w:r>
      <w:r/>
    </w:p>
    <w:tbl>
      <w:tblPr>
        <w:tblStyle w:val="767"/>
        <w:tblW w:w="889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7"/>
        <w:gridCol w:w="2126"/>
        <w:gridCol w:w="2127"/>
        <w:gridCol w:w="2126"/>
        <w:gridCol w:w="17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证明</w:t>
            </w:r>
            <w:r/>
          </w:p>
          <w:p>
            <w:pPr>
              <w:pStyle w:val="788"/>
              <w:jc w:val="center"/>
              <w:spacing w:beforeAutospacing="0" w:afterAutospacing="0"/>
            </w:pPr>
            <w:r>
              <w:rPr>
                <w:rFonts w:hint="eastAsia" w:ascii="宋体" w:hAnsi="宋体" w:eastAsia="宋体" w:cs="宋体"/>
                <w:color w:val="000000"/>
              </w:rPr>
              <w:t xml:space="preserve">材料页码</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bl>
    <w:p>
      <w:pPr>
        <w:pStyle w:val="788"/>
        <w:spacing w:beforeAutospacing="0" w:afterAutospacing="0"/>
        <w:rPr>
          <w:rFonts w:hint="eastAsia" w:ascii="黑体" w:hAnsi="宋体" w:eastAsia="黑体" w:cs="黑体"/>
          <w:b/>
          <w:color w:val="000000"/>
          <w:sz w:val="32"/>
          <w:szCs w:val="32"/>
        </w:rPr>
      </w:pPr>
      <w:r>
        <w:rPr>
          <w:rFonts w:hint="eastAsia" w:ascii="宋体" w:hAnsi="宋体" w:eastAsia="宋体" w:cs="宋体"/>
          <w:color w:val="000000"/>
        </w:rPr>
        <w:t xml:space="preserve">注： 行数不够，可自行添加。</w:t>
      </w:r>
      <w:bookmarkEnd w:id="234"/>
      <w:r/>
      <w:bookmarkEnd w:id="235"/>
      <w:r/>
      <w:bookmarkEnd w:id="236"/>
      <w:r/>
      <w:bookmarkStart w:id="237" w:name="_Hlt26955054"/>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88"/>
        <w:ind w:firstLine="2570"/>
        <w:spacing w:beforeAutospacing="0" w:afterAutospacing="0"/>
      </w:pPr>
      <w:r>
        <w:rPr>
          <w:rFonts w:hint="eastAsia" w:ascii="黑体" w:hAnsi="宋体" w:eastAsia="黑体" w:cs="黑体"/>
          <w:b/>
          <w:color w:val="000000"/>
          <w:sz w:val="32"/>
          <w:szCs w:val="32"/>
        </w:rPr>
        <w:t xml:space="preserve">十四、</w:t>
      </w:r>
      <w:bookmarkStart w:id="238" w:name="OLE_LINK57"/>
      <w:r/>
      <w:bookmarkStart w:id="239" w:name="OLE_LINK105"/>
      <w:r/>
      <w:bookmarkStart w:id="240" w:name="OLE_LINK106"/>
      <w:r>
        <w:rPr>
          <w:rFonts w:hint="eastAsia" w:ascii="黑体" w:hAnsi="宋体" w:eastAsia="黑体" w:cs="黑体"/>
          <w:b/>
          <w:color w:val="000000"/>
          <w:sz w:val="32"/>
          <w:szCs w:val="32"/>
        </w:rPr>
        <w:t xml:space="preserve">商务需求响应及偏离表</w:t>
      </w:r>
      <w:r/>
    </w:p>
    <w:tbl>
      <w:tblPr>
        <w:tblStyle w:val="767"/>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788"/>
              <w:jc w:val="center"/>
              <w:spacing w:beforeAutospacing="0" w:afterAutospacing="0"/>
            </w:pPr>
            <w:r/>
            <w:bookmarkStart w:id="241" w:name="_Hlt26671343"/>
            <w:r/>
            <w:bookmarkStart w:id="242" w:name="_Hlt24879081"/>
            <w:r/>
            <w:bookmarkStart w:id="243" w:name="_Hlt26955064"/>
            <w:r/>
            <w:bookmarkStart w:id="244" w:name="_Hlt26671372"/>
            <w:r/>
            <w:bookmarkStart w:id="245" w:name="_Hlt26580838"/>
            <w:r/>
            <w:bookmarkStart w:id="246" w:name="_Hlt26782999"/>
            <w:r/>
            <w:bookmarkStart w:id="247" w:name="_Hlt26955056"/>
            <w:r/>
            <w:bookmarkStart w:id="248" w:name="_Hlt26609391"/>
            <w:r>
              <w:rPr>
                <w:rFonts w:hint="eastAsia" w:ascii="宋体" w:hAnsi="宋体" w:eastAsia="宋体" w:cs="宋体"/>
                <w:color w:val="000000"/>
              </w:rPr>
              <w:t xml:space="preserve">序号</w:t>
            </w:r>
            <w:bookmarkEnd w:id="241"/>
            <w:r/>
            <w:bookmarkEnd w:id="242"/>
            <w:r/>
            <w:bookmarkEnd w:id="243"/>
            <w:r/>
            <w:bookmarkEnd w:id="244"/>
            <w:r/>
            <w:bookmarkEnd w:id="245"/>
            <w:r/>
            <w:bookmarkEnd w:id="246"/>
            <w:r/>
            <w:bookmarkEnd w:id="247"/>
            <w:r/>
            <w:bookmarkEnd w:id="248"/>
            <w:r/>
            <w:r/>
          </w:p>
        </w:tc>
        <w:tc>
          <w:tcPr>
            <w:tcW w:w="1843"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招标文件要求</w:t>
            </w:r>
            <w:r/>
          </w:p>
        </w:tc>
        <w:tc>
          <w:tcPr>
            <w:tcW w:w="2410"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投标响应情况</w:t>
            </w:r>
            <w:r/>
          </w:p>
        </w:tc>
        <w:tc>
          <w:tcPr>
            <w:tcW w:w="2349"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证明</w:t>
            </w:r>
            <w:r/>
          </w:p>
          <w:p>
            <w:pPr>
              <w:pStyle w:val="78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bl>
    <w:p>
      <w:pPr>
        <w:pStyle w:val="788"/>
        <w:spacing w:beforeAutospacing="0" w:afterAutospacing="0"/>
      </w:pPr>
      <w:r>
        <w:rPr>
          <w:rFonts w:hint="eastAsia" w:ascii="宋体" w:hAnsi="宋体" w:eastAsia="宋体" w:cs="宋体"/>
          <w:color w:val="000000"/>
        </w:rPr>
        <w:t xml:space="preserve">注： 行数不够，可自行添加。</w:t>
      </w:r>
      <w:bookmarkEnd w:id="238"/>
      <w:r/>
      <w:bookmarkEnd w:id="239"/>
      <w:r/>
      <w:bookmarkEnd w:id="240"/>
      <w:r/>
      <w:r/>
    </w:p>
    <w:p>
      <w:pPr>
        <w:rPr>
          <w:rFonts w:cs="黑体"/>
          <w:b/>
          <w:i/>
          <w:sz w:val="32"/>
          <w:szCs w:val="32"/>
          <w:u w:val="single"/>
          <w:shd w:val="clear" w:color="auto" w:fill="ffffff" w:themeFill="background1"/>
        </w:rPr>
      </w:pPr>
      <w:r/>
      <w:bookmarkStart w:id="249" w:name="_Hlt26671374"/>
      <w:r/>
      <w:bookmarkStart w:id="250" w:name="_Hlt26609389"/>
      <w:r/>
      <w:bookmarkStart w:id="251" w:name="_Hlt26955066"/>
      <w:r/>
      <w:bookmarkStart w:id="252" w:name="_格式2__法定代表人授权书"/>
      <w:r/>
      <w:bookmarkStart w:id="253" w:name="_Toc462564146"/>
      <w:r>
        <w:rPr>
          <w:rFonts w:hint="eastAsia" w:cs="黑体"/>
          <w:b/>
          <w:i/>
          <w:sz w:val="32"/>
          <w:szCs w:val="32"/>
          <w:u w:val="single"/>
          <w:shd w:val="clear" w:color="auto" w:fill="ffffff" w:themeFill="background1"/>
        </w:rPr>
        <w:br w:type="page" w:clear="all"/>
      </w:r>
      <w:r/>
    </w:p>
    <w:p>
      <w:pPr>
        <w:pStyle w:val="788"/>
        <w:ind w:firstLine="2891"/>
        <w:rPr>
          <w:shd w:val="clear" w:color="auto" w:fill="ffffff" w:themeFill="background1"/>
        </w:rPr>
      </w:pPr>
      <w:r>
        <w:rPr>
          <w:rFonts w:hint="eastAsia" w:cs="黑体"/>
          <w:b/>
          <w:i/>
          <w:sz w:val="32"/>
          <w:szCs w:val="32"/>
          <w:u w:val="single"/>
          <w:shd w:val="clear" w:color="auto" w:fill="ffffff" w:themeFill="background1"/>
        </w:rPr>
        <w:t xml:space="preserve">十五、开标一览表</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投标人全称（CA公章）： </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项目名称：</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项目编号：</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分包号：</w:t>
      </w:r>
      <w:r/>
    </w:p>
    <w:tbl>
      <w:tblPr>
        <w:tblStyle w:val="76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88"/>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88"/>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88"/>
              <w:jc w:val="both"/>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88"/>
              <w:spacing w:beforeAutospacing="0" w:afterAutospacing="0" w:line="0" w:lineRule="atLeast"/>
            </w:pPr>
            <w:r>
              <w:t xml:space="preserve"> </w:t>
            </w:r>
            <w:r/>
          </w:p>
        </w:tc>
      </w:tr>
    </w:tbl>
    <w:p>
      <w:pPr>
        <w:spacing w:before="50" w:after="50"/>
        <w:widowControl/>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jc w:val="right"/>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十六、</w:t>
      </w:r>
      <w:bookmarkStart w:id="254" w:name="OLE_LINK58"/>
      <w:r/>
      <w:bookmarkStart w:id="255" w:name="OLE_LINK116"/>
      <w:r>
        <w:rPr>
          <w:rFonts w:hint="eastAsia" w:ascii="宋体" w:hAnsi="宋体" w:eastAsia="宋体" w:cs="宋体"/>
          <w:b/>
          <w:bCs/>
          <w:color w:val="000000"/>
          <w:sz w:val="32"/>
          <w:szCs w:val="32"/>
        </w:rPr>
        <w:t xml:space="preserve">招标文件中规定要求提供的证明材料和投标人认为需要提供的其他材料</w:t>
      </w:r>
      <w:bookmarkEnd w:id="254"/>
      <w:r/>
      <w:bookmarkEnd w:id="255"/>
      <w:r/>
      <w:r/>
    </w:p>
    <w:p>
      <w:pPr>
        <w:rPr>
          <w:rFonts w:hint="eastAsia" w:ascii="宋体" w:hAnsi="宋体" w:eastAsia="宋体" w:cs="宋体"/>
          <w:b/>
          <w:bCs/>
          <w:color w:val="000000"/>
          <w:sz w:val="32"/>
          <w:szCs w:val="32"/>
        </w:rPr>
      </w:pPr>
      <w:r/>
      <w:bookmarkStart w:id="256" w:name="_Hlk194934185"/>
      <w:r>
        <w:rPr>
          <w:rFonts w:hint="eastAsia" w:ascii="宋体" w:hAnsi="宋体" w:eastAsia="宋体" w:cs="宋体"/>
          <w:b/>
          <w:bCs/>
          <w:color w:val="000000"/>
          <w:sz w:val="32"/>
          <w:szCs w:val="32"/>
        </w:rPr>
        <w:br w:type="page" w:clear="all"/>
      </w:r>
      <w:r/>
    </w:p>
    <w:p>
      <w:pPr>
        <w:jc w:val="center"/>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十七、</w:t>
      </w:r>
      <w:bookmarkStart w:id="257" w:name="OLE_LINK117"/>
      <w:r/>
      <w:bookmarkStart w:id="258" w:name="OLE_LINK59"/>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ind w:firstLine="2891"/>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ind w:firstLine="2891"/>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ind w:left="450" w:hanging="24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w:t>
      </w:r>
      <w:r>
        <w:rPr>
          <w:rFonts w:ascii="宋体" w:hAnsi="宋体" w:eastAsia="宋体" w:cs="宋体"/>
          <w:color w:val="000000"/>
          <w:sz w:val="24"/>
        </w:rPr>
        <w:t xml:space="preserve">            </w:t>
      </w:r>
      <w:r>
        <w:rPr>
          <w:rFonts w:hint="eastAsia" w:ascii="宋体" w:hAnsi="宋体" w:eastAsia="宋体" w:cs="宋体"/>
          <w:color w:val="000000"/>
          <w:sz w:val="24"/>
        </w:rPr>
        <w:t xml:space="preserve">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56"/>
      <w:r/>
      <w:bookmarkEnd w:id="257"/>
      <w:r/>
      <w:r/>
    </w:p>
    <w:p>
      <w:pPr>
        <w:pStyle w:val="788"/>
        <w:spacing w:beforeAutospacing="0" w:afterAutospacing="0"/>
      </w:pPr>
      <w:r/>
      <w:r/>
    </w:p>
    <w:p>
      <w:pPr>
        <w:pStyle w:val="788"/>
        <w:spacing w:beforeAutospacing="0" w:afterAutospacing="0"/>
      </w:pPr>
      <w:r/>
      <w:bookmarkEnd w:id="12"/>
      <w:r/>
      <w:bookmarkEnd w:id="72"/>
      <w:r/>
      <w:bookmarkEnd w:id="119"/>
      <w:r/>
      <w:bookmarkEnd w:id="120"/>
      <w:r/>
      <w:bookmarkEnd w:id="121"/>
      <w:r/>
      <w:bookmarkEnd w:id="122"/>
      <w:r/>
      <w:bookmarkEnd w:id="123"/>
      <w:r/>
      <w:bookmarkEnd w:id="124"/>
      <w:r/>
      <w:bookmarkEnd w:id="125"/>
      <w:r/>
      <w:bookmarkEnd w:id="126"/>
      <w:r/>
      <w:bookmarkEnd w:id="135"/>
      <w:r/>
      <w:bookmarkEnd w:id="136"/>
      <w:r/>
      <w:bookmarkEnd w:id="143"/>
      <w:r/>
      <w:bookmarkEnd w:id="192"/>
      <w:r/>
      <w:bookmarkEnd w:id="201"/>
      <w:r/>
      <w:bookmarkEnd w:id="204"/>
      <w:r/>
      <w:bookmarkEnd w:id="205"/>
      <w:r/>
      <w:bookmarkEnd w:id="206"/>
      <w:r/>
      <w:bookmarkEnd w:id="219"/>
      <w:r/>
      <w:bookmarkEnd w:id="221"/>
      <w:r/>
      <w:bookmarkEnd w:id="222"/>
      <w:r/>
      <w:bookmarkEnd w:id="223"/>
      <w:r/>
      <w:bookmarkEnd w:id="237"/>
      <w:r/>
      <w:bookmarkEnd w:id="249"/>
      <w:r/>
      <w:bookmarkEnd w:id="250"/>
      <w:r/>
      <w:bookmarkEnd w:id="251"/>
      <w:r/>
      <w:bookmarkEnd w:id="252"/>
      <w:r/>
      <w:bookmarkEnd w:id="253"/>
      <w:r/>
      <w:bookmarkEnd w:id="258"/>
      <w:r/>
      <w:r/>
    </w:p>
    <w:p>
      <w:pPr>
        <w:pStyle w:val="788"/>
        <w:spacing w:beforeAutospacing="0" w:afterAutospacing="0"/>
      </w:p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88"/>
        <w:ind w:firstLine="3855"/>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88"/>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88"/>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788"/>
        <w:ind w:firstLine="2880"/>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88"/>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88"/>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88"/>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rPr>
          <w:rFonts w:hint="eastAsia" w:ascii="宋体" w:hAnsi="宋体" w:eastAsia="宋体" w:cs="宋体"/>
          <w:b/>
          <w:color w:val="000000"/>
        </w:rPr>
      </w:pPr>
      <w:r>
        <w:rPr>
          <w:rFonts w:hint="eastAsia" w:ascii="宋体" w:hAnsi="宋体" w:eastAsia="宋体" w:cs="宋体"/>
          <w:b/>
          <w:color w:val="000000"/>
        </w:rPr>
        <w:br w:type="page" w:clear="all"/>
      </w:r>
      <w:r/>
    </w:p>
    <w:p>
      <w:pPr>
        <w:pStyle w:val="788"/>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88"/>
        <w:ind w:firstLine="2891"/>
        <w:spacing w:beforeAutospacing="0" w:afterAutospacing="0"/>
      </w:p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4"/>
    <w:lvlOverride w:ilvl="0">
      <w:startOverride w:val="2"/>
    </w:lvlOverride>
  </w:num>
  <w:num w:numId="5">
    <w:abstractNumId w:val="0"/>
    <w:lvlOverride w:ilvl="0">
      <w:startOverride w:val="6"/>
    </w:lvlOverride>
  </w:num>
  <w:num w:numId="6">
    <w:abstractNumId w:val="5"/>
    <w:lvlOverride w:ilvl="0">
      <w:startOverride w:val="16"/>
    </w:lvlOverride>
  </w:num>
  <w:num w:numId="7">
    <w:abstractNumId w:val="7"/>
    <w:lvlOverride w:ilvl="0">
      <w:startOverride w:val="23"/>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3 Char"/>
    <w:basedOn w:val="766"/>
    <w:link w:val="759"/>
    <w:uiPriority w:val="9"/>
    <w:rPr>
      <w:rFonts w:ascii="Arial" w:hAnsi="Arial" w:eastAsia="Arial" w:cs="Arial"/>
      <w:sz w:val="30"/>
      <w:szCs w:val="30"/>
    </w:rPr>
  </w:style>
  <w:style w:type="character" w:styleId="725">
    <w:name w:val="Heading 5 Char"/>
    <w:basedOn w:val="766"/>
    <w:link w:val="761"/>
    <w:uiPriority w:val="9"/>
    <w:rPr>
      <w:rFonts w:ascii="Arial" w:hAnsi="Arial" w:eastAsia="Arial" w:cs="Arial"/>
      <w:b/>
      <w:bCs/>
      <w:sz w:val="24"/>
      <w:szCs w:val="24"/>
    </w:rPr>
  </w:style>
  <w:style w:type="character" w:styleId="726">
    <w:name w:val="Heading 6 Char"/>
    <w:basedOn w:val="766"/>
    <w:link w:val="762"/>
    <w:uiPriority w:val="9"/>
    <w:rPr>
      <w:rFonts w:ascii="Arial" w:hAnsi="Arial" w:eastAsia="Arial" w:cs="Arial"/>
      <w:b/>
      <w:bCs/>
      <w:sz w:val="22"/>
      <w:szCs w:val="22"/>
    </w:rPr>
  </w:style>
  <w:style w:type="character" w:styleId="727">
    <w:name w:val="Heading 7 Char"/>
    <w:basedOn w:val="766"/>
    <w:link w:val="763"/>
    <w:uiPriority w:val="9"/>
    <w:rPr>
      <w:rFonts w:ascii="Arial" w:hAnsi="Arial" w:eastAsia="Arial" w:cs="Arial"/>
      <w:b/>
      <w:bCs/>
      <w:i/>
      <w:iCs/>
      <w:sz w:val="22"/>
      <w:szCs w:val="22"/>
    </w:rPr>
  </w:style>
  <w:style w:type="character" w:styleId="728">
    <w:name w:val="Heading 8 Char"/>
    <w:basedOn w:val="766"/>
    <w:link w:val="764"/>
    <w:uiPriority w:val="9"/>
    <w:rPr>
      <w:rFonts w:ascii="Arial" w:hAnsi="Arial" w:eastAsia="Arial" w:cs="Arial"/>
      <w:i/>
      <w:iCs/>
      <w:sz w:val="22"/>
      <w:szCs w:val="22"/>
    </w:rPr>
  </w:style>
  <w:style w:type="character" w:styleId="729">
    <w:name w:val="Heading 9 Char"/>
    <w:basedOn w:val="766"/>
    <w:link w:val="765"/>
    <w:uiPriority w:val="9"/>
    <w:rPr>
      <w:rFonts w:ascii="Arial" w:hAnsi="Arial" w:eastAsia="Arial" w:cs="Arial"/>
      <w:i/>
      <w:iCs/>
      <w:sz w:val="21"/>
      <w:szCs w:val="21"/>
    </w:rPr>
  </w:style>
  <w:style w:type="character" w:styleId="730">
    <w:name w:val="Title Char"/>
    <w:basedOn w:val="766"/>
    <w:link w:val="789"/>
    <w:uiPriority w:val="10"/>
    <w:rPr>
      <w:sz w:val="48"/>
      <w:szCs w:val="48"/>
    </w:rPr>
  </w:style>
  <w:style w:type="character" w:styleId="731">
    <w:name w:val="Subtitle Char"/>
    <w:basedOn w:val="766"/>
    <w:link w:val="782"/>
    <w:uiPriority w:val="11"/>
    <w:rPr>
      <w:sz w:val="24"/>
      <w:szCs w:val="24"/>
    </w:rPr>
  </w:style>
  <w:style w:type="character" w:styleId="732">
    <w:name w:val="Quote Char"/>
    <w:link w:val="810"/>
    <w:uiPriority w:val="29"/>
    <w:rPr>
      <w:i/>
    </w:rPr>
  </w:style>
  <w:style w:type="character" w:styleId="733">
    <w:name w:val="Intense Quote Char"/>
    <w:link w:val="812"/>
    <w:uiPriority w:val="30"/>
    <w:rPr>
      <w:i/>
    </w:rPr>
  </w:style>
  <w:style w:type="table" w:styleId="734">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3"/>
    <w:uiPriority w:val="99"/>
    <w:rPr>
      <w:sz w:val="18"/>
    </w:rPr>
  </w:style>
  <w:style w:type="character" w:styleId="754">
    <w:name w:val="Endnote Text Char"/>
    <w:link w:val="777"/>
    <w:uiPriority w:val="99"/>
    <w:rPr>
      <w:sz w:val="20"/>
    </w:rPr>
  </w:style>
  <w:style w:type="paragraph" w:styleId="755">
    <w:name w:val="TOC Heading"/>
    <w:uiPriority w:val="39"/>
    <w:unhideWhenUsed/>
  </w:style>
  <w:style w:type="paragraph" w:styleId="75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7">
    <w:name w:val="Heading 1"/>
    <w:basedOn w:val="756"/>
    <w:next w:val="756"/>
    <w:link w:val="959"/>
    <w:uiPriority w:val="0"/>
    <w:qFormat/>
    <w:pPr>
      <w:keepLines/>
      <w:keepNext/>
      <w:spacing w:before="340" w:after="330" w:line="578" w:lineRule="auto"/>
      <w:outlineLvl w:val="0"/>
    </w:pPr>
    <w:rPr>
      <w:b/>
      <w:bCs/>
      <w:sz w:val="44"/>
      <w:szCs w:val="44"/>
    </w:rPr>
  </w:style>
  <w:style w:type="paragraph" w:styleId="758">
    <w:name w:val="Heading 2"/>
    <w:basedOn w:val="756"/>
    <w:next w:val="756"/>
    <w:uiPriority w:val="0"/>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paragraph" w:styleId="759">
    <w:name w:val="Heading 3"/>
    <w:basedOn w:val="756"/>
    <w:next w:val="756"/>
    <w:link w:val="800"/>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961"/>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61">
    <w:name w:val="Heading 5"/>
    <w:basedOn w:val="756"/>
    <w:next w:val="756"/>
    <w:link w:val="802"/>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803"/>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5"/>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6"/>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0"/>
    <w:qFormat/>
    <w:pPr>
      <w:ind w:left="2520"/>
    </w:pPr>
  </w:style>
  <w:style w:type="paragraph" w:styleId="769">
    <w:name w:val="Caption"/>
    <w:basedOn w:val="756"/>
    <w:next w:val="7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annotation text"/>
    <w:basedOn w:val="756"/>
    <w:link w:val="956"/>
    <w:uiPriority w:val="0"/>
    <w:qFormat/>
    <w:pPr>
      <w:jc w:val="left"/>
    </w:pPr>
  </w:style>
  <w:style w:type="paragraph" w:styleId="771">
    <w:name w:val="Body Text"/>
    <w:basedOn w:val="756"/>
    <w:link w:val="953"/>
    <w:uiPriority w:val="0"/>
    <w:unhideWhenUsed/>
    <w:qFormat/>
    <w:pPr>
      <w:spacing w:after="120"/>
    </w:pPr>
    <w:rPr>
      <w:rFonts w:ascii="Calibri" w:hAnsi="Calibri"/>
      <w:szCs w:val="22"/>
    </w:rPr>
  </w:style>
  <w:style w:type="paragraph" w:styleId="772">
    <w:name w:val="toc 5"/>
    <w:basedOn w:val="756"/>
    <w:next w:val="756"/>
    <w:uiPriority w:val="39"/>
    <w:unhideWhenUsed/>
    <w:qFormat/>
    <w:pPr>
      <w:ind w:left="1134"/>
      <w:spacing w:after="57"/>
    </w:pPr>
  </w:style>
  <w:style w:type="paragraph" w:styleId="773">
    <w:name w:val="toc 3"/>
    <w:basedOn w:val="756"/>
    <w:next w:val="756"/>
    <w:uiPriority w:val="39"/>
    <w:unhideWhenUsed/>
    <w:qFormat/>
    <w:pPr>
      <w:ind w:left="567"/>
      <w:spacing w:after="57"/>
    </w:pPr>
  </w:style>
  <w:style w:type="paragraph" w:styleId="774">
    <w:name w:val="Plain Text"/>
    <w:basedOn w:val="756"/>
    <w:link w:val="960"/>
    <w:uiPriority w:val="0"/>
    <w:unhideWhenUsed/>
    <w:qFormat/>
    <w:rPr>
      <w:rFonts w:ascii="宋体" w:hAnsi="Courier New" w:cs="Courier New"/>
      <w:szCs w:val="21"/>
    </w:rPr>
  </w:style>
  <w:style w:type="paragraph" w:styleId="775">
    <w:name w:val="toc 8"/>
    <w:basedOn w:val="756"/>
    <w:next w:val="756"/>
    <w:uiPriority w:val="39"/>
    <w:unhideWhenUsed/>
    <w:qFormat/>
    <w:pPr>
      <w:ind w:left="1984"/>
      <w:spacing w:after="57"/>
    </w:pPr>
  </w:style>
  <w:style w:type="paragraph" w:styleId="776">
    <w:name w:val="Date"/>
    <w:basedOn w:val="756"/>
    <w:next w:val="756"/>
    <w:link w:val="962"/>
    <w:uiPriority w:val="0"/>
    <w:qFormat/>
    <w:pPr>
      <w:ind w:left="100"/>
    </w:pPr>
  </w:style>
  <w:style w:type="paragraph" w:styleId="777">
    <w:name w:val="endnote text"/>
    <w:basedOn w:val="756"/>
    <w:link w:val="943"/>
    <w:uiPriority w:val="99"/>
    <w:semiHidden/>
    <w:unhideWhenUsed/>
    <w:qFormat/>
    <w:rPr>
      <w:sz w:val="20"/>
    </w:rPr>
  </w:style>
  <w:style w:type="paragraph" w:styleId="778">
    <w:name w:val="Footer"/>
    <w:basedOn w:val="756"/>
    <w:link w:val="947"/>
    <w:uiPriority w:val="0"/>
    <w:qFormat/>
    <w:pPr>
      <w:jc w:val="left"/>
      <w:tabs>
        <w:tab w:val="center" w:pos="4153" w:leader="none"/>
        <w:tab w:val="right" w:pos="8306" w:leader="none"/>
      </w:tabs>
    </w:pPr>
    <w:rPr>
      <w:sz w:val="18"/>
      <w:szCs w:val="18"/>
    </w:rPr>
  </w:style>
  <w:style w:type="paragraph" w:styleId="779">
    <w:name w:val="Header"/>
    <w:basedOn w:val="756"/>
    <w:link w:val="946"/>
    <w:uiPriority w:val="0"/>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56"/>
    <w:next w:val="756"/>
    <w:uiPriority w:val="39"/>
    <w:unhideWhenUsed/>
    <w:qFormat/>
    <w:pPr>
      <w:spacing w:after="57"/>
    </w:pPr>
  </w:style>
  <w:style w:type="paragraph" w:styleId="781">
    <w:name w:val="toc 4"/>
    <w:basedOn w:val="756"/>
    <w:next w:val="756"/>
    <w:uiPriority w:val="39"/>
    <w:unhideWhenUsed/>
    <w:qFormat/>
    <w:pPr>
      <w:ind w:left="850"/>
      <w:spacing w:after="57"/>
    </w:pPr>
  </w:style>
  <w:style w:type="paragraph" w:styleId="782">
    <w:name w:val="Subtitle"/>
    <w:basedOn w:val="756"/>
    <w:next w:val="756"/>
    <w:link w:val="809"/>
    <w:uiPriority w:val="11"/>
    <w:qFormat/>
    <w:pPr>
      <w:spacing w:before="200" w:after="200"/>
    </w:pPr>
    <w:rPr>
      <w:sz w:val="24"/>
    </w:rPr>
  </w:style>
  <w:style w:type="paragraph" w:styleId="783">
    <w:name w:val="footnote text"/>
    <w:basedOn w:val="756"/>
    <w:link w:val="942"/>
    <w:uiPriority w:val="99"/>
    <w:semiHidden/>
    <w:unhideWhenUsed/>
    <w:qFormat/>
    <w:pPr>
      <w:spacing w:after="40"/>
    </w:pPr>
    <w:rPr>
      <w:sz w:val="18"/>
    </w:rPr>
  </w:style>
  <w:style w:type="paragraph" w:styleId="784">
    <w:name w:val="toc 6"/>
    <w:basedOn w:val="756"/>
    <w:next w:val="756"/>
    <w:uiPriority w:val="39"/>
    <w:unhideWhenUsed/>
    <w:qFormat/>
    <w:pPr>
      <w:ind w:left="1417"/>
      <w:spacing w:after="57"/>
    </w:pPr>
  </w:style>
  <w:style w:type="paragraph" w:styleId="785">
    <w:name w:val="table of figures"/>
    <w:basedOn w:val="756"/>
    <w:next w:val="756"/>
    <w:uiPriority w:val="99"/>
    <w:unhideWhenUsed/>
    <w:qFormat/>
  </w:style>
  <w:style w:type="paragraph" w:styleId="786">
    <w:name w:val="toc 2"/>
    <w:basedOn w:val="756"/>
    <w:next w:val="756"/>
    <w:uiPriority w:val="39"/>
    <w:unhideWhenUsed/>
    <w:qFormat/>
    <w:pPr>
      <w:ind w:left="283"/>
      <w:spacing w:after="57"/>
    </w:pPr>
  </w:style>
  <w:style w:type="paragraph" w:styleId="787">
    <w:name w:val="toc 9"/>
    <w:basedOn w:val="756"/>
    <w:next w:val="756"/>
    <w:uiPriority w:val="39"/>
    <w:unhideWhenUsed/>
    <w:qFormat/>
    <w:pPr>
      <w:ind w:left="2268"/>
      <w:spacing w:after="57"/>
    </w:pPr>
  </w:style>
  <w:style w:type="paragraph" w:styleId="788">
    <w:name w:val="Normal (Web)"/>
    <w:basedOn w:val="756"/>
    <w:uiPriority w:val="0"/>
    <w:qFormat/>
    <w:pPr>
      <w:jc w:val="left"/>
      <w:spacing w:beforeAutospacing="1" w:afterAutospacing="1"/>
    </w:pPr>
    <w:rPr>
      <w:rFonts w:cs="Times New Roman"/>
      <w:sz w:val="24"/>
    </w:rPr>
  </w:style>
  <w:style w:type="paragraph" w:styleId="789">
    <w:name w:val="Title"/>
    <w:basedOn w:val="756"/>
    <w:next w:val="756"/>
    <w:link w:val="808"/>
    <w:uiPriority w:val="10"/>
    <w:qFormat/>
    <w:pPr>
      <w:contextualSpacing/>
      <w:spacing w:before="300" w:after="200"/>
    </w:pPr>
    <w:rPr>
      <w:sz w:val="48"/>
      <w:szCs w:val="48"/>
    </w:rPr>
  </w:style>
  <w:style w:type="paragraph" w:styleId="790">
    <w:name w:val="annotation subject"/>
    <w:basedOn w:val="770"/>
    <w:next w:val="770"/>
    <w:link w:val="957"/>
    <w:uiPriority w:val="0"/>
    <w:qFormat/>
    <w:rPr>
      <w:b/>
      <w:bCs/>
    </w:rPr>
  </w:style>
  <w:style w:type="paragraph" w:styleId="791">
    <w:name w:val="Body Text First Indent"/>
    <w:basedOn w:val="771"/>
    <w:link w:val="954"/>
    <w:uiPriority w:val="0"/>
    <w:qFormat/>
    <w:pPr>
      <w:ind w:firstLine="420"/>
    </w:pPr>
    <w:rPr>
      <w:rFonts w:asciiTheme="minorHAnsi" w:hAnsiTheme="minorHAnsi"/>
      <w:szCs w:val="24"/>
    </w:rPr>
  </w:style>
  <w:style w:type="table" w:styleId="792">
    <w:name w:val="Table Grid"/>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66"/>
    <w:uiPriority w:val="22"/>
    <w:qFormat/>
    <w:rPr>
      <w:b/>
      <w:bCs/>
    </w:rPr>
  </w:style>
  <w:style w:type="character" w:styleId="794">
    <w:name w:val="endnote reference"/>
    <w:basedOn w:val="766"/>
    <w:uiPriority w:val="99"/>
    <w:semiHidden/>
    <w:unhideWhenUsed/>
    <w:qFormat/>
    <w:rPr>
      <w:vertAlign w:val="superscript"/>
    </w:rPr>
  </w:style>
  <w:style w:type="character" w:styleId="795">
    <w:name w:val="Hyperlink"/>
    <w:uiPriority w:val="99"/>
    <w:unhideWhenUsed/>
    <w:qFormat/>
    <w:rPr>
      <w:color w:val="0563c1" w:themeColor="hyperlink"/>
      <w:u w:val="single"/>
      <w14:textFill>
        <w14:solidFill>
          <w14:schemeClr w14:val="hlink"/>
        </w14:solidFill>
      </w14:textFill>
    </w:rPr>
  </w:style>
  <w:style w:type="character" w:styleId="796">
    <w:name w:val="annotation reference"/>
    <w:basedOn w:val="766"/>
    <w:uiPriority w:val="0"/>
    <w:qFormat/>
    <w:rPr>
      <w:sz w:val="21"/>
      <w:szCs w:val="21"/>
    </w:rPr>
  </w:style>
  <w:style w:type="character" w:styleId="797">
    <w:name w:val="footnote reference"/>
    <w:basedOn w:val="766"/>
    <w:uiPriority w:val="99"/>
    <w:unhideWhenUsed/>
    <w:qFormat/>
    <w:rPr>
      <w:vertAlign w:val="superscript"/>
    </w:rPr>
  </w:style>
  <w:style w:type="character" w:styleId="798" w:customStyle="1">
    <w:name w:val="Heading 1 Char"/>
    <w:basedOn w:val="766"/>
    <w:uiPriority w:val="9"/>
    <w:qFormat/>
    <w:rPr>
      <w:rFonts w:ascii="Arial" w:hAnsi="Arial" w:eastAsia="Arial" w:cs="Arial"/>
      <w:sz w:val="40"/>
      <w:szCs w:val="40"/>
    </w:rPr>
  </w:style>
  <w:style w:type="character" w:styleId="799" w:customStyle="1">
    <w:name w:val="Heading 2 Char"/>
    <w:basedOn w:val="766"/>
    <w:uiPriority w:val="9"/>
    <w:qFormat/>
    <w:rPr>
      <w:rFonts w:ascii="Arial" w:hAnsi="Arial" w:eastAsia="Arial" w:cs="Arial"/>
      <w:sz w:val="34"/>
    </w:rPr>
  </w:style>
  <w:style w:type="character" w:styleId="800" w:customStyle="1">
    <w:name w:val="标题 3 字符"/>
    <w:basedOn w:val="766"/>
    <w:link w:val="759"/>
    <w:uiPriority w:val="9"/>
    <w:qFormat/>
    <w:rPr>
      <w:rFonts w:ascii="Arial" w:hAnsi="Arial" w:eastAsia="Arial" w:cs="Arial"/>
      <w:sz w:val="30"/>
      <w:szCs w:val="30"/>
    </w:rPr>
  </w:style>
  <w:style w:type="character" w:styleId="801" w:customStyle="1">
    <w:name w:val="Heading 4 Char"/>
    <w:basedOn w:val="766"/>
    <w:uiPriority w:val="9"/>
    <w:qFormat/>
    <w:rPr>
      <w:rFonts w:ascii="Arial" w:hAnsi="Arial" w:eastAsia="Arial" w:cs="Arial"/>
      <w:b/>
      <w:bCs/>
      <w:sz w:val="26"/>
      <w:szCs w:val="26"/>
    </w:rPr>
  </w:style>
  <w:style w:type="character" w:styleId="802" w:customStyle="1">
    <w:name w:val="标题 5 字符"/>
    <w:basedOn w:val="766"/>
    <w:link w:val="761"/>
    <w:uiPriority w:val="9"/>
    <w:qFormat/>
    <w:rPr>
      <w:rFonts w:ascii="Arial" w:hAnsi="Arial" w:eastAsia="Arial" w:cs="Arial"/>
      <w:b/>
      <w:bCs/>
      <w:sz w:val="24"/>
      <w:szCs w:val="24"/>
    </w:rPr>
  </w:style>
  <w:style w:type="character" w:styleId="803" w:customStyle="1">
    <w:name w:val="标题 6 字符"/>
    <w:basedOn w:val="766"/>
    <w:link w:val="762"/>
    <w:uiPriority w:val="9"/>
    <w:qFormat/>
    <w:rPr>
      <w:rFonts w:ascii="Arial" w:hAnsi="Arial" w:eastAsia="Arial" w:cs="Arial"/>
      <w:b/>
      <w:bCs/>
      <w:sz w:val="22"/>
      <w:szCs w:val="22"/>
    </w:rPr>
  </w:style>
  <w:style w:type="character" w:styleId="804" w:customStyle="1">
    <w:name w:val="标题 7 字符"/>
    <w:basedOn w:val="766"/>
    <w:link w:val="763"/>
    <w:uiPriority w:val="9"/>
    <w:qFormat/>
    <w:rPr>
      <w:rFonts w:ascii="Arial" w:hAnsi="Arial" w:eastAsia="Arial" w:cs="Arial"/>
      <w:b/>
      <w:bCs/>
      <w:i/>
      <w:iCs/>
      <w:sz w:val="22"/>
      <w:szCs w:val="22"/>
    </w:rPr>
  </w:style>
  <w:style w:type="character" w:styleId="805" w:customStyle="1">
    <w:name w:val="标题 8 字符"/>
    <w:basedOn w:val="766"/>
    <w:link w:val="764"/>
    <w:uiPriority w:val="9"/>
    <w:qFormat/>
    <w:rPr>
      <w:rFonts w:ascii="Arial" w:hAnsi="Arial" w:eastAsia="Arial" w:cs="Arial"/>
      <w:i/>
      <w:iCs/>
      <w:sz w:val="22"/>
      <w:szCs w:val="22"/>
    </w:rPr>
  </w:style>
  <w:style w:type="character" w:styleId="806" w:customStyle="1">
    <w:name w:val="标题 9 字符"/>
    <w:basedOn w:val="766"/>
    <w:link w:val="765"/>
    <w:uiPriority w:val="9"/>
    <w:qFormat/>
    <w:rPr>
      <w:rFonts w:ascii="Arial" w:hAnsi="Arial" w:eastAsia="Arial" w:cs="Arial"/>
      <w:i/>
      <w:iCs/>
      <w:sz w:val="21"/>
      <w:szCs w:val="21"/>
    </w:rPr>
  </w:style>
  <w:style w:type="paragraph" w:styleId="807">
    <w:name w:val="No Spacing"/>
    <w:uiPriority w:val="1"/>
    <w:qFormat/>
    <w:rPr>
      <w:rFonts w:ascii="Times New Roman" w:hAnsi="Times New Roman" w:eastAsia="宋体" w:cs="Times New Roman"/>
      <w:lang w:val="en-US" w:eastAsia="zh-CN" w:bidi="ar-SA"/>
    </w:rPr>
  </w:style>
  <w:style w:type="character" w:styleId="808" w:customStyle="1">
    <w:name w:val="标题 字符"/>
    <w:basedOn w:val="766"/>
    <w:link w:val="789"/>
    <w:uiPriority w:val="10"/>
    <w:qFormat/>
    <w:rPr>
      <w:sz w:val="48"/>
      <w:szCs w:val="48"/>
    </w:rPr>
  </w:style>
  <w:style w:type="character" w:styleId="809" w:customStyle="1">
    <w:name w:val="副标题 字符"/>
    <w:basedOn w:val="766"/>
    <w:link w:val="782"/>
    <w:uiPriority w:val="11"/>
    <w:qFormat/>
    <w:rPr>
      <w:sz w:val="24"/>
      <w:szCs w:val="24"/>
    </w:rPr>
  </w:style>
  <w:style w:type="paragraph" w:styleId="810">
    <w:name w:val="Quote"/>
    <w:basedOn w:val="756"/>
    <w:next w:val="756"/>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56"/>
    <w:next w:val="756"/>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basedOn w:val="766"/>
    <w:uiPriority w:val="99"/>
    <w:qFormat/>
  </w:style>
  <w:style w:type="character" w:styleId="815" w:customStyle="1">
    <w:name w:val="Footer Char"/>
    <w:basedOn w:val="766"/>
    <w:uiPriority w:val="99"/>
    <w:qFormat/>
  </w:style>
  <w:style w:type="character" w:styleId="816" w:customStyle="1">
    <w:name w:val="Caption Char"/>
    <w:uiPriority w:val="99"/>
    <w:qFormat/>
  </w:style>
  <w:style w:type="table" w:styleId="817"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6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6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6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6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6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6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6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6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2" w:customStyle="1">
    <w:name w:val="Grid Table 6 Colorful - Accent 4"/>
    <w:basedOn w:val="7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6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6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6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6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6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6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6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6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6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6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6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6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6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6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6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6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6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6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6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6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6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6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6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6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6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6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6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6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6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6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6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6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6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6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6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6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6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6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6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6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6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6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清单表 7 彩色1"/>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6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6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6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6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6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6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6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6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6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6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6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6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83"/>
    <w:uiPriority w:val="99"/>
    <w:qFormat/>
    <w:rPr>
      <w:sz w:val="18"/>
    </w:rPr>
  </w:style>
  <w:style w:type="character" w:styleId="943" w:customStyle="1">
    <w:name w:val="尾注文本 字符"/>
    <w:link w:val="777"/>
    <w:uiPriority w:val="99"/>
    <w:qFormat/>
    <w:rPr>
      <w:sz w:val="20"/>
    </w:rPr>
  </w:style>
  <w:style w:type="paragraph" w:styleId="944" w:customStyle="1">
    <w:name w:val="TOC 标题1"/>
    <w:uiPriority w:val="39"/>
    <w:unhideWhenUsed/>
    <w:qFormat/>
    <w:rPr>
      <w:rFonts w:ascii="Times New Roman" w:hAnsi="Times New Roman" w:eastAsia="宋体" w:cs="Times New Roman"/>
      <w:lang w:val="en-US" w:eastAsia="zh-CN" w:bidi="ar-SA"/>
    </w:rPr>
  </w:style>
  <w:style w:type="paragraph" w:styleId="945" w:customStyle="1">
    <w:name w:val="Default"/>
    <w:basedOn w:val="756"/>
    <w:uiPriority w:val="0"/>
    <w:semiHidden/>
    <w:qFormat/>
    <w:pPr>
      <w:jc w:val="left"/>
    </w:pPr>
    <w:rPr>
      <w:rFonts w:ascii="宋体" w:hAnsi="Calibri" w:cs="宋体"/>
      <w:color w:val="000000"/>
      <w:sz w:val="24"/>
    </w:rPr>
  </w:style>
  <w:style w:type="character" w:styleId="946" w:customStyle="1">
    <w:name w:val="页眉 字符"/>
    <w:basedOn w:val="766"/>
    <w:link w:val="779"/>
    <w:uiPriority w:val="0"/>
    <w:qFormat/>
    <w:rPr>
      <w:rFonts w:asciiTheme="minorHAnsi" w:hAnsiTheme="minorHAnsi" w:eastAsiaTheme="minorEastAsia" w:cstheme="minorBidi"/>
      <w:sz w:val="18"/>
      <w:szCs w:val="18"/>
    </w:rPr>
  </w:style>
  <w:style w:type="character" w:styleId="947" w:customStyle="1">
    <w:name w:val="页脚 字符"/>
    <w:basedOn w:val="766"/>
    <w:link w:val="778"/>
    <w:uiPriority w:val="0"/>
    <w:qFormat/>
    <w:rPr>
      <w:rFonts w:asciiTheme="minorHAnsi" w:hAnsiTheme="minorHAnsi" w:eastAsiaTheme="minorEastAsia" w:cstheme="minorBidi"/>
      <w:sz w:val="18"/>
      <w:szCs w:val="18"/>
    </w:rPr>
  </w:style>
  <w:style w:type="paragraph" w:styleId="94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49" w:customStyle="1">
    <w:name w:val="页脚1"/>
    <w:basedOn w:val="756"/>
    <w:uiPriority w:val="99"/>
    <w:unhideWhenUsed/>
    <w:qFormat/>
    <w:pPr>
      <w:jc w:val="left"/>
      <w:tabs>
        <w:tab w:val="center" w:pos="4153" w:leader="none"/>
        <w:tab w:val="right" w:pos="8306" w:leader="none"/>
      </w:tabs>
    </w:pPr>
    <w:rPr>
      <w:sz w:val="18"/>
      <w:szCs w:val="18"/>
    </w:rPr>
  </w:style>
  <w:style w:type="paragraph" w:styleId="950" w:customStyle="1">
    <w:name w:val="普通正文"/>
    <w:basedOn w:val="756"/>
    <w:uiPriority w:val="0"/>
    <w:qFormat/>
    <w:pPr>
      <w:ind w:firstLine="480"/>
      <w:jc w:val="left"/>
      <w:spacing w:before="120" w:after="120" w:line="360" w:lineRule="auto"/>
    </w:pPr>
    <w:rPr>
      <w:rFonts w:ascii="Arial" w:hAnsi="Arial" w:eastAsia="等线" w:cs="Arial"/>
      <w:sz w:val="24"/>
    </w:rPr>
  </w:style>
  <w:style w:type="paragraph" w:styleId="951" w:customStyle="1">
    <w:name w:val="正文首行缩进 21"/>
    <w:basedOn w:val="952"/>
    <w:uiPriority w:val="0"/>
    <w:qFormat/>
    <w:pPr>
      <w:ind w:firstLine="420"/>
    </w:pPr>
  </w:style>
  <w:style w:type="paragraph" w:styleId="952" w:customStyle="1">
    <w:name w:val="正文文本缩进1"/>
    <w:basedOn w:val="756"/>
    <w:uiPriority w:val="0"/>
    <w:qFormat/>
    <w:pPr>
      <w:ind w:left="420"/>
      <w:spacing w:after="120"/>
    </w:pPr>
  </w:style>
  <w:style w:type="character" w:styleId="953" w:customStyle="1">
    <w:name w:val="正文文本 字符"/>
    <w:basedOn w:val="766"/>
    <w:link w:val="771"/>
    <w:uiPriority w:val="0"/>
    <w:qFormat/>
    <w:rPr>
      <w:rFonts w:ascii="Calibri" w:hAnsi="Calibri" w:eastAsiaTheme="minorEastAsia" w:cstheme="minorBidi"/>
      <w:sz w:val="21"/>
      <w:szCs w:val="22"/>
    </w:rPr>
  </w:style>
  <w:style w:type="character" w:styleId="954" w:customStyle="1">
    <w:name w:val="正文文本首行缩进 字符"/>
    <w:basedOn w:val="953"/>
    <w:link w:val="791"/>
    <w:uiPriority w:val="0"/>
    <w:qFormat/>
    <w:rPr>
      <w:rFonts w:asciiTheme="minorHAnsi" w:hAnsiTheme="minorHAnsi" w:eastAsiaTheme="minorEastAsia" w:cstheme="minorBidi"/>
      <w:sz w:val="21"/>
      <w:szCs w:val="24"/>
    </w:rPr>
  </w:style>
  <w:style w:type="paragraph" w:styleId="955">
    <w:name w:val="List Paragraph"/>
    <w:basedOn w:val="756"/>
    <w:uiPriority w:val="99"/>
    <w:unhideWhenUsed/>
    <w:qFormat/>
    <w:pPr>
      <w:ind w:firstLine="420"/>
    </w:pPr>
  </w:style>
  <w:style w:type="character" w:styleId="956" w:customStyle="1">
    <w:name w:val="批注文字 字符"/>
    <w:basedOn w:val="766"/>
    <w:link w:val="770"/>
    <w:uiPriority w:val="0"/>
    <w:qFormat/>
    <w:rPr>
      <w:rFonts w:asciiTheme="minorHAnsi" w:hAnsiTheme="minorHAnsi" w:eastAsiaTheme="minorEastAsia" w:cstheme="minorBidi"/>
      <w:sz w:val="21"/>
      <w:szCs w:val="24"/>
    </w:rPr>
  </w:style>
  <w:style w:type="character" w:styleId="957" w:customStyle="1">
    <w:name w:val="批注主题 字符"/>
    <w:basedOn w:val="956"/>
    <w:link w:val="790"/>
    <w:uiPriority w:val="0"/>
    <w:qFormat/>
    <w:rPr>
      <w:rFonts w:asciiTheme="minorHAnsi" w:hAnsiTheme="minorHAnsi" w:eastAsiaTheme="minorEastAsia" w:cstheme="minorBidi"/>
      <w:b/>
      <w:bCs/>
      <w:sz w:val="21"/>
      <w:szCs w:val="24"/>
    </w:rPr>
  </w:style>
  <w:style w:type="paragraph" w:styleId="958" w:customStyle="1">
    <w:name w:val="paragraph"/>
    <w:basedOn w:val="756"/>
    <w:uiPriority w:val="0"/>
    <w:semiHidden/>
    <w:qFormat/>
    <w:pPr>
      <w:jc w:val="left"/>
      <w:spacing w:before="100" w:beforeAutospacing="1" w:after="100" w:afterAutospacing="1"/>
      <w:widowControl/>
    </w:pPr>
    <w:rPr>
      <w:rFonts w:ascii="等线" w:hAnsi="等线" w:eastAsia="等线" w:cs="Times New Roman"/>
      <w:sz w:val="24"/>
    </w:rPr>
  </w:style>
  <w:style w:type="character" w:styleId="959" w:customStyle="1">
    <w:name w:val="标题 1 字符"/>
    <w:basedOn w:val="766"/>
    <w:link w:val="757"/>
    <w:uiPriority w:val="0"/>
    <w:qFormat/>
    <w:rPr>
      <w:rFonts w:asciiTheme="minorHAnsi" w:hAnsiTheme="minorHAnsi" w:eastAsiaTheme="minorEastAsia" w:cstheme="minorBidi"/>
      <w:b/>
      <w:bCs/>
      <w:sz w:val="44"/>
      <w:szCs w:val="44"/>
    </w:rPr>
  </w:style>
  <w:style w:type="character" w:styleId="960" w:customStyle="1">
    <w:name w:val="纯文本 字符"/>
    <w:basedOn w:val="766"/>
    <w:link w:val="774"/>
    <w:uiPriority w:val="0"/>
    <w:qFormat/>
    <w:rPr>
      <w:rFonts w:ascii="宋体" w:hAnsi="Courier New" w:cs="Courier New" w:eastAsiaTheme="minorEastAsia"/>
      <w:sz w:val="21"/>
      <w:szCs w:val="21"/>
    </w:rPr>
  </w:style>
  <w:style w:type="character" w:styleId="961" w:customStyle="1">
    <w:name w:val="标题 4 字符"/>
    <w:basedOn w:val="766"/>
    <w:link w:val="760"/>
    <w:uiPriority w:val="0"/>
    <w:qFormat/>
    <w:rPr>
      <w:rFonts w:asciiTheme="majorHAnsi" w:hAnsiTheme="majorHAnsi" w:eastAsiaTheme="majorEastAsia" w:cstheme="majorBidi"/>
      <w:b/>
      <w:bCs/>
      <w:sz w:val="28"/>
      <w:szCs w:val="28"/>
    </w:rPr>
  </w:style>
  <w:style w:type="character" w:styleId="962" w:customStyle="1">
    <w:name w:val="日期 字符"/>
    <w:basedOn w:val="766"/>
    <w:link w:val="776"/>
    <w:uiPriority w:val="0"/>
    <w:qFormat/>
    <w:rPr>
      <w:rFonts w:asciiTheme="minorHAnsi" w:hAnsiTheme="minorHAnsi" w:eastAsiaTheme="minorEastAsia" w:cstheme="minorBidi"/>
      <w:sz w:val="21"/>
      <w:szCs w:val="24"/>
    </w:rPr>
  </w:style>
  <w:style w:type="character" w:styleId="963" w:customStyle="1">
    <w:name w:val="未处理的提及1"/>
    <w:basedOn w:val="766"/>
    <w:uiPriority w:val="99"/>
    <w:semiHidden/>
    <w:unhideWhenUsed/>
    <w:qFormat/>
    <w:rPr>
      <w:color w:val="605e5c"/>
      <w:shd w:val="clear" w:color="auto" w:fill="e1dfdd"/>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蒋丰羽</cp:lastModifiedBy>
  <cp:revision>304</cp:revision>
  <dcterms:created xsi:type="dcterms:W3CDTF">2014-10-29T12:08:00Z</dcterms:created>
  <dcterms:modified xsi:type="dcterms:W3CDTF">2026-06-04T03:49:24Z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545095F3A6D34E2CBFA55B03FC424F01_13</vt:lpwstr>
  </property>
  <property fmtid="{D5CDD505-2E9C-101B-9397-08002B2CF9AE}" pid="4" name="KSOTemplateDocerSaveRecord">
    <vt:lpwstr>eyJoZGlkIjoiNDlmNTc2OGE5ZmRjZGY4OTI0OWFiOGEyN2RhZWZmNjUiLCJ1c2VySWQiOiIyNjYxNTYwNjkifQ==</vt:lpwstr>
  </property>
</Properties>
</file>