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spacing w:before="120" w:beforeAutospacing="0" w:after="120" w:afterAutospacing="0" w:line="360" w:lineRule="auto"/>
        <w:rPr>
          <w:highlight w:val="none"/>
        </w:rPr>
      </w:pPr>
      <w:r>
        <w:rPr>
          <w:highlight w:val="none"/>
        </w:rPr>
        <w:t xml:space="preserve"> </w:t>
      </w:r>
      <w:r/>
    </w:p>
    <w:p>
      <w:pPr>
        <w:pStyle w:val="66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6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663"/>
        <w:jc w:val="both"/>
        <w:spacing w:before="120" w:beforeAutospacing="0" w:after="120" w:afterAutospacing="0" w:line="360" w:lineRule="auto"/>
        <w:rPr>
          <w:rFonts w:hint="eastAsia" w:ascii="Arial" w:hAnsi="Arial" w:cs="Arial"/>
          <w:b/>
          <w:color w:val="000000"/>
          <w:sz w:val="84"/>
          <w:szCs w:val="84"/>
          <w:highlight w:val="none"/>
          <w:lang w:eastAsia="zh-CN"/>
        </w:rPr>
      </w:pPr>
      <w:r>
        <w:rPr>
          <w:rFonts w:hint="eastAsia" w:ascii="Arial" w:hAnsi="Arial" w:cs="Arial"/>
          <w:b/>
          <w:color w:val="000000"/>
          <w:sz w:val="84"/>
          <w:szCs w:val="84"/>
          <w:highlight w:val="none"/>
          <w:lang w:eastAsia="zh-CN"/>
        </w:rPr>
      </w:r>
      <w:r/>
    </w:p>
    <w:p>
      <w:pPr>
        <w:pStyle w:val="663"/>
        <w:ind w:firstLine="643"/>
        <w:spacing w:before="120" w:beforeAutospacing="0" w:after="120" w:afterAutospacing="0" w:line="360" w:lineRule="auto"/>
        <w:rPr>
          <w:rFonts w:hint="eastAsia" w:ascii="Arial" w:hAnsi="Arial" w:cs="Arial" w:eastAsiaTheme="minorEastAsia"/>
          <w:b/>
          <w:color w:val="000000"/>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盐城市亭湖区教育局2026年采购体育健身器材采购项目</w:t>
      </w:r>
      <w:r/>
    </w:p>
    <w:p>
      <w:pPr>
        <w:pStyle w:val="663"/>
        <w:spacing w:before="120" w:beforeAutospacing="0" w:after="120" w:afterAutospacing="0" w:line="360" w:lineRule="auto"/>
        <w:rPr>
          <w:rFonts w:hint="default" w:ascii="Arial" w:hAnsi="Arial" w:cs="Arial"/>
          <w:b/>
          <w:color w:val="000000"/>
          <w:sz w:val="32"/>
          <w:szCs w:val="32"/>
          <w:highlight w:val="none"/>
          <w:lang w:val="en-US" w:eastAsia="zh-CN"/>
        </w:rPr>
      </w:pPr>
      <w:r>
        <w:rPr>
          <w:rFonts w:hint="default" w:ascii="Arial" w:hAnsi="Arial" w:cs="Arial"/>
          <w:b/>
          <w:color w:val="000000"/>
          <w:sz w:val="32"/>
          <w:szCs w:val="32"/>
          <w:highlight w:val="none"/>
          <w:lang w:val="en-US" w:eastAsia="zh-CN"/>
        </w:rPr>
      </w:r>
      <w:r/>
    </w:p>
    <w:p>
      <w:pPr>
        <w:pStyle w:val="663"/>
        <w:ind w:firstLine="643"/>
        <w:jc w:val="both"/>
        <w:spacing w:before="120" w:beforeAutospacing="0" w:after="120" w:afterAutospacing="0" w:line="360" w:lineRule="auto"/>
        <w:rPr>
          <w:highlight w:val="none"/>
        </w:rPr>
      </w:pPr>
      <w:r>
        <w:rPr>
          <w:rFonts w:ascii="Arial" w:hAnsi="Arial" w:cs="Arial"/>
          <w:b/>
          <w:color w:val="000000"/>
          <w:sz w:val="32"/>
          <w:szCs w:val="32"/>
          <w:highlight w:val="none"/>
        </w:rPr>
        <w:t xml:space="preserve">项目编号：JSZC-320902-ZGGC-G2026-0006</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spacing w:beforeAutospacing="0" w:afterAutospacing="0" w:line="360" w:lineRule="auto"/>
        <w:rPr>
          <w:highlight w:val="none"/>
        </w:rPr>
      </w:pPr>
      <w:r>
        <w:rPr>
          <w:highlight w:val="none"/>
        </w:rPr>
        <w:t xml:space="preserve"> </w:t>
      </w:r>
      <w:r/>
    </w:p>
    <w:p>
      <w:pPr>
        <w:pStyle w:val="663"/>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黑体" w:hAnsi="黑体" w:eastAsia="黑体" w:cs="黑体"/>
          <w:bCs/>
          <w:color w:val="000000"/>
          <w:sz w:val="32"/>
          <w:szCs w:val="32"/>
        </w:rPr>
        <w:t xml:space="preserve">盐城市亭湖区教育局</w:t>
      </w:r>
      <w:r/>
    </w:p>
    <w:p>
      <w:pPr>
        <w:pStyle w:val="663"/>
        <w:jc w:val="center"/>
        <w:spacing w:before="120" w:beforeAutospacing="0" w:after="120" w:afterAutospacing="0" w:line="360" w:lineRule="auto"/>
        <w:rPr>
          <w:highlight w:val="none"/>
          <w:u w:val="none"/>
        </w:rPr>
      </w:pPr>
      <w:r>
        <w:rPr>
          <w:rFonts w:hint="eastAsia" w:ascii="Arial" w:hAnsi="Arial" w:cs="Arial"/>
          <w:b/>
          <w:color w:val="000000"/>
          <w:sz w:val="32"/>
          <w:szCs w:val="32"/>
          <w:highlight w:val="none"/>
          <w:u w:val="none"/>
          <w:lang w:val="en-US" w:eastAsia="zh-CN"/>
        </w:rPr>
        <w:t xml:space="preserve">2026</w:t>
      </w:r>
      <w:r>
        <w:rPr>
          <w:rFonts w:ascii="Arial" w:hAnsi="Arial" w:cs="Arial"/>
          <w:b/>
          <w:color w:val="000000"/>
          <w:sz w:val="32"/>
          <w:szCs w:val="32"/>
          <w:highlight w:val="none"/>
          <w:u w:val="none"/>
        </w:rPr>
        <w:t xml:space="preserve">年</w:t>
      </w:r>
      <w:r>
        <w:rPr>
          <w:rFonts w:hint="eastAsia" w:ascii="Arial" w:hAnsi="Arial" w:cs="Arial"/>
          <w:b/>
          <w:color w:val="000000"/>
          <w:sz w:val="32"/>
          <w:szCs w:val="32"/>
          <w:highlight w:val="none"/>
          <w:u w:val="none"/>
          <w:lang w:val="en-US" w:eastAsia="zh-CN"/>
        </w:rPr>
        <w:t xml:space="preserve">08</w:t>
      </w:r>
      <w:r>
        <w:rPr>
          <w:rFonts w:ascii="Arial" w:hAnsi="Arial" w:cs="Arial"/>
          <w:b/>
          <w:color w:val="000000"/>
          <w:sz w:val="32"/>
          <w:szCs w:val="32"/>
          <w:highlight w:val="none"/>
          <w:u w:val="none"/>
        </w:rPr>
        <w:t xml:space="preserve">月</w:t>
      </w:r>
      <w:r/>
    </w:p>
    <w:p>
      <w:pPr>
        <w:pStyle w:val="663"/>
        <w:spacing w:before="120" w:beforeAutospacing="0" w:after="120" w:afterAutospacing="0" w:line="360" w:lineRule="auto"/>
        <w:rPr>
          <w:highlight w:val="none"/>
        </w:rPr>
      </w:pPr>
      <w:r>
        <w:rPr>
          <w:rFonts w:ascii="Arial" w:hAnsi="Arial" w:cs="Arial"/>
          <w:color w:val="000000"/>
          <w:highlight w:val="none"/>
        </w:rPr>
        <w:t xml:space="preserve">                        </w:t>
      </w:r>
      <w:r/>
    </w:p>
    <w:p>
      <w:pPr>
        <w:pStyle w:val="663"/>
        <w:jc w:val="center"/>
        <w:spacing w:before="120" w:beforeAutospacing="0" w:after="120" w:afterAutospacing="0" w:line="360" w:lineRule="auto"/>
        <w:rPr>
          <w:highlight w:val="none"/>
        </w:rPr>
      </w:pPr>
      <w:r>
        <w:rPr>
          <w:highlight w:val="none"/>
        </w:rPr>
        <w:t xml:space="preserve"> </w:t>
      </w:r>
      <w:r/>
    </w:p>
    <w:p>
      <w:pPr>
        <w:pStyle w:val="663"/>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20614210"/>
      <w:r/>
      <w:bookmarkStart w:id="1" w:name="_Toc20823272"/>
      <w:r/>
      <w:bookmarkStart w:id="2" w:name="_Toc16938516"/>
      <w:r/>
      <w:bookmarkStart w:id="3" w:name="_Toc513029200"/>
      <w:r/>
      <w:bookmarkStart w:id="4" w:name="_Toc479757206"/>
      <w:r/>
      <w:bookmarkStart w:id="5" w:name="_Toc523127445"/>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63"/>
        <w:jc w:val="both"/>
        <w:spacing w:beforeAutospacing="0" w:afterAutospacing="0" w:line="480" w:lineRule="auto"/>
        <w:rPr>
          <w:highlight w:val="none"/>
        </w:rPr>
      </w:pPr>
      <w:r>
        <w:rPr>
          <w:highlight w:val="none"/>
        </w:rPr>
        <w:t xml:space="preserve"> </w:t>
      </w:r>
      <w:r/>
    </w:p>
    <w:p>
      <w:pPr>
        <w:pStyle w:val="663"/>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663"/>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25</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34</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47</w:t>
      </w:r>
      <w:r/>
    </w:p>
    <w:p>
      <w:pPr>
        <w:pStyle w:val="663"/>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51</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center"/>
        <w:keepNext/>
        <w:spacing w:beforeAutospacing="0" w:afterAutospacing="0"/>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63"/>
        <w:ind w:firstLine="482"/>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63"/>
        <w:ind w:firstLine="482"/>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盐城市亭湖区教育局2026年采购体育健身器材采购项目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 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7" w:name="_Toc35393621"/>
      <w:r/>
      <w:bookmarkStart w:id="8" w:name="_Toc35393790"/>
      <w:r/>
      <w:bookmarkStart w:id="9" w:name="_Toc38985263"/>
      <w:r/>
      <w:bookmarkStart w:id="10" w:name="_Toc28359079"/>
      <w:r/>
      <w:bookmarkStart w:id="11" w:name="_Hlk24379207"/>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63"/>
        <w:ind w:firstLine="480"/>
        <w:jc w:val="both"/>
        <w:pageBreakBefore w:val="0"/>
        <w:spacing w:beforeAutospacing="0" w:afterAutospacing="0" w:line="50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138.8万元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color w:val="000000"/>
          <w:sz w:val="24"/>
          <w:szCs w:val="24"/>
          <w:highlight w:val="none"/>
          <w:lang w:val="en-US" w:eastAsia="zh-CN"/>
        </w:rPr>
        <w:t xml:space="preserve">138.8万元，采购人不接受高于最高限价的投标报价，投标报价高于最高限价的视为无效标书。</w:t>
      </w:r>
      <w:r/>
    </w:p>
    <w:p>
      <w:pPr>
        <w:pStyle w:val="663"/>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w:t>
      </w:r>
      <w:r>
        <w:rPr>
          <w:rFonts w:hint="eastAsia" w:ascii="宋体" w:hAnsi="宋体" w:eastAsia="宋体" w:cs="宋体"/>
          <w:color w:val="000000"/>
          <w:sz w:val="24"/>
          <w:szCs w:val="24"/>
          <w:highlight w:val="none"/>
          <w:shd w:val="clear" w:color="auto" w:fill="auto"/>
          <w:lang w:eastAsia="zh-CN"/>
        </w:rPr>
        <w:t xml:space="preserve">盐城市亭湖区教育局2026年采购体育健身器材采购项目</w:t>
      </w:r>
      <w:r>
        <w:rPr>
          <w:rFonts w:hint="eastAsia" w:ascii="宋体" w:hAnsi="宋体" w:eastAsia="宋体" w:cs="宋体"/>
          <w:color w:val="000000"/>
          <w:sz w:val="24"/>
          <w:szCs w:val="24"/>
          <w:highlight w:val="none"/>
          <w:shd w:val="clear" w:color="auto" w:fill="auto"/>
        </w:rPr>
        <w:t xml:space="preserve">，包含一代健身路径5</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套；二代健身路径2套；</w:t>
      </w:r>
      <w:r>
        <w:rPr>
          <w:rFonts w:hint="eastAsia" w:ascii="宋体" w:hAnsi="宋体" w:eastAsia="宋体" w:cs="宋体"/>
          <w:color w:val="000000"/>
          <w:sz w:val="24"/>
          <w:szCs w:val="24"/>
          <w:highlight w:val="none"/>
          <w:shd w:val="clear" w:color="auto" w:fill="auto"/>
          <w:lang w:eastAsia="zh-CN"/>
        </w:rPr>
        <w:t xml:space="preserve">移动式</w:t>
      </w:r>
      <w:r>
        <w:rPr>
          <w:rFonts w:hint="eastAsia" w:ascii="宋体" w:hAnsi="宋体" w:eastAsia="宋体" w:cs="宋体"/>
          <w:color w:val="000000"/>
          <w:sz w:val="24"/>
          <w:szCs w:val="24"/>
          <w:highlight w:val="none"/>
          <w:shd w:val="clear" w:color="auto" w:fill="auto"/>
        </w:rPr>
        <w:t xml:space="preserve">篮球架</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只；室外乒乓球台</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张；室内乒乓球台</w:t>
      </w:r>
      <w:r>
        <w:rPr>
          <w:rFonts w:hint="eastAsia" w:ascii="宋体" w:hAnsi="宋体" w:eastAsia="宋体" w:cs="宋体"/>
          <w:color w:val="000000"/>
          <w:sz w:val="24"/>
          <w:szCs w:val="24"/>
          <w:highlight w:val="none"/>
          <w:shd w:val="clear" w:color="auto" w:fill="auto"/>
          <w:lang w:val="en-US" w:eastAsia="zh-CN"/>
        </w:rPr>
        <w:t xml:space="preserve">42</w:t>
      </w:r>
      <w:r>
        <w:rPr>
          <w:rFonts w:hint="eastAsia" w:ascii="宋体" w:hAnsi="宋体" w:eastAsia="宋体" w:cs="宋体"/>
          <w:color w:val="000000"/>
          <w:sz w:val="24"/>
          <w:szCs w:val="24"/>
          <w:highlight w:val="none"/>
          <w:shd w:val="clear" w:color="auto" w:fill="auto"/>
        </w:rPr>
        <w:t xml:space="preserve">张；采购内容包括但不限于以上货物的采购、运输、安装、调试及售后等相关伴随服务。（详细内容见本招标文件第四章）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.合同履行期限：合同签订后30日内供货到采购人指定地点，安装调试完毕并经采购人验收合格。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8.本项目不接受联合体投标。</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13" w:name="_Toc38985264"/>
      <w:r/>
      <w:bookmarkStart w:id="14" w:name="_Toc28359003"/>
      <w:r/>
      <w:bookmarkStart w:id="15" w:name="_Toc28359080"/>
      <w:r/>
      <w:bookmarkStart w:id="16" w:name="_Toc35393791"/>
      <w:r/>
      <w:bookmarkStart w:id="17" w:name="_Toc35393622"/>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w:t>
      </w:r>
      <w:r>
        <w:rPr>
          <w:rFonts w:hint="eastAsia" w:ascii="宋体" w:hAnsi="宋体" w:eastAsia="宋体" w:cs="宋体"/>
          <w:color w:val="auto"/>
          <w:sz w:val="24"/>
          <w:szCs w:val="24"/>
          <w:highlight w:val="none"/>
          <w:shd w:val="clear" w:color="auto" w:fill="auto"/>
        </w:rPr>
        <w:t xml:space="preserve">府采购法》第二十二条规定，并提供下列材料：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w:t>
      </w:r>
      <w:r>
        <w:rPr>
          <w:rFonts w:hint="eastAsia" w:ascii="宋体" w:hAnsi="宋体" w:eastAsia="宋体" w:cs="宋体"/>
          <w:color w:val="auto"/>
          <w:sz w:val="24"/>
          <w:szCs w:val="24"/>
          <w:highlight w:val="none"/>
          <w:shd w:val="clear" w:color="auto" w:fill="auto"/>
          <w:lang w:val="en-US" w:eastAsia="zh-CN"/>
        </w:rPr>
        <w:t xml:space="preserve">或</w:t>
      </w:r>
      <w:r>
        <w:rPr>
          <w:rFonts w:hint="eastAsia" w:ascii="宋体" w:hAnsi="宋体" w:eastAsia="宋体" w:cs="宋体"/>
          <w:color w:val="auto"/>
          <w:sz w:val="24"/>
          <w:szCs w:val="24"/>
          <w:highlight w:val="none"/>
          <w:shd w:val="clear" w:color="auto" w:fill="auto"/>
        </w:rPr>
        <w:t xml:space="preserve">自然人的身份证明；</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告（至少提供资产负债表、利润表、现金流量表，</w:t>
      </w:r>
      <w:r>
        <w:rPr>
          <w:rFonts w:hint="eastAsia" w:ascii="宋体" w:hAnsi="宋体" w:eastAsia="宋体" w:cs="宋体"/>
          <w:color w:val="auto"/>
          <w:sz w:val="24"/>
          <w:szCs w:val="24"/>
          <w:highlight w:val="none"/>
          <w:shd w:val="clear" w:color="auto" w:fill="auto"/>
        </w:rPr>
        <w:t xml:space="preserve">投标人成立不满一年无需提供）；</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w:t>
      </w:r>
      <w:r>
        <w:rPr>
          <w:rFonts w:hint="eastAsia" w:ascii="宋体" w:hAnsi="宋体" w:eastAsia="宋体" w:cs="宋体"/>
          <w:color w:val="000000"/>
          <w:sz w:val="24"/>
          <w:szCs w:val="24"/>
          <w:highlight w:val="none"/>
          <w:shd w:val="clear" w:color="auto" w:fill="auto"/>
        </w:rPr>
        <w:t xml:space="preserve">技术能力的书面声明；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单位负责人为同一人或者存在直接控股、管理关系的不同供应商，不得参加同一合同项下的政府采购活动。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b/>
          <w:bCs/>
          <w:color w:val="000000"/>
          <w:sz w:val="24"/>
          <w:szCs w:val="24"/>
          <w:highlight w:val="none"/>
          <w:shd w:val="clear" w:color="auto" w:fill="auto"/>
        </w:rPr>
        <w:t xml:space="preserve">落实政府采购政策需满足的资格要求：本项目专门面向中小</w:t>
      </w:r>
      <w:r>
        <w:rPr>
          <w:rFonts w:hint="eastAsia" w:ascii="宋体" w:hAnsi="宋体" w:eastAsia="宋体" w:cs="宋体"/>
          <w:b/>
          <w:bCs/>
          <w:color w:val="000000"/>
          <w:sz w:val="24"/>
          <w:szCs w:val="24"/>
          <w:highlight w:val="none"/>
          <w:shd w:val="clear" w:color="auto" w:fill="auto"/>
          <w:lang w:val="en-US" w:eastAsia="zh-CN"/>
        </w:rPr>
        <w:t xml:space="preserve">微</w:t>
      </w:r>
      <w:r>
        <w:rPr>
          <w:rFonts w:hint="eastAsia" w:ascii="宋体" w:hAnsi="宋体" w:eastAsia="宋体" w:cs="宋体"/>
          <w:b/>
          <w:bCs/>
          <w:color w:val="000000"/>
          <w:sz w:val="24"/>
          <w:szCs w:val="24"/>
          <w:highlight w:val="none"/>
          <w:shd w:val="clear" w:color="auto" w:fill="auto"/>
        </w:rPr>
        <w:t xml:space="preserve">企业采购。投标人需按照招标文件的要求提供相应的《中小企业声明函》。企业标准请参照《关于印发中小企业划型标准规定的通知》（工信部联企业[2011]300号）文件规定自行填写</w:t>
      </w:r>
      <w:r>
        <w:rPr>
          <w:rFonts w:hint="eastAsia" w:ascii="宋体" w:hAnsi="宋体" w:eastAsia="宋体" w:cs="宋体"/>
          <w:b/>
          <w:color w:val="auto"/>
          <w:sz w:val="24"/>
          <w:szCs w:val="24"/>
          <w:highlight w:val="none"/>
        </w:rPr>
        <w:t xml:space="preserve">，否则按无效标处理。</w:t>
      </w:r>
      <w:r/>
    </w:p>
    <w:p>
      <w:pPr>
        <w:pStyle w:val="663"/>
        <w:ind w:firstLine="480"/>
        <w:jc w:val="both"/>
        <w:pageBreakBefore w:val="0"/>
        <w:spacing w:beforeAutospacing="0" w:afterAutospacing="0" w:line="500" w:lineRule="exact"/>
        <w:widowControl w:val="off"/>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3.</w:t>
      </w:r>
      <w:r>
        <w:rPr>
          <w:rFonts w:hint="eastAsia" w:ascii="宋体" w:hAnsi="宋体" w:eastAsia="宋体" w:cs="宋体"/>
          <w:b w:val="0"/>
          <w:bCs w:val="0"/>
          <w:color w:val="000000"/>
          <w:sz w:val="24"/>
          <w:szCs w:val="24"/>
          <w:highlight w:val="none"/>
          <w:shd w:val="clear" w:color="auto" w:fill="auto"/>
        </w:rPr>
        <w:t xml:space="preserve">本项目的特定资格要求</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无</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08</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bookmarkStart w:id="23" w:name="_Toc28359084"/>
      <w:r/>
      <w:bookmarkStart w:id="24" w:name="_Toc28359007"/>
      <w:r/>
      <w:bookmarkStart w:id="25" w:name="_Toc35393625"/>
      <w:r/>
      <w:bookmarkStart w:id="26" w:name="_Toc35393794"/>
      <w:r/>
      <w:bookmarkStart w:id="27" w:name="_Toc3898526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28" w:name="_Toc38985268"/>
      <w:r/>
      <w:bookmarkStart w:id="29" w:name="_Toc35393626"/>
      <w:r/>
      <w:bookmarkStart w:id="30" w:name="_Toc35393795"/>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8"/>
      <w:r/>
      <w:bookmarkEnd w:id="29"/>
      <w:r/>
      <w:bookmarkEnd w:id="30"/>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盐城市盐都区府西路1号盐城市政务服务中心四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采购文件（后缀名为“.kedt”）、供应商操作手册及政府采购客户端工具可通过“苏采云”系统相应链接进行下载。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w:t>
      </w:r>
      <w:r>
        <w:rPr>
          <w:rFonts w:hint="eastAsia" w:ascii="宋体" w:hAnsi="宋体" w:cs="宋体"/>
          <w:color w:val="000000"/>
          <w:sz w:val="24"/>
          <w:lang w:val="en-US" w:eastAsia="zh-CN"/>
        </w:rPr>
        <w:t xml:space="preserve">招标代理</w:t>
      </w:r>
      <w:r>
        <w:rPr>
          <w:rFonts w:hint="eastAsia" w:ascii="宋体" w:hAnsi="宋体" w:eastAsia="宋体" w:cs="宋体"/>
          <w:color w:val="000000"/>
          <w:sz w:val="24"/>
          <w:szCs w:val="24"/>
          <w:highlight w:val="none"/>
          <w:shd w:val="clear" w:color="auto" w:fill="auto"/>
          <w:lang w:val="en-US" w:eastAsia="zh-CN"/>
        </w:rPr>
        <w:t xml:space="preserve">在“中国政府采购网”“江苏政府采购网”“盐城市政府采购网”发布的更正公告。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ascii="宋体" w:hAnsi="宋体" w:eastAsia="宋体" w:cs="宋体"/>
          <w:szCs w:val="21"/>
        </w:rPr>
        <w:t xml:space="preserve">盐城市亭湖区教育局</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w:t>
      </w:r>
      <w:r>
        <w:rPr>
          <w:rFonts w:hint="eastAsia" w:ascii="宋体" w:hAnsi="宋体" w:eastAsia="宋体" w:cs="宋体"/>
          <w:szCs w:val="21"/>
        </w:rPr>
        <w:t xml:space="preserve">盐城市亭湖区毓龙东路69号</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ascii="宋体" w:hAnsi="宋体" w:eastAsia="宋体" w:cs="宋体"/>
          <w:szCs w:val="21"/>
        </w:rPr>
        <w:t xml:space="preserve">王先生</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r>
        <w:rPr>
          <w:rFonts w:hint="eastAsia" w:ascii="宋体" w:hAnsi="宋体" w:eastAsia="宋体" w:cs="宋体"/>
          <w:szCs w:val="21"/>
        </w:rPr>
        <w:t xml:space="preserve">15251051819</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ascii="宋体" w:hAnsi="宋体" w:eastAsia="宋体" w:cs="宋体"/>
          <w:color w:val="auto"/>
          <w:sz w:val="24"/>
          <w:szCs w:val="24"/>
          <w:highlight w:val="none"/>
          <w:lang w:eastAsia="zh-CN"/>
        </w:rPr>
        <w:t xml:space="preserve">江苏至公工程项目管理有限公司</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w:t>
      </w:r>
      <w:r>
        <w:rPr>
          <w:rFonts w:hint="eastAsia" w:ascii="Calibri" w:hAnsi="宋体" w:eastAsia="宋体" w:cs="宋体"/>
          <w:color w:val="000000"/>
          <w:sz w:val="24"/>
          <w:szCs w:val="24"/>
          <w:highlight w:val="none"/>
          <w:lang w:eastAsia="zh-CN"/>
        </w:rPr>
        <w:t xml:space="preserve">盐城市亭湖区绿地商务城11-1幢、二层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ascii="宋体" w:hAnsi="宋体" w:cs="宋体"/>
          <w:color w:val="auto"/>
          <w:sz w:val="24"/>
          <w:szCs w:val="24"/>
          <w:highlight w:val="none"/>
          <w:lang w:val="en-US" w:eastAsia="zh-CN"/>
        </w:rPr>
        <w:t xml:space="preserve">吴女士</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87"/>
      <w:r/>
      <w:bookmarkStart w:id="33" w:name="_Toc28359010"/>
      <w:r>
        <w:rPr>
          <w:rFonts w:hint="eastAsia" w:ascii="宋体" w:hAnsi="宋体" w:cs="宋体"/>
          <w:i w:val="0"/>
          <w:iCs w:val="0"/>
          <w:caps w:val="0"/>
          <w:color w:val="auto"/>
          <w:spacing w:val="0"/>
          <w:sz w:val="24"/>
          <w:szCs w:val="24"/>
          <w:highlight w:val="none"/>
          <w:shd w:val="clear" w:color="auto" w:fill="auto"/>
          <w:lang w:val="en-US" w:eastAsia="zh-CN"/>
        </w:rPr>
        <w:t xml:space="preserve">13815575083</w:t>
      </w:r>
      <w:r>
        <w:rPr>
          <w:rFonts w:hint="eastAsia" w:ascii="宋体" w:hAnsi="宋体" w:eastAsia="宋体" w:cs="宋体"/>
          <w:color w:val="000000"/>
          <w:sz w:val="24"/>
          <w:szCs w:val="24"/>
          <w:highlight w:val="none"/>
          <w:shd w:val="clear" w:color="auto" w:fill="auto"/>
          <w:lang w:val="en-US" w:eastAsia="zh-CN"/>
        </w:rPr>
        <w:t xml:space="preserve">       </w:t>
      </w:r>
      <w:bookmarkEnd w:id="32"/>
      <w:r/>
      <w:bookmarkEnd w:id="33"/>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w:t>
      </w:r>
      <w:r>
        <w:rPr>
          <w:rFonts w:hint="eastAsia" w:ascii="宋体" w:hAnsi="宋体" w:eastAsia="宋体" w:cs="宋体"/>
          <w:szCs w:val="21"/>
        </w:rPr>
        <w:t xml:space="preserve">王先生</w:t>
      </w:r>
      <w:r>
        <w:rPr>
          <w:rFonts w:hint="eastAsia" w:ascii="宋体" w:hAnsi="宋体" w:eastAsia="宋体" w:cs="宋体"/>
          <w:color w:val="000000"/>
          <w:sz w:val="24"/>
          <w:szCs w:val="24"/>
          <w:highlight w:val="non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w:t>
      </w:r>
      <w:r>
        <w:rPr>
          <w:rFonts w:hint="eastAsia" w:ascii="宋体" w:hAnsi="宋体" w:eastAsia="宋体" w:cs="宋体"/>
          <w:szCs w:val="21"/>
        </w:rPr>
        <w:t xml:space="preserve">15251051819</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63"/>
        <w:ind w:firstLine="2429"/>
        <w:jc w:val="both"/>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513029202"/>
      <w:r/>
      <w:bookmarkStart w:id="38" w:name="_Toc16938518"/>
      <w:r/>
      <w:bookmarkStart w:id="39" w:name="_Toc120614213"/>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40" w:name="_Toc20823275"/>
      <w:r/>
      <w:bookmarkStart w:id="41" w:name="_Toc16938519"/>
      <w:r/>
      <w:bookmarkStart w:id="42" w:name="_Toc120614214"/>
      <w:r/>
      <w:bookmarkStart w:id="43" w:name="_Toc513029203"/>
      <w:r>
        <w:rPr>
          <w:rFonts w:hint="eastAsia" w:ascii="宋体" w:hAnsi="宋体" w:eastAsia="宋体" w:cs="宋体"/>
          <w:b/>
          <w:color w:val="auto"/>
          <w:sz w:val="24"/>
          <w:szCs w:val="24"/>
          <w:highlight w:val="none"/>
          <w:lang w:val="en-US" w:eastAsia="zh-CN"/>
        </w:rPr>
        <w:t xml:space="preserve">一、总则</w:t>
      </w:r>
      <w:bookmarkEnd w:id="40"/>
      <w:r/>
      <w:bookmarkEnd w:id="41"/>
      <w:r/>
      <w:bookmarkEnd w:id="42"/>
      <w:r/>
      <w:bookmarkEnd w:id="43"/>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44" w:name="_Toc20823276"/>
      <w:r/>
      <w:bookmarkStart w:id="45" w:name="_Toc16938520"/>
      <w:r/>
      <w:bookmarkStart w:id="46" w:name="_Toc513029204"/>
      <w:r/>
      <w:bookmarkStart w:id="47" w:name="_Toc458694821"/>
      <w:r/>
      <w:bookmarkStart w:id="48" w:name="_Hlt16619475"/>
      <w:r>
        <w:rPr>
          <w:rFonts w:hint="eastAsia" w:ascii="宋体" w:hAnsi="宋体" w:eastAsia="宋体" w:cs="宋体"/>
          <w:color w:val="000000"/>
          <w:sz w:val="24"/>
          <w:szCs w:val="24"/>
          <w:highlight w:val="none"/>
          <w:shd w:val="clear" w:color="auto" w:fill="auto"/>
          <w:lang w:val="en-US" w:eastAsia="zh-CN"/>
        </w:rPr>
        <w:t xml:space="preserve">1</w:t>
      </w:r>
      <w:bookmarkEnd w:id="44"/>
      <w:r>
        <w:rPr>
          <w:rFonts w:hint="eastAsia" w:ascii="宋体" w:hAnsi="宋体" w:eastAsia="宋体" w:cs="宋体"/>
          <w:color w:val="000000"/>
          <w:sz w:val="24"/>
          <w:szCs w:val="24"/>
          <w:highlight w:val="none"/>
          <w:shd w:val="clear" w:color="auto" w:fill="auto"/>
          <w:lang w:val="en-US" w:eastAsia="zh-CN"/>
        </w:rPr>
        <w:t xml:space="preserve">、招标方式</w:t>
      </w:r>
      <w:bookmarkEnd w:id="45"/>
      <w:r/>
      <w:bookmarkEnd w:id="46"/>
      <w:r/>
      <w:bookmarkEnd w:id="4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 本次招标采取公开招标方式，本招标文件仅适用于招标公告中所述项目。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shd w:val="clear" w:color="auto" w:fill="auto"/>
          <w:lang w:val="en-US" w:eastAsia="zh-CN"/>
        </w:rPr>
        <w:t xml:space="preserve">2、合格的投标人</w:t>
      </w:r>
      <w:bookmarkEnd w:id="49"/>
      <w:r/>
      <w:bookmarkEnd w:id="50"/>
      <w:r/>
      <w:bookmarkEnd w:id="5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2.1满足招标公告中供应商的资格要求的规定。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满足本文件实质性要求和条件的规定。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52" w:name="_Toc16938522"/>
      <w:r/>
      <w:bookmarkStart w:id="53" w:name="_Toc20823278"/>
      <w:r/>
      <w:bookmarkStart w:id="54" w:name="_Toc513029206"/>
      <w:r>
        <w:rPr>
          <w:rFonts w:hint="eastAsia" w:ascii="宋体" w:hAnsi="宋体" w:eastAsia="宋体" w:cs="宋体"/>
          <w:color w:val="000000"/>
          <w:sz w:val="24"/>
          <w:szCs w:val="24"/>
          <w:highlight w:val="none"/>
          <w:shd w:val="clear" w:color="auto" w:fill="auto"/>
          <w:lang w:val="en-US" w:eastAsia="zh-CN"/>
        </w:rPr>
        <w:t xml:space="preserve">3、适用法律</w:t>
      </w:r>
      <w:bookmarkEnd w:id="52"/>
      <w:r/>
      <w:bookmarkEnd w:id="53"/>
      <w:r/>
      <w:bookmarkEnd w:id="54"/>
      <w:r>
        <w:rPr>
          <w:rFonts w:hint="eastAsia" w:ascii="宋体" w:hAnsi="宋体" w:eastAsia="宋体" w:cs="宋体"/>
          <w:color w:val="000000"/>
          <w:sz w:val="24"/>
          <w:szCs w:val="24"/>
          <w:highlight w:val="none"/>
          <w:shd w:val="clear" w:color="auto" w:fill="auto"/>
          <w:lang w:val="en-US" w:eastAsia="zh-CN"/>
        </w:rPr>
        <w:t xml:space="preserve">和标准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 本次招标及由此产生的合同受中华人民共和国有关的法律法规制约和保护。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 在本项目政府采购活动过程中，如果所执行的标准有更新的，按照最新标准执行。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55" w:name="_Toc20823279"/>
      <w:r/>
      <w:bookmarkStart w:id="56" w:name="_Toc513029207"/>
      <w:r/>
      <w:bookmarkStart w:id="57" w:name="_Toc16938523"/>
      <w:r/>
      <w:bookmarkStart w:id="58" w:name="_Toc462564067"/>
      <w:r>
        <w:rPr>
          <w:rFonts w:hint="eastAsia" w:ascii="宋体" w:hAnsi="宋体" w:eastAsia="宋体" w:cs="宋体"/>
          <w:color w:val="000000"/>
          <w:sz w:val="24"/>
          <w:szCs w:val="24"/>
          <w:highlight w:val="none"/>
          <w:shd w:val="clear" w:color="auto" w:fill="auto"/>
          <w:lang w:val="en-US" w:eastAsia="zh-CN"/>
        </w:rPr>
        <w:t xml:space="preserve">4、投标费用</w:t>
      </w:r>
      <w:bookmarkEnd w:id="55"/>
      <w:r/>
      <w:bookmarkEnd w:id="56"/>
      <w:r/>
      <w:bookmarkEnd w:id="57"/>
      <w:r/>
      <w:bookmarkEnd w:id="5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rPr>
        <w:t xml:space="preserve">采购代理机构在</w:t>
      </w:r>
      <w:r>
        <w:rPr>
          <w:rFonts w:hint="eastAsia" w:ascii="宋体" w:hAnsi="宋体" w:eastAsia="宋体" w:cs="宋体"/>
          <w:color w:val="000000"/>
          <w:sz w:val="24"/>
          <w:szCs w:val="24"/>
          <w:highlight w:val="none"/>
          <w:shd w:val="clear" w:color="auto" w:fill="auto"/>
          <w:lang w:val="en-US" w:eastAsia="zh-CN"/>
        </w:rPr>
        <w:t xml:space="preserve">任何情况下均无义务和责任承担这些费用。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4.2本次招标采购代理机构和采购人不收取标书工本费。</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4.3本次</w:t>
      </w:r>
      <w:r>
        <w:rPr>
          <w:rFonts w:hint="eastAsia" w:ascii="宋体" w:hAnsi="宋体" w:eastAsia="宋体" w:cs="宋体"/>
          <w:b/>
          <w:bCs/>
          <w:color w:val="000000"/>
          <w:highlight w:val="none"/>
        </w:rPr>
        <w:t xml:space="preserve">招标代理费参照苏招协【2022】002号文招标收费标准</w:t>
      </w:r>
      <w:r>
        <w:rPr>
          <w:rFonts w:hint="eastAsia" w:ascii="宋体" w:hAnsi="宋体" w:eastAsia="宋体" w:cs="宋体"/>
          <w:b/>
          <w:bCs/>
          <w:color w:val="000000"/>
          <w:highlight w:val="none"/>
          <w:lang w:eastAsia="zh-CN"/>
        </w:rPr>
        <w:t xml:space="preserve">的</w:t>
      </w:r>
      <w:r>
        <w:rPr>
          <w:rFonts w:hint="eastAsia" w:ascii="宋体" w:hAnsi="宋体" w:eastAsia="宋体" w:cs="宋体"/>
          <w:b/>
          <w:bCs/>
          <w:color w:val="000000"/>
          <w:highlight w:val="none"/>
        </w:rPr>
        <w:t xml:space="preserve">计取（</w:t>
      </w:r>
      <w:r>
        <w:rPr>
          <w:rFonts w:hint="eastAsia" w:ascii="宋体" w:hAnsi="宋体" w:eastAsia="宋体" w:cs="宋体"/>
          <w:b/>
          <w:bCs/>
          <w:color w:val="000000"/>
          <w:highlight w:val="none"/>
          <w:lang w:eastAsia="zh-CN"/>
        </w:rPr>
        <w:t xml:space="preserve">不足</w:t>
      </w:r>
      <w:r>
        <w:rPr>
          <w:rFonts w:hint="eastAsia" w:ascii="宋体" w:hAnsi="宋体" w:eastAsia="宋体" w:cs="宋体"/>
          <w:b/>
          <w:bCs/>
          <w:color w:val="000000"/>
          <w:highlight w:val="none"/>
          <w:lang w:val="en-US" w:eastAsia="zh-CN"/>
        </w:rPr>
        <w:t xml:space="preserve">壹万</w:t>
      </w:r>
      <w:r>
        <w:rPr>
          <w:rFonts w:hint="eastAsia" w:ascii="宋体" w:hAnsi="宋体" w:eastAsia="宋体" w:cs="宋体"/>
          <w:b/>
          <w:bCs/>
          <w:color w:val="000000"/>
          <w:highlight w:val="none"/>
          <w:lang w:eastAsia="zh-CN"/>
        </w:rPr>
        <w:t xml:space="preserve">按</w:t>
      </w:r>
      <w:r>
        <w:rPr>
          <w:rFonts w:hint="eastAsia" w:ascii="宋体" w:hAnsi="宋体" w:eastAsia="宋体" w:cs="宋体"/>
          <w:b/>
          <w:bCs/>
          <w:color w:val="000000"/>
          <w:highlight w:val="none"/>
          <w:lang w:val="en-US" w:eastAsia="zh-CN"/>
        </w:rPr>
        <w:t xml:space="preserve">壹万元</w:t>
      </w:r>
      <w:r>
        <w:rPr>
          <w:rFonts w:hint="eastAsia" w:ascii="宋体" w:hAnsi="宋体" w:eastAsia="宋体" w:cs="宋体"/>
          <w:b/>
          <w:bCs/>
          <w:color w:val="000000"/>
          <w:highlight w:val="none"/>
          <w:lang w:eastAsia="zh-CN"/>
        </w:rPr>
        <w:t xml:space="preserve">计取</w:t>
      </w:r>
      <w:r>
        <w:rPr>
          <w:rFonts w:hint="eastAsia" w:ascii="宋体" w:hAnsi="宋体" w:eastAsia="宋体" w:cs="宋体"/>
          <w:b/>
          <w:bCs/>
          <w:color w:val="000000"/>
          <w:highlight w:val="none"/>
        </w:rPr>
        <w:t xml:space="preserve">）</w:t>
      </w:r>
      <w:r>
        <w:rPr>
          <w:rFonts w:hint="eastAsia" w:ascii="宋体" w:hAnsi="宋体" w:eastAsia="宋体" w:cs="宋体"/>
          <w:b/>
          <w:bCs/>
          <w:color w:val="000000"/>
          <w:sz w:val="24"/>
          <w:szCs w:val="24"/>
          <w:highlight w:val="none"/>
          <w:shd w:val="clear" w:color="auto" w:fill="auto"/>
          <w:lang w:val="en-US" w:eastAsia="zh-CN"/>
        </w:rPr>
        <w:t xml:space="preserve">。代理服务费由中标人承担，投标人在报价时包含在响应报价中报价，中标后由中标人直接向采购代理机构交纳。（本条不单独列表报价，自行综合考虑在报价中）。</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5、招标文件的约束力</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5.1 投标人一旦参加本项目采购活动，即被认为接受了本招标文件的规定和约束。</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59" w:name="_Toc16938525"/>
      <w:r/>
      <w:bookmarkStart w:id="60" w:name="_Toc513029209"/>
      <w:r/>
      <w:bookmarkStart w:id="61" w:name="_Toc120614215"/>
      <w:r/>
      <w:bookmarkStart w:id="62" w:name="_Toc20823281"/>
      <w:r>
        <w:rPr>
          <w:rFonts w:hint="eastAsia" w:ascii="宋体" w:hAnsi="宋体" w:eastAsia="宋体" w:cs="宋体"/>
          <w:b/>
          <w:color w:val="auto"/>
          <w:sz w:val="24"/>
          <w:szCs w:val="24"/>
          <w:highlight w:val="none"/>
          <w:lang w:val="en-US" w:eastAsia="zh-CN"/>
        </w:rPr>
        <w:t xml:space="preserve">二、招标文件</w:t>
      </w:r>
      <w:bookmarkEnd w:id="59"/>
      <w:r/>
      <w:bookmarkEnd w:id="60"/>
      <w:r/>
      <w:bookmarkEnd w:id="61"/>
      <w:r/>
      <w:bookmarkEnd w:id="6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63" w:name="_Toc16938526"/>
      <w:r/>
      <w:bookmarkStart w:id="64" w:name="_Toc20823282"/>
      <w:r/>
      <w:bookmarkStart w:id="65" w:name="_Toc513029210"/>
      <w:r>
        <w:rPr>
          <w:rFonts w:hint="eastAsia" w:ascii="宋体" w:hAnsi="宋体" w:eastAsia="宋体" w:cs="宋体"/>
          <w:color w:val="000000"/>
          <w:sz w:val="24"/>
          <w:szCs w:val="24"/>
          <w:highlight w:val="none"/>
          <w:shd w:val="clear" w:color="auto" w:fill="auto"/>
          <w:lang w:val="en-US" w:eastAsia="zh-CN"/>
        </w:rPr>
        <w:t xml:space="preserve">6、招标文件构成</w:t>
      </w:r>
      <w:bookmarkEnd w:id="63"/>
      <w:r/>
      <w:bookmarkEnd w:id="64"/>
      <w:r/>
      <w:bookmarkEnd w:id="6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 招标文件由以下部分组成：</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（2）投标人须知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（3）合同文本</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（5）评标方法与评标标准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（6）投标文件格式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联系解决。</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66" w:name="_Toc462564070"/>
      <w:r/>
      <w:bookmarkStart w:id="67" w:name="_Toc20823283"/>
      <w:r/>
      <w:bookmarkStart w:id="68" w:name="_Toc16938527"/>
      <w:r/>
      <w:bookmarkStart w:id="69" w:name="_Toc513029211"/>
      <w:r>
        <w:rPr>
          <w:rFonts w:hint="eastAsia" w:ascii="宋体" w:hAnsi="宋体" w:eastAsia="宋体" w:cs="宋体"/>
          <w:color w:val="000000"/>
          <w:sz w:val="24"/>
          <w:szCs w:val="24"/>
          <w:highlight w:val="none"/>
          <w:shd w:val="clear" w:color="auto" w:fill="auto"/>
          <w:lang w:val="en-US" w:eastAsia="zh-CN"/>
        </w:rPr>
        <w:t xml:space="preserve">7、招标文件的澄清</w:t>
      </w:r>
      <w:bookmarkEnd w:id="66"/>
      <w:r/>
      <w:bookmarkEnd w:id="67"/>
      <w:r/>
      <w:bookmarkEnd w:id="68"/>
      <w:r/>
      <w:bookmarkEnd w:id="6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7.1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70" w:name="_Toc513029212"/>
      <w:r/>
      <w:bookmarkStart w:id="71" w:name="_Toc16938528"/>
      <w:r/>
      <w:bookmarkStart w:id="72" w:name="_Toc20823284"/>
      <w:r/>
      <w:bookmarkStart w:id="73" w:name="_Toc462564071"/>
      <w:r>
        <w:rPr>
          <w:rFonts w:hint="eastAsia" w:ascii="宋体" w:hAnsi="宋体" w:eastAsia="宋体" w:cs="宋体"/>
          <w:color w:val="000000"/>
          <w:sz w:val="24"/>
          <w:szCs w:val="24"/>
          <w:highlight w:val="none"/>
          <w:shd w:val="clear" w:color="auto" w:fill="auto"/>
          <w:lang w:val="en-US" w:eastAsia="zh-CN"/>
        </w:rPr>
        <w:t xml:space="preserve">8、招标文件的修改</w:t>
      </w:r>
      <w:bookmarkEnd w:id="70"/>
      <w:r/>
      <w:bookmarkEnd w:id="71"/>
      <w:r/>
      <w:bookmarkEnd w:id="72"/>
      <w:r/>
      <w:bookmarkEnd w:id="73"/>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8.1 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可以对招标文件进行修改。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有权按照法定的要求推迟投标截止日期和开标日期。</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8.3 招标文件的修改将在中国政府采购网、江苏政府采购网、盐城市政府采购网公布，补充文件将作为招标文件的组成部分，并对投标人具有约束力。</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74" w:name="_Toc462564072"/>
      <w:r/>
      <w:bookmarkStart w:id="75" w:name="_Toc513029213"/>
      <w:r/>
      <w:bookmarkStart w:id="76" w:name="_Toc20823285"/>
      <w:r/>
      <w:bookmarkStart w:id="77" w:name="_Toc120614216"/>
      <w:r/>
      <w:bookmarkStart w:id="78" w:name="_Toc16938529"/>
      <w:r>
        <w:rPr>
          <w:rFonts w:hint="eastAsia" w:ascii="宋体" w:hAnsi="宋体" w:eastAsia="宋体" w:cs="宋体"/>
          <w:b/>
          <w:color w:val="auto"/>
          <w:sz w:val="24"/>
          <w:szCs w:val="24"/>
          <w:highlight w:val="none"/>
          <w:lang w:val="en-US" w:eastAsia="zh-CN"/>
        </w:rPr>
        <w:t xml:space="preserve">三、投标文件的编制</w:t>
      </w:r>
      <w:bookmarkEnd w:id="74"/>
      <w:r/>
      <w:bookmarkEnd w:id="75"/>
      <w:r/>
      <w:bookmarkEnd w:id="76"/>
      <w:r/>
      <w:bookmarkEnd w:id="77"/>
      <w:r/>
      <w:bookmarkEnd w:id="7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79" w:name="_Toc20823286"/>
      <w:r/>
      <w:bookmarkStart w:id="80" w:name="_Toc16938530"/>
      <w:r/>
      <w:bookmarkStart w:id="81" w:name="_Toc462564073"/>
      <w:r/>
      <w:bookmarkStart w:id="82" w:name="_Toc513029214"/>
      <w:r>
        <w:rPr>
          <w:rFonts w:hint="eastAsia" w:ascii="宋体" w:hAnsi="宋体" w:eastAsia="宋体" w:cs="宋体"/>
          <w:color w:val="000000"/>
          <w:sz w:val="24"/>
          <w:szCs w:val="24"/>
          <w:highlight w:val="none"/>
          <w:shd w:val="clear" w:color="auto" w:fill="auto"/>
          <w:lang w:val="en-US" w:eastAsia="zh-CN"/>
        </w:rPr>
        <w:t xml:space="preserve">9、投标文件的语言及度量衡单位</w:t>
      </w:r>
      <w:bookmarkEnd w:id="79"/>
      <w:r/>
      <w:bookmarkEnd w:id="80"/>
      <w:r/>
      <w:bookmarkEnd w:id="81"/>
      <w:r/>
      <w:bookmarkEnd w:id="8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9.1 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就有关投标的所有来往通知、函件和文件均应使用简体中文。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9.2 除技术性能另有规定外，投标文件所使用的度量衡单位，均须采用国家法定计量单位。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83" w:name="_Toc462564074"/>
      <w:r/>
      <w:bookmarkStart w:id="84" w:name="_Toc20823287"/>
      <w:r/>
      <w:bookmarkStart w:id="85" w:name="_Toc16938531"/>
      <w:r/>
      <w:bookmarkStart w:id="86" w:name="_Toc513029215"/>
      <w:r>
        <w:rPr>
          <w:rFonts w:hint="eastAsia" w:ascii="宋体" w:hAnsi="宋体" w:eastAsia="宋体" w:cs="宋体"/>
          <w:color w:val="000000"/>
          <w:sz w:val="24"/>
          <w:szCs w:val="24"/>
          <w:highlight w:val="none"/>
          <w:shd w:val="clear" w:color="auto" w:fill="auto"/>
          <w:lang w:val="en-US" w:eastAsia="zh-CN"/>
        </w:rPr>
        <w:t xml:space="preserve">10、投标文件构成</w:t>
      </w:r>
      <w:bookmarkEnd w:id="83"/>
      <w:r/>
      <w:bookmarkEnd w:id="84"/>
      <w:r/>
      <w:bookmarkEnd w:id="85"/>
      <w:r/>
      <w:bookmarkEnd w:id="8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10.1 投标人编写的投标文件应包括资格证明文件、符合性证明文件、投标分项报价表、技术要求响应及偏离表、商务要求响应及偏离表、其他证明文件、投标函、开标一览表等部分。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87" w:name="_Toc49090507"/>
      <w:r/>
      <w:bookmarkStart w:id="88" w:name="_Toc14577357"/>
      <w:r/>
      <w:bookmarkStart w:id="89" w:name="_Toc14577354"/>
      <w:r/>
      <w:bookmarkStart w:id="90" w:name="_Toc49090508"/>
      <w:r/>
      <w:bookmarkStart w:id="91" w:name="_Toc14577355"/>
      <w:r/>
      <w:bookmarkStart w:id="92" w:name="_Toc49090509"/>
      <w:r/>
      <w:bookmarkStart w:id="93" w:name="_Toc513029216"/>
      <w:r/>
      <w:bookmarkStart w:id="94" w:name="_Toc513029219"/>
      <w:r/>
      <w:bookmarkStart w:id="95" w:name="_Hlt26670360"/>
      <w:r/>
      <w:bookmarkStart w:id="96" w:name="_Hlt26668975"/>
      <w:r/>
      <w:bookmarkStart w:id="97" w:name="_Hlt26954838"/>
      <w:r>
        <w:rPr>
          <w:rFonts w:hint="eastAsia" w:ascii="宋体" w:hAnsi="宋体" w:eastAsia="宋体" w:cs="宋体"/>
          <w:color w:val="000000"/>
          <w:sz w:val="24"/>
          <w:szCs w:val="24"/>
          <w:highlight w:val="none"/>
          <w:shd w:val="clear" w:color="auto" w:fill="auto"/>
          <w:lang w:val="en-US" w:eastAsia="zh-CN"/>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11.1 投标人应按照招标文件要求提交证明文件，证明其及投标标的符合招标文件规定。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11.2招标文件对证明文件无明确形式要求的，证明文件可以以文字资料、图纸和数据等形式提交。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12、投标分项报价表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12.1 投标人应按照招标文件规定格式填报投标分项报价表。</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98" w:name="_Hlt26670482"/>
      <w:r/>
      <w:bookmarkStart w:id="99" w:name="_Hlt26954846"/>
      <w:r/>
      <w:bookmarkStart w:id="100" w:name="_Hlt26670486"/>
      <w:r/>
      <w:bookmarkStart w:id="101" w:name="_Hlt26954731"/>
      <w:r/>
      <w:bookmarkStart w:id="102" w:name="_Hlt26954848"/>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13、技术要求响应及偏离表、商务要求响应及偏离表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13.1 投标人需对招标文件中的技术要求与商务要求逐项作出响应或偏离，并说明原因。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13.2 投标人可在投标文件中提供认为需要的其他技术文件或说明。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14、服务承诺、培训计划、人员安排及其他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14.1 投标人需根据招标文件要求提供有关售后服务的管理制度，售后服务机构的分布情况，售后服务人员的数量、素质、技术水平及售后服务的反应能力等。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14.2 投标人需根据招标文件要求提供培训计划。</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14.3投标人需根据招标文件要求提供所投标的的主要组成部分、功能设计、实现思路及关键技术等。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03" w:name="_Toc14577359"/>
      <w:r/>
      <w:bookmarkStart w:id="104" w:name="_Toc49090510"/>
      <w:r>
        <w:rPr>
          <w:rFonts w:hint="eastAsia" w:ascii="宋体" w:hAnsi="宋体" w:eastAsia="宋体" w:cs="宋体"/>
          <w:color w:val="000000"/>
          <w:sz w:val="24"/>
          <w:szCs w:val="24"/>
          <w:highlight w:val="none"/>
          <w:shd w:val="clear" w:color="auto" w:fill="auto"/>
          <w:lang w:val="en-US" w:eastAsia="zh-CN"/>
        </w:rPr>
        <w:t xml:space="preserve">15、投标函和开标一览表</w:t>
      </w:r>
      <w:bookmarkEnd w:id="103"/>
      <w:r/>
      <w:bookmarkEnd w:id="10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15.1 投标人应按照招标文件中提供的格式完整、正确填写投标函、开标一览表。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15.2 对于采用货币报价的项目，开标一览表中的投标总报价应与投标分项报价表中的投标总报价一致，如不一致，不作为无效投标处理，但评标时按开标一览表中价格为准。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05" w:name="_Toc14577360"/>
      <w:r/>
      <w:bookmarkStart w:id="106" w:name="_Toc49090511"/>
      <w:r>
        <w:rPr>
          <w:rFonts w:hint="eastAsia" w:ascii="宋体" w:hAnsi="宋体" w:eastAsia="宋体" w:cs="宋体"/>
          <w:color w:val="000000"/>
          <w:sz w:val="24"/>
          <w:szCs w:val="24"/>
          <w:highlight w:val="none"/>
          <w:shd w:val="clear" w:color="auto" w:fill="auto"/>
          <w:lang w:val="en-US" w:eastAsia="zh-CN"/>
        </w:rPr>
        <w:t xml:space="preserve">16、投标有效期</w:t>
      </w:r>
      <w:bookmarkEnd w:id="105"/>
      <w:r/>
      <w:bookmarkEnd w:id="10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规定的开标之日后九十（90）天。投标有效期比规定短的将被视为未实质性响应招标文件而予以拒绝。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17、投标有效期的延长</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的这一要求而放弃投标，同意延长投标有效期的投标人既不能要求也不允许修改其投标文件。受投标有效期约束的所有权利与义务均延长至新的有效期。</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07" w:name="_Toc120614217"/>
      <w:r/>
      <w:bookmarkStart w:id="108" w:name="_Toc20823296"/>
      <w:r/>
      <w:bookmarkStart w:id="109" w:name="_Toc16938540"/>
      <w:r/>
      <w:bookmarkStart w:id="110" w:name="_Toc513029224"/>
      <w:r/>
      <w:bookmarkStart w:id="111" w:name="_Hlt26954739"/>
      <w:r/>
      <w:bookmarkStart w:id="112" w:name="_Hlt26954852"/>
      <w:r>
        <w:rPr>
          <w:rFonts w:hint="eastAsia" w:ascii="宋体" w:hAnsi="宋体" w:eastAsia="宋体" w:cs="宋体"/>
          <w:b/>
          <w:color w:val="auto"/>
          <w:sz w:val="24"/>
          <w:szCs w:val="24"/>
          <w:highlight w:val="none"/>
          <w:lang w:val="en-US" w:eastAsia="zh-CN"/>
        </w:rPr>
        <w:t xml:space="preserve">四、投标文件的递交</w:t>
      </w:r>
      <w:bookmarkEnd w:id="107"/>
      <w:r/>
      <w:bookmarkEnd w:id="108"/>
      <w:r/>
      <w:bookmarkEnd w:id="109"/>
      <w:r/>
      <w:bookmarkEnd w:id="110"/>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13" w:name="_Toc20823297"/>
      <w:r/>
      <w:bookmarkStart w:id="114" w:name="_Toc16938541"/>
      <w:r/>
      <w:bookmarkStart w:id="115" w:name="_Toc462564084"/>
      <w:r/>
      <w:bookmarkStart w:id="116" w:name="_Toc513029225"/>
      <w:r>
        <w:rPr>
          <w:rFonts w:hint="eastAsia" w:ascii="宋体" w:hAnsi="宋体" w:eastAsia="宋体" w:cs="宋体"/>
          <w:color w:val="000000"/>
          <w:sz w:val="24"/>
          <w:szCs w:val="24"/>
          <w:highlight w:val="none"/>
          <w:shd w:val="clear" w:color="auto" w:fill="auto"/>
          <w:lang w:val="en-US" w:eastAsia="zh-CN"/>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shd w:val="clear" w:color="auto" w:fill="auto"/>
          <w:lang w:val="en-US" w:eastAsia="zh-CN"/>
        </w:rPr>
        <w:t xml:space="preserve">的递交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18.1投标人应当按照《操作手册》规定，在投标截止时间前制作并上传电子投标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文件。</w:t>
      </w:r>
      <w:bookmarkStart w:id="117" w:name="_Toc16938542"/>
      <w:r/>
      <w:bookmarkEnd w:id="117"/>
      <w:r/>
      <w:bookmarkStart w:id="118" w:name="_Toc20823298"/>
      <w:r/>
      <w:bookmarkEnd w:id="118"/>
      <w:r/>
      <w:bookmarkStart w:id="119" w:name="_Toc51302922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19、投标截止日期</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iCs/>
          <w:color w:val="000000"/>
          <w:sz w:val="24"/>
          <w:szCs w:val="24"/>
          <w:highlight w:val="none"/>
          <w:u w:val="single"/>
          <w:shd w:val="clear" w:color="auto" w:fill="auto"/>
          <w:lang w:val="en-US" w:eastAsia="zh-CN"/>
        </w:rPr>
        <w:t xml:space="preserve">19.1 投标人上传电子投标文件的时间不得迟于招标公告中规定的投标截止时间。</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投标人应充分考虑到网络环境、网络带宽等风险因素，如因投标人自身原因造成的电子投标文件上传不成功的按照本招标文件第二章第27.1.2条规定做无效投标处理。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可以按照规定，通过修改招标文件酌情延长投标截止日期，在此情况下，投标人的所有权利和义务以及投标人受制的截止日期均应以延长后新的截止日期为准。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20" w:name="_Toc16938543"/>
      <w:r/>
      <w:bookmarkStart w:id="121" w:name="_Toc20823299"/>
      <w:r/>
      <w:bookmarkStart w:id="122" w:name="_Toc513029227"/>
      <w:r>
        <w:rPr>
          <w:rFonts w:hint="eastAsia" w:ascii="宋体" w:hAnsi="宋体" w:eastAsia="宋体" w:cs="宋体"/>
          <w:color w:val="000000"/>
          <w:sz w:val="24"/>
          <w:szCs w:val="24"/>
          <w:highlight w:val="none"/>
          <w:shd w:val="clear" w:color="auto" w:fill="auto"/>
          <w:lang w:val="en-US" w:eastAsia="zh-CN"/>
        </w:rPr>
        <w:t xml:space="preserve">20、投标文件</w:t>
      </w:r>
      <w:bookmarkEnd w:id="120"/>
      <w:r/>
      <w:bookmarkEnd w:id="121"/>
      <w:r/>
      <w:bookmarkEnd w:id="122"/>
      <w:r>
        <w:rPr>
          <w:rFonts w:hint="eastAsia" w:ascii="宋体" w:hAnsi="宋体" w:eastAsia="宋体" w:cs="宋体"/>
          <w:color w:val="000000"/>
          <w:sz w:val="24"/>
          <w:szCs w:val="24"/>
          <w:highlight w:val="none"/>
          <w:shd w:val="clear" w:color="auto" w:fill="auto"/>
          <w:lang w:val="en-US" w:eastAsia="zh-CN"/>
        </w:rPr>
        <w:t xml:space="preserve">的拒收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拒绝接收在其规定的投标截止时间后上传的任何投标文件。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23" w:name="_Toc513029228"/>
      <w:r/>
      <w:bookmarkStart w:id="124" w:name="_Toc20823300"/>
      <w:r/>
      <w:bookmarkStart w:id="125" w:name="_Toc16938544"/>
      <w:r>
        <w:rPr>
          <w:rFonts w:hint="eastAsia" w:ascii="宋体" w:hAnsi="宋体" w:eastAsia="宋体" w:cs="宋体"/>
          <w:color w:val="000000"/>
          <w:sz w:val="24"/>
          <w:szCs w:val="24"/>
          <w:highlight w:val="none"/>
          <w:shd w:val="clear" w:color="auto" w:fill="auto"/>
          <w:lang w:val="en-US" w:eastAsia="zh-CN"/>
        </w:rPr>
        <w:t xml:space="preserve">21、投标文件的撤回和修改</w:t>
      </w:r>
      <w:bookmarkEnd w:id="123"/>
      <w:r/>
      <w:bookmarkEnd w:id="124"/>
      <w:r/>
      <w:bookmarkEnd w:id="12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 投标文件的撤回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21.1.1 电子投标文件的撤回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投标人可在投标截止时间前，撤回其电子投标文件，具体操作方法见《操作手册》。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21.1.2 投标人撤回电子投标文件，则认为其不再参与本项目投标活动。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 投标文件的修改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21.2.1投标人可在投标截止时间前，对其电子投标文件进行修改，具体操作方法见《操作手册》。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21.2.2 在投标截止时间之后，投标人不得对其电子投标文件作任何修改。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21.3 在投标截止时间至招标文件中规定的投标有效期满之间的这段时间内，投标人不得撤回其投标。</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26" w:name="_Toc513029229"/>
      <w:r/>
      <w:bookmarkStart w:id="127" w:name="_Toc120614218"/>
      <w:r/>
      <w:bookmarkStart w:id="128" w:name="_Toc20823301"/>
      <w:r/>
      <w:bookmarkStart w:id="129" w:name="_Toc16938545"/>
      <w:r>
        <w:rPr>
          <w:rFonts w:hint="eastAsia" w:ascii="宋体" w:hAnsi="宋体" w:eastAsia="宋体" w:cs="宋体"/>
          <w:b/>
          <w:color w:val="auto"/>
          <w:sz w:val="24"/>
          <w:szCs w:val="24"/>
          <w:highlight w:val="none"/>
          <w:lang w:val="en-US" w:eastAsia="zh-CN"/>
        </w:rPr>
        <w:t xml:space="preserve">五、开标与评标</w:t>
      </w:r>
      <w:bookmarkEnd w:id="126"/>
      <w:r/>
      <w:bookmarkEnd w:id="127"/>
      <w:r/>
      <w:bookmarkEnd w:id="128"/>
      <w:r/>
      <w:bookmarkEnd w:id="12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0" w:name="_Toc513029230"/>
      <w:r/>
      <w:bookmarkStart w:id="131" w:name="_Toc16938546"/>
      <w:r/>
      <w:bookmarkStart w:id="132" w:name="_Toc20823302"/>
      <w:r>
        <w:rPr>
          <w:rFonts w:hint="eastAsia" w:ascii="宋体" w:hAnsi="宋体" w:eastAsia="宋体" w:cs="宋体"/>
          <w:color w:val="000000"/>
          <w:sz w:val="24"/>
          <w:szCs w:val="24"/>
          <w:highlight w:val="none"/>
          <w:shd w:val="clear" w:color="auto" w:fill="auto"/>
          <w:lang w:val="en-US" w:eastAsia="zh-CN"/>
        </w:rPr>
        <w:t xml:space="preserve">22、开标</w:t>
      </w:r>
      <w:bookmarkEnd w:id="130"/>
      <w:r/>
      <w:bookmarkEnd w:id="131"/>
      <w:r/>
      <w:bookmarkEnd w:id="13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将在招标公告中规定的时间和地点组织公开开标。投标人应当按照《操作手册》规定，参加开标活动和在苏采云系统规定的时间内对投标文件进行解密。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组织。苏采云系统将自动对项目进行开标，并宣布各投标人名称和投标价格。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22.3投标人在开标过程中涉及到的投标文件解密、开标结果确认等工作，应按照《操作手册》规定执行。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22.4投标人如果对开标过程和开标记录有疑义，应当根据《操作手册》规定提出，如 苏采云系统中《开标记录表》宣布后5分钟内未提出的，视同认可开标结果。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3" w:name="_Toc20823303"/>
      <w:r/>
      <w:bookmarkStart w:id="134" w:name="_Toc513029231"/>
      <w:r/>
      <w:bookmarkStart w:id="135" w:name="_Toc16938547"/>
      <w:r>
        <w:rPr>
          <w:rFonts w:hint="eastAsia" w:ascii="宋体" w:hAnsi="宋体" w:eastAsia="宋体" w:cs="宋体"/>
          <w:color w:val="000000"/>
          <w:sz w:val="24"/>
          <w:szCs w:val="24"/>
          <w:highlight w:val="none"/>
          <w:shd w:val="clear" w:color="auto" w:fill="auto"/>
          <w:lang w:val="en-US" w:eastAsia="zh-CN"/>
        </w:rPr>
        <w:t xml:space="preserve">23、评标委员会</w:t>
      </w:r>
      <w:bookmarkEnd w:id="133"/>
      <w:r/>
      <w:bookmarkEnd w:id="134"/>
      <w:r/>
      <w:bookmarkEnd w:id="13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23.1 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将立即组织评标委员会（以下简称评委会）进行评标。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23.2 评委会由采购人代表和有关技术、经济等方面的专家组成，且人员构成符合政府采购有关规定。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23.3评委会独立工作，负责评审所有投标文件并确定中标候选人。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24．评标过程的保密与公正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均不得向投标人或与评标无关的其他人员透露。</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24.2在评标过程中，投标人不得以任何行为影响评标过程，否则其投标文件将被作为无效投标文件。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和评标委员会不向未中标的投标人解释未中标原因，也不公布评标过程中的相关细节。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24.4 采用综合评分法的项目，未中标的投标人可于中标结果公告期限届满之日起通过苏采云系统查看自己的评审得分及排序情况。</w:t>
      </w:r>
      <w:bookmarkStart w:id="136" w:name="_Toc513029232"/>
      <w:r/>
      <w:bookmarkStart w:id="137" w:name="_Toc20823304"/>
      <w:r/>
      <w:bookmarkStart w:id="138" w:name="_Toc1693854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25．投标文件的澄清</w:t>
      </w:r>
      <w:bookmarkEnd w:id="136"/>
      <w:r/>
      <w:bookmarkEnd w:id="137"/>
      <w:r/>
      <w:bookmarkEnd w:id="13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39" w:name="_Toc513029233"/>
      <w:r/>
      <w:bookmarkStart w:id="140" w:name="_Toc20823305"/>
      <w:r/>
      <w:bookmarkStart w:id="141" w:name="_Toc16938549"/>
      <w:r>
        <w:rPr>
          <w:rFonts w:hint="eastAsia" w:ascii="宋体" w:hAnsi="宋体" w:eastAsia="宋体" w:cs="宋体"/>
          <w:color w:val="000000"/>
          <w:sz w:val="24"/>
          <w:szCs w:val="24"/>
          <w:highlight w:val="none"/>
          <w:shd w:val="clear" w:color="auto" w:fill="auto"/>
          <w:lang w:val="en-US" w:eastAsia="zh-CN"/>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投标人的澄清、说明或者补正不得超出投标文件的范围或者改变投标文件的实质性内容。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评标委员会并非对每个投标人都做澄清要求。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25.3 接到评委会澄清、说明和补正要求的投标人如未按规定作出澄清、说明和补正，其风险由投标人自行承担。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26、对投标文件的初审</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26.1投标文件初审分为资格审查和符合性审查。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26.1.1 资格审查：依据法律法规和招标文件的规定，由采购人对投标文件中的资格证明文件进行审查。资格审查的结论，采购人以书面形式向评委会进行反馈。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采购人在进行资格性审查的同时，将在“信用中国”网站（www.creditchina.gov.cn）查询投标人的信用记录，以确定投标人是否具备投标资格,查询结果留存并归档。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26.1.2 符合性审查：依据招标文件的规定，由评委会从投标文件的有效性、完整性和对招标文件的响应程度进行审查，以确定是否对招标文件的实质性要求作出响应。</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26.1.3 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将不再告知未通过资格审查或符合性审查的原因。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26.3如果投标文件实质上没有响应招标文件的要求，评委会将予以拒绝，投标人不得通过修改或撤销不符合要求的偏离或保留而使其投标成为实质性响应的投标。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26.4评委会将对确定为实质性响应的投标进行进一步审核，看其是否有计算上或累加上的算术错误，修正错误的原则如下：</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（1）投标文件中开标一览表内容与投标文件中相应内容不一致的，以开标一览表为准。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（2）大写金额和小写金额不一致的，以大写金额为准。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（3）单价金额小数点或者百分比有明显错位的，以开标一览表的总价为准，并修改单价。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（4）总价金额与按单价汇总金额不一致的，以单价金额计算结果为准。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同时出现两种以上错误的，按照前款规定的顺序修正。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2" w:name="_Toc16938550"/>
      <w:r/>
      <w:bookmarkStart w:id="143" w:name="_Toc513029234"/>
      <w:r/>
      <w:bookmarkStart w:id="144" w:name="_Toc20823306"/>
      <w:r>
        <w:rPr>
          <w:rFonts w:hint="eastAsia" w:ascii="宋体" w:hAnsi="宋体" w:eastAsia="宋体" w:cs="宋体"/>
          <w:color w:val="000000"/>
          <w:sz w:val="24"/>
          <w:szCs w:val="24"/>
          <w:highlight w:val="none"/>
          <w:shd w:val="clear" w:color="auto" w:fill="auto"/>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非单一产品采购项目，招标文件中将载明其中的核心产品。多家投标人提供的核心产品品牌相同的，按前两款规定处理。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26.7投标人在开、评标全过程中应保持通信畅通，及时登录苏采云系统查阅、答复相关信息，并安排专人与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及评标委员会联系。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27、无效投标条款和废标条款</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5" w:name="_Toc20823307"/>
      <w:r/>
      <w:bookmarkStart w:id="146" w:name="_Toc16938551"/>
      <w:r/>
      <w:bookmarkStart w:id="147" w:name="_Toc513029235"/>
      <w:r>
        <w:rPr>
          <w:rFonts w:hint="eastAsia" w:ascii="宋体" w:hAnsi="宋体" w:eastAsia="宋体" w:cs="宋体"/>
          <w:color w:val="000000"/>
          <w:sz w:val="24"/>
          <w:szCs w:val="24"/>
          <w:highlight w:val="none"/>
          <w:shd w:val="clear" w:color="auto" w:fill="auto"/>
          <w:lang w:val="en-US" w:eastAsia="zh-CN"/>
        </w:rPr>
        <w:t xml:space="preserve">27.1无效投标条款</w:t>
      </w:r>
      <w:bookmarkEnd w:id="145"/>
      <w:r/>
      <w:bookmarkEnd w:id="146"/>
      <w:r/>
      <w:bookmarkEnd w:id="147"/>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 投标人在苏采云系统规定的时间内未成功解密电子投标文件的。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27.1.2 投标人未按照招标文件要求上传电子投标文件的。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27.1.3同一投标人提交两个（含两个）以上不同的投标报价的。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27.1.4投标人不具备招标文件中规定资格要求的。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27.1.5投标人的报价超过了采购预算或最高限价的。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27.1.6未通过符合性审查的。</w:t>
      </w:r>
      <w:r/>
    </w:p>
    <w:p>
      <w:pPr>
        <w:pStyle w:val="663"/>
        <w:ind w:firstLine="480"/>
        <w:jc w:val="both"/>
        <w:pageBreakBefore w:val="0"/>
        <w:spacing w:beforeAutospacing="0" w:afterAutospacing="0" w:line="500" w:lineRule="exact"/>
        <w:widowControl w:val="off"/>
        <w:rPr>
          <w:rFonts w:hint="eastAsia" w:ascii="宋体" w:hAnsi="宋体" w:eastAsia="宋体" w:cs="宋体"/>
          <w:i/>
          <w:iCs/>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27.1.7不符合招标文件中规定的实质性要求和条件的</w:t>
      </w:r>
      <w:r>
        <w:rPr>
          <w:rFonts w:hint="eastAsia" w:ascii="宋体" w:hAnsi="宋体" w:eastAsia="宋体" w:cs="宋体"/>
          <w:i/>
          <w:iCs/>
          <w:color w:val="000000"/>
          <w:sz w:val="24"/>
          <w:szCs w:val="24"/>
          <w:highlight w:val="none"/>
          <w:u w:val="single"/>
          <w:shd w:val="clear" w:color="auto" w:fill="auto"/>
          <w:lang w:val="en-US" w:eastAsia="zh-CN"/>
        </w:rPr>
        <w:t xml:space="preserve">（本招标文件中斜体且有下划线部分为实质性要求和条件）。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27.1.9投标文件含有采购人不能接受的附加条件的。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27.1.10投标人不能证明其报价合理性的，评标委员会应当将其作为无效投标处理。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（一）评审过程中出现下列情形之一的，评标委员会应当启动异常低价投标审查程序：</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1.投标（响应）报价低于全部通过符合性审查供应商投标（响应）报价平均值50%的，即投标（响应）报价&lt;全部通过符合性审查供应商投标（响应）报价平均值×50%；</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2.投标（响应）报价低于通过符合性审查的次低报价供应商投标（响应）报价50%的，即投标（响应）报价&lt;通过符合性审查的次低报价供应商投标（响应）报价×50%；</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3.投标（响应）报价低于采购项目最高限价45%的，即投标（响应）报价&lt;采购项目最高限价×45%；</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4.评审委员会基于专业判断，认为供应商报价过低，有可能影响产品质量或者不能诚信履约的其他情形。</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相关法律法规对供应商报价有规定的，从其规定。</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27.1.12 投标文件未按照招标文件要求加盖CA电子公章的。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27.1.13其他法律、法规及本招标文件规定的属无效投标的情形。</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27.2废标条款</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27.2.1符合专业条件的供应商或者对招标文件作实质响应的供应商不足三家的。27.2.2出现影响采购公正的违法、违规行为的。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27.2.3因重大变故，采购任务取消的。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27.2.4评标委员会认定招标文件存在歧义、重大缺陷导致评审工作无法进行。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27.2.5 因苏采云系统故障原因造成开标不成功的。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27.3 投标截止时间结束后参加投标的供应商不足三家的处理：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27.3.1如出现投标截止时间结束后参加投标的供应商或者在评标期间对招标文件做出实质响应的供应商不足三家情况，按政府采购相关规定执行。</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48" w:name="_Toc120614219"/>
      <w:r>
        <w:rPr>
          <w:rFonts w:hint="eastAsia" w:ascii="宋体" w:hAnsi="宋体" w:eastAsia="宋体" w:cs="宋体"/>
          <w:b/>
          <w:color w:val="auto"/>
          <w:sz w:val="24"/>
          <w:szCs w:val="24"/>
          <w:highlight w:val="none"/>
          <w:lang w:val="en-US" w:eastAsia="zh-CN"/>
        </w:rPr>
        <w:t xml:space="preserve">六、定标</w:t>
      </w:r>
      <w:bookmarkEnd w:id="148"/>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shd w:val="clear" w:color="auto" w:fill="auto"/>
          <w:lang w:val="en-US" w:eastAsia="zh-CN"/>
        </w:rPr>
        <w:t xml:space="preserve">28、</w:t>
      </w:r>
      <w:bookmarkEnd w:id="149"/>
      <w:r>
        <w:rPr>
          <w:rFonts w:hint="eastAsia" w:ascii="宋体" w:hAnsi="宋体" w:eastAsia="宋体" w:cs="宋体"/>
          <w:color w:val="000000"/>
          <w:sz w:val="24"/>
          <w:szCs w:val="24"/>
          <w:highlight w:val="none"/>
          <w:shd w:val="clear" w:color="auto" w:fill="auto"/>
          <w:lang w:val="en-US" w:eastAsia="zh-CN"/>
        </w:rPr>
        <w:t xml:space="preserve">确定</w:t>
      </w:r>
      <w:bookmarkEnd w:id="150"/>
      <w:r/>
      <w:bookmarkEnd w:id="151"/>
      <w:r>
        <w:rPr>
          <w:rFonts w:hint="eastAsia" w:ascii="宋体" w:hAnsi="宋体" w:eastAsia="宋体" w:cs="宋体"/>
          <w:color w:val="000000"/>
          <w:sz w:val="24"/>
          <w:szCs w:val="24"/>
          <w:highlight w:val="none"/>
          <w:shd w:val="clear" w:color="auto" w:fill="auto"/>
          <w:lang w:val="en-US" w:eastAsia="zh-CN"/>
        </w:rPr>
        <w:t xml:space="preserve">中标单位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28.1中标候选人的选取原则和数量见招标文件第五章规定。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28.2 采购人应根据评委会推荐的中标候选人确定中标人。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将在中国政府采购网”“江苏政府采购网”“盐城市政府采购网”发布中标公告，公告期限为1个工作日。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28.4若有充分证据证明，中标人出现下列情况之一的，一经查实，将被取消中标资格：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28.4.1提供虚假材料谋取中标的。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行贿或者提供其他不正当利益的。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28.4.3属于本文件规定的无效条件，但在评标过程中又未被评委会发现的。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28.4.4与采购人或者其他供应商恶意串通的。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28.4.5采取不正当手段诋毁、排挤其他供应商的。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52" w:name="_Toc200451960"/>
      <w:r>
        <w:rPr>
          <w:rFonts w:hint="eastAsia" w:ascii="宋体" w:hAnsi="宋体" w:eastAsia="宋体" w:cs="宋体"/>
          <w:color w:val="000000"/>
          <w:sz w:val="24"/>
          <w:szCs w:val="24"/>
          <w:highlight w:val="none"/>
          <w:shd w:val="clear" w:color="auto" w:fill="auto"/>
          <w:lang w:val="en-US" w:eastAsia="zh-CN"/>
        </w:rPr>
        <w:t xml:space="preserve">28.5. 有下列情形之一的，视为投标人串通投标，投标无效：</w:t>
      </w:r>
      <w:bookmarkEnd w:id="152"/>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28.5.1不同投标人的投标文件由同一单位或者个人编制；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28.5.2不同投标人委托同一单位或者个人办理投标事宜；</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28.5.3 不同投标人的投标文件载明的项目管理成员或者联系人员为同一人；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28.5.4不同投标人的投标文件异常一致或者投标报价呈规律性差异；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29、质疑处理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29.1 提出质疑的供应商应当是参与所质疑项目采购活动的供应商。潜在供应商依法获取其可质疑的采购文件的，可以对采购文件提出质疑。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或采购人提出质疑。上述应知其权益受到损害之日，是指：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shd w:val="clear" w:color="auto" w:fill="auto"/>
          <w:lang w:val="en-US" w:eastAsia="zh-CN"/>
        </w:rPr>
        <w:br/>
      </w:r>
      <w:r>
        <w:rPr>
          <w:rFonts w:hint="eastAsia" w:ascii="宋体" w:hAnsi="宋体" w:eastAsia="宋体" w:cs="宋体"/>
          <w:color w:val="000000"/>
          <w:sz w:val="24"/>
          <w:szCs w:val="24"/>
          <w:highlight w:val="none"/>
          <w:shd w:val="clear" w:color="auto" w:fill="auto"/>
          <w:lang w:val="en-US" w:eastAsia="zh-CN"/>
        </w:rPr>
        <w:t xml:space="preserve">   29.2.2对采购过程提出质疑的，为各采购程序环节结束之日；</w:t>
      </w:r>
      <w:r>
        <w:rPr>
          <w:rFonts w:hint="eastAsia" w:ascii="宋体" w:hAnsi="宋体" w:eastAsia="宋体" w:cs="宋体"/>
          <w:color w:val="000000"/>
          <w:sz w:val="24"/>
          <w:szCs w:val="24"/>
          <w:highlight w:val="none"/>
          <w:shd w:val="clear" w:color="auto" w:fill="auto"/>
          <w:lang w:val="en-US" w:eastAsia="zh-CN"/>
        </w:rPr>
        <w:br/>
      </w:r>
      <w:r>
        <w:rPr>
          <w:rFonts w:hint="eastAsia" w:ascii="宋体" w:hAnsi="宋体" w:eastAsia="宋体" w:cs="宋体"/>
          <w:color w:val="000000"/>
          <w:sz w:val="24"/>
          <w:szCs w:val="24"/>
          <w:highlight w:val="none"/>
          <w:shd w:val="clear" w:color="auto" w:fill="auto"/>
          <w:lang w:val="en-US" w:eastAsia="zh-CN"/>
        </w:rPr>
        <w:t xml:space="preserve">   29.2.3对中标或者成交结果提出质疑的，为中标或者成交结果公告期限届满之日。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、采购人将只对供应商第一次质疑作出答复。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负责答复。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不接受未填写快递运单的快件。</w:t>
      </w:r>
      <w:r>
        <w:rPr>
          <w:rFonts w:hint="eastAsia" w:ascii="宋体" w:hAnsi="宋体" w:eastAsia="宋体" w:cs="宋体"/>
          <w:color w:val="auto"/>
          <w:sz w:val="24"/>
          <w:szCs w:val="24"/>
          <w:highlight w:val="none"/>
        </w:rPr>
        <w:t xml:space="preserve">联系地址及联系方式同招标公告。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 以下情形的质疑不予受理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29.5.1 内容不符合《政府采购质疑和投诉办法》第十二条规定的质疑。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29.5.2 超出政府采购法定期限的质疑。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29.5.3 以传真、电子邮件等方式递交的非原件形式的质疑。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29.5.4 未参加投标活动的供应商或在投标活动中自身权益未受到损害的供应商所提出的质疑。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29.5.5供应商组成联合体参加投标，联合体中任何一方或多方未按要求签字、盖章、加盖公章的质疑。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有权依据政府采购的有关规定，报请政府采购监管部门对该供应商进行相应的行政处罚和记录该供应商的失信信息。</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30、中标通知书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3"/>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53" w:name="_Toc20823308"/>
      <w:r/>
      <w:bookmarkStart w:id="154" w:name="_Toc513029236"/>
      <w:r/>
      <w:bookmarkStart w:id="155" w:name="_Toc120614220"/>
      <w:r/>
      <w:bookmarkStart w:id="156" w:name="_Toc16938552"/>
      <w:r>
        <w:rPr>
          <w:rFonts w:hint="eastAsia" w:ascii="宋体" w:hAnsi="宋体" w:eastAsia="宋体" w:cs="宋体"/>
          <w:b/>
          <w:color w:val="auto"/>
          <w:sz w:val="24"/>
          <w:szCs w:val="24"/>
          <w:highlight w:val="none"/>
          <w:lang w:val="en-US" w:eastAsia="zh-CN"/>
        </w:rPr>
        <w:t xml:space="preserve">七、授予合同</w:t>
      </w:r>
      <w:bookmarkEnd w:id="153"/>
      <w:r/>
      <w:bookmarkEnd w:id="154"/>
      <w:r/>
      <w:bookmarkEnd w:id="155"/>
      <w:r/>
      <w:bookmarkEnd w:id="156"/>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57" w:name="_Toc513029237"/>
      <w:r/>
      <w:bookmarkStart w:id="158" w:name="_Toc20823309"/>
      <w:r/>
      <w:bookmarkStart w:id="159" w:name="_Toc16938553"/>
      <w:r>
        <w:rPr>
          <w:rFonts w:hint="eastAsia" w:ascii="宋体" w:hAnsi="宋体" w:eastAsia="宋体" w:cs="宋体"/>
          <w:color w:val="000000"/>
          <w:sz w:val="24"/>
          <w:szCs w:val="24"/>
          <w:highlight w:val="none"/>
          <w:shd w:val="clear" w:color="auto" w:fill="auto"/>
          <w:lang w:val="en-US" w:eastAsia="zh-CN"/>
        </w:rPr>
        <w:t xml:space="preserve">31. 签订合同</w:t>
      </w:r>
      <w:bookmarkEnd w:id="157"/>
      <w:r/>
      <w:bookmarkEnd w:id="158"/>
      <w:r/>
      <w:bookmarkEnd w:id="159"/>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31.l中标人应当在中标通知书发出之日起三十日内，按照招标文件确定的事项与采购人签订政府采购合同。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31.2招标文件、中标人的投标文件及招标过程中有关澄清、承诺文件均应作为合同附件。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32、货物（包含与货物相关的服务）的追加</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33.1政府采购线上合同信用融资政策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33.2进口产品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33.3中小企业、监狱企业及残疾人福利性单位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33.3.1中小企业定义：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中小企业</w:t>
      </w:r>
      <w:r>
        <w:rPr>
          <w:rFonts w:hint="eastAsia" w:ascii="宋体" w:hAnsi="宋体" w:eastAsia="宋体" w:cs="宋体"/>
          <w:color w:val="000000"/>
          <w:sz w:val="24"/>
          <w:szCs w:val="24"/>
          <w:highlight w:val="none"/>
          <w:shd w:val="clear" w:color="auto" w:fill="auto"/>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33.3.2供应商提供的货物、工程或者服务符合下列情形的，享受中小企业扶持政策：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33.3.2.1在货物采购项目中，货物由中小企业制造，即货物由中小企业生产且使用该中小企业商号或者注册商标；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33.3.2.2在工程采购项目中，工程由中小企业承建，即工程施工单位为中小企业；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33.3.2.3在服务采购项目中，服务由中小企业承接，即提供服务的人员为中小企业依照《中华人民共和国劳动合同法》订立劳动合同的从业人员。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33.3.3在货物采购项目中，供应商提供的货物既有中小企业制造货物，也有大型企业制造货物的，不享受中小企业扶持政策。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33.3.4以联合体形式参加政府采购活动，联合体各方均为中小企业的，联合体视同中小企业。其中，联合体各方均为小微企业的，联合体视同小微企业。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33.3.6残疾人福利单位定义：享受政府采购支持政策的残疾人福利性单位应当同时满足以下条件：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33.3.6.1安置的残疾人占本单位在职职工人数的比例不低于25%（含25%），并且安置的残疾人人数不少于10 人（含10 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33.3.6.2依法与安置的每位残疾人签订了一年以上（含一年）的劳动合同或服务协议；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33.3.6.3为安置的每位残疾人按月足额缴纳了基本养老保险、基本医疗保险、失业保险、工伤保险和生育保险等社会保险费；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33.3.6.4通过银行等金融机构向安置的每位残疾人，按月支付了不低于单位所在区县适用的经省级人民政府批准的月最低工资标准的工资；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33.3.6.5提供本单位制造的货物、承担的工程或者服务（以下简称产品），或者提供其他残疾人福利性单位制造的货物（不包括使用非残疾人福利性单位注册商标的货物）；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33.3.7本项目是否专门面向中小企业预留采购份额见第一章《招标公告》。</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33.3.8采购标的对应的中小企业划分标准所属行业见第四章《采购需求》。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33.3.9小微企业价格评审优惠的政策：见第五章《评标方法和评标标准》。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33.4政府采购节能产品、环境标志产品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shd w:val="clear" w:color="auto" w:fill="auto"/>
          <w:lang w:val="en-US" w:eastAsia="zh-CN"/>
        </w:rPr>
        <w:t xml:space="preserve">如属政府强制采购产品未提供认证证书的或认证证书提供不全的将视为未实质性响应采购要求。其他条件相同情况下，应当优先采购节能产品、环境标志产品。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33.5绿色包装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33.6政府采购创新产品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33.7绿色数据中心政策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33.8实施本国产品标准及相关政策</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1.本项目对采购本国产品给予政策支持，具体内容见招标文件“第五章 评标方法与评标标准”。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3"/>
        <w:ind w:firstLine="480"/>
        <w:jc w:val="both"/>
        <w:pageBreakBefore w:val="0"/>
        <w:spacing w:beforeAutospacing="0" w:afterAutospacing="0" w:line="500" w:lineRule="exact"/>
        <w:widowControl w:val="off"/>
        <w:rPr>
          <w:rFonts w:hint="default"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shd w:val="clear" w:color="auto" w:fill="auto"/>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33.9履约保证金政策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确需收取履约保证金的，履约保证金的缴纳形式：</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如以履约保函（保险）形式缴纳履约保证金，供应商可通过政府采购电子履约保函（保险）平台（www.jsdzbh.com）在线申请履约保函（保险）。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szCs w:val="24"/>
          <w:highlight w:val="none"/>
          <w:lang w:val="en-US" w:eastAsia="zh-CN" w:bidi="ar-SA"/>
        </w:rPr>
        <w:t xml:space="preserve">免收履约保证金或降低履约保证金缴纳比例</w:t>
      </w:r>
      <w:r>
        <w:rPr>
          <w:rFonts w:hint="eastAsia" w:ascii="宋体" w:hAnsi="宋体" w:eastAsia="宋体" w:cs="宋体"/>
          <w:color w:val="000000"/>
          <w:sz w:val="24"/>
          <w:szCs w:val="24"/>
          <w:highlight w:val="none"/>
          <w:shd w:val="clear" w:color="auto" w:fill="auto"/>
          <w:lang w:val="en-US"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34. 预付款制度</w:t>
      </w:r>
      <w:r/>
    </w:p>
    <w:p>
      <w:pPr>
        <w:pStyle w:val="663"/>
        <w:ind w:firstLine="480"/>
        <w:jc w:val="both"/>
        <w:pageBreakBefore w:val="0"/>
        <w:spacing w:beforeAutospacing="0" w:afterAutospacing="0" w:line="500" w:lineRule="exact"/>
        <w:widowControl w:val="off"/>
        <w:rPr>
          <w:sz w:val="36"/>
          <w:szCs w:val="44"/>
          <w:highlight w:val="none"/>
        </w:rPr>
      </w:pPr>
      <w:r>
        <w:rPr>
          <w:rFonts w:hint="eastAsia" w:ascii="宋体" w:hAnsi="宋体" w:eastAsia="宋体" w:cs="宋体"/>
          <w:color w:val="000000"/>
          <w:sz w:val="24"/>
          <w:szCs w:val="24"/>
          <w:highlight w:val="none"/>
          <w:shd w:val="clear" w:color="auto" w:fill="auto"/>
          <w:lang w:val="en-US" w:eastAsia="zh-CN"/>
        </w:rPr>
        <w:t xml:space="preserve">本项目落实预付款制度，预付款比例为</w:t>
      </w:r>
      <w:r>
        <w:rPr>
          <w:rFonts w:hint="eastAsia" w:ascii="宋体" w:hAnsi="宋体"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shd w:val="clear" w:color="auto" w:fill="auto"/>
          <w:lang w:val="en-US" w:eastAsia="zh-CN"/>
        </w:rPr>
        <w:t xml:space="preserve">%。在签订合同时，中标、成交供应商明确书面表示无需预付款或者主动要求降低预付款比例的，采购人可就预付款比例作相应调整。</w:t>
      </w:r>
      <w:r>
        <w:rPr>
          <w:sz w:val="36"/>
          <w:szCs w:val="44"/>
          <w:highlight w:val="none"/>
        </w:rPr>
        <w:t xml:space="preserve"> </w:t>
      </w:r>
      <w:bookmarkStart w:id="160" w:name="_Toc479757211"/>
      <w:r/>
      <w:bookmarkStart w:id="161" w:name="_Hlt16619350"/>
      <w:r/>
      <w:bookmarkStart w:id="162" w:name="_Toc120614244"/>
      <w:r/>
      <w:bookmarkStart w:id="163" w:name="_Toc20823346"/>
      <w:r/>
      <w:bookmarkStart w:id="164" w:name="_Toc16938590"/>
      <w:r/>
      <w:bookmarkStart w:id="165" w:name="_Toc462564139"/>
      <w:r/>
      <w:bookmarkStart w:id="166" w:name="_Hlt16619369"/>
      <w:r/>
      <w:r/>
    </w:p>
    <w:p>
      <w:pPr>
        <w:rPr>
          <w:sz w:val="36"/>
          <w:szCs w:val="44"/>
          <w:highlight w:val="none"/>
        </w:rPr>
      </w:pPr>
      <w:r>
        <w:rPr>
          <w:sz w:val="36"/>
          <w:szCs w:val="44"/>
          <w:highlight w:val="none"/>
        </w:rPr>
        <w:br w:type="page" w:clear="all"/>
      </w:r>
      <w:r/>
    </w:p>
    <w:p>
      <w:pPr>
        <w:contextualSpacing/>
        <w:jc w:val="center"/>
        <w:keepLines w:val="0"/>
        <w:keepNext w:val="0"/>
        <w:pageBreakBefore w:val="0"/>
        <w:spacing w:before="100" w:beforeAutospacing="1" w:after="100" w:afterAutospacing="1" w:line="500" w:lineRule="exact"/>
        <w:widowControl w:val="off"/>
        <w:rPr>
          <w:rFonts w:ascii="黑体" w:hAnsi="黑体" w:eastAsia="黑体" w:cs="黑体"/>
          <w:sz w:val="30"/>
          <w:szCs w:val="30"/>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ind w:firstLine="420"/>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以下为成交后签订本项目合同的通用条款，成交供应商不得提出实质性的修改，关于专用条款将由采购人与成交供应商结合本项目具体情况协商后签订。</w:t>
      </w:r>
      <w:r/>
    </w:p>
    <w:p>
      <w:pPr>
        <w:contextualSpacing/>
        <w:jc w:val="center"/>
        <w:spacing w:before="100" w:beforeAutospacing="1" w:after="100" w:afterAutospacing="1" w:line="400" w:lineRule="exact"/>
        <w:rPr>
          <w:rFonts w:ascii="方正小标宋_GBK" w:hAnsi="仿宋" w:eastAsia="黑体"/>
          <w:sz w:val="24"/>
        </w:rPr>
      </w:pPr>
      <w:r>
        <w:rPr>
          <w:rFonts w:ascii="方正小标宋_GBK" w:hAnsi="仿宋" w:eastAsia="黑体"/>
          <w:sz w:val="24"/>
        </w:rPr>
      </w:r>
      <w:r/>
    </w:p>
    <w:p>
      <w:pPr>
        <w:ind w:firstLine="420"/>
        <w:jc w:val="center"/>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t xml:space="preserve">政府采购合同（货物）</w:t>
      </w:r>
      <w:r/>
    </w:p>
    <w:p>
      <w:pPr>
        <w:ind w:firstLine="420"/>
        <w:spacing w:line="400" w:lineRule="exact"/>
        <w:tabs>
          <w:tab w:val="left" w:pos="900"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u w:val="singl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甲方：（买方）</w:t>
      </w:r>
      <w:r>
        <w:rPr>
          <w:rFonts w:hint="eastAsia" w:ascii="宋体" w:hAnsi="宋体" w:eastAsia="宋体" w:cs="宋体"/>
          <w:color w:val="000000"/>
          <w:sz w:val="24"/>
          <w:szCs w:val="24"/>
          <w:highlight w:val="none"/>
          <w:u w:val="single"/>
          <w:shd w:val="clear" w:color="auto" w:fill="auto"/>
          <w:lang w:val="en-US" w:eastAsia="zh-CN"/>
        </w:rPr>
        <w:t xml:space="preserve">盐城市亭湖区教育局</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乙方：（卖方）</w:t>
      </w:r>
      <w:r>
        <w:rPr>
          <w:rFonts w:hint="eastAsia" w:ascii="宋体" w:hAnsi="宋体" w:eastAsia="宋体" w:cs="宋体"/>
          <w:color w:val="000000"/>
          <w:sz w:val="24"/>
          <w:szCs w:val="24"/>
          <w:highlight w:val="none"/>
          <w:u w:val="single"/>
          <w:shd w:val="clear" w:color="auto" w:fill="auto"/>
          <w:lang w:val="en-US" w:eastAsia="zh-CN"/>
        </w:rPr>
        <w:t xml:space="preserve">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甲、乙双方根据</w:t>
      </w:r>
      <w:r>
        <w:rPr>
          <w:rFonts w:hint="eastAsia" w:ascii="宋体" w:hAnsi="宋体" w:eastAsia="宋体" w:cs="宋体"/>
          <w:color w:val="000000"/>
          <w:sz w:val="24"/>
          <w:szCs w:val="24"/>
          <w:highlight w:val="none"/>
          <w:u w:val="single"/>
          <w:shd w:val="clear" w:color="auto" w:fill="auto"/>
          <w:lang w:val="en-US" w:eastAsia="zh-CN"/>
        </w:rPr>
        <w:t xml:space="preserve">盐城市亭湖区教育局2026年采购体育健身器材采购项目</w:t>
      </w:r>
      <w:r>
        <w:rPr>
          <w:rFonts w:hint="eastAsia" w:ascii="宋体" w:hAnsi="宋体" w:eastAsia="宋体" w:cs="宋体"/>
          <w:color w:val="000000"/>
          <w:sz w:val="24"/>
          <w:szCs w:val="24"/>
          <w:highlight w:val="none"/>
          <w:shd w:val="clear" w:color="auto" w:fill="auto"/>
          <w:lang w:val="en-US" w:eastAsia="zh-CN"/>
        </w:rPr>
        <w:t xml:space="preserve">公开招标的结果，签署本合同。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一、货物内容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1.货物名称：盐城市亭湖区教育局2026年采购体育健身器材采购项目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2.型号规格：详见招标文件《第四部分项目需求》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3.工期：合同签订后 30日内供货到甲方指定地点，安装调试完毕并经甲方验收合格。</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4.数量：一代健身路径51套；二代健身路径2套；</w:t>
      </w:r>
      <w:r>
        <w:rPr>
          <w:rFonts w:hint="eastAsia" w:ascii="宋体" w:hAnsi="宋体" w:eastAsia="宋体" w:cs="宋体"/>
          <w:color w:val="000000"/>
          <w:sz w:val="24"/>
          <w:szCs w:val="24"/>
          <w:highlight w:val="none"/>
          <w:shd w:val="clear" w:color="auto" w:fill="auto"/>
          <w:lang w:eastAsia="zh-CN"/>
        </w:rPr>
        <w:t xml:space="preserve">移动式</w:t>
      </w:r>
      <w:r>
        <w:rPr>
          <w:rFonts w:hint="eastAsia" w:ascii="宋体" w:hAnsi="宋体" w:eastAsia="宋体" w:cs="宋体"/>
          <w:color w:val="000000"/>
          <w:sz w:val="24"/>
          <w:szCs w:val="24"/>
          <w:highlight w:val="none"/>
          <w:shd w:val="clear" w:color="auto" w:fill="auto"/>
        </w:rPr>
        <w:t xml:space="preserve">篮球架</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只；室外乒乓球台</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张；室内乒乓球台</w:t>
      </w:r>
      <w:r>
        <w:rPr>
          <w:rFonts w:hint="eastAsia" w:ascii="宋体" w:hAnsi="宋体" w:eastAsia="宋体" w:cs="宋体"/>
          <w:color w:val="000000"/>
          <w:sz w:val="24"/>
          <w:szCs w:val="24"/>
          <w:highlight w:val="none"/>
          <w:shd w:val="clear" w:color="auto" w:fill="auto"/>
          <w:lang w:val="en-US" w:eastAsia="zh-CN"/>
        </w:rPr>
        <w:t xml:space="preserve">42</w:t>
      </w:r>
      <w:r>
        <w:rPr>
          <w:rFonts w:hint="eastAsia" w:ascii="宋体" w:hAnsi="宋体" w:eastAsia="宋体" w:cs="宋体"/>
          <w:color w:val="000000"/>
          <w:sz w:val="24"/>
          <w:szCs w:val="24"/>
          <w:highlight w:val="none"/>
          <w:shd w:val="clear" w:color="auto" w:fill="auto"/>
        </w:rPr>
        <w:t xml:space="preserve">张</w:t>
      </w:r>
      <w:r>
        <w:rPr>
          <w:rFonts w:hint="eastAsia" w:ascii="宋体" w:hAnsi="宋体" w:eastAsia="宋体" w:cs="宋体"/>
          <w:color w:val="000000"/>
          <w:sz w:val="24"/>
          <w:szCs w:val="24"/>
          <w:highlight w:val="none"/>
          <w:shd w:val="clear" w:color="auto" w:fill="auto"/>
          <w:lang w:val="en-US" w:eastAsia="zh-CN"/>
        </w:rPr>
        <w:t xml:space="preserve">。详见合同综合单价表及招标文件《第四部分项目需求》。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二、合同金额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1.本合同金额为（大写）：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元；小写：</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本合同金额是指①投标人负责为完成本次投标所有货物（含附配件）的采购、包装、运输、安装、调试、验收、售后服务、运维服务等所需的一切费用，包括但不限于：货物（含附配件）的价格、包装费、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w:t>
      </w:r>
      <w:r/>
    </w:p>
    <w:p>
      <w:pPr>
        <w:ind w:firstLine="420"/>
        <w:spacing w:line="400" w:lineRule="exact"/>
        <w:rPr>
          <w:rFonts w:asciiTheme="minorEastAsia" w:hAnsiTheme="minorEastAsia"/>
          <w:sz w:val="24"/>
          <w:szCs w:val="24"/>
        </w:rPr>
      </w:pPr>
      <w:r>
        <w:rPr>
          <w:rFonts w:hint="eastAsia" w:asciiTheme="minorEastAsia" w:hAnsiTheme="minorEastAsia"/>
          <w:sz w:val="24"/>
          <w:szCs w:val="24"/>
        </w:rPr>
        <w:t xml:space="preserve">2.综合单价表</w:t>
      </w:r>
      <w:r/>
    </w:p>
    <w:tbl>
      <w:tblPr>
        <w:tblStyle w:val="665"/>
        <w:tblW w:w="8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807"/>
        <w:gridCol w:w="1823"/>
        <w:gridCol w:w="1667"/>
        <w:gridCol w:w="770"/>
        <w:gridCol w:w="683"/>
        <w:gridCol w:w="682"/>
      </w:tblGrid>
      <w:tr>
        <w:trPr>
          <w:jc w:val="center"/>
          <w:trHeight w:val="510"/>
        </w:trPr>
        <w:tc>
          <w:tcPr>
            <w:tcW w:w="669"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序号</w:t>
            </w:r>
            <w:r/>
          </w:p>
        </w:tc>
        <w:tc>
          <w:tcPr>
            <w:tcW w:w="1807" w:type="dxa"/>
            <w:vAlign w:val="center"/>
            <w:textDirection w:val="lrTb"/>
            <w:noWrap w:val="false"/>
          </w:tcPr>
          <w:p>
            <w:pPr>
              <w:pStyle w:val="662"/>
              <w:jc w:val="center"/>
              <w:rPr>
                <w:rFonts w:asciiTheme="minorEastAsia" w:hAnsiTheme="minorEastAsia"/>
                <w:b/>
                <w:bCs/>
                <w:sz w:val="21"/>
                <w:szCs w:val="21"/>
              </w:rPr>
            </w:pPr>
            <w:r>
              <w:rPr>
                <w:rFonts w:hint="eastAsia" w:asciiTheme="minorEastAsia" w:hAnsiTheme="minorEastAsia"/>
                <w:b/>
                <w:bCs/>
                <w:sz w:val="21"/>
                <w:szCs w:val="21"/>
              </w:rPr>
              <w:t xml:space="preserve">产品</w:t>
            </w:r>
            <w:r>
              <w:rPr>
                <w:rFonts w:asciiTheme="minorEastAsia" w:hAnsiTheme="minorEastAsia"/>
                <w:b/>
                <w:bCs/>
                <w:sz w:val="21"/>
                <w:szCs w:val="21"/>
              </w:rPr>
              <w:t xml:space="preserve">名称</w:t>
            </w:r>
            <w:r/>
          </w:p>
        </w:tc>
        <w:tc>
          <w:tcPr>
            <w:tcW w:w="1823" w:type="dxa"/>
            <w:vAlign w:val="center"/>
            <w:textDirection w:val="lrTb"/>
            <w:noWrap w:val="false"/>
          </w:tcPr>
          <w:p>
            <w:pPr>
              <w:pStyle w:val="662"/>
              <w:jc w:val="center"/>
              <w:rPr>
                <w:rFonts w:asciiTheme="minorEastAsia" w:hAnsiTheme="minorEastAsia"/>
                <w:b/>
                <w:bCs/>
                <w:sz w:val="21"/>
                <w:szCs w:val="21"/>
              </w:rPr>
            </w:pPr>
            <w:r>
              <w:rPr>
                <w:rFonts w:eastAsia="宋体"/>
                <w:b/>
                <w:bCs/>
                <w:color w:val="000000"/>
                <w:sz w:val="21"/>
              </w:rPr>
              <w:t xml:space="preserve">规格</w:t>
            </w:r>
            <w:r>
              <w:rPr>
                <w:rFonts w:hint="eastAsia" w:eastAsia="宋体"/>
                <w:b/>
                <w:bCs/>
                <w:color w:val="000000"/>
                <w:sz w:val="21"/>
              </w:rPr>
              <w:t xml:space="preserve">或</w:t>
            </w:r>
            <w:r>
              <w:rPr>
                <w:rFonts w:eastAsia="宋体"/>
                <w:b/>
                <w:bCs/>
                <w:color w:val="000000"/>
                <w:sz w:val="21"/>
              </w:rPr>
              <w:t xml:space="preserve">型号</w:t>
            </w:r>
            <w:r/>
          </w:p>
        </w:tc>
        <w:tc>
          <w:tcPr>
            <w:tcW w:w="1667" w:type="dxa"/>
            <w:vAlign w:val="center"/>
            <w:textDirection w:val="lrTb"/>
            <w:noWrap w:val="false"/>
          </w:tcPr>
          <w:p>
            <w:pPr>
              <w:pStyle w:val="662"/>
              <w:jc w:val="center"/>
              <w:rPr>
                <w:rFonts w:asciiTheme="minorEastAsia" w:hAnsiTheme="minorEastAsia"/>
                <w:b/>
                <w:bCs/>
                <w:sz w:val="21"/>
                <w:szCs w:val="21"/>
              </w:rPr>
            </w:pPr>
            <w:r>
              <w:rPr>
                <w:rFonts w:hint="eastAsia" w:asciiTheme="minorEastAsia" w:hAnsiTheme="minorEastAsia"/>
                <w:b/>
                <w:bCs/>
                <w:sz w:val="21"/>
                <w:szCs w:val="21"/>
              </w:rPr>
              <w:t xml:space="preserve">品牌</w:t>
            </w:r>
            <w:r/>
          </w:p>
        </w:tc>
        <w:tc>
          <w:tcPr>
            <w:tcW w:w="770"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数量</w:t>
            </w:r>
            <w:r/>
          </w:p>
        </w:tc>
        <w:tc>
          <w:tcPr>
            <w:tcW w:w="683"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单价</w:t>
            </w:r>
            <w:r/>
          </w:p>
        </w:tc>
        <w:tc>
          <w:tcPr>
            <w:tcW w:w="682" w:type="dxa"/>
            <w:vAlign w:val="center"/>
            <w:textDirection w:val="lrTb"/>
            <w:noWrap w:val="false"/>
          </w:tcPr>
          <w:p>
            <w:pPr>
              <w:pStyle w:val="662"/>
              <w:jc w:val="center"/>
              <w:rPr>
                <w:rFonts w:asciiTheme="minorEastAsia" w:hAnsiTheme="minorEastAsia"/>
                <w:b/>
                <w:bCs/>
                <w:sz w:val="21"/>
                <w:szCs w:val="21"/>
              </w:rPr>
            </w:pPr>
            <w:r>
              <w:rPr>
                <w:rFonts w:asciiTheme="minorEastAsia" w:hAnsiTheme="minorEastAsia"/>
                <w:b/>
                <w:bCs/>
                <w:sz w:val="21"/>
                <w:szCs w:val="21"/>
              </w:rPr>
              <w:t xml:space="preserve">合价</w:t>
            </w:r>
            <w:r/>
          </w:p>
        </w:tc>
      </w:tr>
      <w:tr>
        <w:trPr>
          <w:jc w:val="center"/>
          <w:trHeight w:val="397"/>
        </w:trPr>
        <w:tc>
          <w:tcPr>
            <w:gridSpan w:val="7"/>
            <w:tcW w:w="8101" w:type="dxa"/>
            <w:vAlign w:val="center"/>
            <w:textDirection w:val="lrTb"/>
            <w:noWrap w:val="false"/>
          </w:tcPr>
          <w:p>
            <w:pPr>
              <w:jc w:val="center"/>
              <w:rPr>
                <w:rFonts w:asciiTheme="minorEastAsia" w:hAnsiTheme="minorEastAsia"/>
                <w:b/>
                <w:bCs/>
                <w:szCs w:val="21"/>
              </w:rPr>
            </w:pPr>
            <w:r>
              <w:rPr>
                <w:rFonts w:hint="eastAsia" w:asciiTheme="minorEastAsia" w:hAnsiTheme="minorEastAsia"/>
                <w:b/>
                <w:bCs/>
                <w:szCs w:val="21"/>
              </w:rPr>
              <w:t xml:space="preserve">设备清单一：一代健身路径</w:t>
            </w:r>
            <w:r/>
          </w:p>
        </w:tc>
      </w:tr>
      <w:tr>
        <w:trPr>
          <w:jc w:val="center"/>
          <w:trHeight w:val="392"/>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1</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lang w:val="en-US" w:eastAsia="zh-CN"/>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肋木架</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3</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天梯</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4</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双位漫步机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 w:val="21"/>
                <w:szCs w:val="21"/>
                <w:lang w:val="en-US"/>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5</w:t>
            </w:r>
            <w:r/>
          </w:p>
        </w:tc>
        <w:tc>
          <w:tcPr>
            <w:shd w:val="clear" w:color="auto" w:fill="auto"/>
            <w:tcW w:w="1807" w:type="dxa"/>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p>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（两组双人位）</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6</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上肢牵引器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7</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三位扭腰器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8</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腰背按摩器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9</w:t>
            </w:r>
            <w:r/>
          </w:p>
        </w:tc>
        <w:tc>
          <w:tcPr>
            <w:shd w:val="clear" w:color="auto" w:fill="auto"/>
            <w:tcW w:w="1807"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太极揉推器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 w:val="21"/>
                <w:szCs w:val="21"/>
                <w:lang w:val="en-US" w:eastAsia="zh-CN"/>
              </w:rPr>
              <w:t xml:space="preserve">51</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设备清单二：</w:t>
            </w:r>
            <w:r>
              <w:rPr>
                <w:rFonts w:hint="eastAsia" w:asciiTheme="minorEastAsia" w:hAnsiTheme="minorEastAsia"/>
                <w:b/>
                <w:bCs/>
                <w:sz w:val="21"/>
                <w:szCs w:val="21"/>
              </w:rPr>
              <w:t xml:space="preserve">二代健身路径</w:t>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10</w:t>
            </w:r>
            <w:r/>
          </w:p>
        </w:tc>
        <w:tc>
          <w:tcPr>
            <w:shd w:val="clear" w:color="auto" w:fill="auto"/>
            <w:tcW w:w="1807" w:type="dxa"/>
            <w:vAlign w:val="center"/>
            <w:textDirection w:val="lrTb"/>
            <w:noWrap w:val="false"/>
          </w:tcPr>
          <w:p>
            <w:pPr>
              <w:jc w:val="center"/>
            </w:pPr>
            <w:r>
              <w:rPr>
                <w:rFonts w:hint="eastAsia"/>
              </w:rPr>
              <w:t xml:space="preserve">告示牌</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pStyle w:val="662"/>
              <w:jc w:val="center"/>
              <w:rPr>
                <w:rFonts w:asciiTheme="minorEastAsia" w:hAnsiTheme="minorEastAsia"/>
                <w:sz w:val="21"/>
                <w:szCs w:val="21"/>
                <w:lang w:val="en-US"/>
              </w:rPr>
            </w:pPr>
            <w:r>
              <w:rPr>
                <w:rFonts w:hint="eastAsia" w:asciiTheme="minorEastAsia" w:hAnsiTheme="minorEastAsia"/>
                <w:sz w:val="21"/>
                <w:szCs w:val="21"/>
                <w:lang w:val="en-US"/>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11</w:t>
            </w:r>
            <w:r/>
          </w:p>
        </w:tc>
        <w:tc>
          <w:tcPr>
            <w:shd w:val="clear" w:color="auto" w:fill="auto"/>
            <w:tcW w:w="1807" w:type="dxa"/>
            <w:vAlign w:val="center"/>
            <w:textDirection w:val="lrTb"/>
            <w:noWrap w:val="false"/>
          </w:tcPr>
          <w:p>
            <w:pPr>
              <w:jc w:val="center"/>
            </w:pPr>
            <w:r>
              <w:rPr>
                <w:rFonts w:hint="eastAsia"/>
              </w:rPr>
              <w:t xml:space="preserve">智能双位太空</w:t>
            </w:r>
            <w:r/>
          </w:p>
          <w:p>
            <w:pPr>
              <w:jc w:val="center"/>
            </w:pPr>
            <w:r>
              <w:rPr>
                <w:rFonts w:hint="eastAsia"/>
              </w:rPr>
              <w:t xml:space="preserve">漫步机</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12</w:t>
            </w:r>
            <w:r/>
          </w:p>
        </w:tc>
        <w:tc>
          <w:tcPr>
            <w:shd w:val="clear" w:color="auto" w:fill="auto"/>
            <w:tcW w:w="1807" w:type="dxa"/>
            <w:vAlign w:val="center"/>
            <w:textDirection w:val="lrTb"/>
            <w:noWrap w:val="false"/>
          </w:tcPr>
          <w:p>
            <w:pPr>
              <w:jc w:val="center"/>
            </w:pPr>
            <w:r>
              <w:rPr>
                <w:rFonts w:hint="eastAsia"/>
              </w:rPr>
              <w:t xml:space="preserve">智能双位划船</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13</w:t>
            </w:r>
            <w:r/>
          </w:p>
        </w:tc>
        <w:tc>
          <w:tcPr>
            <w:shd w:val="clear" w:color="auto" w:fill="auto"/>
            <w:tcW w:w="1807" w:type="dxa"/>
            <w:vAlign w:val="center"/>
            <w:textDirection w:val="lrTb"/>
            <w:noWrap w:val="false"/>
          </w:tcPr>
          <w:p>
            <w:pPr>
              <w:jc w:val="center"/>
            </w:pPr>
            <w:r>
              <w:rPr>
                <w:rFonts w:hint="eastAsia"/>
              </w:rPr>
              <w:t xml:space="preserve">智能双位推举</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14</w:t>
            </w:r>
            <w:r/>
          </w:p>
        </w:tc>
        <w:tc>
          <w:tcPr>
            <w:shd w:val="clear" w:color="auto" w:fill="auto"/>
            <w:tcW w:w="1807" w:type="dxa"/>
            <w:vAlign w:val="center"/>
            <w:textDirection w:val="lrTb"/>
            <w:noWrap w:val="false"/>
          </w:tcPr>
          <w:p>
            <w:pPr>
              <w:jc w:val="center"/>
            </w:pPr>
            <w:r>
              <w:rPr>
                <w:rFonts w:hint="eastAsia"/>
              </w:rPr>
              <w:t xml:space="preserve">智能双位蹬力器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15</w:t>
            </w:r>
            <w:r/>
          </w:p>
        </w:tc>
        <w:tc>
          <w:tcPr>
            <w:shd w:val="clear" w:color="auto" w:fill="auto"/>
            <w:tcW w:w="1807" w:type="dxa"/>
            <w:vAlign w:val="center"/>
            <w:textDirection w:val="lrTb"/>
            <w:noWrap w:val="false"/>
          </w:tcPr>
          <w:p>
            <w:pPr>
              <w:jc w:val="center"/>
            </w:pPr>
            <w:r>
              <w:rPr>
                <w:rFonts w:hint="eastAsia"/>
              </w:rPr>
              <w:t xml:space="preserve">智能双位背部</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16</w:t>
            </w:r>
            <w:r/>
          </w:p>
        </w:tc>
        <w:tc>
          <w:tcPr>
            <w:shd w:val="clear" w:color="auto" w:fill="auto"/>
            <w:tcW w:w="1807" w:type="dxa"/>
            <w:vAlign w:val="center"/>
            <w:textDirection w:val="lrTb"/>
            <w:noWrap w:val="false"/>
          </w:tcPr>
          <w:p>
            <w:pPr>
              <w:jc w:val="center"/>
            </w:pPr>
            <w:r>
              <w:rPr>
                <w:rFonts w:hint="eastAsia"/>
              </w:rPr>
              <w:t xml:space="preserve">智能双位健身车（竞赛型）</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17</w:t>
            </w:r>
            <w:r/>
          </w:p>
        </w:tc>
        <w:tc>
          <w:tcPr>
            <w:shd w:val="clear" w:color="auto" w:fill="auto"/>
            <w:tcW w:w="1807" w:type="dxa"/>
            <w:vAlign w:val="center"/>
            <w:textDirection w:val="lrTb"/>
            <w:noWrap w:val="false"/>
          </w:tcPr>
          <w:p>
            <w:pPr>
              <w:jc w:val="center"/>
            </w:pPr>
            <w:r>
              <w:rPr>
                <w:rFonts w:hint="eastAsia"/>
              </w:rPr>
              <w:t xml:space="preserve">智能双位扭腰器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18</w:t>
            </w:r>
            <w:r/>
          </w:p>
        </w:tc>
        <w:tc>
          <w:tcPr>
            <w:shd w:val="clear" w:color="auto" w:fill="auto"/>
            <w:tcW w:w="1807" w:type="dxa"/>
            <w:vAlign w:val="center"/>
            <w:textDirection w:val="lrTb"/>
            <w:noWrap w:val="false"/>
          </w:tcPr>
          <w:p>
            <w:pPr>
              <w:jc w:val="center"/>
            </w:pPr>
            <w:r>
              <w:rPr>
                <w:rFonts w:hint="eastAsia"/>
              </w:rPr>
              <w:t xml:space="preserve">智能双位揉推器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19</w:t>
            </w:r>
            <w:r/>
          </w:p>
        </w:tc>
        <w:tc>
          <w:tcPr>
            <w:shd w:val="clear" w:color="auto" w:fill="auto"/>
            <w:tcW w:w="1807" w:type="dxa"/>
            <w:vAlign w:val="center"/>
            <w:textDirection w:val="lrTb"/>
            <w:noWrap w:val="false"/>
          </w:tcPr>
          <w:p>
            <w:pPr>
              <w:jc w:val="center"/>
            </w:pPr>
            <w:r>
              <w:rPr>
                <w:rFonts w:hint="eastAsia"/>
              </w:rPr>
              <w:t xml:space="preserve">智能双位腹部训练器（仰卧板）</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shd w:val="clear" w:color="auto" w:fill="auto"/>
            <w:tcW w:w="669" w:type="dxa"/>
            <w:vAlign w:val="center"/>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20</w:t>
            </w:r>
            <w:r/>
          </w:p>
        </w:tc>
        <w:tc>
          <w:tcPr>
            <w:shd w:val="clear" w:color="auto" w:fill="auto"/>
            <w:tcW w:w="1807" w:type="dxa"/>
            <w:vAlign w:val="center"/>
            <w:textDirection w:val="lrTb"/>
            <w:noWrap w:val="false"/>
          </w:tcPr>
          <w:p>
            <w:pPr>
              <w:jc w:val="center"/>
            </w:pPr>
            <w:r>
              <w:rPr>
                <w:rFonts w:hint="eastAsia"/>
              </w:rPr>
              <w:t xml:space="preserve">智能双位钟摆</w:t>
            </w:r>
            <w:r/>
          </w:p>
          <w:p>
            <w:pPr>
              <w:jc w:val="center"/>
            </w:pPr>
            <w:r>
              <w:rPr>
                <w:rFonts w:hint="eastAsia"/>
              </w:rPr>
              <w:t xml:space="preserve">训练器</w:t>
            </w:r>
            <w:r/>
          </w:p>
        </w:tc>
        <w:tc>
          <w:tcPr>
            <w:tcW w:w="1823"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667"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77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683"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设备清单三：</w:t>
            </w:r>
            <w:r>
              <w:rPr>
                <w:rFonts w:hint="eastAsia" w:asciiTheme="minorEastAsia" w:hAnsiTheme="minorEastAsia"/>
                <w:b/>
                <w:bCs/>
                <w:sz w:val="21"/>
                <w:szCs w:val="21"/>
              </w:rPr>
              <w:t xml:space="preserve">篮球架</w:t>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1</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lang w:eastAsia="zh-CN"/>
              </w:rPr>
              <w:t xml:space="preserve">移动式</w:t>
            </w:r>
            <w:r>
              <w:rPr>
                <w:rFonts w:hint="eastAsia" w:asciiTheme="minorEastAsia" w:hAnsiTheme="minorEastAsia"/>
                <w:szCs w:val="21"/>
                <w:highlight w:val="none"/>
              </w:rPr>
              <w:t xml:space="preserve">篮球架</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 xml:space="preserve">10</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gridSpan w:val="7"/>
            <w:tcW w:w="8101" w:type="dxa"/>
            <w:vAlign w:val="center"/>
            <w:textDirection w:val="lrTb"/>
            <w:noWrap w:val="false"/>
          </w:tcPr>
          <w:p>
            <w:pPr>
              <w:pStyle w:val="662"/>
              <w:jc w:val="center"/>
              <w:rPr>
                <w:rFonts w:asciiTheme="minorEastAsia" w:hAnsiTheme="minorEastAsia"/>
                <w:sz w:val="21"/>
                <w:szCs w:val="21"/>
              </w:rPr>
            </w:pPr>
            <w:r>
              <w:rPr>
                <w:rFonts w:hint="eastAsia" w:asciiTheme="minorEastAsia" w:hAnsiTheme="minorEastAsia"/>
                <w:b/>
                <w:bCs/>
                <w:sz w:val="21"/>
                <w:szCs w:val="21"/>
                <w:lang w:val="en-US"/>
              </w:rPr>
              <w:t xml:space="preserve">设备清单四：</w:t>
            </w:r>
            <w:r>
              <w:rPr>
                <w:rFonts w:hint="eastAsia" w:asciiTheme="minorEastAsia" w:hAnsiTheme="minorEastAsia"/>
                <w:b/>
                <w:bCs/>
                <w:sz w:val="21"/>
                <w:szCs w:val="21"/>
              </w:rPr>
              <w:t xml:space="preserve">乒乓球台</w:t>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2</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室外乒乓球台</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asciiTheme="minorEastAsia" w:hAnsiTheme="minorEastAsia"/>
                <w:sz w:val="21"/>
                <w:szCs w:val="21"/>
                <w:highlight w:val="none"/>
                <w:lang w:val="en-US"/>
              </w:rPr>
            </w:pPr>
            <w:r>
              <w:rPr>
                <w:rFonts w:hint="eastAsia" w:asciiTheme="minorEastAsia" w:hAnsiTheme="minorEastAsia"/>
                <w:sz w:val="21"/>
                <w:szCs w:val="21"/>
                <w:highlight w:val="none"/>
                <w:lang w:val="en-US"/>
              </w:rPr>
              <w:t xml:space="preserve">8</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397"/>
        </w:trPr>
        <w:tc>
          <w:tcPr>
            <w:tcW w:w="669" w:type="dxa"/>
            <w:vAlign w:val="center"/>
            <w:textDirection w:val="lrTb"/>
            <w:noWrap w:val="false"/>
          </w:tcPr>
          <w:p>
            <w:pPr>
              <w:pStyle w:val="662"/>
              <w:jc w:val="center"/>
              <w:rPr>
                <w:rFonts w:hint="eastAsia"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3</w:t>
            </w:r>
            <w:r/>
          </w:p>
        </w:tc>
        <w:tc>
          <w:tcPr>
            <w:tcW w:w="1807"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室内乒乓球台</w:t>
            </w:r>
            <w:r/>
          </w:p>
        </w:tc>
        <w:tc>
          <w:tcPr>
            <w:tcW w:w="1823" w:type="dxa"/>
            <w:vAlign w:val="center"/>
            <w:textDirection w:val="lrTb"/>
            <w:noWrap w:val="false"/>
          </w:tcPr>
          <w:p>
            <w:pPr>
              <w:jc w:val="center"/>
              <w:rPr>
                <w:rFonts w:asciiTheme="minorEastAsia" w:hAnsiTheme="minorEastAsia"/>
                <w:szCs w:val="21"/>
                <w:highlight w:val="none"/>
              </w:rPr>
            </w:pPr>
            <w:r>
              <w:rPr>
                <w:rFonts w:asciiTheme="minorEastAsia" w:hAnsiTheme="minorEastAsia"/>
                <w:szCs w:val="21"/>
                <w:highlight w:val="none"/>
              </w:rPr>
            </w:r>
            <w:r/>
          </w:p>
        </w:tc>
        <w:tc>
          <w:tcPr>
            <w:tcW w:w="1667"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770" w:type="dxa"/>
            <w:vAlign w:val="center"/>
            <w:textDirection w:val="lrTb"/>
            <w:noWrap w:val="false"/>
          </w:tcPr>
          <w:p>
            <w:pPr>
              <w:pStyle w:val="662"/>
              <w:jc w:val="center"/>
              <w:rPr>
                <w:rFonts w:hint="default" w:asciiTheme="minorEastAsia" w:hAnsiTheme="minorEastAsia" w:eastAsiaTheme="minorEastAsia"/>
                <w:sz w:val="21"/>
                <w:szCs w:val="21"/>
                <w:highlight w:val="none"/>
                <w:lang w:val="en-US" w:eastAsia="zh-CN"/>
              </w:rPr>
            </w:pPr>
            <w:r>
              <w:rPr>
                <w:rFonts w:hint="eastAsia" w:asciiTheme="minorEastAsia" w:hAnsiTheme="minorEastAsia"/>
                <w:sz w:val="21"/>
                <w:szCs w:val="21"/>
                <w:highlight w:val="none"/>
                <w:lang w:val="en-US" w:eastAsia="zh-CN"/>
              </w:rPr>
              <w:t xml:space="preserve">42</w:t>
            </w:r>
            <w:r/>
          </w:p>
        </w:tc>
        <w:tc>
          <w:tcPr>
            <w:tcW w:w="683" w:type="dxa"/>
            <w:vAlign w:val="center"/>
            <w:textDirection w:val="lrTb"/>
            <w:noWrap w:val="false"/>
          </w:tcPr>
          <w:p>
            <w:pPr>
              <w:pStyle w:val="662"/>
              <w:jc w:val="center"/>
              <w:rPr>
                <w:rFonts w:asciiTheme="minorEastAsia" w:hAnsiTheme="minorEastAsia"/>
                <w:sz w:val="21"/>
                <w:szCs w:val="21"/>
                <w:highlight w:val="none"/>
              </w:rPr>
            </w:pPr>
            <w:r>
              <w:rPr>
                <w:rFonts w:asciiTheme="minorEastAsia" w:hAnsiTheme="minorEastAsia"/>
                <w:sz w:val="21"/>
                <w:szCs w:val="21"/>
                <w:highlight w:val="none"/>
              </w:rPr>
            </w:r>
            <w:r/>
          </w:p>
        </w:tc>
        <w:tc>
          <w:tcPr>
            <w:tcW w:w="682" w:type="dxa"/>
            <w:vAlign w:val="center"/>
            <w:textDirection w:val="lrTb"/>
            <w:noWrap w:val="false"/>
          </w:tcPr>
          <w:p>
            <w:pPr>
              <w:pStyle w:val="662"/>
              <w:jc w:val="center"/>
              <w:rPr>
                <w:rFonts w:asciiTheme="minorEastAsia" w:hAnsiTheme="minorEastAsia"/>
                <w:sz w:val="21"/>
                <w:szCs w:val="21"/>
              </w:rPr>
            </w:pPr>
            <w:r>
              <w:rPr>
                <w:rFonts w:asciiTheme="minorEastAsia" w:hAnsiTheme="minorEastAsia"/>
                <w:sz w:val="21"/>
                <w:szCs w:val="21"/>
              </w:rPr>
            </w:r>
            <w:r/>
          </w:p>
        </w:tc>
      </w:tr>
      <w:tr>
        <w:trPr>
          <w:jc w:val="center"/>
          <w:trHeight w:val="639"/>
        </w:trPr>
        <w:tc>
          <w:tcPr>
            <w:gridSpan w:val="7"/>
            <w:tcW w:w="8101" w:type="dxa"/>
            <w:vAlign w:val="center"/>
            <w:textDirection w:val="lrTb"/>
            <w:noWrap w:val="false"/>
          </w:tcPr>
          <w:p>
            <w:pPr>
              <w:pStyle w:val="662"/>
              <w:rPr>
                <w:rFonts w:hint="default" w:asciiTheme="minorEastAsia" w:hAnsiTheme="minorEastAsia" w:eastAsiaTheme="minorEastAsia"/>
                <w:sz w:val="21"/>
                <w:szCs w:val="21"/>
                <w:lang w:val="en-US" w:eastAsia="zh-CN"/>
              </w:rPr>
            </w:pPr>
            <w:r>
              <w:rPr>
                <w:rFonts w:hint="eastAsia" w:asciiTheme="minorEastAsia" w:hAnsiTheme="minorEastAsia"/>
                <w:sz w:val="21"/>
                <w:szCs w:val="21"/>
              </w:rPr>
              <w:t xml:space="preserve">合计（人民币元）大写：</w:t>
            </w:r>
            <w:r>
              <w:rPr>
                <w:rFonts w:hint="eastAsia" w:asciiTheme="minorEastAsia" w:hAnsiTheme="minorEastAsia"/>
                <w:sz w:val="21"/>
                <w:szCs w:val="21"/>
                <w:lang w:val="en-US"/>
              </w:rPr>
              <w:t xml:space="preserve">                          小写：</w:t>
            </w:r>
            <w:r>
              <w:rPr>
                <w:rFonts w:hint="eastAsia" w:asciiTheme="minorEastAsia" w:hAnsiTheme="minorEastAsia"/>
                <w:sz w:val="21"/>
                <w:szCs w:val="21"/>
                <w:lang w:val="en-US" w:eastAsia="zh-CN"/>
              </w:rPr>
              <w:t xml:space="preserve">            </w:t>
            </w:r>
            <w:r/>
          </w:p>
        </w:tc>
      </w:tr>
    </w:tbl>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三、技术资料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1.乙方应按招标文件规定的时间向甲方提供使用货物的有关技术资料。</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四、知识产权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1.乙方应保证甲方在使用、接受本合同货物和服务或其任何一部分时不受第三方提出侵犯其专利权、版权、商标权和工业设计权等知识产权的起诉。一旦出现侵权，由乙方负全部责任。</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五、产权担保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1.乙方保证所交付的货物的所有权完全属于乙方且无任何抵押、查封等产权瑕疵。</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六、履约保证金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1.乙方交纳人民币（合同金额的</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%）元作为本合同的履约保证金，</w:t>
      </w:r>
      <w:r/>
    </w:p>
    <w:p>
      <w:pPr>
        <w:ind w:firstLine="480"/>
        <w:jc w:val="both"/>
        <w:spacing w:line="480" w:lineRule="exact"/>
        <w:widowControl w:val="off"/>
        <w:rPr>
          <w:rFonts w:hint="eastAsia" w:ascii="宋体" w:hAnsi="宋体" w:cs="Calibri"/>
          <w:b/>
          <w:bCs/>
          <w:color w:val="auto"/>
          <w:sz w:val="24"/>
          <w:szCs w:val="24"/>
          <w:highlight w:val="none"/>
        </w:rPr>
      </w:pPr>
      <w:r>
        <w:rPr>
          <w:rFonts w:hint="eastAsia" w:ascii="宋体" w:hAnsi="宋体" w:cs="Calibri"/>
          <w:b/>
          <w:bCs/>
          <w:color w:val="auto"/>
          <w:sz w:val="24"/>
          <w:szCs w:val="24"/>
          <w:highlight w:val="none"/>
        </w:rPr>
        <w:t xml:space="preserve">备注：履约保证金为合同金额的10%，对AA评级及以上政府采购供应商（需提供信用管理部门备案的第三方信用报告，且信用报告通过“信用盐城网”可查实）</w:t>
      </w:r>
      <w:r>
        <w:rPr>
          <w:rFonts w:hint="eastAsia" w:ascii="宋体" w:hAnsi="宋体" w:cs="Calibri"/>
          <w:b/>
          <w:bCs/>
          <w:color w:val="auto"/>
          <w:sz w:val="24"/>
          <w:szCs w:val="24"/>
          <w:highlight w:val="none"/>
          <w:lang w:val="en-US" w:eastAsia="zh-CN"/>
        </w:rPr>
        <w:t xml:space="preserve">免收履约保证金</w:t>
      </w:r>
      <w:r>
        <w:rPr>
          <w:rFonts w:hint="eastAsia" w:ascii="宋体" w:hAnsi="宋体" w:cs="Calibri"/>
          <w:b/>
          <w:bCs/>
          <w:color w:val="auto"/>
          <w:sz w:val="24"/>
          <w:szCs w:val="24"/>
          <w:highlight w:val="none"/>
        </w:rPr>
        <w:t xml:space="preserve">。</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2.确需收取履约保证金的，履约保证金的缴纳形式：</w:t>
      </w:r>
      <w:r/>
    </w:p>
    <w:p>
      <w:pPr>
        <w:ind w:firstLine="480"/>
        <w:jc w:val="both"/>
        <w:spacing w:line="480" w:lineRule="exact"/>
        <w:widowControl w:val="off"/>
        <w:rPr>
          <w:rFonts w:ascii="宋体" w:hAnsi="宋体" w:cs="Calibri"/>
          <w:color w:val="auto"/>
          <w:sz w:val="24"/>
          <w:szCs w:val="24"/>
          <w:highlight w:val="none"/>
        </w:rPr>
      </w:pPr>
      <w:r>
        <w:rPr>
          <w:rFonts w:hint="eastAsia" w:ascii="宋体" w:hAnsi="宋体" w:cs="Calibri"/>
          <w:color w:val="auto"/>
          <w:sz w:val="24"/>
          <w:szCs w:val="24"/>
          <w:highlight w:val="none"/>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80" w:lineRule="exact"/>
        <w:widowControl w:val="off"/>
        <w:rPr>
          <w:rFonts w:hint="eastAsia" w:ascii="宋体" w:hAnsi="宋体" w:cs="Calibri"/>
          <w:b/>
          <w:bCs/>
          <w:color w:val="auto"/>
          <w:sz w:val="24"/>
          <w:szCs w:val="24"/>
          <w:highlight w:val="none"/>
        </w:rPr>
      </w:pPr>
      <w:r>
        <w:rPr>
          <w:rFonts w:hint="eastAsia" w:ascii="宋体" w:hAnsi="宋体" w:cs="Calibri"/>
          <w:color w:val="auto"/>
          <w:sz w:val="24"/>
          <w:szCs w:val="24"/>
          <w:highlight w:val="none"/>
        </w:rPr>
        <w:t xml:space="preserve">（2）如以履约保函（保险）形式缴纳履约保证金，供应商可通过政府采购电子履约保函（保险）平台（www.jsdzbh.com）在线申请履约保函（保险）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3.合同履行结束后甲方退还交纳的履约保证金。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4.履约保证金的退还：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4.1方式：无息退还至乙方缴纳履约保证金的账户。如为保函，在到期时自行失效。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4.2时间：验收合格且甲方收到发票后30日内。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4.3条件：按合同要求全部履约完成并经甲方验收合格，且甲方收到乙方出具的发票。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4.4不予退还情形：</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除不可抗力情况外，乙方出现下列情形之一的，其履约保证金，甲方将视情节决定不予退还或部分不予退还。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4.4.1乙方无正当理由拒绝签订合同的，或者在签订合同时向甲方提出附加条件或者更改合同实质性内容要求的；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4.4.2乙方不履行与甲方订立的合同的；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4.4.3乙方所供货物或服务不符合招标文件规定要求的；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4.4.4乙方采取欺骗、弄虚作假方式投标的或与其它投标人串通投标的；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4.4.5乙方将合同内容转包、违法分包的；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4.4.6乙方故意捏造事实或伪造证明材料，进行虚假恶意投诉或反映的。</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4.5 逾期退还的违约责任：甲方逾期无故未退还履约保证金的，按中国人民银行同期贷款基准利率上浮20%后的利率支付超期资金占用费，但因供应商自身原因导致无法及时退还的除外。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5.如乙方未能履行合同规定的任何义务，甲方有权从履约保证金中得到补偿。</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七、转包或分包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1.乙方不得将合同标的转包给他人履行；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2.除非得到甲方的书面同意，乙方不得部分分包给他人履行；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3.如有转让和未经甲方同意的分包行为，甲方有权给予终止合同。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八、货款支付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1.甲方应当按照以下方式向乙方支付费用：</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1.1、本项目预付款30%，由甲方在合同签订后支付；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1.2、项目竣工验收合格后付至合同价款的80%；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Theme="minorEastAsia" w:hAnsiTheme="minorEastAsia"/>
          <w:sz w:val="24"/>
          <w:szCs w:val="24"/>
          <w:highlight w:val="none"/>
        </w:rPr>
        <w:t xml:space="preserve">余款在质保期内分</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次付清。(每两年一次巡检，乙方凭借巡检报告、开具相应金额发票申请)</w:t>
      </w:r>
      <w:r>
        <w:rPr>
          <w:rFonts w:hint="eastAsia" w:asciiTheme="minorEastAsia" w:hAnsiTheme="minorEastAsia"/>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每次付款前乙方须提供正规发票，合同价款一律通过银行非现金结算，结算方式:转账。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(按以上进度付款无任何利息补偿）。</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2.乙方指定付款账户如下：</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户名：</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开户行：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银行账户：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统一社会信用代码：          </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注：1.以上付款均不计任何利息和相关费用。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3.当采购数量与实际使用数量不一致时，乙方应根据实际使用量供货，合同的最终结算金额按验收合格的实际使用量乘以成交单价进行计算。</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九.税费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1.本合同执行中相关的一切税费均由乙方负担。</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十、质量保证及售后服务</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1.乙方应按招标文件规定的货物性能、技术要求、质量标准向甲方提供未经使用的全新产品。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2.乙方提供的货物在质保期内因货物本身的质量问题发生故障，乙方应负责免费更换。对达不到技术要求者，根据实际情况，经双方协商，可按以下办法处理：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2.1更换：由乙方承担所发生的全部费用。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2.2贬值处理：由甲乙双方合议定价。</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2.3退货处理：乙方应退还甲方支付的合同款，同时应承担该货物的直接费用（运输、保险、检验、货款利息及银行手续费等）。</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3.如在使用过程中发生质量问题，乙方在4小时内予以回应，在质量保修期内设备发生故障必须在得到通知后24小时内派人到现场解决；若无法排除故障，须提供备用设备于5日内安装到位，不得影响设备正常使用；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4.在质保期内，乙方应对货物出现的质量及安全问题负责处理解决并承担一切费用。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5.质保期 8年（自交货验收合格之日起计）。在质保期内，乙方负责提供2次/年巡检服务。质保期内因产品质量所产生的问题由乙方负责免费保修，因人为因素出现的故障不在免费保修范围内。质保期满后，乙方为该产品提供终身技术服务，并确保备品、配件及时提供，维修时只收部件成本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6.交货期、交货方式及交货地点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6.1交货期：合同签订后 30日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6.2交货方式：供货到甲方指定地点，安装调试完毕并经甲方验收合格；送货上门，所有费用已包含在本合同总价中，甲方不再另行支付任何费用。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6.3交货地点：甲方指定地点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十一、验收与调试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1.验收标准：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1.1本次采购的健身器材（除室内乒乓球台）应符合GB19272-2024《室外健身器材的安全通用要求》中的要求；该标准如对器材的安装有所要求的，则器材的安装工作同样须按其要求执行。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1.2本次采购的室内乒乓球台应符合GB/T32597-2016《乒乓球台的安全、性能要求和试验方法》或QB/T2700-2005《乒乓球台》的要求。</w:t>
      </w:r>
      <w:r/>
    </w:p>
    <w:p>
      <w:pPr>
        <w:pStyle w:val="663"/>
        <w:numPr>
          <w:ilvl w:val="0"/>
          <w:numId w:val="1"/>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color="auto" w:fill="ffffff"/>
        </w:rPr>
        <w:t xml:space="preserve">到货验收仅作为货物接收依据，不视为项目履约合格，不免除中标人产品质量、安装施工全部责任。</w:t>
      </w:r>
      <w:r/>
    </w:p>
    <w:p>
      <w:pPr>
        <w:pStyle w:val="663"/>
        <w:numPr>
          <w:ilvl w:val="0"/>
          <w:numId w:val="1"/>
        </w:numPr>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中标人交货前应对产品作出全面检查和对验收文件进行整理，并列出清单，作为采购人与有资质第三方专业机构收货验收和使用的技术条件依据，检验的结果应随货物交采购人。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4.采购人对中标人提供的货物在使用前进行调试时，中标人需负责安装并培训采购人的使用操作人员，并协助采购人一起调试，直到符合技术要求，采购人才做最终验收。</w:t>
      </w:r>
      <w:r/>
    </w:p>
    <w:p>
      <w:pPr>
        <w:pStyle w:val="663"/>
        <w:ind w:firstLine="480"/>
        <w:jc w:val="both"/>
        <w:pageBreakBefore w:val="0"/>
        <w:spacing w:beforeAutospacing="0" w:afterAutospacing="0" w:line="500" w:lineRule="exact"/>
        <w:widowControl w:val="off"/>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Segoe UI Emoji" w:hAnsi="Segoe UI Emoji" w:eastAsia="宋体" w:cs="Segoe UI Emoji"/>
          <w:i w:val="0"/>
          <w:iCs w:val="0"/>
          <w:caps w:val="0"/>
          <w:color w:val="auto"/>
          <w:spacing w:val="0"/>
          <w:sz w:val="24"/>
          <w:szCs w:val="24"/>
          <w:highlight w:val="none"/>
          <w:lang w:eastAsia="zh-CN"/>
        </w:rPr>
        <w:t xml:space="preserve">第三方检测</w:t>
      </w:r>
      <w:r>
        <w:rPr>
          <w:rFonts w:hint="eastAsia" w:ascii="Segoe UI Emoji" w:hAnsi="Segoe UI Emoji" w:eastAsia="宋体" w:cs="Segoe UI Emoji"/>
          <w:i w:val="0"/>
          <w:iCs w:val="0"/>
          <w:caps w:val="0"/>
          <w:color w:val="auto"/>
          <w:spacing w:val="0"/>
          <w:sz w:val="24"/>
          <w:szCs w:val="24"/>
          <w:highlight w:val="none"/>
          <w:lang w:val="en-US" w:eastAsia="zh-CN"/>
        </w:rPr>
        <w:t xml:space="preserve">工作</w:t>
      </w:r>
      <w:r>
        <w:rPr>
          <w:rFonts w:ascii="Segoe UI Emoji" w:hAnsi="Segoe UI Emoji" w:eastAsia="Segoe UI Emoji" w:cs="Segoe UI Emoji"/>
          <w:i w:val="0"/>
          <w:iCs w:val="0"/>
          <w:caps w:val="0"/>
          <w:color w:val="auto"/>
          <w:spacing w:val="0"/>
          <w:sz w:val="24"/>
          <w:szCs w:val="24"/>
          <w:highlight w:val="none"/>
        </w:rPr>
        <w:t xml:space="preserve">由</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检测机构</w:t>
      </w:r>
      <w:r>
        <w:rPr>
          <w:rFonts w:hint="eastAsia" w:ascii="宋体" w:hAnsi="宋体" w:eastAsia="宋体" w:cs="宋体"/>
          <w:color w:val="auto"/>
          <w:sz w:val="24"/>
          <w:szCs w:val="24"/>
          <w:highlight w:val="none"/>
          <w:shd w:val="clear" w:color="auto" w:fill="auto"/>
          <w:lang w:val="en-US" w:eastAsia="zh-CN"/>
        </w:rPr>
        <w:t xml:space="preserve">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选定检测机构后应提前告知</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6.采购人根据国家有关规定、招标文件、中标人的投标文件以及合同约定的内容和验收标准进行验收。验收情况作为支付货款的依据。如有疑问，以具备资质第三方专业机构的检验结果为准。</w:t>
      </w:r>
      <w:r/>
    </w:p>
    <w:p>
      <w:pPr>
        <w:pStyle w:val="663"/>
        <w:ind w:firstLine="480"/>
        <w:jc w:val="both"/>
        <w:pageBreakBefore w:val="0"/>
        <w:spacing w:beforeAutospacing="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7.中标人委托第三方专业检测机构开展验收所产生的一切费用（含检测服务费、检测报告制作费、现场检测相关配套费用、复测费用等），全部由中标人承担。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十二、货物包装、发运及运输</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1.乙方应在货物发运前对其进行满足运输距离、防潮、防震、防锈和防破损装卸等要求包装，以保证货物安全运达甲方指定地点。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2.使用说明书、质量检验证明书、随配附件和工具以及清单一并附于货物内。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3.乙方在货物发运手续办理完毕后24小时内或货到甲方48小时前通知甲方，以准备接货。</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4.货物在交付甲方前发生的风险均由乙方负责。</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5.货物在规定的交付期限内由乙方送达甲方指定的地点视为交付，乙方同时需通知甲方货物已送达。</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十三、违约责任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1.甲方无正当理由拒收货物的，甲方向乙方偿付拒收货款总值的百分之五违约金。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2.甲方无故逾期验收和办理货款支付手续的，甲方应按逾期付款总额每日万分之五向乙方支付违约金。</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3.乙方逾期交付货物的，乙方应按逾期交货总额每日万分之五向甲方支付违约金，由甲方从待付货款中扣除。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十四、不可抗力事件处理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1.在合同有效期内，任何一方因不可抗力事件导致不能履行合同，则合同履行期可延长，其延长期与不可抗力影响期相同。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2.不可抗力事件发生后，应立即通知对方，并寄送有关权威机构出具的证明。</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3.不可抗力事件延续120天以上，双方应通过友好协商，确定是否继续履行合同。</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十五、合同的解除、转让、修改、补充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1.合同的解除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1.1甲方和乙方协商一致，可以解除合同；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1.2因不可抗力致使不能实现合同目的，未受不可抗力影响的一方有权解除合同；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1.3有权解除合同的一方，应当在不可抗力发生之后三十天内书面通知对方以主张解除合同，合同在书面通知到达对方时解除。</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2.合同的转让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合同的部分和全部都不得转让。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3.合同修改、补充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合同的修改、补充应事先经甲、乙双方同意，并签字、盖章确认，作为补充合同。签字、盖章后立即生效。若补充合同与前合同发生冲突，以最新的补充合同为准。</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十六、解决争议的方法</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1.双方在执行合同中所发生的一切争议，应通过协商解决。如协商不成，可向合同签订地法院起诉，合同签订地在此约定为盐城市。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十七、合同生效及其它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1.合同经双方法定代表人或授权委托代表人签字并加盖单位公章后生效。</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2.本合同未尽事宜，遵照《中华人民共和国民法典》有关条文执行。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3.本合同正本一式四份，具有同等法律效力，甲方、乙方各执二份。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甲方：                                乙方：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                                地址：</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法定代表人或授权代表：                法定代表人或授权代表：</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联系电话：                            联系电话：</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签订日期：  年  月  日</w:t>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bookmarkStart w:id="193" w:name="_GoBack"/>
      <w:r/>
      <w:bookmarkEnd w:id="193"/>
      <w:r/>
      <w:r/>
    </w:p>
    <w:p>
      <w:pPr>
        <w:pStyle w:val="663"/>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bookmarkStart w:id="167" w:name="_Toc49090575"/>
      <w:r/>
      <w:bookmarkStart w:id="168" w:name="_Toc26554093"/>
      <w:r>
        <w:rPr>
          <w:rFonts w:hint="eastAsia" w:ascii="宋体" w:hAnsi="宋体" w:eastAsia="宋体" w:cs="宋体"/>
          <w:color w:val="000000"/>
          <w:sz w:val="24"/>
          <w:szCs w:val="24"/>
          <w:highlight w:val="none"/>
          <w:shd w:val="clear" w:color="auto" w:fill="auto"/>
          <w:lang w:val="en-US" w:eastAsia="zh-CN"/>
        </w:rPr>
        <w:t xml:space="preserve">项目属性:货物类项目。</w:t>
      </w:r>
      <w:bookmarkEnd w:id="167"/>
      <w:r/>
      <w:bookmarkEnd w:id="168"/>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一、项目概况</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1.项目编号：JSZC-320902-ZGGC-G2026-0006</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2.项目名称：盐城市亭湖区教育局2026年采购体育健身器材采购项目</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3.采购方式：公开招标</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4.预算金额：138.8万元</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5.最高限价：138.8万元，采购人不接受高于最高限价的投标报价，投标报价高于最高限价的视为无效标书。</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ff0000"/>
          <w:sz w:val="24"/>
          <w:szCs w:val="24"/>
          <w:highlight w:val="none"/>
          <w:shd w:val="clear" w:color="auto" w:fill="auto"/>
          <w:lang w:val="en-US" w:eastAsia="zh-CN"/>
        </w:rPr>
      </w:pPr>
      <w:r>
        <w:rPr>
          <w:rFonts w:hint="eastAsia" w:ascii="宋体" w:hAnsi="宋体" w:eastAsia="宋体" w:cs="宋体"/>
          <w:b/>
          <w:bCs/>
          <w:color w:val="ff0000"/>
          <w:sz w:val="24"/>
          <w:szCs w:val="24"/>
          <w:highlight w:val="none"/>
          <w:shd w:val="clear" w:color="auto" w:fill="auto"/>
          <w:lang w:val="en-US" w:eastAsia="zh-CN"/>
        </w:rPr>
        <w:t xml:space="preserve">二、技术要求及相关说明</w:t>
      </w:r>
      <w:r/>
    </w:p>
    <w:tbl>
      <w:tblPr>
        <w:tblStyle w:val="665"/>
        <w:tblW w:w="851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35"/>
        <w:gridCol w:w="685"/>
        <w:gridCol w:w="625"/>
        <w:gridCol w:w="1103"/>
        <w:gridCol w:w="1892"/>
        <w:gridCol w:w="1035"/>
        <w:gridCol w:w="833"/>
      </w:tblGrid>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双位漫步机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5" w:type="dxa"/>
            <w:vAlign w:val="center"/>
            <w:textDirection w:val="lrTb"/>
            <w:noWrap w:val="false"/>
          </w:tcPr>
          <w:p>
            <w:pPr>
              <w:jc w:val="cente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r>
    </w:tbl>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★（一）通用技术要求</w:t>
      </w:r>
      <w:r>
        <w:rPr>
          <w:rFonts w:hint="eastAsia" w:ascii="宋体" w:hAnsi="宋体" w:eastAsia="宋体" w:cs="宋体"/>
          <w:color w:val="ff0000"/>
          <w:sz w:val="24"/>
          <w:szCs w:val="24"/>
          <w:highlight w:val="none"/>
          <w:shd w:val="clear" w:color="auto" w:fill="auto"/>
          <w:lang w:val="en-US" w:eastAsia="zh-CN"/>
        </w:rPr>
        <w:t xml:space="preserve">（投标人需完全响应，不接受负偏离）</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1.一代健身路径、移动式篮球架、室外乒乓球台通用技术要求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1.1投标人所提供的器材应符合GB19272-2024《室外健身器材的安全通用要求》中的要求；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1.2地埋式器材安装方法及地埋深度应符合GB19272-2024《室外健身器材的安全通用要求》的要求；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1.3器材跌落高度大于或等于600mm和(或)具有强制运动的器材,活动空间范围内的地面区域应安装缓冲层，缓冲层的材料、面积和厚度应符合GB19272-2024《室外健身器材的安全通用要求》的要求；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1.4钢铁制件（不锈钢除外）表面，应经过酸洗、磷化处理后或经过表面热镀锌处理后，进行表面喷塑处理，涂层厚度不小于70μm；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1.6扶手直径应不小于16mm且不大于45mm；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1.7带有轴承的器材，轴承应采取防水、防尘措施；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1.8器材安全警示应采用图示和文字方式提示使用者可能存在风险；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1.9器材上具有可识别的《江苏体育全民健身设施管理平台》二维码及小程序码。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2.二代健身路径通用技术要求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2.1投标人所提供的器材应符合GB19272-2024《室外健身器材的安全通用要求》中的要求；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2.2地埋式器材安装方法及地埋深度应符合GB19272-2024《室外健身器材的安全通用要求》的要求；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2.3器材跌落高度大于或等于600mm和(或)具有强制运动的器材,活动空间范围内的地面区域应安装缓冲层，缓冲层的材料、面积和厚度应符合GB19272-2024《室外健身器材的安全通用要求》的要求；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2.4钢铁制件（不锈钢除外）表面，应经过酸洗、磷化处理后或经过表面热度锌处理后，进行表面喷塑处理，涂层厚度不小于70μm；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器材各部位螺钉、螺母等紧固件应紧固可靠且防锈、防松和防盗；螺纹突出部分不应超过其螺距3倍的长度;易接触区域的螺栓、螺钉应永久的覆盖住突出的螺栓螺纹或采用覆盖件在其安装面以上直角部分的高度不应超过3mm或采用突出部分外角应不小于105°或不应有易钩挂形状。</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2.6扶手直径应不小于16mm且不大于45mm；</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2.7带有轴承的器材，轴承应采取防水、防尘措施；</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2.8器材安全警示应采用图示和文字方式提示使用者可能存在风险；</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2.9器材上具有可识别的《江苏体育全民健身设施管理平台》二维码及小程序码。</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2.11所有二代户外健身路径器材（除告示牌）配置有遮阳棚（材质为PC），器材所有用电采用太阳能供电，具备智能功能，固定显示屏；显示运动数据、语音播报。</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2.12数据采集应至少包括运动次数、运动时间等参数；数据处理的结果应采用固定显示屏呈现方式，器材应具备后台数据统计和处理系统平台并可以手机APP或显示屏方式查询；数据显示准确度：时间±1%，次数±5%。</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2.13电压应符合GB/T3805-2008中6.1环境状态2的正常直流电压限值为35V的规定。</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2.14使用太阳能电充电模式，采用锂电池或胶体蓄电池，充电后应能满足24小时内器材正常使用。太阳能板到蓄电池的连线及蓄电池要密封，不得暴露在外。</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2.15使用500g的钢球从500mm高度自由落下，冲击显示屏中心位置，显示屏应不出现破裂。</w:t>
      </w:r>
      <w:r/>
    </w:p>
    <w:p>
      <w:pPr>
        <w:pStyle w:val="663"/>
        <w:ind w:firstLine="480"/>
        <w:jc w:val="both"/>
        <w:pageBreakBefore w:val="0"/>
        <w:spacing w:beforeAutospacing="0" w:afterAutospacing="0" w:line="500" w:lineRule="exact"/>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3.室内乒乓球台通用技术要求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3.1所投室内乒乓球台安全指标满足GB/T32597-2016《乒乓球台的安全、性能要求和试验方法》或QB/T2700-2005《乒乓球台》的要求。</w:t>
      </w:r>
      <w:r/>
    </w:p>
    <w:p>
      <w:pPr>
        <w:pStyle w:val="663"/>
        <w:ind w:firstLine="422"/>
        <w:jc w:val="both"/>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（二）技术要求</w:t>
      </w:r>
      <w:r/>
    </w:p>
    <w:tbl>
      <w:tblPr>
        <w:tblStyle w:val="665"/>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1404"/>
        <w:gridCol w:w="5823"/>
        <w:gridCol w:w="559"/>
        <w:gridCol w:w="557"/>
      </w:tblGrid>
      <w:tr>
        <w:trPr>
          <w:jc w:val="center"/>
          <w:trHeight w:val="6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W w:w="5823"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技术要求</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r>
      <w:tr>
        <w:trPr>
          <w:jc w:val="center"/>
          <w:trHeight w:val="631"/>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设备清单一：一代健身路径</w:t>
            </w:r>
            <w:r/>
          </w:p>
        </w:tc>
      </w:tr>
      <w:tr>
        <w:trPr>
          <w:jc w:val="center"/>
          <w:trHeight w:val="736"/>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告示牌</w:t>
            </w:r>
            <w:r/>
          </w:p>
        </w:tc>
        <w:tc>
          <w:tcPr>
            <w:shd w:val="clear" w:color="auto" w:fill="auto"/>
            <w:tcW w:w="5823" w:type="dxa"/>
            <w:vAlign w:val="center"/>
            <w:textDirection w:val="lrTb"/>
            <w:noWrap w:val="false"/>
          </w:tcPr>
          <w:p>
            <w:pPr>
              <w:jc w:val="left"/>
              <w:widowControl/>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zh-CN" w:bidi="ar"/>
              </w:rPr>
              <w:t xml:space="preserve">1.立柱规格：不小于Φ114×3mm国标钢管；应采用横式牌面，牌面尺寸(800～900)×(500～600)mm，板材厚度不小于1mm，人体易接触区域不应有钩挂、缠绕结构；牌面采用夹层式设计，防止产生刮伤的可能；安装采用直埋方式</w:t>
            </w:r>
            <w:r>
              <w:rPr>
                <w:rFonts w:hint="eastAsia" w:ascii="宋体" w:hAnsi="宋体" w:eastAsia="宋体" w:cs="宋体"/>
                <w:color w:val="000000"/>
                <w:szCs w:val="21"/>
                <w:highlight w:val="none"/>
                <w:lang w:val="en-US" w:eastAsia="zh-CN" w:bidi="ar"/>
              </w:rPr>
              <w:t xml:space="preserve">。</w:t>
            </w:r>
            <w:r/>
          </w:p>
          <w:p>
            <w:p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zh-CN" w:bidi="ar"/>
              </w:rPr>
              <w:t xml:space="preserve">.告示牌至少包含以下内容：简明的热身运动说明、图示方式介绍正确的锻炼方法、安全警示说明、发现器材有缺陷应立即停止使用直到修复的说明、器材供应商的全称及售后服务电话、管理维护单位及联系电话。</w:t>
            </w:r>
            <w:r/>
          </w:p>
          <w:p>
            <w:pPr>
              <w:jc w:val="left"/>
              <w:widowControl/>
              <w:rPr>
                <w:rFonts w:hint="eastAsia" w:ascii="宋体" w:hAnsi="宋体" w:eastAsia="宋体" w:cs="宋体"/>
                <w:color w:val="000000"/>
                <w:szCs w:val="21"/>
                <w:highlight w:val="none"/>
                <w:lang w:val="zh-CN" w:eastAsia="zh-CN" w:bidi="ar"/>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widowControl/>
              <w:rPr>
                <w:highlight w:val="none"/>
                <w:lang w:val="zh-CN"/>
              </w:rPr>
            </w:pPr>
            <w:r>
              <w:rPr>
                <w:rFonts w:hint="eastAsia" w:ascii="宋体" w:hAnsi="宋体" w:eastAsia="宋体" w:cs="宋体"/>
                <w:color w:val="000000"/>
                <w:szCs w:val="21"/>
                <w:highlight w:val="none"/>
                <w:lang w:val="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val="zh-CN" w:bidi="ar"/>
              </w:rPr>
              <w:t xml:space="preserve">.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5</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w:t>
            </w:r>
            <w:r/>
          </w:p>
        </w:tc>
      </w:tr>
      <w:tr>
        <w:trPr>
          <w:jc w:val="center"/>
          <w:trHeight w:val="90"/>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肋木架</w:t>
            </w:r>
            <w:r/>
          </w:p>
        </w:tc>
        <w:tc>
          <w:tcPr>
            <w:tcW w:w="5823" w:type="dxa"/>
            <w:vAlign w:val="center"/>
            <w:textDirection w:val="lrTb"/>
            <w:noWrap w:val="false"/>
          </w:tcPr>
          <w:p>
            <w:pPr>
              <w:pStyle w:val="663"/>
              <w:numPr>
                <w:ilvl w:val="0"/>
                <w:numId w:val="2"/>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立柱规格：不小于Φ114×3mm国标钢管，横管直径不小于Φ30mm，壁厚不小于3mm；横管间距不小于230mm；立柱顶部不允许高出横管；两立柱间距不小于1000mm；立柱顶端有防吊挂设计；采用整体焊接方式连接；</w:t>
            </w:r>
            <w:r>
              <w:rPr>
                <w:rFonts w:hint="eastAsia" w:ascii="宋体" w:hAnsi="宋体" w:eastAsia="宋体" w:cs="宋体"/>
                <w:sz w:val="21"/>
                <w:szCs w:val="21"/>
                <w:highlight w:val="none"/>
                <w:lang w:val="zh-CN"/>
              </w:rPr>
              <w:t xml:space="preserve">安装采用直埋方式。</w:t>
            </w:r>
            <w:r/>
          </w:p>
          <w:p>
            <w:pPr>
              <w:jc w:val="left"/>
              <w:widowControl/>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szCs w:val="21"/>
                <w:highlight w:val="none"/>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512"/>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天梯</w:t>
            </w:r>
            <w:r/>
          </w:p>
        </w:tc>
        <w:tc>
          <w:tcPr>
            <w:tcW w:w="5823" w:type="dxa"/>
            <w:vAlign w:val="center"/>
            <w:textDirection w:val="lrTb"/>
            <w:noWrap w:val="false"/>
          </w:tcPr>
          <w:p>
            <w:pPr>
              <w:pStyle w:val="663"/>
              <w:numPr>
                <w:ilvl w:val="0"/>
                <w:numId w:val="3"/>
              </w:numPr>
              <w:spacing w:beforeAutospacing="0" w:afterAutospacing="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立柱规格：不小于Φ114×3mm国标钢管；主承载横梁规格：不小于Φ42×3mm国标钢管；横管规格：不小于Φ32×2.5mm国标钢管；天梯两边有护栏，可作单杠用或多人使用；天梯横管采用穿入竖管结构；</w:t>
            </w:r>
            <w:r>
              <w:rPr>
                <w:rFonts w:hint="eastAsia" w:ascii="宋体" w:hAnsi="宋体" w:eastAsia="宋体" w:cs="宋体"/>
                <w:sz w:val="21"/>
                <w:szCs w:val="21"/>
                <w:highlight w:val="none"/>
                <w:lang w:val="zh-CN"/>
              </w:rPr>
              <w:t xml:space="preserve">安装采用直埋方式。</w:t>
            </w:r>
            <w:r/>
          </w:p>
          <w:p>
            <w:pPr>
              <w:jc w:val="left"/>
              <w:widowControl/>
              <w:rPr>
                <w:rFonts w:hint="eastAsia" w:ascii="宋体" w:hAnsi="宋体" w:eastAsia="宋体" w:cs="宋体"/>
                <w:sz w:val="21"/>
                <w:szCs w:val="21"/>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双位漫步机</w:t>
            </w:r>
            <w:r/>
          </w:p>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（核心产品）</w:t>
            </w:r>
            <w:r/>
          </w:p>
        </w:tc>
        <w:tc>
          <w:tcPr>
            <w:shd w:val="clear" w:color="auto" w:fill="auto"/>
            <w:tcW w:w="5823" w:type="dxa"/>
            <w:vAlign w:val="center"/>
            <w:textDirection w:val="lrTb"/>
            <w:noWrap w:val="false"/>
          </w:tcPr>
          <w:p>
            <w:pPr>
              <w:numPr>
                <w:ilvl w:val="0"/>
                <w:numId w:val="4"/>
              </w:num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立柱规格：不小于Φ114×3mm国标钢管；</w:t>
            </w:r>
            <w:r>
              <w:rPr>
                <w:rFonts w:hint="eastAsia" w:ascii="宋体" w:hAnsi="宋体" w:eastAsia="宋体" w:cs="宋体"/>
                <w:szCs w:val="21"/>
                <w:highlight w:val="none"/>
              </w:rPr>
              <w:t xml:space="preserve">主要承载横梁规格：</w:t>
            </w:r>
            <w:r>
              <w:rPr>
                <w:rFonts w:hint="eastAsia" w:ascii="宋体" w:hAnsi="宋体" w:eastAsia="宋体" w:cs="宋体"/>
                <w:color w:val="000000"/>
                <w:szCs w:val="21"/>
                <w:highlight w:val="none"/>
                <w:lang w:bidi="ar"/>
              </w:rPr>
              <w:t xml:space="preserve">不小于40mm×80mm×3mm国标钢管；转轴直径不小于25mm，并辅以调质热处理；</w:t>
            </w:r>
            <w:r>
              <w:rPr>
                <w:rFonts w:hint="eastAsia" w:ascii="宋体" w:hAnsi="宋体" w:eastAsia="宋体" w:cs="宋体"/>
                <w:color w:val="000000"/>
                <w:szCs w:val="21"/>
                <w:highlight w:val="none"/>
                <w:lang w:val="zh-CN" w:bidi="ar"/>
              </w:rPr>
              <w:t xml:space="preserve">安装采用直埋方式。</w:t>
            </w:r>
            <w:r/>
          </w:p>
          <w:p>
            <w:pPr>
              <w:jc w:val="left"/>
              <w:widowControl/>
              <w:rPr>
                <w:highlight w:val="none"/>
                <w:lang w:val="zh-CN"/>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b/>
                <w:bCs/>
                <w:szCs w:val="21"/>
                <w:highlight w:val="none"/>
              </w:rPr>
              <w:t xml:space="preserve">▲</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w:t>
            </w:r>
            <w:r>
              <w:rPr>
                <w:rFonts w:ascii="宋体" w:hAnsi="宋体" w:eastAsia="宋体" w:cs="宋体"/>
                <w:color w:val="000000"/>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 xml:space="preserve">摆杆</w:t>
            </w:r>
            <w:r>
              <w:rPr>
                <w:rFonts w:ascii="宋体" w:hAnsi="宋体" w:eastAsia="宋体" w:cs="宋体"/>
                <w:color w:val="000000"/>
                <w:highlight w:val="none"/>
              </w:rPr>
              <w:t xml:space="preserve">摆动幅度有加以约束，且单侧摆动幅度</w:t>
            </w:r>
            <w:r>
              <w:rPr>
                <w:rFonts w:hint="eastAsia" w:ascii="宋体" w:hAnsi="宋体" w:eastAsia="宋体" w:cs="宋体"/>
                <w:color w:val="000000"/>
                <w:szCs w:val="21"/>
                <w:highlight w:val="none"/>
                <w:lang w:bidi="ar"/>
              </w:rPr>
              <w:t xml:space="preserve">不大于70°</w:t>
            </w:r>
            <w:r>
              <w:rPr>
                <w:rFonts w:hint="eastAsia" w:ascii="宋体" w:hAnsi="宋体" w:eastAsia="宋体" w:cs="宋体"/>
                <w:color w:val="000000"/>
                <w:highlight w:val="none"/>
                <w:lang w:eastAsia="zh-CN"/>
              </w:rPr>
              <w:t xml:space="preserve">。</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4</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四位蹬力器（两组双人位）</w:t>
            </w:r>
            <w:r/>
          </w:p>
        </w:tc>
        <w:tc>
          <w:tcPr>
            <w:shd w:val="clear" w:color="auto" w:fill="auto"/>
            <w:tcW w:w="5823" w:type="dxa"/>
            <w:vAlign w:val="center"/>
            <w:textDirection w:val="lrTb"/>
            <w:noWrap w:val="false"/>
          </w:tcPr>
          <w:p>
            <w:pPr>
              <w:numPr>
                <w:ilvl w:val="0"/>
                <w:numId w:val="5"/>
              </w:numPr>
              <w:jc w:val="left"/>
              <w:widowControl/>
              <w:rPr>
                <w:rFonts w:hint="default" w:ascii="宋体" w:hAnsi="宋体" w:eastAsia="宋体" w:cs="宋体"/>
                <w:color w:val="000000"/>
                <w:szCs w:val="21"/>
                <w:highlight w:val="none"/>
                <w:lang w:val="en-US" w:bidi="ar"/>
              </w:rPr>
            </w:pPr>
            <w:r>
              <w:rPr>
                <w:rFonts w:hint="eastAsia" w:ascii="宋体" w:hAnsi="宋体" w:eastAsia="宋体" w:cs="宋体"/>
                <w:color w:val="000000"/>
                <w:szCs w:val="21"/>
                <w:highlight w:val="none"/>
                <w:lang w:bidi="ar"/>
              </w:rPr>
              <w:t xml:space="preserve">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jc w:val="left"/>
              <w:widowControl/>
              <w:rPr>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jc w:val="left"/>
              <w:widowControl/>
              <w:rPr>
                <w:rFonts w:ascii="宋体" w:hAnsi="宋体" w:eastAsia="宋体" w:cs="宋体"/>
                <w:color w:val="000000"/>
                <w:szCs w:val="21"/>
                <w:highlight w:val="none"/>
                <w:lang w:bidi="ar"/>
              </w:rPr>
            </w:pPr>
            <w:r>
              <w:rPr>
                <w:rFonts w:hint="eastAsia" w:asciiTheme="majorEastAsia" w:hAnsiTheme="majorEastAsia" w:eastAsiaTheme="majorEastAsia" w:cstheme="majorEastAsia"/>
                <w:b/>
                <w:bCs/>
                <w:highlight w:val="none"/>
              </w:rPr>
              <w:t xml:space="preserve">★</w:t>
            </w:r>
            <w:r>
              <w:rPr>
                <w:rFonts w:hint="eastAsia" w:asciiTheme="majorEastAsia" w:hAnsiTheme="majorEastAsia" w:eastAsiaTheme="majorEastAsia" w:cstheme="majorEastAsia"/>
                <w:b/>
                <w:bCs/>
                <w:highlight w:val="none"/>
                <w:lang w:val="en-US" w:eastAsia="zh-CN"/>
              </w:rPr>
              <w:t xml:space="preserve">3</w:t>
            </w:r>
            <w:r>
              <w:rPr>
                <w:rFonts w:hint="eastAsia" w:asciiTheme="majorEastAsia" w:hAnsiTheme="majorEastAsia" w:eastAsiaTheme="majorEastAsia" w:cstheme="majorEastAsia"/>
                <w:b/>
                <w:bCs/>
                <w:highlight w:val="none"/>
              </w:rPr>
              <w:t xml:space="preserve">.所投器材应符合GB19272-2024《室外健身器材的安全通用要求》中的要求，需提供有效期内由国家认证认可监督委员会批准的认证机构出具的认证证书及确认函扫描件并加盖投标人电子公章。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上肢牵引器</w:t>
            </w:r>
            <w:r/>
          </w:p>
        </w:tc>
        <w:tc>
          <w:tcPr>
            <w:shd w:val="clear" w:color="auto" w:fill="auto"/>
            <w:tcW w:w="5823" w:type="dxa"/>
            <w:vAlign w:val="center"/>
            <w:textDirection w:val="lrTb"/>
            <w:noWrap w:val="false"/>
          </w:tcPr>
          <w:p>
            <w:pPr>
              <w:numPr>
                <w:ilvl w:val="0"/>
                <w:numId w:val="6"/>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50×3mm国标钢管；把手端部直径52mm，无穿刺危险；把手（不含柔性部件）质量不大于600g，柔性连接装置小于把手重量；轴承座设有限位装置且无刚性碰撞；立柱采用钢制封头，可防止雨水流入；可双人同时使用；</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三位扭腰器</w:t>
            </w:r>
            <w:r/>
          </w:p>
        </w:tc>
        <w:tc>
          <w:tcPr>
            <w:shd w:val="clear" w:color="auto" w:fill="auto"/>
            <w:tcW w:w="5823" w:type="dxa"/>
            <w:vAlign w:val="center"/>
            <w:textDirection w:val="lrTb"/>
            <w:noWrap w:val="false"/>
          </w:tcPr>
          <w:p>
            <w:pPr>
              <w:numPr>
                <w:ilvl w:val="0"/>
                <w:numId w:val="7"/>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腰背按摩器</w:t>
            </w:r>
            <w:r/>
          </w:p>
        </w:tc>
        <w:tc>
          <w:tcPr>
            <w:shd w:val="clear" w:color="auto" w:fill="auto"/>
            <w:tcW w:w="5823" w:type="dxa"/>
            <w:vAlign w:val="center"/>
            <w:textDirection w:val="lrTb"/>
            <w:noWrap w:val="false"/>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1.立柱规格：不小于Φ114×3mm国标钢管；主要承载横梁规格：</w:t>
            </w:r>
            <w:r>
              <w:rPr>
                <w:rFonts w:hint="eastAsia" w:ascii="宋体" w:hAnsi="宋体" w:eastAsia="宋体" w:cs="宋体"/>
                <w:color w:val="000000"/>
                <w:szCs w:val="21"/>
                <w:highlight w:val="none"/>
                <w:lang w:bidi="ar"/>
              </w:rPr>
              <w:t xml:space="preserve">不小于40mm×60mm×3mm国标钢管；</w:t>
            </w:r>
            <w:r>
              <w:rPr>
                <w:rFonts w:hint="eastAsia" w:ascii="宋体" w:hAnsi="宋体" w:eastAsia="宋体" w:cs="宋体"/>
                <w:szCs w:val="21"/>
                <w:highlight w:val="none"/>
              </w:rPr>
              <w:t xml:space="preserve">具有座式腰部按摩及站式背部按摩两种功能，可二人同时使用；</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404"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太极揉推器</w:t>
            </w:r>
            <w:r/>
          </w:p>
        </w:tc>
        <w:tc>
          <w:tcPr>
            <w:shd w:val="clear" w:color="auto" w:fill="auto"/>
            <w:tcW w:w="5823" w:type="dxa"/>
            <w:vAlign w:val="center"/>
            <w:textDirection w:val="lrTb"/>
            <w:noWrap w:val="false"/>
          </w:tcPr>
          <w:p>
            <w:pPr>
              <w:numPr>
                <w:ilvl w:val="0"/>
                <w:numId w:val="8"/>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转盘支管径：Φ（48～60）×2.5mm国标钢管；转盘直径Φ440～600mm，材质为优质工程塑料或铁盘，转盘面有防滑措施；两转盘内侧距离不小于230mm，无卡夹危险；转盘中心距地面高度分别为1100mm、1200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51</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设备清单二：二代健身路径</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告示牌</w:t>
            </w:r>
            <w:r/>
          </w:p>
        </w:tc>
        <w:tc>
          <w:tcPr>
            <w:shd w:val="clear" w:color="auto" w:fill="auto"/>
            <w:tcW w:w="5823"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 xml:space="preserve">1.立柱规格：不小于Φ114×3mm国标钢管；应采用横式牌面，牌面尺寸(800～900)×(500～600)mm，板材厚度不小于1mm，人体易接触区域不应有钩挂、缠绕结构；牌面采用夹层式设计，防止产生刮伤的可能；安装采用直埋方式。</w:t>
            </w:r>
            <w:r/>
          </w:p>
          <w:p>
            <w:p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zh-CN" w:bidi="ar"/>
              </w:rPr>
              <w:t xml:space="preserve">.告示牌至少包含以下内容：简明的热身运动说明、图示方式介绍正确的锻炼方法、安全警示说明、发现器材有缺陷应立即停止使用直到修复的说明、器材供应商的全称及售后服务电话、管理维护单位及联系电话。</w:t>
            </w:r>
            <w:r/>
          </w:p>
          <w:p>
            <w:p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widowControl/>
              <w:rPr>
                <w:highlight w:val="none"/>
                <w:lang w:val="zh-CN"/>
              </w:rPr>
            </w:pPr>
            <w:r>
              <w:rPr>
                <w:rFonts w:hint="eastAsia" w:ascii="宋体" w:hAnsi="宋体" w:eastAsia="宋体" w:cs="宋体"/>
                <w:b/>
                <w:bCs/>
                <w:szCs w:val="21"/>
                <w:highlight w:val="none"/>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val="zh-CN" w:bidi="ar"/>
              </w:rPr>
              <w:t xml:space="preserve">.设计方案应符合国家体育总局《关于印发&lt;彩票公益金资助项目宣传管理办法&gt;的通知》中《体育彩票公益金资助项目标牌设计及安装规范》的规定，注明“亭湖区体育局捐赠”并喷绘或镌刻“中国体育彩票公益金资助及LOGO标识”。</w:t>
            </w:r>
            <w:r/>
          </w:p>
          <w:p>
            <w:pPr>
              <w:pStyle w:val="663"/>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90"/>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智能双位太空漫步机</w:t>
            </w:r>
            <w:r/>
          </w:p>
        </w:tc>
        <w:tc>
          <w:tcPr>
            <w:shd w:val="clear" w:color="auto" w:fill="auto"/>
            <w:tcW w:w="5823" w:type="dxa"/>
            <w:vAlign w:val="center"/>
            <w:textDirection w:val="lrTb"/>
            <w:noWrap w:val="false"/>
          </w:tcPr>
          <w:p>
            <w:pPr>
              <w:numPr>
                <w:ilvl w:val="0"/>
                <w:numId w:val="9"/>
              </w:numPr>
              <w:jc w:val="left"/>
              <w:widowControl/>
              <w:rPr>
                <w:rFonts w:hint="eastAsia" w:ascii="宋体" w:hAnsi="宋体" w:eastAsia="宋体" w:cs="宋体"/>
                <w:color w:val="000000"/>
                <w:szCs w:val="21"/>
                <w:highlight w:val="none"/>
                <w:lang w:val="zh-CN" w:bidi="ar"/>
              </w:rPr>
            </w:pPr>
            <w:r>
              <w:rPr>
                <w:rFonts w:hint="eastAsia" w:ascii="宋体" w:hAnsi="宋体" w:eastAsia="宋体" w:cs="宋体"/>
                <w:color w:val="000000"/>
                <w:szCs w:val="21"/>
                <w:highlight w:val="none"/>
                <w:lang w:bidi="ar"/>
              </w:rPr>
              <w:t xml:space="preserve">立柱规格：不小于Φ114×3mm国标钢管；</w:t>
            </w:r>
            <w:r>
              <w:rPr>
                <w:rFonts w:hint="eastAsia" w:ascii="宋体" w:hAnsi="宋体" w:eastAsia="宋体" w:cs="宋体"/>
                <w:szCs w:val="21"/>
                <w:highlight w:val="none"/>
              </w:rPr>
              <w:t xml:space="preserve">主要承载横梁规格：</w:t>
            </w:r>
            <w:r>
              <w:rPr>
                <w:rFonts w:hint="eastAsia" w:ascii="宋体" w:hAnsi="宋体" w:eastAsia="宋体" w:cs="宋体"/>
                <w:color w:val="000000"/>
                <w:szCs w:val="21"/>
                <w:highlight w:val="none"/>
                <w:lang w:bidi="ar"/>
              </w:rPr>
              <w:t xml:space="preserve">不小于40mm×80mm×3mm国标钢管；</w:t>
            </w:r>
            <w:r>
              <w:rPr>
                <w:rFonts w:ascii="宋体" w:hAnsi="宋体" w:eastAsia="宋体" w:cs="宋体"/>
                <w:color w:val="000000"/>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Cs w:val="21"/>
                <w:highlight w:val="none"/>
                <w:lang w:bidi="ar"/>
              </w:rPr>
              <w:t xml:space="preserve">摆杆</w:t>
            </w:r>
            <w:r>
              <w:rPr>
                <w:rFonts w:ascii="宋体" w:hAnsi="宋体" w:eastAsia="宋体" w:cs="宋体"/>
                <w:color w:val="000000"/>
                <w:highlight w:val="none"/>
              </w:rPr>
              <w:t xml:space="preserve">摆动幅度有加以约束，且单侧摆动幅度</w:t>
            </w:r>
            <w:r>
              <w:rPr>
                <w:rFonts w:hint="eastAsia" w:ascii="宋体" w:hAnsi="宋体" w:eastAsia="宋体" w:cs="宋体"/>
                <w:color w:val="000000"/>
                <w:szCs w:val="21"/>
                <w:highlight w:val="none"/>
                <w:lang w:bidi="ar"/>
              </w:rPr>
              <w:t xml:space="preserve">不大于70°</w:t>
            </w:r>
            <w:r>
              <w:rPr>
                <w:rFonts w:ascii="宋体" w:hAnsi="宋体" w:eastAsia="宋体" w:cs="宋体"/>
                <w:color w:val="000000"/>
                <w:highlight w:val="none"/>
              </w:rPr>
              <w:t xml:space="preserve">；</w:t>
            </w:r>
            <w:r>
              <w:rPr>
                <w:rFonts w:hint="eastAsia" w:ascii="宋体" w:hAnsi="宋体" w:eastAsia="宋体" w:cs="宋体"/>
                <w:color w:val="000000"/>
                <w:szCs w:val="21"/>
                <w:highlight w:val="none"/>
                <w:lang w:bidi="ar"/>
              </w:rPr>
              <w:t xml:space="preserve">转轴直径不小于25mm，并辅以调质热处理；</w:t>
            </w:r>
            <w:r>
              <w:rPr>
                <w:rFonts w:hint="eastAsia" w:ascii="宋体" w:hAnsi="宋体" w:eastAsia="宋体" w:cs="宋体"/>
                <w:color w:val="000000"/>
                <w:szCs w:val="21"/>
                <w:highlight w:val="none"/>
                <w:lang w:val="zh-CN" w:bidi="ar"/>
              </w:rPr>
              <w:t xml:space="preserve">安装采用直埋方式。</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智能双位划船训练器</w:t>
            </w:r>
            <w:r/>
          </w:p>
        </w:tc>
        <w:tc>
          <w:tcPr>
            <w:shd w:val="clear" w:color="auto" w:fill="auto"/>
            <w:tcW w:w="5823" w:type="dxa"/>
            <w:vAlign w:val="center"/>
            <w:textDirection w:val="lrTb"/>
            <w:noWrap w:val="false"/>
          </w:tcPr>
          <w:p>
            <w:pPr>
              <w:numPr>
                <w:ilvl w:val="0"/>
                <w:numId w:val="1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智能双位推举训练器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智能双位蹬力器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bidi="ar"/>
              </w:rPr>
              <w:t xml:space="preserve">1.立柱规格：不小于Φ114×3mm国标钢管；主要承载横梁规格：不小于Φ78×3mm国标钢管；转动部位应采用国家标准的滚动轴承，并应采用防水措施；采用内限位结构；脚踏部位有防滑措施；摩擦系数应不小于0.5；不允许存在剪切点、挤压点、引入点，不允许存在刚性碰撞；</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智能双位背部训练器</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Cs w:val="21"/>
                <w:highlight w:val="none"/>
              </w:rPr>
              <w:t xml:space="preserve">1.</w:t>
            </w:r>
            <w:r>
              <w:rPr>
                <w:rFonts w:hint="eastAsia" w:ascii="宋体" w:hAnsi="宋体" w:eastAsia="宋体" w:cs="宋体"/>
                <w:color w:val="000000"/>
                <w:szCs w:val="21"/>
                <w:highlight w:val="none"/>
                <w:lang w:val="zh-CN" w:bidi="ar"/>
              </w:rPr>
              <w:t xml:space="preserve">立柱规格：不小于Φ114×3mm国标钢管；</w:t>
            </w:r>
            <w:r>
              <w:rPr>
                <w:rFonts w:hint="eastAsia" w:ascii="宋体" w:hAnsi="宋体" w:eastAsia="宋体" w:cs="宋体"/>
                <w:color w:val="000000"/>
                <w:szCs w:val="21"/>
                <w:highlight w:val="none"/>
                <w:lang w:bidi="ar"/>
              </w:rPr>
              <w:t xml:space="preserve">主要承载横梁规格：不小于Φ60×3mm国标钢管；</w:t>
            </w:r>
            <w:r>
              <w:rPr>
                <w:rFonts w:hint="eastAsia" w:ascii="宋体" w:hAnsi="宋体" w:eastAsia="宋体" w:cs="宋体"/>
                <w:szCs w:val="21"/>
                <w:highlight w:val="none"/>
              </w:rPr>
              <w:t xml:space="preserve">应有限位装置；可能对使用者造成跌落、翻倒、碰撞或冲击伤害的，应设置防护装置；活动部件的下底面距地面的最小高度应为120mm；</w:t>
            </w:r>
            <w:r>
              <w:rPr>
                <w:rFonts w:hint="eastAsia" w:ascii="宋体" w:hAnsi="宋体" w:eastAsia="宋体" w:cs="宋体"/>
                <w:color w:val="000000"/>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color w:val="000000"/>
                <w:szCs w:val="21"/>
                <w:highlight w:val="none"/>
                <w:lang w:val="zh-CN"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智能双位健身车</w:t>
            </w:r>
            <w:r/>
          </w:p>
          <w:p>
            <w:pPr>
              <w:jc w:val="center"/>
              <w:rPr>
                <w:highlight w:val="none"/>
              </w:rPr>
            </w:pPr>
            <w:r>
              <w:rPr>
                <w:rFonts w:hint="eastAsia"/>
                <w:highlight w:val="none"/>
              </w:rPr>
              <w:t xml:space="preserve">（竞赛型）</w:t>
            </w:r>
            <w:r/>
          </w:p>
        </w:tc>
        <w:tc>
          <w:tcPr>
            <w:shd w:val="clear" w:color="auto" w:fill="auto"/>
            <w:tcW w:w="5823" w:type="dxa"/>
            <w:vAlign w:val="center"/>
            <w:textDirection w:val="lrTb"/>
            <w:noWrap w:val="false"/>
          </w:tcPr>
          <w:p>
            <w:pPr>
              <w:numPr>
                <w:ilvl w:val="0"/>
                <w:numId w:val="0"/>
              </w:num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主要承载横梁规格：不小于Φ60×3mm国标钢管；</w:t>
            </w:r>
            <w:r>
              <w:rPr>
                <w:rFonts w:hint="eastAsia" w:ascii="宋体" w:hAnsi="宋体" w:eastAsia="宋体" w:cs="宋体"/>
                <w:sz w:val="21"/>
                <w:szCs w:val="21"/>
                <w:highlight w:val="none"/>
              </w:rPr>
              <w:t xml:space="preserve">应有防止超速转动的阻尼装置；两人使用时应能体现互动竞赛特征（竞赛结果可用数据或灯光显示均可）；</w:t>
            </w:r>
            <w:r>
              <w:rPr>
                <w:rFonts w:hint="eastAsia" w:ascii="宋体" w:hAnsi="宋体" w:eastAsia="宋体" w:cs="宋体"/>
                <w:color w:val="000000"/>
                <w:sz w:val="21"/>
                <w:szCs w:val="21"/>
                <w:highlight w:val="none"/>
                <w:lang w:val="zh-CN" w:bidi="ar"/>
              </w:rPr>
              <w:t xml:space="preserve">安装采用直埋方式</w:t>
            </w:r>
            <w:r>
              <w:rPr>
                <w:rFonts w:hint="eastAsia" w:ascii="宋体" w:hAnsi="宋体" w:eastAsia="宋体" w:cs="宋体"/>
                <w:color w:val="000000"/>
                <w:szCs w:val="21"/>
                <w:highlight w:val="none"/>
                <w:lang w:val="en-US" w:eastAsia="zh-CN" w:bidi="ar"/>
              </w:rPr>
              <w:t xml:space="preserve">。</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38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智能双位扭腰器</w:t>
            </w:r>
            <w:r/>
          </w:p>
        </w:tc>
        <w:tc>
          <w:tcPr>
            <w:shd w:val="clear" w:color="auto" w:fill="auto"/>
            <w:tcW w:w="5823" w:type="dxa"/>
            <w:vAlign w:val="center"/>
            <w:textDirection w:val="lrTb"/>
            <w:noWrap w:val="false"/>
          </w:tcPr>
          <w:p>
            <w:pPr>
              <w:numPr>
                <w:ilvl w:val="0"/>
                <w:numId w:val="11"/>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主要承载横梁规格：不小于Φ32×3mm国标钢管；扭腰盘应采用钢制冲压而成，壁厚不小于4mm，直径不小于Φ280mm，表面采用凹凸设计，扭腰盘上表面边缘应以R不小于3mm的圆弧过渡；扭腰盘下部棱边R应不小于2mm；脚踏部位应有防滑措施，摩擦系数大于0.5；</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智能双位揉推器</w:t>
            </w:r>
            <w:r/>
          </w:p>
        </w:tc>
        <w:tc>
          <w:tcPr>
            <w:shd w:val="clear" w:color="auto" w:fill="auto"/>
            <w:tcW w:w="5823" w:type="dxa"/>
            <w:vAlign w:val="center"/>
            <w:textDirection w:val="lrTb"/>
            <w:noWrap w:val="false"/>
          </w:tcPr>
          <w:p>
            <w:pPr>
              <w:numPr>
                <w:ilvl w:val="0"/>
                <w:numId w:val="12"/>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sz w:val="21"/>
                <w:szCs w:val="21"/>
                <w:highlight w:val="none"/>
              </w:rPr>
              <w:t xml:space="preserve">立柱规格：不小于Φ114×3mm国标钢管；转盘支管径：Φ（48～60）×2.5mm国标钢管；转盘直径Φ440～600mm，材质为优质工程塑料或铁盘，转盘面有防滑措施；两转盘内侧距离不小于230mm，无卡夹危险；转盘中心距地面高度分别为1100mm、1200m</w:t>
            </w:r>
            <w:r>
              <w:rPr>
                <w:rFonts w:hint="eastAsia" w:ascii="宋体" w:hAnsi="宋体" w:eastAsia="宋体" w:cs="宋体"/>
                <w:color w:val="000000"/>
                <w:szCs w:val="21"/>
                <w:highlight w:val="none"/>
                <w:lang w:val="zh-CN" w:eastAsia="zh-CN" w:bidi="ar"/>
              </w:rPr>
              <w:t xml:space="preserve">m；安装采用直埋方式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408"/>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智能双位腹部训练器</w:t>
            </w:r>
            <w:r/>
          </w:p>
          <w:p>
            <w:pPr>
              <w:jc w:val="center"/>
              <w:rPr>
                <w:highlight w:val="none"/>
              </w:rPr>
            </w:pPr>
            <w:r>
              <w:rPr>
                <w:rFonts w:hint="eastAsia"/>
                <w:highlight w:val="none"/>
              </w:rPr>
              <w:t xml:space="preserve">（仰卧板）</w:t>
            </w:r>
            <w:r/>
          </w:p>
        </w:tc>
        <w:tc>
          <w:tcPr>
            <w:shd w:val="clear" w:color="auto" w:fill="auto"/>
            <w:tcW w:w="5823" w:type="dxa"/>
            <w:vAlign w:val="center"/>
            <w:textDirection w:val="lrTb"/>
            <w:noWrap w:val="false"/>
          </w:tcPr>
          <w:p>
            <w:pPr>
              <w:numPr>
                <w:ilvl w:val="0"/>
                <w:numId w:val="13"/>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主要承载横梁规格：不小于Φ42×3mm国标钢管；勾腿管应不小于Φ42mmx3mm</w:t>
            </w:r>
            <w:r>
              <w:rPr>
                <w:rFonts w:hint="eastAsia" w:ascii="宋体" w:hAnsi="宋体" w:eastAsia="宋体" w:cs="宋体"/>
                <w:color w:val="000000"/>
                <w:sz w:val="21"/>
                <w:szCs w:val="21"/>
                <w:highlight w:val="none"/>
                <w:lang w:val="zh-CN" w:bidi="ar"/>
              </w:rPr>
              <w:t xml:space="preserve">国标</w:t>
            </w:r>
            <w:r>
              <w:rPr>
                <w:rFonts w:hint="eastAsia" w:ascii="宋体" w:hAnsi="宋体" w:eastAsia="宋体" w:cs="宋体"/>
                <w:color w:val="000000"/>
                <w:sz w:val="21"/>
                <w:szCs w:val="21"/>
                <w:highlight w:val="none"/>
                <w:lang w:bidi="ar"/>
              </w:rPr>
              <w:t xml:space="preserve">钢管。</w:t>
            </w:r>
            <w:r>
              <w:rPr>
                <w:rFonts w:hint="eastAsia" w:ascii="宋体" w:hAnsi="宋体" w:eastAsia="宋体" w:cs="宋体"/>
                <w:sz w:val="21"/>
                <w:szCs w:val="21"/>
                <w:highlight w:val="none"/>
              </w:rPr>
              <w:t xml:space="preserve">各支撑管间隙应小于8mm或整体式板面；</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ascii="宋体" w:hAnsi="宋体" w:eastAsia="宋体" w:cs="宋体"/>
                <w:sz w:val="21"/>
                <w:szCs w:val="21"/>
                <w:highlight w:val="none"/>
              </w:rPr>
              <w:t xml:space="preserve">2</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shd w:val="clear" w:color="auto" w:fill="auto"/>
            <w:tcW w:w="1404" w:type="dxa"/>
            <w:vAlign w:val="center"/>
            <w:textDirection w:val="lrTb"/>
            <w:noWrap w:val="false"/>
          </w:tcPr>
          <w:p>
            <w:pPr>
              <w:jc w:val="center"/>
              <w:rPr>
                <w:highlight w:val="none"/>
              </w:rPr>
            </w:pPr>
            <w:r>
              <w:rPr>
                <w:rFonts w:hint="eastAsia"/>
                <w:highlight w:val="none"/>
              </w:rPr>
              <w:t xml:space="preserve">智能双位钟摆训练器</w:t>
            </w:r>
            <w:r/>
          </w:p>
        </w:tc>
        <w:tc>
          <w:tcPr>
            <w:shd w:val="clear" w:color="auto" w:fill="auto"/>
            <w:tcW w:w="5823" w:type="dxa"/>
            <w:vAlign w:val="center"/>
            <w:textDirection w:val="lrTb"/>
            <w:noWrap w:val="false"/>
          </w:tcPr>
          <w:p>
            <w:pPr>
              <w:numPr>
                <w:ilvl w:val="0"/>
                <w:numId w:val="14"/>
              </w:numPr>
              <w:jc w:val="left"/>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立柱规格：不小于Φ114×3mm国标钢管；</w:t>
            </w:r>
            <w:r>
              <w:rPr>
                <w:rFonts w:hint="eastAsia" w:ascii="宋体" w:hAnsi="宋体" w:eastAsia="宋体" w:cs="宋体"/>
                <w:color w:val="000000"/>
                <w:sz w:val="21"/>
                <w:szCs w:val="21"/>
                <w:highlight w:val="none"/>
                <w:lang w:bidi="ar"/>
              </w:rPr>
              <w:t xml:space="preserve">主要承载横梁规格：不小于Φ60×3mm国标钢管；</w:t>
            </w:r>
            <w:r>
              <w:rPr>
                <w:rFonts w:ascii="宋体" w:hAnsi="宋体" w:eastAsia="宋体" w:cs="宋体"/>
                <w:color w:val="000000"/>
                <w:sz w:val="21"/>
                <w:highlight w:val="none"/>
              </w:rPr>
              <w:t xml:space="preserve">器材部件间不存在刚性碰撞；踏板的主运动方向和易滑脱方向防滑脱的凸台的高度为30mm，长度大于踏板周长的2/3，</w:t>
            </w:r>
            <w:r>
              <w:rPr>
                <w:rFonts w:hint="eastAsia" w:ascii="宋体" w:hAnsi="宋体" w:eastAsia="宋体" w:cs="宋体"/>
                <w:color w:val="000000"/>
                <w:sz w:val="21"/>
                <w:szCs w:val="21"/>
                <w:highlight w:val="none"/>
                <w:lang w:bidi="ar"/>
              </w:rPr>
              <w:t xml:space="preserve">摆杆</w:t>
            </w:r>
            <w:r>
              <w:rPr>
                <w:rFonts w:ascii="宋体" w:hAnsi="宋体" w:eastAsia="宋体" w:cs="宋体"/>
                <w:color w:val="000000"/>
                <w:sz w:val="21"/>
                <w:highlight w:val="none"/>
              </w:rPr>
              <w:t xml:space="preserve">摆动幅度有加以约束，且单侧摆动幅度</w:t>
            </w:r>
            <w:r>
              <w:rPr>
                <w:rFonts w:hint="eastAsia" w:ascii="宋体" w:hAnsi="宋体" w:eastAsia="宋体" w:cs="宋体"/>
                <w:color w:val="000000"/>
                <w:sz w:val="21"/>
                <w:szCs w:val="21"/>
                <w:highlight w:val="none"/>
                <w:lang w:bidi="ar"/>
              </w:rPr>
              <w:t xml:space="preserve">不大于70°</w:t>
            </w:r>
            <w:r>
              <w:rPr>
                <w:rFonts w:ascii="宋体" w:hAnsi="宋体" w:eastAsia="宋体" w:cs="宋体"/>
                <w:color w:val="000000"/>
                <w:sz w:val="21"/>
                <w:highlight w:val="none"/>
              </w:rPr>
              <w:t xml:space="preserve">；</w:t>
            </w:r>
            <w:r>
              <w:rPr>
                <w:rFonts w:hint="eastAsia" w:ascii="宋体" w:hAnsi="宋体" w:eastAsia="宋体" w:cs="宋体"/>
                <w:sz w:val="21"/>
                <w:szCs w:val="21"/>
                <w:highlight w:val="none"/>
              </w:rPr>
              <w:t xml:space="preserve">摆杆与主立柱内侧的最小距离处应大于60mm；</w:t>
            </w:r>
            <w:r>
              <w:rPr>
                <w:rFonts w:hint="eastAsia" w:ascii="宋体" w:hAnsi="宋体" w:eastAsia="宋体" w:cs="宋体"/>
                <w:color w:val="000000"/>
                <w:sz w:val="21"/>
                <w:szCs w:val="21"/>
                <w:highlight w:val="none"/>
                <w:lang w:val="zh-CN" w:bidi="ar"/>
              </w:rPr>
              <w:t xml:space="preserve">安装采用直埋方式</w:t>
            </w:r>
            <w:r/>
          </w:p>
          <w:p>
            <w:pPr>
              <w:numPr>
                <w:ilvl w:val="0"/>
                <w:numId w:val="0"/>
              </w:numPr>
              <w:jc w:val="left"/>
              <w:widowControl/>
              <w:rPr>
                <w:rFonts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件</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设备清单三：篮球架</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w:t>
            </w:r>
            <w:r/>
          </w:p>
        </w:tc>
        <w:tc>
          <w:tcPr>
            <w:shd w:val="clear" w:color="auto" w:fill="auto"/>
            <w:tcW w:w="1404" w:type="dxa"/>
            <w:vAlign w:val="center"/>
            <w:textDirection w:val="lrTb"/>
            <w:noWrap w:val="false"/>
          </w:tcPr>
          <w:p>
            <w:pPr>
              <w:jc w:val="center"/>
              <w:rPr>
                <w:highlight w:val="none"/>
              </w:rPr>
            </w:pPr>
            <w:r>
              <w:rPr>
                <w:rFonts w:hint="eastAsia" w:ascii="宋体" w:hAnsi="宋体" w:eastAsia="宋体" w:cs="宋体"/>
                <w:szCs w:val="21"/>
                <w:highlight w:val="none"/>
                <w:lang w:eastAsia="zh-CN"/>
              </w:rPr>
              <w:t xml:space="preserve">移动式</w:t>
            </w:r>
            <w:r>
              <w:rPr>
                <w:rFonts w:hint="eastAsia" w:ascii="宋体" w:hAnsi="宋体" w:eastAsia="宋体" w:cs="宋体"/>
                <w:szCs w:val="21"/>
                <w:highlight w:val="none"/>
              </w:rPr>
              <w:t xml:space="preserve">篮球架</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1.球架立柱采用不小于150mm×150mm×3mm优质圆角方管，主要横梁不小于：150mm×100mm×3mm钢管；篮架伸臂长不小于1800mm，篮圈上沿离地面3050mm；篮架底座尺寸长×宽不小于1800mm×1000mm,放置配重不低于400KG；</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2.篮板采用SMC片状模压增强塑料篮球板,规格:1800mm×1050mm；</w:t>
            </w:r>
            <w:r/>
          </w:p>
          <w:p>
            <w:pPr>
              <w:spacing w:line="85"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3.篮圈用实心钢材制成，篮圈圈条直径为16mm～20mm，篮圈内径为450mm～459mm；</w:t>
            </w:r>
            <w:r>
              <w:rPr>
                <w:rFonts w:hint="eastAsia" w:ascii="宋体" w:hAnsi="宋体" w:eastAsia="宋体" w:cs="宋体"/>
                <w:color w:val="000000"/>
                <w:highlight w:val="none"/>
              </w:rPr>
              <w:t xml:space="preserve">篮圈下沿应有12个均匀分布的系篮网的装置，装置应无锐角、毛刺，且装置不应有大于8mm的间隙；</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4.表面处理具有耐酸碱、耐湿热、抗老化、耐腐蚀,能适合潮湿和酸雨环境,室内外均可使用，钢管表面经过脱脂-酸洗-磷化-静电喷涂处理；</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5.篮架所有紧固件表面热镀锌处理。</w:t>
            </w:r>
            <w:r/>
          </w:p>
          <w:p>
            <w:pPr>
              <w:numPr>
                <w:ilvl w:val="0"/>
                <w:numId w:val="0"/>
              </w:numPr>
              <w:jc w:val="left"/>
              <w:widowControl/>
              <w:rPr>
                <w:rFonts w:ascii="仿宋" w:hAnsi="仿宋" w:eastAsia="仿宋" w:cs="仿宋"/>
                <w:color w:val="000000"/>
                <w:szCs w:val="21"/>
                <w:highlight w:val="none"/>
              </w:rPr>
            </w:pP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.显著位置喷涂</w:t>
            </w:r>
            <w:r>
              <w:rPr>
                <w:rFonts w:hint="eastAsia" w:ascii="宋体" w:hAnsi="宋体" w:eastAsia="宋体" w:cs="宋体"/>
                <w:color w:val="000000"/>
                <w:sz w:val="21"/>
                <w:szCs w:val="21"/>
                <w:highlight w:val="none"/>
                <w:lang w:val="zh-CN" w:bidi="ar"/>
              </w:rPr>
              <w:t xml:space="preserve">“亭湖区体育局捐赠”并喷绘或镌刻“中国体育彩票公益金资助及LOGO标识”。</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p>
            <w:pPr>
              <w:pStyle w:val="663"/>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只</w:t>
            </w:r>
            <w:r/>
          </w:p>
        </w:tc>
        <w:tc>
          <w:tcPr>
            <w:tcW w:w="557" w:type="dxa"/>
            <w:vAlign w:val="center"/>
            <w:textDirection w:val="lrTb"/>
            <w:noWrap w:val="false"/>
          </w:tcPr>
          <w:p>
            <w:pPr>
              <w:pStyle w:val="663"/>
              <w:jc w:val="center"/>
              <w:spacing w:beforeAutospacing="0" w:afterAutospacing="0"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jc w:val="center"/>
          <w:trHeight w:val="753"/>
        </w:trPr>
        <w:tc>
          <w:tcPr>
            <w:gridSpan w:val="5"/>
            <w:tcW w:w="8820"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设备清单四：乒乓球台</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p>
        </w:tc>
        <w:tc>
          <w:tcPr>
            <w:shd w:val="clear" w:color="auto" w:fill="auto"/>
            <w:tcW w:w="1404"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室外</w:t>
            </w:r>
            <w:r/>
          </w:p>
          <w:p>
            <w:pPr>
              <w:jc w:val="center"/>
              <w:rPr>
                <w:highlight w:val="none"/>
              </w:rPr>
            </w:pPr>
            <w:r>
              <w:rPr>
                <w:rFonts w:hint="eastAsia" w:ascii="宋体" w:hAnsi="宋体" w:eastAsia="宋体" w:cs="宋体"/>
                <w:szCs w:val="21"/>
                <w:highlight w:val="none"/>
              </w:rPr>
              <w:t xml:space="preserve">乒乓球台</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1.主要承载立柱规格:不小于Φ60mm×3mm国标钢管；主要承载横梁规格:不小于30mm×20mm×1.5mm国标钢管；</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2.球台台面采用SMC材料，台板材料厚度不小于4.5mm，台板背面采用井字型结构的加强筋来增强台面的强度和耐撞击性。台板能承受足够的静载荷，稳定性好，防雨、阻燃、不易变形等，保证在户外使用不因产品质量原因造成变形、开裂、损坏；</w:t>
            </w:r>
            <w:r/>
          </w:p>
          <w:p>
            <w:pPr>
              <w:pStyle w:val="663"/>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3.台网及网架采用不锈钢材质，与台面配合严密稳固，长期室外使用能保持不变形、防锈、防松、防盗、防损坏。</w:t>
            </w:r>
            <w:r/>
          </w:p>
          <w:p>
            <w:pPr>
              <w:numPr>
                <w:ilvl w:val="0"/>
                <w:numId w:val="0"/>
              </w:numPr>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4.所有紧固件螺母开口处进行防水、防松、防盗和防锈处理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color w:val="000000"/>
                <w:sz w:val="21"/>
                <w:szCs w:val="21"/>
                <w:highlight w:val="none"/>
                <w:lang w:val="zh-CN" w:bidi="ar"/>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.显著位置喷涂</w:t>
            </w:r>
            <w:r>
              <w:rPr>
                <w:rFonts w:hint="eastAsia" w:ascii="宋体" w:hAnsi="宋体" w:eastAsia="宋体" w:cs="宋体"/>
                <w:color w:val="000000"/>
                <w:sz w:val="21"/>
                <w:szCs w:val="21"/>
                <w:highlight w:val="none"/>
                <w:lang w:val="zh-CN" w:bidi="ar"/>
              </w:rPr>
              <w:t xml:space="preserve">“亭湖区体育局捐赠”并喷绘或镌刻“中国体育彩票公益金资助及LOGO标识”。</w:t>
            </w:r>
            <w:r/>
          </w:p>
          <w:p>
            <w:pPr>
              <w:pStyle w:val="663"/>
              <w:spacing w:beforeAutospacing="0" w:afterAutospacing="0"/>
              <w:rPr>
                <w:rFonts w:ascii="宋体" w:hAnsi="宋体" w:eastAsia="宋体" w:cs="宋体"/>
                <w:color w:val="000000"/>
                <w:sz w:val="21"/>
                <w:szCs w:val="21"/>
                <w:highlight w:val="none"/>
                <w:lang w:bidi="ar"/>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w:t>
            </w:r>
            <w:r>
              <w:rPr>
                <w:rFonts w:hint="eastAsia" w:asciiTheme="majorEastAsia" w:hAnsiTheme="majorEastAsia" w:eastAsiaTheme="majorEastAsia" w:cstheme="majorEastAsia"/>
                <w:b/>
                <w:bCs/>
                <w:sz w:val="21"/>
                <w:highlight w:val="none"/>
              </w:rPr>
              <w:t xml:space="preserve">所投器材应符合GB19272-2024《室外健身器材的安全通用要求》中的要求，需提供有效期</w:t>
            </w:r>
            <w:r>
              <w:rPr>
                <w:rFonts w:hint="eastAsia" w:asciiTheme="majorEastAsia" w:hAnsiTheme="majorEastAsia" w:eastAsiaTheme="majorEastAsia" w:cstheme="majorEastAsia"/>
                <w:b/>
                <w:bCs/>
                <w:highlight w:val="none"/>
              </w:rPr>
              <w:t xml:space="preserve">内</w:t>
            </w:r>
            <w:r>
              <w:rPr>
                <w:rFonts w:hint="eastAsia" w:asciiTheme="majorEastAsia" w:hAnsiTheme="majorEastAsia" w:eastAsiaTheme="majorEastAsia" w:cstheme="majorEastAsia"/>
                <w:b/>
                <w:bCs/>
                <w:sz w:val="21"/>
                <w:highlight w:val="none"/>
              </w:rPr>
              <w:t xml:space="preserve">由国家认证认可监督委员会批准的认证机构出具的认证证书及确认函扫描件并加盖投标人电子公章。</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张</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r>
      <w:tr>
        <w:trPr>
          <w:jc w:val="center"/>
          <w:trHeight w:val="753"/>
        </w:trPr>
        <w:tc>
          <w:tcPr>
            <w:tcW w:w="477"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3</w:t>
            </w:r>
            <w:r/>
          </w:p>
        </w:tc>
        <w:tc>
          <w:tcPr>
            <w:shd w:val="clear" w:color="auto" w:fill="auto"/>
            <w:tcW w:w="1404"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室内</w:t>
            </w:r>
            <w:r/>
          </w:p>
          <w:p>
            <w:pPr>
              <w:jc w:val="center"/>
              <w:rPr>
                <w:highlight w:val="none"/>
              </w:rPr>
            </w:pPr>
            <w:r>
              <w:rPr>
                <w:rFonts w:hint="eastAsia" w:ascii="宋体" w:hAnsi="宋体" w:eastAsia="宋体" w:cs="宋体"/>
                <w:szCs w:val="21"/>
                <w:highlight w:val="none"/>
              </w:rPr>
              <w:t xml:space="preserve">乒乓球台</w:t>
            </w:r>
            <w:r/>
          </w:p>
        </w:tc>
        <w:tc>
          <w:tcPr>
            <w:shd w:val="clear" w:color="auto" w:fill="auto"/>
            <w:tcW w:w="5823" w:type="dxa"/>
            <w:vAlign w:val="center"/>
            <w:textDirection w:val="lrTb"/>
            <w:noWrap w:val="false"/>
          </w:tcPr>
          <w:p>
            <w:pPr>
              <w:pStyle w:val="663"/>
              <w:spacing w:beforeAutospacing="0" w:afterAutospacing="0"/>
              <w:rPr>
                <w:rFonts w:ascii="宋体" w:hAnsi="宋体" w:eastAsia="宋体" w:cs="宋体"/>
                <w:sz w:val="21"/>
                <w:szCs w:val="21"/>
                <w:highlight w:val="none"/>
              </w:rPr>
            </w:pPr>
            <w:r>
              <w:rPr>
                <w:rFonts w:hint="eastAsia" w:ascii="宋体" w:hAnsi="宋体" w:eastAsia="宋体" w:cs="宋体"/>
                <w:sz w:val="21"/>
                <w:szCs w:val="21"/>
                <w:highlight w:val="none"/>
              </w:rPr>
              <w:t xml:space="preserve">1.主要管材:不小于40mm×40mm×2mm国标钢管；</w:t>
            </w:r>
            <w:r/>
          </w:p>
          <w:p>
            <w:pPr>
              <w:pStyle w:val="663"/>
              <w:spacing w:beforeAutospacing="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2.架体喷涂前采用酸洗、磷化除锈处理工艺，架体表面喷塑，能确保涂层在室内长期使用；</w:t>
            </w:r>
            <w:r/>
          </w:p>
          <w:p>
            <w:pPr>
              <w:numPr>
                <w:ilvl w:val="0"/>
                <w:numId w:val="0"/>
              </w:numPr>
              <w:jc w:val="left"/>
              <w:widowControl/>
              <w:rPr>
                <w:rFonts w:hint="eastAsia" w:ascii="宋体" w:hAnsi="宋体" w:eastAsia="宋体" w:cs="宋体"/>
                <w:sz w:val="21"/>
                <w:szCs w:val="21"/>
                <w:highlight w:val="none"/>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val="zh-CN" w:eastAsia="zh-CN" w:bidi="ar"/>
              </w:rPr>
              <w:t xml:space="preserve">产品配置全省统一钢质钢印二维码铭牌，可识别江苏省全民健身设施管理维护信息平台。完工后须将站点、产品信息录入省级全民健身设施管理维护信息平台并完成二维码绑定。</w:t>
            </w:r>
            <w:r/>
          </w:p>
          <w:p>
            <w:pPr>
              <w:pStyle w:val="663"/>
              <w:spacing w:beforeAutospacing="0" w:afterAutospacing="0"/>
              <w:rPr>
                <w:rFonts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.显著位置喷涂“亭湖区体育局捐赠”并喷绘或镌刻“中国体育彩票公益金资助及LOGO标识”。</w:t>
            </w:r>
            <w:r/>
          </w:p>
        </w:tc>
        <w:tc>
          <w:tcPr>
            <w:tcW w:w="559"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张</w:t>
            </w:r>
            <w:r/>
          </w:p>
        </w:tc>
        <w:tc>
          <w:tcPr>
            <w:tcW w:w="557" w:type="dxa"/>
            <w:vAlign w:val="center"/>
            <w:textDirection w:val="lrTb"/>
            <w:noWrap w:val="false"/>
          </w:tcPr>
          <w:p>
            <w:pPr>
              <w:pStyle w:val="663"/>
              <w:jc w:val="center"/>
              <w:spacing w:beforeAutospacing="0" w:afterAutospacing="0"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w:t>
            </w:r>
            <w:r/>
          </w:p>
        </w:tc>
      </w:tr>
    </w:tbl>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三、售后服务</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★1.质量保证期：以上采购清单中的器材免费保修期至少8年，在质保期内，中标供应商负责提供2次/年巡检服务。</w:t>
      </w:r>
      <w:r/>
    </w:p>
    <w:p>
      <w:pPr>
        <w:pStyle w:val="663"/>
        <w:ind w:firstLine="422"/>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2.在质保期内项目所有产品及其形成的系统性能如出现质量问题（人为除外），中标供应商负责无条件更换或修复。</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3.中标人需有专业的安装维护队伍，需具有安装维护经验和相应的专业资格证书；有完善的安装实施、培训、维护方案；</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如在使用过程中发生质量问题，中标供应商在4小时内予以回应，在质量保修期内设备发生故障必须在得到通知后24小时内派人到现场解决；若无法排除故障，须提供备用设备于5日内安装到位，不得影响设备正常使用；质保期满后维修费用只收取成本费。</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四、验收标准及要求</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1.验收标准：</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1.1本次采购的健身器材（除室内乒乓球台）应符合GB19272-2024《室外健身器材的安全通用要求》中的要求；该标准如对器材的安装有所要求的，则器材的安装工作同样须按其要求执行。</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1.2本次采购的室内乒乓球台应符合GB/T32597-2016《乒乓球台的安全、性能要求和试验方法》或QB/T2700-2005《乒乓球台》的要求。</w:t>
      </w:r>
      <w:r/>
    </w:p>
    <w:p>
      <w:pPr>
        <w:pStyle w:val="663"/>
        <w:numPr>
          <w:ilvl w:val="0"/>
          <w:numId w:val="0"/>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人及具备资质的第三方专业机构对中标人提交的货物依据招标及投标文件上的技术规格要求和国家有关质量标准进行现场初步验收，外观、说明书、合格证明等符合招标文件技术要求的，给予签收，初步验收不合格的不予签收。</w:t>
      </w:r>
      <w:r>
        <w:rPr>
          <w:rFonts w:ascii="Segoe UI Emoji" w:hAnsi="Segoe UI Emoji" w:eastAsia="Segoe UI Emoji" w:cs="Segoe UI Emoji"/>
          <w:b/>
          <w:bCs/>
          <w:i w:val="0"/>
          <w:iCs w:val="0"/>
          <w:caps w:val="0"/>
          <w:color w:val="1f2329"/>
          <w:spacing w:val="0"/>
          <w:sz w:val="24"/>
          <w:szCs w:val="24"/>
          <w:highlight w:val="none"/>
          <w:shd w:val="clear" w:color="auto" w:fill="ffffff"/>
        </w:rPr>
        <w:t xml:space="preserve">到货验收仅作为货物接收依据，不视为项目履约合格，不免除中标人产品质量、安装施工全部责任。</w:t>
      </w:r>
      <w:r/>
    </w:p>
    <w:p>
      <w:pPr>
        <w:pStyle w:val="663"/>
        <w:numPr>
          <w:ilvl w:val="0"/>
          <w:numId w:val="0"/>
        </w:numPr>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3.中标人交货前应对产品作出全面检查和对验收文件进行整理，并列出清单，作为采购人与有资质第三方专业机构收货验收和使用的技术条件依据，检验的结果应随货物交采购人。</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4.采购人对中标人提供的货物在使用前进行调试时，中标人需负责安装并培训采购人的使用操作人员，并协助采购人一起调试，直到符合技术要求，采购人才做最终验收。</w:t>
      </w:r>
      <w:r/>
    </w:p>
    <w:p>
      <w:pPr>
        <w:pStyle w:val="663"/>
        <w:ind w:firstLine="480"/>
        <w:jc w:val="both"/>
        <w:pageBreakBefore w:val="0"/>
        <w:spacing w:beforeAutospacing="0" w:afterAutospacing="0" w:line="500" w:lineRule="exact"/>
        <w:widowControl w:val="off"/>
        <w:rPr>
          <w:rFonts w:hint="eastAsia" w:ascii="Segoe UI Emoji" w:hAnsi="Segoe UI Emoji" w:eastAsia="宋体" w:cs="Segoe UI Emoji"/>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5.</w:t>
      </w:r>
      <w:r>
        <w:rPr>
          <w:rFonts w:hint="eastAsia" w:ascii="Segoe UI Emoji" w:hAnsi="Segoe UI Emoji" w:eastAsia="宋体" w:cs="Segoe UI Emoji"/>
          <w:i w:val="0"/>
          <w:iCs w:val="0"/>
          <w:caps w:val="0"/>
          <w:color w:val="auto"/>
          <w:spacing w:val="0"/>
          <w:sz w:val="24"/>
          <w:szCs w:val="24"/>
          <w:highlight w:val="none"/>
          <w:lang w:eastAsia="zh-CN"/>
        </w:rPr>
        <w:t xml:space="preserve">第三方检测</w:t>
      </w:r>
      <w:r>
        <w:rPr>
          <w:rFonts w:hint="eastAsia" w:ascii="Segoe UI Emoji" w:hAnsi="Segoe UI Emoji" w:eastAsia="宋体" w:cs="Segoe UI Emoji"/>
          <w:i w:val="0"/>
          <w:iCs w:val="0"/>
          <w:caps w:val="0"/>
          <w:color w:val="auto"/>
          <w:spacing w:val="0"/>
          <w:sz w:val="24"/>
          <w:szCs w:val="24"/>
          <w:highlight w:val="none"/>
          <w:lang w:val="en-US" w:eastAsia="zh-CN"/>
        </w:rPr>
        <w:t xml:space="preserve">工作</w:t>
      </w:r>
      <w:r>
        <w:rPr>
          <w:rFonts w:ascii="Segoe UI Emoji" w:hAnsi="Segoe UI Emoji" w:eastAsia="Segoe UI Emoji" w:cs="Segoe UI Emoji"/>
          <w:i w:val="0"/>
          <w:iCs w:val="0"/>
          <w:caps w:val="0"/>
          <w:color w:val="auto"/>
          <w:spacing w:val="0"/>
          <w:sz w:val="24"/>
          <w:szCs w:val="24"/>
          <w:highlight w:val="none"/>
        </w:rPr>
        <w:t xml:space="preserve">由</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委托具备相应资质的专业检测机构实施</w:t>
      </w:r>
      <w:r>
        <w:rPr>
          <w:rFonts w:hint="eastAsia" w:ascii="Segoe UI Emoji" w:hAnsi="Segoe UI Emoji" w:eastAsia="宋体" w:cs="Segoe UI Emoji"/>
          <w:i w:val="0"/>
          <w:iCs w:val="0"/>
          <w:caps w:val="0"/>
          <w:color w:val="auto"/>
          <w:spacing w:val="0"/>
          <w:sz w:val="24"/>
          <w:szCs w:val="24"/>
          <w:highlight w:val="none"/>
          <w:lang w:eastAsia="zh-CN"/>
        </w:rPr>
        <w:t xml:space="preserve">，</w:t>
      </w:r>
      <w:r>
        <w:rPr>
          <w:rFonts w:hint="eastAsia" w:ascii="Segoe UI Emoji" w:hAnsi="Segoe UI Emoji" w:eastAsia="宋体" w:cs="Segoe UI Emoji"/>
          <w:i w:val="0"/>
          <w:iCs w:val="0"/>
          <w:caps w:val="0"/>
          <w:color w:val="auto"/>
          <w:spacing w:val="0"/>
          <w:sz w:val="24"/>
          <w:szCs w:val="24"/>
          <w:highlight w:val="none"/>
          <w:lang w:val="en-US" w:eastAsia="zh-CN"/>
        </w:rPr>
        <w:t xml:space="preserve">检测机构</w:t>
      </w:r>
      <w:r>
        <w:rPr>
          <w:rFonts w:hint="eastAsia" w:ascii="宋体" w:hAnsi="宋体" w:eastAsia="宋体" w:cs="宋体"/>
          <w:color w:val="auto"/>
          <w:sz w:val="24"/>
          <w:szCs w:val="24"/>
          <w:highlight w:val="none"/>
          <w:shd w:val="clear" w:color="auto" w:fill="auto"/>
          <w:lang w:val="en-US" w:eastAsia="zh-CN"/>
        </w:rPr>
        <w:t xml:space="preserve">参与到货验收、初步验收及最终验收，采购人全程监督检测全过程。</w:t>
      </w:r>
      <w:r>
        <w:rPr>
          <w:rFonts w:hint="eastAsia" w:ascii="Segoe UI Emoji" w:hAnsi="Segoe UI Emoji" w:eastAsia="宋体" w:cs="Segoe UI Emoji"/>
          <w:i w:val="0"/>
          <w:iCs w:val="0"/>
          <w:caps w:val="0"/>
          <w:color w:val="auto"/>
          <w:spacing w:val="0"/>
          <w:sz w:val="24"/>
          <w:szCs w:val="24"/>
          <w:highlight w:val="none"/>
          <w:lang w:val="en-US" w:eastAsia="zh-CN"/>
        </w:rPr>
        <w:t xml:space="preserve">中标人</w:t>
      </w:r>
      <w:r>
        <w:rPr>
          <w:rFonts w:ascii="Segoe UI Emoji" w:hAnsi="Segoe UI Emoji" w:eastAsia="Segoe UI Emoji" w:cs="Segoe UI Emoji"/>
          <w:i w:val="0"/>
          <w:iCs w:val="0"/>
          <w:caps w:val="0"/>
          <w:color w:val="auto"/>
          <w:spacing w:val="0"/>
          <w:sz w:val="24"/>
          <w:szCs w:val="24"/>
          <w:highlight w:val="none"/>
        </w:rPr>
        <w:t xml:space="preserve">选定检测机构后应提前告知甲方，</w:t>
      </w:r>
      <w:r>
        <w:rPr>
          <w:rFonts w:hint="eastAsia" w:ascii="Segoe UI Emoji" w:hAnsi="Segoe UI Emoji" w:eastAsia="宋体" w:cs="Segoe UI Emoji"/>
          <w:i w:val="0"/>
          <w:iCs w:val="0"/>
          <w:caps w:val="0"/>
          <w:color w:val="auto"/>
          <w:spacing w:val="0"/>
          <w:sz w:val="24"/>
          <w:szCs w:val="24"/>
          <w:highlight w:val="none"/>
          <w:lang w:val="en-US" w:eastAsia="zh-CN"/>
        </w:rPr>
        <w:t xml:space="preserve">采购人</w:t>
      </w:r>
      <w:r>
        <w:rPr>
          <w:rFonts w:ascii="Segoe UI Emoji" w:hAnsi="Segoe UI Emoji" w:eastAsia="Segoe UI Emoji" w:cs="Segoe UI Emoji"/>
          <w:i w:val="0"/>
          <w:iCs w:val="0"/>
          <w:caps w:val="0"/>
          <w:color w:val="auto"/>
          <w:spacing w:val="0"/>
          <w:sz w:val="24"/>
          <w:szCs w:val="24"/>
          <w:highlight w:val="none"/>
        </w:rPr>
        <w:t xml:space="preserve">对检测机构存在合理异议的，双方协商调整；检测完成后第三方机构须出具正式质量检测报告</w:t>
      </w:r>
      <w:r>
        <w:rPr>
          <w:rFonts w:hint="eastAsia" w:ascii="Segoe UI Emoji" w:hAnsi="Segoe UI Emoji" w:eastAsia="宋体" w:cs="Segoe UI Emoji"/>
          <w:i w:val="0"/>
          <w:iCs w:val="0"/>
          <w:caps w:val="0"/>
          <w:color w:val="auto"/>
          <w:spacing w:val="0"/>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6.采购人根据国家有关规定、招标文件、中标人的投标文件以及合同约定的内容和验收标准进行验收。验收情况作为支付货款的依据。如有疑问，以具备资质第三方专业机构的检验结果为准。</w:t>
      </w:r>
      <w:r/>
    </w:p>
    <w:p>
      <w:pPr>
        <w:pStyle w:val="663"/>
        <w:ind w:firstLine="480"/>
        <w:jc w:val="both"/>
        <w:pageBreakBefore w:val="0"/>
        <w:spacing w:beforeAutospacing="0" w:afterAutospacing="0" w:line="50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7.中标人委托第三方专业检测机构开展验收所产生的一切费用（含检测服务费、检测报告制作费、现场检测相关配套费用、复测费用等），全部由中标人承担。</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★五、合同履行期限和地点</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1、合同履行期限：签订合同后</w:t>
      </w:r>
      <w:r>
        <w:rPr>
          <w:rFonts w:hint="eastAsia" w:ascii="宋体" w:hAnsi="宋体" w:eastAsia="宋体" w:cs="宋体"/>
          <w:sz w:val="24"/>
          <w:szCs w:val="24"/>
          <w:highlight w:val="none"/>
          <w:u w:val="single"/>
        </w:rPr>
        <w:t xml:space="preserve"> 30 </w:t>
      </w:r>
      <w:r>
        <w:rPr>
          <w:rFonts w:hint="eastAsia" w:ascii="宋体" w:hAnsi="宋体" w:eastAsia="宋体" w:cs="宋体"/>
          <w:sz w:val="24"/>
          <w:szCs w:val="24"/>
          <w:highlight w:val="none"/>
        </w:rPr>
        <w:t xml:space="preserve">天内安装调试完毕，如有变动，以采购人要求为准。</w:t>
      </w:r>
      <w:r/>
    </w:p>
    <w:p>
      <w:pPr>
        <w:pStyle w:val="663"/>
        <w:ind w:firstLine="420"/>
        <w:jc w:val="both"/>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2、履约地点：采购人指定地点。</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★六、付款方式</w:t>
      </w:r>
      <w:r/>
    </w:p>
    <w:p>
      <w:pPr>
        <w:pStyle w:val="663"/>
        <w:ind w:firstLine="480"/>
        <w:jc w:val="both"/>
        <w:pageBreakBefore w:val="0"/>
        <w:spacing w:beforeAutospacing="0" w:afterAutospacing="0" w:line="500" w:lineRule="exact"/>
        <w:widowControl w:val="off"/>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1、本项目预付款30%，由甲方在合同签订后支付；</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2、项目竣工验收合格后付至合同价款的80%；</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Theme="minorEastAsia" w:hAnsiTheme="minorEastAsia"/>
          <w:sz w:val="24"/>
          <w:szCs w:val="24"/>
          <w:highlight w:val="none"/>
        </w:rPr>
        <w:t xml:space="preserve">余款在质保期内分</w:t>
      </w:r>
      <w:r>
        <w:rPr>
          <w:rFonts w:hint="eastAsia" w:asciiTheme="minorEastAsia" w:hAnsiTheme="minorEastAsia"/>
          <w:sz w:val="24"/>
          <w:szCs w:val="24"/>
          <w:highlight w:val="none"/>
          <w:lang w:val="en-US" w:eastAsia="zh-CN"/>
        </w:rPr>
        <w:t xml:space="preserve">四</w:t>
      </w:r>
      <w:r>
        <w:rPr>
          <w:rFonts w:hint="eastAsia" w:asciiTheme="minorEastAsia" w:hAnsiTheme="minorEastAsia"/>
          <w:sz w:val="24"/>
          <w:szCs w:val="24"/>
          <w:highlight w:val="none"/>
        </w:rPr>
        <w:t xml:space="preserve">次付清。(每两年一次巡检，乙方凭借巡检报告、开具相应金额发票申请)</w:t>
      </w:r>
      <w:r>
        <w:rPr>
          <w:rFonts w:hint="eastAsia" w:asciiTheme="minorEastAsia" w:hAnsiTheme="minorEastAsia"/>
          <w:sz w:val="24"/>
          <w:szCs w:val="24"/>
          <w:highlight w:val="none"/>
          <w:lang w:eastAsia="zh-CN"/>
        </w:rPr>
        <w:t xml:space="preserve">。</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每次付款前乙方须提供正规发票，合同价款一律通过银行非现金结算，结算方式:转账。</w:t>
      </w:r>
      <w:r/>
    </w:p>
    <w:p>
      <w:pPr>
        <w:pStyle w:val="663"/>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(按以上进度付款无任何利息补偿）。</w:t>
      </w:r>
      <w:r/>
    </w:p>
    <w:p>
      <w:pPr>
        <w:ind w:firstLine="422"/>
        <w:spacing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七、本招标文件中加★部分为实质性要求，不接受负偏离。</w:t>
      </w:r>
      <w:r/>
    </w:p>
    <w:p>
      <w:pPr>
        <w:pStyle w:val="663"/>
        <w:ind w:firstLine="422"/>
        <w:jc w:val="both"/>
        <w:spacing w:beforeAutospacing="0" w:afterAutospacing="0" w:line="4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八、特别说明</w:t>
      </w:r>
      <w:r/>
    </w:p>
    <w:p>
      <w:pPr>
        <w:pStyle w:val="663"/>
        <w:ind w:firstLine="420"/>
        <w:spacing w:beforeAutospacing="0" w:afterAutospacing="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1.报价含项目成果交付前一切费用。不接受选择性报价。</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2.本项目采购清单中：</w:t>
      </w:r>
      <w:r>
        <w:rPr>
          <w:rFonts w:hint="eastAsia" w:ascii="宋体" w:hAnsi="宋体" w:eastAsia="宋体" w:cs="宋体"/>
          <w:b/>
          <w:bCs/>
          <w:sz w:val="24"/>
          <w:szCs w:val="24"/>
          <w:highlight w:val="none"/>
        </w:rPr>
        <w:t xml:space="preserve">双位漫步机</w:t>
      </w:r>
      <w:r>
        <w:rPr>
          <w:rFonts w:hint="eastAsia" w:ascii="宋体" w:hAnsi="宋体" w:eastAsia="宋体" w:cs="宋体"/>
          <w:sz w:val="24"/>
          <w:szCs w:val="24"/>
          <w:highlight w:val="none"/>
        </w:rPr>
        <w:t xml:space="preserve">为核心产品</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.部分器材名称如由于各企业</w:t>
      </w:r>
      <w:r>
        <w:rPr>
          <w:rFonts w:hint="eastAsia" w:ascii="宋体" w:hAnsi="宋体" w:eastAsia="宋体" w:cs="宋体"/>
          <w:sz w:val="24"/>
          <w:szCs w:val="24"/>
        </w:rPr>
        <w:t xml:space="preserve">命名</w:t>
      </w:r>
      <w:r>
        <w:rPr>
          <w:rFonts w:ascii="宋体" w:hAnsi="宋体" w:eastAsia="宋体" w:cs="宋体"/>
          <w:sz w:val="24"/>
          <w:szCs w:val="24"/>
        </w:rPr>
        <w:t xml:space="preserve">不一，</w:t>
      </w:r>
      <w:r>
        <w:rPr>
          <w:rFonts w:hint="eastAsia" w:ascii="宋体" w:hAnsi="宋体" w:eastAsia="宋体" w:cs="宋体"/>
          <w:sz w:val="24"/>
          <w:szCs w:val="24"/>
        </w:rPr>
        <w:t xml:space="preserve">但</w:t>
      </w:r>
      <w:r>
        <w:rPr>
          <w:rFonts w:ascii="宋体" w:hAnsi="宋体" w:eastAsia="宋体" w:cs="宋体"/>
          <w:sz w:val="24"/>
          <w:szCs w:val="24"/>
        </w:rPr>
        <w:t xml:space="preserve">具备相当功能</w:t>
      </w:r>
      <w:r>
        <w:rPr>
          <w:rFonts w:hint="eastAsia" w:ascii="宋体" w:hAnsi="宋体" w:eastAsia="宋体" w:cs="宋体"/>
          <w:sz w:val="24"/>
          <w:szCs w:val="24"/>
        </w:rPr>
        <w:t xml:space="preserve">且符合招标文件要求的相关国标</w:t>
      </w:r>
      <w:r>
        <w:rPr>
          <w:rFonts w:ascii="宋体" w:hAnsi="宋体" w:eastAsia="宋体" w:cs="宋体"/>
          <w:sz w:val="24"/>
          <w:szCs w:val="24"/>
        </w:rPr>
        <w:t xml:space="preserve">器材即可，不得影响招标要求器材锻炼方法、功能和安全性能的要求。</w:t>
      </w:r>
      <w:r/>
    </w:p>
    <w:p>
      <w:pPr>
        <w:ind w:firstLine="420"/>
        <w:jc w:val="left"/>
        <w:spacing w:line="360" w:lineRule="auto"/>
        <w:rPr>
          <w:rFonts w:ascii="宋体" w:hAnsi="宋体" w:eastAsia="宋体" w:cs="Times New Roman"/>
          <w:b/>
          <w:bCs/>
          <w:color w:val="000000"/>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w:t>
      </w:r>
      <w:r>
        <w:rPr>
          <w:rFonts w:hint="eastAsia" w:ascii="宋体" w:hAnsi="宋体" w:eastAsia="宋体" w:cs="Times New Roman"/>
          <w:b/>
          <w:bCs/>
          <w:color w:val="000000"/>
          <w:sz w:val="24"/>
          <w:szCs w:val="24"/>
        </w:rPr>
        <w:t xml:space="preserve">本项目不接受进口产品投标。</w:t>
      </w:r>
      <w:r/>
    </w:p>
    <w:p>
      <w:pPr>
        <w:pStyle w:val="663"/>
        <w:ind w:firstLine="422"/>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采购标的对应的中小企业划分标准所属行业一览表</w:t>
      </w:r>
      <w:r/>
    </w:p>
    <w:tbl>
      <w:tblPr>
        <w:tblStyle w:val="656"/>
        <w:tblW w:w="8498"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28" w:type="dxa"/>
          <w:top w:w="80" w:type="dxa"/>
          <w:right w:w="128" w:type="dxa"/>
          <w:bottom w:w="80" w:type="dxa"/>
        </w:tblCellMar>
        <w:tblLook w:val="04A0" w:firstRow="1" w:lastRow="0" w:firstColumn="1" w:lastColumn="0" w:noHBand="0" w:noVBand="1"/>
      </w:tblPr>
      <w:tblGrid>
        <w:gridCol w:w="842"/>
        <w:gridCol w:w="3912"/>
        <w:gridCol w:w="3744"/>
      </w:tblGrid>
      <w:tr>
        <w:trPr>
          <w:jc w:val="center"/>
          <w:tblCellSpacing w:w="0" w:type="dxa"/>
          <w:trHeight w:val="579"/>
          <w:tblHeader/>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序号</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采购标的</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对应中小企业划分标准所属行业</w:t>
            </w:r>
            <w:r/>
          </w:p>
        </w:tc>
      </w:tr>
      <w:tr>
        <w:trPr>
          <w:jc w:val="center"/>
          <w:tblCellSpacing w:w="0" w:type="dxa"/>
          <w:trHeight w:val="560"/>
        </w:trPr>
        <w:tc>
          <w:tcPr>
            <w:shd w:val="clear" w:color="auto" w:fill="auto"/>
            <w:tcW w:w="84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1</w:t>
            </w:r>
            <w:r/>
          </w:p>
        </w:tc>
        <w:tc>
          <w:tcPr>
            <w:shd w:val="clear" w:color="auto" w:fill="auto"/>
            <w:tcW w:w="3912"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lang w:val="en-US" w:eastAsia="zh-CN"/>
              </w:rPr>
              <w:t xml:space="preserve">盐城市亭湖区教育局2026年采购体育健身器材采购项目</w:t>
            </w:r>
            <w:r/>
          </w:p>
        </w:tc>
        <w:tc>
          <w:tcPr>
            <w:shd w:val="clear" w:color="auto" w:fill="auto"/>
            <w:tcW w:w="3744" w:type="dxa"/>
            <w:vAlign w:val="center"/>
            <w:textDirection w:val="lrTb"/>
            <w:noWrap w:val="false"/>
          </w:tcPr>
          <w:p>
            <w:pPr>
              <w:jc w:val="center"/>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工业</w:t>
            </w:r>
            <w:r/>
          </w:p>
        </w:tc>
      </w:tr>
    </w:tbl>
    <w:p>
      <w:pPr>
        <w:pStyle w:val="663"/>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69" w:name="_Toc120614281"/>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63"/>
        <w:jc w:val="both"/>
        <w:spacing w:beforeAutospacing="0" w:afterAutospacing="0"/>
        <w:rPr>
          <w:highlight w:val="none"/>
        </w:rPr>
      </w:pPr>
      <w:r>
        <w:rPr>
          <w:highlight w:val="none"/>
        </w:rPr>
        <w:t xml:space="preserve"> </w:t>
      </w:r>
      <w:r/>
    </w:p>
    <w:p>
      <w:pPr>
        <w:pStyle w:val="663"/>
        <w:ind w:firstLine="422"/>
        <w:jc w:val="both"/>
        <w:spacing w:beforeAutospacing="0" w:afterAutospacing="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p>
    <w:p>
      <w:pPr>
        <w:ind w:firstLine="420"/>
        <w:spacing w:line="400" w:lineRule="exact"/>
        <w:rPr>
          <w:rFonts w:hint="eastAsia" w:asciiTheme="minorEastAsia" w:hAnsiTheme="minorEastAsia"/>
          <w:sz w:val="24"/>
          <w:szCs w:val="24"/>
        </w:rPr>
      </w:pPr>
      <w:r>
        <w:rPr>
          <w:rFonts w:hint="eastAsia" w:asciiTheme="minorEastAsia" w:hAnsiTheme="minorEastAsia"/>
          <w:sz w:val="24"/>
          <w:szCs w:val="24"/>
        </w:rPr>
        <w:t xml:space="preserve">本项目采用</w:t>
      </w:r>
      <w:r>
        <w:rPr>
          <w:rFonts w:hint="eastAsia" w:asciiTheme="minorEastAsia" w:hAnsiTheme="minorEastAsia"/>
          <w:sz w:val="24"/>
          <w:szCs w:val="24"/>
          <w:u w:val="single"/>
        </w:rPr>
        <w:t xml:space="preserve"> 综合评分法</w:t>
      </w:r>
      <w:r>
        <w:rPr>
          <w:rFonts w:hint="eastAsia" w:asciiTheme="minorEastAsia" w:hAnsiTheme="minorEastAsia"/>
          <w:sz w:val="24"/>
          <w:szCs w:val="24"/>
        </w:rPr>
        <w:t xml:space="preserve">。评标结果按评审后得分由高到低顺序排列。得分相同的，按投标报价由低到高顺序排列。得分且投标报价相同的</w:t>
      </w:r>
      <w:r>
        <w:rPr>
          <w:rFonts w:hint="eastAsia" w:asciiTheme="minorEastAsia" w:hAnsiTheme="minorEastAsia"/>
          <w:sz w:val="24"/>
          <w:szCs w:val="24"/>
          <w:lang w:val="en-US" w:eastAsia="zh-CN"/>
        </w:rPr>
        <w:t xml:space="preserve">并列</w:t>
      </w:r>
      <w:r>
        <w:rPr>
          <w:rFonts w:hint="eastAsia" w:ascii="宋体" w:hAnsi="宋体" w:eastAsia="宋体" w:cs="宋体"/>
          <w:color w:val="auto"/>
          <w:sz w:val="24"/>
          <w:szCs w:val="24"/>
          <w:highlight w:val="none"/>
        </w:rPr>
        <w:t xml:space="preserve">，由评标委员会组织通过抽签的方式确定中标候选人的排序。</w:t>
      </w:r>
      <w:r>
        <w:rPr>
          <w:rFonts w:hint="eastAsia" w:asciiTheme="minorEastAsia" w:hAnsiTheme="minorEastAsia"/>
          <w:sz w:val="24"/>
          <w:szCs w:val="24"/>
        </w:rPr>
        <w:t xml:space="preserve">投标文件满足招标文件全部实质性要求，且按照评审因素的量化指标评审得分最高的投标人为排名第一的中标候选人，本项目选取1名中标候选人。</w:t>
      </w:r>
      <w:r/>
    </w:p>
    <w:p>
      <w:pPr>
        <w:pStyle w:val="663"/>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（1）本项目专门面向中小企业采购，不再对小型和微型企业报价给予价格扣除。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w:t>
      </w:r>
      <w:r>
        <w:rPr>
          <w:rFonts w:hint="eastAsia" w:ascii="宋体" w:hAnsi="宋体" w:eastAsia="宋体" w:cs="宋体"/>
          <w:sz w:val="24"/>
          <w:szCs w:val="24"/>
          <w:lang w:val="en-US" w:eastAsia="zh-CN"/>
        </w:rPr>
        <w:t xml:space="preserve">中小</w:t>
      </w:r>
      <w:r>
        <w:rPr>
          <w:rFonts w:hint="eastAsia" w:ascii="宋体" w:hAnsi="宋体" w:eastAsia="宋体" w:cs="宋体"/>
          <w:sz w:val="24"/>
          <w:szCs w:val="24"/>
        </w:rPr>
        <w:t xml:space="preserve">企业声明函》。</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（3）企业标准请参照《关于印发中小企业划型标准规定的通知》（工信部联企业</w:t>
      </w:r>
      <w:r>
        <w:rPr>
          <w:rFonts w:hint="eastAsia" w:ascii="宋体" w:hAnsi="宋体" w:eastAsia="宋体" w:cs="宋体"/>
          <w:sz w:val="24"/>
          <w:szCs w:val="24"/>
          <w:lang w:eastAsia="zh-CN"/>
        </w:rPr>
        <w:t xml:space="preserve">〔2</w:t>
      </w:r>
      <w:r>
        <w:rPr>
          <w:rFonts w:hint="eastAsia" w:ascii="宋体" w:hAnsi="宋体" w:eastAsia="宋体" w:cs="宋体"/>
          <w:sz w:val="24"/>
          <w:szCs w:val="24"/>
          <w:highlight w:val="none"/>
          <w:lang w:eastAsia="zh-CN"/>
        </w:rPr>
        <w:t xml:space="preserve">011〕300号</w:t>
      </w:r>
      <w:r>
        <w:rPr>
          <w:rFonts w:hint="eastAsia" w:ascii="宋体" w:hAnsi="宋体" w:eastAsia="宋体" w:cs="宋体"/>
          <w:sz w:val="24"/>
          <w:szCs w:val="24"/>
          <w:highlight w:val="none"/>
        </w:rPr>
        <w:t xml:space="preserve">）文件规定自行填写。</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单位价格扣除</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（1）本项目对残疾人福利性单位视同小型、微型企业</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单位需按照采购文件的要求提供《残疾人福利性单位声明函》。</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单位标准请参照《关于促进残疾人就业政府采购政策的通知》（财库〔2017〕141号）。</w:t>
      </w:r>
      <w:r/>
    </w:p>
    <w:p>
      <w:pPr>
        <w:pStyle w:val="663"/>
        <w:ind w:firstLine="420"/>
        <w:jc w:val="both"/>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pStyle w:val="663"/>
        <w:ind w:firstLine="420"/>
        <w:jc w:val="both"/>
        <w:spacing w:beforeAutospacing="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（1）本项目对监狱和戒毒企业（简称监狱企业）视同小型、微型企业</w:t>
      </w:r>
      <w:r>
        <w:rPr>
          <w:rFonts w:hint="eastAsia" w:ascii="宋体" w:hAnsi="宋体" w:eastAsia="宋体" w:cs="宋体"/>
          <w:sz w:val="24"/>
          <w:szCs w:val="24"/>
          <w:highlight w:val="none"/>
          <w:lang w:eastAsia="zh-CN"/>
        </w:rPr>
        <w:t xml:space="preserve">。</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（2）监狱企业参加政府采购</w:t>
      </w:r>
      <w:r>
        <w:rPr>
          <w:rFonts w:hint="eastAsia" w:ascii="宋体" w:hAnsi="宋体" w:eastAsia="宋体" w:cs="宋体"/>
          <w:sz w:val="24"/>
          <w:szCs w:val="24"/>
        </w:rPr>
        <w:t xml:space="preserve">活动时，需提供由省级以上监狱管理局、戒毒管理局(含新疆生产建设兵团)出具的属于监狱企业的证明文件。供应商如不提供上述证明文件，价格将不做相应扣除。</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w:t>
      </w:r>
      <w:r>
        <w:rPr>
          <w:rFonts w:hint="eastAsia" w:ascii="宋体" w:hAnsi="宋体" w:eastAsia="宋体" w:cs="宋体"/>
          <w:sz w:val="24"/>
          <w:szCs w:val="24"/>
          <w:lang w:eastAsia="zh-CN"/>
        </w:rPr>
        <w:t xml:space="preserve">〔2014〕68号</w:t>
      </w:r>
      <w:r>
        <w:rPr>
          <w:rFonts w:hint="eastAsia" w:ascii="宋体" w:hAnsi="宋体" w:eastAsia="宋体" w:cs="宋体"/>
          <w:sz w:val="24"/>
          <w:szCs w:val="24"/>
        </w:rPr>
        <w:t xml:space="preserve">）。</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、采购本国产品的支持政策</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u w:val="single"/>
        </w:rPr>
        <w:t xml:space="preserve">20%</w:t>
      </w:r>
      <w:r>
        <w:rPr>
          <w:rFonts w:hint="eastAsia" w:asciiTheme="minorEastAsia" w:hAnsiTheme="minorEastAsia" w:eastAsiaTheme="minorEastAsia" w:cstheme="minorEastAsia"/>
          <w:b/>
          <w:bCs/>
          <w:color w:val="auto"/>
          <w:sz w:val="24"/>
          <w:szCs w:val="24"/>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u w:val="single"/>
        </w:rPr>
        <w:t xml:space="preserve">80%</w:t>
      </w:r>
      <w:r>
        <w:rPr>
          <w:rFonts w:hint="eastAsia" w:asciiTheme="minorEastAsia" w:hAnsiTheme="minorEastAsia" w:eastAsiaTheme="minorEastAsia" w:cstheme="minorEastAsia"/>
          <w:b/>
          <w:bCs/>
          <w:color w:val="auto"/>
          <w:sz w:val="24"/>
          <w:szCs w:val="24"/>
        </w:rPr>
        <w:t xml:space="preserve">以上时（供应商需在“第六章 投标文件格式”的“投标分项报价表”中填写比例数值），依法对该供应商提供的全部产品给予价格评审优惠，即对该供应商提供的全部产品的总报价给予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u w:val="single"/>
        </w:rPr>
        <w:t xml:space="preserve">20%</w:t>
      </w:r>
      <w:r>
        <w:rPr>
          <w:rFonts w:hint="eastAsia" w:asciiTheme="minorEastAsia" w:hAnsiTheme="minorEastAsia" w:eastAsiaTheme="minorEastAsia" w:cstheme="minorEastAsia"/>
          <w:b/>
          <w:bCs/>
          <w:color w:val="auto"/>
          <w:sz w:val="24"/>
          <w:szCs w:val="24"/>
        </w:rPr>
        <w:t xml:space="preserve">的价格扣除，用扣除后的价格参与评审。供应商未填写比例数值，或比例</w:t>
      </w:r>
      <w:r>
        <w:rPr>
          <w:rFonts w:hint="eastAsia" w:asciiTheme="minorEastAsia" w:hAnsiTheme="minorEastAsia" w:eastAsiaTheme="minorEastAsia" w:cstheme="minorEastAsia"/>
          <w:b/>
          <w:bCs/>
          <w:color w:val="auto"/>
          <w:sz w:val="24"/>
          <w:szCs w:val="24"/>
          <w:highlight w:val="none"/>
        </w:rPr>
        <w:t xml:space="preserve">数值未达到80%的，将不享受本国产品价格评审优惠。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w:t>
      </w:r>
      <w:r>
        <w:rPr>
          <w:rFonts w:hint="eastAsia" w:asciiTheme="minorEastAsia" w:hAnsiTheme="minorEastAsia" w:eastAsiaTheme="minorEastAsia" w:cstheme="minorEastAsia"/>
          <w:b/>
          <w:bCs/>
          <w:color w:val="auto"/>
          <w:sz w:val="24"/>
          <w:szCs w:val="24"/>
        </w:rPr>
        <w:t xml:space="preserve">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sz w:val="24"/>
          <w:szCs w:val="24"/>
          <w:highlight w:val="none"/>
          <w:lang w:val="en-US" w:eastAsia="zh-CN"/>
        </w:rPr>
      </w:pP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lang w:val="en-US" w:eastAsia="zh-CN"/>
        </w:rPr>
        <w:t xml:space="preserve">在苏采云系统</w:t>
      </w:r>
      <w:r>
        <w:rPr>
          <w:rFonts w:hint="eastAsia" w:ascii="宋体" w:hAnsi="宋体" w:eastAsia="宋体" w:cs="宋体"/>
          <w:b/>
          <w:bCs/>
          <w:color w:val="auto"/>
          <w:sz w:val="24"/>
          <w:szCs w:val="24"/>
        </w:rPr>
        <w:t xml:space="preserve">要求</w:t>
      </w:r>
      <w:r>
        <w:rPr>
          <w:rFonts w:hint="eastAsia" w:asciiTheme="minorEastAsia" w:hAnsiTheme="minorEastAsia" w:eastAsiaTheme="minorEastAsia" w:cstheme="minorEastAsia"/>
          <w:b/>
          <w:bCs/>
          <w:color w:val="auto"/>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pStyle w:val="663"/>
        <w:ind w:firstLine="441"/>
        <w:spacing w:before="120" w:beforeAutospacing="0" w:after="12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二、评标标准</w:t>
      </w:r>
      <w:r/>
    </w:p>
    <w:p>
      <w:pPr>
        <w:pStyle w:val="663"/>
        <w:ind w:firstLine="420"/>
        <w:jc w:val="both"/>
        <w:spacing w:beforeAutospacing="0" w:afterAutospacing="0"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本次采购的评审方法采用综合评分法，评标委员会将按以下评审方法和标准进行评分，总分值为100分。</w:t>
      </w:r>
      <w:r/>
    </w:p>
    <w:tbl>
      <w:tblPr>
        <w:tblStyle w:val="656"/>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65"/>
        <w:gridCol w:w="7294"/>
      </w:tblGrid>
      <w:tr>
        <w:trPr>
          <w:jc w:val="center"/>
          <w:trHeight w:val="982"/>
        </w:trPr>
        <w:tc>
          <w:tcPr>
            <w:tcBorders>
              <w:right w:val="single" w:color="auto" w:sz="4" w:space="0"/>
            </w:tcBorders>
            <w:tcW w:w="1365" w:type="dxa"/>
            <w:vAlign w:val="center"/>
            <w:textDirection w:val="lrTb"/>
            <w:noWrap w:val="false"/>
          </w:tcPr>
          <w:p>
            <w:pPr>
              <w:contextualSpacing/>
              <w:ind w:firstLine="420"/>
              <w:spacing w:line="440" w:lineRule="exact"/>
              <w:rPr>
                <w:rFonts w:ascii="宋体" w:hAnsi="宋体"/>
                <w:color w:val="000000"/>
                <w:sz w:val="24"/>
                <w:szCs w:val="24"/>
              </w:rPr>
            </w:pPr>
            <w:r>
              <w:rPr>
                <w:rFonts w:hint="eastAsia" w:ascii="宋体" w:hAnsi="宋体"/>
                <w:color w:val="000000"/>
                <w:sz w:val="24"/>
                <w:szCs w:val="24"/>
              </w:rPr>
              <w:t xml:space="preserve">价格</w:t>
            </w:r>
            <w:r/>
          </w:p>
          <w:p>
            <w:pPr>
              <w:jc w:val="center"/>
              <w:tabs>
                <w:tab w:val="left" w:pos="900" w:leader="none"/>
              </w:tabs>
              <w:rPr>
                <w:rFonts w:ascii="仿宋" w:hAnsi="仿宋" w:eastAsia="仿宋"/>
                <w:color w:val="000000"/>
                <w:sz w:val="24"/>
                <w:szCs w:val="24"/>
              </w:rPr>
            </w:pPr>
            <w:r>
              <w:rPr>
                <w:rFonts w:hint="eastAsia" w:ascii="宋体" w:hAnsi="宋体"/>
                <w:color w:val="000000"/>
                <w:sz w:val="24"/>
                <w:szCs w:val="24"/>
              </w:rPr>
              <w:t xml:space="preserve">（30分）</w:t>
            </w:r>
            <w:r/>
          </w:p>
        </w:tc>
        <w:tc>
          <w:tcPr>
            <w:tcBorders>
              <w:left w:val="single" w:color="auto" w:sz="4" w:space="0"/>
            </w:tcBorders>
            <w:tcW w:w="7294" w:type="dxa"/>
            <w:vAlign w:val="center"/>
            <w:textDirection w:val="lrTb"/>
            <w:noWrap w:val="false"/>
          </w:tcPr>
          <w:p>
            <w:pPr>
              <w:ind w:firstLine="420"/>
              <w:tabs>
                <w:tab w:val="left" w:pos="900" w:leader="none"/>
              </w:tabs>
              <w:rPr>
                <w:rFonts w:ascii="宋体" w:hAnsi="宋体"/>
                <w:color w:val="000000"/>
                <w:sz w:val="24"/>
                <w:szCs w:val="24"/>
              </w:rPr>
            </w:pPr>
            <w:r>
              <w:rPr>
                <w:rFonts w:hint="eastAsia" w:ascii="宋体" w:hAnsi="宋体"/>
                <w:color w:val="000000"/>
                <w:sz w:val="24"/>
                <w:szCs w:val="24"/>
              </w:rPr>
              <w:t xml:space="preserve">投标人的价格分统一采用低价优先法计算，满足招标文件要求且最后报价最低的报价为评标基准价，其价格分为满分。其他投标人的价格分统一按照下列公式计算投标报价得分=(评标基准价／最后报价)×30.00</w:t>
            </w:r>
            <w:r>
              <w:rPr>
                <w:rFonts w:ascii="宋体" w:hAnsi="宋体" w:eastAsia="宋体" w:cs="宋体"/>
                <w:color w:val="000000"/>
                <w:sz w:val="24"/>
                <w:szCs w:val="24"/>
              </w:rPr>
              <w:t xml:space="preserve">（小数点保留两位）。</w:t>
            </w:r>
            <w:r/>
          </w:p>
        </w:tc>
      </w:tr>
      <w:tr>
        <w:trPr>
          <w:jc w:val="center"/>
          <w:trHeight w:val="387"/>
        </w:trPr>
        <w:tc>
          <w:tcPr>
            <w:tcBorders>
              <w:right w:val="single" w:color="auto" w:sz="4" w:space="0"/>
            </w:tcBorders>
            <w:tcW w:w="1365" w:type="dxa"/>
            <w:vAlign w:val="center"/>
            <w:textDirection w:val="lrTb"/>
            <w:noWrap w:val="false"/>
          </w:tcPr>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技术要求</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响应</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34</w:t>
            </w:r>
            <w:r>
              <w:rPr>
                <w:rFonts w:hint="eastAsia" w:ascii="宋体" w:hAnsi="宋体"/>
                <w:color w:val="000000"/>
                <w:sz w:val="24"/>
                <w:szCs w:val="24"/>
                <w:highlight w:val="none"/>
              </w:rPr>
              <w:t xml:space="preserve">分）</w:t>
            </w:r>
            <w:r/>
          </w:p>
        </w:tc>
        <w:tc>
          <w:tcPr>
            <w:tcBorders>
              <w:left w:val="single" w:color="auto" w:sz="4" w:space="0"/>
            </w:tcBorders>
            <w:tcW w:w="7294" w:type="dxa"/>
            <w:vAlign w:val="center"/>
            <w:textDirection w:val="lrTb"/>
            <w:noWrap w:val="false"/>
          </w:tcPr>
          <w:p>
            <w:pPr>
              <w:ind w:firstLine="420"/>
              <w:tabs>
                <w:tab w:val="left" w:pos="900" w:leader="none"/>
              </w:tabs>
              <w:rPr>
                <w:rFonts w:hint="eastAsia" w:ascii="宋体" w:hAnsi="宋体"/>
                <w:color w:val="000000"/>
                <w:sz w:val="24"/>
                <w:szCs w:val="24"/>
                <w:highlight w:val="none"/>
              </w:rPr>
            </w:pPr>
            <w:r>
              <w:rPr>
                <w:rFonts w:hint="eastAsia" w:ascii="宋体" w:hAnsi="宋体"/>
                <w:sz w:val="24"/>
                <w:szCs w:val="24"/>
                <w:highlight w:val="none"/>
              </w:rPr>
              <w:t xml:space="preserve">针对招标文件“第四章 采购需求”中的“二、技术要求及相关说明”</w:t>
            </w:r>
            <w:r>
              <w:rPr>
                <w:rFonts w:hint="eastAsia" w:ascii="宋体" w:hAnsi="宋体"/>
                <w:color w:val="000000"/>
                <w:sz w:val="24"/>
                <w:szCs w:val="24"/>
                <w:highlight w:val="none"/>
              </w:rPr>
              <w:t xml:space="preserve">所列内容进行评审，满足招标文件全部的技术指标、参数要求的得</w:t>
            </w:r>
            <w:r>
              <w:rPr>
                <w:rFonts w:hint="eastAsia" w:ascii="宋体" w:hAnsi="宋体"/>
                <w:color w:val="000000"/>
                <w:sz w:val="24"/>
                <w:szCs w:val="24"/>
                <w:highlight w:val="none"/>
                <w:lang w:val="en-US" w:eastAsia="zh-CN"/>
              </w:rPr>
              <w:t xml:space="preserve">34</w:t>
            </w:r>
            <w:r>
              <w:rPr>
                <w:rFonts w:hint="eastAsia" w:ascii="宋体" w:hAnsi="宋体"/>
                <w:color w:val="000000"/>
                <w:sz w:val="24"/>
                <w:szCs w:val="24"/>
                <w:highlight w:val="none"/>
              </w:rPr>
              <w:t xml:space="preserve">分，由评委根据投标人的投标文件中产品情况、《技术规格偏离表》等有关资料情况打分。</w:t>
            </w:r>
            <w:r>
              <w:rPr>
                <w:rFonts w:hint="eastAsia" w:ascii="宋体" w:hAnsi="宋体"/>
                <w:b/>
                <w:bCs/>
                <w:color w:val="000000"/>
                <w:sz w:val="24"/>
                <w:szCs w:val="24"/>
                <w:highlight w:val="none"/>
              </w:rPr>
              <w:t xml:space="preserve">标注★内容为实质性要求，负偏离视为无效投标</w:t>
            </w:r>
            <w:r>
              <w:rPr>
                <w:rFonts w:hint="eastAsia" w:ascii="宋体" w:hAnsi="宋体"/>
                <w:color w:val="000000"/>
                <w:sz w:val="24"/>
                <w:szCs w:val="24"/>
                <w:highlight w:val="none"/>
              </w:rPr>
              <w:t xml:space="preserve">；打▲号为重要指标，有一项负偏离扣1分；其他参数，有一项负偏离扣0.5分，扣完为止。</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项目实施</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方案</w:t>
            </w:r>
            <w:r/>
          </w:p>
          <w:p>
            <w:pPr>
              <w:jc w:val="center"/>
              <w:tabs>
                <w:tab w:val="left" w:pos="900" w:leader="none"/>
              </w:tabs>
              <w:rPr>
                <w:rFonts w:ascii="仿宋" w:hAnsi="仿宋" w:eastAsia="仿宋"/>
                <w:color w:val="000000"/>
                <w:sz w:val="24"/>
                <w:szCs w:val="24"/>
                <w:lang w:val="zh-TW"/>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rPr>
            </w:pPr>
            <w:r>
              <w:rPr>
                <w:rFonts w:hint="eastAsia" w:ascii="宋体" w:hAnsi="宋体" w:cs="仿宋"/>
                <w:sz w:val="24"/>
                <w:szCs w:val="24"/>
              </w:rPr>
              <w:t xml:space="preserve">针对本项目特点的项目实施方案（包含项目组织管理、进度管理、施工安装方案、调试方案、验收方案等）</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项目实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482"/>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售后服务</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方案</w:t>
            </w:r>
            <w:r/>
          </w:p>
          <w:p>
            <w:pPr>
              <w:jc w:val="center"/>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针对本项目特点的售后服务方案（包含培训体系及培训方案、服务体系、服务内容、故障解决方案及服务车辆等）</w:t>
            </w:r>
            <w:r>
              <w:rPr>
                <w:rFonts w:hint="eastAsia" w:ascii="宋体" w:hAnsi="宋体" w:cs="仿宋"/>
                <w:sz w:val="24"/>
                <w:szCs w:val="24"/>
                <w:highlight w:val="none"/>
                <w:lang w:eastAsia="zh-CN"/>
              </w:rPr>
              <w:t xml:space="preserve">，</w:t>
            </w:r>
            <w:r>
              <w:rPr>
                <w:rFonts w:hint="eastAsia" w:ascii="宋体" w:hAnsi="宋体" w:cs="仿宋"/>
                <w:b/>
                <w:bCs/>
                <w:sz w:val="24"/>
                <w:szCs w:val="24"/>
                <w:highlight w:val="none"/>
              </w:rPr>
              <w:t xml:space="preserve">本项最高得</w:t>
            </w:r>
            <w:r>
              <w:rPr>
                <w:rFonts w:hint="eastAsia" w:ascii="宋体" w:hAnsi="宋体" w:cs="仿宋"/>
                <w:b/>
                <w:bCs/>
                <w:sz w:val="24"/>
                <w:szCs w:val="24"/>
                <w:highlight w:val="none"/>
                <w:lang w:val="en-US" w:eastAsia="zh-CN"/>
              </w:rPr>
              <w:t xml:space="preserve">6</w:t>
            </w:r>
            <w:r>
              <w:rPr>
                <w:rFonts w:hint="eastAsia" w:ascii="宋体" w:hAnsi="宋体" w:cs="仿宋"/>
                <w:b/>
                <w:bCs/>
                <w:sz w:val="24"/>
                <w:szCs w:val="24"/>
                <w:highlight w:val="none"/>
              </w:rPr>
              <w:t xml:space="preserve">分</w:t>
            </w:r>
            <w:r>
              <w:rPr>
                <w:rFonts w:hint="eastAsia" w:ascii="宋体" w:hAnsi="宋体" w:cs="仿宋"/>
                <w:b/>
                <w:bCs/>
                <w:sz w:val="24"/>
                <w:szCs w:val="24"/>
                <w:highlight w:val="none"/>
                <w:lang w:eastAsia="zh-CN"/>
              </w:rPr>
              <w:t xml:space="preserve">。</w:t>
            </w:r>
            <w:r/>
          </w:p>
          <w:p>
            <w:pPr>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投标人提供的</w:t>
            </w:r>
            <w:r>
              <w:rPr>
                <w:rFonts w:hint="eastAsia" w:ascii="宋体" w:hAnsi="宋体"/>
                <w:color w:val="000000"/>
                <w:sz w:val="24"/>
                <w:szCs w:val="24"/>
                <w:highlight w:val="none"/>
              </w:rPr>
              <w:t xml:space="preserve">售后服务方案</w:t>
            </w:r>
            <w:r>
              <w:rPr>
                <w:rFonts w:hint="eastAsia" w:ascii="宋体" w:hAnsi="宋体" w:cs="仿宋"/>
                <w:sz w:val="24"/>
                <w:szCs w:val="24"/>
                <w:highlight w:val="none"/>
              </w:rPr>
              <w:t xml:space="preserve">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（1）优于项目需求得</w:t>
            </w:r>
            <w:r>
              <w:rPr>
                <w:rFonts w:hint="eastAsia" w:ascii="宋体" w:hAnsi="宋体" w:cs="仿宋"/>
                <w:sz w:val="24"/>
                <w:szCs w:val="24"/>
                <w:highlight w:val="none"/>
                <w:lang w:val="en-US" w:eastAsia="zh-CN"/>
              </w:rPr>
              <w:t xml:space="preserve">6</w:t>
            </w:r>
            <w:r>
              <w:rPr>
                <w:rFonts w:hint="eastAsia" w:ascii="宋体" w:hAnsi="宋体" w:cs="仿宋"/>
                <w:sz w:val="24"/>
                <w:szCs w:val="24"/>
                <w:highlight w:val="none"/>
              </w:rPr>
              <w:t xml:space="preserve">分；</w:t>
            </w:r>
            <w:r/>
          </w:p>
          <w:p>
            <w:pPr>
              <w:ind w:firstLine="240"/>
              <w:tabs>
                <w:tab w:val="left" w:pos="900" w:leader="none"/>
              </w:tabs>
              <w:rPr>
                <w:rFonts w:ascii="宋体" w:hAnsi="宋体" w:cs="仿宋"/>
                <w:sz w:val="24"/>
                <w:szCs w:val="24"/>
                <w:highlight w:val="none"/>
              </w:rPr>
            </w:pPr>
            <w:r>
              <w:rPr>
                <w:rFonts w:hint="eastAsia" w:ascii="宋体" w:hAnsi="宋体" w:cs="仿宋"/>
                <w:sz w:val="24"/>
                <w:szCs w:val="24"/>
                <w:highlight w:val="none"/>
              </w:rPr>
              <w:t xml:space="preserve">（2）满足项目需求得</w:t>
            </w:r>
            <w:r>
              <w:rPr>
                <w:rFonts w:hint="eastAsia" w:ascii="宋体" w:hAnsi="宋体" w:cs="仿宋"/>
                <w:sz w:val="24"/>
                <w:szCs w:val="24"/>
                <w:highlight w:val="none"/>
                <w:lang w:val="en-US" w:eastAsia="zh-CN"/>
              </w:rPr>
              <w:t xml:space="preserve">5</w:t>
            </w:r>
            <w:r>
              <w:rPr>
                <w:rFonts w:hint="eastAsia" w:ascii="宋体" w:hAnsi="宋体" w:cs="仿宋"/>
                <w:sz w:val="24"/>
                <w:szCs w:val="24"/>
                <w:highlight w:val="none"/>
              </w:rPr>
              <w:t xml:space="preserve">分；</w:t>
            </w:r>
            <w:r/>
          </w:p>
          <w:p>
            <w:pPr>
              <w:ind w:firstLine="240"/>
              <w:tabs>
                <w:tab w:val="left" w:pos="900" w:leader="none"/>
              </w:tabs>
              <w:rPr>
                <w:rFonts w:hint="eastAsia" w:ascii="宋体" w:hAnsi="宋体" w:cs="仿宋"/>
                <w:sz w:val="24"/>
                <w:szCs w:val="24"/>
                <w:highlight w:val="none"/>
              </w:rPr>
            </w:pPr>
            <w:r>
              <w:rPr>
                <w:rFonts w:hint="eastAsia" w:ascii="宋体" w:hAnsi="宋体" w:cs="仿宋"/>
                <w:sz w:val="24"/>
                <w:szCs w:val="24"/>
                <w:highlight w:val="none"/>
              </w:rPr>
              <w:t xml:space="preserve">（3）不满足或不提供得0分</w:t>
            </w:r>
            <w:r/>
          </w:p>
          <w:p>
            <w:pPr>
              <w:ind w:firstLine="482"/>
              <w:tabs>
                <w:tab w:val="left" w:pos="900" w:leader="none"/>
              </w:tabs>
              <w:rPr>
                <w:rFonts w:hint="eastAsia" w:ascii="宋体" w:hAnsi="宋体" w:cs="仿宋"/>
                <w:sz w:val="24"/>
                <w:szCs w:val="24"/>
                <w:highlight w:val="none"/>
              </w:rPr>
            </w:pPr>
            <w:r>
              <w:rPr>
                <w:rFonts w:hint="eastAsia" w:ascii="宋体" w:hAnsi="宋体"/>
                <w:b/>
                <w:bCs/>
                <w:color w:val="000000"/>
                <w:sz w:val="24"/>
                <w:szCs w:val="24"/>
                <w:highlight w:val="none"/>
              </w:rPr>
              <w:t xml:space="preserve">未提供或提供不全不得分</w:t>
            </w:r>
            <w:r>
              <w:rPr>
                <w:rFonts w:hint="eastAsia" w:ascii="宋体" w:hAnsi="宋体"/>
                <w:b/>
                <w:bCs/>
                <w:color w:val="000000"/>
                <w:sz w:val="24"/>
                <w:szCs w:val="24"/>
                <w:highlight w:val="none"/>
                <w:lang w:eastAsia="zh-CN"/>
              </w:rPr>
              <w:t xml:space="preserve">。</w:t>
            </w:r>
            <w:r/>
          </w:p>
        </w:tc>
      </w:tr>
      <w:tr>
        <w:trPr>
          <w:jc w:val="center"/>
          <w:trHeight w:val="416"/>
        </w:trPr>
        <w:tc>
          <w:tcPr>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s="仿宋"/>
                <w:sz w:val="24"/>
                <w:szCs w:val="24"/>
              </w:rPr>
              <w:t xml:space="preserve">安装与调试方案</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W w:w="7294" w:type="dxa"/>
            <w:vAlign w:val="center"/>
            <w:textDirection w:val="lrTb"/>
            <w:noWrap w:val="false"/>
          </w:tcPr>
          <w:p>
            <w:pPr>
              <w:ind w:firstLine="420"/>
              <w:jc w:val="left"/>
              <w:tabs>
                <w:tab w:val="left" w:pos="900" w:leader="none"/>
              </w:tabs>
              <w:rPr>
                <w:rFonts w:ascii="宋体" w:hAnsi="宋体" w:cs="仿宋"/>
                <w:sz w:val="24"/>
                <w:szCs w:val="24"/>
              </w:rPr>
            </w:pPr>
            <w:r>
              <w:rPr>
                <w:rFonts w:hint="eastAsia" w:ascii="宋体" w:hAnsi="宋体" w:cs="仿宋"/>
                <w:sz w:val="24"/>
                <w:szCs w:val="24"/>
              </w:rPr>
              <w:t xml:space="preserve">针对本项目特点的施工与调试方案（包含部署与计划</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方法与技术措施</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质量保证措施</w:t>
            </w:r>
            <w:r>
              <w:rPr>
                <w:rFonts w:ascii="宋体" w:hAnsi="宋体" w:eastAsia="宋体" w:cs="宋体"/>
                <w:color w:val="000000"/>
                <w:sz w:val="24"/>
                <w:szCs w:val="24"/>
              </w:rPr>
              <w:t xml:space="preserve">等</w:t>
            </w:r>
            <w:r>
              <w:rPr>
                <w:rFonts w:hint="eastAsia" w:ascii="宋体" w:hAnsi="宋体" w:cs="仿宋"/>
                <w:sz w:val="24"/>
                <w:szCs w:val="24"/>
              </w:rPr>
              <w:t xml:space="preserve">）</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施工与调试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482"/>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733"/>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s="仿宋"/>
                <w:sz w:val="24"/>
                <w:szCs w:val="24"/>
              </w:rPr>
            </w:pPr>
            <w:r>
              <w:rPr>
                <w:rFonts w:hint="eastAsia" w:ascii="宋体" w:hAnsi="宋体" w:cs="仿宋"/>
                <w:sz w:val="24"/>
                <w:szCs w:val="24"/>
              </w:rPr>
              <w:t xml:space="preserve">验收方案</w:t>
            </w:r>
            <w:r/>
          </w:p>
          <w:p>
            <w:pPr>
              <w:jc w:val="center"/>
              <w:tabs>
                <w:tab w:val="left" w:pos="900" w:leader="none"/>
              </w:tabs>
              <w:rPr>
                <w:rFonts w:ascii="宋体" w:hAnsi="宋体" w:cs="仿宋"/>
                <w:sz w:val="24"/>
                <w:szCs w:val="24"/>
                <w:lang w:val="zh-TW"/>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jc w:val="left"/>
              <w:tabs>
                <w:tab w:val="left" w:pos="900" w:leader="none"/>
              </w:tabs>
              <w:rPr>
                <w:rFonts w:hint="eastAsia" w:ascii="宋体" w:hAnsi="宋体" w:cs="仿宋" w:eastAsiaTheme="minorEastAsia"/>
                <w:sz w:val="24"/>
                <w:szCs w:val="24"/>
                <w:lang w:eastAsia="zh-CN"/>
              </w:rPr>
            </w:pPr>
            <w:r>
              <w:rPr>
                <w:rFonts w:hint="eastAsia" w:ascii="宋体" w:hAnsi="宋体" w:cs="仿宋"/>
                <w:sz w:val="24"/>
                <w:szCs w:val="24"/>
              </w:rPr>
              <w:t xml:space="preserve">针对本项目特点的验收方案（包含</w:t>
            </w:r>
            <w:r>
              <w:rPr>
                <w:rFonts w:ascii="宋体" w:hAnsi="宋体" w:cs="仿宋"/>
                <w:sz w:val="24"/>
                <w:szCs w:val="24"/>
              </w:rPr>
              <w:t xml:space="preserve">验收的程序和步骤</w:t>
            </w:r>
            <w:r>
              <w:rPr>
                <w:rFonts w:hint="eastAsia" w:ascii="宋体" w:hAnsi="宋体" w:cs="仿宋"/>
                <w:sz w:val="24"/>
                <w:szCs w:val="24"/>
              </w:rPr>
              <w:t xml:space="preserve">、</w:t>
            </w:r>
            <w:r>
              <w:rPr>
                <w:rFonts w:ascii="宋体" w:hAnsi="宋体" w:cs="仿宋"/>
                <w:sz w:val="24"/>
                <w:szCs w:val="24"/>
              </w:rPr>
              <w:t xml:space="preserve">验收的组织和协调</w:t>
            </w:r>
            <w:r>
              <w:rPr>
                <w:rFonts w:hint="eastAsia" w:ascii="宋体" w:hAnsi="宋体" w:cs="仿宋"/>
                <w:sz w:val="24"/>
                <w:szCs w:val="24"/>
              </w:rPr>
              <w:t xml:space="preserve">、</w:t>
            </w:r>
            <w:r>
              <w:rPr>
                <w:rFonts w:ascii="宋体" w:hAnsi="宋体" w:cs="仿宋"/>
                <w:sz w:val="24"/>
                <w:szCs w:val="24"/>
              </w:rPr>
              <w:t xml:space="preserve">验收过程中突发情况应急预案</w:t>
            </w:r>
            <w:r>
              <w:rPr>
                <w:rFonts w:ascii="宋体" w:hAnsi="宋体" w:eastAsia="宋体" w:cs="宋体"/>
                <w:color w:val="000000"/>
                <w:sz w:val="24"/>
                <w:szCs w:val="24"/>
              </w:rPr>
              <w:t xml:space="preserve">等</w:t>
            </w:r>
            <w:r>
              <w:rPr>
                <w:rFonts w:hint="eastAsia" w:ascii="宋体" w:hAnsi="宋体" w:cs="仿宋"/>
                <w:sz w:val="24"/>
                <w:szCs w:val="24"/>
              </w:rPr>
              <w:t xml:space="preserve">）</w:t>
            </w:r>
            <w:r>
              <w:rPr>
                <w:rFonts w:hint="eastAsia" w:ascii="宋体" w:hAnsi="宋体" w:cs="仿宋"/>
                <w:sz w:val="24"/>
                <w:szCs w:val="24"/>
                <w:lang w:eastAsia="zh-CN"/>
              </w:rPr>
              <w:t xml:space="preserve">，</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7</w:t>
            </w:r>
            <w:r>
              <w:rPr>
                <w:rFonts w:hint="eastAsia" w:ascii="宋体" w:hAnsi="宋体" w:cs="仿宋"/>
                <w:b/>
                <w:bCs/>
                <w:sz w:val="24"/>
                <w:szCs w:val="24"/>
              </w:rPr>
              <w:t xml:space="preserve">分</w:t>
            </w:r>
            <w:r>
              <w:rPr>
                <w:rFonts w:hint="eastAsia" w:ascii="宋体" w:hAnsi="宋体" w:cs="仿宋"/>
                <w:b/>
                <w:bCs/>
                <w:sz w:val="24"/>
                <w:szCs w:val="24"/>
                <w:lang w:eastAsia="zh-CN"/>
              </w:rPr>
              <w:t xml:space="preserve">。</w:t>
            </w:r>
            <w:r/>
          </w:p>
          <w:p>
            <w:pPr>
              <w:tabs>
                <w:tab w:val="left" w:pos="900" w:leader="none"/>
              </w:tabs>
              <w:rPr>
                <w:rFonts w:ascii="宋体" w:hAnsi="宋体" w:cs="仿宋"/>
                <w:sz w:val="24"/>
                <w:szCs w:val="24"/>
              </w:rPr>
            </w:pPr>
            <w:r>
              <w:rPr>
                <w:rFonts w:hint="eastAsia" w:ascii="宋体" w:hAnsi="宋体" w:cs="仿宋"/>
                <w:sz w:val="24"/>
                <w:szCs w:val="24"/>
              </w:rPr>
              <w:t xml:space="preserve">投标人提供的验收方案能全部响应要求，提出更为细致、有针对性、切实可行、要求之外且和本项目实施相关的内容的，可视为优于；实施计划及人员配置能响应要求的可视为符合；实施计划及人员配置对于要求的响应不完全或者偏离要求的，视为不符合。具体由评审委员会评审。</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（1）优于项目需求得</w:t>
            </w:r>
            <w:r>
              <w:rPr>
                <w:rFonts w:hint="eastAsia" w:ascii="宋体" w:hAnsi="宋体" w:cs="仿宋"/>
                <w:sz w:val="24"/>
                <w:szCs w:val="24"/>
                <w:lang w:val="en-US" w:eastAsia="zh-CN"/>
              </w:rPr>
              <w:t xml:space="preserve">7</w:t>
            </w:r>
            <w:r>
              <w:rPr>
                <w:rFonts w:hint="eastAsia" w:ascii="宋体" w:hAnsi="宋体" w:cs="仿宋"/>
                <w:sz w:val="24"/>
                <w:szCs w:val="24"/>
              </w:rPr>
              <w:t xml:space="preserve">分；</w:t>
            </w:r>
            <w:r/>
          </w:p>
          <w:p>
            <w:pPr>
              <w:ind w:firstLine="240"/>
              <w:tabs>
                <w:tab w:val="left" w:pos="900" w:leader="none"/>
              </w:tabs>
              <w:rPr>
                <w:rFonts w:ascii="宋体" w:hAnsi="宋体" w:cs="仿宋"/>
                <w:sz w:val="24"/>
                <w:szCs w:val="24"/>
              </w:rPr>
            </w:pPr>
            <w:r>
              <w:rPr>
                <w:rFonts w:hint="eastAsia" w:ascii="宋体" w:hAnsi="宋体" w:cs="仿宋"/>
                <w:sz w:val="24"/>
                <w:szCs w:val="24"/>
              </w:rPr>
              <w:t xml:space="preserve">（2）满足项目需求得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p>
          <w:p>
            <w:pPr>
              <w:ind w:firstLine="240"/>
              <w:tabs>
                <w:tab w:val="left" w:pos="900" w:leader="none"/>
              </w:tabs>
              <w:rPr>
                <w:rFonts w:hint="eastAsia" w:ascii="宋体" w:hAnsi="宋体" w:cs="仿宋"/>
                <w:sz w:val="24"/>
                <w:szCs w:val="24"/>
              </w:rPr>
            </w:pPr>
            <w:r>
              <w:rPr>
                <w:rFonts w:hint="eastAsia" w:ascii="宋体" w:hAnsi="宋体" w:cs="仿宋"/>
                <w:sz w:val="24"/>
                <w:szCs w:val="24"/>
              </w:rPr>
              <w:t xml:space="preserve">（3）不满足或不提供得0分。</w:t>
            </w:r>
            <w:r/>
          </w:p>
          <w:p>
            <w:pPr>
              <w:ind w:firstLine="723"/>
              <w:tabs>
                <w:tab w:val="left" w:pos="900" w:leader="none"/>
              </w:tabs>
              <w:rPr>
                <w:rFonts w:hint="eastAsia" w:ascii="宋体" w:hAnsi="宋体" w:cs="仿宋"/>
                <w:sz w:val="24"/>
                <w:szCs w:val="24"/>
              </w:rPr>
            </w:pP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产品保险</w:t>
            </w:r>
            <w:r/>
          </w:p>
          <w:p>
            <w:pPr>
              <w:jc w:val="center"/>
              <w:tabs>
                <w:tab w:val="left" w:pos="900" w:leader="none"/>
              </w:tabs>
              <w:rPr>
                <w:rFonts w:ascii="仿宋" w:hAnsi="仿宋" w:eastAsia="仿宋"/>
                <w:color w:val="000000"/>
                <w:sz w:val="24"/>
                <w:szCs w:val="24"/>
                <w:lang w:val="zh-TW"/>
              </w:rPr>
            </w:pPr>
            <w:r>
              <w:rPr>
                <w:rFonts w:hint="eastAsia" w:ascii="宋体" w:hAnsi="宋体"/>
                <w:color w:val="000000"/>
                <w:sz w:val="24"/>
                <w:szCs w:val="24"/>
                <w:lang w:val="zh-TW"/>
              </w:rPr>
              <w:t xml:space="preserve">（</w:t>
            </w:r>
            <w:r>
              <w:rPr>
                <w:rFonts w:hint="eastAsia" w:ascii="宋体" w:hAnsi="宋体"/>
                <w:color w:val="000000"/>
                <w:sz w:val="24"/>
                <w:szCs w:val="24"/>
              </w:rPr>
              <w:t xml:space="preserve">3</w:t>
            </w:r>
            <w:r>
              <w:rPr>
                <w:rFonts w:hint="eastAsia" w:ascii="宋体" w:hAnsi="宋体"/>
                <w:color w:val="000000"/>
                <w:sz w:val="24"/>
                <w:szCs w:val="24"/>
                <w:lang w:val="zh-TW"/>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rPr>
              <w:t xml:space="preserve">1.投标人所投产品具有有效的产品质量险、产品责任险、公众责任险的，每提供1项险种得1分；如投标人承诺（承诺书格式自拟）中标后供货时同时提供所供货产品具有有效产品质量险、产品责任险、公众责任险的得1分</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本项最高得3分</w:t>
            </w:r>
            <w:r>
              <w:rPr>
                <w:rFonts w:hint="eastAsia" w:ascii="宋体" w:hAnsi="宋体"/>
                <w:b/>
                <w:bCs/>
                <w:color w:val="000000"/>
                <w:sz w:val="24"/>
                <w:szCs w:val="24"/>
                <w:lang w:eastAsia="zh-CN"/>
              </w:rPr>
              <w:t xml:space="preserve">。</w:t>
            </w:r>
            <w:r/>
          </w:p>
          <w:p>
            <w:pPr>
              <w:ind w:firstLine="480"/>
              <w:tabs>
                <w:tab w:val="left" w:pos="900" w:leader="none"/>
              </w:tabs>
              <w:rPr>
                <w:rFonts w:ascii="宋体" w:hAnsi="宋体"/>
                <w:color w:val="000000"/>
                <w:sz w:val="24"/>
                <w:szCs w:val="24"/>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已投保的提供有效期内的保单证书扫描件加盖电子公章；投标时未投保但承诺中标后投保的提供承诺书原件加盖电子公章，并于签订合同时提供保单，否则合同不予以签订，且将按虚假承诺谋取中标处理。</w:t>
            </w:r>
            <w:r>
              <w:rPr>
                <w:rFonts w:hint="eastAsia" w:ascii="宋体" w:hAnsi="宋体"/>
                <w:b/>
                <w:bCs/>
                <w:color w:val="000000"/>
                <w:sz w:val="24"/>
                <w:szCs w:val="24"/>
              </w:rPr>
              <w:t xml:space="preserve">未按以上要求提供证明材料</w:t>
            </w:r>
            <w:r>
              <w:rPr>
                <w:rFonts w:hint="eastAsia" w:ascii="宋体" w:hAnsi="宋体"/>
                <w:b/>
                <w:bCs/>
                <w:color w:val="000000"/>
                <w:sz w:val="24"/>
                <w:szCs w:val="24"/>
                <w:lang w:val="en-US" w:eastAsia="zh-CN"/>
              </w:rPr>
              <w:t xml:space="preserve">或提供不全</w:t>
            </w:r>
            <w:r>
              <w:rPr>
                <w:rFonts w:hint="eastAsia" w:ascii="宋体" w:hAnsi="宋体"/>
                <w:b/>
                <w:bCs/>
                <w:color w:val="000000"/>
                <w:sz w:val="24"/>
                <w:szCs w:val="24"/>
              </w:rPr>
              <w:t xml:space="preserve">的不得分。</w:t>
            </w:r>
            <w:r/>
          </w:p>
        </w:tc>
      </w:tr>
      <w:tr>
        <w:trPr>
          <w:jc w:val="center"/>
          <w:trHeight w:val="1342"/>
        </w:trPr>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类似业绩</w:t>
            </w:r>
            <w:r/>
          </w:p>
          <w:p>
            <w:pPr>
              <w:jc w:val="center"/>
              <w:tabs>
                <w:tab w:val="left" w:pos="900" w:leader="none"/>
              </w:tabs>
              <w:rPr>
                <w:rFonts w:ascii="宋体" w:hAnsi="宋体"/>
                <w:color w:val="000000"/>
                <w:sz w:val="24"/>
                <w:szCs w:val="24"/>
              </w:rPr>
            </w:pPr>
            <w:r>
              <w:rPr>
                <w:rFonts w:hint="eastAsia" w:ascii="宋体" w:hAnsi="宋体"/>
                <w:color w:val="000000"/>
                <w:sz w:val="24"/>
                <w:szCs w:val="24"/>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7294" w:type="dxa"/>
            <w:vAlign w:val="center"/>
            <w:textDirection w:val="lrTb"/>
            <w:noWrap w:val="false"/>
          </w:tcPr>
          <w:p>
            <w:pPr>
              <w:ind w:firstLine="42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rPr>
              <w:t xml:space="preserve">投标人于202</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年1月1日至今具有类似业绩，每提供1个得2分。</w:t>
            </w:r>
            <w:r>
              <w:rPr>
                <w:rFonts w:hint="eastAsia" w:ascii="宋体" w:hAnsi="宋体"/>
                <w:b/>
                <w:bCs/>
                <w:color w:val="000000"/>
                <w:sz w:val="24"/>
                <w:szCs w:val="24"/>
              </w:rPr>
              <w:t xml:space="preserve">本项最高得6分</w:t>
            </w:r>
            <w:r>
              <w:rPr>
                <w:rFonts w:hint="eastAsia" w:ascii="宋体" w:hAnsi="宋体"/>
                <w:b/>
                <w:bCs/>
                <w:color w:val="000000"/>
                <w:sz w:val="24"/>
                <w:szCs w:val="24"/>
                <w:lang w:eastAsia="zh-CN"/>
              </w:rPr>
              <w:t xml:space="preserve">。</w:t>
            </w:r>
            <w:r/>
          </w:p>
          <w:p>
            <w:pPr>
              <w:ind w:firstLine="480"/>
              <w:tabs>
                <w:tab w:val="left" w:pos="900" w:leader="none"/>
              </w:tabs>
              <w:rPr>
                <w:rFonts w:hint="eastAsia" w:ascii="宋体" w:hAnsi="宋体" w:eastAsiaTheme="minorEastAsia"/>
                <w:color w:val="000000"/>
                <w:sz w:val="24"/>
                <w:szCs w:val="24"/>
                <w:lang w:eastAsia="zh-CN"/>
              </w:rPr>
            </w:pPr>
            <w:r>
              <w:rPr>
                <w:rFonts w:hint="eastAsia" w:ascii="宋体" w:hAnsi="宋体"/>
                <w:color w:val="000000"/>
                <w:sz w:val="24"/>
                <w:szCs w:val="24"/>
                <w:lang w:val="en-US" w:eastAsia="zh-CN"/>
              </w:rPr>
              <w:t xml:space="preserve">注：</w:t>
            </w:r>
            <w:r>
              <w:rPr>
                <w:rFonts w:hint="eastAsia" w:ascii="宋体" w:hAnsi="宋体"/>
                <w:color w:val="000000"/>
                <w:sz w:val="24"/>
                <w:szCs w:val="24"/>
              </w:rPr>
              <w:t xml:space="preserve">需提供合同扫描件加盖电子公章，时间以合同签订时间为准，</w:t>
            </w:r>
            <w:r>
              <w:rPr>
                <w:rFonts w:hint="eastAsia" w:ascii="宋体" w:hAnsi="宋体"/>
                <w:b/>
                <w:bCs/>
                <w:color w:val="000000"/>
                <w:sz w:val="24"/>
                <w:szCs w:val="24"/>
              </w:rPr>
              <w:t xml:space="preserve">未提供或提供不全不得分</w:t>
            </w:r>
            <w:r>
              <w:rPr>
                <w:rFonts w:hint="eastAsia" w:ascii="宋体" w:hAnsi="宋体"/>
                <w:b/>
                <w:bCs/>
                <w:color w:val="000000"/>
                <w:sz w:val="24"/>
                <w:szCs w:val="24"/>
                <w:lang w:eastAsia="zh-CN"/>
              </w:rPr>
              <w:t xml:space="preserve">。</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3"/>
        <w:jc w:val="center"/>
        <w:spacing w:beforeAutospacing="0" w:afterAutospacing="0"/>
        <w:rPr>
          <w:highlight w:val="none"/>
        </w:rPr>
      </w:pPr>
      <w:r/>
      <w:bookmarkStart w:id="170" w:name="_Toc120614282"/>
      <w:r/>
      <w:bookmarkEnd w:id="170"/>
      <w:r/>
      <w:bookmarkStart w:id="171" w:name="_Toc49090576"/>
      <w:r/>
      <w:bookmarkEnd w:id="171"/>
      <w:r/>
      <w:bookmarkStart w:id="172" w:name="_Toc26554094"/>
      <w:r/>
      <w:bookmarkStart w:id="173" w:name="_Hlt26671244"/>
      <w:r/>
      <w:bookmarkStart w:id="174" w:name="_Hlt26955039"/>
      <w:r>
        <w:rPr>
          <w:rFonts w:hint="eastAsia" w:ascii="宋体" w:hAnsi="宋体" w:eastAsia="宋体" w:cs="宋体"/>
          <w:b/>
          <w:color w:val="000000"/>
          <w:sz w:val="72"/>
          <w:szCs w:val="72"/>
          <w:highlight w:val="none"/>
        </w:rPr>
        <w:t xml:space="preserve">投  标  文  件</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63"/>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663"/>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63"/>
        <w:jc w:val="center"/>
        <w:spacing w:beforeAutospacing="0" w:afterAutospacing="0" w:line="0" w:lineRule="atLeast"/>
        <w:rPr>
          <w:highlight w:val="none"/>
        </w:rPr>
      </w:pPr>
      <w:r>
        <w:rPr>
          <w:highlight w:val="none"/>
        </w:rPr>
        <w:t xml:space="preserve"> </w:t>
      </w:r>
      <w:r/>
    </w:p>
    <w:p>
      <w:pPr>
        <w:pStyle w:val="663"/>
        <w:ind w:left="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w:t>
      </w:r>
      <w:r>
        <w:rPr>
          <w:rFonts w:hint="eastAsia" w:ascii="宋体" w:hAnsi="宋体" w:eastAsia="宋体" w:cs="宋体"/>
          <w:i w:val="0"/>
          <w:iCs/>
          <w:color w:val="000000"/>
          <w:sz w:val="24"/>
          <w:szCs w:val="24"/>
          <w:highlight w:val="none"/>
          <w:u w:val="none"/>
          <w:lang w:val="en-US" w:eastAsia="zh-CN"/>
        </w:rPr>
        <w:t xml:space="preserve">或</w:t>
      </w:r>
      <w:r>
        <w:rPr>
          <w:rFonts w:hint="eastAsia" w:ascii="宋体" w:hAnsi="宋体" w:eastAsia="宋体" w:cs="宋体"/>
          <w:i w:val="0"/>
          <w:iCs/>
          <w:color w:val="000000"/>
          <w:sz w:val="24"/>
          <w:szCs w:val="24"/>
          <w:highlight w:val="none"/>
          <w:u w:val="non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63"/>
        <w:ind w:left="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投标人成立不满一年无需提供）</w:t>
      </w:r>
      <w:r/>
    </w:p>
    <w:p>
      <w:pPr>
        <w:pStyle w:val="663"/>
        <w:ind w:left="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六、特定资格要求的证明文件（如果本项目设置特定资格要求，则需要提供）</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八、投标函</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十、残疾人福利性单位声明函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十一、</w:t>
      </w:r>
      <w:r>
        <w:rPr>
          <w:rFonts w:hint="eastAsia" w:ascii="宋体" w:hAnsi="宋体" w:eastAsia="宋体" w:cs="宋体"/>
          <w:i w:val="0"/>
          <w:iCs/>
          <w:color w:val="auto"/>
          <w:sz w:val="24"/>
          <w:szCs w:val="24"/>
          <w:highlight w:val="none"/>
          <w:u w:val="none"/>
        </w:rPr>
        <w:t xml:space="preserve">关于符合本国产品标准的声明函</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十二、投标分项报价表</w:t>
      </w:r>
      <w:r/>
    </w:p>
    <w:p>
      <w:pPr>
        <w:pStyle w:val="663"/>
        <w:ind w:firstLine="480"/>
        <w:jc w:val="both"/>
        <w:keepLines w:val="0"/>
        <w:keepNext w:val="0"/>
        <w:pageBreakBefore w:val="0"/>
        <w:spacing w:beforeAutospacing="0" w:afterAutospacing="0" w:line="500" w:lineRule="exact"/>
        <w:rPr>
          <w:rFonts w:hint="default" w:ascii="宋体" w:hAnsi="宋体" w:eastAsia="宋体" w:cs="宋体"/>
          <w:i w:val="0"/>
          <w:iCs/>
          <w:color w:val="000000"/>
          <w:sz w:val="24"/>
          <w:szCs w:val="24"/>
          <w:highlight w:val="none"/>
          <w:u w:val="none"/>
          <w:lang w:val="en-US" w:eastAsia="zh-CN"/>
        </w:rPr>
      </w:pPr>
      <w:r>
        <w:rPr>
          <w:rFonts w:hint="default" w:ascii="宋体" w:hAnsi="宋体" w:eastAsia="宋体" w:cs="宋体"/>
          <w:i w:val="0"/>
          <w:iCs/>
          <w:color w:val="000000"/>
          <w:sz w:val="24"/>
          <w:szCs w:val="24"/>
          <w:highlight w:val="none"/>
          <w:u w:val="none"/>
          <w:lang w:val="en-US" w:eastAsia="zh-CN"/>
        </w:rPr>
        <w:t xml:space="preserve">十</w:t>
      </w:r>
      <w:r>
        <w:rPr>
          <w:rFonts w:hint="eastAsia" w:ascii="宋体" w:hAnsi="宋体" w:eastAsia="宋体" w:cs="宋体"/>
          <w:i w:val="0"/>
          <w:iCs/>
          <w:color w:val="000000"/>
          <w:sz w:val="24"/>
          <w:szCs w:val="24"/>
          <w:highlight w:val="none"/>
          <w:u w:val="none"/>
          <w:lang w:val="en-US" w:eastAsia="zh-CN"/>
        </w:rPr>
        <w:t xml:space="preserve">三</w:t>
      </w:r>
      <w:r>
        <w:rPr>
          <w:rFonts w:hint="default" w:ascii="宋体" w:hAnsi="宋体" w:eastAsia="宋体" w:cs="宋体"/>
          <w:i w:val="0"/>
          <w:iCs/>
          <w:color w:val="000000"/>
          <w:sz w:val="24"/>
          <w:szCs w:val="24"/>
          <w:highlight w:val="none"/>
          <w:u w:val="none"/>
          <w:lang w:val="en-US" w:eastAsia="zh-CN"/>
        </w:rPr>
        <w:t xml:space="preserve">、核心产品品牌一览表</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、技术要求响应及偏离表</w:t>
      </w:r>
      <w:r/>
    </w:p>
    <w:p>
      <w:pPr>
        <w:pStyle w:val="663"/>
        <w:ind w:firstLine="480"/>
        <w:jc w:val="both"/>
        <w:keepLines w:val="0"/>
        <w:keepNext w:val="0"/>
        <w:pageBreakBefore w:val="0"/>
        <w:spacing w:beforeAutospacing="0" w:afterAutospacing="0" w:line="500" w:lineRule="exact"/>
        <w:rPr>
          <w:i w:val="0"/>
          <w:iCs/>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五</w:t>
      </w:r>
      <w:r>
        <w:rPr>
          <w:rFonts w:hint="eastAsia" w:ascii="宋体" w:hAnsi="宋体" w:eastAsia="宋体" w:cs="宋体"/>
          <w:i w:val="0"/>
          <w:iCs/>
          <w:color w:val="000000"/>
          <w:sz w:val="24"/>
          <w:szCs w:val="24"/>
          <w:highlight w:val="none"/>
          <w:u w:val="none"/>
        </w:rPr>
        <w:t xml:space="preserve">、商务要求响应及偏离表</w:t>
      </w:r>
      <w:r/>
    </w:p>
    <w:p>
      <w:pPr>
        <w:pStyle w:val="663"/>
        <w:ind w:firstLine="480"/>
        <w:jc w:val="both"/>
        <w:keepLines w:val="0"/>
        <w:keepNext w:val="0"/>
        <w:pageBreakBefore w:val="0"/>
        <w:spacing w:beforeAutospacing="0" w:afterAutospacing="0" w:line="500" w:lineRule="exact"/>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、开标一览表</w:t>
      </w:r>
      <w:r/>
    </w:p>
    <w:p>
      <w:pPr>
        <w:ind w:firstLine="480"/>
        <w:keepLines w:val="0"/>
        <w:keepNext w:val="0"/>
        <w:pageBreakBefore w:val="0"/>
        <w:spacing w:before="50" w:after="50" w:line="500" w:lineRule="exact"/>
        <w:widowControl/>
        <w:rPr>
          <w:rFonts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七</w:t>
      </w:r>
      <w:r>
        <w:rPr>
          <w:rFonts w:hint="eastAsia" w:ascii="宋体" w:hAnsi="宋体" w:eastAsia="宋体" w:cs="宋体"/>
          <w:i w:val="0"/>
          <w:iCs/>
          <w:color w:val="000000"/>
          <w:sz w:val="24"/>
          <w:szCs w:val="24"/>
          <w:highlight w:val="none"/>
          <w:u w:val="none"/>
        </w:rPr>
        <w:t xml:space="preserve">、项目实施方案、售后服务方案、安装与调试方案、验收方案等</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000000"/>
          <w:sz w:val="24"/>
          <w:szCs w:val="24"/>
          <w:highlight w:val="none"/>
          <w:u w:val="none"/>
          <w:lang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八</w:t>
      </w:r>
      <w:r>
        <w:rPr>
          <w:rFonts w:hint="eastAsia" w:ascii="宋体" w:hAnsi="宋体" w:eastAsia="宋体" w:cs="宋体"/>
          <w:i w:val="0"/>
          <w:iCs/>
          <w:color w:val="000000"/>
          <w:sz w:val="24"/>
          <w:szCs w:val="24"/>
          <w:highlight w:val="none"/>
          <w:u w:val="none"/>
        </w:rPr>
        <w:t xml:space="preserve">、盐城市政府采购事前信用承诺书</w:t>
      </w:r>
      <w:r>
        <w:rPr>
          <w:rFonts w:hint="eastAsia" w:ascii="宋体" w:hAnsi="宋体" w:eastAsia="宋体" w:cs="宋体"/>
          <w:i w:val="0"/>
          <w:iCs/>
          <w:color w:val="000000"/>
          <w:sz w:val="24"/>
          <w:szCs w:val="24"/>
          <w:highlight w:val="none"/>
          <w:u w:val="none"/>
          <w:lang w:eastAsia="zh-CN"/>
        </w:rPr>
        <w:t xml:space="preserve">、招标投标廉洁自律承诺保证书</w:t>
      </w:r>
      <w:r/>
    </w:p>
    <w:p>
      <w:pPr>
        <w:pStyle w:val="663"/>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000000"/>
          <w:highlight w:val="none"/>
          <w:u w:val="none"/>
          <w:lang w:val="en-US" w:eastAsia="zh-CN"/>
        </w:rPr>
        <w:t xml:space="preserve">注：招标文件中规定要求提供的证明材料和投标人认为需要提供的其他材料。</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ind w:firstLine="480"/>
        <w:jc w:val="both"/>
        <w:spacing w:beforeAutospacing="0" w:afterAutospacing="0" w:line="0" w:lineRule="atLeast"/>
        <w:rPr>
          <w:highlight w:val="none"/>
        </w:rPr>
      </w:pPr>
      <w:r>
        <w:rPr>
          <w:highlight w:val="none"/>
        </w:rPr>
        <w:t xml:space="preserve"> </w:t>
      </w:r>
      <w:r/>
    </w:p>
    <w:p>
      <w:pPr>
        <w:pStyle w:val="663"/>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w:t>
      </w:r>
      <w:r>
        <w:rPr>
          <w:rFonts w:hint="eastAsia" w:ascii="黑体" w:hAnsi="宋体" w:eastAsia="黑体" w:cs="黑体"/>
          <w:i/>
          <w:color w:val="000000"/>
          <w:sz w:val="32"/>
          <w:szCs w:val="32"/>
          <w:highlight w:val="none"/>
          <w:u w:val="single"/>
          <w:lang w:val="en-US" w:eastAsia="zh-CN"/>
        </w:rPr>
        <w:t xml:space="preserve">或</w:t>
      </w:r>
      <w:r>
        <w:rPr>
          <w:rFonts w:hint="eastAsia" w:ascii="黑体" w:hAnsi="宋体" w:eastAsia="黑体" w:cs="黑体"/>
          <w:i/>
          <w:color w:val="000000"/>
          <w:sz w:val="32"/>
          <w:szCs w:val="32"/>
          <w:highlight w:val="none"/>
          <w:u w:val="single"/>
        </w:rPr>
        <w:t xml:space="preserve">自然人的身份证明</w:t>
      </w:r>
      <w:r/>
    </w:p>
    <w:p>
      <w:pPr>
        <w:pStyle w:val="663"/>
        <w:ind w:firstLine="480"/>
        <w:jc w:val="both"/>
        <w:spacing w:beforeAutospacing="0" w:afterAutospacing="0" w:line="0" w:lineRule="atLeast"/>
        <w:rPr>
          <w:highlight w:val="none"/>
        </w:rPr>
      </w:pPr>
      <w:r>
        <w:rPr>
          <w:highlight w:val="none"/>
        </w:rPr>
        <w:t xml:space="preserve"> </w:t>
      </w:r>
      <w:r/>
    </w:p>
    <w:p>
      <w:pPr>
        <w:pStyle w:val="66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63"/>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63"/>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6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63"/>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63"/>
        <w:jc w:val="center"/>
        <w:spacing w:beforeAutospacing="0" w:afterAutospacing="0"/>
        <w:rPr>
          <w:rFonts w:ascii="黑体" w:hAnsi="宋体" w:eastAsia="黑体" w:cs="黑体"/>
          <w:i/>
          <w:color w:val="000000"/>
          <w:sz w:val="32"/>
          <w:szCs w:val="32"/>
          <w:highlight w:val="none"/>
          <w:u w:val="single"/>
        </w:rPr>
      </w:pPr>
      <w:r/>
      <w:bookmarkStart w:id="175" w:name="_Toc120614284"/>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63"/>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63"/>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63"/>
        <w:ind w:firstLine="120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63"/>
        <w:ind w:firstLine="480"/>
        <w:jc w:val="both"/>
        <w:keepLines w:val="0"/>
        <w:keepNext w:val="0"/>
        <w:pageBreakBefore w:val="0"/>
        <w:spacing w:beforeAutospacing="0" w:afterAutospacing="0" w:line="500" w:lineRule="exact"/>
        <w:widowControl w:val="off"/>
        <w:tabs>
          <w:tab w:val="left" w:pos="360" w:leader="none"/>
        </w:tabs>
        <w:rPr>
          <w:highlight w:val="none"/>
        </w:rPr>
      </w:pPr>
      <w:r>
        <w:rPr>
          <w:rFonts w:ascii="Times New Roman" w:hAnsi="Times New Roman"/>
          <w:color w:val="000000"/>
          <w:highlight w:val="none"/>
        </w:rPr>
        <w:t xml:space="preserve">      日期：</w:t>
      </w:r>
      <w:bookmarkStart w:id="176" w:name="_Hlt26955070"/>
      <w:r/>
      <w:bookmarkStart w:id="177" w:name="_Hlt26671380"/>
      <w:r/>
      <w:bookmarkStart w:id="178" w:name="_格式3__银行出具的资信证明"/>
      <w:r>
        <w:rPr>
          <w:rFonts w:ascii="Times New Roman" w:hAnsi="Times New Roman"/>
          <w:color w:val="000000"/>
          <w:highlight w:val="none"/>
          <w:u w:val="single"/>
        </w:rPr>
        <w:t xml:space="preserve">                                         </w:t>
      </w:r>
      <w:r/>
    </w:p>
    <w:p>
      <w:pPr>
        <w:pStyle w:val="663"/>
        <w:ind w:firstLine="420"/>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line="0" w:lineRule="atLeast"/>
        <w:rPr>
          <w:highlight w:val="none"/>
          <w:shd w:val="clear" w:color="auto" w:fill="auto"/>
        </w:rPr>
      </w:pPr>
      <w:r>
        <w:rPr>
          <w:highlight w:val="none"/>
          <w:shd w:val="clear" w:color="auto" w:fill="auto"/>
        </w:rPr>
        <w:t xml:space="preserve"> </w:t>
      </w:r>
      <w:r/>
    </w:p>
    <w:p>
      <w:pPr>
        <w:pStyle w:val="663"/>
        <w:jc w:val="both"/>
        <w:keepLines/>
        <w:keepNext/>
        <w:spacing w:before="260" w:beforeAutospacing="0" w:after="260" w:afterAutospacing="0" w:line="415" w:lineRule="auto"/>
        <w:rPr>
          <w:rFonts w:hint="eastAsia" w:ascii="宋体" w:hAnsi="宋体" w:eastAsia="宋体" w:cs="宋体"/>
          <w:b/>
          <w:color w:val="00000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highlight w:val="none"/>
        </w:rPr>
      </w:r>
      <w:r/>
    </w:p>
    <w:p>
      <w:pPr>
        <w:pStyle w:val="663"/>
        <w:jc w:val="center"/>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663"/>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致：盐城市亭湖区教育局</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000000"/>
          <w:highlight w:val="none"/>
        </w:rPr>
        <w:t xml:space="preserve">_________________(姓名)代表我方______________（投标人的名称），全权处理本次项目投标的有关事宜。</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据此函，__________签字人</w:t>
      </w:r>
      <w:r>
        <w:rPr>
          <w:rFonts w:hint="eastAsia"/>
          <w:color w:val="ff0000"/>
          <w:sz w:val="24"/>
          <w:szCs w:val="24"/>
          <w:highlight w:val="none"/>
          <w:lang w:eastAsia="zh-CN"/>
        </w:rPr>
        <w:t xml:space="preserve">（</w:t>
      </w:r>
      <w:r>
        <w:rPr>
          <w:rFonts w:hint="eastAsia"/>
          <w:color w:val="ff0000"/>
          <w:sz w:val="24"/>
          <w:szCs w:val="24"/>
          <w:highlight w:val="none"/>
          <w:lang w:val="en-US" w:eastAsia="zh-CN"/>
        </w:rPr>
        <w:t xml:space="preserve">签字或签章）</w:t>
      </w:r>
      <w:r>
        <w:rPr>
          <w:rFonts w:hint="eastAsia" w:ascii="宋体" w:hAnsi="宋体" w:eastAsia="宋体" w:cs="宋体"/>
          <w:color w:val="000000"/>
          <w:highlight w:val="none"/>
        </w:rPr>
        <w:t xml:space="preserve">兹宣布同意如下：</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3"/>
        <w:ind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3"/>
        <w:ind w:left="425"/>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7.与本投标有关的正式通讯地址为：</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地          址：</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邮          编：</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电          话：</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传          真：</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投标人开户行：</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账          号： </w:t>
      </w:r>
      <w:r/>
    </w:p>
    <w:p>
      <w:pPr>
        <w:pStyle w:val="663"/>
        <w:ind w:left="420" w:firstLine="480"/>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日           期：________年____月____日</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ind w:firstLine="240"/>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w:t>
      </w:r>
      <w:r>
        <w:rPr>
          <w:rFonts w:hint="eastAsia" w:ascii="黑体" w:hAnsi="宋体" w:eastAsia="黑体" w:cs="黑体"/>
          <w:b/>
          <w:i/>
          <w:iCs/>
          <w:color w:val="auto"/>
          <w:sz w:val="32"/>
          <w:szCs w:val="32"/>
          <w:highlight w:val="none"/>
          <w:u w:val="single"/>
          <w:lang w:val="en-US" w:eastAsia="zh-CN"/>
        </w:rPr>
        <w:t xml:space="preserve">货物</w:t>
      </w:r>
      <w:r>
        <w:rPr>
          <w:rFonts w:hint="eastAsia" w:ascii="黑体" w:hAnsi="宋体" w:eastAsia="黑体" w:cs="黑体"/>
          <w:b/>
          <w:i/>
          <w:iCs/>
          <w:color w:val="auto"/>
          <w:sz w:val="32"/>
          <w:szCs w:val="32"/>
          <w:highlight w:val="none"/>
          <w:u w:val="singl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rPr>
        <w:t xml:space="preserve">盐城市亭湖区教育局</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63"/>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63"/>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63"/>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63"/>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63"/>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63"/>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3"/>
        <w:ind w:firstLine="480"/>
        <w:jc w:val="both"/>
        <w:keepLines w:val="0"/>
        <w:keepNext w:val="0"/>
        <w:pageBreakBefore w:val="0"/>
        <w:spacing w:beforeAutospacing="0" w:afterAutospacing="0" w:line="500" w:lineRule="atLeast"/>
        <w:widowControl w:val="off"/>
        <w:rPr>
          <w:highlight w:val="none"/>
        </w:rPr>
      </w:pPr>
      <w:r>
        <w:rPr>
          <w:highlight w:val="none"/>
        </w:rPr>
        <w:t xml:space="preserve"> </w:t>
      </w:r>
      <w:r/>
    </w:p>
    <w:p>
      <w:pPr>
        <w:pStyle w:val="663"/>
        <w:ind w:firstLine="480"/>
        <w:jc w:val="both"/>
        <w:keepLines w:val="0"/>
        <w:keepNext w:val="0"/>
        <w:pageBreakBefore w:val="0"/>
        <w:spacing w:beforeAutospacing="0" w:afterAutospacing="0" w:line="500" w:lineRule="atLeast"/>
        <w:widowControl w:val="off"/>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63"/>
        <w:ind w:firstLine="624"/>
        <w:jc w:val="both"/>
        <w:keepLines w:val="0"/>
        <w:keepNext w:val="0"/>
        <w:pageBreakBefore w:val="0"/>
        <w:spacing w:beforeAutospacing="0" w:afterAutospacing="0" w:line="500" w:lineRule="atLeast"/>
        <w:widowControl w:val="off"/>
        <w:rPr>
          <w:highlight w:val="none"/>
        </w:rPr>
      </w:pPr>
      <w:r>
        <w:rPr>
          <w:highlight w:val="none"/>
        </w:rPr>
        <w:t xml:space="preserve"> </w:t>
      </w:r>
      <w:r/>
    </w:p>
    <w:p>
      <w:pPr>
        <w:pStyle w:val="663"/>
        <w:ind w:right="1560" w:firstLine="624"/>
        <w:jc w:val="center"/>
        <w:keepLines w:val="0"/>
        <w:keepNext w:val="0"/>
        <w:pageBreakBefore w:val="0"/>
        <w:spacing w:beforeAutospacing="0" w:afterAutospacing="0" w:line="500" w:lineRule="atLeas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3"/>
        <w:ind w:right="1560" w:firstLine="480"/>
        <w:jc w:val="center"/>
        <w:keepLines w:val="0"/>
        <w:keepNext w:val="0"/>
        <w:pageBreakBefore w:val="0"/>
        <w:spacing w:beforeAutospacing="0" w:afterAutospacing="0" w:line="500" w:lineRule="atLeas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63"/>
        <w:jc w:val="center"/>
        <w:keepLines w:val="0"/>
        <w:keepNext w:val="0"/>
        <w:pageBreakBefore w:val="0"/>
        <w:spacing w:beforeAutospacing="0" w:afterAutospacing="0" w:line="500" w:lineRule="atLeast"/>
        <w:widowControl w:val="off"/>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663"/>
        <w:ind w:left="0" w:right="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w:t>
      </w:r>
      <w:r/>
    </w:p>
    <w:p>
      <w:pPr>
        <w:pStyle w:val="66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rPr>
        <w:t xml:space="preserve"> </w:t>
      </w:r>
      <w:r/>
    </w:p>
    <w:p>
      <w:pPr>
        <w:pStyle w:val="663"/>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663"/>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663"/>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663"/>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663"/>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663"/>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63"/>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63"/>
        <w:jc w:val="center"/>
        <w:spacing w:beforeAutospacing="0" w:afterAutospacing="0" w:line="0" w:lineRule="atLeast"/>
        <w:rPr>
          <w:highlight w:val="none"/>
        </w:rPr>
      </w:pPr>
      <w:r>
        <w:rPr>
          <w:highlight w:val="none"/>
        </w:rPr>
        <w:t xml:space="preserve"> </w:t>
      </w:r>
      <w:r/>
    </w:p>
    <w:p>
      <w:pPr>
        <w:pStyle w:val="663"/>
        <w:jc w:val="center"/>
        <w:spacing w:beforeAutospacing="0" w:afterAutospacing="0" w:line="0" w:lineRule="atLeast"/>
        <w:rPr>
          <w:highlight w:val="none"/>
        </w:rPr>
      </w:pPr>
      <w:r>
        <w:rPr>
          <w:highlight w:val="none"/>
        </w:rPr>
      </w:r>
      <w:r/>
    </w:p>
    <w:p>
      <w:pPr>
        <w:pStyle w:val="663"/>
        <w:jc w:val="center"/>
        <w:spacing w:beforeAutospacing="0" w:afterAutospacing="0" w:line="0" w:lineRule="atLeast"/>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663"/>
        <w:jc w:val="center"/>
        <w:spacing w:beforeAutospacing="0" w:afterAutospacing="0"/>
        <w:rPr>
          <w:rFonts w:ascii="黑体" w:hAnsi="宋体" w:eastAsia="黑体" w:cs="黑体"/>
          <w:bCs/>
          <w:color w:val="000000"/>
          <w:sz w:val="28"/>
          <w:szCs w:val="28"/>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tbl>
      <w:tblPr>
        <w:tblStyle w:val="665"/>
        <w:tblW w:w="13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56" w:type="dxa"/>
          <w:right w:w="96" w:type="dxa"/>
          <w:bottom w:w="56" w:type="dxa"/>
        </w:tblCellMar>
        <w:tblLook w:val="04A0" w:firstRow="1" w:lastRow="0" w:firstColumn="1" w:lastColumn="0" w:noHBand="0" w:noVBand="1"/>
      </w:tblPr>
      <w:tblGrid>
        <w:gridCol w:w="1014"/>
        <w:gridCol w:w="1860"/>
        <w:gridCol w:w="1385"/>
        <w:gridCol w:w="2830"/>
        <w:gridCol w:w="1095"/>
        <w:gridCol w:w="840"/>
        <w:gridCol w:w="855"/>
        <w:gridCol w:w="1425"/>
        <w:gridCol w:w="2287"/>
      </w:tblGrid>
      <w:tr>
        <w:trPr>
          <w:jc w:val="center"/>
          <w:trHeight w:val="505"/>
          <w:tblHeader/>
        </w:trPr>
        <w:tc>
          <w:tcPr>
            <w:tcW w:w="1014" w:type="dxa"/>
            <w:vAlign w:val="center"/>
            <w:textDirection w:val="lrTb"/>
            <w:noWrap w:val="false"/>
          </w:tcPr>
          <w:p>
            <w:pPr>
              <w:pStyle w:val="663"/>
              <w:jc w:val="center"/>
              <w:spacing w:beforeAutospacing="0" w:afterAutospacing="0"/>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auto" w:fill="auto"/>
            <w:tcW w:w="1860"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产品名称</w:t>
            </w:r>
            <w:r/>
          </w:p>
        </w:tc>
        <w:tc>
          <w:tcPr>
            <w:shd w:val="clear" w:color="auto" w:fill="auto"/>
            <w:tcW w:w="138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品牌</w:t>
            </w:r>
            <w:r/>
          </w:p>
        </w:tc>
        <w:tc>
          <w:tcPr>
            <w:shd w:val="clear" w:color="auto" w:fill="auto"/>
            <w:tcW w:w="2830"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规格型号</w:t>
            </w:r>
            <w:r/>
          </w:p>
        </w:tc>
        <w:tc>
          <w:tcPr>
            <w:shd w:val="clear" w:color="auto" w:fill="auto"/>
            <w:tcW w:w="109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产地</w:t>
            </w:r>
            <w:r/>
          </w:p>
        </w:tc>
        <w:tc>
          <w:tcPr>
            <w:shd w:val="clear" w:color="auto" w:fill="auto"/>
            <w:tcW w:w="840" w:type="dxa"/>
            <w:vAlign w:val="center"/>
            <w:textDirection w:val="lrTb"/>
            <w:noWrap w:val="false"/>
          </w:tcPr>
          <w:p>
            <w:pPr>
              <w:pStyle w:val="663"/>
              <w:jc w:val="center"/>
              <w:spacing w:beforeAutospacing="0" w:afterAutospacing="0"/>
              <w:rPr>
                <w:rFonts w:hint="eastAsia" w:ascii="宋体" w:hAnsi="宋体" w:eastAsia="宋体" w:cs="宋体"/>
                <w:b/>
                <w:sz w:val="21"/>
                <w:szCs w:val="21"/>
                <w:lang w:eastAsia="zh-CN"/>
              </w:rPr>
            </w:pPr>
            <w:r>
              <w:rPr>
                <w:rFonts w:hint="eastAsia" w:ascii="宋体" w:hAnsi="宋体" w:eastAsia="宋体" w:cs="宋体"/>
                <w:b/>
                <w:color w:val="000000"/>
                <w:sz w:val="21"/>
                <w:szCs w:val="21"/>
                <w:lang w:val="en-US" w:eastAsia="zh-CN"/>
              </w:rPr>
              <w:t xml:space="preserve">单位</w:t>
            </w:r>
            <w:r/>
          </w:p>
        </w:tc>
        <w:tc>
          <w:tcPr>
            <w:shd w:val="clear" w:color="auto" w:fill="auto"/>
            <w:tcW w:w="85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数量</w:t>
            </w:r>
            <w:r/>
          </w:p>
        </w:tc>
        <w:tc>
          <w:tcPr>
            <w:shd w:val="clear" w:color="auto" w:fill="auto"/>
            <w:tcW w:w="1425"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分项单价</w:t>
            </w:r>
            <w:r/>
          </w:p>
        </w:tc>
        <w:tc>
          <w:tcPr>
            <w:shd w:val="clear" w:color="auto" w:fill="auto"/>
            <w:tcW w:w="2287" w:type="dxa"/>
            <w:vAlign w:val="center"/>
            <w:textDirection w:val="lrTb"/>
            <w:noWrap w:val="false"/>
          </w:tcPr>
          <w:p>
            <w:pPr>
              <w:pStyle w:val="663"/>
              <w:jc w:val="center"/>
              <w:spacing w:beforeAutospacing="0" w:afterAutospacing="0"/>
              <w:rPr>
                <w:rFonts w:ascii="宋体" w:hAnsi="宋体" w:eastAsia="宋体" w:cs="宋体"/>
                <w:b/>
                <w:sz w:val="21"/>
                <w:szCs w:val="21"/>
              </w:rPr>
            </w:pPr>
            <w:r>
              <w:rPr>
                <w:rFonts w:hint="eastAsia" w:ascii="宋体" w:hAnsi="宋体" w:eastAsia="宋体" w:cs="宋体"/>
                <w:b/>
                <w:color w:val="000000"/>
                <w:sz w:val="21"/>
                <w:szCs w:val="21"/>
              </w:rPr>
              <w:t xml:space="preserve">分项总价</w:t>
            </w:r>
            <w:r/>
          </w:p>
        </w:tc>
      </w:tr>
      <w:tr>
        <w:trPr>
          <w:jc w:val="center"/>
          <w:trHeight w:val="556"/>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rPr>
              <w:t xml:space="preserve">设备清单一：一代健身路径</w:t>
            </w:r>
            <w:r/>
          </w:p>
        </w:tc>
      </w:tr>
      <w:tr>
        <w:trPr>
          <w:jc w:val="center"/>
          <w:trHeight w:val="711"/>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1</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告示牌</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pStyle w:val="663"/>
              <w:jc w:val="center"/>
              <w:spacing w:beforeAutospacing="0" w:afterAutospacing="0"/>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pStyle w:val="663"/>
              <w:jc w:val="center"/>
              <w:spacing w:beforeAutospacing="0" w:afterAutospacing="0"/>
              <w:rPr>
                <w:rFonts w:hint="default"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64"/>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2</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肋木架</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46"/>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3</w:t>
            </w:r>
            <w:r/>
          </w:p>
        </w:tc>
        <w:tc>
          <w:tcPr>
            <w:tcW w:w="1860" w:type="dxa"/>
            <w:vAlign w:val="center"/>
            <w:textDirection w:val="lrTb"/>
            <w:noWrap w:val="false"/>
          </w:tcPr>
          <w:p>
            <w:pPr>
              <w:pStyle w:val="663"/>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天梯</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7"/>
        </w:trPr>
        <w:tc>
          <w:tcPr>
            <w:tcW w:w="1014"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4</w:t>
            </w:r>
            <w:r/>
          </w:p>
        </w:tc>
        <w:tc>
          <w:tcPr>
            <w:tcW w:w="1860" w:type="dxa"/>
            <w:vAlign w:val="top"/>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双位漫步机</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02"/>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5</w:t>
            </w:r>
            <w:r/>
          </w:p>
        </w:tc>
        <w:tc>
          <w:tcPr>
            <w:tcW w:w="1860" w:type="dxa"/>
            <w:vAlign w:val="top"/>
            <w:textDirection w:val="lrTb"/>
            <w:noWrap w:val="false"/>
          </w:tcPr>
          <w:p>
            <w:pPr>
              <w:pStyle w:val="663"/>
              <w:jc w:val="center"/>
              <w:spacing w:beforeAutospacing="0" w:afterAutospacing="0" w:line="400" w:lineRule="exact"/>
              <w:rPr>
                <w:rFonts w:ascii="宋体" w:hAnsi="宋体" w:eastAsia="宋体" w:cs="宋体"/>
                <w:sz w:val="21"/>
                <w:szCs w:val="21"/>
              </w:rPr>
            </w:pPr>
            <w:r>
              <w:rPr>
                <w:rFonts w:hint="eastAsia" w:ascii="宋体" w:hAnsi="宋体" w:eastAsia="宋体" w:cs="宋体"/>
                <w:sz w:val="21"/>
                <w:szCs w:val="21"/>
              </w:rPr>
              <w:t xml:space="preserve">四位蹬力器</w:t>
            </w:r>
            <w:r/>
          </w:p>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（两组双人位）</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0"/>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6</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上肢牵引器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77"/>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7</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三位扭腰器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15"/>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8</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腰背按摩器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86"/>
        </w:trPr>
        <w:tc>
          <w:tcPr>
            <w:tcW w:w="1014" w:type="dxa"/>
            <w:vAlign w:val="center"/>
            <w:textDirection w:val="lrTb"/>
            <w:noWrap w:val="false"/>
          </w:tcPr>
          <w:p>
            <w:pPr>
              <w:pStyle w:val="662"/>
              <w:jc w:val="center"/>
              <w:rPr>
                <w:rFonts w:hint="eastAsia" w:ascii="宋体" w:hAnsi="宋体" w:eastAsia="宋体" w:cs="宋体"/>
                <w:bCs/>
                <w:color w:val="000000"/>
                <w:sz w:val="21"/>
                <w:szCs w:val="21"/>
              </w:rPr>
            </w:pPr>
            <w:r>
              <w:rPr>
                <w:rFonts w:hint="eastAsia" w:asciiTheme="minorEastAsia" w:hAnsiTheme="minorEastAsia"/>
                <w:sz w:val="21"/>
                <w:szCs w:val="21"/>
                <w:lang w:val="en-US"/>
              </w:rPr>
              <w:t xml:space="preserve">9</w:t>
            </w:r>
            <w:r/>
          </w:p>
        </w:tc>
        <w:tc>
          <w:tcPr>
            <w:tcW w:w="1860" w:type="dxa"/>
            <w:vAlign w:val="center"/>
            <w:textDirection w:val="lrTb"/>
            <w:noWrap w:val="false"/>
          </w:tcPr>
          <w:p>
            <w:pPr>
              <w:pStyle w:val="663"/>
              <w:jc w:val="center"/>
              <w:spacing w:beforeAutospacing="0" w:afterAutospacing="0" w:line="400" w:lineRule="exact"/>
              <w:rPr>
                <w:rFonts w:ascii="宋体" w:hAnsi="宋体" w:eastAsia="宋体" w:cs="宋体"/>
                <w:bCs/>
                <w:color w:val="000000"/>
                <w:sz w:val="21"/>
                <w:szCs w:val="21"/>
              </w:rPr>
            </w:pPr>
            <w:r>
              <w:rPr>
                <w:rFonts w:hint="eastAsia" w:ascii="宋体" w:hAnsi="宋体" w:eastAsia="宋体" w:cs="宋体"/>
                <w:sz w:val="21"/>
                <w:szCs w:val="21"/>
              </w:rPr>
              <w:t xml:space="preserve">太极揉推器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51</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27"/>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设备清单二：</w:t>
            </w:r>
            <w:r>
              <w:rPr>
                <w:rFonts w:hint="eastAsia" w:asciiTheme="minorEastAsia" w:hAnsiTheme="minorEastAsia"/>
                <w:b/>
                <w:bCs/>
                <w:szCs w:val="21"/>
              </w:rPr>
              <w:t xml:space="preserve">二代健身路径</w:t>
            </w:r>
            <w:r/>
          </w:p>
        </w:tc>
      </w:tr>
      <w:tr>
        <w:trPr>
          <w:jc w:val="center"/>
          <w:trHeight w:val="664"/>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10</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告示牌</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rPr>
            </w:pPr>
            <w:r>
              <w:rPr>
                <w:rFonts w:hint="eastAsia" w:asciiTheme="minorEastAsia" w:hAnsiTheme="minorEastAsia"/>
                <w:sz w:val="21"/>
                <w:szCs w:val="21"/>
                <w:lang w:val="en-US"/>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05"/>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11</w:t>
            </w:r>
            <w:r/>
          </w:p>
        </w:tc>
        <w:tc>
          <w:tcPr>
            <w:tcW w:w="1860" w:type="dxa"/>
            <w:vAlign w:val="center"/>
            <w:textDirection w:val="lrTb"/>
            <w:noWrap w:val="false"/>
          </w:tcPr>
          <w:p>
            <w:pPr>
              <w:jc w:val="center"/>
            </w:pPr>
            <w:r>
              <w:rPr>
                <w:rFonts w:hint="eastAsia"/>
              </w:rPr>
              <w:t xml:space="preserve">智能双位太空</w:t>
            </w:r>
            <w:r/>
          </w:p>
          <w:p>
            <w:pPr>
              <w:jc w:val="center"/>
              <w:rPr>
                <w:rFonts w:ascii="宋体" w:hAnsi="宋体" w:eastAsia="宋体" w:cs="宋体"/>
                <w:bCs/>
                <w:color w:val="000000"/>
                <w:sz w:val="21"/>
                <w:szCs w:val="21"/>
              </w:rPr>
            </w:pPr>
            <w:r>
              <w:rPr>
                <w:rFonts w:hint="eastAsia"/>
              </w:rPr>
              <w:t xml:space="preserve">漫步机</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49"/>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12</w:t>
            </w:r>
            <w:r/>
          </w:p>
        </w:tc>
        <w:tc>
          <w:tcPr>
            <w:tcW w:w="1860" w:type="dxa"/>
            <w:vAlign w:val="center"/>
            <w:textDirection w:val="lrTb"/>
            <w:noWrap w:val="false"/>
          </w:tcPr>
          <w:p>
            <w:pPr>
              <w:jc w:val="center"/>
            </w:pPr>
            <w:r>
              <w:rPr>
                <w:rFonts w:hint="eastAsia"/>
              </w:rPr>
              <w:t xml:space="preserve">智能双位划船</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23"/>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13</w:t>
            </w:r>
            <w:r/>
          </w:p>
        </w:tc>
        <w:tc>
          <w:tcPr>
            <w:tcW w:w="1860" w:type="dxa"/>
            <w:vAlign w:val="center"/>
            <w:textDirection w:val="lrTb"/>
            <w:noWrap w:val="false"/>
          </w:tcPr>
          <w:p>
            <w:pPr>
              <w:jc w:val="center"/>
            </w:pPr>
            <w:r>
              <w:rPr>
                <w:rFonts w:hint="eastAsia"/>
              </w:rPr>
              <w:t xml:space="preserve">智能双位推举</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11"/>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14</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智能双位蹬力器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609"/>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15</w:t>
            </w:r>
            <w:r/>
          </w:p>
        </w:tc>
        <w:tc>
          <w:tcPr>
            <w:tcW w:w="1860" w:type="dxa"/>
            <w:vAlign w:val="center"/>
            <w:textDirection w:val="lrTb"/>
            <w:noWrap w:val="false"/>
          </w:tcPr>
          <w:p>
            <w:pPr>
              <w:jc w:val="center"/>
            </w:pPr>
            <w:r>
              <w:rPr>
                <w:rFonts w:hint="eastAsia"/>
              </w:rPr>
              <w:t xml:space="preserve">智能双位背部</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18"/>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16</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智能双位健身车（竞赛型）</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61"/>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17</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智能双位扭腰器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38"/>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18</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智能双位揉推器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713"/>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19</w:t>
            </w:r>
            <w:r/>
          </w:p>
        </w:tc>
        <w:tc>
          <w:tcPr>
            <w:tcW w:w="1860" w:type="dxa"/>
            <w:vAlign w:val="center"/>
            <w:textDirection w:val="lrTb"/>
            <w:noWrap w:val="false"/>
          </w:tcPr>
          <w:p>
            <w:pPr>
              <w:jc w:val="center"/>
              <w:rPr>
                <w:rFonts w:ascii="宋体" w:hAnsi="宋体" w:eastAsia="宋体" w:cs="宋体"/>
                <w:bCs/>
                <w:color w:val="000000"/>
                <w:sz w:val="21"/>
                <w:szCs w:val="21"/>
              </w:rPr>
            </w:pPr>
            <w:r>
              <w:rPr>
                <w:rFonts w:hint="eastAsia"/>
              </w:rPr>
              <w:t xml:space="preserve">智能双位腹部训练器（仰卧板）</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834"/>
        </w:trPr>
        <w:tc>
          <w:tcPr>
            <w:tcW w:w="1014" w:type="dxa"/>
            <w:vAlign w:val="center"/>
            <w:textDirection w:val="lrTb"/>
            <w:noWrap w:val="false"/>
          </w:tcPr>
          <w:p>
            <w:pPr>
              <w:pStyle w:val="663"/>
              <w:jc w:val="center"/>
              <w:spacing w:beforeAutospacing="0" w:afterAutospacing="0" w:line="400" w:lineRule="exact"/>
              <w:rPr>
                <w:rFonts w:hint="eastAsia" w:ascii="宋体" w:hAnsi="宋体" w:eastAsia="宋体" w:cs="宋体"/>
                <w:bCs/>
                <w:color w:val="000000"/>
                <w:sz w:val="21"/>
                <w:szCs w:val="21"/>
              </w:rPr>
            </w:pPr>
            <w:r>
              <w:rPr>
                <w:rFonts w:hint="eastAsia" w:ascii="宋体" w:hAnsi="宋体" w:eastAsia="宋体" w:cs="宋体"/>
                <w:sz w:val="21"/>
                <w:szCs w:val="21"/>
              </w:rPr>
              <w:t xml:space="preserve">20</w:t>
            </w:r>
            <w:r/>
          </w:p>
        </w:tc>
        <w:tc>
          <w:tcPr>
            <w:tcW w:w="1860" w:type="dxa"/>
            <w:vAlign w:val="center"/>
            <w:textDirection w:val="lrTb"/>
            <w:noWrap w:val="false"/>
          </w:tcPr>
          <w:p>
            <w:pPr>
              <w:jc w:val="center"/>
            </w:pPr>
            <w:r>
              <w:rPr>
                <w:rFonts w:hint="eastAsia"/>
              </w:rPr>
              <w:t xml:space="preserve">智能双位钟摆</w:t>
            </w:r>
            <w:r/>
          </w:p>
          <w:p>
            <w:pPr>
              <w:jc w:val="center"/>
              <w:rPr>
                <w:rFonts w:ascii="宋体" w:hAnsi="宋体" w:eastAsia="宋体" w:cs="宋体"/>
                <w:bCs/>
                <w:color w:val="000000"/>
                <w:sz w:val="21"/>
                <w:szCs w:val="21"/>
              </w:rPr>
            </w:pPr>
            <w:r>
              <w:rPr>
                <w:rFonts w:hint="eastAsia"/>
              </w:rPr>
              <w:t xml:space="preserve">训练器</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件</w:t>
            </w:r>
            <w:r/>
          </w:p>
        </w:tc>
        <w:tc>
          <w:tcPr>
            <w:tcW w:w="855" w:type="dxa"/>
            <w:vAlign w:val="center"/>
            <w:textDirection w:val="lrTb"/>
            <w:noWrap w:val="false"/>
          </w:tcPr>
          <w:p>
            <w:pPr>
              <w:jc w:val="center"/>
              <w:rPr>
                <w:rFonts w:ascii="宋体" w:hAnsi="宋体" w:eastAsia="宋体" w:cs="宋体"/>
                <w:bCs/>
                <w:color w:val="000000"/>
                <w:sz w:val="21"/>
                <w:szCs w:val="21"/>
              </w:rPr>
            </w:pPr>
            <w:r>
              <w:rPr>
                <w:rFonts w:hint="eastAsia" w:asciiTheme="minorEastAsia" w:hAnsiTheme="minorEastAsia"/>
                <w:szCs w:val="21"/>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22"/>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设备清单三：篮球架</w:t>
            </w:r>
            <w:r/>
          </w:p>
        </w:tc>
      </w:tr>
      <w:tr>
        <w:trPr>
          <w:jc w:val="center"/>
          <w:trHeight w:val="728"/>
        </w:trPr>
        <w:tc>
          <w:tcPr>
            <w:tcW w:w="1014" w:type="dxa"/>
            <w:vAlign w:val="center"/>
            <w:textDirection w:val="lrTb"/>
            <w:noWrap w:val="false"/>
          </w:tcPr>
          <w:p>
            <w:pPr>
              <w:pStyle w:val="662"/>
              <w:jc w:val="center"/>
              <w:rPr>
                <w:rFonts w:hint="eastAsia" w:ascii="宋体" w:hAnsi="宋体" w:cs="宋体" w:eastAsiaTheme="minorEastAsia"/>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1</w:t>
            </w:r>
            <w:r/>
          </w:p>
        </w:tc>
        <w:tc>
          <w:tcPr>
            <w:tcW w:w="1860" w:type="dxa"/>
            <w:vAlign w:val="center"/>
            <w:textDirection w:val="lrTb"/>
            <w:noWrap w:val="false"/>
          </w:tcPr>
          <w:p>
            <w:pPr>
              <w:jc w:val="center"/>
              <w:rPr>
                <w:rFonts w:hint="eastAsia"/>
                <w:highlight w:val="none"/>
              </w:rPr>
            </w:pPr>
            <w:r>
              <w:rPr>
                <w:rFonts w:hint="eastAsia" w:asciiTheme="minorEastAsia" w:hAnsiTheme="minorEastAsia"/>
                <w:szCs w:val="21"/>
                <w:highlight w:val="none"/>
                <w:lang w:eastAsia="zh-CN"/>
              </w:rPr>
              <w:t xml:space="preserve">移动式</w:t>
            </w:r>
            <w:r>
              <w:rPr>
                <w:rFonts w:hint="eastAsia" w:asciiTheme="minorEastAsia" w:hAnsiTheme="minorEastAsia"/>
                <w:szCs w:val="21"/>
                <w:highlight w:val="none"/>
              </w:rPr>
              <w:t xml:space="preserve">篮球架</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hint="default" w:asciiTheme="minorEastAsia" w:hAnsiTheme="minorEastAsia" w:eastAsiaTheme="minorEastAsia"/>
                <w:szCs w:val="21"/>
                <w:highlight w:val="none"/>
                <w:lang w:val="en-US" w:eastAsia="zh-CN"/>
              </w:rPr>
            </w:pPr>
            <w:r>
              <w:rPr>
                <w:rFonts w:hint="eastAsia" w:asciiTheme="minorEastAsia" w:hAnsiTheme="minorEastAsia"/>
                <w:sz w:val="21"/>
                <w:szCs w:val="21"/>
                <w:highlight w:val="none"/>
                <w:lang w:val="en-US" w:eastAsia="zh-CN"/>
              </w:rPr>
              <w:t xml:space="preserve">10</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7"/>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hint="eastAsia" w:asciiTheme="minorEastAsia" w:hAnsiTheme="minorEastAsia"/>
                <w:b/>
                <w:bCs/>
                <w:szCs w:val="21"/>
                <w:lang w:val="en-US"/>
              </w:rPr>
              <w:t xml:space="preserve">设备清单四：乒乓球台</w:t>
            </w:r>
            <w:r/>
          </w:p>
        </w:tc>
      </w:tr>
      <w:tr>
        <w:trPr>
          <w:jc w:val="center"/>
          <w:trHeight w:val="543"/>
        </w:trPr>
        <w:tc>
          <w:tcPr>
            <w:tcW w:w="1014" w:type="dxa"/>
            <w:vAlign w:val="center"/>
            <w:textDirection w:val="lrTb"/>
            <w:noWrap w:val="false"/>
          </w:tcPr>
          <w:p>
            <w:pPr>
              <w:pStyle w:val="662"/>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2</w:t>
            </w:r>
            <w:r/>
          </w:p>
        </w:tc>
        <w:tc>
          <w:tcPr>
            <w:tcW w:w="1860" w:type="dxa"/>
            <w:vAlign w:val="center"/>
            <w:textDirection w:val="lrTb"/>
            <w:noWrap w:val="false"/>
          </w:tcPr>
          <w:p>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 xml:space="preserve">室外乒乓球台</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rPr>
              <w:t xml:space="preserve">8</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79"/>
        </w:trPr>
        <w:tc>
          <w:tcPr>
            <w:tcW w:w="1014" w:type="dxa"/>
            <w:vAlign w:val="center"/>
            <w:textDirection w:val="lrTb"/>
            <w:noWrap w:val="false"/>
          </w:tcPr>
          <w:p>
            <w:pPr>
              <w:pStyle w:val="662"/>
              <w:jc w:val="center"/>
              <w:rPr>
                <w:rFonts w:hint="eastAsia" w:ascii="宋体" w:hAnsi="宋体" w:cs="宋体" w:eastAsiaTheme="minorEastAsia"/>
                <w:bCs/>
                <w:color w:val="000000"/>
                <w:sz w:val="21"/>
                <w:szCs w:val="21"/>
                <w:highlight w:val="none"/>
                <w:lang w:eastAsia="zh-CN"/>
              </w:rPr>
            </w:pPr>
            <w:r>
              <w:rPr>
                <w:rFonts w:hint="eastAsia" w:asciiTheme="minorEastAsia" w:hAnsiTheme="minorEastAsia"/>
                <w:sz w:val="21"/>
                <w:szCs w:val="21"/>
                <w:highlight w:val="none"/>
                <w:lang w:val="en-US"/>
              </w:rPr>
              <w:t xml:space="preserve">2</w:t>
            </w:r>
            <w:r>
              <w:rPr>
                <w:rFonts w:hint="eastAsia" w:asciiTheme="minorEastAsia" w:hAnsiTheme="minorEastAsia"/>
                <w:sz w:val="21"/>
                <w:szCs w:val="21"/>
                <w:highlight w:val="none"/>
                <w:lang w:val="en-US" w:eastAsia="zh-CN"/>
              </w:rPr>
              <w:t xml:space="preserve">3</w:t>
            </w:r>
            <w:r/>
          </w:p>
        </w:tc>
        <w:tc>
          <w:tcPr>
            <w:tcW w:w="1860" w:type="dxa"/>
            <w:vAlign w:val="center"/>
            <w:textDirection w:val="lrTb"/>
            <w:noWrap w:val="false"/>
          </w:tcPr>
          <w:p>
            <w:pPr>
              <w:jc w:val="center"/>
              <w:rPr>
                <w:rFonts w:ascii="宋体" w:hAnsi="宋体" w:eastAsia="宋体" w:cs="宋体"/>
                <w:bCs/>
                <w:color w:val="000000"/>
                <w:sz w:val="21"/>
                <w:szCs w:val="21"/>
                <w:highlight w:val="none"/>
              </w:rPr>
            </w:pPr>
            <w:r>
              <w:rPr>
                <w:rFonts w:hint="eastAsia" w:asciiTheme="minorEastAsia" w:hAnsiTheme="minorEastAsia"/>
                <w:szCs w:val="21"/>
                <w:highlight w:val="none"/>
              </w:rPr>
              <w:t xml:space="preserve">室内乒乓球台</w:t>
            </w:r>
            <w:r/>
          </w:p>
        </w:tc>
        <w:tc>
          <w:tcPr>
            <w:tcW w:w="138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830"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109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840" w:type="dxa"/>
            <w:vAlign w:val="center"/>
            <w:textDirection w:val="lrTb"/>
            <w:noWrap w:val="false"/>
          </w:tcPr>
          <w:p>
            <w:pPr>
              <w:jc w:val="center"/>
              <w:spacing w:beforeAutospacing="0" w:afterAutospacing="0"/>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件</w:t>
            </w:r>
            <w:r/>
          </w:p>
        </w:tc>
        <w:tc>
          <w:tcPr>
            <w:tcW w:w="855" w:type="dxa"/>
            <w:vAlign w:val="center"/>
            <w:textDirection w:val="lrTb"/>
            <w:noWrap w:val="false"/>
          </w:tcPr>
          <w:p>
            <w:pPr>
              <w:pStyle w:val="662"/>
              <w:jc w:val="center"/>
              <w:rPr>
                <w:rFonts w:ascii="宋体" w:hAnsi="宋体" w:eastAsia="宋体" w:cs="宋体"/>
                <w:bCs/>
                <w:color w:val="000000"/>
                <w:sz w:val="21"/>
                <w:szCs w:val="21"/>
                <w:highlight w:val="none"/>
              </w:rPr>
            </w:pPr>
            <w:r>
              <w:rPr>
                <w:rFonts w:hint="eastAsia" w:asciiTheme="minorEastAsia" w:hAnsiTheme="minorEastAsia"/>
                <w:sz w:val="21"/>
                <w:szCs w:val="21"/>
                <w:highlight w:val="none"/>
                <w:lang w:val="en-US" w:eastAsia="zh-CN"/>
              </w:rPr>
              <w:t xml:space="preserve">4</w:t>
            </w:r>
            <w:r>
              <w:rPr>
                <w:rFonts w:hint="eastAsia" w:asciiTheme="minorEastAsia" w:hAnsiTheme="minorEastAsia"/>
                <w:sz w:val="21"/>
                <w:szCs w:val="21"/>
                <w:highlight w:val="none"/>
                <w:lang w:val="en-US"/>
              </w:rPr>
              <w:t xml:space="preserve">2</w:t>
            </w:r>
            <w:r/>
          </w:p>
        </w:tc>
        <w:tc>
          <w:tcPr>
            <w:tcW w:w="1425" w:type="dxa"/>
            <w:vAlign w:val="center"/>
            <w:textDirection w:val="lrTb"/>
            <w:noWrap w:val="false"/>
          </w:tcPr>
          <w:p>
            <w:pPr>
              <w:pStyle w:val="663"/>
              <w:jc w:val="center"/>
              <w:spacing w:beforeAutospacing="0" w:afterAutospacing="0"/>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4"/>
        </w:trPr>
        <w:tc>
          <w:tcPr>
            <w:gridSpan w:val="8"/>
            <w:tcW w:w="11304" w:type="dxa"/>
            <w:vAlign w:val="center"/>
            <w:textDirection w:val="lrTb"/>
            <w:noWrap w:val="false"/>
          </w:tcPr>
          <w:p>
            <w:pPr>
              <w:pStyle w:val="663"/>
              <w:jc w:val="center"/>
              <w:spacing w:beforeAutospacing="0" w:afterAutospacing="0"/>
              <w:rPr>
                <w:rFonts w:hint="eastAsia" w:ascii="宋体" w:hAnsi="宋体" w:eastAsia="宋体" w:cs="宋体"/>
                <w:bCs/>
                <w:color w:val="000000"/>
                <w:sz w:val="21"/>
                <w:szCs w:val="21"/>
                <w:lang w:eastAsia="zh-CN"/>
              </w:rPr>
            </w:pPr>
            <w:r>
              <w:rPr>
                <w:rFonts w:hint="eastAsia" w:ascii="宋体" w:hAnsi="宋体" w:eastAsia="宋体" w:cs="宋体"/>
                <w:color w:val="000000"/>
                <w:sz w:val="21"/>
                <w:szCs w:val="21"/>
              </w:rPr>
              <w:t xml:space="preserve">投标总报价：</w:t>
            </w:r>
            <w:r>
              <w:rPr>
                <w:rFonts w:hint="eastAsia" w:ascii="宋体" w:hAnsi="宋体" w:eastAsia="宋体" w:cs="宋体"/>
                <w:color w:val="000000"/>
                <w:sz w:val="21"/>
                <w:szCs w:val="21"/>
                <w:lang w:val="en-US" w:eastAsia="zh-CN"/>
              </w:rPr>
              <w:t xml:space="preserve"> 大写                     </w:t>
            </w:r>
            <w:r>
              <w:rPr>
                <w:rFonts w:hint="eastAsia" w:ascii="宋体" w:hAnsi="宋体" w:eastAsia="宋体" w:cs="宋体"/>
                <w:color w:val="000000"/>
                <w:sz w:val="21"/>
                <w:szCs w:val="21"/>
              </w:rPr>
              <w:t xml:space="preserve">元</w:t>
            </w:r>
            <w:r/>
          </w:p>
        </w:tc>
        <w:tc>
          <w:tcPr>
            <w:tcW w:w="2287" w:type="dxa"/>
            <w:vAlign w:val="center"/>
            <w:textDirection w:val="lrTb"/>
            <w:noWrap w:val="false"/>
          </w:tcPr>
          <w:p>
            <w:pPr>
              <w:pStyle w:val="663"/>
              <w:jc w:val="center"/>
              <w:spacing w:beforeAutospacing="0" w:afterAutospacing="0"/>
              <w:rPr>
                <w:rFonts w:ascii="宋体" w:hAnsi="宋体" w:eastAsia="宋体" w:cs="宋体"/>
                <w:bCs/>
                <w:color w:val="000000"/>
                <w:sz w:val="21"/>
                <w:szCs w:val="21"/>
              </w:rPr>
            </w:pPr>
            <w:r>
              <w:rPr>
                <w:rFonts w:ascii="宋体" w:hAnsi="宋体" w:eastAsia="宋体" w:cs="宋体"/>
                <w:bCs/>
                <w:color w:val="000000"/>
                <w:sz w:val="21"/>
                <w:szCs w:val="21"/>
              </w:rPr>
            </w:r>
            <w:r/>
          </w:p>
        </w:tc>
      </w:tr>
      <w:tr>
        <w:trPr>
          <w:jc w:val="center"/>
          <w:trHeight w:val="594"/>
        </w:trPr>
        <w:tc>
          <w:tcPr>
            <w:gridSpan w:val="9"/>
            <w:tcW w:w="13591" w:type="dxa"/>
            <w:vAlign w:val="center"/>
            <w:textDirection w:val="lrTb"/>
            <w:noWrap w:val="false"/>
          </w:tcPr>
          <w:p>
            <w:pPr>
              <w:pStyle w:val="663"/>
              <w:jc w:val="center"/>
              <w:spacing w:beforeAutospacing="0" w:afterAutospacing="0"/>
              <w:rPr>
                <w:rFonts w:ascii="宋体" w:hAnsi="宋体" w:eastAsia="宋体" w:cs="宋体"/>
                <w:bCs/>
                <w:color w:val="auto"/>
                <w:sz w:val="21"/>
                <w:szCs w:val="21"/>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tc>
      </w:tr>
    </w:tbl>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cstheme="minorEastAsia"/>
          <w:color w:val="auto"/>
          <w:sz w:val="21"/>
          <w:szCs w:val="21"/>
        </w:rPr>
        <w:t xml:space="preserve">备注：1.投标报价采用总承包方式，“投标总报价”应包括①投标人负责为完成本次投标所有货物（含附配件）的采购、包装、运输、安装、调试、验收、售后服务、运维服务等所需的一切费用，包括但不限于：货物（含附配件）的价格、包装费、</w:t>
      </w:r>
      <w:r>
        <w:rPr>
          <w:rFonts w:hint="eastAsia" w:asciiTheme="minorEastAsia" w:hAnsiTheme="minorEastAsia" w:cstheme="minorEastAsia"/>
          <w:color w:val="auto"/>
          <w:sz w:val="21"/>
          <w:szCs w:val="21"/>
        </w:rPr>
        <w:t xml:space="preserve">运输费、装卸费、保险费、安装费、调试费、验收费、技术服务费、检测费、售后服务费、运维服务费、招标代理服务费、投标费用、管理费、税金、利润；②各类风险费、不可预见费及其他一切相关费用等所有费用。除中标价外，采购单位不再支付其他任何费用。2.“投标分项报价表”中“投标总报价”数额应当与“开标一览表”中“投标总报价”数额一致。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63"/>
        <w:ind w:firstLine="480"/>
        <w:jc w:val="both"/>
        <w:keepLines w:val="0"/>
        <w:keepNext w:val="0"/>
        <w:pageBreakBefore w:val="0"/>
        <w:spacing w:beforeAutospacing="0" w:afterAutospacing="0" w:line="380" w:lineRule="exact"/>
        <w:widowControl w:val="off"/>
        <w:rPr>
          <w:highlight w:val="none"/>
        </w:rPr>
      </w:pPr>
      <w:r>
        <w:rPr>
          <w:rFonts w:hint="eastAsia" w:ascii="宋体" w:hAnsi="宋体" w:eastAsia="宋体" w:cs="宋体"/>
          <w:color w:val="auto"/>
          <w:highlight w:val="none"/>
        </w:rPr>
        <w:t xml:space="preserve">                          </w:t>
      </w:r>
      <w:r>
        <w:rPr>
          <w:rFonts w:hint="eastAsia" w:ascii="宋体" w:hAnsi="宋体" w:eastAsia="宋体" w:cs="宋体"/>
          <w:color w:val="000000"/>
          <w:highlight w:val="none"/>
        </w:rPr>
        <w:t xml:space="preserve">                </w:t>
      </w:r>
      <w:r/>
    </w:p>
    <w:p>
      <w:pPr>
        <w:pStyle w:val="663"/>
        <w:ind w:firstLine="420"/>
        <w:jc w:val="center"/>
        <w:keepLines w:val="0"/>
        <w:keepNext w:val="0"/>
        <w:pageBreakBefore w:val="0"/>
        <w:spacing w:beforeAutospacing="0" w:afterAutospacing="0" w:line="380" w:lineRule="exact"/>
        <w:widowControl w:val="off"/>
        <w:tabs>
          <w:tab w:val="left" w:pos="4864" w:leader="none"/>
        </w:tabs>
        <w:rPr>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投标人全称（加盖CA电子公章）：</w:t>
      </w:r>
      <w:r/>
    </w:p>
    <w:p>
      <w:pPr>
        <w:pStyle w:val="663"/>
        <w:ind w:firstLine="420"/>
        <w:jc w:val="center"/>
        <w:keepLines w:val="0"/>
        <w:keepNext w:val="0"/>
        <w:pageBreakBefore w:val="0"/>
        <w:spacing w:beforeAutospacing="0" w:afterAutospacing="0" w:line="380" w:lineRule="exact"/>
        <w:widowControl w:val="off"/>
        <w:tabs>
          <w:tab w:val="left" w:pos="4864" w:leader="none"/>
        </w:tabs>
        <w:rPr>
          <w:rFonts w:hint="eastAsia" w:ascii="宋体" w:hAnsi="宋体" w:eastAsia="宋体" w:cs="宋体"/>
          <w:color w:val="000000"/>
          <w:sz w:val="21"/>
          <w:szCs w:val="21"/>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  日 期：</w:t>
      </w:r>
      <w:r/>
    </w:p>
    <w:p>
      <w:pPr>
        <w:pStyle w:val="663"/>
        <w:jc w:val="center"/>
        <w:spacing w:beforeAutospacing="0" w:afterAutospacing="0"/>
        <w:rPr>
          <w:rFonts w:ascii="黑体" w:hAnsi="宋体" w:eastAsia="黑体" w:cs="黑体"/>
          <w:b/>
          <w:i/>
          <w:color w:val="000000"/>
          <w:sz w:val="28"/>
          <w:szCs w:val="28"/>
          <w:u w:val="single"/>
        </w:rPr>
      </w:pPr>
      <w:r>
        <w:rPr>
          <w:i/>
          <w:iCs/>
          <w:highlight w:val="none"/>
          <w:u w:val="single"/>
        </w:rPr>
        <w:t xml:space="preserve"> </w:t>
      </w:r>
      <w:r>
        <w:rPr>
          <w:rFonts w:hint="eastAsia" w:ascii="黑体" w:hAnsi="宋体" w:eastAsia="黑体" w:cs="黑体"/>
          <w:b/>
          <w:i/>
          <w:color w:val="000000"/>
          <w:sz w:val="28"/>
          <w:szCs w:val="28"/>
          <w:u w:val="single"/>
        </w:rPr>
        <w:t xml:space="preserve">十</w:t>
      </w:r>
      <w:r>
        <w:rPr>
          <w:rFonts w:hint="eastAsia" w:ascii="黑体" w:hAnsi="宋体" w:eastAsia="黑体" w:cs="黑体"/>
          <w:b/>
          <w:i/>
          <w:color w:val="000000"/>
          <w:sz w:val="28"/>
          <w:szCs w:val="28"/>
          <w:u w:val="single"/>
          <w:lang w:val="en-US" w:eastAsia="zh-CN"/>
        </w:rPr>
        <w:t xml:space="preserve">三</w:t>
      </w:r>
      <w:r>
        <w:rPr>
          <w:rFonts w:hint="eastAsia" w:ascii="黑体" w:hAnsi="宋体" w:eastAsia="黑体" w:cs="黑体"/>
          <w:b/>
          <w:i/>
          <w:color w:val="000000"/>
          <w:sz w:val="28"/>
          <w:szCs w:val="28"/>
          <w:u w:val="single"/>
        </w:rPr>
        <w:t xml:space="preserve">、核心产品品牌一览表</w:t>
      </w:r>
      <w:r/>
    </w:p>
    <w:p>
      <w:pPr>
        <w:pStyle w:val="663"/>
        <w:jc w:val="center"/>
        <w:spacing w:beforeAutospacing="0" w:afterAutospacing="0" w:line="400" w:lineRule="exact"/>
        <w:rPr>
          <w:rFonts w:ascii="宋体" w:hAnsi="宋体" w:eastAsia="宋体" w:cs="宋体"/>
          <w:bCs/>
          <w:iCs/>
          <w:color w:val="000000"/>
          <w:sz w:val="28"/>
          <w:szCs w:val="28"/>
        </w:rPr>
      </w:pPr>
      <w:r>
        <w:rPr>
          <w:rFonts w:hint="eastAsia" w:ascii="宋体" w:hAnsi="宋体" w:eastAsia="宋体" w:cs="宋体"/>
          <w:bCs/>
          <w:iCs/>
          <w:color w:val="000000"/>
          <w:sz w:val="28"/>
          <w:szCs w:val="28"/>
        </w:rPr>
        <w:t xml:space="preserve">核心产品品牌一览表</w:t>
      </w:r>
      <w:r/>
    </w:p>
    <w:tbl>
      <w:tblPr>
        <w:tblStyle w:val="665"/>
        <w:tblpPr w:horzAnchor="page" w:tblpXSpec="center" w:vertAnchor="text" w:tblpY="293"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59"/>
        <w:gridCol w:w="1941"/>
        <w:gridCol w:w="2149"/>
      </w:tblGrid>
      <w:tr>
        <w:trPr>
          <w:jc w:val="cente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规格或型号</w:t>
            </w:r>
            <w:r/>
          </w:p>
        </w:tc>
      </w:tr>
      <w:tr>
        <w:trPr>
          <w:jc w:val="cente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textDirection w:val="lrTb"/>
            <w:noWrap w:val="false"/>
          </w:tcPr>
          <w:p>
            <w:pP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textDirection w:val="lrTb"/>
            <w:noWrap w:val="false"/>
          </w:tcPr>
          <w:p>
            <w:pPr>
              <w:jc w:val="center"/>
              <w:spacing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pStyle w:val="663"/>
        <w:ind w:firstLine="480"/>
        <w:jc w:val="both"/>
        <w:spacing w:beforeAutospacing="0" w:afterAutospacing="0"/>
      </w:pPr>
      <w:r/>
      <w:r/>
    </w:p>
    <w:p>
      <w:pPr>
        <w:pStyle w:val="663"/>
        <w:ind w:firstLine="4200"/>
        <w:jc w:val="both"/>
        <w:spacing w:beforeAutospacing="0" w:afterAutospacing="0" w:line="400" w:lineRule="exact"/>
        <w:rPr>
          <w:sz w:val="21"/>
          <w:szCs w:val="21"/>
        </w:rPr>
      </w:pPr>
      <w:r>
        <w:rPr>
          <w:rFonts w:hint="eastAsia" w:ascii="宋体" w:hAnsi="宋体" w:eastAsia="宋体" w:cs="宋体"/>
          <w:color w:val="000000"/>
          <w:sz w:val="21"/>
          <w:szCs w:val="21"/>
        </w:rPr>
        <w:t xml:space="preserve">投标人全称（加盖CA电子签章）：</w:t>
      </w:r>
      <w:r/>
    </w:p>
    <w:p>
      <w:pPr>
        <w:pStyle w:val="663"/>
        <w:ind w:firstLine="480"/>
        <w:jc w:val="both"/>
        <w:spacing w:beforeAutospacing="0" w:afterAutospacing="0"/>
      </w:pPr>
      <w:r/>
      <w:r/>
    </w:p>
    <w:p>
      <w:pPr>
        <w:pStyle w:val="663"/>
        <w:ind w:firstLine="420"/>
        <w:jc w:val="both"/>
        <w:spacing w:beforeAutospacing="0" w:afterAutospacing="0" w:line="400" w:lineRule="exact"/>
      </w:pPr>
      <w:r>
        <w:rPr>
          <w:rFonts w:hint="eastAsia" w:ascii="宋体" w:hAnsi="宋体" w:eastAsia="宋体" w:cs="宋体"/>
          <w:sz w:val="21"/>
          <w:szCs w:val="21"/>
        </w:rPr>
        <w:t xml:space="preserve">注：投标人须按照表格要求明确填写所投“核心产品”的品牌，不得填报“/”“无”等内容，否则视为无效投标。</w:t>
      </w:r>
      <w:r/>
    </w:p>
    <w:p>
      <w:pPr>
        <w:pStyle w:val="663"/>
        <w:jc w:val="both"/>
        <w:spacing w:beforeAutospacing="0" w:afterAutospacing="0"/>
      </w:p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r>
      <w:r/>
    </w:p>
    <w:p>
      <w:pPr>
        <w:pStyle w:val="663"/>
        <w:jc w:val="center"/>
        <w:spacing w:beforeAutospacing="0" w:afterAutospacing="0"/>
        <w:rPr>
          <w:i/>
          <w:iCs/>
          <w:highlight w:val="none"/>
          <w:u w:val="single"/>
        </w:rPr>
      </w:pPr>
      <w:r>
        <w:rPr>
          <w:i/>
          <w:iCs/>
          <w:highlight w:val="none"/>
          <w:u w:val="single"/>
        </w:rPr>
        <w:t xml:space="preserve"> </w:t>
      </w:r>
      <w:r>
        <w:rPr>
          <w:rFonts w:hint="eastAsia" w:ascii="黑体" w:hAnsi="宋体" w:eastAsia="黑体" w:cs="黑体"/>
          <w:b/>
          <w:i/>
          <w:iCs/>
          <w:color w:val="000000"/>
          <w:sz w:val="32"/>
          <w:szCs w:val="32"/>
          <w:highlight w:val="none"/>
          <w:u w:val="single"/>
        </w:rPr>
        <w:t xml:space="preserve">十</w:t>
      </w:r>
      <w:r>
        <w:rPr>
          <w:rFonts w:hint="eastAsia" w:ascii="黑体" w:hAnsi="宋体" w:eastAsia="黑体" w:cs="黑体"/>
          <w:b/>
          <w:i/>
          <w:iCs/>
          <w:color w:val="000000"/>
          <w:sz w:val="32"/>
          <w:szCs w:val="32"/>
          <w:highlight w:val="none"/>
          <w:u w:val="single"/>
          <w:lang w:val="en-US" w:eastAsia="zh-CN"/>
        </w:rPr>
        <w:t xml:space="preserve">四</w:t>
      </w:r>
      <w:r>
        <w:rPr>
          <w:rFonts w:hint="eastAsia" w:ascii="黑体" w:hAnsi="宋体" w:eastAsia="黑体" w:cs="黑体"/>
          <w:b/>
          <w:i/>
          <w:iCs/>
          <w:color w:val="000000"/>
          <w:sz w:val="32"/>
          <w:szCs w:val="32"/>
          <w:highlight w:val="none"/>
          <w:u w:val="single"/>
        </w:rPr>
        <w:t xml:space="preserve">、技术要求响应及偏离表</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bl>
    <w:p>
      <w:pPr>
        <w:pStyle w:val="6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both"/>
        <w:spacing w:beforeAutospacing="0" w:afterAutospacing="0"/>
        <w:rPr>
          <w:highlight w:val="none"/>
        </w:rPr>
      </w:pPr>
      <w:r>
        <w:rPr>
          <w:highlight w:val="none"/>
        </w:rPr>
        <w:t xml:space="preserve"> </w:t>
      </w:r>
      <w:r/>
    </w:p>
    <w:p>
      <w:pPr>
        <w:pStyle w:val="663"/>
        <w:jc w:val="center"/>
        <w:spacing w:beforeAutospacing="0" w:afterAutospacing="0"/>
        <w:rPr>
          <w:i/>
          <w:iCs/>
          <w:highlight w:val="none"/>
          <w:u w:val="single"/>
        </w:rPr>
      </w:pPr>
      <w:r/>
      <w:bookmarkStart w:id="179" w:name="_Hlt26955054"/>
      <w:r>
        <w:rPr>
          <w:rFonts w:hint="eastAsia" w:ascii="黑体" w:hAnsi="宋体" w:eastAsia="黑体" w:cs="黑体"/>
          <w:b/>
          <w:i/>
          <w:iCs/>
          <w:color w:val="000000"/>
          <w:sz w:val="32"/>
          <w:szCs w:val="32"/>
          <w:highlight w:val="none"/>
          <w:u w:val="single"/>
        </w:rPr>
        <w:t xml:space="preserve">十</w:t>
      </w:r>
      <w:r>
        <w:rPr>
          <w:rFonts w:hint="eastAsia" w:ascii="黑体" w:hAnsi="宋体" w:eastAsia="黑体" w:cs="黑体"/>
          <w:b/>
          <w:i/>
          <w:iCs/>
          <w:color w:val="000000"/>
          <w:sz w:val="32"/>
          <w:szCs w:val="32"/>
          <w:highlight w:val="none"/>
          <w:u w:val="single"/>
          <w:lang w:val="en-US" w:eastAsia="zh-CN"/>
        </w:rPr>
        <w:t xml:space="preserve">五</w:t>
      </w:r>
      <w:r>
        <w:rPr>
          <w:rFonts w:hint="eastAsia" w:ascii="黑体" w:hAnsi="宋体" w:eastAsia="黑体" w:cs="黑体"/>
          <w:b/>
          <w:i/>
          <w:iCs/>
          <w:color w:val="000000"/>
          <w:sz w:val="32"/>
          <w:szCs w:val="32"/>
          <w:highlight w:val="none"/>
          <w:u w:val="single"/>
        </w:rPr>
        <w:t xml:space="preserve">、商务要求响应及偏离表</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bookmarkStart w:id="180" w:name="_Hlt26782999"/>
            <w:r/>
            <w:bookmarkStart w:id="181" w:name="_Hlt26671372"/>
            <w:r/>
            <w:bookmarkStart w:id="182" w:name="_Hlt26955064"/>
            <w:r/>
            <w:bookmarkStart w:id="183" w:name="_Hlt26580838"/>
            <w:r/>
            <w:bookmarkStart w:id="184" w:name="_Hlt26609391"/>
            <w:r/>
            <w:bookmarkStart w:id="185" w:name="_Hlt26955056"/>
            <w:r/>
            <w:bookmarkStart w:id="186" w:name="_Hlt26671343"/>
            <w:r/>
            <w:bookmarkStart w:id="187" w:name="_Hlt24879081"/>
            <w:r>
              <w:rPr>
                <w:rFonts w:hint="eastAsia" w:ascii="宋体" w:hAnsi="宋体" w:eastAsia="宋体" w:cs="宋体"/>
                <w:color w:val="000000"/>
                <w:highlight w:val="none"/>
              </w:rPr>
              <w:t xml:space="preserve">序号</w:t>
            </w:r>
            <w:bookmarkEnd w:id="180"/>
            <w:bookmarkEnd w:id="181"/>
            <w:bookmarkEnd w:id="182"/>
            <w:bookmarkEnd w:id="183"/>
            <w:bookmarkEnd w:id="184"/>
            <w:bookmarkEnd w:id="185"/>
            <w:bookmarkEnd w:id="186"/>
            <w:bookmarkEnd w:id="187"/>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3"/>
              <w:jc w:val="center"/>
              <w:spacing w:beforeAutospacing="0" w:afterAutospacing="0"/>
              <w:rPr>
                <w:highlight w:val="none"/>
              </w:rPr>
            </w:pPr>
            <w:r>
              <w:rPr>
                <w:highlight w:val="none"/>
              </w:rPr>
              <w:t xml:space="preserve"> </w:t>
            </w:r>
            <w:r/>
          </w:p>
        </w:tc>
      </w:tr>
    </w:tbl>
    <w:p>
      <w:pPr>
        <w:pStyle w:val="6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3"/>
        <w:jc w:val="both"/>
        <w:spacing w:beforeAutospacing="0" w:afterAutospacing="0" w:line="480" w:lineRule="auto"/>
        <w:rPr>
          <w:highlight w:val="none"/>
        </w:rPr>
      </w:pPr>
      <w:r>
        <w:rPr>
          <w:highlight w:val="none"/>
        </w:rPr>
        <w:t xml:space="preserve"> </w:t>
      </w:r>
      <w:r/>
    </w:p>
    <w:p>
      <w:pPr>
        <w:pStyle w:val="663"/>
        <w:jc w:val="both"/>
        <w:spacing w:beforeAutospacing="0" w:afterAutospacing="0" w:line="480" w:lineRule="auto"/>
        <w:rPr>
          <w:highlight w:val="none"/>
        </w:rPr>
      </w:pPr>
      <w:r>
        <w:rPr>
          <w:highlight w:val="none"/>
        </w:rPr>
        <w:t xml:space="preserve"> </w:t>
      </w:r>
      <w:r/>
    </w:p>
    <w:p>
      <w:pPr>
        <w:pStyle w:val="663"/>
        <w:jc w:val="center"/>
        <w:spacing w:beforeAutospacing="0" w:afterAutospacing="0"/>
        <w:rPr>
          <w:highlight w:val="none"/>
        </w:rPr>
      </w:pPr>
      <w:r/>
      <w:bookmarkStart w:id="188" w:name="_Toc462564146"/>
      <w:r/>
      <w:bookmarkStart w:id="189" w:name="_Hlt26609389"/>
      <w:r/>
      <w:bookmarkStart w:id="190" w:name="_格式2__法定代表人授权书"/>
      <w:r/>
      <w:bookmarkStart w:id="191" w:name="_Hlt26955066"/>
      <w:r/>
      <w:bookmarkStart w:id="192" w:name="_Hlt26671374"/>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rPr>
      </w:pPr>
      <w:r>
        <w:rPr>
          <w:highlight w:val="none"/>
        </w:rPr>
        <w:t xml:space="preserve"> </w:t>
      </w:r>
      <w:r/>
    </w:p>
    <w:p>
      <w:pPr>
        <w:pStyle w:val="663"/>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663"/>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6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tbl>
      <w:tblPr>
        <w:tblStyle w:val="65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63"/>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663"/>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63"/>
        <w:ind w:firstLine="480"/>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highlight w:val="none"/>
        </w:rPr>
        <w:t xml:space="preserve"> </w:t>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ind w:firstLine="480"/>
        <w:jc w:val="both"/>
        <w:spacing w:beforeAutospacing="0" w:afterAutospacing="0"/>
        <w:rPr>
          <w:highlight w:val="none"/>
        </w:rPr>
      </w:pPr>
      <w:r>
        <w:rPr>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hint="eastAsia" w:ascii="宋体" w:hAnsi="宋体" w:eastAsia="宋体" w:cs="宋体"/>
          <w:b/>
          <w:bCs/>
          <w:i/>
          <w:iCs/>
          <w:color w:val="000000"/>
          <w:sz w:val="32"/>
          <w:szCs w:val="32"/>
          <w:highlight w:val="none"/>
          <w:u w:val="single"/>
        </w:rPr>
      </w:pPr>
      <w:r>
        <w:rPr>
          <w:b/>
          <w:bCs/>
          <w:i/>
          <w:iCs/>
          <w:highlight w:val="none"/>
          <w:u w:val="single"/>
        </w:rPr>
        <w:tab/>
      </w:r>
      <w:r>
        <w:rPr>
          <w:rFonts w:hint="eastAsia" w:ascii="宋体" w:hAnsi="宋体" w:eastAsia="宋体" w:cs="宋体"/>
          <w:b/>
          <w:bCs/>
          <w:i/>
          <w:iCs/>
          <w:color w:val="000000"/>
          <w:sz w:val="32"/>
          <w:szCs w:val="32"/>
          <w:highlight w:val="none"/>
          <w:u w:val="single"/>
        </w:rPr>
        <w:t xml:space="preserve">十</w:t>
      </w:r>
      <w:r>
        <w:rPr>
          <w:rFonts w:hint="eastAsia" w:ascii="宋体" w:hAnsi="宋体" w:eastAsia="宋体" w:cs="宋体"/>
          <w:b/>
          <w:bCs/>
          <w:i/>
          <w:iCs/>
          <w:color w:val="000000"/>
          <w:sz w:val="32"/>
          <w:szCs w:val="32"/>
          <w:highlight w:val="none"/>
          <w:u w:val="single"/>
          <w:lang w:val="en-US" w:eastAsia="zh-CN"/>
        </w:rPr>
        <w:t xml:space="preserve">七</w:t>
      </w:r>
      <w:r>
        <w:rPr>
          <w:rFonts w:hint="eastAsia" w:ascii="宋体" w:hAnsi="宋体" w:eastAsia="宋体" w:cs="宋体"/>
          <w:b/>
          <w:bCs/>
          <w:i/>
          <w:iCs/>
          <w:color w:val="000000"/>
          <w:sz w:val="32"/>
          <w:szCs w:val="32"/>
          <w:highlight w:val="none"/>
          <w:u w:val="single"/>
        </w:rPr>
        <w:t xml:space="preserve">、项目实施方案、售后服务方案、安装与调试方案、</w:t>
      </w:r>
      <w:r/>
    </w:p>
    <w:p>
      <w:pPr>
        <w:jc w:val="center"/>
        <w:spacing w:before="50" w:after="50"/>
        <w:widowControl/>
        <w:rPr>
          <w:rFonts w:hint="eastAsia" w:ascii="宋体" w:hAnsi="宋体" w:eastAsia="宋体" w:cs="宋体"/>
          <w:b/>
          <w:bCs/>
          <w:i/>
          <w:iCs/>
          <w:color w:val="000000"/>
          <w:sz w:val="32"/>
          <w:szCs w:val="32"/>
          <w:highlight w:val="none"/>
          <w:u w:val="single"/>
        </w:rPr>
      </w:pPr>
      <w:r>
        <w:rPr>
          <w:rFonts w:hint="eastAsia" w:ascii="宋体" w:hAnsi="宋体" w:eastAsia="宋体" w:cs="宋体"/>
          <w:b/>
          <w:bCs/>
          <w:i/>
          <w:iCs/>
          <w:color w:val="000000"/>
          <w:sz w:val="32"/>
          <w:szCs w:val="32"/>
          <w:highlight w:val="none"/>
          <w:u w:val="single"/>
        </w:rPr>
        <w:t xml:space="preserve">验收方案等</w:t>
      </w:r>
      <w:r/>
    </w:p>
    <w:p>
      <w:pPr>
        <w:jc w:val="center"/>
        <w:spacing w:before="50" w:after="50"/>
        <w:widowControl/>
        <w:rPr>
          <w:rFonts w:ascii="宋体" w:hAnsi="宋体" w:eastAsia="宋体" w:cs="宋体"/>
          <w:sz w:val="24"/>
          <w:highlight w:val="none"/>
        </w:rPr>
      </w:pPr>
      <w:r>
        <w:rPr>
          <w:rFonts w:ascii="宋体" w:hAnsi="宋体" w:eastAsia="宋体" w:cs="宋体"/>
          <w:sz w:val="24"/>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6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numPr>
          <w:ilvl w:val="0"/>
          <w:numId w:val="15"/>
        </w:numPr>
        <w:jc w:val="center"/>
        <w:spacing w:line="499" w:lineRule="atLeast"/>
        <w:widowControl/>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t xml:space="preserve">盐城市政府采购事前信用承诺书、招标投标廉洁自律承诺保证书</w:t>
      </w:r>
      <w:r/>
    </w:p>
    <w:p>
      <w:pPr>
        <w:pStyle w:val="675"/>
        <w:jc w:val="center"/>
        <w:spacing w:before="0" w:beforeAutospacing="0" w:after="0" w:afterAutospacing="0" w:line="400" w:lineRule="exact"/>
        <w:rPr>
          <w:rFonts w:hint="eastAsia" w:ascii="宋体" w:hAnsi="宋体" w:eastAsia="宋体" w:cs="宋体"/>
          <w:i/>
          <w:iCs/>
          <w:color w:val="000000"/>
          <w:sz w:val="32"/>
          <w:szCs w:val="32"/>
          <w:highlight w:val="none"/>
          <w:u w:val="single"/>
        </w:rPr>
        <w:outlineLvl w:val="1"/>
      </w:pPr>
      <w:r>
        <w:rPr>
          <w:rFonts w:hint="eastAsia" w:ascii="黑体" w:hAnsi="黑体" w:eastAsia="黑体" w:cs="黑体"/>
          <w:iCs/>
          <w:sz w:val="28"/>
          <w:szCs w:val="28"/>
        </w:rPr>
        <w:t xml:space="preserve">1.盐城市政府采购事前信用承诺书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63"/>
        <w:jc w:val="center"/>
        <w:spacing w:beforeAutospacing="0" w:afterAutospacing="0"/>
        <w:rPr>
          <w:highlight w:val="none"/>
        </w:rPr>
      </w:pPr>
      <w:r>
        <w:rPr>
          <w:highlight w:val="none"/>
        </w:rPr>
      </w:r>
      <w:r/>
    </w:p>
    <w:p>
      <w:pPr>
        <w:pStyle w:val="663"/>
        <w:jc w:val="center"/>
        <w:spacing w:beforeAutospacing="0" w:afterAutospacing="0"/>
        <w:rPr>
          <w:highlight w:val="none"/>
        </w:rPr>
      </w:pPr>
      <w:r>
        <w:rPr>
          <w:highlight w:val="none"/>
        </w:rPr>
      </w:r>
      <w:r/>
    </w:p>
    <w:p>
      <w:pPr>
        <w:jc w:val="center"/>
        <w:spacing w:line="400" w:lineRule="exact"/>
        <w:widowControl/>
        <w:rPr>
          <w:rFonts w:ascii="黑体" w:hAnsi="黑体" w:eastAsia="黑体" w:cs="黑体"/>
          <w:iCs/>
          <w:sz w:val="28"/>
          <w:szCs w:val="28"/>
        </w:rPr>
      </w:pPr>
      <w:r>
        <w:rPr>
          <w:rFonts w:hint="eastAsia" w:ascii="黑体" w:hAnsi="黑体" w:eastAsia="黑体" w:cs="黑体"/>
          <w:iCs/>
          <w:sz w:val="28"/>
          <w:szCs w:val="28"/>
        </w:rPr>
        <w:t xml:space="preserve">2.招标投标廉洁自律承诺保证书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为了保证此次采购交易活动正常有序进行，有效遏制虚假招投标和围标、串标等问题的发生，确保整个招投标过程公开、公平、公正，我们特向招标单位承诺：</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1.自觉遵守国家法律法规及亭湖区财政局、亭湖区公共资源交易中心的各项制度。限额标准以下的，自觉遵守采购单位的内部控制制度。</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2.不使用不正当手段妨碍、排挤其它投标单位或串通投标。按照招标文件规定的方式组织投标，不组织、不参与围标、串标。保证不弄虚作假，协助他人骗取中标。</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3.不向涉及招标的部门及个人支付好处费、介绍费等。发现相关人员在招标过程中有索要财物，或其他违纪违规行为的，及时向监督管理部门和纪检监察部门举报。</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4.根据国家有关政府采购规定进行质疑、投诉、诉讼。采购过程中有疑问的，在规定时间内向采购人提出质疑。对质疑答复不满意的，在规定时间内向有关采购监督管理部门提出投诉。对投诉处理不服或监督管理部门逾期未作处理的，依法申请行政复议或者向人民法院提出行政诉讼。</w:t>
      </w:r>
      <w:r/>
    </w:p>
    <w:p>
      <w:pPr>
        <w:ind w:firstLine="420"/>
        <w:jc w:val="left"/>
        <w:spacing w:line="400" w:lineRule="exact"/>
        <w:widowControl/>
        <w:rPr>
          <w:rFonts w:asciiTheme="minorEastAsia" w:hAnsiTheme="minorEastAsia"/>
          <w:szCs w:val="21"/>
        </w:rPr>
      </w:pPr>
      <w:r>
        <w:rPr>
          <w:rFonts w:hint="eastAsia" w:asciiTheme="minorEastAsia" w:hAnsiTheme="minorEastAsia"/>
          <w:szCs w:val="21"/>
        </w:rPr>
        <w:t xml:space="preserve">5.本承诺书对我方具有法律效力。本承诺签署之日起生效。</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单位名称（盖章）：</w:t>
      </w:r>
      <w:r/>
    </w:p>
    <w:p>
      <w:pPr>
        <w:ind w:firstLine="4200"/>
        <w:jc w:val="left"/>
        <w:spacing w:line="400" w:lineRule="exact"/>
        <w:widowControl/>
        <w:rPr>
          <w:rFonts w:asciiTheme="minorEastAsia" w:hAnsiTheme="minorEastAsia"/>
          <w:szCs w:val="21"/>
        </w:rPr>
      </w:pPr>
      <w:r>
        <w:rPr>
          <w:rFonts w:asciiTheme="minorEastAsia" w:hAnsiTheme="minorEastAsia"/>
          <w:szCs w:val="21"/>
        </w:rPr>
      </w:r>
      <w:r/>
    </w:p>
    <w:p>
      <w:pPr>
        <w:ind w:firstLine="4200"/>
        <w:jc w:val="left"/>
        <w:spacing w:line="400" w:lineRule="exact"/>
        <w:widowControl/>
        <w:rPr>
          <w:rFonts w:asciiTheme="minorEastAsia" w:hAnsiTheme="minorEastAsia"/>
          <w:szCs w:val="21"/>
        </w:rPr>
      </w:pPr>
      <w:r>
        <w:rPr>
          <w:rFonts w:hint="eastAsia" w:asciiTheme="minorEastAsia" w:hAnsiTheme="minorEastAsia"/>
          <w:szCs w:val="21"/>
        </w:rPr>
        <w:t xml:space="preserve">法定代表人或授权代理人（签名）：</w:t>
      </w:r>
      <w:r/>
    </w:p>
    <w:p>
      <w:pPr>
        <w:ind w:firstLine="420"/>
        <w:jc w:val="left"/>
        <w:spacing w:line="400" w:lineRule="exact"/>
        <w:widowControl/>
        <w:rPr>
          <w:rFonts w:asciiTheme="minorEastAsia" w:hAnsiTheme="minorEastAsia"/>
          <w:szCs w:val="21"/>
        </w:rPr>
      </w:pPr>
      <w:r>
        <w:rPr>
          <w:rFonts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t xml:space="preserve">年  月  日</w:t>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ind w:firstLine="4830"/>
        <w:jc w:val="left"/>
        <w:spacing w:line="400" w:lineRule="exact"/>
        <w:widowControl/>
        <w:rPr>
          <w:rFonts w:hint="eastAsia" w:asciiTheme="minorEastAsia" w:hAnsiTheme="minorEastAsia"/>
          <w:szCs w:val="21"/>
        </w:rPr>
      </w:pPr>
      <w:r>
        <w:rPr>
          <w:rFonts w:hint="eastAsia" w:asciiTheme="minorEastAsia" w:hAnsiTheme="minorEastAsia"/>
          <w:szCs w:val="21"/>
        </w:rPr>
      </w:r>
      <w:r/>
    </w:p>
    <w:p>
      <w:pPr>
        <w:pStyle w:val="663"/>
        <w:jc w:val="center"/>
        <w:spacing w:beforeAutospacing="0" w:afterAutospacing="0"/>
        <w:rPr>
          <w:highlight w:val="none"/>
        </w:rPr>
      </w:pPr>
      <w:r>
        <w:rPr>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69"/>
      <w:bookmarkEnd w:id="172"/>
      <w:bookmarkEnd w:id="173"/>
      <w:bookmarkEnd w:id="174"/>
      <w:bookmarkEnd w:id="175"/>
      <w:bookmarkEnd w:id="176"/>
      <w:bookmarkEnd w:id="177"/>
      <w:bookmarkEnd w:id="178"/>
      <w:bookmarkEnd w:id="179"/>
      <w:bookmarkEnd w:id="188"/>
      <w:bookmarkEnd w:id="189"/>
      <w:bookmarkEnd w:id="190"/>
      <w:bookmarkEnd w:id="191"/>
      <w:bookmarkEnd w:id="192"/>
      <w:r/>
    </w:p>
    <w:p>
      <w:pPr>
        <w:pStyle w:val="66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63"/>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3"/>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3"/>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 w:numId="7">
    <w:abstractNumId w:val="7"/>
  </w:num>
  <w:num w:numId="8">
    <w:abstractNumId w:val="8"/>
  </w:num>
  <w:num w:numId="9">
    <w:abstractNumId w:val="11"/>
  </w:num>
  <w:num w:numId="10">
    <w:abstractNumId w:val="9"/>
  </w:num>
  <w:num w:numId="11">
    <w:abstractNumId w:val="13"/>
  </w:num>
  <w:num w:numId="12">
    <w:abstractNumId w:val="6"/>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5"/>
    <w:link w:val="12"/>
    <w:uiPriority w:val="9"/>
    <w:rPr>
      <w:rFonts w:ascii="Arial" w:hAnsi="Arial" w:eastAsia="Arial" w:cs="Arial"/>
      <w:sz w:val="40"/>
      <w:szCs w:val="40"/>
    </w:rPr>
  </w:style>
  <w:style w:type="character" w:styleId="15">
    <w:name w:val="Heading 2 Char"/>
    <w:basedOn w:val="655"/>
    <w:link w:val="65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5"/>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1"/>
    <w:uiPriority w:val="99"/>
  </w:style>
  <w:style w:type="character" w:styleId="44">
    <w:name w:val="Footer Char"/>
    <w:basedOn w:val="655"/>
    <w:link w:val="660"/>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662"/>
    <w:uiPriority w:val="99"/>
    <w:rPr>
      <w:sz w:val="18"/>
    </w:rPr>
  </w:style>
  <w:style w:type="character" w:styleId="176">
    <w:name w:val="footnote reference"/>
    <w:basedOn w:val="655"/>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4">
    <w:name w:val="Heading 2"/>
    <w:basedOn w:val="653"/>
    <w:next w:val="6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annotation text"/>
    <w:basedOn w:val="653"/>
    <w:uiPriority w:val="0"/>
    <w:qFormat/>
    <w:pPr>
      <w:jc w:val="left"/>
    </w:pPr>
  </w:style>
  <w:style w:type="paragraph" w:styleId="658">
    <w:name w:val="Body Text"/>
    <w:basedOn w:val="653"/>
    <w:next w:val="653"/>
    <w:uiPriority w:val="0"/>
    <w:unhideWhenUsed/>
    <w:qFormat/>
    <w:pPr>
      <w:spacing w:after="120"/>
    </w:pPr>
    <w:rPr>
      <w:rFonts w:ascii="Calibri" w:hAnsi="Calibri"/>
      <w:szCs w:val="22"/>
    </w:rPr>
  </w:style>
  <w:style w:type="paragraph" w:styleId="659">
    <w:name w:val="Plain Text"/>
    <w:basedOn w:val="653"/>
    <w:uiPriority w:val="0"/>
    <w:unhideWhenUsed/>
    <w:qFormat/>
    <w:rPr>
      <w:rFonts w:ascii="宋体" w:hAnsi="Courier New" w:cs="Courier New"/>
      <w:szCs w:val="21"/>
    </w:rPr>
  </w:style>
  <w:style w:type="paragraph" w:styleId="660">
    <w:name w:val="Footer"/>
    <w:basedOn w:val="653"/>
    <w:link w:val="669"/>
    <w:uiPriority w:val="0"/>
    <w:qFormat/>
    <w:pPr>
      <w:jc w:val="left"/>
      <w:tabs>
        <w:tab w:val="center" w:pos="4153" w:leader="none"/>
        <w:tab w:val="right" w:pos="8306" w:leader="none"/>
      </w:tabs>
    </w:pPr>
    <w:rPr>
      <w:sz w:val="18"/>
      <w:szCs w:val="18"/>
    </w:rPr>
  </w:style>
  <w:style w:type="paragraph" w:styleId="661">
    <w:name w:val="Header"/>
    <w:basedOn w:val="653"/>
    <w:link w:val="668"/>
    <w:uiPriority w:val="0"/>
    <w:qFormat/>
    <w:pPr>
      <w:jc w:val="center"/>
      <w:tabs>
        <w:tab w:val="center" w:pos="4153" w:leader="none"/>
        <w:tab w:val="right" w:pos="8306" w:leader="none"/>
      </w:tabs>
      <w:pBdr>
        <w:bottom w:val="single" w:color="auto" w:sz="6" w:space="1"/>
      </w:pBdr>
    </w:pPr>
    <w:rPr>
      <w:sz w:val="18"/>
      <w:szCs w:val="18"/>
    </w:rPr>
  </w:style>
  <w:style w:type="paragraph" w:styleId="662">
    <w:name w:val="footnote text"/>
    <w:basedOn w:val="653"/>
    <w:uiPriority w:val="0"/>
    <w:unhideWhenUsed/>
    <w:qFormat/>
    <w:pPr>
      <w:jc w:val="left"/>
    </w:pPr>
    <w:rPr>
      <w:rFonts w:ascii="宋体" w:hAnsi="宋体" w:cs="宋体"/>
      <w:sz w:val="18"/>
      <w:szCs w:val="18"/>
      <w:lang w:val="zh-CN" w:bidi="zh-CN"/>
    </w:rPr>
  </w:style>
  <w:style w:type="paragraph" w:styleId="663">
    <w:name w:val="Normal (Web)"/>
    <w:basedOn w:val="653"/>
    <w:uiPriority w:val="0"/>
    <w:qFormat/>
    <w:pPr>
      <w:jc w:val="left"/>
      <w:spacing w:beforeAutospacing="1" w:afterAutospacing="1"/>
    </w:pPr>
    <w:rPr>
      <w:rFonts w:cs="Times New Roman"/>
      <w:sz w:val="24"/>
    </w:rPr>
  </w:style>
  <w:style w:type="paragraph" w:styleId="664">
    <w:name w:val="Body Text First Indent"/>
    <w:basedOn w:val="658"/>
    <w:uiPriority w:val="99"/>
    <w:unhideWhenUsed/>
    <w:qFormat/>
    <w:pPr>
      <w:ind w:firstLine="420"/>
    </w:pPr>
    <w:rPr>
      <w:rFonts w:ascii="Times New Roman" w:hAnsi="Times New Roman" w:eastAsia="宋体" w:cs="Times New Roman"/>
    </w:rPr>
  </w:style>
  <w:style w:type="table" w:styleId="665">
    <w:name w:val="Table Grid"/>
    <w:basedOn w:val="65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mphasis"/>
    <w:uiPriority w:val="0"/>
    <w:qFormat/>
    <w:rPr>
      <w:i/>
    </w:rPr>
  </w:style>
  <w:style w:type="paragraph" w:styleId="667" w:customStyle="1">
    <w:name w:val="Default"/>
    <w:basedOn w:val="653"/>
    <w:uiPriority w:val="0"/>
    <w:semiHidden/>
    <w:qFormat/>
    <w:pPr>
      <w:jc w:val="left"/>
    </w:pPr>
    <w:rPr>
      <w:rFonts w:ascii="宋体" w:hAnsi="Calibri" w:cs="宋体"/>
      <w:color w:val="000000"/>
      <w:sz w:val="24"/>
    </w:rPr>
  </w:style>
  <w:style w:type="character" w:styleId="668" w:customStyle="1">
    <w:name w:val="页眉 Char"/>
    <w:basedOn w:val="655"/>
    <w:link w:val="661"/>
    <w:uiPriority w:val="0"/>
    <w:qFormat/>
    <w:rPr>
      <w:rFonts w:asciiTheme="minorHAnsi" w:hAnsiTheme="minorHAnsi" w:eastAsiaTheme="minorEastAsia" w:cstheme="minorBidi"/>
      <w:sz w:val="18"/>
      <w:szCs w:val="18"/>
    </w:rPr>
  </w:style>
  <w:style w:type="character" w:styleId="669" w:customStyle="1">
    <w:name w:val="页脚 Char"/>
    <w:basedOn w:val="655"/>
    <w:link w:val="660"/>
    <w:uiPriority w:val="0"/>
    <w:qFormat/>
    <w:rPr>
      <w:rFonts w:asciiTheme="minorHAnsi" w:hAnsiTheme="minorHAnsi" w:eastAsiaTheme="minorEastAsia" w:cstheme="minorBidi"/>
      <w:sz w:val="18"/>
      <w:szCs w:val="18"/>
    </w:rPr>
  </w:style>
  <w:style w:type="paragraph" w:styleId="6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1" w:customStyle="1">
    <w:name w:val="页脚1"/>
    <w:basedOn w:val="653"/>
    <w:uiPriority w:val="99"/>
    <w:unhideWhenUsed/>
    <w:qFormat/>
    <w:pPr>
      <w:jc w:val="left"/>
      <w:tabs>
        <w:tab w:val="center" w:pos="4153" w:leader="none"/>
        <w:tab w:val="right" w:pos="8306" w:leader="none"/>
      </w:tabs>
    </w:pPr>
    <w:rPr>
      <w:sz w:val="18"/>
      <w:szCs w:val="18"/>
    </w:rPr>
  </w:style>
  <w:style w:type="paragraph" w:styleId="672" w:customStyle="1">
    <w:name w:val="普通正文"/>
    <w:basedOn w:val="653"/>
    <w:uiPriority w:val="0"/>
    <w:qFormat/>
    <w:pPr>
      <w:ind w:firstLine="480"/>
      <w:jc w:val="left"/>
      <w:spacing w:before="120" w:after="120" w:line="360" w:lineRule="auto"/>
    </w:pPr>
    <w:rPr>
      <w:rFonts w:ascii="Arial" w:hAnsi="Arial" w:eastAsia="等线" w:cs="Arial"/>
      <w:sz w:val="24"/>
      <w:szCs w:val="24"/>
    </w:rPr>
  </w:style>
  <w:style w:type="paragraph" w:styleId="673" w:customStyle="1">
    <w:name w:val="正文首行缩进 21"/>
    <w:basedOn w:val="674"/>
    <w:uiPriority w:val="0"/>
    <w:qFormat/>
    <w:pPr>
      <w:ind w:firstLine="420"/>
    </w:pPr>
  </w:style>
  <w:style w:type="paragraph" w:styleId="674" w:customStyle="1">
    <w:name w:val="正文文本缩进1"/>
    <w:basedOn w:val="653"/>
    <w:uiPriority w:val="0"/>
    <w:qFormat/>
    <w:pPr>
      <w:ind w:left="420"/>
      <w:spacing w:after="120"/>
    </w:pPr>
  </w:style>
  <w:style w:type="paragraph" w:styleId="675" w:customStyle="1">
    <w:name w:val="普通(网站)1"/>
    <w:basedOn w:val="653"/>
    <w:uiPriority w:val="99"/>
    <w:unhideWhenUsed/>
    <w:qFormat/>
    <w:pPr>
      <w:jc w:val="left"/>
      <w:spacing w:before="100" w:beforeAutospacing="1" w:after="100" w:afterAutospacing="1"/>
      <w:widowControl/>
    </w:pPr>
    <w:rPr>
      <w:rFonts w:ascii="宋体" w:hAnsi="宋体" w:cs="宋体"/>
      <w:sz w:val="24"/>
    </w:rPr>
  </w:style>
  <w:style w:type="numbering" w:styleId="13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瞿祝刚</cp:lastModifiedBy>
  <cp:revision>120</cp:revision>
  <dcterms:created xsi:type="dcterms:W3CDTF">2014-10-29T12:08:00Z</dcterms:created>
  <dcterms:modified xsi:type="dcterms:W3CDTF">2026-09-07T07:24:56Z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2CE725C660F74BC6B9F9F213959B39C7_13</vt:lpwstr>
  </property>
  <property fmtid="{D5CDD505-2E9C-101B-9397-08002B2CF9AE}" pid="4" name="KSOTemplateDocerSaveRecord">
    <vt:lpwstr>eyJoZGlkIjoiODgxMjJhNjMyZGY4YjdjMDgxYjcxZDFjNzgxNmI0ZjAiLCJ1c2VySWQiOiIxMjIxMDI1Nzk4In0=</vt:lpwstr>
  </property>
</Properties>
</file>