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spacing w:before="120" w:beforeAutospacing="0" w:after="120" w:afterAutospacing="0" w:line="360" w:lineRule="auto"/>
        <w:rPr>
          <w:color w:val="auto"/>
          <w:highlight w:val="none"/>
        </w:rPr>
      </w:pPr>
      <w:r>
        <w:rPr>
          <w:color w:val="auto"/>
          <w:highlight w:val="none"/>
        </w:rPr>
        <w:t xml:space="preserve"> </w:t>
      </w:r>
      <w:r/>
    </w:p>
    <w:p>
      <w:pPr>
        <w:pStyle w:val="65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65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t xml:space="preserve">竞争性磋商文件</w:t>
      </w:r>
      <w:r/>
    </w:p>
    <w:p>
      <w:pPr>
        <w:pStyle w:val="656"/>
        <w:jc w:val="center"/>
        <w:spacing w:before="120" w:beforeAutospacing="0" w:after="120" w:afterAutospacing="0" w:line="360" w:lineRule="auto"/>
        <w:rPr>
          <w:rFonts w:hint="eastAsia" w:ascii="Arial" w:hAnsi="Arial" w:cs="Arial" w:eastAsiaTheme="minorEastAsia"/>
          <w:b w:val="0"/>
          <w:bCs/>
          <w:color w:val="auto"/>
          <w:sz w:val="24"/>
          <w:szCs w:val="24"/>
          <w:highlight w:val="none"/>
          <w:lang w:val="en-US" w:eastAsia="zh-CN"/>
        </w:rPr>
      </w:pPr>
      <w:r>
        <w:rPr>
          <w:rFonts w:hint="eastAsia" w:ascii="Arial" w:hAnsi="Arial" w:cs="Arial"/>
          <w:b w:val="0"/>
          <w:bCs/>
          <w:color w:val="auto"/>
          <w:sz w:val="24"/>
          <w:szCs w:val="24"/>
          <w:highlight w:val="none"/>
          <w:lang w:val="en-US" w:eastAsia="zh-CN"/>
        </w:rPr>
        <w:t xml:space="preserve">（服务类）</w:t>
      </w:r>
      <w:r/>
    </w:p>
    <w:p>
      <w:pPr>
        <w:pStyle w:val="656"/>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56"/>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56"/>
        <w:ind w:firstLine="643"/>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射阳经开区大气环境监测点设备维修及运维项目</w:t>
      </w:r>
      <w:r/>
    </w:p>
    <w:p>
      <w:pPr>
        <w:pStyle w:val="656"/>
        <w:ind w:firstLine="643"/>
        <w:spacing w:before="120" w:beforeAutospacing="0" w:after="120" w:afterAutospacing="0" w:line="360" w:lineRule="auto"/>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lang w:eastAsia="zh-CN"/>
        </w:rPr>
        <w:t xml:space="preserve">项目编号：JSZC-320924-HXIN-C2026-0008</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jc w:val="center"/>
        <w:spacing w:before="120" w:beforeAutospacing="0" w:after="120" w:afterAutospacing="0" w:line="360" w:lineRule="auto"/>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：江苏射阳经济开发区管理委员会</w:t>
      </w:r>
      <w:r/>
    </w:p>
    <w:p>
      <w:pPr>
        <w:pStyle w:val="656"/>
        <w:jc w:val="center"/>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lang w:eastAsia="zh-CN"/>
        </w:rPr>
        <w:t xml:space="preserve">代理机构：江苏宏新工程管理咨询有限公司</w:t>
      </w:r>
      <w:r/>
    </w:p>
    <w:p>
      <w:pPr>
        <w:pStyle w:val="656"/>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6</w:t>
      </w:r>
      <w:r>
        <w:rPr>
          <w:rFonts w:ascii="Arial" w:hAnsi="Arial" w:cs="Arial"/>
          <w:b/>
          <w:color w:val="auto"/>
          <w:sz w:val="32"/>
          <w:szCs w:val="32"/>
          <w:highlight w:val="none"/>
        </w:rPr>
        <w:t xml:space="preserve">月</w:t>
      </w:r>
      <w:r/>
    </w:p>
    <w:p>
      <w:pPr>
        <w:pStyle w:val="656"/>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56"/>
        <w:jc w:val="center"/>
        <w:spacing w:before="120" w:beforeAutospacing="0" w:after="120" w:afterAutospacing="0" w:line="360" w:lineRule="auto"/>
        <w:rPr>
          <w:color w:val="auto"/>
          <w:highlight w:val="none"/>
        </w:rPr>
      </w:pPr>
      <w:r>
        <w:rPr>
          <w:color w:val="auto"/>
          <w:highlight w:val="none"/>
        </w:rPr>
        <w:t xml:space="preserve"> </w:t>
      </w:r>
      <w:r/>
    </w:p>
    <w:p>
      <w:pPr>
        <w:pStyle w:val="656"/>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479757206"/>
      <w:r/>
      <w:bookmarkStart w:id="1" w:name="_Toc16938516"/>
      <w:r/>
      <w:bookmarkStart w:id="2" w:name="_Toc523127445"/>
      <w:r/>
      <w:bookmarkStart w:id="3" w:name="_Toc513029200"/>
      <w:r/>
      <w:bookmarkStart w:id="4" w:name="_Toc120614210"/>
      <w:r/>
      <w:bookmarkStart w:id="5" w:name="_Toc20823272"/>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56"/>
        <w:jc w:val="both"/>
        <w:spacing w:beforeAutospacing="0" w:afterAutospacing="0" w:line="480" w:lineRule="auto"/>
        <w:rPr>
          <w:color w:val="auto"/>
          <w:highlight w:val="none"/>
        </w:rPr>
      </w:pPr>
      <w:r>
        <w:rPr>
          <w:color w:val="auto"/>
          <w:highlight w:val="none"/>
        </w:rPr>
        <w:t xml:space="preserve"> </w:t>
      </w:r>
      <w:r/>
    </w:p>
    <w:p>
      <w:pPr>
        <w:pStyle w:val="656"/>
        <w:ind w:left="2160" w:hanging="144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竞争性磋商公告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p>
    <w:p>
      <w:pPr>
        <w:pStyle w:val="656"/>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w:t>
      </w:r>
      <w:r>
        <w:rPr>
          <w:rFonts w:hint="eastAsia" w:ascii="黑体" w:hAnsi="宋体" w:eastAsia="黑体" w:cs="黑体"/>
          <w:color w:val="auto"/>
          <w:sz w:val="36"/>
          <w:szCs w:val="36"/>
          <w:highlight w:val="none"/>
          <w:lang w:val="en-US" w:eastAsia="zh-CN"/>
        </w:rPr>
        <w:t xml:space="preserve">4</w:t>
      </w:r>
      <w:r>
        <w:rPr>
          <w:rFonts w:hint="eastAsia" w:ascii="黑体" w:hAnsi="宋体" w:eastAsia="黑体" w:cs="黑体"/>
          <w:color w:val="auto"/>
          <w:sz w:val="36"/>
          <w:szCs w:val="36"/>
          <w:highlight w:val="none"/>
        </w:rPr>
        <w:t xml:space="preserve">  </w:t>
      </w:r>
      <w:r/>
    </w:p>
    <w:p>
      <w:pPr>
        <w:pStyle w:val="6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16</w:t>
      </w:r>
      <w:r/>
    </w:p>
    <w:p>
      <w:pPr>
        <w:pStyle w:val="6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20</w:t>
      </w:r>
      <w:r/>
    </w:p>
    <w:p>
      <w:pPr>
        <w:pStyle w:val="6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评审方法与评审标准……………………</w:t>
      </w:r>
      <w:r>
        <w:rPr>
          <w:rFonts w:hint="eastAsia" w:ascii="黑体" w:hAnsi="宋体" w:eastAsia="黑体" w:cs="黑体"/>
          <w:color w:val="auto"/>
          <w:sz w:val="36"/>
          <w:szCs w:val="36"/>
          <w:highlight w:val="none"/>
          <w:lang w:val="en-US" w:eastAsia="zh-CN"/>
        </w:rPr>
        <w:t xml:space="preserve">23</w:t>
      </w:r>
      <w:r/>
    </w:p>
    <w:p>
      <w:pPr>
        <w:pStyle w:val="6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响应文件格式……………………………</w:t>
      </w:r>
      <w:r>
        <w:rPr>
          <w:rFonts w:hint="eastAsia" w:ascii="黑体" w:hAnsi="宋体" w:eastAsia="黑体" w:cs="黑体"/>
          <w:color w:val="auto"/>
          <w:sz w:val="36"/>
          <w:szCs w:val="36"/>
          <w:highlight w:val="none"/>
          <w:lang w:val="en-US" w:eastAsia="zh-CN"/>
        </w:rPr>
        <w:t xml:space="preserve">27</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rPr>
          <w:color w:val="auto"/>
          <w:highlight w:val="none"/>
        </w:rPr>
      </w:r>
    </w:p>
    <w:p>
      <w:pPr>
        <w:pStyle w:val="656"/>
        <w:jc w:val="center"/>
        <w:spacing w:beforeAutospacing="0" w:afterAutospacing="0"/>
        <w:rPr>
          <w:color w:val="auto"/>
          <w:highlight w:val="none"/>
        </w:rPr>
      </w:pPr>
      <w:r>
        <w:rPr>
          <w:color w:val="auto"/>
          <w:highlight w:val="none"/>
        </w:rPr>
      </w: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竞争性磋商公告</w:t>
      </w:r>
      <w:r>
        <w:rPr>
          <w:color w:val="auto"/>
          <w:highlight w:val="none"/>
        </w:rPr>
      </w:r>
      <w:r/>
    </w:p>
    <w:p>
      <w:pPr>
        <w:pStyle w:val="656"/>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outlineLvl w:val="0"/>
      </w:pPr>
      <w:r>
        <w:rPr>
          <w:rFonts w:hint="eastAsia" w:ascii="宋体" w:hAnsi="宋体" w:eastAsia="宋体" w:cs="宋体"/>
          <w:color w:val="auto"/>
          <w:sz w:val="24"/>
          <w:szCs w:val="24"/>
          <w:highlight w:val="none"/>
        </w:rPr>
        <w:t xml:space="preserve">项目概况</w:t>
      </w:r>
      <w:r/>
    </w:p>
    <w:p>
      <w:pPr>
        <w:pStyle w:val="656"/>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射阳经开区大气环境监测点设备维修及运维项目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文件，方</w:t>
      </w:r>
      <w:r>
        <w:rPr>
          <w:rFonts w:hint="eastAsia" w:ascii="宋体" w:hAnsi="宋体" w:eastAsia="宋体" w:cs="宋体"/>
          <w:i w:val="0"/>
          <w:iCs w:val="0"/>
          <w:caps w:val="0"/>
          <w:color w:val="auto"/>
          <w:spacing w:val="0"/>
          <w:sz w:val="24"/>
          <w:szCs w:val="24"/>
          <w:highlight w:val="none"/>
          <w:shd w:val="clear" w:color="auto" w:fill="ffffff"/>
        </w:rPr>
        <w:t xml:space="preserve">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7月13日9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北京时间）前递交响应文件。</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7" w:name="_Toc28359002"/>
      <w:r/>
      <w:bookmarkStart w:id="8" w:name="_Toc35393790"/>
      <w:r/>
      <w:bookmarkStart w:id="9" w:name="_Hlk24379207"/>
      <w:r/>
      <w:bookmarkStart w:id="10" w:name="_Toc28359079"/>
      <w:r/>
      <w:bookmarkStart w:id="11" w:name="_Toc35393621"/>
      <w:r/>
      <w:bookmarkStart w:id="12" w:name="_Toc38985263"/>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JSZC-320924-HXIN-C2026-0008。</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射阳经开区大气环境监测点设备维修及运维项目。</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采购方式：竞争性磋商</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4.预算金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额：132万元。</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132</w:t>
      </w:r>
      <w:r>
        <w:rPr>
          <w:rFonts w:hint="eastAsia" w:ascii="宋体" w:hAnsi="宋体" w:eastAsia="宋体" w:cs="宋体"/>
          <w:i w:val="0"/>
          <w:iCs w:val="0"/>
          <w:caps w:val="0"/>
          <w:color w:val="auto"/>
          <w:spacing w:val="0"/>
          <w:sz w:val="24"/>
          <w:szCs w:val="24"/>
          <w:highlight w:val="none"/>
          <w:shd w:val="clear" w:color="auto" w:fill="auto"/>
        </w:rPr>
        <w:t xml:space="preserve">万元，投标报价高于最高限价的作无效标处理。</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6.评标方法：综合评分法。</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采购需求：对园区内2座大气标准空气站、4座VOCs空气站的损坏设备开展维修工作（45天内完成设备维修）；同时为上述2座大气标准空气站、4座VOCs空气站及54座微型空气站提供日常运行、维护保养、定期巡检、故障排查检修、数据分析与数据传输等服务，确保各站点监测仪器稳定正常运行、监测数据实时有效上传。</w:t>
      </w:r>
      <w:r/>
    </w:p>
    <w:p>
      <w:pPr>
        <w:pStyle w:val="656"/>
        <w:ind w:firstLine="480"/>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color w:val="auto"/>
          <w:sz w:val="24"/>
          <w:highlight w:val="none"/>
        </w:rPr>
        <w:t xml:space="preserve">自合同签订之日起1年。</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9.本项目不接受联合体参与磋商。</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3" w:name="_Toc28359003"/>
      <w:r/>
      <w:bookmarkStart w:id="14" w:name="_Toc38985264"/>
      <w:r/>
      <w:bookmarkStart w:id="15" w:name="_Toc35393791"/>
      <w:r/>
      <w:bookmarkStart w:id="16" w:name="_Toc35393622"/>
      <w:r/>
      <w:bookmarkStart w:id="17" w:name="_Toc28359080"/>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表</w:t>
      </w:r>
      <w:r>
        <w:rPr>
          <w:rFonts w:hint="eastAsia" w:ascii="宋体" w:hAnsi="宋体" w:eastAsia="宋体" w:cs="宋体"/>
          <w:color w:val="auto"/>
          <w:sz w:val="24"/>
          <w:szCs w:val="24"/>
          <w:highlight w:val="none"/>
        </w:rPr>
        <w:t xml:space="preserve">（成立不满一年无需提供）；</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auto"/>
          <w:sz w:val="24"/>
          <w:szCs w:val="24"/>
          <w:highlight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落实政府采购政策需满足的资格要求：本项目属于专门面向中小企业采购的项目,供应商应为中小微企业、监狱企业、残疾人福利性单位。响应文件中提供《中小企业声明函》。</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pStyle w:val="656"/>
        <w:ind w:left="0" w:right="0" w:firstLine="56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u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highlight w:val="none"/>
        </w:rPr>
        <w:t xml:space="preserve">无</w:t>
      </w:r>
      <w:r>
        <w:rPr>
          <w:rFonts w:hint="eastAsia" w:ascii="宋体" w:hAnsi="宋体" w:eastAsia="宋体" w:cs="宋体"/>
          <w:i w:val="0"/>
          <w:iCs w:val="0"/>
          <w:caps w:val="0"/>
          <w:color w:val="auto"/>
          <w:spacing w:val="0"/>
          <w:sz w:val="24"/>
          <w:szCs w:val="24"/>
          <w:highlight w:val="none"/>
          <w:u w:val="none"/>
          <w:shd w:val="clear" w:color="auto" w:fill="auto"/>
          <w:lang w:eastAsia="zh-CN"/>
        </w:rPr>
        <w:t xml:space="preserve">。</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outlineLvl w:val="0"/>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r/>
    </w:p>
    <w:p>
      <w:pPr>
        <w:ind w:right="0" w:firstLine="480"/>
        <w:jc w:val="both"/>
        <w:keepLines w:val="0"/>
        <w:keepNext w:val="0"/>
        <w:pageBreakBefore w:val="0"/>
        <w:spacing w:before="0" w:after="0" w:line="360" w:lineRule="exact"/>
        <w:rPr>
          <w:rFonts w:hint="default"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8" w:name="_Toc28359082"/>
      <w:r/>
      <w:bookmarkStart w:id="19" w:name="_Toc35393793"/>
      <w:r/>
      <w:bookmarkStart w:id="20" w:name="_Toc28359005"/>
      <w:r/>
      <w:bookmarkStart w:id="21" w:name="_Toc38985266"/>
      <w:r/>
      <w:bookmarkStart w:id="22" w:name="_Toc35393624"/>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lang w:val="en-US" w:eastAsia="zh-CN" w:bidi="ar-SA"/>
        </w:rPr>
        <w:t xml:space="preserve">；</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2.地点：“苏采云”系统内免费下载（投标人必须在苏采云系统中获取磋商文件，方能参与政府采购项目）；</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lang w:eastAsia="zh-CN"/>
        </w:rPr>
        <w:outlineLvl w:val="0"/>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rPr>
        <w:t xml:space="preserve">1.截止时间：2026年</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7月13日9</w:t>
      </w:r>
      <w:r>
        <w:rPr>
          <w:rFonts w:hint="eastAsia" w:ascii="宋体" w:hAnsi="宋体" w:eastAsia="宋体" w:cs="宋体"/>
          <w:i w:val="0"/>
          <w:iCs w:val="0"/>
          <w:caps w:val="0"/>
          <w:color w:val="auto"/>
          <w:spacing w:val="0"/>
          <w:sz w:val="24"/>
          <w:szCs w:val="24"/>
          <w:highlight w:val="none"/>
          <w:shd w:val="clear" w:color="auto" w:fill="auto"/>
        </w:rPr>
        <w:t xml:space="preserve">点00分（北京时间）</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w:t>
      </w:r>
      <w:r>
        <w:rPr>
          <w:rFonts w:hint="eastAsia" w:ascii="宋体" w:hAnsi="宋体" w:eastAsia="宋体" w:cs="宋体"/>
          <w:color w:val="000000"/>
          <w:sz w:val="24"/>
          <w:szCs w:val="24"/>
          <w:highlight w:val="none"/>
          <w:shd w:val="clear" w:color="auto" w:fill="auto"/>
          <w:lang w:eastAsia="zh-CN"/>
        </w:rPr>
        <w:t xml:space="preserve">。</w:t>
      </w:r>
      <w:r/>
    </w:p>
    <w:p>
      <w:pPr>
        <w:pStyle w:val="656"/>
        <w:ind w:firstLine="498"/>
        <w:jc w:val="both"/>
        <w:keepLines/>
        <w:keepNext/>
        <w:spacing w:before="145" w:beforeAutospacing="0" w:after="145" w:afterAutospacing="0" w:line="360" w:lineRule="auto"/>
        <w:rPr>
          <w:rFonts w:hint="eastAsia" w:ascii="宋体" w:hAnsi="宋体" w:eastAsia="宋体" w:cs="宋体"/>
          <w:b/>
          <w:color w:val="auto"/>
          <w:sz w:val="24"/>
          <w:szCs w:val="24"/>
          <w:highlight w:val="none"/>
          <w:shd w:val="clear" w:color="auto" w:fill="auto"/>
        </w:rPr>
        <w:outlineLvl w:val="0"/>
      </w:pPr>
      <w:r/>
      <w:bookmarkStart w:id="23" w:name="_Toc35393795"/>
      <w:r/>
      <w:bookmarkStart w:id="24" w:name="_Toc35393626"/>
      <w:r/>
      <w:bookmarkStart w:id="25" w:name="_Toc38985268"/>
      <w:r>
        <w:rPr>
          <w:rFonts w:hint="eastAsia" w:ascii="宋体" w:hAnsi="宋体" w:eastAsia="宋体" w:cs="宋体"/>
          <w:b/>
          <w:color w:val="auto"/>
          <w:sz w:val="24"/>
          <w:szCs w:val="24"/>
          <w:highlight w:val="none"/>
          <w:shd w:val="clear" w:color="auto" w:fill="auto"/>
        </w:rPr>
        <w:t xml:space="preserve">五、开启</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bookmarkEnd w:id="23"/>
      <w:r/>
      <w:bookmarkEnd w:id="24"/>
      <w:r/>
      <w:bookmarkEnd w:id="25"/>
      <w:r>
        <w:rPr>
          <w:rFonts w:hint="eastAsia" w:ascii="宋体" w:hAnsi="宋体" w:eastAsia="宋体" w:cs="宋体"/>
          <w:i w:val="0"/>
          <w:iCs w:val="0"/>
          <w:caps w:val="0"/>
          <w:color w:val="auto"/>
          <w:spacing w:val="0"/>
          <w:sz w:val="24"/>
          <w:szCs w:val="24"/>
          <w:highlight w:val="none"/>
          <w:shd w:val="clear" w:color="auto" w:fill="auto"/>
        </w:rPr>
        <w:t xml:space="preserve">2026年</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7月13日9</w:t>
      </w:r>
      <w:r>
        <w:rPr>
          <w:rFonts w:hint="eastAsia" w:ascii="宋体" w:hAnsi="宋体" w:eastAsia="宋体" w:cs="宋体"/>
          <w:i w:val="0"/>
          <w:iCs w:val="0"/>
          <w:caps w:val="0"/>
          <w:color w:val="auto"/>
          <w:spacing w:val="0"/>
          <w:sz w:val="24"/>
          <w:szCs w:val="24"/>
          <w:highlight w:val="none"/>
          <w:shd w:val="clear" w:color="auto" w:fill="auto"/>
        </w:rPr>
        <w:t xml:space="preserve">点00分（北京时间）</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地点：苏采云“不见面”开标大厅</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p>
    <w:p>
      <w:pPr>
        <w:pStyle w:val="643"/>
        <w:ind w:right="0" w:firstLine="482"/>
        <w:jc w:val="both"/>
        <w:keepLines w:val="0"/>
        <w:keepNext w:val="0"/>
        <w:spacing w:before="0" w:beforeAutospacing="0" w:after="0" w:afterAutospacing="0" w:line="23" w:lineRule="atLeas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outlineLvl w:val="0"/>
        <w:suppressLineNumbers w:val="0"/>
      </w:pPr>
      <w:r/>
      <w:bookmarkStart w:id="26"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6"/>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自本公告发布之日起5个工作日。</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outlineLvl w:val="0"/>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656"/>
        <w:ind w:left="0" w:right="0" w:firstLine="56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7"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656"/>
        <w:ind w:left="0" w:right="0" w:firstLine="56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绑定与登录--参与投标--下载磋商文件（后缀名为“.kedt”）--将后缀名为“.kedt”的磋商文件导入政府采购客户端工具--制作响应文件--导出加密的响应文件（后缀名为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潜在供应商访问“苏采云”系统方法：江苏省政府采购网首页-“苏采云”链接。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磋商文件（后缀名为“.kedt”）、供应商操作手册及政府采购客户端工具可通过“苏采云”系统相应链接进行下载。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采购代理机构将数据电文形式的磋商文件加载至“苏采云”系统，供潜在供应商下载或者查阅。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请潜在供应商提前安装相应的控件（详见《“苏采云”系统供应商操作手册》）并使用谷歌浏览器登录“苏采云”系统参与不见面开评标。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如潜在供应商未按上述要求操作，将自行承担所产生的风险。</w:t>
      </w:r>
      <w:r/>
    </w:p>
    <w:p>
      <w:pPr>
        <w:pStyle w:val="656"/>
        <w:ind w:right="0" w:firstLine="48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3.有关本次磋商的事项若存在变动或修改，敬请及时关注</w:t>
      </w:r>
      <w:r>
        <w:rPr>
          <w:rFonts w:hint="eastAsia" w:ascii="宋体" w:hAnsi="宋体"/>
          <w:color w:val="000000"/>
          <w:sz w:val="24"/>
          <w:szCs w:val="32"/>
          <w:highlight w:val="none"/>
          <w:lang w:val="en-US" w:eastAsia="zh-CN"/>
        </w:rPr>
        <w:t xml:space="preserve">采购代理机构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pStyle w:val="656"/>
        <w:ind w:left="0" w:right="0" w:firstLine="56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4.本次磋商不收取磋商保证金，不收取质量保证金。</w:t>
      </w:r>
      <w:r/>
    </w:p>
    <w:p>
      <w:pPr>
        <w:pStyle w:val="643"/>
        <w:ind w:left="0" w:right="0" w:firstLine="482"/>
        <w:jc w:val="both"/>
        <w:keepLines w:val="0"/>
        <w:keepNext w:val="0"/>
        <w:spacing w:before="0" w:beforeAutospacing="0" w:after="0" w:afterAutospacing="0" w:line="23" w:lineRule="atLeas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bCs w:val="0"/>
          <w:color w:val="auto"/>
          <w:sz w:val="24"/>
          <w:szCs w:val="24"/>
          <w:highlight w:val="none"/>
          <w:shd w:val="clear" w:color="auto" w:fill="auto"/>
          <w:lang w:val="en-US" w:eastAsia="zh-CN" w:bidi="ar-SA"/>
        </w:rPr>
        <w:t xml:space="preserve">八、凡对本次采购提出询问，请按以下方式联系。</w:t>
      </w:r>
      <w:bookmarkEnd w:id="27"/>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称：江苏射阳经济开发区管理委员会 </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址：幸福大道168号科创大厦              </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联系方式：15861961066    </w:t>
      </w:r>
      <w:bookmarkStart w:id="28" w:name="_Toc28359009"/>
      <w:r/>
      <w:bookmarkEnd w:id="2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称：江苏宏新工程管理咨询有限公司</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址：射阳县德威尔公寓兴阳北路97号                   </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Start w:id="29" w:name="_Toc28359087"/>
      <w:r/>
      <w:bookmarkStart w:id="30" w:name="_Toc2835901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18961965353      </w:t>
      </w:r>
      <w:bookmarkEnd w:id="29"/>
      <w:r/>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6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1" w:name="_Toc28359021"/>
      <w:r/>
      <w:bookmarkEnd w:id="31"/>
      <w:r/>
    </w:p>
    <w:p>
      <w:pPr>
        <w:pStyle w:val="6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clear="all"/>
      </w:r>
      <w:r/>
    </w:p>
    <w:p>
      <w:pPr>
        <w:pStyle w:val="656"/>
        <w:ind w:right="840"/>
        <w:jc w:val="center"/>
        <w:spacing w:beforeAutospacing="0" w:afterAutospacing="0"/>
        <w:rPr>
          <w:color w:val="auto"/>
          <w:highlight w:val="none"/>
        </w:rPr>
        <w:outlineLvl w:val="0"/>
      </w:pPr>
      <w:r/>
      <w:bookmarkStart w:id="32" w:name="_Toc120614211"/>
      <w:r>
        <w:rPr>
          <w:rFonts w:hint="eastAsia" w:ascii="黑体" w:hAnsi="宋体" w:eastAsia="黑体" w:cs="黑体"/>
          <w:b/>
          <w:color w:val="auto"/>
          <w:sz w:val="44"/>
          <w:szCs w:val="44"/>
          <w:highlight w:val="none"/>
          <w:lang w:val="en-US" w:eastAsia="zh-CN"/>
        </w:rPr>
        <w:t xml:space="preserve">   </w:t>
      </w:r>
      <w:r>
        <w:rPr>
          <w:rFonts w:hint="eastAsia" w:ascii="黑体" w:hAnsi="宋体" w:eastAsia="黑体" w:cs="黑体"/>
          <w:b/>
          <w:color w:val="auto"/>
          <w:sz w:val="44"/>
          <w:szCs w:val="44"/>
          <w:highlight w:val="none"/>
        </w:rPr>
        <w:t xml:space="preserve">第二章  </w:t>
      </w:r>
      <w:bookmarkEnd w:id="32"/>
      <w:r>
        <w:rPr>
          <w:rFonts w:hint="eastAsia" w:ascii="黑体" w:hAnsi="宋体" w:eastAsia="黑体" w:cs="黑体"/>
          <w:b/>
          <w:color w:val="auto"/>
          <w:sz w:val="44"/>
          <w:szCs w:val="44"/>
          <w:highlight w:val="none"/>
        </w:rPr>
        <w:t xml:space="preserve">供应商须知</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33" w:name="_Toc20823275"/>
      <w:r/>
      <w:bookmarkStart w:id="34" w:name="_Toc513029203"/>
      <w:r/>
      <w:bookmarkStart w:id="35" w:name="_Toc16938519"/>
      <w:r/>
      <w:bookmarkStart w:id="36" w:name="_Toc120614214"/>
      <w:r>
        <w:rPr>
          <w:rFonts w:hint="eastAsia" w:ascii="宋体" w:hAnsi="宋体" w:eastAsia="宋体" w:cs="宋体"/>
          <w:b/>
          <w:color w:val="auto"/>
          <w:sz w:val="24"/>
          <w:szCs w:val="24"/>
          <w:highlight w:val="none"/>
        </w:rPr>
        <w:t xml:space="preserve">一、总则</w:t>
      </w:r>
      <w:bookmarkEnd w:id="33"/>
      <w:r/>
      <w:bookmarkEnd w:id="34"/>
      <w:r/>
      <w:bookmarkEnd w:id="35"/>
      <w:r/>
      <w:bookmarkEnd w:id="36"/>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37" w:name="_Toc20823276"/>
      <w:r/>
      <w:bookmarkStart w:id="38" w:name="_Toc458694821"/>
      <w:r/>
      <w:bookmarkStart w:id="39" w:name="_Toc16938520"/>
      <w:r/>
      <w:bookmarkStart w:id="40" w:name="_Toc513029204"/>
      <w:r/>
      <w:bookmarkStart w:id="41" w:name="_Hlt16619475"/>
      <w:r>
        <w:rPr>
          <w:rFonts w:hint="eastAsia" w:ascii="宋体" w:hAnsi="宋体" w:eastAsia="宋体" w:cs="宋体"/>
          <w:color w:val="auto"/>
          <w:sz w:val="24"/>
          <w:szCs w:val="24"/>
          <w:highlight w:val="none"/>
        </w:rPr>
        <w:t xml:space="preserve">1</w:t>
      </w:r>
      <w:bookmarkEnd w:id="37"/>
      <w:r>
        <w:rPr>
          <w:rFonts w:hint="eastAsia" w:ascii="宋体" w:hAnsi="宋体" w:eastAsia="宋体" w:cs="宋体"/>
          <w:color w:val="auto"/>
          <w:sz w:val="24"/>
          <w:szCs w:val="24"/>
          <w:highlight w:val="none"/>
        </w:rPr>
        <w:t xml:space="preserve">、采购方式</w:t>
      </w:r>
      <w:bookmarkEnd w:id="38"/>
      <w:r/>
      <w:bookmarkEnd w:id="39"/>
      <w:r/>
      <w:bookmarkEnd w:id="40"/>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42" w:name="_Toc513029205"/>
      <w:r/>
      <w:bookmarkStart w:id="43" w:name="_Toc20823277"/>
      <w:r/>
      <w:bookmarkStart w:id="44" w:name="_Toc16938521"/>
      <w:r>
        <w:rPr>
          <w:rFonts w:hint="eastAsia" w:ascii="宋体" w:hAnsi="宋体" w:eastAsia="宋体" w:cs="宋体"/>
          <w:color w:val="auto"/>
          <w:sz w:val="24"/>
          <w:szCs w:val="24"/>
          <w:highlight w:val="none"/>
        </w:rPr>
        <w:t xml:space="preserve">2、合格的</w:t>
      </w:r>
      <w:bookmarkEnd w:id="42"/>
      <w:r/>
      <w:bookmarkEnd w:id="43"/>
      <w:r/>
      <w:bookmarkEnd w:id="44"/>
      <w:r>
        <w:rPr>
          <w:rFonts w:hint="eastAsia" w:ascii="宋体" w:hAnsi="宋体" w:eastAsia="宋体" w:cs="宋体"/>
          <w:color w:val="auto"/>
          <w:sz w:val="24"/>
          <w:szCs w:val="24"/>
          <w:highlight w:val="none"/>
        </w:rPr>
        <w:t xml:space="preserve">供应商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480"/>
        <w:pageBreakBefore w:val="0"/>
        <w:spacing w:line="360" w:lineRule="exact"/>
        <w:widowControl w:val="off"/>
        <w:rPr>
          <w:rFonts w:hint="eastAsia" w:ascii="方正魏碑_GBK" w:hAnsi="方正魏碑_GBK" w:eastAsia="方正魏碑_GBK" w:cs="方正魏碑_GBK"/>
          <w:color w:val="auto"/>
          <w:sz w:val="24"/>
          <w:szCs w:val="21"/>
        </w:rPr>
        <w:outlineLvl w:val="1"/>
      </w:pPr>
      <w:r/>
      <w:bookmarkStart w:id="45" w:name="_Toc513029206"/>
      <w:r/>
      <w:bookmarkStart w:id="46" w:name="_Toc16938522"/>
      <w:r/>
      <w:bookmarkStart w:id="47" w:name="_Toc20823278"/>
      <w:r/>
      <w:bookmarkStart w:id="48" w:name="_Toc513029207"/>
      <w:r/>
      <w:bookmarkStart w:id="49" w:name="_Toc16938523"/>
      <w:r/>
      <w:bookmarkStart w:id="50" w:name="_Toc462564067"/>
      <w:r/>
      <w:bookmarkStart w:id="51" w:name="_Toc20823279"/>
      <w:r>
        <w:rPr>
          <w:rFonts w:hint="eastAsia" w:ascii="方正魏碑_GBK" w:hAnsi="方正魏碑_GBK" w:eastAsia="方正魏碑_GBK" w:cs="方正魏碑_GBK"/>
          <w:color w:val="auto"/>
          <w:sz w:val="24"/>
          <w:szCs w:val="21"/>
        </w:rPr>
        <w:t xml:space="preserve">3、适用法律</w:t>
      </w:r>
      <w:bookmarkEnd w:id="45"/>
      <w:r/>
      <w:bookmarkEnd w:id="46"/>
      <w:r/>
      <w:bookmarkEnd w:id="47"/>
      <w:r>
        <w:rPr>
          <w:rFonts w:hint="eastAsia" w:ascii="方正魏碑_GBK" w:hAnsi="方正魏碑_GBK" w:eastAsia="方正魏碑_GBK" w:cs="方正魏碑_GBK"/>
          <w:color w:val="auto"/>
          <w:sz w:val="24"/>
          <w:szCs w:val="21"/>
        </w:rPr>
        <w:t xml:space="preserve">和标准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pageBreakBefore w:val="0"/>
        <w:spacing w:line="360" w:lineRule="exact"/>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4、磋商费用</w:t>
      </w:r>
      <w:bookmarkEnd w:id="48"/>
      <w:r/>
      <w:bookmarkEnd w:id="49"/>
      <w:r/>
      <w:bookmarkEnd w:id="50"/>
      <w:r/>
      <w:bookmarkEnd w:id="51"/>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4.1供应商应自行承担所有与参加本次磋商有关的费用，无论磋商过程中的做法和结果如何，采购人和</w:t>
      </w:r>
      <w:r>
        <w:rPr>
          <w:rFonts w:hint="eastAsia" w:ascii="宋体" w:hAnsi="宋体" w:eastAsia="宋体" w:cs="宋体"/>
          <w:color w:val="auto"/>
          <w:sz w:val="24"/>
          <w:szCs w:val="24"/>
          <w:highlight w:val="none"/>
          <w:lang w:eastAsia="zh-CN"/>
        </w:rPr>
        <w:t xml:space="preserve">江苏宏新工程管理咨询有限公司</w:t>
      </w:r>
      <w:r>
        <w:rPr>
          <w:rFonts w:hint="eastAsia" w:ascii="宋体" w:hAnsi="宋体" w:eastAsia="宋体" w:cs="宋体"/>
          <w:color w:val="auto"/>
          <w:sz w:val="24"/>
          <w:szCs w:val="24"/>
          <w:highlight w:val="none"/>
        </w:rPr>
        <w:t xml:space="preserve">（以下简称代理机构）在任何情况下均无义务和责任承担这些费用。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4.2本次磋商采购代理机构和采购人不收取标书工本费。</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b w:val="0"/>
          <w:bCs/>
          <w:color w:val="auto"/>
          <w:sz w:val="24"/>
          <w:szCs w:val="24"/>
          <w:highlight w:val="none"/>
        </w:rPr>
        <w:t xml:space="preserve">5、磋商</w:t>
      </w:r>
      <w:r>
        <w:rPr>
          <w:rFonts w:hint="eastAsia" w:ascii="宋体" w:hAnsi="宋体" w:eastAsia="宋体" w:cs="宋体"/>
          <w:color w:val="auto"/>
          <w:sz w:val="24"/>
          <w:szCs w:val="24"/>
          <w:highlight w:val="none"/>
        </w:rPr>
        <w:t xml:space="preserve">文件的约束力</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656"/>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52" w:name="_Toc120614215"/>
      <w:r/>
      <w:bookmarkStart w:id="53" w:name="_Toc513029209"/>
      <w:r/>
      <w:bookmarkStart w:id="54" w:name="_Toc16938525"/>
      <w:r/>
      <w:bookmarkStart w:id="55" w:name="_Toc20823281"/>
      <w:r>
        <w:rPr>
          <w:rFonts w:hint="eastAsia" w:ascii="宋体" w:hAnsi="宋体" w:eastAsia="宋体" w:cs="宋体"/>
          <w:b/>
          <w:color w:val="auto"/>
          <w:sz w:val="24"/>
          <w:szCs w:val="24"/>
          <w:highlight w:val="none"/>
        </w:rPr>
        <w:t xml:space="preserve">二、</w:t>
      </w:r>
      <w:bookmarkEnd w:id="52"/>
      <w:r/>
      <w:bookmarkEnd w:id="53"/>
      <w:r/>
      <w:bookmarkEnd w:id="54"/>
      <w:r/>
      <w:bookmarkEnd w:id="55"/>
      <w:r>
        <w:rPr>
          <w:rFonts w:hint="eastAsia" w:ascii="宋体" w:hAnsi="宋体" w:eastAsia="宋体" w:cs="宋体"/>
          <w:b/>
          <w:color w:val="auto"/>
          <w:sz w:val="24"/>
          <w:szCs w:val="24"/>
          <w:highlight w:val="none"/>
        </w:rPr>
        <w:t xml:space="preserve">磋商文件</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56" w:name="_Toc20823282"/>
      <w:r/>
      <w:bookmarkStart w:id="57" w:name="_Toc513029210"/>
      <w:r/>
      <w:bookmarkStart w:id="58" w:name="_Toc16938526"/>
      <w:r>
        <w:rPr>
          <w:rFonts w:hint="eastAsia" w:ascii="宋体" w:hAnsi="宋体" w:eastAsia="宋体" w:cs="宋体"/>
          <w:color w:val="auto"/>
          <w:sz w:val="24"/>
          <w:szCs w:val="24"/>
          <w:highlight w:val="none"/>
        </w:rPr>
        <w:t xml:space="preserve">6、磋商文件构成</w:t>
      </w:r>
      <w:bookmarkEnd w:id="56"/>
      <w:r/>
      <w:bookmarkEnd w:id="57"/>
      <w:r/>
      <w:bookmarkEnd w:id="58"/>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请仔细检查磋商文件是否齐全，如有缺漏请立即与采购人或采购代理机构联系解决。</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59" w:name="_Toc462564070"/>
      <w:r/>
      <w:bookmarkStart w:id="60" w:name="_Toc16938527"/>
      <w:r/>
      <w:bookmarkStart w:id="61" w:name="_Toc20823283"/>
      <w:r/>
      <w:bookmarkStart w:id="62" w:name="_Toc513029211"/>
      <w:r>
        <w:rPr>
          <w:rFonts w:hint="eastAsia" w:ascii="宋体" w:hAnsi="宋体" w:eastAsia="宋体" w:cs="宋体"/>
          <w:color w:val="auto"/>
          <w:sz w:val="24"/>
          <w:szCs w:val="24"/>
          <w:highlight w:val="none"/>
        </w:rPr>
        <w:t xml:space="preserve">7、磋商文件的澄清</w:t>
      </w:r>
      <w:bookmarkEnd w:id="59"/>
      <w:r/>
      <w:bookmarkEnd w:id="60"/>
      <w:r/>
      <w:bookmarkEnd w:id="61"/>
      <w:r/>
      <w:bookmarkEnd w:id="62"/>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7.1任何要求对磋商文件进行澄清的供应商，应在磋商截止期5日前按磋商公告中的通讯地址，以书面形式通知采购人或采购代理机构。</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63" w:name="_Toc20823284"/>
      <w:r/>
      <w:bookmarkStart w:id="64" w:name="_Toc462564071"/>
      <w:r/>
      <w:bookmarkStart w:id="65" w:name="_Toc16938528"/>
      <w:r/>
      <w:bookmarkStart w:id="66" w:name="_Toc513029212"/>
      <w:r>
        <w:rPr>
          <w:rFonts w:hint="eastAsia" w:ascii="宋体" w:hAnsi="宋体" w:eastAsia="宋体" w:cs="宋体"/>
          <w:color w:val="auto"/>
          <w:sz w:val="24"/>
          <w:szCs w:val="24"/>
          <w:highlight w:val="none"/>
        </w:rPr>
        <w:t xml:space="preserve">8、磋商文件的澄清和修改</w:t>
      </w:r>
      <w:bookmarkEnd w:id="63"/>
      <w:r/>
      <w:bookmarkEnd w:id="64"/>
      <w:r/>
      <w:bookmarkEnd w:id="65"/>
      <w:r/>
      <w:bookmarkEnd w:id="66"/>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在响应</w:t>
      </w:r>
      <w:r>
        <w:rPr>
          <w:rFonts w:hint="eastAsia" w:ascii="宋体" w:hAnsi="宋体" w:eastAsia="宋体" w:cs="宋体"/>
          <w:color w:val="auto"/>
          <w:sz w:val="24"/>
          <w:szCs w:val="24"/>
          <w:highlight w:val="none"/>
        </w:rPr>
        <w:t xml:space="preserve">文件提交截止时间前，采购人可以对磋商文件进行澄清和修改,澄清或者修改的内容作为磋商文件的组成部分。澄清或者修改的内容可能影响响应文件编制的，采购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盐城市政府采购网”上发布书面更正公告形式通知所有获取磋商文件的供应商, 更正公告内容将作为磋商文件的组成部分，并对供应商具有约束力。不足5日的，采购人或采购代理机构将顺延提交首次响应文件截止时间</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6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67" w:name="_Toc120614216"/>
      <w:r/>
      <w:bookmarkStart w:id="68" w:name="_Toc513029213"/>
      <w:r/>
      <w:bookmarkStart w:id="69" w:name="_Toc20823285"/>
      <w:r/>
      <w:bookmarkStart w:id="70" w:name="_Toc462564072"/>
      <w:r/>
      <w:bookmarkStart w:id="71" w:name="_Toc16938529"/>
      <w:r>
        <w:rPr>
          <w:rFonts w:hint="eastAsia" w:ascii="宋体" w:hAnsi="宋体" w:eastAsia="宋体" w:cs="宋体"/>
          <w:b/>
          <w:color w:val="auto"/>
          <w:sz w:val="24"/>
          <w:szCs w:val="24"/>
          <w:highlight w:val="none"/>
        </w:rPr>
        <w:t xml:space="preserve">三、响应文件的编制</w:t>
      </w:r>
      <w:bookmarkEnd w:id="67"/>
      <w:r/>
      <w:bookmarkEnd w:id="68"/>
      <w:r/>
      <w:bookmarkEnd w:id="69"/>
      <w:r/>
      <w:bookmarkEnd w:id="70"/>
      <w:r/>
      <w:bookmarkEnd w:id="71"/>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72" w:name="_Toc462564073"/>
      <w:r/>
      <w:bookmarkStart w:id="73" w:name="_Toc16938530"/>
      <w:r/>
      <w:bookmarkStart w:id="74" w:name="_Toc20823286"/>
      <w:r/>
      <w:bookmarkStart w:id="75" w:name="_Toc513029214"/>
      <w:r>
        <w:rPr>
          <w:rFonts w:hint="eastAsia" w:ascii="宋体" w:hAnsi="宋体" w:eastAsia="宋体" w:cs="宋体"/>
          <w:color w:val="auto"/>
          <w:sz w:val="24"/>
          <w:szCs w:val="24"/>
          <w:highlight w:val="none"/>
        </w:rPr>
        <w:t xml:space="preserve">9、响应文件的语言及度量衡单位</w:t>
      </w:r>
      <w:bookmarkEnd w:id="72"/>
      <w:r/>
      <w:bookmarkEnd w:id="73"/>
      <w:r/>
      <w:bookmarkEnd w:id="74"/>
      <w:r/>
      <w:bookmarkEnd w:id="75"/>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9.1供应商提交的响应文件以及供应商与采购人或采购代理机构就有关磋商的所有来往通知、函件和文件均应使用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76" w:name="_Toc513029215"/>
      <w:r/>
      <w:bookmarkStart w:id="77" w:name="_Toc20823287"/>
      <w:r/>
      <w:bookmarkStart w:id="78" w:name="_Toc462564074"/>
      <w:r/>
      <w:bookmarkStart w:id="79" w:name="_Toc16938531"/>
      <w:r>
        <w:rPr>
          <w:rFonts w:hint="eastAsia" w:ascii="宋体" w:hAnsi="宋体" w:eastAsia="宋体" w:cs="宋体"/>
          <w:color w:val="auto"/>
          <w:sz w:val="24"/>
          <w:szCs w:val="24"/>
          <w:highlight w:val="none"/>
        </w:rPr>
        <w:t xml:space="preserve">10、响应文件构成</w:t>
      </w:r>
      <w:bookmarkEnd w:id="76"/>
      <w:r/>
      <w:bookmarkEnd w:id="77"/>
      <w:r/>
      <w:bookmarkEnd w:id="78"/>
      <w:r/>
      <w:bookmarkEnd w:id="79"/>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10.1供应商编写的响应文件应包括资格证明文件、符合性证明文件、分项报价表、其他证明文件、磋商响应函等部分。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盐城市政府采购网”发布的磋商文件为准。</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80" w:name="_Toc513029216"/>
      <w:r/>
      <w:bookmarkStart w:id="81" w:name="_Toc49090507"/>
      <w:r/>
      <w:bookmarkStart w:id="82" w:name="_Toc513029219"/>
      <w:r/>
      <w:bookmarkStart w:id="83" w:name="_Toc14577357"/>
      <w:r/>
      <w:bookmarkStart w:id="84" w:name="_Toc14577354"/>
      <w:r/>
      <w:bookmarkStart w:id="85" w:name="_Toc49090509"/>
      <w:r/>
      <w:bookmarkStart w:id="86" w:name="_Toc49090508"/>
      <w:r/>
      <w:bookmarkStart w:id="87" w:name="_Toc14577355"/>
      <w:r/>
      <w:bookmarkStart w:id="88" w:name="_Hlt26668975"/>
      <w:r/>
      <w:bookmarkStart w:id="89" w:name="_Hlt26670360"/>
      <w:r/>
      <w:bookmarkStart w:id="90" w:name="_Hlt26954838"/>
      <w:r>
        <w:rPr>
          <w:rFonts w:hint="eastAsia" w:ascii="宋体" w:hAnsi="宋体" w:eastAsia="宋体" w:cs="宋体"/>
          <w:color w:val="auto"/>
          <w:sz w:val="24"/>
          <w:szCs w:val="24"/>
          <w:highlight w:val="none"/>
        </w:rPr>
        <w:t xml:space="preserve">11、证明磋商响应标的符合磋商文件规定的文件</w:t>
      </w:r>
      <w:bookmarkEnd w:id="80"/>
      <w:r/>
      <w:bookmarkEnd w:id="81"/>
      <w:r/>
      <w:bookmarkEnd w:id="82"/>
      <w:r/>
      <w:bookmarkEnd w:id="83"/>
      <w:r/>
      <w:bookmarkEnd w:id="84"/>
      <w:r/>
      <w:bookmarkEnd w:id="85"/>
      <w:r/>
      <w:bookmarkEnd w:id="86"/>
      <w:r/>
      <w:bookmarkEnd w:id="87"/>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12、分项报价表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656"/>
        <w:ind w:firstLine="480"/>
        <w:jc w:val="both"/>
        <w:pageBreakBefore w:val="0"/>
        <w:spacing w:beforeAutospacing="0" w:afterAutospacing="0" w:line="360" w:lineRule="exact"/>
        <w:widowControl w:val="off"/>
        <w:rPr>
          <w:rFonts w:hint="eastAsia" w:ascii="宋体" w:hAnsi="宋体" w:eastAsia="宋体" w:cs="宋体"/>
          <w:b w:val="0"/>
          <w:bCs w:val="0"/>
          <w:color w:val="000000"/>
          <w:lang w:val="en-US" w:eastAsia="zh-CN"/>
        </w:rPr>
        <w:outlineLvl w:val="9"/>
      </w:pPr>
      <w:r/>
      <w:bookmarkStart w:id="91" w:name="_Hlt26954846"/>
      <w:r/>
      <w:bookmarkStart w:id="92" w:name="_Hlt26670482"/>
      <w:r/>
      <w:bookmarkStart w:id="93" w:name="_Hlt26954731"/>
      <w:r/>
      <w:bookmarkStart w:id="94" w:name="_Hlt26954848"/>
      <w:r/>
      <w:bookmarkStart w:id="95" w:name="_Hlt26670486"/>
      <w:r>
        <w:rPr>
          <w:rFonts w:hint="eastAsia" w:ascii="宋体" w:hAnsi="宋体" w:eastAsia="宋体" w:cs="宋体"/>
          <w:b w:val="0"/>
          <w:bCs w:val="0"/>
          <w:color w:val="000000"/>
          <w:lang w:val="en-US" w:eastAsia="zh-CN"/>
        </w:rPr>
        <w:t xml:space="preserve">12.3其他费用处理</w:t>
      </w:r>
      <w:r/>
    </w:p>
    <w:p>
      <w:pPr>
        <w:pStyle w:val="656"/>
        <w:ind w:firstLine="480"/>
        <w:jc w:val="both"/>
        <w:pageBreakBefore w:val="0"/>
        <w:spacing w:beforeAutospacing="0" w:afterAutospacing="0" w:line="360" w:lineRule="exact"/>
        <w:widowControl w:val="off"/>
        <w:rPr>
          <w:rFonts w:hint="eastAsia" w:ascii="宋体" w:hAnsi="宋体" w:eastAsia="宋体" w:cs="宋体"/>
          <w:b w:val="0"/>
          <w:bCs w:val="0"/>
          <w:color w:val="000000"/>
          <w:lang w:val="en-US" w:eastAsia="zh-CN"/>
        </w:rPr>
        <w:outlineLvl w:val="9"/>
      </w:pPr>
      <w:r>
        <w:rPr>
          <w:rFonts w:hint="eastAsia" w:ascii="宋体" w:hAnsi="宋体" w:eastAsia="宋体" w:cs="宋体"/>
          <w:b w:val="0"/>
          <w:bCs w:val="0"/>
          <w:color w:val="000000"/>
          <w:lang w:val="en-US" w:eastAsia="zh-CN"/>
        </w:rPr>
        <w:t xml:space="preserve">本次采购磋商供应商的总报价应包括磋商供应商为完成竞争性磋商文件所确定的招标范围内的全部服务工作内容所发生的一切费用。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000000"/>
          <w:lang w:val="en-US" w:eastAsia="zh-CN"/>
        </w:rPr>
        <w:t xml:space="preserve">磋商文件未列明，而磋商供应商认为必需的费用也需列入报价。</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13、资格性审查响应对照表、符合性检查响应对照表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13.1供应商需对磋商文件中的资格要求与符合要求逐项作出响应或偏离，并说明原因。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14、服务承诺、培训计划、人员安排及其他</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96" w:name="_Toc49090510"/>
      <w:r/>
      <w:bookmarkStart w:id="97" w:name="_Toc14577359"/>
      <w:r>
        <w:rPr>
          <w:rFonts w:hint="eastAsia" w:ascii="宋体" w:hAnsi="宋体" w:eastAsia="宋体" w:cs="宋体"/>
          <w:color w:val="auto"/>
          <w:sz w:val="24"/>
          <w:szCs w:val="24"/>
          <w:highlight w:val="none"/>
        </w:rPr>
        <w:t xml:space="preserve">15、磋商响应函</w:t>
      </w:r>
      <w:bookmarkEnd w:id="96"/>
      <w:r/>
      <w:bookmarkEnd w:id="97"/>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98" w:name="_Toc49090511"/>
      <w:r/>
      <w:bookmarkStart w:id="99" w:name="_Toc14577360"/>
      <w:r>
        <w:rPr>
          <w:rFonts w:hint="eastAsia" w:ascii="宋体" w:hAnsi="宋体" w:eastAsia="宋体" w:cs="宋体"/>
          <w:color w:val="auto"/>
          <w:sz w:val="24"/>
          <w:szCs w:val="24"/>
          <w:highlight w:val="none"/>
        </w:rPr>
        <w:t xml:space="preserve">16、磋商有效期</w:t>
      </w:r>
      <w:bookmarkEnd w:id="98"/>
      <w:r/>
      <w:bookmarkEnd w:id="99"/>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16.1磋商有效期为采购代理机构规定的提交响应文件截止之日后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17、磋商有效期的延长</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6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00" w:name="_Toc20823296"/>
      <w:r/>
      <w:bookmarkStart w:id="101" w:name="_Toc513029224"/>
      <w:r/>
      <w:bookmarkStart w:id="102" w:name="_Toc120614217"/>
      <w:r/>
      <w:bookmarkStart w:id="103" w:name="_Toc16938540"/>
      <w:r/>
      <w:bookmarkStart w:id="104" w:name="_Hlt26954739"/>
      <w:r/>
      <w:bookmarkStart w:id="105" w:name="_Hlt26954852"/>
      <w:r>
        <w:rPr>
          <w:rFonts w:hint="eastAsia" w:ascii="宋体" w:hAnsi="宋体" w:eastAsia="宋体" w:cs="宋体"/>
          <w:b/>
          <w:color w:val="auto"/>
          <w:sz w:val="24"/>
          <w:szCs w:val="24"/>
          <w:highlight w:val="none"/>
        </w:rPr>
        <w:t xml:space="preserve">四、响应文件的递交</w:t>
      </w:r>
      <w:bookmarkEnd w:id="100"/>
      <w:r/>
      <w:bookmarkEnd w:id="101"/>
      <w:r/>
      <w:bookmarkEnd w:id="102"/>
      <w:r/>
      <w:bookmarkEnd w:id="103"/>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06" w:name="_Toc20823297"/>
      <w:r/>
      <w:bookmarkStart w:id="107" w:name="_Toc462564084"/>
      <w:r/>
      <w:bookmarkStart w:id="108" w:name="_Toc513029225"/>
      <w:r/>
      <w:bookmarkStart w:id="109" w:name="_Toc16938541"/>
      <w:r>
        <w:rPr>
          <w:rFonts w:hint="eastAsia" w:ascii="宋体" w:hAnsi="宋体" w:eastAsia="宋体" w:cs="宋体"/>
          <w:color w:val="auto"/>
          <w:sz w:val="24"/>
          <w:szCs w:val="24"/>
          <w:highlight w:val="none"/>
        </w:rPr>
        <w:t xml:space="preserve">18、电子磋商</w:t>
      </w:r>
      <w:bookmarkEnd w:id="106"/>
      <w:r/>
      <w:bookmarkEnd w:id="107"/>
      <w:r/>
      <w:bookmarkEnd w:id="108"/>
      <w:r/>
      <w:bookmarkEnd w:id="109"/>
      <w:r>
        <w:rPr>
          <w:rFonts w:hint="eastAsia" w:ascii="宋体" w:hAnsi="宋体" w:eastAsia="宋体" w:cs="宋体"/>
          <w:color w:val="auto"/>
          <w:sz w:val="24"/>
          <w:szCs w:val="24"/>
          <w:highlight w:val="none"/>
        </w:rPr>
        <w:t xml:space="preserve">响应文件的递交</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10" w:name="_Toc16938542"/>
      <w:r/>
      <w:bookmarkEnd w:id="110"/>
      <w:r/>
      <w:bookmarkStart w:id="111" w:name="_Toc20823298"/>
      <w:r/>
      <w:bookmarkEnd w:id="111"/>
      <w:r/>
      <w:bookmarkStart w:id="112" w:name="_Toc513029226"/>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19、提交响应文件截止时间</w:t>
      </w:r>
      <w:r/>
    </w:p>
    <w:p>
      <w:pPr>
        <w:pStyle w:val="656"/>
        <w:ind w:firstLine="482"/>
        <w:jc w:val="both"/>
        <w:pageBreakBefore w:val="0"/>
        <w:spacing w:beforeAutospacing="0"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i/>
          <w:color w:val="auto"/>
          <w:sz w:val="24"/>
          <w:szCs w:val="24"/>
          <w:highlight w:val="none"/>
          <w:u w:val="single"/>
        </w:rPr>
        <w:t xml:space="preserve">19.1供应商上传电子响应文件的时间不得迟于磋商公告中规定的提交响应文件截止时间。</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采购人或采购代理机构可以按照规定，通过修改磋商文件酌情延长提交响应文件截止日期，在此情况下，供应商的所有权利和义务以及供应商受制的截止日期均应以延长后新的截止日期为准。</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13" w:name="_Toc513029227"/>
      <w:r/>
      <w:bookmarkStart w:id="114" w:name="_Toc16938543"/>
      <w:r/>
      <w:bookmarkStart w:id="115" w:name="_Toc20823299"/>
      <w:r>
        <w:rPr>
          <w:rFonts w:hint="eastAsia" w:ascii="宋体" w:hAnsi="宋体" w:eastAsia="宋体" w:cs="宋体"/>
          <w:color w:val="auto"/>
          <w:sz w:val="24"/>
          <w:szCs w:val="24"/>
          <w:highlight w:val="none"/>
        </w:rPr>
        <w:t xml:space="preserve">20、响应文件</w:t>
      </w:r>
      <w:bookmarkEnd w:id="113"/>
      <w:r/>
      <w:bookmarkEnd w:id="114"/>
      <w:r/>
      <w:bookmarkEnd w:id="115"/>
      <w:r>
        <w:rPr>
          <w:rFonts w:hint="eastAsia" w:ascii="宋体" w:hAnsi="宋体" w:eastAsia="宋体" w:cs="宋体"/>
          <w:color w:val="auto"/>
          <w:sz w:val="24"/>
          <w:szCs w:val="24"/>
          <w:highlight w:val="none"/>
        </w:rPr>
        <w:t xml:space="preserve">的拒收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采购代理机构拒绝接收在其规定的提交响应文件截止时间后上传的任何电子响应文件。</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16" w:name="_Toc16938544"/>
      <w:r/>
      <w:bookmarkStart w:id="117" w:name="_Toc513029228"/>
      <w:r/>
      <w:bookmarkStart w:id="118" w:name="_Toc20823300"/>
      <w:r>
        <w:rPr>
          <w:rFonts w:hint="eastAsia" w:ascii="宋体" w:hAnsi="宋体" w:eastAsia="宋体" w:cs="宋体"/>
          <w:color w:val="auto"/>
          <w:sz w:val="24"/>
          <w:szCs w:val="24"/>
          <w:highlight w:val="none"/>
        </w:rPr>
        <w:t xml:space="preserve">21、响应文件的撤回和修改</w:t>
      </w:r>
      <w:bookmarkEnd w:id="116"/>
      <w:r/>
      <w:bookmarkEnd w:id="117"/>
      <w:r/>
      <w:bookmarkEnd w:id="118"/>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bookmarkStart w:id="119" w:name="_Toc20823301"/>
      <w:r/>
      <w:bookmarkStart w:id="120" w:name="_Toc16938545"/>
      <w:r/>
      <w:bookmarkStart w:id="121" w:name="_Toc120614218"/>
      <w:r/>
      <w:bookmarkStart w:id="122" w:name="_Toc513029229"/>
      <w:r/>
      <w:r/>
    </w:p>
    <w:p>
      <w:pPr>
        <w:pStyle w:val="656"/>
        <w:ind w:firstLine="480"/>
        <w:jc w:val="both"/>
        <w:pageBreakBefore w:val="0"/>
        <w:spacing w:beforeAutospacing="0" w:afterAutospacing="0" w:line="36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五、响应文件的解密与评审</w:t>
      </w:r>
      <w:bookmarkEnd w:id="119"/>
      <w:r/>
      <w:bookmarkEnd w:id="120"/>
      <w:r/>
      <w:bookmarkEnd w:id="121"/>
      <w:r/>
      <w:bookmarkEnd w:id="122"/>
      <w:r/>
      <w:bookmarkStart w:id="123" w:name="_Toc16938546"/>
      <w:r/>
      <w:bookmarkStart w:id="124" w:name="_Toc20823302"/>
      <w:r/>
      <w:bookmarkStart w:id="125" w:name="_Toc513029230"/>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22、</w:t>
      </w:r>
      <w:bookmarkEnd w:id="123"/>
      <w:r/>
      <w:bookmarkEnd w:id="124"/>
      <w:r/>
      <w:bookmarkEnd w:id="125"/>
      <w:r>
        <w:rPr>
          <w:rFonts w:hint="eastAsia" w:ascii="宋体" w:hAnsi="宋体" w:eastAsia="宋体" w:cs="宋体"/>
          <w:color w:val="auto"/>
          <w:sz w:val="24"/>
          <w:szCs w:val="24"/>
          <w:highlight w:val="none"/>
        </w:rPr>
        <w:t xml:space="preserve">响应文件解密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26" w:name="_Toc20823303"/>
      <w:r/>
      <w:bookmarkStart w:id="127" w:name="_Toc16938547"/>
      <w:r/>
      <w:bookmarkStart w:id="128" w:name="_Toc513029231"/>
      <w:r>
        <w:rPr>
          <w:rFonts w:hint="eastAsia" w:ascii="宋体" w:hAnsi="宋体" w:eastAsia="宋体" w:cs="宋体"/>
          <w:color w:val="auto"/>
          <w:sz w:val="24"/>
          <w:szCs w:val="24"/>
          <w:highlight w:val="none"/>
        </w:rPr>
        <w:t xml:space="preserve">23、磋商小组</w:t>
      </w:r>
      <w:bookmarkEnd w:id="126"/>
      <w:r/>
      <w:bookmarkEnd w:id="127"/>
      <w:r/>
      <w:bookmarkEnd w:id="128"/>
      <w:r/>
      <w:r/>
    </w:p>
    <w:p>
      <w:pPr>
        <w:pStyle w:val="656"/>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pStyle w:val="656"/>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24、评审过程的保密与公正</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000000"/>
          <w:lang w:val="en-US" w:eastAsia="zh-CN"/>
        </w:rPr>
        <w:t xml:space="preserve">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29" w:name="_Toc20823304"/>
      <w:r/>
      <w:bookmarkStart w:id="130" w:name="_Toc16938548"/>
      <w:r/>
      <w:bookmarkStart w:id="131" w:name="_Toc513029232"/>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29"/>
      <w:r/>
      <w:bookmarkEnd w:id="130"/>
      <w:r/>
      <w:bookmarkEnd w:id="131"/>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656"/>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56"/>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32" w:name="_Toc20823305"/>
      <w:r/>
      <w:bookmarkStart w:id="133" w:name="_Toc513029233"/>
      <w:r/>
      <w:bookmarkStart w:id="134" w:name="_Toc16938549"/>
      <w:r>
        <w:rPr>
          <w:rFonts w:hint="eastAsia" w:ascii="宋体" w:hAnsi="宋体" w:eastAsia="宋体" w:cs="宋体"/>
          <w:color w:val="auto"/>
          <w:sz w:val="24"/>
          <w:szCs w:val="24"/>
          <w:highlight w:val="none"/>
        </w:rPr>
        <w:t xml:space="preserve">26、对响应文件的审</w:t>
      </w:r>
      <w:bookmarkEnd w:id="132"/>
      <w:r/>
      <w:bookmarkEnd w:id="133"/>
      <w:r/>
      <w:bookmarkEnd w:id="134"/>
      <w:r>
        <w:rPr>
          <w:rFonts w:hint="eastAsia" w:ascii="宋体" w:hAnsi="宋体" w:eastAsia="宋体" w:cs="宋体"/>
          <w:color w:val="auto"/>
          <w:sz w:val="24"/>
          <w:szCs w:val="24"/>
          <w:highlight w:val="none"/>
        </w:rPr>
        <w:t xml:space="preserve">查</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56"/>
        <w:ind w:firstLine="480"/>
        <w:jc w:val="both"/>
        <w:pageBreakBefore w:val="0"/>
        <w:spacing w:beforeAutospacing="0" w:afterAutospacing="0" w:line="36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26.3.10</w:t>
      </w:r>
      <w:r>
        <w:rPr>
          <w:rFonts w:hint="eastAsia" w:ascii="宋体" w:hAnsi="宋体" w:eastAsia="宋体" w:cs="宋体"/>
          <w:color w:val="ff0000"/>
          <w:sz w:val="24"/>
          <w:szCs w:val="24"/>
          <w:highlight w:val="none"/>
          <w:lang w:val="en-US" w:eastAsia="zh-CN"/>
        </w:rPr>
        <w:t xml:space="preserve">供应商</w:t>
      </w:r>
      <w:r>
        <w:rPr>
          <w:rFonts w:hint="eastAsia" w:ascii="宋体" w:hAnsi="宋体" w:eastAsia="宋体" w:cs="宋体"/>
          <w:color w:val="ff0000"/>
          <w:sz w:val="24"/>
          <w:szCs w:val="24"/>
          <w:highlight w:val="none"/>
        </w:rPr>
        <w:t xml:space="preserve">不能证明其报价合理性的，</w:t>
      </w:r>
      <w:r>
        <w:rPr>
          <w:rFonts w:hint="eastAsia" w:ascii="宋体" w:hAnsi="宋体" w:eastAsia="宋体" w:cs="宋体"/>
          <w:color w:val="ff0000"/>
          <w:sz w:val="24"/>
          <w:szCs w:val="24"/>
          <w:highlight w:val="none"/>
          <w:lang w:val="en-US" w:eastAsia="zh-CN"/>
        </w:rPr>
        <w:t xml:space="preserve">磋商小组</w:t>
      </w:r>
      <w:r>
        <w:rPr>
          <w:rFonts w:hint="eastAsia" w:ascii="宋体" w:hAnsi="宋体" w:eastAsia="宋体" w:cs="宋体"/>
          <w:color w:val="ff0000"/>
          <w:sz w:val="24"/>
          <w:szCs w:val="24"/>
          <w:highlight w:val="none"/>
        </w:rPr>
        <w:t xml:space="preserve">应当将其作为无效</w:t>
      </w:r>
      <w:r>
        <w:rPr>
          <w:rFonts w:hint="eastAsia" w:ascii="宋体" w:hAnsi="宋体" w:eastAsia="宋体" w:cs="宋体"/>
          <w:color w:val="ff0000"/>
          <w:sz w:val="24"/>
          <w:szCs w:val="24"/>
          <w:highlight w:val="none"/>
          <w:lang w:val="en-US" w:eastAsia="zh-CN" w:bidi="ar-SA"/>
        </w:rPr>
        <w:t xml:space="preserve">响应</w:t>
      </w:r>
      <w:r>
        <w:rPr>
          <w:rFonts w:hint="eastAsia" w:ascii="宋体" w:hAnsi="宋体" w:eastAsia="宋体" w:cs="宋体"/>
          <w:color w:val="ff0000"/>
          <w:sz w:val="24"/>
          <w:szCs w:val="24"/>
          <w:highlight w:val="none"/>
        </w:rPr>
        <w:t xml:space="preserve">处理。</w:t>
      </w:r>
      <w:r/>
    </w:p>
    <w:p>
      <w:pPr>
        <w:pStyle w:val="656"/>
        <w:ind w:firstLine="480"/>
        <w:jc w:val="both"/>
        <w:pageBreakBefore w:val="0"/>
        <w:spacing w:beforeAutospacing="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（一）评审过程中出现下列情形之一的，</w:t>
      </w:r>
      <w:r>
        <w:rPr>
          <w:rFonts w:hint="eastAsia" w:ascii="宋体" w:hAnsi="宋体" w:eastAsia="宋体" w:cs="宋体"/>
          <w:color w:val="ff0000"/>
          <w:sz w:val="24"/>
          <w:szCs w:val="24"/>
          <w:highlight w:val="none"/>
          <w:lang w:val="en-US" w:eastAsia="zh-CN"/>
        </w:rPr>
        <w:t xml:space="preserve">磋商小组</w:t>
      </w:r>
      <w:r>
        <w:rPr>
          <w:rFonts w:hint="eastAsia" w:ascii="宋体" w:hAnsi="宋体" w:eastAsia="宋体" w:cs="宋体"/>
          <w:color w:val="ff0000"/>
          <w:sz w:val="24"/>
          <w:szCs w:val="24"/>
          <w:highlight w:val="none"/>
          <w:lang w:val="en-US" w:eastAsia="zh-CN" w:bidi="ar-SA"/>
        </w:rPr>
        <w:t xml:space="preserve">应当启动异常低价响应审查程序：</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3.投标（响应）报价低于采购项目最高限价45%的，即投标（响应）报价&lt;采购项目最高限价×45%；</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56"/>
        <w:ind w:left="0" w:right="0" w:firstLine="480"/>
        <w:jc w:val="both"/>
        <w:pageBreakBefore w:val="0"/>
        <w:spacing w:before="0" w:beforeAutospacing="0" w:after="0" w:afterAutospacing="0" w:line="360" w:lineRule="exact"/>
        <w:widowControl w:val="off"/>
        <w:rPr>
          <w:color w:val="ff0000"/>
        </w:rPr>
      </w:pPr>
      <w:r>
        <w:rPr>
          <w:rFonts w:hint="eastAsia" w:ascii="宋体" w:hAnsi="宋体" w:eastAsia="宋体" w:cs="宋体"/>
          <w:color w:val="ff0000"/>
          <w:sz w:val="24"/>
          <w:szCs w:val="24"/>
          <w:highlight w:val="none"/>
          <w:lang w:val="en-US" w:eastAsia="zh-CN" w:bidi="ar-SA"/>
        </w:rPr>
        <w:t xml:space="preserve">异常低价响应审查的启动原因、审查意见和审查结果应当在评审报告中记录，并随供应商提供的相关书面说明及证明材料，以及评审委员会有关互联网浏览、查询历史一并归档。</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bookmarkStart w:id="135" w:name="_Toc513029234"/>
      <w:r/>
      <w:bookmarkStart w:id="136" w:name="_Toc16938550"/>
      <w:r/>
      <w:bookmarkStart w:id="137" w:name="_Toc20823306"/>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及磋商小组联系。</w:t>
      </w:r>
      <w:bookmarkEnd w:id="135"/>
      <w:r/>
      <w:bookmarkEnd w:id="136"/>
      <w:r/>
      <w:bookmarkEnd w:id="137"/>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27、磋商程序及评审方法和评审标准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27.1磋商程序</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27.2 评审方法和评审标准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27.3采购活动终止的情况</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6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38" w:name="_Toc513029235"/>
      <w:r/>
      <w:bookmarkStart w:id="139" w:name="_Toc16938551"/>
      <w:r/>
      <w:bookmarkStart w:id="140" w:name="_Toc20823307"/>
      <w:r/>
      <w:bookmarkStart w:id="141" w:name="_Toc120614219"/>
      <w:r>
        <w:rPr>
          <w:rFonts w:hint="eastAsia" w:ascii="宋体" w:hAnsi="宋体" w:eastAsia="宋体" w:cs="宋体"/>
          <w:b/>
          <w:color w:val="auto"/>
          <w:sz w:val="24"/>
          <w:szCs w:val="24"/>
          <w:highlight w:val="none"/>
        </w:rPr>
        <w:t xml:space="preserve">六、</w:t>
      </w:r>
      <w:bookmarkEnd w:id="138"/>
      <w:r/>
      <w:bookmarkEnd w:id="139"/>
      <w:r/>
      <w:bookmarkEnd w:id="140"/>
      <w:r/>
      <w:bookmarkEnd w:id="141"/>
      <w:r>
        <w:rPr>
          <w:rFonts w:hint="eastAsia" w:ascii="宋体" w:hAnsi="宋体" w:eastAsia="宋体" w:cs="宋体"/>
          <w:b/>
          <w:color w:val="auto"/>
          <w:sz w:val="24"/>
          <w:szCs w:val="24"/>
          <w:highlight w:val="none"/>
        </w:rPr>
        <w:t xml:space="preserve">成交</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42" w:name="_Toc20823310"/>
      <w:r/>
      <w:bookmarkStart w:id="143" w:name="_Toc16938554"/>
      <w:r/>
      <w:bookmarkStart w:id="144" w:name="_Toc513029238"/>
      <w:r>
        <w:rPr>
          <w:rFonts w:hint="eastAsia" w:ascii="宋体" w:hAnsi="宋体" w:eastAsia="宋体" w:cs="宋体"/>
          <w:color w:val="auto"/>
          <w:sz w:val="24"/>
          <w:szCs w:val="24"/>
          <w:highlight w:val="none"/>
        </w:rPr>
        <w:t xml:space="preserve">28、</w:t>
      </w:r>
      <w:bookmarkEnd w:id="142"/>
      <w:r>
        <w:rPr>
          <w:rFonts w:hint="eastAsia" w:ascii="宋体" w:hAnsi="宋体" w:eastAsia="宋体" w:cs="宋体"/>
          <w:color w:val="auto"/>
          <w:sz w:val="24"/>
          <w:szCs w:val="24"/>
          <w:highlight w:val="none"/>
        </w:rPr>
        <w:t xml:space="preserve">确定</w:t>
      </w:r>
      <w:bookmarkEnd w:id="143"/>
      <w:r/>
      <w:bookmarkEnd w:id="144"/>
      <w:r>
        <w:rPr>
          <w:rFonts w:hint="eastAsia" w:ascii="宋体" w:hAnsi="宋体" w:eastAsia="宋体" w:cs="宋体"/>
          <w:color w:val="auto"/>
          <w:sz w:val="24"/>
          <w:szCs w:val="24"/>
          <w:highlight w:val="none"/>
        </w:rPr>
        <w:t xml:space="preserve">成交单位</w:t>
      </w:r>
      <w:r/>
    </w:p>
    <w:p>
      <w:pPr>
        <w:pStyle w:val="656"/>
        <w:ind w:firstLine="478"/>
        <w:jc w:val="both"/>
        <w:pageBreakBefore w:val="0"/>
        <w:spacing w:beforeAutospacing="0" w:after="145" w:afterAutospacing="0" w:line="3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盐城市政府采购网”发布成交结果公告，公告期限为1个工作日。</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工作人员恶意串通的。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45" w:name="_Toc200451960"/>
      <w:r>
        <w:rPr>
          <w:rFonts w:hint="eastAsia" w:ascii="宋体" w:hAnsi="宋体" w:eastAsia="宋体" w:cs="宋体"/>
          <w:color w:val="auto"/>
          <w:sz w:val="24"/>
          <w:szCs w:val="24"/>
          <w:highlight w:val="none"/>
        </w:rPr>
        <w:t xml:space="preserve">29、质疑处理</w:t>
      </w:r>
      <w:bookmarkEnd w:id="145"/>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文件提出质疑的，为收到</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29.2.3对成交结果提出质疑的，为成交结果公告期限届满之日。</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负责答复。</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采购人质疑接收人及联系方式见磋商文件第一章。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质疑人（或授权委托人）须是投标单位正式员工，授权委托人须提供投标单位为其缴纳的本年度近期社保证明。</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质疑必须有参加投标单位法定代表人或授权代表（响应文件中所确定的）签字,并加盖供应商公章,以书面送达的方式提交。未按上述要求提交的质疑函（含传真、电子邮件等非书面送达方式）采购人有权不予受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656"/>
        <w:ind w:firstLine="468"/>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30、成交通知书</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46" w:name="_Toc120614220"/>
      <w:r/>
      <w:bookmarkStart w:id="147" w:name="_Toc16938552"/>
      <w:r/>
      <w:bookmarkStart w:id="148" w:name="_Toc20823308"/>
      <w:r/>
      <w:bookmarkStart w:id="149" w:name="_Toc513029236"/>
      <w:r>
        <w:rPr>
          <w:rFonts w:hint="eastAsia" w:ascii="宋体" w:hAnsi="宋体" w:eastAsia="宋体" w:cs="宋体"/>
          <w:b/>
          <w:color w:val="auto"/>
          <w:sz w:val="24"/>
          <w:szCs w:val="24"/>
          <w:highlight w:val="none"/>
        </w:rPr>
        <w:t xml:space="preserve">七、授予合同</w:t>
      </w:r>
      <w:bookmarkEnd w:id="146"/>
      <w:r/>
      <w:bookmarkEnd w:id="147"/>
      <w:r/>
      <w:bookmarkEnd w:id="148"/>
      <w:r/>
      <w:bookmarkEnd w:id="149"/>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50" w:name="_Toc513029237"/>
      <w:r/>
      <w:bookmarkStart w:id="151" w:name="_Toc20823309"/>
      <w:r/>
      <w:bookmarkStart w:id="152" w:name="_Toc16938553"/>
      <w:r>
        <w:rPr>
          <w:rFonts w:hint="eastAsia" w:ascii="宋体" w:hAnsi="宋体" w:eastAsia="宋体" w:cs="宋体"/>
          <w:color w:val="auto"/>
          <w:sz w:val="24"/>
          <w:szCs w:val="24"/>
          <w:highlight w:val="none"/>
        </w:rPr>
        <w:t xml:space="preserve">31.签订合同</w:t>
      </w:r>
      <w:bookmarkEnd w:id="150"/>
      <w:r/>
      <w:bookmarkEnd w:id="151"/>
      <w:r/>
      <w:bookmarkEnd w:id="152"/>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31.l成交供应商应当在成交通知书发出之日起三十日内（原则上应在15日内签订采购合同），按照磋商文件确定的事项与采购人签订政府采购合同。合同签订</w:t>
      </w:r>
      <w:r>
        <w:rPr>
          <w:rFonts w:hint="eastAsia" w:ascii="宋体" w:hAnsi="宋体" w:eastAsia="宋体" w:cs="宋体"/>
          <w:color w:val="auto"/>
          <w:sz w:val="24"/>
          <w:szCs w:val="24"/>
          <w:highlight w:val="none"/>
          <w:lang w:val="en-US" w:eastAsia="zh-CN"/>
        </w:rPr>
        <w:t xml:space="preserve">之日起</w:t>
      </w:r>
      <w:r>
        <w:rPr>
          <w:rFonts w:hint="eastAsia" w:ascii="宋体" w:hAnsi="宋体" w:eastAsia="宋体" w:cs="宋体"/>
          <w:color w:val="auto"/>
          <w:sz w:val="24"/>
          <w:szCs w:val="24"/>
          <w:highlight w:val="none"/>
        </w:rPr>
        <w:t xml:space="preserve">2个工作日内</w:t>
      </w:r>
      <w:r>
        <w:rPr>
          <w:rFonts w:hint="eastAsia" w:ascii="宋体" w:hAnsi="宋体" w:eastAsia="宋体" w:cs="宋体"/>
          <w:color w:val="auto"/>
          <w:sz w:val="24"/>
          <w:szCs w:val="24"/>
          <w:highlight w:val="none"/>
          <w:lang w:val="en-US" w:eastAsia="zh-CN"/>
        </w:rPr>
        <w:t xml:space="preserve">在财政指定平台</w:t>
      </w:r>
      <w:r>
        <w:rPr>
          <w:rFonts w:hint="eastAsia" w:ascii="宋体" w:hAnsi="宋体" w:eastAsia="宋体" w:cs="宋体"/>
          <w:color w:val="auto"/>
          <w:sz w:val="24"/>
          <w:szCs w:val="24"/>
          <w:highlight w:val="none"/>
        </w:rPr>
        <w:t xml:space="preserve">公示。所签订的合同不得对招标文件确定的事项和中标人投标文件作实质性修改。</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 xml:space="preserve">包造成采购人损失的，成交供应商应承担相应赔偿责任。</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32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标的物的追加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服务（包含与服务相关的货物）的，在不改变合同其他条款的前提下，可以与成交供应商协商签订补充合同，但所有补充合同的采购金额不超过原合同金额10%。</w:t>
      </w:r>
      <w:r/>
    </w:p>
    <w:p>
      <w:pPr>
        <w:pStyle w:val="656"/>
        <w:numPr>
          <w:ilvl w:val="0"/>
          <w:numId w:val="0"/>
        </w:numPr>
        <w:ind w:left="474" w:firstLine="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lang w:val="en-US" w:eastAsia="zh-CN"/>
        </w:rPr>
        <w:outlineLvl w:val="1"/>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pageBreakBefore w:val="0"/>
        <w:spacing w:line="36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.3.1中小企业定义：</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 xml:space="preserve">公告</w:t>
      </w:r>
      <w:r>
        <w:rPr>
          <w:rFonts w:hint="eastAsia" w:ascii="宋体" w:hAnsi="宋体" w:eastAsia="宋体" w:cs="宋体"/>
          <w:color w:val="auto"/>
          <w:sz w:val="24"/>
          <w:szCs w:val="24"/>
          <w:highlight w:val="none"/>
          <w:shd w:val="clear" w:color="auto" w:fill="auto"/>
        </w:rPr>
        <w:t xml:space="preserve">》。</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pageBreakBefore w:val="0"/>
        <w:spacing w:before="0" w:after="0" w:line="360" w:lineRule="exact"/>
        <w:widowControl w:val="off"/>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p>
    <w:p>
      <w:pPr>
        <w:ind w:firstLine="480"/>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履约保证金的金额和是否缴纳由采购人与成交供应商协商确定。确需收取履约保证金的，履约保证金的缴纳形式：</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如以履约保函（保险）形式缴纳履约保证金，供应商可通过政府采购电子履约保函（保险）平台（www.jsdzbh.com）在线申请履约保函（保险）。</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1"/>
      </w:pPr>
      <w:r>
        <w:rPr>
          <w:rFonts w:hint="eastAsia" w:ascii="宋体" w:hAnsi="宋体" w:eastAsia="宋体" w:cs="宋体"/>
          <w:color w:val="auto"/>
          <w:sz w:val="24"/>
          <w:szCs w:val="24"/>
          <w:highlight w:val="none"/>
          <w:shd w:val="clear" w:color="auto" w:fill="auto"/>
          <w:lang w:val="en-US" w:eastAsia="zh-CN" w:bidi="ar-SA"/>
        </w:rPr>
        <w:t xml:space="preserve">34.预付款制度</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%。在签订合同时，成交供应商明确书面表示无需预付款或者主动要求降低预付款比例的，采购人可就预付款比例作相应调整。</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1"/>
      </w:pPr>
      <w:r>
        <w:rPr>
          <w:rFonts w:hint="eastAsia" w:ascii="宋体" w:hAnsi="宋体" w:eastAsia="宋体" w:cs="宋体"/>
          <w:color w:val="auto"/>
          <w:sz w:val="24"/>
          <w:szCs w:val="24"/>
          <w:highlight w:val="none"/>
          <w:shd w:val="clear" w:color="auto" w:fill="auto"/>
          <w:lang w:val="en-US" w:eastAsia="zh-CN" w:bidi="ar-SA"/>
        </w:rPr>
        <w:t xml:space="preserve">35.收费 </w:t>
      </w:r>
      <w:r/>
    </w:p>
    <w:p>
      <w:pPr>
        <w:pStyle w:val="656"/>
        <w:ind w:firstLine="480"/>
        <w:jc w:val="both"/>
        <w:spacing w:beforeAutospacing="0" w:afterAutospacing="0" w:line="460" w:lineRule="exact"/>
        <w:rPr>
          <w:rFonts w:hint="eastAsia" w:ascii="宋体" w:hAnsi="宋体" w:eastAsia="宋体" w:cs="Times New Roman"/>
          <w:color w:val="000000"/>
          <w:sz w:val="24"/>
          <w:szCs w:val="24"/>
          <w:lang w:val="en-US" w:eastAsia="zh-CN" w:bidi="ar-SA"/>
        </w:rPr>
        <w:outlineLvl w:val="9"/>
      </w:pPr>
      <w:r>
        <w:rPr>
          <w:rFonts w:hint="eastAsia" w:ascii="宋体" w:hAnsi="宋体" w:eastAsia="宋体" w:cs="宋体"/>
          <w:sz w:val="24"/>
          <w:lang w:val="en-US" w:eastAsia="zh-CN"/>
        </w:rPr>
        <w:t xml:space="preserve">成交</w:t>
      </w:r>
      <w:r>
        <w:rPr>
          <w:rFonts w:hint="eastAsia" w:ascii="宋体" w:hAnsi="宋体" w:eastAsia="宋体" w:cs="宋体"/>
          <w:sz w:val="24"/>
        </w:rPr>
        <w:t xml:space="preserve">服务费：本次</w:t>
      </w:r>
      <w:r>
        <w:rPr>
          <w:rFonts w:hint="eastAsia" w:ascii="宋体" w:hAnsi="宋体" w:eastAsia="宋体" w:cs="宋体"/>
          <w:sz w:val="24"/>
          <w:lang w:val="en-US" w:eastAsia="zh-CN"/>
        </w:rPr>
        <w:t xml:space="preserve">招标采购</w:t>
      </w:r>
      <w:r>
        <w:rPr>
          <w:rFonts w:hint="eastAsia" w:ascii="宋体" w:hAnsi="宋体" w:eastAsia="宋体" w:cs="宋体"/>
          <w:sz w:val="24"/>
        </w:rPr>
        <w:t xml:space="preserve">的代理服务费按《江苏省政府采购代理服务收费指导意见》的通知（苏政采协【2024】20号）收费标准进行计取（按差额定率分档累进法计算），</w:t>
      </w:r>
      <w:r>
        <w:rPr>
          <w:rFonts w:hint="eastAsia" w:ascii="宋体" w:hAnsi="宋体" w:eastAsia="宋体" w:cs="宋体"/>
          <w:sz w:val="24"/>
          <w:lang w:val="en-US" w:eastAsia="zh-CN"/>
        </w:rPr>
        <w:t xml:space="preserve">成交</w:t>
      </w:r>
      <w:r>
        <w:rPr>
          <w:rFonts w:hint="eastAsia" w:ascii="宋体" w:hAnsi="宋体" w:eastAsia="宋体" w:cs="宋体"/>
          <w:sz w:val="24"/>
        </w:rPr>
        <w:t xml:space="preserve">金额50万元以下(含50万元)收取1.</w:t>
      </w:r>
      <w:r>
        <w:rPr>
          <w:rFonts w:hint="eastAsia" w:ascii="宋体" w:hAnsi="宋体" w:eastAsia="宋体" w:cs="宋体"/>
          <w:sz w:val="24"/>
          <w:lang w:val="en-US" w:eastAsia="zh-CN"/>
        </w:rPr>
        <w:t xml:space="preserve">6</w:t>
      </w:r>
      <w:r>
        <w:rPr>
          <w:rFonts w:hint="eastAsia" w:ascii="宋体" w:hAnsi="宋体" w:eastAsia="宋体" w:cs="宋体"/>
          <w:sz w:val="24"/>
        </w:rPr>
        <w:t xml:space="preserve">%，50万元-400万元(含400万元) 收取1.5%；由成交供应商在领取成交通知书前一次性支付。（本条不单独列表报价，自行综合考虑在投标报价中，</w:t>
      </w:r>
      <w:r>
        <w:rPr>
          <w:rFonts w:hint="eastAsia" w:ascii="宋体" w:hAnsi="宋体" w:eastAsia="宋体" w:cs="宋体"/>
          <w:sz w:val="24"/>
          <w:lang w:val="en-US" w:eastAsia="zh-CN"/>
        </w:rPr>
        <w:t xml:space="preserve">成交</w:t>
      </w:r>
      <w:r>
        <w:rPr>
          <w:rFonts w:hint="eastAsia" w:ascii="宋体" w:hAnsi="宋体" w:eastAsia="宋体" w:cs="宋体"/>
          <w:sz w:val="24"/>
        </w:rPr>
        <w:t xml:space="preserve">后采购人不再另行支付）。</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1"/>
      </w:pPr>
      <w:r>
        <w:rPr>
          <w:rFonts w:hint="eastAsia" w:ascii="宋体" w:hAnsi="宋体" w:eastAsia="宋体" w:cs="宋体"/>
          <w:color w:val="auto"/>
          <w:sz w:val="24"/>
          <w:szCs w:val="24"/>
          <w:highlight w:val="none"/>
          <w:shd w:val="clear" w:color="auto" w:fill="auto"/>
          <w:lang w:val="en-US" w:eastAsia="zh-CN" w:bidi="ar-SA"/>
        </w:rPr>
        <w:t xml:space="preserve">36.踏勘</w:t>
      </w:r>
      <w:r/>
    </w:p>
    <w:p>
      <w:pPr>
        <w:pStyle w:val="656"/>
        <w:ind w:firstLine="480"/>
        <w:jc w:val="both"/>
        <w:spacing w:beforeAutospacing="0" w:afterAutospacing="0" w:line="460" w:lineRule="exact"/>
        <w:rPr>
          <w:rFonts w:hint="eastAsia" w:ascii="宋体" w:hAnsi="宋体" w:eastAsia="宋体" w:cs="宋体"/>
          <w:b w:val="0"/>
          <w:bCs w:val="0"/>
          <w:color w:val="000000"/>
          <w:lang w:val="en-US" w:eastAsia="zh-CN"/>
        </w:rPr>
        <w:outlineLvl w:val="9"/>
      </w:pPr>
      <w:r>
        <w:rPr>
          <w:rFonts w:hint="eastAsia" w:ascii="宋体" w:hAnsi="宋体" w:eastAsia="宋体" w:cs="宋体"/>
          <w:b w:val="0"/>
          <w:bCs w:val="0"/>
          <w:color w:val="000000"/>
          <w:lang w:val="en-US" w:eastAsia="zh-CN"/>
        </w:rPr>
        <w:t xml:space="preserve">36.1供应商自行到项目现场进行踏勘，充分了解位置、情况、规模及任何其它足以影响投标报价的情况，并将本项目可预见的相关费用考虑到投标报价中，成交后采购人可认为本项目可预见费用已包括在投标报价中。任何因忽视或误解项目情况而导致的索赔将不予认可。</w:t>
      </w:r>
      <w:r/>
    </w:p>
    <w:p>
      <w:pPr>
        <w:pStyle w:val="656"/>
        <w:ind w:firstLine="480"/>
        <w:jc w:val="both"/>
        <w:spacing w:beforeAutospacing="0" w:afterAutospacing="0" w:line="460" w:lineRule="exact"/>
        <w:rPr>
          <w:rFonts w:hint="eastAsia" w:ascii="宋体" w:hAnsi="宋体" w:eastAsia="宋体" w:cs="宋体"/>
          <w:b w:val="0"/>
          <w:bCs w:val="0"/>
          <w:color w:val="000000"/>
          <w:lang w:val="en-US" w:eastAsia="zh-CN"/>
        </w:rPr>
        <w:outlineLvl w:val="9"/>
      </w:pPr>
      <w:r>
        <w:rPr>
          <w:rFonts w:hint="eastAsia" w:ascii="宋体" w:hAnsi="宋体" w:eastAsia="宋体" w:cs="宋体"/>
          <w:b w:val="0"/>
          <w:bCs w:val="0"/>
          <w:color w:val="000000"/>
          <w:lang w:val="en-US" w:eastAsia="zh-CN"/>
        </w:rPr>
        <w:t xml:space="preserve">36.2采购人在踏勘现场中介绍的项目情况，供应商在编制响应文件时参考，采购人不对供应商据此作出的判断和决策负责。</w:t>
      </w:r>
      <w:r/>
    </w:p>
    <w:p>
      <w:pPr>
        <w:pStyle w:val="666"/>
        <w:ind w:left="0" w:firstLine="560"/>
        <w:spacing w:after="0" w:line="52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36.3供应商承担踏勘现场所发生的自身费用。</w:t>
      </w:r>
      <w:r/>
    </w:p>
    <w:p>
      <w:pPr>
        <w:pStyle w:val="656"/>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656"/>
        <w:ind w:firstLine="2640"/>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56"/>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56"/>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56"/>
        <w:ind w:firstLine="2640"/>
        <w:jc w:val="both"/>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第三章  合同文本</w:t>
      </w:r>
      <w:r/>
    </w:p>
    <w:p>
      <w:pPr>
        <w:pStyle w:val="656"/>
        <w:ind w:firstLine="480"/>
        <w:jc w:val="both"/>
        <w:spacing w:beforeAutospacing="0" w:afterAutospacing="0" w:line="0" w:lineRule="atLeast"/>
        <w:rPr>
          <w:color w:val="auto"/>
          <w:highlight w:val="none"/>
        </w:rPr>
      </w:pPr>
      <w:r/>
      <w:bookmarkStart w:id="153" w:name="_Toc20823315"/>
      <w:r/>
      <w:bookmarkStart w:id="154" w:name="_Toc16938559"/>
      <w:r/>
      <w:bookmarkStart w:id="155" w:name="_Toc513029243"/>
      <w:r>
        <w:rPr>
          <w:rFonts w:hint="eastAsia" w:ascii="宋体" w:hAnsi="宋体" w:eastAsia="宋体" w:cs="宋体"/>
          <w:color w:val="auto"/>
          <w:highlight w:val="none"/>
        </w:rPr>
        <w:t xml:space="preserve">以下为成交后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本项目合同的通用条款，成交供应商不得提出实质性的修改。</w:t>
      </w:r>
      <w:bookmarkEnd w:id="153"/>
      <w:r/>
      <w:bookmarkEnd w:id="154"/>
      <w:r/>
      <w:bookmarkEnd w:id="155"/>
      <w:r>
        <w:rPr>
          <w:color w:val="auto"/>
          <w:highlight w:val="none"/>
        </w:rPr>
        <w:t xml:space="preserve"> </w:t>
      </w:r>
      <w:r/>
    </w:p>
    <w:p>
      <w:pPr>
        <w:pStyle w:val="656"/>
        <w:jc w:val="center"/>
        <w:spacing w:before="145" w:beforeAutospacing="0" w:after="145" w:afterAutospacing="0"/>
        <w:rPr>
          <w:color w:val="auto"/>
          <w:highlight w:val="none"/>
        </w:rPr>
        <w:outlineLvl w:val="0"/>
      </w:pPr>
      <w:r>
        <w:rPr>
          <w:rFonts w:hint="eastAsia" w:ascii="宋体" w:hAnsi="宋体" w:eastAsia="宋体" w:cs="宋体"/>
          <w:b/>
          <w:color w:val="auto"/>
          <w:sz w:val="30"/>
          <w:szCs w:val="30"/>
          <w:highlight w:val="none"/>
        </w:rPr>
        <w:t xml:space="preserve">盐城市政府采购合同（合同编号）</w:t>
      </w:r>
      <w:r/>
    </w:p>
    <w:p>
      <w:pPr>
        <w:pStyle w:val="656"/>
        <w:ind w:firstLine="480"/>
        <w:jc w:val="both"/>
        <w:keepLines w:val="0"/>
        <w:keepNext w:val="0"/>
        <w:pageBreakBefore w:val="0"/>
        <w:spacing w:before="120" w:beforeAutospacing="0" w:after="120" w:afterAutospacing="0" w:line="36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项目名称：                          </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项目编号：</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甲方：（买方）_________</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乙方：（卖方）_________</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项目竞争性磋商的结果，签署本合同。</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rPr>
        <w:outlineLvl w:val="0"/>
      </w:pPr>
      <w:r>
        <w:rPr>
          <w:rFonts w:hint="eastAsia" w:ascii="宋体" w:hAnsi="宋体" w:eastAsia="宋体" w:cs="宋体"/>
          <w:b/>
          <w:color w:val="auto"/>
          <w:highlight w:val="none"/>
        </w:rPr>
        <w:t xml:space="preserve">一、合同内容</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1.1 标的名称：</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1.2 标的质量：</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1.3 标的数量（规模）：</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1.4 履行时间（期限）：</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1.5 履行地点：</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1.6 履行方式：</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rPr>
        <w:outlineLvl w:val="0"/>
      </w:pPr>
      <w:r>
        <w:rPr>
          <w:rFonts w:hint="eastAsia" w:ascii="宋体" w:hAnsi="宋体" w:eastAsia="宋体" w:cs="宋体"/>
          <w:b/>
          <w:color w:val="auto"/>
          <w:highlight w:val="none"/>
        </w:rPr>
        <w:t xml:space="preserve">二、合同金额</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2.1 本合同金额为（大写）：_________________圆（__________元）人民币。</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rPr>
        <w:outlineLvl w:val="0"/>
      </w:pPr>
      <w:r>
        <w:rPr>
          <w:rFonts w:hint="eastAsia" w:ascii="宋体" w:hAnsi="宋体" w:eastAsia="宋体" w:cs="宋体"/>
          <w:b/>
          <w:color w:val="auto"/>
          <w:highlight w:val="none"/>
        </w:rPr>
        <w:t xml:space="preserve">三、技术资料</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3.1乙方应按磋商文件规定的时间向甲方提供与合同标的有关的技术资料。</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rPr>
        <w:t xml:space="preserve">四、知</w:t>
      </w:r>
      <w:r>
        <w:rPr>
          <w:rFonts w:hint="eastAsia" w:ascii="宋体" w:hAnsi="宋体" w:eastAsia="宋体" w:cs="宋体"/>
          <w:b/>
          <w:color w:val="auto"/>
          <w:highlight w:val="none"/>
          <w:shd w:val="clear" w:color="auto" w:fill="auto"/>
        </w:rPr>
        <w:t xml:space="preserve">识产权</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五、产权担保</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5.1 乙方保证所交付的合同标的的所有权完全属于乙方且无任何抵押、查封等产权瑕疵。</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六、履约保证金</w:t>
      </w:r>
      <w:r/>
    </w:p>
    <w:p>
      <w:pPr>
        <w:pStyle w:val="656"/>
        <w:ind w:firstLine="480"/>
        <w:jc w:val="both"/>
        <w:keepLines w:val="0"/>
        <w:keepNext w:val="0"/>
        <w:pageBreakBefore w:val="0"/>
        <w:spacing w:before="120" w:beforeAutospacing="0" w:after="120" w:afterAutospacing="0" w:line="360" w:lineRule="exact"/>
        <w:widowControl w:val="off"/>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6.1 乙方交纳人民币_________元作为本合同的履约保证金。</w:t>
      </w:r>
      <w:r/>
    </w:p>
    <w:p>
      <w:pPr>
        <w:pStyle w:val="65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2确需收取履约保证金的，</w:t>
      </w:r>
      <w:r>
        <w:rPr>
          <w:rFonts w:hint="eastAsia" w:ascii="宋体" w:hAnsi="宋体" w:eastAsia="宋体" w:cs="宋体"/>
          <w:color w:val="auto"/>
          <w:highlight w:val="none"/>
          <w:shd w:val="clear" w:color="auto" w:fill="auto"/>
          <w:lang w:eastAsia="zh-CN"/>
        </w:rPr>
        <w:t xml:space="preserve">履约保证金的缴纳形式：</w:t>
      </w:r>
      <w:r/>
    </w:p>
    <w:p>
      <w:pPr>
        <w:pStyle w:val="65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6.2.1</w:t>
      </w:r>
      <w:r>
        <w:rPr>
          <w:rFonts w:hint="eastAsia" w:ascii="宋体" w:hAnsi="宋体" w:eastAsia="宋体" w:cs="宋体"/>
          <w:color w:val="auto"/>
          <w:highlight w:val="none"/>
          <w:shd w:val="clear" w:color="auto" w:fill="auto"/>
        </w:rPr>
        <w:t xml:space="preserve">供应商应当以支票、汇票、本票或者金融机构、担保机构出具的保函等非现金形式提交</w:t>
      </w:r>
      <w:r>
        <w:rPr>
          <w:rFonts w:hint="eastAsia" w:ascii="宋体" w:hAnsi="宋体" w:eastAsia="宋体" w:cs="宋体"/>
          <w:color w:val="auto"/>
          <w:highlight w:val="none"/>
          <w:shd w:val="clear" w:color="auto" w:fill="auto"/>
          <w:lang w:eastAsia="zh-CN"/>
        </w:rPr>
        <w:t xml:space="preserve">履约保证金</w:t>
      </w:r>
      <w:r>
        <w:rPr>
          <w:rFonts w:hint="eastAsia" w:ascii="宋体" w:hAnsi="宋体" w:eastAsia="宋体" w:cs="宋体"/>
          <w:color w:val="auto"/>
          <w:highlight w:val="none"/>
          <w:shd w:val="clear" w:color="auto" w:fill="auto"/>
        </w:rPr>
        <w:t xml:space="preserve">。依据《关于在全省政府采购领域推行电子履约保函（保险）的通知》，鼓励供应商自愿使用</w:t>
      </w:r>
      <w:r>
        <w:rPr>
          <w:rFonts w:hint="eastAsia" w:ascii="宋体" w:hAnsi="宋体" w:eastAsia="宋体" w:cs="宋体"/>
          <w:color w:val="auto"/>
          <w:highlight w:val="none"/>
          <w:shd w:val="clear" w:color="auto" w:fill="auto"/>
          <w:lang w:eastAsia="zh-CN"/>
        </w:rPr>
        <w:t xml:space="preserve">电子</w:t>
      </w:r>
      <w:r>
        <w:rPr>
          <w:rFonts w:hint="eastAsia" w:ascii="宋体" w:hAnsi="宋体" w:eastAsia="宋体" w:cs="宋体"/>
          <w:color w:val="auto"/>
          <w:highlight w:val="none"/>
          <w:shd w:val="clear" w:color="auto" w:fill="auto"/>
        </w:rPr>
        <w:t xml:space="preserve">履约保函（保险）代替缴纳履约保证金</w:t>
      </w:r>
      <w:r>
        <w:rPr>
          <w:rFonts w:hint="eastAsia" w:ascii="宋体" w:hAnsi="宋体" w:eastAsia="宋体" w:cs="宋体"/>
          <w:color w:val="auto"/>
          <w:highlight w:val="none"/>
          <w:shd w:val="clear" w:color="auto" w:fill="auto"/>
          <w:lang w:eastAsia="zh-CN"/>
        </w:rPr>
        <w:t xml:space="preserve">。</w:t>
      </w:r>
      <w:r/>
    </w:p>
    <w:p>
      <w:pPr>
        <w:pStyle w:val="65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6.2.2 如以履约保函（保险）形式缴纳履约保证金，供应商可通过政府采购电子履约保函（保险）平台（www.jsdzbh.com）在线申请履约保函（保险）。</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合同履行结束后，甲方应及时退还交纳的履约保证金。</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履约保证金的退还：</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.1方式：退还至</w:t>
      </w:r>
      <w:r>
        <w:rPr>
          <w:rFonts w:hint="eastAsia" w:ascii="宋体" w:hAnsi="宋体" w:eastAsia="宋体" w:cs="宋体"/>
          <w:color w:val="auto"/>
          <w:sz w:val="24"/>
          <w:highlight w:val="none"/>
          <w:shd w:val="clear" w:color="auto" w:fill="auto"/>
          <w:lang w:eastAsia="zh-CN"/>
        </w:rPr>
        <w:t xml:space="preserve">供应商</w:t>
      </w:r>
      <w:r>
        <w:rPr>
          <w:rFonts w:hint="eastAsia" w:ascii="宋体" w:hAnsi="宋体" w:eastAsia="宋体" w:cs="宋体"/>
          <w:color w:val="auto"/>
          <w:sz w:val="24"/>
          <w:highlight w:val="none"/>
          <w:shd w:val="clear" w:color="auto" w:fill="auto"/>
        </w:rPr>
        <w:t xml:space="preserve">缴纳履约保证金的账户。如为保函，在到期时自行失效。</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.2时间：验收合格且采购人收到发票后30日内。</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.3条件：按合同要求全部履约完成并经采购人验收合格，且采购人收到中标人出具的发票。</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.4不予退还情形：</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除不可抗力情况外，</w:t>
      </w:r>
      <w:r>
        <w:rPr>
          <w:rFonts w:hint="eastAsia" w:ascii="宋体" w:hAnsi="宋体" w:eastAsia="宋体" w:cs="宋体"/>
          <w:color w:val="auto"/>
          <w:sz w:val="24"/>
          <w:highlight w:val="none"/>
          <w:shd w:val="clear" w:color="auto" w:fill="auto"/>
          <w:lang w:eastAsia="zh-CN"/>
        </w:rPr>
        <w:t xml:space="preserve">供应商</w:t>
      </w:r>
      <w:r>
        <w:rPr>
          <w:rFonts w:hint="eastAsia" w:ascii="宋体" w:hAnsi="宋体" w:eastAsia="宋体" w:cs="宋体"/>
          <w:color w:val="auto"/>
          <w:sz w:val="24"/>
          <w:highlight w:val="none"/>
          <w:shd w:val="clear" w:color="auto" w:fill="auto"/>
        </w:rPr>
        <w:t xml:space="preserve">出现下列情形之一的，其履约保证金，招标人将视情节决定不予退还或部分不予退还。</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（1）中标人无正当理由拒绝签订合同的，或者在签订合同时向采购人提出附加条件或者更改合同实质性内容要求的；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（2）中标人不履行与采购人订立的合同的；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（3）中标人所供货物或服务不符合</w:t>
      </w:r>
      <w:r>
        <w:rPr>
          <w:rFonts w:hint="eastAsia" w:ascii="仿宋" w:hAnsi="仿宋" w:eastAsia="仿宋" w:cs="仿宋"/>
          <w:color w:val="auto"/>
          <w:sz w:val="28"/>
          <w:szCs w:val="28"/>
          <w:highlight w:val="none"/>
          <w:lang w:val="en-US" w:eastAsia="zh-CN"/>
        </w:rPr>
        <w:t xml:space="preserve">磋商</w:t>
      </w:r>
      <w:r>
        <w:rPr>
          <w:rFonts w:hint="eastAsia" w:ascii="宋体" w:hAnsi="宋体" w:eastAsia="宋体" w:cs="宋体"/>
          <w:color w:val="auto"/>
          <w:sz w:val="24"/>
          <w:highlight w:val="none"/>
          <w:shd w:val="clear" w:color="auto" w:fill="auto"/>
        </w:rPr>
        <w:t xml:space="preserve">文件规定要求的；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（4）中标人采取欺骗、弄虚作假方式投标的或与</w:t>
      </w:r>
      <w:r>
        <w:rPr>
          <w:rFonts w:hint="eastAsia" w:ascii="宋体" w:hAnsi="宋体" w:eastAsia="宋体" w:cs="宋体"/>
          <w:color w:val="auto"/>
          <w:sz w:val="24"/>
          <w:highlight w:val="none"/>
          <w:shd w:val="clear" w:color="auto" w:fill="auto"/>
          <w:lang w:eastAsia="zh-CN"/>
        </w:rPr>
        <w:t xml:space="preserve">其他供应商</w:t>
      </w:r>
      <w:r>
        <w:rPr>
          <w:rFonts w:hint="eastAsia" w:ascii="宋体" w:hAnsi="宋体" w:eastAsia="宋体" w:cs="宋体"/>
          <w:color w:val="auto"/>
          <w:sz w:val="24"/>
          <w:highlight w:val="none"/>
          <w:shd w:val="clear" w:color="auto" w:fill="auto"/>
        </w:rPr>
        <w:t xml:space="preserve">串通投标的；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（5）中标人将合同内容转包、违法分包的；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（6）中标人故意捏造事实或伪造证明材料，进行虚假恶意投诉或反映的。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56"/>
        <w:ind w:firstLine="482"/>
        <w:jc w:val="both"/>
        <w:keepLines w:val="0"/>
        <w:keepNext w:val="0"/>
        <w:pageBreakBefore w:val="0"/>
        <w:spacing w:before="145" w:beforeAutospacing="0" w:after="145"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七、合同转包或分包</w:t>
      </w:r>
      <w:r/>
    </w:p>
    <w:p>
      <w:pPr>
        <w:pStyle w:val="656"/>
        <w:ind w:firstLine="480"/>
        <w:jc w:val="both"/>
        <w:keepLines w:val="0"/>
        <w:keepNext w:val="0"/>
        <w:pageBreakBefore w:val="0"/>
        <w:spacing w:before="145" w:beforeAutospacing="0" w:after="145"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7.1乙方不得将合同标的转包给他人履行。</w:t>
      </w:r>
      <w:r/>
    </w:p>
    <w:p>
      <w:pPr>
        <w:pStyle w:val="656"/>
        <w:ind w:firstLine="480"/>
        <w:jc w:val="both"/>
        <w:keepLines w:val="0"/>
        <w:keepNext w:val="0"/>
        <w:pageBreakBefore w:val="0"/>
        <w:spacing w:before="145" w:beforeAutospacing="0" w:after="145"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7.2乙方不得将合同标的分包给他人履行。</w:t>
      </w:r>
      <w:r/>
    </w:p>
    <w:p>
      <w:pPr>
        <w:pStyle w:val="656"/>
        <w:ind w:firstLine="480"/>
        <w:jc w:val="both"/>
        <w:keepLines w:val="0"/>
        <w:keepNext w:val="0"/>
        <w:pageBreakBefore w:val="0"/>
        <w:spacing w:before="145" w:beforeAutospacing="0" w:after="145"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7.3乙方如有转包或未经甲方同意的分包行为，甲方有权解除合同。</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八、合同款项支付</w:t>
      </w:r>
      <w:r/>
    </w:p>
    <w:p>
      <w:pPr>
        <w:pStyle w:val="654"/>
        <w:ind w:firstLine="480"/>
        <w:keepLines w:val="0"/>
        <w:keepNext w:val="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8.1合同签订时，经采购人与成交供应商根据实际情况协商一致，可支付合同总价的30%作为项目启动预付款； 注：在签订合同时，成交供应商明确表示无需预付款或者主动要求降低预付款比例的金额，成交人可不适用预付款规定，但成交供应商需提供书面声明，采购人可就预付款比例作相应调整。</w:t>
      </w:r>
      <w:r/>
    </w:p>
    <w:p>
      <w:pPr>
        <w:pStyle w:val="656"/>
        <w:ind w:firstLine="480"/>
        <w:jc w:val="both"/>
        <w:spacing w:beforeAutospacing="0" w:afterAutospacing="0" w:line="400" w:lineRule="exact"/>
        <w:rPr>
          <w:rFonts w:hint="default"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8.2签订合同后，设备维修完成后支付15万元，剩余款项待服务全部完成并验收合格后一次性付清。</w:t>
      </w:r>
      <w:r/>
    </w:p>
    <w:p>
      <w:pPr>
        <w:pStyle w:val="656"/>
        <w:ind w:firstLine="480"/>
        <w:jc w:val="both"/>
        <w:spacing w:beforeAutospacing="0" w:afterAutospacing="0" w:line="40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8.3按以上进度付款，无任何利息补偿。付款前，中标单位须开具税务部门认可的增值税发票。</w:t>
      </w:r>
      <w:r/>
    </w:p>
    <w:p>
      <w:pPr>
        <w:pStyle w:val="656"/>
        <w:ind w:firstLine="482"/>
        <w:jc w:val="both"/>
        <w:keepLines w:val="0"/>
        <w:keepNext w:val="0"/>
        <w:pageBreakBefore w:val="0"/>
        <w:spacing w:before="145" w:beforeAutospacing="0" w:after="145"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九、税费</w:t>
      </w:r>
      <w:r/>
    </w:p>
    <w:p>
      <w:pPr>
        <w:pStyle w:val="656"/>
        <w:ind w:firstLine="480"/>
        <w:jc w:val="both"/>
        <w:keepLines w:val="0"/>
        <w:keepNext w:val="0"/>
        <w:pageBreakBefore w:val="0"/>
        <w:spacing w:before="145" w:beforeAutospacing="0" w:after="145"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9.1本合同执行中相关的一切税费均由乙方负担。</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十、项目验收</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10.1 甲方依法组织履约验收工作。</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10.3 对于实际使用人和甲方分离的项目，甲方邀请实际使用人参与验收。</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10.4 如有必要，甲方邀请参加本项目的其他供应商或第三方专业机构及专家参与验收，相关意见将作为验收书的参考资料。</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highlight w:val="none"/>
          <w:shd w:val="clear" w:color="auto" w:fill="auto"/>
          <w:lang w:eastAsia="zh-CN"/>
        </w:rPr>
        <w:t xml:space="preserve">中华人民共和国民法典</w:t>
      </w:r>
      <w:r>
        <w:rPr>
          <w:rFonts w:hint="eastAsia" w:ascii="宋体" w:hAnsi="宋体" w:eastAsia="宋体" w:cs="宋体"/>
          <w:color w:val="auto"/>
          <w:highlight w:val="none"/>
          <w:shd w:val="clear" w:color="auto" w:fill="auto"/>
        </w:rPr>
        <w:t xml:space="preserve">》。乙方在履约过程中有政府采购法律法规规定的违法违规情形的,甲方将及时报告本级财政部门。</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十一、违约责任</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11.1甲方无正当理由拒绝接受乙方提供的合同标的的，甲方向乙方偿付拒绝接受合同价款总值</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的违约金。</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11.2 甲方无故逾期验收和办理合同款项支付手续的,甲方应按逾期付款总额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每日向乙方支付违约金。</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的违约金，如造成甲方损失超过违约金的，超出部分由乙方继续承担赔偿责任。 </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11.4 乙方交付合同标的的标准不符合合同规定及磋商文件规定标准的，甲方有权拒绝接受合同标的，并可单方面解除合同。</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十二、不可抗力事件处理</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12.1 在合同有效期内，任何一方因不可抗力事件导致不能履行合同，则合同履行期可延长，其延长期与不可抗力影响 期相同。</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12.2 不可抗力事件发生后，应立即通知对方，并寄送有关权威机构出具的证明。</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12.3 不可抗力事件延续120天以上，双方应通过友好协商，确定是否继续履行合同。</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十三、解决争议的方法</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13.1双方在签订、履行合同中所发生的一切争议，应通过友好协商解决。如协商不成，由甲方住所地人民法院管辖。</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十四、合同生效及其</w:t>
      </w:r>
      <w:r>
        <w:rPr>
          <w:rFonts w:hint="eastAsia" w:ascii="宋体" w:hAnsi="宋体" w:eastAsia="宋体" w:cs="宋体"/>
          <w:b/>
          <w:color w:val="auto"/>
          <w:highlight w:val="none"/>
          <w:shd w:val="clear" w:color="auto" w:fill="auto"/>
          <w:lang w:eastAsia="zh-CN"/>
        </w:rPr>
        <w:t xml:space="preserve">他</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14.1 合同经双方法定代表人或授权委托代表人签字并加盖单位公章后生效。</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14.2本合同未尽事宜，遵照《</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highlight w:val="none"/>
          <w:shd w:val="clear" w:color="auto" w:fill="auto"/>
        </w:rPr>
        <w:t xml:space="preserve">民法典</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highlight w:val="none"/>
          <w:shd w:val="clear" w:color="auto" w:fill="auto"/>
        </w:rPr>
        <w:t xml:space="preserve">政府采购法》有关条文执行。</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14.3 本合同正本一式三份，具有同等法律效力，甲方、乙方及财政监管部门各执一份。</w:t>
      </w:r>
      <w:r/>
    </w:p>
    <w:p>
      <w:pPr>
        <w:pStyle w:val="656"/>
        <w:ind w:left="480" w:hanging="480"/>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甲方：                        乙方： </w:t>
      </w:r>
      <w:r/>
    </w:p>
    <w:p>
      <w:pPr>
        <w:pStyle w:val="656"/>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地址：                        地址： </w:t>
      </w:r>
      <w:r/>
    </w:p>
    <w:p>
      <w:pPr>
        <w:pStyle w:val="656"/>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法定代表人或授权代表：        法定代表人或授权代表：</w:t>
      </w:r>
      <w:r/>
    </w:p>
    <w:p>
      <w:pPr>
        <w:pStyle w:val="656"/>
        <w:ind w:firstLine="240"/>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联系电话：               联系电话：          </w:t>
      </w:r>
      <w:r/>
    </w:p>
    <w:p>
      <w:pPr>
        <w:pStyle w:val="656"/>
        <w:ind w:firstLine="420"/>
        <w:jc w:val="both"/>
        <w:spacing w:beforeAutospacing="0" w:afterAutospacing="0" w:line="0" w:lineRule="atLeast"/>
        <w:rPr>
          <w:rFonts w:hint="eastAsia" w:ascii="宋体" w:hAnsi="宋体" w:eastAsia="宋体" w:cs="宋体"/>
          <w:color w:val="auto"/>
          <w:highlight w:val="none"/>
          <w:shd w:val="clear" w:color="auto" w:fill="auto"/>
        </w:rPr>
      </w:pPr>
      <w:r>
        <w:rPr>
          <w:rFonts w:ascii="Times New Roman" w:hAnsi="Times New Roman"/>
          <w:color w:val="auto"/>
          <w:sz w:val="21"/>
          <w:szCs w:val="21"/>
          <w:highlight w:val="none"/>
          <w:shd w:val="clear" w:color="auto" w:fill="auto"/>
        </w:rPr>
        <w:t xml:space="preserve">                                    </w:t>
      </w:r>
      <w:r>
        <w:rPr>
          <w:rFonts w:hint="eastAsia" w:ascii="Times New Roman" w:hAnsi="Times New Roman"/>
          <w:color w:val="auto"/>
          <w:sz w:val="21"/>
          <w:szCs w:val="21"/>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 签订日期：      年    月   日</w:t>
      </w:r>
      <w:r/>
    </w:p>
    <w:p>
      <w:pPr>
        <w:pStyle w:val="642"/>
        <w:jc w:val="center"/>
        <w:rPr>
          <w:color w:val="auto"/>
          <w:highlight w:val="none"/>
        </w:rPr>
      </w:pPr>
      <w:r/>
      <w:bookmarkStart w:id="156" w:name="_Toc479757211"/>
      <w:r/>
      <w:bookmarkStart w:id="157" w:name="_Toc462564139"/>
      <w:r/>
      <w:bookmarkStart w:id="158" w:name="_Toc16938590"/>
      <w:r/>
      <w:bookmarkStart w:id="159" w:name="_Toc20823346"/>
      <w:r/>
      <w:bookmarkStart w:id="160" w:name="_Toc120614244"/>
      <w:r/>
      <w:bookmarkStart w:id="161" w:name="_Hlt16619369"/>
      <w:r/>
      <w:bookmarkStart w:id="162" w:name="_Hlt16619350"/>
      <w:r>
        <w:rPr>
          <w:rFonts w:hint="eastAsia" w:ascii="黑体" w:hAnsi="宋体" w:eastAsia="黑体" w:cs="黑体"/>
          <w:color w:val="auto"/>
          <w:sz w:val="44"/>
          <w:szCs w:val="44"/>
          <w:highlight w:val="none"/>
          <w:shd w:val="clear" w:color="auto" w:fill="auto"/>
        </w:rPr>
        <w:br w:type="page" w:clear="all"/>
      </w:r>
      <w:r>
        <w:rPr>
          <w:rFonts w:hint="eastAsia" w:ascii="黑体" w:hAnsi="宋体" w:eastAsia="黑体" w:cs="黑体"/>
          <w:b w:val="0"/>
          <w:bCs w:val="0"/>
          <w:color w:val="auto"/>
          <w:sz w:val="44"/>
          <w:szCs w:val="44"/>
          <w:highlight w:val="none"/>
        </w:rPr>
        <w:t xml:space="preserve"> 第</w:t>
      </w:r>
      <w:bookmarkEnd w:id="156"/>
      <w:r>
        <w:rPr>
          <w:rFonts w:hint="eastAsia" w:ascii="黑体" w:hAnsi="宋体" w:eastAsia="黑体" w:cs="黑体"/>
          <w:b w:val="0"/>
          <w:bCs w:val="0"/>
          <w:color w:val="auto"/>
          <w:sz w:val="44"/>
          <w:szCs w:val="44"/>
          <w:highlight w:val="none"/>
        </w:rPr>
        <w:t xml:space="preserve">四章 </w:t>
      </w:r>
      <w:bookmarkEnd w:id="157"/>
      <w:r/>
      <w:bookmarkEnd w:id="158"/>
      <w:r/>
      <w:bookmarkEnd w:id="159"/>
      <w:r/>
      <w:bookmarkEnd w:id="160"/>
      <w:r/>
      <w:bookmarkStart w:id="163" w:name="_Toc120614281"/>
      <w:r>
        <w:rPr>
          <w:rFonts w:hint="eastAsia" w:ascii="黑体" w:hAnsi="宋体" w:eastAsia="黑体" w:cs="黑体"/>
          <w:b w:val="0"/>
          <w:bCs w:val="0"/>
          <w:color w:val="auto"/>
          <w:sz w:val="44"/>
          <w:szCs w:val="44"/>
          <w:highlight w:val="none"/>
        </w:rPr>
        <w:t xml:space="preserve">采购需求</w:t>
      </w:r>
      <w:bookmarkStart w:id="164" w:name="_Toc49090575"/>
      <w:r/>
      <w:bookmarkEnd w:id="164"/>
      <w:r/>
      <w:bookmarkStart w:id="165" w:name="_Toc26554093"/>
      <w:r/>
      <w:bookmarkEnd w:id="165"/>
      <w:r/>
      <w:r/>
    </w:p>
    <w:p>
      <w:pPr>
        <w:pStyle w:val="656"/>
        <w:ind w:firstLine="480"/>
        <w:jc w:val="both"/>
        <w:spacing w:beforeAutospacing="0" w:afterAutospacing="0" w:line="400" w:lineRule="exact"/>
        <w:rPr>
          <w:b/>
          <w:bCs/>
          <w:color w:val="auto"/>
          <w:highlight w:val="none"/>
        </w:rPr>
      </w:pPr>
      <w:r>
        <w:rPr>
          <w:rFonts w:hint="eastAsia"/>
          <w:b/>
          <w:bCs/>
          <w:color w:val="auto"/>
          <w:highlight w:val="none"/>
        </w:rPr>
        <w:t xml:space="preserve">一、项目概况</w:t>
      </w:r>
      <w:r/>
    </w:p>
    <w:p>
      <w:pPr>
        <w:ind w:firstLine="480"/>
        <w:spacing w:line="480" w:lineRule="exact"/>
        <w:widowControl/>
        <w:rPr>
          <w:rFonts w:ascii="Helvetica" w:hAnsi="Helvetica" w:eastAsia="Helvetica" w:cs="Helvetica"/>
          <w:i w:val="0"/>
          <w:iCs w:val="0"/>
          <w:caps w:val="0"/>
          <w:color w:val="333333"/>
          <w:spacing w:val="0"/>
          <w:sz w:val="24"/>
          <w:szCs w:val="24"/>
          <w:highlight w:val="none"/>
          <w:shd w:val="clear" w:color="auto" w:fill="ffffff"/>
        </w:rPr>
      </w:pPr>
      <w:r>
        <w:rPr>
          <w:rFonts w:hint="eastAsia" w:ascii="宋体" w:hAnsi="宋体" w:eastAsia="宋体" w:cs="宋体"/>
          <w:color w:val="auto"/>
          <w:sz w:val="24"/>
          <w:highlight w:val="none"/>
        </w:rPr>
        <w:t xml:space="preserve">1、</w:t>
      </w:r>
      <w:r>
        <w:rPr>
          <w:rFonts w:hint="eastAsia" w:ascii="宋体" w:hAnsi="宋体" w:eastAsia="宋体" w:cs="Times New Roman"/>
          <w:bCs/>
          <w:color w:val="auto"/>
          <w:sz w:val="24"/>
          <w:szCs w:val="24"/>
          <w:highlight w:val="none"/>
          <w:lang w:val="en-US" w:eastAsia="zh-CN" w:bidi="ar-SA"/>
        </w:rPr>
        <w:t xml:space="preserve">本次招标采购：</w:t>
      </w:r>
      <w:r>
        <w:rPr>
          <w:rFonts w:hint="default" w:ascii="宋体" w:hAnsi="宋体" w:eastAsia="宋体" w:cs="Times New Roman"/>
          <w:bCs/>
          <w:color w:val="auto"/>
          <w:sz w:val="24"/>
          <w:szCs w:val="24"/>
          <w:highlight w:val="none"/>
          <w:lang w:val="en-US" w:eastAsia="zh-CN" w:bidi="ar-SA"/>
        </w:rPr>
        <w:t xml:space="preserve">射阳经开区大气环境监测点设备维修及运维项目</w:t>
      </w:r>
      <w:r/>
    </w:p>
    <w:p>
      <w:pPr>
        <w:ind w:firstLine="48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2、服务质量要求：合格（达到国家行业标准）</w:t>
      </w:r>
      <w:r/>
    </w:p>
    <w:p>
      <w:pPr>
        <w:ind w:firstLine="480"/>
        <w:spacing w:line="480" w:lineRule="exact"/>
        <w:widowControl/>
        <w:rPr>
          <w:highlight w:val="none"/>
        </w:rPr>
      </w:pPr>
      <w:r>
        <w:rPr>
          <w:rFonts w:hint="eastAsia" w:ascii="宋体" w:hAnsi="宋体" w:eastAsia="宋体" w:cs="宋体"/>
          <w:color w:val="auto"/>
          <w:sz w:val="24"/>
          <w:highlight w:val="none"/>
        </w:rPr>
        <w:t xml:space="preserve">3、合同履行期限：自合同签订之日起1年。</w:t>
      </w:r>
      <w:r/>
    </w:p>
    <w:p>
      <w:pPr>
        <w:pStyle w:val="656"/>
        <w:ind w:firstLine="480"/>
        <w:jc w:val="both"/>
        <w:spacing w:beforeAutospacing="0" w:afterAutospacing="0" w:line="400" w:lineRule="exact"/>
        <w:rPr>
          <w:b/>
          <w:bCs/>
          <w:color w:val="auto"/>
          <w:highlight w:val="none"/>
        </w:rPr>
      </w:pPr>
      <w:r>
        <w:rPr>
          <w:rFonts w:hint="eastAsia"/>
          <w:b/>
          <w:bCs/>
          <w:color w:val="auto"/>
          <w:highlight w:val="none"/>
        </w:rPr>
        <w:t xml:space="preserve">二、采购需求</w:t>
      </w:r>
      <w:r/>
    </w:p>
    <w:p>
      <w:pPr>
        <w:pStyle w:val="673"/>
        <w:numPr>
          <w:ilvl w:val="0"/>
          <w:numId w:val="0"/>
        </w:numPr>
        <w:ind w:left="420" w:firstLine="480"/>
        <w:spacing w:line="360" w:lineRule="auto"/>
        <w:rPr>
          <w:rFonts w:ascii="宋体" w:hAnsi="宋体" w:eastAsia="宋体"/>
          <w:color w:val="auto"/>
          <w:sz w:val="24"/>
          <w:highlight w:val="none"/>
        </w:rPr>
      </w:pPr>
      <w:r>
        <w:rPr>
          <w:rFonts w:hint="default" w:ascii="宋体" w:hAnsi="宋体" w:eastAsia="宋体" w:cs="Times New Roman"/>
          <w:bCs/>
          <w:color w:val="auto"/>
          <w:sz w:val="24"/>
          <w:szCs w:val="24"/>
          <w:highlight w:val="none"/>
          <w:lang w:val="en-US" w:eastAsia="zh-CN"/>
        </w:rPr>
        <w:t xml:space="preserve">对园区内2座大气标准空气站、4 座VOCs空气站的损坏设备开展维修工作(45天内完成设备维修);同时为上述2座大气标准空气站、4座VOCs空气站及54 座微型空气站提供日常运行、维护保养、定期巡检、故障排查检修、数据分析与数据传输等服务，确保各站点监测仪器稳定正常运行、监测数据实时有效上传。</w:t>
      </w:r>
      <w:r/>
    </w:p>
    <w:tbl>
      <w:tblPr>
        <w:tblStyle w:val="645"/>
        <w:tblW w:w="960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0"/>
        <w:gridCol w:w="3734"/>
        <w:gridCol w:w="3734"/>
        <w:gridCol w:w="710"/>
        <w:gridCol w:w="712"/>
      </w:tblGrid>
      <w:tr>
        <w:trPr>
          <w:trHeight w:val="707"/>
        </w:trPr>
        <w:tc>
          <w:tcPr>
            <w:gridSpan w:val="5"/>
            <w:shd w:val="clear" w:color="auto" w:fill="auto"/>
            <w:tcBorders>
              <w:top w:val="single" w:color="000000" w:sz="4" w:space="0"/>
              <w:left w:val="single" w:color="000000" w:sz="4" w:space="0"/>
              <w:bottom w:val="single" w:color="000000" w:sz="4" w:space="0"/>
              <w:right w:val="single" w:color="000000" w:sz="4" w:space="0"/>
            </w:tcBorders>
            <w:tcW w:w="9600"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color w:val="000000"/>
                <w:sz w:val="32"/>
                <w:szCs w:val="32"/>
              </w:rPr>
              <w:t xml:space="preserve">监测设备清单及需求</w:t>
            </w:r>
            <w:r/>
          </w:p>
        </w:tc>
      </w:tr>
      <w:tr>
        <w:trPr>
          <w:trHeight w:val="70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设备名称</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技术指标（厂家、型号）</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677"/>
                <w:lang w:val="en-US" w:eastAsia="zh-CN" w:bidi="ar"/>
              </w:rPr>
              <w:t xml:space="preserve">SO</w:t>
            </w:r>
            <w:r>
              <w:rPr>
                <w:rStyle w:val="678"/>
                <w:lang w:val="en-US" w:eastAsia="zh-CN" w:bidi="ar"/>
              </w:rPr>
              <w:t xml:space="preserve">2</w:t>
            </w:r>
            <w:r>
              <w:rPr>
                <w:rStyle w:val="677"/>
                <w:lang w:val="en-US" w:eastAsia="zh-CN" w:bidi="ar"/>
              </w:rPr>
              <w:t xml:space="preserve">分析仪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杭州聚光科技股份有限公司、AQMS-500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677"/>
                <w:lang w:val="en-US" w:eastAsia="zh-CN" w:bidi="ar"/>
              </w:rPr>
              <w:t xml:space="preserve">NO</w:t>
            </w:r>
            <w:r>
              <w:rPr>
                <w:rStyle w:val="678"/>
                <w:lang w:val="en-US" w:eastAsia="zh-CN" w:bidi="ar"/>
              </w:rPr>
              <w:t xml:space="preserve">X</w:t>
            </w:r>
            <w:r>
              <w:rPr>
                <w:rStyle w:val="677"/>
                <w:lang w:val="en-US" w:eastAsia="zh-CN" w:bidi="ar"/>
              </w:rPr>
              <w:t xml:space="preserve">分析仪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杭州聚光科技股份有限公司、AQMS-600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CO分析仪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杭州聚光科技股份有限公司、AQMS-400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O3分析仪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杭州聚光科技股份有限公司、AQMS-300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高碳预浓缩仪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杭州谱育科技股份有限公司、EXPEC 2000-315H</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在线式气相色谱仪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杭州谱育科技股份有限公司、EXPEC 2000-315P</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PM10颗粒物分析仪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杭州聚光科技股份有限公司、BPM-200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PM2.5颗粒物分析仪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杭州聚光科技股份有限公司、BPM-200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动态校准仪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杭州聚光科技股份有限公司、AQMS-200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零气发生器</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杭州聚光科技股份有限公司、AQMS-100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气象五参数</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空气采样系统</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控制、数据采集系统</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仪器柜</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监控站房（含站房、稳压电源、UPS、空调等）</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安装附件（管路、接头、钢瓶、减压阀等）</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传输网络</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基建和电力建设</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颗粒物PM10/PM2.5单元</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安徽皖仪科技股份有限公司、AQ7100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气态因子单元（CO、SO2、NO2，O3、TVOC）</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安徽皖仪科技股份有限公司、AQ7100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952"/>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气象五参数单元（温度，湿度，大气压，风速，风向）</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安徽皖仪科技股份有限公司、AQ7100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立杆</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数据传输</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基建和电力建设</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73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运维服务</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含水、电、网络、危险废物处置</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注：中小企业政府采购扶持政策说明 </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olor w:val="auto"/>
          <w:sz w:val="24"/>
          <w:highlight w:val="none"/>
          <w:lang w:val="en-US" w:eastAsia="zh-CN"/>
        </w:rPr>
        <w:t xml:space="preserve">1</w:t>
      </w:r>
      <w:r>
        <w:rPr>
          <w:rFonts w:hint="eastAsia" w:ascii="宋体" w:hAnsi="宋体" w:eastAsia="宋体"/>
          <w:color w:val="auto"/>
          <w:sz w:val="24"/>
          <w:highlight w:val="none"/>
        </w:rPr>
        <w:t xml:space="preserve">.采购标的的所属行业，根据《工业和信息化部、国家统计局、国家发展和改革委员会、财政部关于印发中小企业划型标准规定的通知》（工信部联企业[2011]300号）规定的划分标准填写。 </w:t>
      </w:r>
      <w:r/>
    </w:p>
    <w:p>
      <w:pPr>
        <w:pStyle w:val="656"/>
        <w:ind w:firstLine="480"/>
        <w:jc w:val="both"/>
        <w:spacing w:beforeAutospacing="0" w:afterAutospacing="0" w:line="400" w:lineRule="exact"/>
        <w:rPr>
          <w:rFonts w:hint="eastAsia" w:cs="Times New Roman"/>
          <w:b/>
          <w:bCs/>
          <w:color w:val="auto"/>
          <w:highlight w:val="none"/>
        </w:rPr>
      </w:pPr>
      <w:r>
        <w:rPr>
          <w:rFonts w:hint="eastAsia" w:cs="Times New Roman"/>
          <w:b/>
          <w:bCs/>
          <w:color w:val="auto"/>
          <w:highlight w:val="none"/>
          <w:lang w:eastAsia="zh-CN"/>
        </w:rPr>
        <w:t xml:space="preserve">三</w:t>
      </w:r>
      <w:r>
        <w:rPr>
          <w:rFonts w:hint="eastAsia" w:cs="Times New Roman"/>
          <w:b/>
          <w:bCs/>
          <w:color w:val="auto"/>
          <w:highlight w:val="none"/>
        </w:rPr>
        <w:t xml:space="preserve">、</w:t>
      </w:r>
      <w:r>
        <w:rPr>
          <w:rFonts w:hint="eastAsia" w:cs="Times New Roman"/>
          <w:b/>
          <w:bCs/>
          <w:color w:val="auto"/>
          <w:highlight w:val="none"/>
          <w:lang w:eastAsia="zh-CN"/>
        </w:rPr>
        <w:t xml:space="preserve">技术</w:t>
      </w:r>
      <w:r>
        <w:rPr>
          <w:rFonts w:hint="eastAsia" w:cs="Times New Roman"/>
          <w:b/>
          <w:bCs/>
          <w:color w:val="auto"/>
          <w:highlight w:val="none"/>
        </w:rPr>
        <w:t xml:space="preserve">要求</w:t>
      </w:r>
      <w:r/>
    </w:p>
    <w:p>
      <w:pPr>
        <w:pStyle w:val="673"/>
        <w:ind w:left="0" w:firstLine="420"/>
        <w:spacing w:line="360" w:lineRule="auto"/>
        <w:rPr>
          <w:rFonts w:hint="eastAsia" w:ascii="宋体" w:hAnsi="宋体" w:eastAsia="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eastAsia="zh-CN"/>
        </w:rPr>
        <w:t xml:space="preserve">标准环境空气质量自动监测运维内容及技术要求</w:t>
      </w:r>
      <w:r/>
    </w:p>
    <w:p>
      <w:pPr>
        <w:pStyle w:val="673"/>
        <w:numPr>
          <w:ilvl w:val="0"/>
          <w:numId w:val="2"/>
        </w:numPr>
        <w:ind w:left="0" w:firstLine="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空气站站房的网络通讯费以及站房基础设施、电力设施和防雷设施的日常维护费全部由供应商承担，并包含在本项目投标报价中。</w:t>
      </w:r>
      <w:r/>
    </w:p>
    <w:p>
      <w:pPr>
        <w:pStyle w:val="673"/>
        <w:numPr>
          <w:ilvl w:val="0"/>
          <w:numId w:val="2"/>
        </w:numPr>
        <w:ind w:left="0" w:firstLine="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供应商应保证配备专职专业技术人员，驻场从事空气站运维工作。</w:t>
      </w:r>
      <w:r/>
    </w:p>
    <w:p>
      <w:pPr>
        <w:pStyle w:val="673"/>
        <w:numPr>
          <w:ilvl w:val="0"/>
          <w:numId w:val="2"/>
        </w:numPr>
        <w:ind w:left="0" w:firstLine="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供应商应配备日常巡查仪器，为现场运维工作提供保障。</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供应商</w:t>
      </w:r>
      <w:r>
        <w:rPr>
          <w:rFonts w:hint="eastAsia" w:ascii="宋体" w:hAnsi="宋体" w:cs="Times New Roman"/>
          <w:bCs/>
          <w:color w:val="auto"/>
          <w:sz w:val="24"/>
          <w:szCs w:val="24"/>
          <w:highlight w:val="none"/>
          <w:lang w:val="en-US" w:eastAsia="zh-CN"/>
        </w:rPr>
        <w:t xml:space="preserve">自备运维</w:t>
      </w:r>
      <w:r>
        <w:rPr>
          <w:rFonts w:hint="eastAsia" w:ascii="宋体" w:hAnsi="宋体" w:eastAsia="宋体" w:cs="Times New Roman"/>
          <w:bCs/>
          <w:color w:val="auto"/>
          <w:sz w:val="24"/>
          <w:szCs w:val="24"/>
          <w:highlight w:val="none"/>
          <w:lang w:eastAsia="zh-CN"/>
        </w:rPr>
        <w:t xml:space="preserve">车辆，以满足运维时效性要求。</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所获取的有效监测数据必须满足《环境空气质量标准》（GB3095-2012）中规定的污染物浓度数据有效性最低要求。</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空气站各项指标数据获取率达到90%（以小时值计）及以上。</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空气站各项指标数据质控合格率达到90%（以小时值计）及以上。</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运维任务完成率100%。</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异常情况处理率达到100%。</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至少每天上午远程查看自动站数据，分析监测数据，对站点运行情况进行远程诊断和运行管理；每周至少巡视空气站1次，且两次巡检时间间隔不得超过9天，并做好巡检记录。</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eastAsia="zh-CN"/>
        </w:rPr>
        <w:t xml:space="preserve">VOCs组分监测站运维内容及技术要求</w:t>
      </w:r>
      <w:r/>
    </w:p>
    <w:p>
      <w:pPr>
        <w:pStyle w:val="673"/>
        <w:numPr>
          <w:ilvl w:val="0"/>
          <w:numId w:val="0"/>
        </w:numPr>
        <w:ind w:left="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eastAsia="zh-CN"/>
        </w:rPr>
        <w:t xml:space="preserve">）空气站站房的网络通讯费以及站房基础设施、电力设施和防雷设施的日常维护费全部由供应商承担，并包含在本项目投标报价中。</w:t>
      </w:r>
      <w:r/>
    </w:p>
    <w:p>
      <w:pPr>
        <w:pStyle w:val="673"/>
        <w:numPr>
          <w:ilvl w:val="0"/>
          <w:numId w:val="0"/>
        </w:numPr>
        <w:ind w:left="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eastAsia="zh-CN"/>
        </w:rPr>
        <w:t xml:space="preserve">）供应商应保证配备专职专业技术人员，驻场从事空气站运维工作。</w:t>
      </w:r>
      <w:r/>
    </w:p>
    <w:p>
      <w:pPr>
        <w:pStyle w:val="673"/>
        <w:numPr>
          <w:ilvl w:val="0"/>
          <w:numId w:val="0"/>
        </w:numPr>
        <w:ind w:left="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eastAsia="zh-CN"/>
        </w:rPr>
        <w:t xml:space="preserve">）供应商应配备日常巡查仪器，为现场运维工作提供保障。</w:t>
      </w:r>
      <w:r/>
    </w:p>
    <w:p>
      <w:pPr>
        <w:pStyle w:val="673"/>
        <w:numPr>
          <w:ilvl w:val="0"/>
          <w:numId w:val="0"/>
        </w:numPr>
        <w:ind w:left="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lang w:val="en-US" w:eastAsia="zh-CN"/>
        </w:rPr>
        <w:t xml:space="preserve">自备运维</w:t>
      </w:r>
      <w:r>
        <w:rPr>
          <w:rFonts w:hint="eastAsia" w:ascii="宋体" w:hAnsi="宋体" w:eastAsia="宋体" w:cs="Times New Roman"/>
          <w:bCs/>
          <w:color w:val="auto"/>
          <w:sz w:val="24"/>
          <w:szCs w:val="24"/>
          <w:highlight w:val="none"/>
          <w:lang w:eastAsia="zh-CN"/>
        </w:rPr>
        <w:t xml:space="preserve">车辆，以满足运维时效性要求。</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eastAsia="zh-CN"/>
        </w:rPr>
        <w:t xml:space="preserve">）空气站各项指标数据获取率达到80%（以小时值计）及以上。</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eastAsia="zh-CN"/>
        </w:rPr>
        <w:t xml:space="preserve">）空气站各项指标数据质控合格率达到90%（以小时值计）及以上。</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lang w:eastAsia="zh-CN"/>
        </w:rPr>
        <w:t xml:space="preserve">）运维任务完成率100%。</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lang w:eastAsia="zh-CN"/>
        </w:rPr>
        <w:t xml:space="preserve">）异常情况处理率达到100%。</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lang w:eastAsia="zh-CN"/>
        </w:rPr>
        <w:t xml:space="preserve">）至少每天上午远程查看自动站数据，分析监测数据，对站点运行情况进行远程诊断和运行管理；每周至少巡视组分站1次，且两次巡检时间间隔不得超过9天，并做好巡检记录。</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eastAsia="zh-CN"/>
        </w:rPr>
        <w:t xml:space="preserve">微型空气质量在线监测系统运维内容及技术要求：</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微站</w:t>
      </w:r>
      <w:r>
        <w:rPr>
          <w:rFonts w:hint="eastAsia" w:ascii="宋体" w:hAnsi="宋体" w:eastAsia="宋体" w:cs="Times New Roman"/>
          <w:bCs/>
          <w:color w:val="auto"/>
          <w:sz w:val="24"/>
          <w:szCs w:val="24"/>
          <w:highlight w:val="none"/>
          <w:lang w:eastAsia="zh-CN"/>
        </w:rPr>
        <w:t xml:space="preserve">的网络通讯费</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电费</w:t>
      </w:r>
      <w:r>
        <w:rPr>
          <w:rFonts w:hint="eastAsia" w:ascii="宋体" w:hAnsi="宋体" w:eastAsia="宋体" w:cs="Times New Roman"/>
          <w:bCs/>
          <w:color w:val="auto"/>
          <w:sz w:val="24"/>
          <w:szCs w:val="24"/>
          <w:highlight w:val="none"/>
          <w:lang w:eastAsia="zh-CN"/>
        </w:rPr>
        <w:t xml:space="preserve">全部由供应商承担，并包含在本项目投标报价中。</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eastAsia="zh-CN"/>
        </w:rPr>
        <w:t xml:space="preserve">）供应商应保证配备专职专业技术人员，驻场从事空气站运维工作。</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eastAsia="zh-CN"/>
        </w:rPr>
        <w:t xml:space="preserve">）供应商供应商</w:t>
      </w:r>
      <w:r>
        <w:rPr>
          <w:rFonts w:hint="eastAsia" w:ascii="宋体" w:hAnsi="宋体" w:cs="Times New Roman"/>
          <w:bCs/>
          <w:color w:val="auto"/>
          <w:sz w:val="24"/>
          <w:szCs w:val="24"/>
          <w:highlight w:val="none"/>
          <w:lang w:val="en-US" w:eastAsia="zh-CN"/>
        </w:rPr>
        <w:t xml:space="preserve">自备运维</w:t>
      </w:r>
      <w:r>
        <w:rPr>
          <w:rFonts w:hint="eastAsia" w:ascii="宋体" w:hAnsi="宋体" w:eastAsia="宋体" w:cs="Times New Roman"/>
          <w:bCs/>
          <w:color w:val="auto"/>
          <w:sz w:val="24"/>
          <w:szCs w:val="24"/>
          <w:highlight w:val="none"/>
          <w:lang w:eastAsia="zh-CN"/>
        </w:rPr>
        <w:t xml:space="preserve">车辆，以满足运维时效性要求。</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eastAsia="zh-CN"/>
        </w:rPr>
        <w:t xml:space="preserve">）空气站各项指标数据获取率达到80%（以小时值计）及以上。</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eastAsia="zh-CN"/>
        </w:rPr>
        <w:t xml:space="preserve">）运维任务完成率100%。</w:t>
      </w:r>
      <w:r/>
    </w:p>
    <w:p>
      <w:pPr>
        <w:pStyle w:val="673"/>
        <w:ind w:firstLine="480"/>
        <w:spacing w:line="360" w:lineRule="auto"/>
        <w:rPr>
          <w:rFonts w:hint="eastAsia" w:cs="Times New Roman"/>
          <w:b/>
          <w:bCs/>
          <w:color w:val="auto"/>
          <w:highlight w:val="none"/>
          <w:lang w:val="en-US"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eastAsia="zh-CN"/>
        </w:rPr>
        <w:t xml:space="preserve">）异常情况处理率达到100%。</w:t>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四、人员岗位职责</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项目负责人：负责制订工作(含培训)计划、统筹负责项目实施组织、负责重点材料审核签发、承担项目安全、质量管理领导责任，其它项目负责人应尽责任；在项目期限内需专职投入本项目，在履约期间未经采购人许可不得更换。</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技术人员：配备足够的专业技术人员，按照招标要求、相应规范完成监测监控仪器运维工作，包括(不限于)设备巡视、备件更换、药剂更换、日常质控、设备检修。</w:t>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五、</w:t>
      </w:r>
      <w:r>
        <w:rPr>
          <w:rFonts w:hint="eastAsia" w:cs="Times New Roman"/>
          <w:b/>
          <w:bCs/>
          <w:color w:val="auto"/>
          <w:highlight w:val="none"/>
          <w:lang w:val="zh-CN" w:eastAsia="zh-CN"/>
        </w:rPr>
        <w:t xml:space="preserve">现场</w:t>
      </w:r>
      <w:r>
        <w:rPr>
          <w:rFonts w:hint="eastAsia" w:cs="Times New Roman"/>
          <w:b/>
          <w:bCs/>
          <w:color w:val="auto"/>
          <w:highlight w:val="none"/>
          <w:lang w:val="en-US" w:eastAsia="zh-CN"/>
        </w:rPr>
        <w:t xml:space="preserve">踏勘</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供应商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采购人在踏勘现场中介绍的项目情况，供应商在编制响应文件时参考，采购人不对供应商据此作出的判断和决策负责。</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供应商承担踏勘现场所发生的自身费用。</w:t>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六、安全责任</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投标人应对项目组成员做好安全培训，在项目实施过程中应注意人员和财产安全，如造成相关人员安全和财产损失问题的，一律由投标人全权承担负责，采购人不承担任何责任。</w:t>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七、付款方式</w:t>
      </w:r>
      <w:r/>
    </w:p>
    <w:p>
      <w:pPr>
        <w:pStyle w:val="654"/>
        <w:ind w:firstLine="480"/>
        <w:keepLines w:val="0"/>
        <w:keepNext w:val="0"/>
        <w:pageBreakBefore w:val="0"/>
        <w:spacing w:line="360" w:lineRule="exact"/>
        <w:widowControl w:val="off"/>
        <w:rPr>
          <w:rFonts w:hint="eastAsia" w:ascii="宋体" w:hAnsi="宋体" w:cs="Times New Roman" w:eastAsiaTheme="minorEastAsia"/>
          <w:bCs/>
          <w:color w:val="auto"/>
          <w:sz w:val="24"/>
          <w:szCs w:val="24"/>
          <w:highlight w:val="none"/>
          <w:lang w:val="en-US" w:eastAsia="zh-CN" w:bidi="ar-SA"/>
        </w:rPr>
      </w:pPr>
      <w:r>
        <w:rPr>
          <w:rFonts w:hint="eastAsia" w:ascii="宋体" w:hAnsi="宋体" w:cs="Times New Roman" w:eastAsiaTheme="minorEastAsia"/>
          <w:bCs/>
          <w:color w:val="auto"/>
          <w:sz w:val="24"/>
          <w:szCs w:val="24"/>
          <w:highlight w:val="none"/>
          <w:lang w:val="en-US" w:eastAsia="zh-CN" w:bidi="ar-SA"/>
        </w:rPr>
        <w:t xml:space="preserve">1</w:t>
      </w:r>
      <w:r>
        <w:rPr>
          <w:rFonts w:hint="eastAsia" w:ascii="宋体" w:hAnsi="宋体" w:cs="Times New Roman"/>
          <w:bCs/>
          <w:color w:val="auto"/>
          <w:sz w:val="24"/>
          <w:szCs w:val="24"/>
          <w:highlight w:val="none"/>
          <w:lang w:val="en-US" w:eastAsia="zh-CN" w:bidi="ar-SA"/>
        </w:rPr>
        <w:t xml:space="preserve">、</w:t>
      </w:r>
      <w:r>
        <w:rPr>
          <w:rFonts w:hint="eastAsia" w:ascii="宋体" w:hAnsi="宋体" w:cs="Times New Roman" w:eastAsiaTheme="minorEastAsia"/>
          <w:bCs/>
          <w:color w:val="auto"/>
          <w:sz w:val="24"/>
          <w:szCs w:val="24"/>
          <w:highlight w:val="none"/>
          <w:lang w:val="en-US" w:eastAsia="zh-CN" w:bidi="ar-SA"/>
        </w:rPr>
        <w:t xml:space="preserve">合同签订时，经采购人与成交供应商根据实际情况协商一致，可支付合同总价的30%作为项目启动预付款； 注：在签订合同时，成交供应商明确表示无需预付款或者主动要求降低预付款比例的金额，成交人可不适用预付款规定，但成交供应商需提供书面声明，采购人可就预付款比例作相应调整。</w:t>
      </w:r>
      <w:r/>
    </w:p>
    <w:p>
      <w:pPr>
        <w:pStyle w:val="656"/>
        <w:ind w:firstLine="480"/>
        <w:jc w:val="both"/>
        <w:spacing w:beforeAutospacing="0" w:afterAutospacing="0" w:line="400" w:lineRule="exact"/>
        <w:rPr>
          <w:rFonts w:hint="default" w:ascii="宋体" w:hAnsi="宋体" w:cs="Times New Roman" w:eastAsiaTheme="minorEastAsia"/>
          <w:bCs/>
          <w:color w:val="auto"/>
          <w:sz w:val="24"/>
          <w:szCs w:val="24"/>
          <w:highlight w:val="none"/>
          <w:lang w:val="en-US" w:eastAsia="zh-CN" w:bidi="ar-SA"/>
        </w:rPr>
      </w:pPr>
      <w:r>
        <w:rPr>
          <w:rFonts w:hint="eastAsia" w:ascii="宋体" w:hAnsi="宋体" w:cs="Times New Roman" w:eastAsiaTheme="minorEastAsia"/>
          <w:bCs/>
          <w:color w:val="auto"/>
          <w:sz w:val="24"/>
          <w:szCs w:val="24"/>
          <w:highlight w:val="none"/>
          <w:lang w:val="en-US" w:eastAsia="zh-CN" w:bidi="ar-SA"/>
        </w:rPr>
        <w:t xml:space="preserve">2</w:t>
      </w:r>
      <w:r>
        <w:rPr>
          <w:rFonts w:hint="eastAsia" w:ascii="宋体" w:hAnsi="宋体" w:cs="Times New Roman"/>
          <w:bCs/>
          <w:color w:val="auto"/>
          <w:sz w:val="24"/>
          <w:szCs w:val="24"/>
          <w:highlight w:val="none"/>
          <w:lang w:val="en-US" w:eastAsia="zh-CN" w:bidi="ar-SA"/>
        </w:rPr>
        <w:t xml:space="preserve">、</w:t>
      </w:r>
      <w:r>
        <w:rPr>
          <w:rFonts w:hint="eastAsia" w:ascii="宋体" w:hAnsi="宋体" w:cs="Times New Roman" w:eastAsiaTheme="minorEastAsia"/>
          <w:bCs/>
          <w:color w:val="auto"/>
          <w:sz w:val="24"/>
          <w:szCs w:val="24"/>
          <w:highlight w:val="none"/>
          <w:lang w:val="en-US" w:eastAsia="zh-CN" w:bidi="ar-SA"/>
        </w:rPr>
        <w:t xml:space="preserve">签订合同后，设备维修完成后支付15万元，剩余款项待服务全部完成并验收合格后一次性付清。</w:t>
      </w:r>
      <w:r/>
    </w:p>
    <w:p>
      <w:pPr>
        <w:pStyle w:val="656"/>
        <w:ind w:firstLine="480"/>
        <w:jc w:val="both"/>
        <w:spacing w:beforeAutospacing="0" w:afterAutospacing="0" w:line="400" w:lineRule="exact"/>
        <w:rPr>
          <w:highlight w:val="none"/>
        </w:rPr>
      </w:pPr>
      <w:r>
        <w:rPr>
          <w:rFonts w:hint="eastAsia" w:ascii="宋体" w:hAnsi="宋体" w:cs="Times New Roman" w:eastAsiaTheme="minorEastAsia"/>
          <w:bCs/>
          <w:color w:val="auto"/>
          <w:sz w:val="24"/>
          <w:szCs w:val="24"/>
          <w:highlight w:val="none"/>
          <w:lang w:val="en-US" w:eastAsia="zh-CN" w:bidi="ar-SA"/>
        </w:rPr>
        <w:t xml:space="preserve">3、按以上进度付款，无任何利息补偿。付款前，中标单位须开具税务部门认可的增值税发票。</w:t>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八、报价要求</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1、本项目采购人设定的投标报价最高限价为</w:t>
      </w:r>
      <w:r>
        <w:rPr>
          <w:rFonts w:hint="eastAsia" w:ascii="宋体" w:hAnsi="宋体" w:cs="Times New Roman"/>
          <w:bCs/>
          <w:color w:val="auto"/>
          <w:sz w:val="24"/>
          <w:szCs w:val="24"/>
          <w:highlight w:val="none"/>
          <w:lang w:val="en-US" w:eastAsia="zh-CN"/>
        </w:rPr>
        <w:t xml:space="preserve">：132</w:t>
      </w:r>
      <w:r>
        <w:rPr>
          <w:rFonts w:hint="eastAsia" w:ascii="宋体" w:hAnsi="宋体" w:cs="Times New Roman"/>
          <w:bCs/>
          <w:color w:val="auto"/>
          <w:sz w:val="24"/>
          <w:szCs w:val="24"/>
          <w:highlight w:val="none"/>
          <w:lang w:val="zh-CN" w:eastAsia="zh-CN"/>
        </w:rPr>
        <w:t xml:space="preserve">万元，投标人的报价不得超出采购设定的最高限价上限，否则，其投标文件按无效投标处理。</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2、报价中要求包括本次招标的所有费用。报价是投标人对本次招标提出的各项支付金额的总和。</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3、供应商根据自己的经营状况和掌握的市场信息自主报价。决定供应商响应文件的响应性只根据响应文件本身的内容，而不寻求外部的证据。</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九、采购标的对应的中小企业划分标准所属行业一览表</w:t>
      </w:r>
      <w:r/>
    </w:p>
    <w:tbl>
      <w:tblPr>
        <w:tblStyle w:val="645"/>
        <w:tblW w:w="796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66"/>
        <w:gridCol w:w="3823"/>
        <w:gridCol w:w="3673"/>
      </w:tblGrid>
      <w:tr>
        <w:trPr>
          <w:jc w:val="cente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6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6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656"/>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6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656"/>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ascii="Helvetica" w:hAnsi="Helvetica" w:eastAsia="Helvetica" w:cs="Helvetica"/>
                <w:i w:val="0"/>
                <w:iCs w:val="0"/>
                <w:caps w:val="0"/>
                <w:color w:val="333333"/>
                <w:spacing w:val="0"/>
                <w:sz w:val="24"/>
                <w:szCs w:val="24"/>
                <w:highlight w:val="none"/>
                <w:shd w:val="clear" w:color="auto" w:fill="ffffff"/>
              </w:rPr>
              <w:t xml:space="preserve">射阳经开区大气环境监测点设备维修及运维项目</w:t>
            </w:r>
            <w:r/>
          </w:p>
        </w:tc>
        <w:tc>
          <w:tcPr>
            <w:shd w:val="clear" w:color="auto" w:fill="auto"/>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656"/>
              <w:ind w:firstLine="79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b/>
                <w:bCs/>
                <w:highlight w:val="none"/>
                <w:lang w:val="en-US" w:eastAsia="zh-CN"/>
              </w:rPr>
              <w:t xml:space="preserve">其他未列明行业</w:t>
            </w:r>
            <w:r/>
          </w:p>
        </w:tc>
      </w:tr>
    </w:tbl>
    <w:p>
      <w:pPr>
        <w:jc w:val="left"/>
        <w:widowControl/>
        <w:rPr>
          <w:highlight w:val="none"/>
        </w:rPr>
      </w:pPr>
      <w:r>
        <w:rPr>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bookmarkStart w:id="181" w:name="_GoBack"/>
      <w:r/>
      <w:bookmarkEnd w:id="181"/>
      <w:r/>
      <w:r/>
    </w:p>
    <w:p>
      <w:pPr>
        <w:jc w:val="both"/>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jc w:val="both"/>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jc w:val="lef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color w:val="auto"/>
          <w:highlight w:val="none"/>
        </w:rPr>
        <w:outlineLvl w:val="0"/>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评审方法与评审标准</w:t>
      </w:r>
      <w:bookmarkEnd w:id="163"/>
      <w:r/>
      <w:r/>
    </w:p>
    <w:p>
      <w:pPr>
        <w:pStyle w:val="656"/>
        <w:jc w:val="both"/>
        <w:spacing w:beforeAutospacing="0" w:afterAutospacing="0"/>
        <w:rPr>
          <w:color w:val="auto"/>
          <w:highlight w:val="none"/>
        </w:rPr>
      </w:pPr>
      <w:r>
        <w:rPr>
          <w:color w:val="auto"/>
          <w:highlight w:val="none"/>
        </w:rPr>
        <w:t xml:space="preserve"> </w:t>
      </w:r>
      <w:r/>
    </w:p>
    <w:p>
      <w:pPr>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一、定标原则</w:t>
      </w:r>
      <w:r/>
    </w:p>
    <w:p>
      <w:pPr>
        <w:ind w:firstLine="488"/>
        <w:spacing w:line="360" w:lineRule="exact"/>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lang w:val="en-US" w:eastAsia="zh-CN"/>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本项目选取1名成交候选供应商。</w:t>
      </w:r>
      <w:r/>
    </w:p>
    <w:p>
      <w:pPr>
        <w:pStyle w:val="656"/>
        <w:ind w:firstLine="441"/>
        <w:spacing w:before="120" w:beforeAutospacing="0" w:after="120" w:afterAutospacing="0" w:line="360" w:lineRule="auto"/>
        <w:rPr>
          <w:rFonts w:hint="eastAsia" w:ascii="宋体" w:hAnsi="宋体" w:eastAsia="宋体" w:cs="宋体"/>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（1）本项目专门面向中小企业采购，不再对小型和微型企业产品给予价格扣除。</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（2）供应商需按照采购文件的要求提供相应的《企业声明函》。</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（3）本次采购项目属于其他未列明行业。</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（4）企业标准请参照《关于印发中小企业划型标准规定的通知》（工信部联企业[2011]300号）文件规定自行填写。</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（5）本项目对残疾人福利性单位视同小型、微型企业。残疾人福利单位标准请参照《关于促进残疾人就业政府采购政策的通知》（财库〔2017〕141号），需提供《残疾人福利性单位声明函》。</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本项目对监狱和戒毒企业（简称监狱企业）视同小型、微型企业。监狱企业参加政府采购活动时，需提供由省级以上监狱管理局、戒毒管理局(含新疆生产建设兵团)出具的属于监狱企业的证明文件。监狱企业标准请参照《关于政府采购支持监狱企业发展有关问题的通知》（财库[2014]68号）。</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（7）</w:t>
      </w:r>
      <w:r>
        <w:rPr>
          <w:rFonts w:hint="eastAsia" w:asciiTheme="minorEastAsia" w:hAnsiTheme="minorEastAsia" w:eastAsiaTheme="minorEastAsia" w:cstheme="minorEastAsia"/>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sz w:val="24"/>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sz w:val="24"/>
        </w:rPr>
        <w:t xml:space="preserve">。</w:t>
      </w:r>
      <w:r>
        <w:rPr>
          <w:rFonts w:hint="eastAsia" w:asciiTheme="minorEastAsia" w:hAnsiTheme="minorEastAsia" w:eastAsiaTheme="minorEastAsia" w:cstheme="minorEastAsia"/>
          <w:sz w:val="24"/>
        </w:rPr>
        <w:t xml:space="preserve">其他条件相同情况下，应当优先采购节能产品、环境标志产品。</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8）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 </w:t>
      </w:r>
      <w:r/>
    </w:p>
    <w:p>
      <w:pPr>
        <w:ind w:firstLine="488"/>
        <w:spacing w:line="3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（9）</w:t>
      </w:r>
      <w:r>
        <w:rPr>
          <w:rFonts w:hint="eastAsia" w:asciiTheme="minorEastAsia" w:hAnsiTheme="minorEastAsia" w:eastAsiaTheme="minorEastAsia" w:cstheme="minorEastAsia"/>
          <w:sz w:val="24"/>
        </w:rPr>
        <w:t xml:space="preserve">供应商对于投标产品的商品包装、快递包装应按照“财办库〔2020〕123号《关于印发《商品包装政府采购需求标准（试行）》、《快递包装政府采购需求标准（试行）》的通知》”执行。</w:t>
      </w:r>
      <w:r/>
    </w:p>
    <w:p>
      <w:pPr>
        <w:ind w:firstLine="488"/>
        <w:spacing w:line="360" w:lineRule="exact"/>
        <w:rPr>
          <w:rFonts w:hint="eastAsia" w:asciiTheme="minorEastAsia" w:hAnsiTheme="minorEastAsia" w:eastAsiaTheme="minorEastAsia" w:cstheme="minorEastAsia"/>
          <w:b/>
          <w:color w:val="000000"/>
          <w:sz w:val="24"/>
        </w:rPr>
      </w:pPr>
      <w:r>
        <w:rPr>
          <w:rFonts w:hint="eastAsia" w:asciiTheme="minorEastAsia" w:hAnsiTheme="minorEastAsia" w:eastAsiaTheme="minorEastAsia" w:cstheme="minorEastAsia"/>
          <w:color w:val="000000"/>
          <w:sz w:val="24"/>
        </w:rPr>
        <w:t xml:space="preserve">（10）</w:t>
      </w:r>
      <w:r>
        <w:rPr>
          <w:rFonts w:hint="eastAsia" w:asciiTheme="minorEastAsia" w:hAnsiTheme="minorEastAsia" w:eastAsiaTheme="minorEastAsia" w:cstheme="minorEastAsia"/>
          <w:sz w:val="24"/>
        </w:rPr>
        <w:t xml:space="preserve">本文件中若涉及到数据中心采购，应按照《&lt;绿色数据中心政府采购需求标准（试行）&gt;的通知》（财库〔2023〕7号）执行。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56"/>
        <w:ind w:firstLine="482"/>
        <w:spacing w:before="120" w:beforeAutospacing="0" w:after="120" w:afterAutospacing="0" w:line="0" w:lineRule="atLeast"/>
        <w:rPr>
          <w:rFonts w:hint="eastAsia" w:ascii="宋体" w:hAnsi="宋体" w:eastAsia="宋体" w:cs="宋体"/>
          <w:color w:val="auto"/>
          <w:sz w:val="24"/>
          <w:szCs w:val="24"/>
          <w:highlight w:val="none"/>
        </w:rPr>
        <w:outlineLvl w:val="0"/>
      </w:pP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评审方法与评审标准</w:t>
      </w:r>
      <w:r/>
    </w:p>
    <w:tbl>
      <w:tblPr>
        <w:tblStyle w:val="645"/>
        <w:tblpPr w:horzAnchor="page" w:tblpX="1314" w:vertAnchor="text" w:tblpY="87" w:leftFromText="180" w:topFromText="0" w:rightFromText="180" w:bottomFromText="0"/>
        <w:tblW w:w="95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50"/>
        <w:gridCol w:w="698"/>
        <w:gridCol w:w="7932"/>
      </w:tblGrid>
      <w:tr>
        <w:trPr>
          <w:trHeight w:val="608"/>
        </w:trPr>
        <w:tc>
          <w:tcPr>
            <w:gridSpan w:val="3"/>
            <w:tcW w:w="15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评分</w:t>
            </w:r>
            <w:r/>
          </w:p>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项目</w:t>
            </w:r>
            <w:r/>
          </w:p>
        </w:tc>
        <w:tc>
          <w:tcPr>
            <w:tcW w:w="79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评分标准</w:t>
            </w:r>
            <w:r/>
          </w:p>
        </w:tc>
      </w:tr>
      <w:tr>
        <w:trPr/>
        <w:tc>
          <w:tcPr>
            <w:gridSpan w:val="3"/>
            <w:tcW w:w="15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szCs w:val="24"/>
                <w:highlight w:val="none"/>
              </w:rPr>
              <w:t xml:space="preserve">报价部分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0分）</w:t>
            </w:r>
            <w:r/>
          </w:p>
        </w:tc>
        <w:tc>
          <w:tcPr>
            <w:tcW w:w="7932"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价格分采用满足采购文件要求且最后投标价格最低的投标报价为评标基准价，其价格分为满分。其他投标人的价格分按照下列公式计算：投标报价得分=（评标基准价／投标报价）*30（保留小数点后两位）。</w:t>
            </w:r>
            <w:r/>
          </w:p>
        </w:tc>
      </w:tr>
      <w:tr>
        <w:trPr>
          <w:trHeight w:val="2246"/>
        </w:trPr>
        <w:tc>
          <w:tcPr>
            <w:gridSpan w:val="2"/>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人员配备（</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p>
        </w:tc>
        <w:tc>
          <w:tcPr>
            <w:tcW w:w="69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lang w:eastAsia="zh-CN"/>
              </w:rPr>
              <w:t xml:space="preserve">及</w:t>
            </w:r>
            <w:r>
              <w:rPr>
                <w:rFonts w:hint="eastAsia" w:ascii="宋体" w:hAnsi="宋体" w:eastAsia="宋体" w:cs="宋体"/>
                <w:color w:val="auto"/>
                <w:sz w:val="24"/>
                <w:highlight w:val="none"/>
                <w:lang w:val="en-US" w:eastAsia="zh-CN"/>
              </w:rPr>
              <w:t xml:space="preserve">技术负责人</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tc>
        <w:tc>
          <w:tcPr>
            <w:tcW w:w="793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（1）拟派项目负责人：具有环保类高级</w:t>
            </w: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lang w:val="en-US" w:eastAsia="zh-CN"/>
              </w:rPr>
              <w:t xml:space="preserve">、注册环境影响评价工程师证书、《国家环境监测总站环境空气质量自动监测技术与质控培训》合格证书的每有一项得1分，本项最高得3分。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（2）拟派技术负责人：具有环保类高级</w:t>
            </w: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lang w:val="en-US" w:eastAsia="zh-CN"/>
              </w:rPr>
              <w:t xml:space="preserve">、注册环境影响评价工程师证书、《国家环境监测总站环境空气质量自动监测技术与质控培训》合格证书的每有一项得1分，本项最高得3分。</w:t>
            </w:r>
            <w:r/>
          </w:p>
          <w:p>
            <w:pPr>
              <w:ind w:right="0"/>
              <w:keepLines w:val="0"/>
              <w:keepNext w:val="0"/>
              <w:spacing w:before="0" w:beforeAutospacing="0" w:after="0" w:afterAutospacing="0"/>
              <w:rPr>
                <w:rFonts w:hint="default"/>
                <w:color w:val="auto"/>
                <w:sz w:val="24"/>
                <w:szCs w:val="24"/>
                <w:highlight w:val="none"/>
              </w:rPr>
              <w:suppressLineNumbers w:val="0"/>
            </w:pPr>
            <w:r>
              <w:rPr>
                <w:rFonts w:hint="eastAsia" w:ascii="宋体" w:hAnsi="宋体" w:eastAsia="宋体" w:cs="宋体"/>
                <w:b/>
                <w:bCs/>
                <w:color w:val="auto"/>
                <w:sz w:val="24"/>
                <w:szCs w:val="24"/>
                <w:highlight w:val="none"/>
                <w:lang w:val="en-US" w:eastAsia="zh-CN"/>
              </w:rPr>
              <w:t xml:space="preserve">注：以上</w:t>
            </w:r>
            <w:r>
              <w:rPr>
                <w:rFonts w:hint="eastAsia" w:hAnsi="宋体" w:eastAsia="宋体" w:cs="宋体"/>
                <w:b/>
                <w:bCs/>
                <w:color w:val="auto"/>
                <w:sz w:val="24"/>
                <w:szCs w:val="24"/>
                <w:highlight w:val="none"/>
                <w:lang w:bidi="en-US"/>
              </w:rPr>
              <w:t xml:space="preserve">人员需提供</w:t>
            </w:r>
            <w:r>
              <w:rPr>
                <w:rFonts w:hint="eastAsia" w:hAnsi="宋体" w:eastAsia="宋体" w:cs="宋体"/>
                <w:b/>
                <w:bCs/>
                <w:color w:val="auto"/>
                <w:sz w:val="24"/>
                <w:szCs w:val="24"/>
                <w:highlight w:val="none"/>
                <w:lang w:eastAsia="zh-CN" w:bidi="en-US"/>
              </w:rPr>
              <w:t xml:space="preserve">相关</w:t>
            </w:r>
            <w:r>
              <w:rPr>
                <w:rFonts w:hint="eastAsia" w:hAnsi="宋体" w:eastAsia="宋体" w:cs="宋体"/>
                <w:b/>
                <w:bCs/>
                <w:color w:val="auto"/>
                <w:sz w:val="24"/>
                <w:szCs w:val="24"/>
                <w:highlight w:val="none"/>
                <w:lang w:bidi="en-US"/>
              </w:rPr>
              <w:t xml:space="preserve">证书扫描件</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未提供或</w:t>
            </w:r>
            <w:r>
              <w:rPr>
                <w:rFonts w:hint="eastAsia" w:ascii="宋体" w:hAnsi="宋体" w:eastAsia="宋体" w:cs="宋体"/>
                <w:b/>
                <w:bCs/>
                <w:color w:val="auto"/>
                <w:sz w:val="24"/>
                <w:szCs w:val="24"/>
                <w:highlight w:val="none"/>
              </w:rPr>
              <w:t xml:space="preserve">未按要求提供不得分。</w:t>
            </w:r>
            <w:r/>
          </w:p>
        </w:tc>
      </w:tr>
      <w:tr>
        <w:trPr/>
        <w:tc>
          <w:tcPr>
            <w:gridSpan w:val="2"/>
            <w:tcW w:w="876"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default" w:ascii="宋体" w:hAnsi="宋体" w:eastAsia="宋体" w:cs="宋体"/>
                <w:color w:val="auto"/>
                <w:sz w:val="24"/>
                <w:highlight w:val="none"/>
                <w:shd w:val="clear" w:color="auto" w:fill="ffffff"/>
              </w:rPr>
            </w:r>
            <w:r/>
          </w:p>
        </w:tc>
        <w:tc>
          <w:tcPr>
            <w:tcW w:w="69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项目团队实力情况（</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w:t>
            </w:r>
            <w:r/>
          </w:p>
        </w:tc>
        <w:tc>
          <w:tcPr>
            <w:tcW w:w="793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除项目负责人</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lang w:val="en-US" w:eastAsia="zh-CN"/>
              </w:rPr>
              <w:t xml:space="preserve">技术负责人</w:t>
            </w:r>
            <w:r>
              <w:rPr>
                <w:rFonts w:hint="eastAsia" w:ascii="宋体" w:hAnsi="宋体" w:eastAsia="宋体" w:cs="宋体"/>
                <w:color w:val="auto"/>
                <w:sz w:val="24"/>
                <w:szCs w:val="24"/>
                <w:highlight w:val="none"/>
              </w:rPr>
              <w:t xml:space="preserve">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拟</w:t>
            </w:r>
            <w:r>
              <w:rPr>
                <w:rFonts w:hint="eastAsia" w:ascii="宋体" w:hAnsi="宋体" w:eastAsia="宋体" w:cs="宋体"/>
                <w:color w:val="auto"/>
                <w:sz w:val="24"/>
                <w:szCs w:val="24"/>
                <w:highlight w:val="none"/>
              </w:rPr>
              <w:t xml:space="preserve">投入本项目的项目组成员中</w:t>
            </w:r>
            <w:r>
              <w:rPr>
                <w:rFonts w:hint="eastAsia" w:ascii="宋体" w:hAnsi="宋体" w:eastAsia="宋体" w:cs="宋体"/>
                <w:color w:val="auto"/>
                <w:sz w:val="24"/>
                <w:szCs w:val="24"/>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（1）具有《国家环境监测总站环境空气质量自动监测技术与质控培训》合格证书</w:t>
            </w:r>
            <w:r>
              <w:rPr>
                <w:rFonts w:hint="eastAsia" w:ascii="宋体" w:hAnsi="宋体" w:eastAsia="宋体" w:cs="宋体"/>
                <w:color w:val="auto"/>
                <w:sz w:val="24"/>
                <w:szCs w:val="24"/>
                <w:highlight w:val="none"/>
              </w:rPr>
              <w:t xml:space="preserve">的每有一</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得0.5分，同时具有</w:t>
            </w:r>
            <w:r>
              <w:rPr>
                <w:rFonts w:hint="eastAsia" w:ascii="宋体" w:hAnsi="宋体" w:eastAsia="宋体" w:cs="宋体"/>
                <w:color w:val="auto"/>
                <w:sz w:val="24"/>
                <w:szCs w:val="24"/>
                <w:highlight w:val="none"/>
                <w:lang w:eastAsia="zh-CN"/>
              </w:rPr>
              <w:t xml:space="preserve">环保</w:t>
            </w:r>
            <w:r>
              <w:rPr>
                <w:rFonts w:hint="eastAsia" w:ascii="宋体" w:hAnsi="宋体" w:eastAsia="宋体" w:cs="宋体"/>
                <w:color w:val="auto"/>
                <w:sz w:val="24"/>
                <w:szCs w:val="24"/>
                <w:highlight w:val="none"/>
              </w:rPr>
              <w:t xml:space="preserve">类</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每有一</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得1分，本项最</w:t>
            </w:r>
            <w:r>
              <w:rPr>
                <w:rFonts w:hint="eastAsia" w:ascii="宋体" w:hAnsi="宋体" w:eastAsia="宋体" w:cs="宋体"/>
                <w:color w:val="auto"/>
                <w:sz w:val="24"/>
                <w:szCs w:val="24"/>
                <w:highlight w:val="none"/>
              </w:rPr>
              <w:t xml:space="preserve">高</w:t>
            </w:r>
            <w:r>
              <w:rPr>
                <w:rFonts w:hint="eastAsia" w:ascii="宋体" w:hAnsi="宋体" w:eastAsia="宋体" w:cs="宋体"/>
                <w:color w:val="auto"/>
                <w:sz w:val="24"/>
                <w:szCs w:val="24"/>
                <w:highlight w:val="none"/>
                <w:lang w:val="en-US" w:eastAsia="zh-CN"/>
              </w:rPr>
              <w:t xml:space="preserve">得3分。</w:t>
            </w:r>
            <w:r/>
          </w:p>
          <w:p>
            <w:pPr>
              <w:ind w:left="0" w:right="0"/>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（2）具有《环境空气挥发性有机物自动监测仪器运行与质控技术培训》合格证书</w:t>
            </w:r>
            <w:r>
              <w:rPr>
                <w:rFonts w:hint="eastAsia" w:ascii="宋体" w:hAnsi="宋体" w:eastAsia="宋体" w:cs="宋体"/>
                <w:color w:val="auto"/>
                <w:sz w:val="24"/>
                <w:szCs w:val="24"/>
                <w:highlight w:val="none"/>
              </w:rPr>
              <w:t xml:space="preserve">的每有一</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得0.5分，同时具有</w:t>
            </w:r>
            <w:r>
              <w:rPr>
                <w:rFonts w:hint="eastAsia" w:ascii="宋体" w:hAnsi="宋体" w:eastAsia="宋体" w:cs="宋体"/>
                <w:color w:val="auto"/>
                <w:sz w:val="24"/>
                <w:szCs w:val="24"/>
                <w:highlight w:val="none"/>
                <w:lang w:eastAsia="zh-CN"/>
              </w:rPr>
              <w:t xml:space="preserve">环保</w:t>
            </w:r>
            <w:r>
              <w:rPr>
                <w:rFonts w:hint="eastAsia" w:ascii="宋体" w:hAnsi="宋体" w:eastAsia="宋体" w:cs="宋体"/>
                <w:color w:val="auto"/>
                <w:sz w:val="24"/>
                <w:szCs w:val="24"/>
                <w:highlight w:val="none"/>
              </w:rPr>
              <w:t xml:space="preserve">类</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每有一</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得1分，本项最</w:t>
            </w:r>
            <w:r>
              <w:rPr>
                <w:rFonts w:hint="eastAsia" w:ascii="宋体" w:hAnsi="宋体" w:eastAsia="宋体" w:cs="宋体"/>
                <w:color w:val="auto"/>
                <w:sz w:val="24"/>
                <w:szCs w:val="24"/>
                <w:highlight w:val="none"/>
              </w:rPr>
              <w:t xml:space="preserve">高</w:t>
            </w:r>
            <w:r>
              <w:rPr>
                <w:rFonts w:hint="eastAsia" w:ascii="宋体" w:hAnsi="宋体" w:eastAsia="宋体" w:cs="宋体"/>
                <w:color w:val="auto"/>
                <w:sz w:val="24"/>
                <w:szCs w:val="24"/>
                <w:highlight w:val="none"/>
                <w:lang w:val="en-US" w:eastAsia="zh-CN"/>
              </w:rPr>
              <w:t xml:space="preserve">得4分。</w:t>
            </w:r>
            <w:r/>
          </w:p>
          <w:p>
            <w:pPr>
              <w:ind w:left="0" w:right="0"/>
              <w:keepLines w:val="0"/>
              <w:keepNext w:val="0"/>
              <w:spacing w:before="0" w:beforeAutospacing="0" w:after="0" w:afterAutospacing="0"/>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具有特种作业操作证（低压电工）的</w:t>
            </w:r>
            <w:r>
              <w:rPr>
                <w:rFonts w:hint="eastAsia" w:ascii="宋体" w:hAnsi="宋体" w:eastAsia="宋体" w:cs="宋体"/>
                <w:color w:val="auto"/>
                <w:sz w:val="24"/>
                <w:szCs w:val="24"/>
                <w:highlight w:val="none"/>
                <w:lang w:val="en-US" w:eastAsia="zh-CN"/>
              </w:rPr>
              <w:t xml:space="preserve">得2</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得2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default"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rPr>
              <w:t xml:space="preserve">注：以上</w:t>
            </w:r>
            <w:r>
              <w:rPr>
                <w:rFonts w:hint="eastAsia" w:hAnsi="宋体" w:eastAsia="宋体" w:cs="宋体"/>
                <w:b/>
                <w:bCs/>
                <w:color w:val="auto"/>
                <w:sz w:val="24"/>
                <w:szCs w:val="24"/>
                <w:highlight w:val="none"/>
                <w:lang w:bidi="en-US"/>
              </w:rPr>
              <w:t xml:space="preserve">人员需提供</w:t>
            </w:r>
            <w:r>
              <w:rPr>
                <w:rFonts w:hint="eastAsia" w:hAnsi="宋体" w:eastAsia="宋体" w:cs="宋体"/>
                <w:b/>
                <w:bCs/>
                <w:color w:val="auto"/>
                <w:sz w:val="24"/>
                <w:szCs w:val="24"/>
                <w:highlight w:val="none"/>
                <w:lang w:eastAsia="zh-CN" w:bidi="en-US"/>
              </w:rPr>
              <w:t xml:space="preserve">相关</w:t>
            </w:r>
            <w:r>
              <w:rPr>
                <w:rFonts w:hint="eastAsia" w:hAnsi="宋体" w:eastAsia="宋体" w:cs="宋体"/>
                <w:b/>
                <w:bCs/>
                <w:color w:val="auto"/>
                <w:sz w:val="24"/>
                <w:szCs w:val="24"/>
                <w:highlight w:val="none"/>
                <w:lang w:bidi="en-US"/>
              </w:rPr>
              <w:t xml:space="preserve">证书扫描件</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未提供或</w:t>
            </w:r>
            <w:r>
              <w:rPr>
                <w:rFonts w:hint="eastAsia" w:ascii="宋体" w:hAnsi="宋体" w:eastAsia="宋体" w:cs="宋体"/>
                <w:b/>
                <w:bCs/>
                <w:color w:val="auto"/>
                <w:sz w:val="24"/>
                <w:szCs w:val="24"/>
                <w:highlight w:val="none"/>
              </w:rPr>
              <w:t xml:space="preserve">未按要求提供不得分。</w:t>
            </w:r>
            <w:r/>
          </w:p>
        </w:tc>
      </w:tr>
      <w:tr>
        <w:trPr>
          <w:trHeight w:val="813"/>
        </w:trPr>
        <w:tc>
          <w:tcPr>
            <w:gridSpan w:val="3"/>
            <w:tcW w:w="15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综合实力（</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tc>
        <w:tc>
          <w:tcPr>
            <w:tcW w:w="7932" w:type="dxa"/>
            <w:vAlign w:val="center"/>
            <w:textDirection w:val="lrTb"/>
            <w:noWrap w:val="false"/>
          </w:tcPr>
          <w:p>
            <w:pPr>
              <w:numPr>
                <w:ilvl w:val="0"/>
                <w:numId w:val="0"/>
              </w:numPr>
              <w:ind w:right="0"/>
              <w:keepLines w:val="0"/>
              <w:keepNext w:val="0"/>
              <w:spacing w:before="0" w:beforeAutospacing="0" w:after="0" w:afterAutospacing="0"/>
              <w:rPr>
                <w:rFonts w:hint="default" w:ascii="宋体" w:hAnsi="宋体" w:eastAsia="宋体" w:cs="宋体"/>
                <w:color w:val="auto"/>
                <w:sz w:val="24"/>
                <w:szCs w:val="24"/>
                <w:highlight w:val="none"/>
              </w:rPr>
              <w:suppressLineNumbers w:val="0"/>
            </w:pPr>
            <w:r>
              <w:rPr>
                <w:rFonts w:hint="eastAsia" w:ascii="Times New Roman" w:hAnsi="Times New Roman" w:eastAsia="宋体" w:cs="Times New Roman"/>
                <w:sz w:val="24"/>
                <w:szCs w:val="24"/>
              </w:rPr>
              <w:t xml:space="preserve">投标人</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本项目配备日常巡查仪器：车载空气质量</w:t>
            </w:r>
            <w:r>
              <w:rPr>
                <w:rFonts w:hint="eastAsia" w:ascii="宋体" w:hAnsi="宋体" w:eastAsia="宋体" w:cs="宋体"/>
                <w:color w:val="auto"/>
                <w:sz w:val="24"/>
                <w:szCs w:val="24"/>
                <w:highlight w:val="none"/>
                <w:lang w:eastAsia="zh-CN"/>
              </w:rPr>
              <w:t xml:space="preserve">监测</w:t>
            </w:r>
            <w:r>
              <w:rPr>
                <w:rFonts w:hint="eastAsia" w:ascii="宋体" w:hAnsi="宋体" w:eastAsia="宋体" w:cs="宋体"/>
                <w:color w:val="auto"/>
                <w:sz w:val="24"/>
                <w:szCs w:val="24"/>
                <w:highlight w:val="none"/>
              </w:rPr>
              <w:t xml:space="preserve">仪、PID，每具有一项仪器得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numPr>
                <w:ilvl w:val="0"/>
                <w:numId w:val="0"/>
              </w:numPr>
              <w:ind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bCs/>
                <w:color w:val="auto"/>
                <w:sz w:val="24"/>
                <w:szCs w:val="24"/>
                <w:highlight w:val="none"/>
                <w:lang w:val="en-US" w:eastAsia="zh-CN"/>
              </w:rPr>
              <w:t xml:space="preserve">注：如为自有设备</w:t>
            </w:r>
            <w:r>
              <w:rPr>
                <w:rFonts w:hint="eastAsia" w:ascii="宋体" w:hAnsi="宋体" w:eastAsia="宋体" w:cs="宋体"/>
                <w:b/>
                <w:bCs/>
                <w:color w:val="auto"/>
                <w:sz w:val="24"/>
                <w:szCs w:val="24"/>
                <w:highlight w:val="none"/>
              </w:rPr>
              <w:t xml:space="preserve">须提供设备照片、设备购置合同原件扫描件，未提供或提供不全的不得分。</w:t>
            </w:r>
            <w:r/>
          </w:p>
        </w:tc>
      </w:tr>
      <w:tr>
        <w:trPr>
          <w:trHeight w:val="699"/>
        </w:trPr>
        <w:tc>
          <w:tcPr>
            <w:gridSpan w:val="3"/>
            <w:tcW w:w="15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业绩（</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w:t>
            </w:r>
            <w:r/>
          </w:p>
        </w:tc>
        <w:tc>
          <w:tcPr>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en-US" w:eastAsia="zh-CN"/>
              </w:rPr>
              <w:t xml:space="preserve">提供</w:t>
            </w:r>
            <w:r>
              <w:rPr>
                <w:rFonts w:hint="eastAsia" w:ascii="宋体" w:hAnsi="宋体" w:eastAsia="宋体" w:cs="宋体"/>
                <w:color w:val="auto"/>
                <w:sz w:val="24"/>
                <w:highlight w:val="none"/>
              </w:rPr>
              <w:t xml:space="preserve">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w:t>
            </w:r>
            <w:r>
              <w:rPr>
                <w:rFonts w:hint="eastAsia" w:ascii="宋体" w:hAnsi="宋体" w:eastAsia="宋体" w:cs="宋体"/>
                <w:color w:val="auto"/>
                <w:sz w:val="24"/>
                <w:highlight w:val="none"/>
                <w:lang w:val="en-US" w:eastAsia="zh-CN"/>
              </w:rPr>
              <w:t xml:space="preserve">以来</w:t>
            </w:r>
            <w:r>
              <w:rPr>
                <w:rFonts w:hint="eastAsia" w:ascii="宋体" w:hAnsi="宋体" w:eastAsia="宋体" w:cs="宋体"/>
                <w:color w:val="auto"/>
                <w:sz w:val="24"/>
                <w:highlight w:val="none"/>
              </w:rPr>
              <w:t xml:space="preserve">（以合同签署日期为准）具有此类项目业绩（以合同签订时间为准）</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rPr>
              <w:t xml:space="preserve">，每提供一个得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本项最高得9</w:t>
            </w:r>
            <w:r>
              <w:rPr>
                <w:rFonts w:hint="eastAsia" w:ascii="宋体" w:hAnsi="宋体" w:eastAsia="宋体" w:cs="宋体"/>
                <w:color w:val="auto"/>
                <w:sz w:val="24"/>
                <w:highlight w:val="none"/>
              </w:rPr>
              <w:t xml:space="preserve">分。</w:t>
            </w:r>
            <w:r/>
          </w:p>
          <w:p>
            <w:pPr>
              <w:jc w:val="left"/>
              <w:rPr>
                <w:rFonts w:hint="default" w:ascii="宋体" w:hAnsi="宋体" w:eastAsia="宋体" w:cs="宋体"/>
                <w:b/>
                <w:bCs/>
                <w:color w:val="auto"/>
                <w:sz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b/>
                <w:bCs/>
                <w:color w:val="auto"/>
                <w:sz w:val="24"/>
                <w:highlight w:val="none"/>
                <w:lang w:eastAsia="zh-CN"/>
              </w:rPr>
              <w:t xml:space="preserve">须</w:t>
            </w:r>
            <w:r>
              <w:rPr>
                <w:rFonts w:hint="eastAsia" w:ascii="宋体" w:hAnsi="宋体" w:eastAsia="宋体" w:cs="宋体"/>
                <w:b/>
                <w:bCs/>
                <w:color w:val="auto"/>
                <w:sz w:val="24"/>
                <w:szCs w:val="24"/>
              </w:rPr>
              <w:t xml:space="preserve">提供合同</w:t>
            </w:r>
            <w:r>
              <w:rPr>
                <w:rFonts w:hint="eastAsia" w:ascii="宋体" w:hAnsi="宋体" w:eastAsia="宋体" w:cs="宋体"/>
                <w:b/>
                <w:bCs/>
                <w:color w:val="auto"/>
                <w:sz w:val="24"/>
                <w:szCs w:val="24"/>
                <w:lang w:eastAsia="zh-CN"/>
              </w:rPr>
              <w:t xml:space="preserve">原件彩色</w:t>
            </w:r>
            <w:r>
              <w:rPr>
                <w:rFonts w:hint="eastAsia" w:ascii="宋体" w:hAnsi="宋体" w:eastAsia="宋体" w:cs="宋体"/>
                <w:b/>
                <w:bCs/>
                <w:color w:val="auto"/>
                <w:sz w:val="24"/>
                <w:szCs w:val="24"/>
              </w:rPr>
              <w:t xml:space="preserve">扫描件</w:t>
            </w:r>
            <w:r>
              <w:rPr>
                <w:rFonts w:hint="eastAsia" w:ascii="宋体" w:hAnsi="宋体" w:eastAsia="宋体" w:cs="Times New Roman"/>
                <w:b/>
                <w:bCs/>
                <w:color w:val="auto"/>
                <w:sz w:val="24"/>
                <w:highlight w:val="none"/>
              </w:rPr>
              <w:t xml:space="preserve">并加盖供应商公章</w:t>
            </w:r>
            <w:r>
              <w:rPr>
                <w:rFonts w:hint="eastAsia" w:ascii="宋体" w:hAnsi="宋体" w:eastAsia="宋体" w:cs="宋体"/>
                <w:b/>
                <w:bCs/>
                <w:color w:val="auto"/>
                <w:sz w:val="24"/>
                <w:szCs w:val="24"/>
              </w:rPr>
              <w:t xml:space="preserve">。未提供不得分</w:t>
            </w:r>
            <w:r>
              <w:rPr>
                <w:rFonts w:hint="eastAsia" w:ascii="宋体" w:hAnsi="宋体" w:cs="宋体"/>
                <w:b/>
                <w:bCs/>
                <w:color w:val="auto"/>
                <w:sz w:val="24"/>
                <w:szCs w:val="24"/>
                <w:lang w:eastAsia="zh-CN"/>
              </w:rPr>
              <w:t xml:space="preserve">。</w:t>
            </w:r>
            <w:r/>
          </w:p>
        </w:tc>
      </w:tr>
      <w:tr>
        <w:trPr>
          <w:trHeight w:val="153"/>
        </w:trPr>
        <w:tc>
          <w:tcPr>
            <w:tcW w:w="82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实施方案（</w:t>
            </w:r>
            <w:r>
              <w:rPr>
                <w:rFonts w:hint="eastAsia" w:ascii="宋体" w:hAnsi="宋体" w:eastAsia="宋体" w:cs="宋体"/>
                <w:color w:val="auto"/>
                <w:sz w:val="24"/>
                <w:highlight w:val="none"/>
                <w:lang w:val="en-US" w:eastAsia="zh-CN"/>
              </w:rPr>
              <w:t xml:space="preserve">42</w:t>
            </w:r>
            <w:r>
              <w:rPr>
                <w:rFonts w:hint="eastAsia" w:ascii="宋体" w:hAnsi="宋体" w:eastAsia="宋体" w:cs="宋体"/>
                <w:color w:val="auto"/>
                <w:sz w:val="24"/>
                <w:highlight w:val="none"/>
              </w:rPr>
              <w:t xml:space="preserve">分）</w:t>
            </w:r>
            <w:r/>
          </w:p>
        </w:tc>
        <w:tc>
          <w:tcPr>
            <w:gridSpan w:val="2"/>
            <w:tcW w:w="74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12分</w:t>
            </w:r>
            <w:r/>
          </w:p>
        </w:tc>
        <w:tc>
          <w:tcPr>
            <w:shd w:val="clear" w:color="auto" w:fill="auto"/>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根据投标人提供的对本项目的理解和日常运行维护方案（至少包括</w:t>
            </w:r>
            <w:r>
              <w:rPr>
                <w:rFonts w:hint="eastAsia" w:ascii="宋体" w:hAnsi="宋体" w:eastAsia="宋体" w:cs="宋体"/>
                <w:b/>
                <w:bCs/>
                <w:color w:val="auto"/>
                <w:sz w:val="24"/>
                <w:highlight w:val="none"/>
              </w:rPr>
              <w:t xml:space="preserve">运维计划、日常维护频次</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定期巡检内容</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故障维修措施</w:t>
            </w:r>
            <w:r>
              <w:rPr>
                <w:rFonts w:hint="eastAsia" w:ascii="宋体" w:hAnsi="宋体" w:eastAsia="宋体" w:cs="宋体"/>
                <w:color w:val="auto"/>
                <w:sz w:val="24"/>
                <w:highlight w:val="none"/>
              </w:rPr>
              <w:t xml:space="preserve">）的合理性、逻辑性、完整性及可操作性进行评分。</w:t>
            </w:r>
            <w:r/>
          </w:p>
          <w:p>
            <w:pPr>
              <w:numPr>
                <w:ilvl w:val="0"/>
                <w:numId w:val="0"/>
              </w:numPr>
              <w:ind w:right="0"/>
              <w:keepLines w:val="0"/>
              <w:keepNext w:val="0"/>
              <w:spacing w:before="0" w:beforeAutospacing="0" w:after="0" w:afterAutospacing="0"/>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方案内容描述全面合理符合采购需求的得</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分，每有一项内容缺失的扣</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 </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分，直至该项分值</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分扣完为止，不提供不得分。</w:t>
            </w:r>
            <w:r/>
          </w:p>
        </w:tc>
      </w:tr>
      <w:tr>
        <w:trPr>
          <w:trHeight w:val="1678"/>
        </w:trPr>
        <w:tc>
          <w:tcPr>
            <w:tcW w:w="826" w:type="dxa"/>
            <w:vAlign w:val="center"/>
            <w:vMerge w:val="continue"/>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gridSpan w:val="2"/>
            <w:tcW w:w="74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9分</w:t>
            </w:r>
            <w:r/>
          </w:p>
        </w:tc>
        <w:tc>
          <w:tcPr>
            <w:shd w:val="clear" w:color="auto" w:fill="auto"/>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根据投标人提供的针对本项目的质控核查工作方案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至少包括</w:t>
            </w:r>
            <w:r>
              <w:rPr>
                <w:rFonts w:hint="eastAsia" w:ascii="宋体" w:hAnsi="宋体" w:eastAsia="宋体" w:cs="宋体"/>
                <w:b/>
                <w:bCs/>
                <w:color w:val="auto"/>
                <w:sz w:val="24"/>
                <w:highlight w:val="none"/>
              </w:rPr>
              <w:t xml:space="preserve">质量保证控制措施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质控核查计划</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质控核查具体内容</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rPr>
              <w:t xml:space="preserve">全面性、针对性进行评分。</w:t>
            </w:r>
            <w:r/>
          </w:p>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方案内容描述全面合理符合采购需求的得9分，每有一项内容缺失的扣3分；每有一处存在缺陷（缺陷是指不适用于本项目，表述前后不一致或内容矛盾，语句有歧义，仅有框架或标题，涉及的规范及标准错误，套用其他项目内容等任意一种情形）的扣 1 分，直至该项分值 3 分扣完为止，不提供不得分。</w:t>
            </w:r>
            <w:r/>
          </w:p>
        </w:tc>
      </w:tr>
      <w:tr>
        <w:trPr>
          <w:trHeight w:val="1678"/>
        </w:trPr>
        <w:tc>
          <w:tcPr>
            <w:tcW w:w="82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gridSpan w:val="2"/>
            <w:tcW w:w="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6分</w:t>
            </w:r>
            <w:r/>
          </w:p>
        </w:tc>
        <w:tc>
          <w:tcPr>
            <w:shd w:val="clear" w:color="auto" w:fill="auto"/>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根据投标人提供的针对本项目的应急预案（至少包含</w:t>
            </w:r>
            <w:r>
              <w:rPr>
                <w:rFonts w:hint="eastAsia" w:ascii="宋体" w:hAnsi="宋体" w:eastAsia="宋体" w:cs="宋体"/>
                <w:b/>
                <w:bCs/>
                <w:color w:val="auto"/>
                <w:sz w:val="24"/>
                <w:highlight w:val="none"/>
              </w:rPr>
              <w:t xml:space="preserve">应急分类与处置</w:t>
            </w:r>
            <w:r>
              <w:rPr>
                <w:rFonts w:hint="eastAsia" w:ascii="宋体" w:hAnsi="宋体" w:eastAsia="宋体" w:cs="宋体"/>
                <w:color w:val="auto"/>
                <w:sz w:val="24"/>
                <w:highlight w:val="none"/>
              </w:rPr>
              <w:t xml:space="preserve">）的全面性及可操作性进行评分。对运营期间如出现严重影响系统运行和数据质量的重大问题时，是否具备有效的措施，并制定了数据监控制度和处理处置方法。 </w:t>
            </w:r>
            <w:r/>
          </w:p>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方案内容描述全面合理符合采购需求的得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分，每有一项内容缺失的扣3分；每有一处存在缺陷（缺陷是指不适用于本项目，表述前后不一致或内容矛盾，语句有歧义，仅有框架或标题，涉及的规范及标准错误，套用其他项目内容等任意一种情形）的扣 1 分，直至该项分值 3 分扣完为止，不提供不得分。</w:t>
            </w:r>
            <w:r/>
          </w:p>
        </w:tc>
      </w:tr>
      <w:tr>
        <w:trPr>
          <w:trHeight w:val="468"/>
        </w:trPr>
        <w:tc>
          <w:tcPr>
            <w:tcW w:w="82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gridSpan w:val="2"/>
            <w:tcW w:w="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15分</w:t>
            </w:r>
            <w:r/>
          </w:p>
        </w:tc>
        <w:tc>
          <w:tcPr>
            <w:shd w:val="clear" w:color="auto" w:fill="auto"/>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根据投标人提供的针对本项目的交接方案（至少包含</w:t>
            </w:r>
            <w:r>
              <w:rPr>
                <w:rFonts w:hint="eastAsia" w:ascii="宋体" w:hAnsi="宋体" w:eastAsia="宋体" w:cs="宋体"/>
                <w:b/>
                <w:bCs/>
                <w:color w:val="auto"/>
                <w:sz w:val="24"/>
                <w:highlight w:val="none"/>
              </w:rPr>
              <w:t xml:space="preserve">人员安排</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职责分工、时间安排、交接内容</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交接流程</w:t>
            </w:r>
            <w:r>
              <w:rPr>
                <w:rFonts w:hint="eastAsia" w:ascii="宋体" w:hAnsi="宋体" w:eastAsia="宋体" w:cs="宋体"/>
                <w:color w:val="auto"/>
                <w:sz w:val="24"/>
                <w:highlight w:val="none"/>
              </w:rPr>
              <w:t xml:space="preserve">）的合理性及可操作性进行评分。</w:t>
            </w:r>
            <w:r/>
          </w:p>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方案内容描述全面合理符合采购需求的得</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分，每有一项内容缺失的扣3分；每有一处存在缺陷（缺陷是指不适用于本项目，表述前后不一致或内容矛盾，语句有歧义，仅有框架或标题，涉及的规范及标准错误，套用其他项目内容等任意一种情形）的扣 1 分，直至该项分值 3 分扣完为止，不提供不得分。</w:t>
            </w:r>
            <w:r/>
          </w:p>
        </w:tc>
      </w:tr>
      <w:tr>
        <w:trPr>
          <w:trHeight w:val="468"/>
        </w:trPr>
        <w:tc>
          <w:tcPr>
            <w:tcW w:w="82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gridSpan w:val="2"/>
            <w:tcW w:w="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r>
            <w:r/>
          </w:p>
        </w:tc>
        <w:tc>
          <w:tcPr>
            <w:shd w:val="clear" w:color="auto" w:fill="auto"/>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bl>
    <w:p>
      <w:pPr>
        <w:pStyle w:val="656"/>
        <w:jc w:val="both"/>
        <w:spacing w:beforeAutospacing="0" w:afterAutospacing="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left"/>
        <w:spacing w:line="240" w:lineRule="auto"/>
        <w:rPr>
          <w:rFonts w:hint="eastAsia" w:ascii="宋体" w:hAnsi="宋体" w:eastAsia="宋体" w:cs="Times New Roman"/>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hint="eastAsia" w:ascii="宋体" w:hAnsi="宋体" w:eastAsia="宋体" w:cs="Times New Roman"/>
          <w:b/>
          <w:bCs/>
          <w:color w:val="000000"/>
          <w:sz w:val="24"/>
        </w:rPr>
        <w:t xml:space="preserve">备注：</w:t>
      </w:r>
      <w:r/>
    </w:p>
    <w:p>
      <w:pPr>
        <w:ind w:firstLine="480"/>
        <w:jc w:val="left"/>
        <w:spacing w:line="240" w:lineRule="auto"/>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1、评分标准中要求提供的证明材料均以原件扫描加盖所要求的公章在响应文件中反映，相关证明材料须按要求完整提供且不得涂</w:t>
      </w:r>
      <w:r>
        <w:rPr>
          <w:rFonts w:hint="eastAsia" w:ascii="宋体" w:hAnsi="宋体" w:eastAsia="宋体" w:cs="Times New Roman"/>
          <w:sz w:val="24"/>
        </w:rPr>
        <w:t xml:space="preserve">改</w:t>
      </w:r>
      <w:r>
        <w:rPr>
          <w:rFonts w:hint="eastAsia" w:ascii="宋体" w:hAnsi="宋体" w:eastAsia="宋体" w:cs="Times New Roman"/>
          <w:b/>
          <w:bCs/>
          <w:sz w:val="24"/>
        </w:rPr>
        <w:t xml:space="preserve">，</w:t>
      </w:r>
      <w:r>
        <w:rPr>
          <w:rFonts w:hint="eastAsia" w:ascii="宋体" w:hAnsi="宋体" w:eastAsia="宋体" w:cs="Times New Roman"/>
          <w:b/>
          <w:bCs/>
          <w:color w:val="ff0000"/>
          <w:sz w:val="24"/>
        </w:rPr>
        <w:t xml:space="preserve">本项目所须提供的证明材料均应原件扫描（如原件是彩色件，则扫描件须是彩色），否则不能得分。</w:t>
      </w:r>
      <w:r/>
    </w:p>
    <w:p>
      <w:pPr>
        <w:ind w:firstLine="480"/>
        <w:jc w:val="left"/>
        <w:spacing w:line="240" w:lineRule="auto"/>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2、采购人有权在规定的时间内（中标公示或质疑期间及其他采购人明确要求的时间内）对成交供应商或其他供应商提供的与项目需求、评分办法相关的材料等评分依据</w:t>
      </w:r>
      <w:r>
        <w:rPr>
          <w:rFonts w:hint="eastAsia" w:ascii="宋体" w:hAnsi="宋体" w:eastAsia="宋体" w:cs="Times New Roman"/>
          <w:b/>
          <w:bCs/>
          <w:color w:val="ff0000"/>
          <w:sz w:val="24"/>
        </w:rPr>
        <w:t xml:space="preserve">（原件）</w:t>
      </w:r>
      <w:r>
        <w:rPr>
          <w:rFonts w:hint="eastAsia" w:ascii="宋体" w:hAnsi="宋体" w:eastAsia="宋体" w:cs="Times New Roman"/>
          <w:color w:val="000000"/>
          <w:sz w:val="24"/>
        </w:rPr>
        <w:t xml:space="preserve">的真实性进行复查。如未在采购人规定的时间内提交，采购人有权根据政府采购法律法规处理。如发现有通过提供虚假证明文件获得分值，将取消中标资格，并提请监督机构按照政府采购相关法规处理。</w:t>
      </w:r>
      <w:r/>
    </w:p>
    <w:p>
      <w:pPr>
        <w:ind w:firstLine="480"/>
        <w:jc w:val="left"/>
        <w:spacing w:line="240" w:lineRule="auto"/>
        <w:rPr>
          <w:rFonts w:hint="eastAsia" w:ascii="宋体" w:hAnsi="宋体" w:cs="宋体"/>
          <w:bCs/>
          <w:szCs w:val="21"/>
          <w:lang w:val="zh-TW" w:eastAsia="zh-TW"/>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rPr>
        <w:t xml:space="preserve">3、</w:t>
      </w:r>
      <w:r>
        <w:rPr>
          <w:rFonts w:hint="eastAsia" w:ascii="宋体" w:hAnsi="宋体" w:eastAsia="宋体" w:cs="Times New Roman"/>
          <w:color w:val="000000"/>
          <w:sz w:val="24"/>
        </w:rPr>
        <w:t xml:space="preserve">评分中涉及的证书/评价报告等应在有效期内，且在磋商文件上网前取得。</w:t>
      </w:r>
      <w:r/>
    </w:p>
    <w:p>
      <w:pPr>
        <w:pStyle w:val="658"/>
        <w:ind w:left="0" w:firstLine="0"/>
        <w:rPr>
          <w:rFonts w:hint="eastAsia" w:ascii="宋体" w:hAnsi="宋体" w:cs="宋体"/>
          <w:bCs/>
          <w:szCs w:val="21"/>
          <w:lang w:val="zh-TW" w:eastAsia="zh-TW"/>
        </w:rPr>
      </w:pPr>
      <w:r>
        <w:rPr>
          <w:rFonts w:hint="eastAsia" w:ascii="宋体" w:hAnsi="宋体" w:cs="宋体"/>
          <w:bCs/>
          <w:szCs w:val="21"/>
          <w:lang w:val="zh-TW" w:eastAsia="zh-TW"/>
        </w:rPr>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rFonts w:hint="eastAsia"/>
          <w:color w:val="auto"/>
          <w:highlight w:val="none"/>
        </w:rPr>
      </w:pPr>
      <w:r>
        <w:rPr>
          <w:rFonts w:hint="eastAsia"/>
          <w:color w:val="auto"/>
          <w:highlight w:val="none"/>
        </w:rPr>
      </w:r>
      <w:r/>
    </w:p>
    <w:p>
      <w:pPr>
        <w:pStyle w:val="656"/>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第六章  响应文件格式 </w:t>
      </w:r>
      <w:r/>
    </w:p>
    <w:p>
      <w:pPr>
        <w:pStyle w:val="656"/>
        <w:jc w:val="center"/>
        <w:spacing w:beforeAutospacing="0" w:afterAutospacing="0"/>
        <w:rPr>
          <w:rFonts w:hint="eastAsia" w:ascii="宋体" w:hAnsi="宋体" w:eastAsia="宋体" w:cs="宋体"/>
          <w:b/>
          <w:color w:val="auto"/>
          <w:sz w:val="72"/>
          <w:szCs w:val="72"/>
          <w:highlight w:val="none"/>
        </w:rPr>
      </w:pPr>
      <w:r/>
      <w:bookmarkStart w:id="166" w:name="_Toc49090576"/>
      <w:r/>
      <w:bookmarkEnd w:id="166"/>
      <w:r/>
      <w:bookmarkStart w:id="167" w:name="_Toc120614282"/>
      <w:r/>
      <w:bookmarkEnd w:id="167"/>
      <w:r/>
      <w:bookmarkStart w:id="168" w:name="_Toc26554094"/>
      <w:r/>
      <w:bookmarkStart w:id="169" w:name="_Hlt26671244"/>
      <w:r/>
      <w:bookmarkStart w:id="170" w:name="_Hlt26955039"/>
      <w:r/>
      <w:r/>
    </w:p>
    <w:p>
      <w:pPr>
        <w:pStyle w:val="65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5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56"/>
        <w:jc w:val="center"/>
        <w:spacing w:beforeAutospacing="0" w:afterAutospacing="0"/>
        <w:rPr>
          <w:color w:val="auto"/>
          <w:highlight w:val="none"/>
        </w:rPr>
        <w:outlineLvl w:val="0"/>
      </w:pPr>
      <w:r>
        <w:rPr>
          <w:rFonts w:hint="eastAsia" w:ascii="宋体" w:hAnsi="宋体" w:eastAsia="宋体" w:cs="宋体"/>
          <w:b/>
          <w:color w:val="auto"/>
          <w:sz w:val="72"/>
          <w:szCs w:val="72"/>
          <w:highlight w:val="none"/>
        </w:rPr>
        <w:t xml:space="preserve">响  应  文  件</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r>
      <w:r/>
    </w:p>
    <w:p>
      <w:pPr>
        <w:pStyle w:val="656"/>
        <w:jc w:val="center"/>
        <w:spacing w:beforeAutospacing="0" w:afterAutospacing="0"/>
        <w:rPr>
          <w:color w:val="auto"/>
          <w:highlight w:val="none"/>
        </w:rPr>
      </w:pPr>
      <w:r>
        <w:rPr>
          <w:color w:val="auto"/>
          <w:highlight w:val="none"/>
        </w:rPr>
      </w:r>
      <w:r/>
    </w:p>
    <w:p>
      <w:pPr>
        <w:pStyle w:val="656"/>
        <w:jc w:val="center"/>
        <w:spacing w:beforeAutospacing="0" w:afterAutospacing="0"/>
        <w:rPr>
          <w:color w:val="auto"/>
          <w:highlight w:val="none"/>
        </w:rPr>
      </w:pPr>
      <w:r>
        <w:rPr>
          <w:color w:val="auto"/>
          <w:highlight w:val="none"/>
        </w:rPr>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65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656"/>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656"/>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both"/>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rPr>
          <w:rFonts w:ascii="宋体" w:hAnsi="宋体" w:eastAsia="宋体" w:cs="宋体"/>
          <w:b/>
          <w:color w:val="auto"/>
          <w:sz w:val="32"/>
          <w:szCs w:val="32"/>
          <w:highlight w:val="none"/>
        </w:rPr>
      </w:r>
    </w:p>
    <w:p>
      <w:pPr>
        <w:pStyle w:val="656"/>
        <w:jc w:val="both"/>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 xml:space="preserve">一、法人或者其他组织的营业执照等证明文件，自然人的身份证明</w:t>
      </w:r>
      <w:r>
        <w:rPr>
          <w:rFonts w:hint="eastAsia" w:asciiTheme="minorEastAsia" w:hAnsiTheme="minorEastAsia" w:cstheme="minorEastAsia"/>
          <w:i w:val="0"/>
          <w:iCs/>
          <w:color w:val="auto"/>
          <w:sz w:val="24"/>
          <w:szCs w:val="24"/>
          <w:highlight w:val="none"/>
          <w:u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 xml:space="preserve">二、上一年度的财务状况报</w:t>
      </w:r>
      <w:r>
        <w:rPr>
          <w:rFonts w:hint="eastAsia" w:asciiTheme="minorEastAsia" w:hAnsiTheme="minorEastAsia" w:cstheme="minorEastAsia"/>
          <w:i w:val="0"/>
          <w:iCs/>
          <w:color w:val="auto"/>
          <w:sz w:val="24"/>
          <w:szCs w:val="24"/>
          <w:highlight w:val="none"/>
          <w:u w:val="none"/>
          <w:lang w:val="en-US" w:eastAsia="zh-CN"/>
        </w:rPr>
        <w:t xml:space="preserve">表</w:t>
      </w:r>
      <w:r>
        <w:rPr>
          <w:rFonts w:hint="eastAsia" w:asciiTheme="minorEastAsia" w:hAnsiTheme="minorEastAsia" w:eastAsiaTheme="minorEastAsia" w:cstheme="minorEastAsia"/>
          <w:i w:val="0"/>
          <w:iCs/>
          <w:color w:val="auto"/>
          <w:sz w:val="24"/>
          <w:szCs w:val="24"/>
          <w:highlight w:val="none"/>
          <w:u w:val="none"/>
        </w:rPr>
        <w:t xml:space="preserve">（</w:t>
      </w:r>
      <w:r>
        <w:rPr>
          <w:rFonts w:hint="eastAsia" w:asciiTheme="minorEastAsia" w:hAnsiTheme="minorEastAsia" w:eastAsiaTheme="minorEastAsia" w:cstheme="minorEastAsia"/>
          <w:i w:val="0"/>
          <w:iCs/>
          <w:color w:val="auto"/>
          <w:sz w:val="24"/>
          <w:szCs w:val="24"/>
          <w:highlight w:val="none"/>
          <w:u w:val="none"/>
          <w:lang w:val="en-US" w:eastAsia="zh-CN"/>
        </w:rPr>
        <w:t xml:space="preserve">至少提供资产负债表、利润表、现金流量表，</w:t>
      </w:r>
      <w:r>
        <w:rPr>
          <w:rFonts w:hint="eastAsia" w:asciiTheme="minorEastAsia" w:hAnsiTheme="minorEastAsia" w:eastAsiaTheme="minorEastAsia" w:cstheme="minorEastAsia"/>
          <w:i w:val="0"/>
          <w:iCs/>
          <w:color w:val="auto"/>
          <w:sz w:val="24"/>
          <w:szCs w:val="24"/>
          <w:highlight w:val="none"/>
          <w:u w:val="none"/>
        </w:rPr>
        <w:t xml:space="preserve">磋商供应商成立不满一年无需提供）</w:t>
      </w:r>
      <w:r>
        <w:rPr>
          <w:rFonts w:hint="eastAsia" w:asciiTheme="minorEastAsia" w:hAnsiTheme="minorEastAsia" w:cstheme="minorEastAsia"/>
          <w:i w:val="0"/>
          <w:iCs/>
          <w:color w:val="auto"/>
          <w:sz w:val="24"/>
          <w:szCs w:val="24"/>
          <w:highlight w:val="none"/>
          <w:u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、具备履行合同所必需的设备和专业技术能力的书面声明</w:t>
      </w:r>
      <w:r>
        <w:rPr>
          <w:rFonts w:hint="eastAsia" w:asciiTheme="minorEastAsia" w:hAnsiTheme="minorEastAsia" w:cstheme="minorEastAsia"/>
          <w:i w:val="0"/>
          <w:iCs/>
          <w:color w:val="auto"/>
          <w:sz w:val="24"/>
          <w:szCs w:val="24"/>
          <w:highlight w:val="none"/>
          <w:u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四</w:t>
      </w:r>
      <w:r>
        <w:rPr>
          <w:rFonts w:hint="eastAsia" w:asciiTheme="minorEastAsia" w:hAnsiTheme="minorEastAsia" w:eastAsiaTheme="minorEastAsia" w:cstheme="minorEastAsia"/>
          <w:i w:val="0"/>
          <w:iCs/>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Theme="minorEastAsia" w:hAnsiTheme="minorEastAsia" w:cstheme="minorEastAsia"/>
          <w:i w:val="0"/>
          <w:iCs/>
          <w:color w:val="auto"/>
          <w:sz w:val="24"/>
          <w:szCs w:val="24"/>
          <w:highlight w:val="none"/>
          <w:u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 xml:space="preserve">五、参加政府采购活动前 3 年内在经营活动中没有重大违法记录的书面声明</w:t>
      </w:r>
      <w:r>
        <w:rPr>
          <w:rFonts w:hint="eastAsia" w:asciiTheme="minorEastAsia" w:hAnsiTheme="minorEastAsia" w:cstheme="minorEastAsia"/>
          <w:i w:val="0"/>
          <w:iCs/>
          <w:color w:val="auto"/>
          <w:sz w:val="24"/>
          <w:szCs w:val="24"/>
          <w:highlight w:val="none"/>
          <w:u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六、特定资格要求的证明文件（如果本项目设置特定资格要求，则需要提供）</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七、法人授权书</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八、磋商响应函</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九、</w:t>
      </w:r>
      <w:r>
        <w:rPr>
          <w:rFonts w:hint="eastAsia" w:asciiTheme="minorEastAsia" w:hAnsiTheme="minorEastAsia" w:eastAsiaTheme="minorEastAsia" w:cstheme="minorEastAsia"/>
          <w:i w:val="0"/>
          <w:iCs/>
          <w:color w:val="auto"/>
          <w:sz w:val="24"/>
          <w:szCs w:val="24"/>
          <w:highlight w:val="none"/>
          <w:u w:val="none"/>
          <w:lang w:val="en-US" w:eastAsia="zh-CN"/>
        </w:rPr>
        <w:t xml:space="preserve">中小</w:t>
      </w:r>
      <w:r>
        <w:rPr>
          <w:rFonts w:hint="eastAsia" w:asciiTheme="minorEastAsia" w:hAnsiTheme="minorEastAsia" w:eastAsiaTheme="minorEastAsia" w:cstheme="minorEastAsia"/>
          <w:i w:val="0"/>
          <w:iCs/>
          <w:color w:val="auto"/>
          <w:sz w:val="24"/>
          <w:szCs w:val="24"/>
          <w:highlight w:val="none"/>
          <w:u w:val="none"/>
        </w:rPr>
        <w:t xml:space="preserve">企业声明函</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十、残疾人福利性单位声明函</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一</w:t>
      </w:r>
      <w:r>
        <w:rPr>
          <w:rFonts w:hint="eastAsia" w:asciiTheme="minorEastAsia" w:hAnsiTheme="minorEastAsia" w:eastAsiaTheme="minorEastAsia" w:cstheme="minorEastAsia"/>
          <w:i w:val="0"/>
          <w:iCs/>
          <w:color w:val="auto"/>
          <w:sz w:val="24"/>
          <w:szCs w:val="24"/>
          <w:highlight w:val="none"/>
          <w:u w:val="none"/>
        </w:rPr>
        <w:t xml:space="preserve">、分项报价表</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二</w:t>
      </w:r>
      <w:r>
        <w:rPr>
          <w:rFonts w:hint="eastAsia" w:asciiTheme="minorEastAsia" w:hAnsiTheme="minorEastAsia" w:eastAsiaTheme="minorEastAsia" w:cstheme="minorEastAsia"/>
          <w:i w:val="0"/>
          <w:iCs/>
          <w:color w:val="auto"/>
          <w:sz w:val="24"/>
          <w:szCs w:val="24"/>
          <w:highlight w:val="none"/>
          <w:u w:val="none"/>
        </w:rPr>
        <w:t xml:space="preserve">、资格性审查响应对照表</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、符合性检查响应对照表</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 xml:space="preserve">十</w:t>
      </w:r>
      <w:r>
        <w:rPr>
          <w:rFonts w:hint="eastAsia" w:asciiTheme="minorEastAsia" w:hAnsiTheme="minorEastAsia" w:cstheme="minorEastAsia"/>
          <w:i w:val="0"/>
          <w:iCs/>
          <w:color w:val="000000"/>
          <w:sz w:val="24"/>
          <w:szCs w:val="24"/>
          <w:highlight w:val="none"/>
          <w:u w:val="none"/>
          <w:lang w:val="en-US" w:eastAsia="zh-CN"/>
        </w:rPr>
        <w:t xml:space="preserve">四</w:t>
      </w:r>
      <w:r>
        <w:rPr>
          <w:rFonts w:hint="eastAsia" w:asciiTheme="minorEastAsia" w:hAnsiTheme="minorEastAsia" w:eastAsiaTheme="minorEastAsia" w:cstheme="minorEastAsia"/>
          <w:i w:val="0"/>
          <w:iCs/>
          <w:color w:val="000000"/>
          <w:sz w:val="24"/>
          <w:szCs w:val="24"/>
          <w:highlight w:val="none"/>
          <w:u w:val="none"/>
        </w:rPr>
        <w:t xml:space="preserve">、开标一览表</w:t>
      </w:r>
      <w:r/>
    </w:p>
    <w:p>
      <w:pPr>
        <w:ind w:firstLine="480"/>
        <w:keepLines w:val="0"/>
        <w:keepNext w:val="0"/>
        <w:pageBreakBefore w:val="0"/>
        <w:spacing w:before="50" w:after="50" w:line="360" w:lineRule="exact"/>
        <w:widowControl/>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五</w:t>
      </w:r>
      <w:r>
        <w:rPr>
          <w:rFonts w:hint="eastAsia" w:asciiTheme="minorEastAsia" w:hAnsiTheme="minorEastAsia" w:eastAsiaTheme="minorEastAsia" w:cstheme="minorEastAsia"/>
          <w:i w:val="0"/>
          <w:iCs/>
          <w:color w:val="auto"/>
          <w:sz w:val="24"/>
          <w:szCs w:val="24"/>
          <w:highlight w:val="none"/>
          <w:u w:val="none"/>
        </w:rPr>
        <w:t xml:space="preserve">、技术方案、服务承诺、培训承诺等</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六</w:t>
      </w:r>
      <w:r>
        <w:rPr>
          <w:rFonts w:hint="eastAsia" w:asciiTheme="minorEastAsia" w:hAnsiTheme="minorEastAsia" w:eastAsiaTheme="minorEastAsia" w:cstheme="minorEastAsia"/>
          <w:i w:val="0"/>
          <w:iCs/>
          <w:color w:val="auto"/>
          <w:sz w:val="24"/>
          <w:szCs w:val="24"/>
          <w:highlight w:val="none"/>
          <w:u w:val="none"/>
        </w:rPr>
        <w:t xml:space="preserve">、盐城市政府采购事前信用承诺书</w:t>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656"/>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rPr>
          <w:rFonts w:hint="eastAsia" w:ascii="黑体" w:hAnsi="宋体" w:eastAsia="黑体" w:cs="黑体"/>
          <w:i/>
          <w:color w:val="auto"/>
          <w:sz w:val="32"/>
          <w:szCs w:val="32"/>
          <w:highlight w:val="none"/>
          <w:u w:val="single"/>
          <w:lang w:eastAsia="zh-CN"/>
        </w:rPr>
        <w:t xml:space="preserve">；</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jc w:val="both"/>
        <w:spacing w:beforeAutospacing="0" w:afterAutospacing="0"/>
        <w:rPr>
          <w:rFonts w:hint="eastAsia" w:eastAsia="黑体"/>
          <w:color w:val="auto"/>
          <w:highlight w:val="none"/>
          <w:lang w:val="en-US" w:eastAsia="zh-CN"/>
        </w:rPr>
        <w:outlineLvl w:val="0"/>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表；</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（至少提供资产负债表、利润表、现金流量表，磋商供应商成立不满一年无需提供）；</w:t>
      </w:r>
      <w:r/>
    </w:p>
    <w:p>
      <w:pPr>
        <w:pStyle w:val="656"/>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rPr>
          <w:rFonts w:hint="eastAsia" w:ascii="黑体" w:hAnsi="宋体" w:eastAsia="黑体" w:cs="黑体"/>
          <w:i/>
          <w:color w:val="auto"/>
          <w:sz w:val="32"/>
          <w:szCs w:val="32"/>
          <w:highlight w:val="none"/>
          <w:u w:val="single"/>
          <w:lang w:eastAsia="zh-CN"/>
        </w:rPr>
        <w:t xml:space="preserve">；</w:t>
      </w:r>
      <w:r/>
    </w:p>
    <w:p>
      <w:pPr>
        <w:pStyle w:val="656"/>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56"/>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6"/>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656"/>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rPr>
          <w:rFonts w:hint="eastAsia" w:ascii="黑体" w:hAnsi="宋体" w:eastAsia="黑体" w:cs="黑体"/>
          <w:i/>
          <w:color w:val="auto"/>
          <w:sz w:val="32"/>
          <w:szCs w:val="32"/>
          <w:highlight w:val="none"/>
          <w:u w:val="single"/>
          <w:lang w:eastAsia="zh-CN"/>
        </w:rPr>
        <w:t xml:space="preserve">；</w:t>
      </w:r>
      <w:r/>
    </w:p>
    <w:p>
      <w:pPr>
        <w:pStyle w:val="6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提供提交磋商响应文件截止时间前一年内至少一个月依法缴纳税收及缴纳社会保障资金的证明材料。磋商供应商依法享受缓缴、免缴税收、社会保障资金的提供证明材料。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rPr>
          <w:rFonts w:hint="eastAsia" w:ascii="黑体" w:hAnsi="宋体" w:eastAsia="黑体" w:cs="黑体"/>
          <w:i/>
          <w:color w:val="auto"/>
          <w:sz w:val="32"/>
          <w:szCs w:val="32"/>
          <w:highlight w:val="none"/>
          <w:u w:val="single"/>
          <w:lang w:eastAsia="zh-CN"/>
        </w:rPr>
        <w:t xml:space="preserve">；</w:t>
      </w:r>
      <w:r/>
    </w:p>
    <w:p>
      <w:pPr>
        <w:pStyle w:val="656"/>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656"/>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rPr>
        <w:t xml:space="preserve">六、特定资格要求的证明文件</w:t>
      </w:r>
      <w:r>
        <w:rPr>
          <w:rFonts w:hint="eastAsia" w:ascii="黑体" w:hAnsi="宋体" w:eastAsia="黑体" w:cs="黑体"/>
          <w:i/>
          <w:color w:val="auto"/>
          <w:sz w:val="32"/>
          <w:szCs w:val="32"/>
          <w:highlight w:val="none"/>
          <w:u w:val="single"/>
          <w:lang w:eastAsia="zh-CN"/>
        </w:rPr>
        <w:t xml:space="preserve">；</w:t>
      </w:r>
      <w:r/>
    </w:p>
    <w:p>
      <w:pPr>
        <w:pStyle w:val="656"/>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56"/>
        <w:jc w:val="center"/>
        <w:spacing w:beforeAutospacing="0" w:afterAutospacing="0"/>
        <w:rPr>
          <w:rFonts w:ascii="黑体" w:hAnsi="宋体" w:eastAsia="黑体" w:cs="黑体"/>
          <w:i/>
          <w:color w:val="auto"/>
          <w:sz w:val="32"/>
          <w:szCs w:val="32"/>
          <w:highlight w:val="none"/>
          <w:u w:val="single"/>
        </w:rPr>
      </w:pPr>
      <w:r/>
      <w:bookmarkStart w:id="171" w:name="_Toc120614284"/>
      <w:r/>
      <w:r/>
    </w:p>
    <w:p>
      <w:pPr>
        <w:pStyle w:val="6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6"/>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rPr>
          <w:rFonts w:ascii="黑体" w:hAnsi="宋体" w:eastAsia="黑体" w:cs="黑体"/>
          <w:i/>
          <w:color w:val="auto"/>
          <w:sz w:val="32"/>
          <w:szCs w:val="32"/>
          <w:highlight w:val="none"/>
          <w:u w:val="single"/>
        </w:rPr>
      </w:r>
    </w:p>
    <w:p>
      <w:pPr>
        <w:pStyle w:val="656"/>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6"/>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6"/>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6"/>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6"/>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6"/>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6"/>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p>
    <w:p>
      <w:pPr>
        <w:pStyle w:val="6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6"/>
        <w:jc w:val="center"/>
        <w:spacing w:beforeAutospacing="0" w:afterAutospacing="0"/>
        <w:rPr>
          <w:color w:val="auto"/>
          <w:highlight w:val="none"/>
        </w:rPr>
        <w:outlineLvl w:val="0"/>
      </w:pPr>
      <w:r>
        <w:rPr>
          <w:rFonts w:hint="eastAsia" w:ascii="黑体" w:hAnsi="宋体" w:eastAsia="黑体" w:cs="黑体"/>
          <w:i/>
          <w:color w:val="auto"/>
          <w:sz w:val="32"/>
          <w:szCs w:val="32"/>
          <w:highlight w:val="none"/>
          <w:u w:val="single"/>
        </w:rPr>
        <w:t xml:space="preserve">七、法人授权书</w:t>
      </w:r>
      <w:r/>
    </w:p>
    <w:p>
      <w:pPr>
        <w:ind w:firstLine="480"/>
        <w:spacing w:line="480" w:lineRule="auto"/>
        <w:tabs>
          <w:tab w:val="left" w:pos="360" w:leader="none"/>
        </w:tabs>
        <w:rPr>
          <w:rFonts w:hint="eastAsia" w:hAnsi="宋体" w:eastAsia="宋体" w:cs="宋体"/>
          <w:sz w:val="24"/>
        </w:rPr>
      </w:pPr>
      <w:r/>
      <w:bookmarkStart w:id="172" w:name="_Hlt26671380"/>
      <w:r/>
      <w:bookmarkStart w:id="173" w:name="_Hlt26955070"/>
      <w:r/>
      <w:bookmarkStart w:id="174" w:name="_格式3__银行出具的资信证明"/>
      <w:r>
        <w:rPr>
          <w:rFonts w:hint="eastAsia" w:hAnsi="宋体" w:eastAsia="宋体" w:cs="宋体"/>
          <w:sz w:val="24"/>
        </w:rPr>
        <w:t xml:space="preserve">本授权书声明：</w:t>
      </w:r>
      <w:r>
        <w:rPr>
          <w:rFonts w:hint="eastAsia" w:hAnsi="宋体" w:eastAsia="宋体" w:cs="宋体"/>
          <w:sz w:val="24"/>
          <w:u w:val="single"/>
        </w:rPr>
        <w:t xml:space="preserve">（供应商名称）</w:t>
      </w:r>
      <w:r>
        <w:rPr>
          <w:rFonts w:hint="eastAsia" w:hAnsi="宋体" w:eastAsia="宋体" w:cs="宋体"/>
          <w:sz w:val="24"/>
          <w:u w:val="single"/>
          <w:lang w:val="en-US" w:eastAsia="zh-CN"/>
        </w:rPr>
        <w:t xml:space="preserve">   </w:t>
      </w:r>
      <w:r>
        <w:rPr>
          <w:rFonts w:hint="eastAsia" w:hAnsi="宋体" w:eastAsia="宋体" w:cs="宋体"/>
          <w:sz w:val="24"/>
        </w:rPr>
        <w:t xml:space="preserve">授权__</w:t>
      </w:r>
      <w:r>
        <w:rPr>
          <w:rFonts w:hint="eastAsia" w:hAnsi="宋体" w:eastAsia="宋体" w:cs="宋体"/>
          <w:sz w:val="24"/>
          <w:u w:val="single"/>
        </w:rPr>
        <w:t xml:space="preserve">_（被授权人的姓名）</w:t>
      </w:r>
      <w:r>
        <w:rPr>
          <w:rFonts w:hint="eastAsia" w:hAnsi="宋体" w:eastAsia="宋体" w:cs="宋体"/>
          <w:sz w:val="24"/>
          <w:u w:val="single"/>
          <w:lang w:val="en-US" w:eastAsia="zh-CN"/>
        </w:rPr>
        <w:t xml:space="preserve">  </w:t>
      </w:r>
      <w:r>
        <w:rPr>
          <w:rFonts w:hint="eastAsia" w:hAnsi="宋体" w:eastAsia="宋体" w:cs="宋体"/>
          <w:sz w:val="24"/>
        </w:rPr>
        <w:t xml:space="preserve">为我方就</w:t>
      </w:r>
      <w:r>
        <w:rPr>
          <w:rFonts w:hint="eastAsia" w:hAnsi="宋体" w:eastAsia="宋体" w:cs="宋体"/>
          <w:sz w:val="24"/>
          <w:u w:val="single"/>
        </w:rPr>
        <w:t xml:space="preserve"> （项目名称、项目编号）  </w:t>
      </w:r>
      <w:r>
        <w:rPr>
          <w:rFonts w:hint="eastAsia" w:hAnsi="宋体" w:eastAsia="宋体" w:cs="宋体"/>
          <w:sz w:val="24"/>
        </w:rPr>
        <w:t xml:space="preserve">项目采购活动的合法代理人，以本单位名义全权处理一切与该项目采购有关的事务。</w:t>
      </w:r>
      <w:r/>
    </w:p>
    <w:p>
      <w:pPr>
        <w:ind w:firstLine="480"/>
        <w:spacing w:line="480" w:lineRule="auto"/>
        <w:tabs>
          <w:tab w:val="left" w:pos="360" w:leader="none"/>
        </w:tabs>
        <w:rPr>
          <w:rFonts w:hint="eastAsia" w:hAnsi="宋体" w:eastAsia="宋体" w:cs="宋体"/>
          <w:sz w:val="24"/>
        </w:rPr>
      </w:pPr>
      <w:r>
        <w:rPr>
          <w:rFonts w:hint="eastAsia" w:hAnsi="宋体" w:eastAsia="宋体" w:cs="宋体"/>
          <w:sz w:val="24"/>
        </w:rPr>
        <w:t xml:space="preserve">本授权书于______年____月____日起生效，特此声明。</w:t>
      </w:r>
      <w:r/>
    </w:p>
    <w:p>
      <w:pPr>
        <w:spacing w:line="480" w:lineRule="auto"/>
        <w:tabs>
          <w:tab w:val="left" w:pos="360" w:leader="none"/>
        </w:tabs>
        <w:rPr>
          <w:rFonts w:hint="eastAsia" w:hAnsi="宋体" w:eastAsia="宋体" w:cs="宋体"/>
          <w:sz w:val="24"/>
          <w:u w:val="single"/>
        </w:rPr>
      </w:pPr>
      <w:r>
        <w:rPr>
          <w:rFonts w:hint="eastAsia" w:hAnsi="宋体" w:eastAsia="宋体" w:cs="宋体"/>
          <w:sz w:val="24"/>
        </w:rPr>
        <w:t xml:space="preserve">          被授权人身份证号码：</w:t>
      </w:r>
      <w:r/>
    </w:p>
    <w:p>
      <w:pPr>
        <w:spacing w:line="480" w:lineRule="auto"/>
        <w:tabs>
          <w:tab w:val="left" w:pos="360" w:leader="none"/>
        </w:tabs>
        <w:rPr>
          <w:rFonts w:hint="eastAsia" w:hAnsi="宋体" w:eastAsia="宋体" w:cs="宋体"/>
          <w:sz w:val="24"/>
          <w:u w:val="single"/>
        </w:rPr>
      </w:pPr>
      <w:r>
        <w:rPr>
          <w:rFonts w:hint="eastAsia" w:hAnsi="宋体" w:eastAsia="宋体" w:cs="宋体"/>
          <w:sz w:val="24"/>
        </w:rPr>
        <w:t xml:space="preserve">          被授权人联系电话：（手机）</w:t>
      </w:r>
      <w:r/>
    </w:p>
    <w:p>
      <w:pPr>
        <w:ind w:firstLine="1200"/>
        <w:spacing w:line="480" w:lineRule="auto"/>
        <w:tabs>
          <w:tab w:val="left" w:pos="360" w:leader="none"/>
        </w:tabs>
        <w:rPr>
          <w:rFonts w:hint="eastAsia" w:hAnsi="宋体" w:eastAsia="宋体" w:cs="宋体"/>
          <w:sz w:val="24"/>
        </w:rPr>
      </w:pPr>
      <w:r>
        <w:rPr>
          <w:rFonts w:hint="eastAsia" w:hAnsi="宋体" w:eastAsia="宋体" w:cs="宋体"/>
          <w:sz w:val="24"/>
        </w:rPr>
        <w:t xml:space="preserve">授权单位名称：</w:t>
      </w:r>
      <w:r>
        <w:rPr>
          <w:rFonts w:hint="eastAsia" w:hAnsi="宋体" w:eastAsia="宋体" w:cs="宋体"/>
          <w:sz w:val="24"/>
          <w:u w:val="single"/>
        </w:rPr>
        <w:t xml:space="preserve">（加盖CA电子公章）</w:t>
      </w:r>
      <w:r/>
    </w:p>
    <w:p>
      <w:pPr>
        <w:ind w:firstLine="480"/>
        <w:spacing w:line="480" w:lineRule="auto"/>
        <w:tabs>
          <w:tab w:val="left" w:pos="360" w:leader="none"/>
        </w:tabs>
        <w:rPr>
          <w:rFonts w:hint="eastAsia" w:hAnsi="宋体" w:eastAsia="宋体" w:cs="宋体"/>
          <w:sz w:val="24"/>
          <w:u w:val="single"/>
        </w:rPr>
      </w:pPr>
      <w:r>
        <w:rPr>
          <w:rFonts w:hint="eastAsia" w:hAnsi="宋体" w:eastAsia="宋体" w:cs="宋体"/>
          <w:sz w:val="24"/>
        </w:rPr>
        <w:t xml:space="preserve">      单位地址：</w:t>
      </w:r>
      <w:r/>
    </w:p>
    <w:p>
      <w:pPr>
        <w:ind w:firstLine="480"/>
        <w:spacing w:line="480" w:lineRule="auto"/>
        <w:tabs>
          <w:tab w:val="left" w:pos="360" w:leader="none"/>
        </w:tabs>
        <w:rPr>
          <w:rFonts w:hint="eastAsia" w:hAnsi="宋体" w:eastAsia="宋体"/>
          <w:color w:val="000000"/>
        </w:rPr>
      </w:pPr>
      <w:r>
        <w:rPr>
          <w:rFonts w:hint="eastAsia" w:hAnsi="宋体" w:eastAsia="宋体" w:cs="宋体"/>
          <w:sz w:val="24"/>
        </w:rPr>
        <w:t xml:space="preserve">      日期：</w:t>
      </w:r>
      <w:r/>
    </w:p>
    <w:p>
      <w:pPr>
        <w:rPr>
          <w:rFonts w:hint="eastAsia" w:hAnsi="宋体" w:eastAsia="宋体"/>
          <w:color w:val="000000"/>
        </w:rPr>
      </w:pPr>
      <w:r>
        <w:rPr>
          <w:rFonts w:hint="eastAsia" w:hAnsi="宋体" w:eastAsia="宋体"/>
          <w:color w:val="000000"/>
        </w:rPr>
      </w:r>
      <w:r/>
    </w:p>
    <w:tbl>
      <w:tblPr>
        <w:tblStyle w:val="6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jc w:val="center"/>
          <w:trHeight w:val="58"/>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委托代理人（被授权人）有效身份证明</w:t>
            </w:r>
            <w:r/>
          </w:p>
        </w:tc>
      </w:tr>
      <w:tr>
        <w:trPr>
          <w:jc w:val="center"/>
          <w:trHeight w:val="3904"/>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身份证原件（正反）彩色扫描件粘贴处</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身份证原件（正反）彩色扫描件粘贴处</w:t>
            </w:r>
            <w:r/>
          </w:p>
          <w:p>
            <w:pPr>
              <w:jc w:val="center"/>
              <w:spacing w:line="600" w:lineRule="exact"/>
              <w:rPr>
                <w:color w:val="000000"/>
                <w:sz w:val="24"/>
              </w:rPr>
            </w:pPr>
            <w:r>
              <w:rPr>
                <w:rFonts w:hint="eastAsia"/>
                <w:color w:val="000000"/>
                <w:sz w:val="24"/>
              </w:rPr>
              <w:t xml:space="preserve">（可电子粘贴）</w:t>
            </w:r>
            <w:r/>
          </w:p>
        </w:tc>
      </w:tr>
    </w:tbl>
    <w:p>
      <w:pPr>
        <w:pStyle w:val="656"/>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56"/>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56"/>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ind w:firstLine="420"/>
        <w:jc w:val="both"/>
        <w:spacing w:beforeAutospacing="0" w:afterAutospacing="0"/>
        <w:rPr>
          <w:color w:val="auto"/>
          <w:highlight w:val="none"/>
          <w:shd w:val="clear" w:color="auto" w:fill="auto"/>
        </w:rPr>
      </w:pPr>
      <w:r>
        <w:rPr>
          <w:color w:val="auto"/>
          <w:highlight w:val="none"/>
          <w:shd w:val="clear" w:color="auto" w:fill="auto"/>
        </w:rPr>
      </w:r>
      <w:r/>
    </w:p>
    <w:p>
      <w:pPr>
        <w:pStyle w:val="656"/>
        <w:ind w:firstLine="420"/>
        <w:jc w:val="both"/>
        <w:spacing w:beforeAutospacing="0" w:afterAutospacing="0"/>
        <w:rPr>
          <w:color w:val="auto"/>
          <w:highlight w:val="none"/>
          <w:shd w:val="clear" w:color="auto" w:fill="auto"/>
        </w:rPr>
      </w:pPr>
      <w:r>
        <w:rPr>
          <w:color w:val="auto"/>
          <w:highlight w:val="none"/>
          <w:shd w:val="clear" w:color="auto" w:fill="auto"/>
        </w:rPr>
      </w:r>
      <w:r/>
    </w:p>
    <w:p>
      <w:pPr>
        <w:pStyle w:val="656"/>
        <w:ind w:firstLine="420"/>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rPr>
      </w:pPr>
      <w:r>
        <w:rPr>
          <w:color w:val="auto"/>
          <w:highlight w:val="none"/>
        </w:rPr>
        <w:t xml:space="preserve"> </w:t>
      </w:r>
      <w:r/>
    </w:p>
    <w:p>
      <w:pPr>
        <w:pStyle w:val="656"/>
        <w:jc w:val="center"/>
        <w:keepLines/>
        <w:keepNext/>
        <w:spacing w:before="260" w:beforeAutospacing="0" w:after="260" w:afterAutospacing="0" w:line="415" w:lineRule="auto"/>
        <w:rPr>
          <w:color w:val="auto"/>
          <w:highlight w:val="none"/>
        </w:rPr>
        <w:outlineLvl w:val="0"/>
      </w:pPr>
      <w:r>
        <w:rPr>
          <w:rFonts w:hint="eastAsia" w:ascii="黑体" w:hAnsi="宋体" w:eastAsia="黑体" w:cs="黑体"/>
          <w:b/>
          <w:i/>
          <w:color w:val="auto"/>
          <w:sz w:val="32"/>
          <w:szCs w:val="32"/>
          <w:highlight w:val="none"/>
          <w:u w:val="single"/>
        </w:rPr>
        <w:t xml:space="preserve">八、磋商响应函</w:t>
      </w:r>
      <w:r/>
    </w:p>
    <w:p>
      <w:pPr>
        <w:pStyle w:val="656"/>
        <w:keepLines w:val="0"/>
        <w:keepNext w:val="0"/>
        <w:pageBreakBefore w:val="0"/>
        <w:spacing w:beforeAutospacing="0" w:afterAutospacing="0" w:line="44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江苏射阳经济开发区管理委员会、江苏宏新工程管理咨询有限公司</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根据贵方</w:t>
      </w:r>
      <w:r>
        <w:rPr>
          <w:rFonts w:hint="eastAsia" w:ascii="宋体" w:hAnsi="宋体" w:eastAsia="宋体" w:cs="宋体"/>
          <w:color w:val="auto"/>
          <w:highlight w:val="white"/>
        </w:rPr>
        <w:t xml:space="preserve">的</w:t>
      </w:r>
      <w:r>
        <w:rPr>
          <w:rFonts w:hint="eastAsia" w:ascii="宋体" w:hAnsi="宋体" w:eastAsia="宋体" w:cs="宋体"/>
          <w:color w:val="auto"/>
          <w:highlight w:val="white"/>
          <w:u w:val="single"/>
          <w:lang w:eastAsia="zh-CN"/>
        </w:rPr>
        <w:t xml:space="preserve">JSZC-320924-HXIN-C2026-0008</w:t>
      </w:r>
      <w:r>
        <w:rPr>
          <w:rFonts w:hint="eastAsia" w:ascii="宋体" w:hAnsi="宋体" w:eastAsia="宋体" w:cs="宋体"/>
          <w:color w:val="auto"/>
          <w:highlight w:val="none"/>
        </w:rPr>
        <w:t xml:space="preserve">号磋商文件，正式授权下述签字人</w:t>
      </w:r>
      <w:r>
        <w:rPr>
          <w:rFonts w:hint="eastAsia" w:ascii="宋体" w:hAnsi="宋体" w:eastAsia="宋体" w:cs="宋体"/>
          <w:color w:val="auto"/>
          <w:highlight w:val="none"/>
          <w:u w:val="single"/>
        </w:rPr>
        <w:t xml:space="preserve">(姓名)</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代表我方</w:t>
      </w:r>
      <w:r>
        <w:rPr>
          <w:rFonts w:hint="eastAsia" w:ascii="宋体" w:hAnsi="宋体" w:eastAsia="宋体" w:cs="宋体"/>
          <w:color w:val="auto"/>
          <w:highlight w:val="none"/>
          <w:u w:val="single"/>
        </w:rPr>
        <w:t xml:space="preserve">（供应商的名称）</w:t>
      </w:r>
      <w:r>
        <w:rPr>
          <w:rFonts w:hint="eastAsia" w:ascii="宋体" w:hAnsi="宋体" w:eastAsia="宋体" w:cs="宋体"/>
          <w:color w:val="auto"/>
          <w:highlight w:val="none"/>
        </w:rPr>
        <w:t xml:space="preserve">，全权处理本次项目磋商的有关事宜。</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1.按磋商文件规定的各项要求，向买方提供所需服务（包含与服务相关的货物）。</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656"/>
        <w:ind w:left="425"/>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7.我方与本磋商有关的正式通讯地址为：</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地    址：</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邮    编：</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电    话：</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传    真：</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供应商开户行：</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账    号： </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656"/>
        <w:ind w:firstLine="240"/>
        <w:jc w:val="both"/>
        <w:spacing w:beforeAutospacing="0" w:afterAutospacing="0" w:line="0" w:lineRule="atLeast"/>
        <w:rPr>
          <w:color w:val="auto"/>
          <w:highlight w:val="none"/>
        </w:rPr>
      </w:pPr>
      <w:r>
        <w:rPr>
          <w:color w:val="auto"/>
          <w:highlight w:val="none"/>
        </w:rPr>
        <w:t xml:space="preserve"> </w:t>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t xml:space="preserve"> </w:t>
      </w:r>
      <w:r/>
    </w:p>
    <w:p>
      <w:pPr>
        <w:pStyle w:val="656"/>
        <w:ind w:firstLine="240"/>
        <w:jc w:val="center"/>
        <w:spacing w:beforeAutospacing="0" w:afterAutospacing="0" w:line="0" w:lineRule="atLeast"/>
        <w:rPr>
          <w:color w:val="auto"/>
          <w:highlight w:val="none"/>
        </w:rPr>
      </w:pPr>
      <w:r>
        <w:rPr>
          <w:color w:val="auto"/>
          <w:highlight w:val="none"/>
        </w:rPr>
        <w:t xml:space="preserve"> </w:t>
      </w:r>
      <w:r/>
    </w:p>
    <w:p>
      <w:pPr>
        <w:pStyle w:val="656"/>
        <w:ind w:firstLine="240"/>
        <w:jc w:val="center"/>
        <w:spacing w:beforeAutospacing="0" w:afterAutospacing="0" w:line="0" w:lineRule="atLeast"/>
        <w:rPr>
          <w:color w:val="auto"/>
          <w:highlight w:val="none"/>
        </w:rPr>
      </w:pPr>
      <w:r>
        <w:rPr>
          <w:color w:val="auto"/>
          <w:highlight w:val="none"/>
        </w:rPr>
        <w:t xml:space="preserve"> </w:t>
      </w:r>
      <w:r/>
    </w:p>
    <w:p>
      <w:pPr>
        <w:pStyle w:val="656"/>
        <w:ind w:firstLine="240"/>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i/>
          <w:iCs/>
          <w:color w:val="auto"/>
          <w:highlight w:val="none"/>
          <w:u w:val="single"/>
        </w:rPr>
        <w:outlineLvl w:val="0"/>
      </w:pPr>
      <w:r>
        <w:rPr>
          <w:i/>
          <w:iCs/>
          <w:color w:val="auto"/>
          <w:highlight w:val="none"/>
          <w:u w:val="single"/>
        </w:rPr>
        <w:t xml:space="preserve"> </w:t>
      </w:r>
      <w:r>
        <w:rPr>
          <w:rFonts w:hint="eastAsia" w:ascii="黑体" w:hAnsi="宋体" w:eastAsia="黑体" w:cs="黑体"/>
          <w:b/>
          <w:i/>
          <w:iCs/>
          <w:color w:val="auto"/>
          <w:sz w:val="32"/>
          <w:szCs w:val="32"/>
          <w:highlight w:val="none"/>
          <w:u w:val="single"/>
        </w:rPr>
        <w:t xml:space="preserve">九、</w:t>
      </w:r>
      <w:r>
        <w:rPr>
          <w:rFonts w:hint="eastAsia" w:ascii="黑体" w:hAnsi="宋体" w:eastAsia="黑体" w:cs="黑体"/>
          <w:b/>
          <w:i/>
          <w:iCs/>
          <w:color w:val="auto"/>
          <w:sz w:val="32"/>
          <w:szCs w:val="32"/>
          <w:highlight w:val="none"/>
          <w:u w:val="single"/>
          <w:lang w:val="en-US" w:eastAsia="zh-CN"/>
        </w:rPr>
        <w:t xml:space="preserve">中小</w:t>
      </w:r>
      <w:r>
        <w:rPr>
          <w:rFonts w:hint="eastAsia" w:ascii="黑体" w:hAnsi="宋体" w:eastAsia="黑体" w:cs="黑体"/>
          <w:b/>
          <w:i/>
          <w:iCs/>
          <w:color w:val="auto"/>
          <w:sz w:val="32"/>
          <w:szCs w:val="32"/>
          <w:highlight w:val="none"/>
          <w:u w:val="singl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本公司郑重声明，根据《政府采购促进中小企业发展管理办法》（财库﹝2020﹞46 号）的规定，本公司参加</w:t>
      </w:r>
      <w:r>
        <w:rPr>
          <w:rFonts w:hint="eastAsia"/>
          <w:color w:val="auto"/>
          <w:sz w:val="24"/>
          <w:highlight w:val="none"/>
          <w:u w:val="single"/>
          <w:lang w:eastAsia="zh-CN"/>
        </w:rPr>
        <w:t xml:space="preserve">江苏宏新工程管理咨询有限公司</w:t>
      </w:r>
      <w:r>
        <w:rPr>
          <w:rFonts w:hint="eastAsia"/>
          <w:color w:val="auto"/>
          <w:sz w:val="24"/>
          <w:highlight w:val="none"/>
        </w:rPr>
        <w:t xml:space="preserve">组织的</w:t>
      </w:r>
      <w:r>
        <w:rPr>
          <w:rFonts w:hint="eastAsia"/>
          <w:i w:val="0"/>
          <w:iCs w:val="0"/>
          <w:color w:val="auto"/>
          <w:sz w:val="24"/>
          <w:szCs w:val="24"/>
          <w:highlight w:val="none"/>
          <w:u w:val="single"/>
          <w:lang w:eastAsia="zh-CN"/>
        </w:rPr>
        <w:t xml:space="preserve">江苏射阳经济开发区管理委员会</w:t>
      </w:r>
      <w:r>
        <w:rPr>
          <w:rFonts w:hint="eastAsia"/>
          <w:i w:val="0"/>
          <w:iCs w:val="0"/>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JSZC-320924-HXIN-C2026-0008</w:t>
      </w:r>
      <w:r>
        <w:rPr>
          <w:rFonts w:hint="eastAsia"/>
          <w:color w:val="auto"/>
          <w:sz w:val="24"/>
          <w:highlight w:val="none"/>
          <w:lang w:val="en-US" w:eastAsia="zh-CN"/>
        </w:rPr>
        <w:t xml:space="preserve">的</w:t>
      </w:r>
      <w:r>
        <w:rPr>
          <w:rFonts w:hint="eastAsia"/>
          <w:i w:val="0"/>
          <w:iCs w:val="0"/>
          <w:color w:val="auto"/>
          <w:sz w:val="24"/>
          <w:highlight w:val="none"/>
          <w:u w:val="single"/>
          <w:lang w:eastAsia="zh-CN"/>
        </w:rPr>
        <w:t xml:space="preserve">射阳经开区大气环境监测点设备维修及运维项目</w:t>
      </w:r>
      <w:r>
        <w:rPr>
          <w:rFonts w:hint="eastAsia"/>
          <w:color w:val="auto"/>
          <w:sz w:val="24"/>
          <w:highlight w:val="none"/>
        </w:rPr>
        <w:t xml:space="preserve">的采购活动，服务全部由符合政策要求的中小企业承接。相关企业的具体情况如下：</w:t>
      </w:r>
      <w:r/>
    </w:p>
    <w:p>
      <w:pPr>
        <w:numPr>
          <w:ilvl w:val="0"/>
          <w:numId w:val="3"/>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asciiTheme="minorEastAsia" w:hAnsiTheme="minorEastAsia" w:eastAsiaTheme="minorEastAsia" w:cstheme="minorEastAsia"/>
          <w:color w:val="auto"/>
          <w:sz w:val="24"/>
          <w:szCs w:val="24"/>
          <w:highlight w:val="none"/>
          <w:u w:val="single"/>
          <w:shd w:val="clear" w:color="auto" w:fill="auto"/>
        </w:rPr>
        <w:t xml:space="preserve">其他未列明行业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3"/>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56"/>
        <w:ind w:right="720"/>
        <w:jc w:val="both"/>
        <w:spacing w:beforeAutospacing="0" w:afterAutospacing="0" w:line="0" w:lineRule="atLeast"/>
        <w:rPr>
          <w:color w:val="auto"/>
          <w:highlight w:val="none"/>
        </w:rPr>
      </w:pPr>
      <w:r>
        <w:rPr>
          <w:color w:val="auto"/>
          <w:highlight w:val="none"/>
        </w:rPr>
        <w:t xml:space="preserve"> </w:t>
      </w:r>
      <w:r/>
    </w:p>
    <w:p>
      <w:pPr>
        <w:pStyle w:val="656"/>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56"/>
        <w:ind w:right="480" w:firstLine="7128"/>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56"/>
        <w:ind w:firstLine="24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56"/>
        <w:jc w:val="center"/>
        <w:spacing w:beforeAutospacing="0" w:afterAutospacing="0" w:line="0" w:lineRule="atLeast"/>
        <w:rPr>
          <w:color w:val="auto"/>
          <w:highlight w:val="none"/>
        </w:rPr>
        <w:outlineLvl w:val="0"/>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w:t>
      </w:r>
      <w:r/>
    </w:p>
    <w:p>
      <w:pPr>
        <w:pStyle w:val="656"/>
        <w:ind w:firstLine="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〔2017〕141号</w:t>
      </w:r>
      <w:r>
        <w:rPr>
          <w:rFonts w:hint="eastAsia" w:ascii="宋体" w:hAnsi="宋体" w:eastAsia="宋体" w:cs="宋体"/>
          <w:color w:val="000000"/>
          <w:sz w:val="24"/>
          <w:szCs w:val="24"/>
          <w:highlight w:val="none"/>
        </w:rPr>
        <w:t xml:space="preserve">）的规定，本单位为符合条件的残疾人福利性单位，且本单位参加</w:t>
      </w:r>
      <w:r>
        <w:rPr>
          <w:rFonts w:hint="eastAsia" w:ascii="宋体" w:hAnsi="宋体" w:eastAsia="宋体" w:cs="宋体"/>
          <w:color w:val="000000"/>
          <w:sz w:val="24"/>
          <w:szCs w:val="24"/>
          <w:highlight w:val="none"/>
          <w:u w:val="single"/>
          <w:lang w:eastAsia="zh-CN"/>
        </w:rPr>
        <w:t xml:space="preserve">江苏射阳经济开发区管理委员会</w:t>
      </w:r>
      <w:r>
        <w:rPr>
          <w:rFonts w:hint="eastAsia" w:ascii="宋体" w:hAnsi="宋体" w:eastAsia="宋体" w:cs="宋体"/>
          <w:color w:val="000000"/>
          <w:sz w:val="24"/>
          <w:szCs w:val="24"/>
          <w:highlight w:val="none"/>
        </w:rPr>
        <w:t xml:space="preserve">单位的采购文件编号为</w:t>
      </w:r>
      <w:r>
        <w:rPr>
          <w:rFonts w:hint="eastAsia" w:ascii="宋体" w:hAnsi="宋体" w:eastAsia="宋体" w:cs="宋体"/>
          <w:color w:val="000000"/>
          <w:sz w:val="24"/>
          <w:szCs w:val="24"/>
          <w:highlight w:val="none"/>
          <w:u w:val="single"/>
          <w:lang w:eastAsia="zh-CN"/>
        </w:rPr>
        <w:t xml:space="preserve">JSZC-320924-HXIN-C2026-0008</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lang w:eastAsia="zh-CN"/>
        </w:rPr>
        <w:t xml:space="preserve">射阳经开区大气环境监测点设备维修及运维项目</w:t>
      </w:r>
      <w:r>
        <w:rPr>
          <w:rFonts w:hint="eastAsia" w:ascii="宋体" w:hAnsi="宋体" w:eastAsia="宋体" w:cs="宋体"/>
          <w:color w:val="000000"/>
          <w:sz w:val="24"/>
          <w:szCs w:val="24"/>
          <w:highlight w:val="none"/>
        </w:rPr>
        <w:t xml:space="preserve">项目采购活动由本单位提供服务。</w:t>
      </w:r>
      <w:r/>
    </w:p>
    <w:p>
      <w:pPr>
        <w:pStyle w:val="656"/>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656"/>
        <w:ind w:firstLine="480"/>
        <w:jc w:val="both"/>
        <w:keepLines w:val="0"/>
        <w:keepNext w:val="0"/>
        <w:pageBreakBefore w:val="0"/>
        <w:spacing w:beforeAutospacing="0" w:afterAutospacing="0" w:line="360" w:lineRule="exact"/>
        <w:widowControl w:val="off"/>
        <w:rPr>
          <w:color w:val="auto"/>
          <w:sz w:val="24"/>
          <w:szCs w:val="24"/>
          <w:highlight w:val="none"/>
        </w:rPr>
      </w:pPr>
      <w:r>
        <w:rPr>
          <w:color w:val="auto"/>
          <w:sz w:val="24"/>
          <w:szCs w:val="24"/>
          <w:highlight w:val="none"/>
        </w:rPr>
        <w:t xml:space="preserve"> </w:t>
      </w:r>
      <w:r/>
    </w:p>
    <w:p>
      <w:pPr>
        <w:pStyle w:val="656"/>
        <w:ind w:firstLine="480"/>
        <w:jc w:val="both"/>
        <w:keepLines w:val="0"/>
        <w:keepNext w:val="0"/>
        <w:pageBreakBefore w:val="0"/>
        <w:spacing w:beforeAutospacing="0" w:afterAutospacing="0" w:line="36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w:t>
      </w:r>
      <w:r>
        <w:rPr>
          <w:rFonts w:hint="eastAsia" w:ascii="宋体" w:hAnsi="宋体" w:eastAsia="宋体" w:cs="宋体"/>
          <w:color w:val="auto"/>
          <w:sz w:val="24"/>
          <w:szCs w:val="24"/>
          <w:highlight w:val="none"/>
          <w:lang w:eastAsia="zh-CN"/>
        </w:rPr>
        <w:t xml:space="preserve">（如项目全面面向中小企业，则资格审查不通过）</w:t>
      </w:r>
      <w:r>
        <w:rPr>
          <w:rFonts w:hint="eastAsia" w:ascii="宋体" w:hAnsi="宋体" w:eastAsia="宋体" w:cs="宋体"/>
          <w:color w:val="auto"/>
          <w:sz w:val="24"/>
          <w:szCs w:val="24"/>
          <w:highlight w:val="none"/>
        </w:rPr>
        <w:t xml:space="preserve">。2、成交供应商为残疾人福利单位的，此声明函将随成交结果同时公告，接受社会监督）</w:t>
      </w:r>
      <w:r/>
    </w:p>
    <w:p>
      <w:pPr>
        <w:pStyle w:val="656"/>
        <w:ind w:firstLine="624"/>
        <w:jc w:val="both"/>
        <w:keepLines w:val="0"/>
        <w:keepNext w:val="0"/>
        <w:pageBreakBefore w:val="0"/>
        <w:spacing w:beforeAutospacing="0" w:afterAutospacing="0" w:line="360" w:lineRule="exact"/>
        <w:widowControl w:val="off"/>
        <w:rPr>
          <w:color w:val="auto"/>
          <w:sz w:val="24"/>
          <w:szCs w:val="24"/>
          <w:highlight w:val="none"/>
        </w:rPr>
      </w:pPr>
      <w:r>
        <w:rPr>
          <w:color w:val="auto"/>
          <w:sz w:val="24"/>
          <w:szCs w:val="24"/>
          <w:highlight w:val="none"/>
        </w:rPr>
        <w:t xml:space="preserve"> </w:t>
      </w:r>
      <w:r/>
    </w:p>
    <w:p>
      <w:pPr>
        <w:pStyle w:val="656"/>
        <w:ind w:right="1560" w:firstLine="624"/>
        <w:jc w:val="center"/>
        <w:keepLines w:val="0"/>
        <w:keepNext w:val="0"/>
        <w:pageBreakBefore w:val="0"/>
        <w:spacing w:beforeAutospacing="0" w:afterAutospacing="0" w:line="360" w:lineRule="exact"/>
        <w:widowControl w:val="off"/>
        <w:tabs>
          <w:tab w:val="left" w:pos="4864" w:leader="none"/>
        </w:tabs>
        <w:rPr>
          <w:color w:val="auto"/>
          <w:sz w:val="24"/>
          <w:szCs w:val="24"/>
          <w:highlight w:val="none"/>
        </w:rPr>
      </w:pPr>
      <w:r>
        <w:rPr>
          <w:rFonts w:ascii="仿宋_GB2312" w:eastAsia="仿宋_GB2312" w:cs="仿宋_GB2312"/>
          <w:color w:val="auto"/>
          <w:sz w:val="24"/>
          <w:szCs w:val="24"/>
          <w:highlight w:val="none"/>
        </w:rPr>
        <w:t xml:space="preserve">             </w:t>
      </w:r>
      <w:r>
        <w:rPr>
          <w:rFonts w:hint="eastAsia" w:ascii="宋体" w:hAnsi="宋体" w:eastAsia="宋体" w:cs="宋体"/>
          <w:color w:val="auto"/>
          <w:sz w:val="24"/>
          <w:szCs w:val="24"/>
          <w:highlight w:val="none"/>
        </w:rPr>
        <w:t xml:space="preserve">          供应商全称（加盖CA电子公章）：</w:t>
      </w:r>
      <w:r/>
    </w:p>
    <w:p>
      <w:pPr>
        <w:pStyle w:val="656"/>
        <w:ind w:right="1560" w:firstLine="480"/>
        <w:jc w:val="center"/>
        <w:keepLines w:val="0"/>
        <w:keepNext w:val="0"/>
        <w:pageBreakBefore w:val="0"/>
        <w:spacing w:beforeAutospacing="0" w:afterAutospacing="0" w:line="360" w:lineRule="exact"/>
        <w:widowControl w:val="off"/>
        <w:tabs>
          <w:tab w:val="left" w:pos="4864" w:leader="none"/>
        </w:tabs>
        <w:rPr>
          <w:color w:val="auto"/>
          <w:sz w:val="24"/>
          <w:szCs w:val="24"/>
          <w:highlight w:val="none"/>
        </w:rPr>
      </w:pPr>
      <w:r>
        <w:rPr>
          <w:rFonts w:hint="eastAsia" w:ascii="宋体" w:hAnsi="宋体" w:eastAsia="宋体" w:cs="宋体"/>
          <w:color w:val="auto"/>
          <w:sz w:val="24"/>
          <w:szCs w:val="24"/>
          <w:highlight w:val="none"/>
        </w:rPr>
        <w:t xml:space="preserve">        日  期：</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r>
      <w:r/>
    </w:p>
    <w:p>
      <w:pPr>
        <w:rPr>
          <w:rFonts w:hint="eastAsia" w:ascii="黑体" w:hAnsi="黑体" w:eastAsia="黑体" w:cs="黑体"/>
          <w:b/>
          <w:color w:val="ff0000"/>
          <w:sz w:val="32"/>
          <w:szCs w:val="32"/>
          <w:lang w:val="en-US" w:eastAsia="zh-CN"/>
        </w:rPr>
      </w:pPr>
      <w:r>
        <w:rPr>
          <w:rFonts w:hint="eastAsia" w:ascii="黑体" w:hAnsi="黑体" w:eastAsia="黑体" w:cs="黑体"/>
          <w:b/>
          <w:color w:val="ff0000"/>
          <w:sz w:val="32"/>
          <w:szCs w:val="32"/>
          <w:lang w:val="en-US" w:eastAsia="zh-CN"/>
        </w:rPr>
        <w:br w:type="page" w:clear="all"/>
      </w:r>
      <w:r/>
    </w:p>
    <w:p>
      <w:pPr>
        <w:spacing w:line="241" w:lineRule="auto"/>
        <w:rPr>
          <w:rFonts w:ascii="Arial"/>
          <w:sz w:val="21"/>
        </w:rPr>
      </w:pPr>
      <w:r>
        <w:rPr>
          <w:rFonts w:ascii="Arial"/>
          <w:sz w:val="21"/>
        </w:rPr>
      </w:r>
      <w:r/>
    </w:p>
    <w:p>
      <w:pPr>
        <w:pStyle w:val="656"/>
        <w:numPr>
          <w:ilvl w:val="0"/>
          <w:numId w:val="4"/>
        </w:numPr>
        <w:jc w:val="center"/>
        <w:spacing w:beforeAutospacing="0" w:afterAutospacing="0" w:line="0" w:lineRule="atLeast"/>
        <w:rPr>
          <w:rFonts w:hint="eastAsia" w:ascii="黑体" w:hAnsi="宋体" w:eastAsia="黑体" w:cs="黑体"/>
          <w:b/>
          <w:i/>
          <w:iCs/>
          <w:color w:val="auto"/>
          <w:sz w:val="32"/>
          <w:szCs w:val="32"/>
          <w:highlight w:val="none"/>
          <w:u w:val="single"/>
        </w:rPr>
        <w:outlineLvl w:val="0"/>
      </w:pPr>
      <w:r>
        <w:rPr>
          <w:rFonts w:hint="eastAsia" w:ascii="黑体" w:hAnsi="宋体" w:eastAsia="黑体" w:cs="黑体"/>
          <w:b/>
          <w:i/>
          <w:iCs/>
          <w:color w:val="auto"/>
          <w:sz w:val="32"/>
          <w:szCs w:val="32"/>
          <w:highlight w:val="none"/>
          <w:u w:val="single"/>
        </w:rPr>
        <w:t xml:space="preserve">分项报价表（服务类）</w:t>
      </w:r>
      <w:r/>
    </w:p>
    <w:p>
      <w:pPr>
        <w:ind w:firstLine="210"/>
        <w:jc w:val="right"/>
        <w:rPr>
          <w:rFonts w:hint="default" w:ascii="黑体" w:hAnsi="宋体" w:eastAsia="黑体" w:cs="黑体"/>
          <w:b/>
          <w:i/>
          <w:iCs/>
          <w:color w:val="auto"/>
          <w:sz w:val="40"/>
          <w:szCs w:val="40"/>
          <w:highlight w:val="none"/>
          <w:u w:val="single"/>
          <w:lang w:val="en-US" w:eastAsia="zh-CN"/>
        </w:rPr>
      </w:pPr>
      <w:r>
        <w:rPr>
          <w:rFonts w:hint="eastAsia" w:cs="宋体"/>
          <w:sz w:val="24"/>
          <w:szCs w:val="36"/>
          <w:lang w:val="en-US" w:eastAsia="zh-CN"/>
        </w:rPr>
        <w:t xml:space="preserve">单位（元）</w:t>
      </w:r>
      <w:r/>
    </w:p>
    <w:tbl>
      <w:tblPr>
        <w:tblStyle w:val="645"/>
        <w:tblpPr w:horzAnchor="page" w:tblpX="1612" w:vertAnchor="text" w:tblpY="325" w:leftFromText="180" w:topFromText="0" w:rightFromText="180" w:bottomFromText="0"/>
        <w:tblW w:w="8793"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178"/>
        <w:gridCol w:w="967"/>
        <w:gridCol w:w="840"/>
        <w:gridCol w:w="900"/>
        <w:gridCol w:w="1417"/>
        <w:gridCol w:w="1129"/>
        <w:gridCol w:w="840"/>
        <w:gridCol w:w="844"/>
      </w:tblGrid>
      <w:tr>
        <w:trPr>
          <w:tblCellSpacing w:w="0" w:type="dxa"/>
          <w:trHeight w:val="294"/>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rPr>
                <w:rFonts w:hint="eastAsia"/>
                <w:color w:val="auto"/>
                <w:highlight w:val="none"/>
                <w:lang w:val="en-US" w:eastAsia="zh-CN"/>
              </w:rPr>
              <w:suppressLineNumbers w:val="0"/>
            </w:pPr>
            <w:r>
              <w:rPr>
                <w:rFonts w:hint="eastAsia"/>
                <w:color w:val="auto"/>
                <w:highlight w:val="none"/>
                <w:lang w:val="en-US" w:eastAsia="zh-CN"/>
              </w:rPr>
              <w:t xml:space="preserve">序号</w:t>
            </w:r>
            <w:r/>
          </w:p>
        </w:tc>
        <w:tc>
          <w:tcPr>
            <w:shd w:val="clear" w:color="auto" w:fill="auto"/>
            <w:tcW w:w="1178" w:type="dxa"/>
            <w:vAlign w:val="center"/>
            <w:textDirection w:val="lrTb"/>
            <w:noWrap w:val="false"/>
          </w:tcPr>
          <w:p>
            <w:pPr>
              <w:ind w:left="0" w:right="0"/>
              <w:jc w:val="center"/>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名称</w:t>
            </w:r>
            <w:r/>
          </w:p>
        </w:tc>
        <w:tc>
          <w:tcPr>
            <w:shd w:val="clear" w:color="auto" w:fill="auto"/>
            <w:tcW w:w="967" w:type="dxa"/>
            <w:vAlign w:val="center"/>
            <w:textDirection w:val="lrTb"/>
            <w:noWrap w:val="false"/>
          </w:tcPr>
          <w:p>
            <w:pPr>
              <w:ind w:left="0" w:right="0"/>
              <w:jc w:val="center"/>
              <w:keepLines w:val="0"/>
              <w:keepNext w:val="0"/>
              <w:spacing w:before="0" w:beforeAutospacing="0" w:after="0" w:afterAutospacing="0"/>
              <w:rPr>
                <w:rFonts w:hint="default"/>
                <w:color w:val="auto"/>
                <w:highlight w:val="none"/>
                <w:lang w:val="en-US" w:eastAsia="zh-CN"/>
              </w:rPr>
              <w:suppressLineNumbers w:val="0"/>
            </w:pPr>
            <w:r>
              <w:rPr>
                <w:rFonts w:hint="eastAsia" w:ascii="宋体" w:hAnsi="宋体" w:eastAsia="宋体" w:cs="宋体"/>
                <w:color w:val="auto"/>
                <w:highlight w:val="none"/>
                <w:shd w:val="clear" w:color="auto" w:fill="auto"/>
              </w:rPr>
              <w:t xml:space="preserve">品牌</w:t>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rPr>
                <w:rFonts w:hint="eastAsia"/>
                <w:color w:val="auto"/>
                <w:highlight w:val="none"/>
              </w:rPr>
              <w:suppressLineNumbers w:val="0"/>
            </w:pPr>
            <w:r>
              <w:rPr>
                <w:rFonts w:hint="eastAsia"/>
                <w:color w:val="auto"/>
                <w:highlight w:val="none"/>
              </w:rPr>
              <w:t xml:space="preserve">规格</w:t>
            </w:r>
            <w:r/>
          </w:p>
          <w:p>
            <w:pPr>
              <w:ind w:left="0" w:right="0"/>
              <w:jc w:val="center"/>
              <w:keepLines w:val="0"/>
              <w:keepNext w:val="0"/>
              <w:spacing w:before="0" w:beforeAutospacing="0" w:after="0" w:afterAutospacing="0"/>
              <w:rPr>
                <w:rFonts w:hint="eastAsia"/>
                <w:color w:val="auto"/>
                <w:highlight w:val="none"/>
              </w:rPr>
              <w:suppressLineNumbers w:val="0"/>
            </w:pPr>
            <w:r>
              <w:rPr>
                <w:rFonts w:hint="eastAsia"/>
                <w:color w:val="auto"/>
                <w:highlight w:val="none"/>
              </w:rPr>
              <w:t xml:space="preserve">型号</w:t>
            </w:r>
            <w:r/>
          </w:p>
        </w:tc>
        <w:tc>
          <w:tcPr>
            <w:shd w:val="clear" w:color="auto" w:fill="auto"/>
            <w:tcW w:w="900" w:type="dxa"/>
            <w:vAlign w:val="center"/>
            <w:textDirection w:val="lrTb"/>
            <w:noWrap w:val="false"/>
          </w:tcPr>
          <w:p>
            <w:pPr>
              <w:ind w:left="0" w:right="0"/>
              <w:jc w:val="center"/>
              <w:keepLines w:val="0"/>
              <w:keepNext w:val="0"/>
              <w:spacing w:before="0" w:beforeAutospacing="0" w:after="0" w:afterAutospacing="0"/>
              <w:rPr>
                <w:rFonts w:hint="eastAsia"/>
                <w:color w:val="auto"/>
                <w:highlight w:val="none"/>
              </w:rPr>
              <w:suppressLineNumbers w:val="0"/>
            </w:pPr>
            <w:r>
              <w:rPr>
                <w:rFonts w:hint="eastAsia"/>
                <w:color w:val="auto"/>
                <w:highlight w:val="none"/>
              </w:rPr>
              <w:t xml:space="preserve">单位</w:t>
            </w:r>
            <w:r/>
          </w:p>
        </w:tc>
        <w:tc>
          <w:tcPr>
            <w:shd w:val="clear" w:color="auto" w:fill="auto"/>
            <w:tcW w:w="1417" w:type="dxa"/>
            <w:vAlign w:val="center"/>
            <w:textDirection w:val="lrTb"/>
            <w:noWrap w:val="false"/>
          </w:tcPr>
          <w:p>
            <w:pPr>
              <w:ind w:left="0" w:right="0"/>
              <w:jc w:val="center"/>
              <w:keepLines w:val="0"/>
              <w:keepNext w:val="0"/>
              <w:spacing w:before="0" w:beforeAutospacing="0" w:after="0" w:afterAutospacing="0"/>
              <w:rPr>
                <w:rFonts w:hint="default"/>
                <w:color w:val="auto"/>
                <w:highlight w:val="none"/>
                <w:lang w:val="en-US" w:eastAsia="zh-CN"/>
              </w:rPr>
              <w:suppressLineNumbers w:val="0"/>
            </w:pPr>
            <w:r>
              <w:rPr>
                <w:rFonts w:hint="eastAsia"/>
                <w:color w:val="auto"/>
                <w:highlight w:val="none"/>
              </w:rPr>
              <w:t xml:space="preserve">数量</w:t>
            </w:r>
            <w:r/>
          </w:p>
        </w:tc>
        <w:tc>
          <w:tcPr>
            <w:shd w:val="clear" w:color="auto" w:fill="auto"/>
            <w:tcW w:w="1129" w:type="dxa"/>
            <w:vAlign w:val="center"/>
            <w:textDirection w:val="lrTb"/>
            <w:noWrap w:val="false"/>
          </w:tcPr>
          <w:p>
            <w:pPr>
              <w:ind w:left="0" w:right="0"/>
              <w:jc w:val="center"/>
              <w:keepLines w:val="0"/>
              <w:keepNext w:val="0"/>
              <w:spacing w:before="0" w:beforeAutospacing="0" w:after="0" w:afterAutospacing="0"/>
              <w:rPr>
                <w:rFonts w:hint="default"/>
                <w:color w:val="auto"/>
                <w:highlight w:val="none"/>
                <w:lang w:val="en-US" w:eastAsia="zh-CN"/>
              </w:rPr>
              <w:suppressLineNumbers w:val="0"/>
            </w:pPr>
            <w:r>
              <w:rPr>
                <w:rFonts w:hint="eastAsia"/>
                <w:color w:val="auto"/>
                <w:highlight w:val="none"/>
              </w:rPr>
              <w:t xml:space="preserve">单价</w:t>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rPr>
                <w:rFonts w:hint="default"/>
                <w:color w:val="auto"/>
                <w:highlight w:val="none"/>
                <w:lang w:val="en-US" w:eastAsia="zh-CN"/>
              </w:rPr>
              <w:suppressLineNumbers w:val="0"/>
            </w:pPr>
            <w:r>
              <w:rPr>
                <w:rFonts w:hint="eastAsia"/>
                <w:color w:val="auto"/>
                <w:highlight w:val="none"/>
              </w:rPr>
              <w:t xml:space="preserve">总价</w:t>
            </w:r>
            <w:r/>
          </w:p>
        </w:tc>
        <w:tc>
          <w:tcPr>
            <w:shd w:val="clear" w:color="auto" w:fill="auto"/>
            <w:tcW w:w="844" w:type="dxa"/>
            <w:vAlign w:val="center"/>
            <w:textDirection w:val="lrTb"/>
            <w:noWrap w:val="false"/>
          </w:tcPr>
          <w:p>
            <w:pPr>
              <w:ind w:left="0" w:right="0"/>
              <w:jc w:val="center"/>
              <w:keepLines w:val="0"/>
              <w:keepNext w:val="0"/>
              <w:spacing w:before="0" w:beforeAutospacing="0" w:after="0" w:afterAutospacing="0"/>
              <w:rPr>
                <w:rFonts w:hint="eastAsia"/>
                <w:color w:val="auto"/>
                <w:highlight w:val="none"/>
                <w:lang w:val="en-US" w:eastAsia="zh-CN"/>
              </w:rPr>
              <w:suppressLineNumbers w:val="0"/>
            </w:pPr>
            <w:r>
              <w:rPr>
                <w:rFonts w:hint="eastAsia"/>
                <w:color w:val="auto"/>
                <w:highlight w:val="none"/>
                <w:lang w:val="en-US" w:eastAsia="zh-CN"/>
              </w:rPr>
              <w:t xml:space="preserve">备注</w:t>
            </w:r>
            <w:r/>
          </w:p>
        </w:tc>
      </w:tr>
      <w:tr>
        <w:trPr>
          <w:tblCellSpacing w:w="0" w:type="dxa"/>
          <w:trHeight w:val="654"/>
        </w:trPr>
        <w:tc>
          <w:tcPr>
            <w:shd w:val="clear" w:color="auto" w:fill="auto"/>
            <w:tcW w:w="6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eastAsia" w:ascii="宋体" w:hAnsi="宋体" w:eastAsia="宋体" w:cs="宋体"/>
                <w:color w:val="auto"/>
                <w:highlight w:val="none"/>
              </w:rPr>
              <w:t xml:space="preserve">1</w:t>
            </w:r>
            <w:r/>
          </w:p>
        </w:tc>
        <w:tc>
          <w:tcPr>
            <w:shd w:val="clear" w:color="auto" w:fill="auto"/>
            <w:tcW w:w="11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96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90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141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1129"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4"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r>
      <w:tr>
        <w:trPr>
          <w:tblCellSpacing w:w="0" w:type="dxa"/>
          <w:trHeight w:val="654"/>
        </w:trPr>
        <w:tc>
          <w:tcPr>
            <w:shd w:val="clear" w:color="auto" w:fill="auto"/>
            <w:tcW w:w="6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eastAsia" w:ascii="宋体" w:hAnsi="宋体" w:eastAsia="宋体" w:cs="宋体"/>
                <w:color w:val="auto"/>
                <w:highlight w:val="none"/>
              </w:rPr>
              <w:t xml:space="preserve">2</w:t>
            </w:r>
            <w:r/>
          </w:p>
        </w:tc>
        <w:tc>
          <w:tcPr>
            <w:shd w:val="clear" w:color="auto" w:fill="auto"/>
            <w:tcW w:w="11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96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90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141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1129"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4"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r>
      <w:tr>
        <w:trPr>
          <w:tblCellSpacing w:w="0" w:type="dxa"/>
          <w:trHeight w:val="654"/>
        </w:trPr>
        <w:tc>
          <w:tcPr>
            <w:shd w:val="clear" w:color="auto" w:fill="auto"/>
            <w:tcW w:w="6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eastAsia" w:ascii="宋体" w:hAnsi="宋体" w:eastAsia="宋体" w:cs="宋体"/>
                <w:color w:val="auto"/>
                <w:highlight w:val="none"/>
              </w:rPr>
              <w:t xml:space="preserve">3</w:t>
            </w:r>
            <w:r/>
          </w:p>
        </w:tc>
        <w:tc>
          <w:tcPr>
            <w:shd w:val="clear" w:color="auto" w:fill="auto"/>
            <w:tcW w:w="11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96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90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141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1129"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4"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r>
      <w:tr>
        <w:trPr>
          <w:tblCellSpacing w:w="0" w:type="dxa"/>
          <w:trHeight w:val="654"/>
        </w:trPr>
        <w:tc>
          <w:tcPr>
            <w:shd w:val="clear" w:color="auto" w:fill="auto"/>
            <w:tcW w:w="6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eastAsia" w:ascii="宋体" w:hAnsi="宋体" w:eastAsia="宋体" w:cs="宋体"/>
                <w:color w:val="auto"/>
                <w:highlight w:val="none"/>
              </w:rPr>
              <w:t xml:space="preserve">…</w:t>
            </w:r>
            <w:r/>
          </w:p>
        </w:tc>
        <w:tc>
          <w:tcPr>
            <w:shd w:val="clear" w:color="auto" w:fill="auto"/>
            <w:tcW w:w="11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eastAsia" w:ascii="宋体" w:hAnsi="宋体" w:eastAsia="宋体" w:cs="宋体"/>
                <w:color w:val="auto"/>
                <w:highlight w:val="none"/>
              </w:rPr>
              <w:t xml:space="preserve">……</w:t>
            </w:r>
            <w:r/>
          </w:p>
        </w:tc>
        <w:tc>
          <w:tcPr>
            <w:shd w:val="clear" w:color="auto" w:fill="auto"/>
            <w:tcW w:w="96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90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141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1129"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4"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r>
      <w:tr>
        <w:trPr>
          <w:tblCellSpacing w:w="0" w:type="dxa"/>
          <w:trHeight w:val="487"/>
        </w:trPr>
        <w:tc>
          <w:tcPr>
            <w:gridSpan w:val="8"/>
            <w:shd w:val="clear" w:color="auto" w:fill="auto"/>
            <w:tcW w:w="7949" w:type="dxa"/>
            <w:vAlign w:val="center"/>
            <w:textDirection w:val="lrTb"/>
            <w:noWrap w:val="false"/>
          </w:tcPr>
          <w:p>
            <w:pPr>
              <w:pStyle w:val="656"/>
              <w:ind w:left="0" w:right="0"/>
              <w:jc w:val="center"/>
              <w:keepLines w:val="0"/>
              <w:keepNext w:val="0"/>
              <w:spacing w:before="0" w:beforeAutospacing="0" w:after="0" w:afterAutospacing="0" w:line="0" w:lineRule="atLeas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总报价（人民币：</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元）</w:t>
            </w:r>
            <w:r/>
          </w:p>
        </w:tc>
        <w:tc>
          <w:tcPr>
            <w:shd w:val="clear" w:color="auto" w:fill="auto"/>
            <w:tcW w:w="844" w:type="dxa"/>
            <w:vAlign w:val="center"/>
            <w:textDirection w:val="lrTb"/>
            <w:noWrap w:val="false"/>
          </w:tcPr>
          <w:p>
            <w:pPr>
              <w:pStyle w:val="656"/>
              <w:ind w:left="0" w:right="0"/>
              <w:jc w:val="both"/>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r>
    </w:tbl>
    <w:p>
      <w:pPr>
        <w:pStyle w:val="65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6"/>
        <w:jc w:val="both"/>
        <w:keepLines w:val="0"/>
        <w:keepNext w:val="0"/>
        <w:pageBreakBefore w:val="0"/>
        <w:spacing w:beforeAutospacing="0" w:afterAutospacing="0"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656"/>
        <w:ind w:firstLine="480"/>
        <w:jc w:val="both"/>
        <w:keepLines w:val="0"/>
        <w:keepNext w:val="0"/>
        <w:pageBreakBefore w:val="0"/>
        <w:spacing w:beforeAutospacing="0" w:afterAutospacing="0" w:line="360" w:lineRule="exact"/>
        <w:widowControl w:val="off"/>
        <w:rPr>
          <w:color w:val="auto"/>
          <w:highlight w:val="none"/>
          <w:shd w:val="clear" w:color="auto" w:fill="auto"/>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磋商报价采用总承包方式，</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的“分项单价和</w:t>
      </w:r>
      <w:r>
        <w:rPr>
          <w:rFonts w:hint="eastAsia" w:ascii="宋体" w:hAnsi="宋体" w:eastAsia="宋体" w:cs="宋体"/>
          <w:sz w:val="24"/>
        </w:rPr>
        <w:t xml:space="preserve">分项总价</w:t>
      </w:r>
      <w:r>
        <w:rPr>
          <w:rFonts w:hint="eastAsia" w:ascii="宋体" w:hAnsi="宋体" w:eastAsia="宋体" w:cs="宋体"/>
          <w:color w:val="auto"/>
          <w:highlight w:val="none"/>
        </w:rPr>
        <w:t xml:space="preserve">”</w:t>
      </w:r>
      <w:r>
        <w:rPr>
          <w:rFonts w:hint="eastAsia" w:ascii="宋体" w:hAnsi="宋体" w:eastAsia="宋体" w:cs="宋体"/>
          <w:sz w:val="24"/>
          <w:szCs w:val="24"/>
        </w:rPr>
        <w:t xml:space="preserve">均</w:t>
      </w:r>
      <w:r>
        <w:rPr>
          <w:rFonts w:hint="eastAsia" w:ascii="宋体" w:hAnsi="宋体" w:eastAsia="宋体" w:cs="宋体"/>
          <w:spacing w:val="10"/>
          <w:position w:val="2"/>
          <w:sz w:val="24"/>
          <w:szCs w:val="24"/>
        </w:rPr>
        <w:t xml:space="preserve">应</w:t>
      </w:r>
      <w:r>
        <w:rPr>
          <w:rFonts w:hint="eastAsia" w:ascii="宋体" w:hAnsi="宋体" w:eastAsia="宋体" w:cs="宋体"/>
          <w:color w:val="auto"/>
          <w:highlight w:val="none"/>
        </w:rPr>
        <w:t xml:space="preserve">包括采购人需求的服务（包含与服务相关的</w:t>
      </w:r>
      <w:r>
        <w:rPr>
          <w:rFonts w:hint="eastAsia" w:ascii="宋体" w:hAnsi="宋体" w:eastAsia="宋体" w:cs="宋体"/>
          <w:color w:val="auto"/>
          <w:highlight w:val="none"/>
          <w:lang w:val="en-US" w:eastAsia="zh-CN"/>
        </w:rPr>
        <w:t xml:space="preserve">货物</w:t>
      </w:r>
      <w:r>
        <w:rPr>
          <w:rFonts w:hint="eastAsia" w:ascii="宋体" w:hAnsi="宋体" w:eastAsia="宋体" w:cs="宋体"/>
          <w:color w:val="auto"/>
          <w:highlight w:val="none"/>
        </w:rPr>
        <w:t xml:space="preserve">）价格、质量保证费用、培训费用及售后服务费用，项</w:t>
      </w:r>
      <w:r>
        <w:rPr>
          <w:rFonts w:hint="eastAsia" w:ascii="宋体" w:hAnsi="宋体" w:eastAsia="宋体" w:cs="宋体"/>
          <w:color w:val="auto"/>
          <w:highlight w:val="none"/>
          <w:shd w:val="clear" w:color="auto" w:fill="auto"/>
        </w:rPr>
        <w:t xml:space="preserve">目在指定地点、环境交付</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验收所需费用和所有相关税金费用及为完成整个项目所产生的</w:t>
      </w:r>
      <w:r>
        <w:rPr>
          <w:rFonts w:hint="eastAsia" w:ascii="宋体" w:hAnsi="宋体" w:eastAsia="宋体" w:cs="宋体"/>
          <w:color w:val="auto"/>
          <w:highlight w:val="none"/>
          <w:shd w:val="clear" w:color="auto" w:fill="auto"/>
          <w:lang w:eastAsia="zh-CN"/>
        </w:rPr>
        <w:t xml:space="preserve">其他所有</w:t>
      </w:r>
      <w:r>
        <w:rPr>
          <w:rFonts w:hint="eastAsia" w:ascii="宋体" w:hAnsi="宋体" w:eastAsia="宋体" w:cs="宋体"/>
          <w:color w:val="auto"/>
          <w:highlight w:val="none"/>
          <w:shd w:val="clear" w:color="auto" w:fill="auto"/>
        </w:rPr>
        <w:t xml:space="preserve">费用。</w:t>
      </w:r>
      <w:r/>
    </w:p>
    <w:p>
      <w:pPr>
        <w:pStyle w:val="656"/>
        <w:numPr>
          <w:ilvl w:val="0"/>
          <w:numId w:val="0"/>
        </w:numPr>
        <w:ind w:firstLine="720"/>
        <w:jc w:val="both"/>
        <w:keepLines w:val="0"/>
        <w:keepNext w:val="0"/>
        <w:pageBreakBefore w:val="0"/>
        <w:spacing w:beforeAutospacing="0" w:afterAutospacing="0" w:line="360" w:lineRule="exact"/>
        <w:widowControl w:val="off"/>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rPr>
        <w:t xml:space="preserve">2.</w:t>
      </w:r>
      <w:r>
        <w:rPr>
          <w:rFonts w:ascii="Times New Roman" w:hAnsi="Times New Roman"/>
          <w:b w:val="0"/>
          <w:bCs w:val="0"/>
          <w:color w:val="auto"/>
          <w:sz w:val="21"/>
          <w:szCs w:val="21"/>
          <w:highlight w:val="none"/>
        </w:rPr>
        <w:t xml:space="preserve"> “</w:t>
      </w:r>
      <w:r>
        <w:rPr>
          <w:rFonts w:hint="eastAsia" w:ascii="宋体" w:hAnsi="宋体" w:eastAsia="宋体" w:cs="宋体"/>
          <w:b w:val="0"/>
          <w:bCs w:val="0"/>
          <w:color w:val="auto"/>
          <w:highlight w:val="none"/>
        </w:rPr>
        <w:t xml:space="preserve">分项报价表</w:t>
      </w:r>
      <w:r>
        <w:rPr>
          <w:rFonts w:ascii="Times New Roman" w:hAnsi="Times New Roman"/>
          <w:b w:val="0"/>
          <w:bCs w:val="0"/>
          <w:color w:val="auto"/>
          <w:sz w:val="21"/>
          <w:szCs w:val="21"/>
          <w:highlight w:val="none"/>
        </w:rPr>
        <w:t xml:space="preserve">”</w:t>
      </w:r>
      <w:r>
        <w:rPr>
          <w:rFonts w:hint="eastAsia" w:ascii="宋体" w:hAnsi="宋体" w:eastAsia="宋体" w:cs="宋体"/>
          <w:b w:val="0"/>
          <w:bCs w:val="0"/>
          <w:color w:val="auto"/>
          <w:highlight w:val="none"/>
          <w:shd w:val="clear" w:color="auto" w:fill="auto"/>
        </w:rPr>
        <w:t xml:space="preserve">中“</w:t>
      </w:r>
      <w:r>
        <w:rPr>
          <w:rFonts w:hint="eastAsia" w:ascii="宋体" w:hAnsi="宋体" w:eastAsia="宋体" w:cs="宋体"/>
          <w:sz w:val="24"/>
        </w:rPr>
        <w:t xml:space="preserve">投标总报价</w:t>
      </w:r>
      <w:r>
        <w:rPr>
          <w:rFonts w:hint="eastAsia" w:ascii="宋体" w:hAnsi="宋体" w:eastAsia="宋体" w:cs="宋体"/>
          <w:b w:val="0"/>
          <w:bCs w:val="0"/>
          <w:color w:val="auto"/>
          <w:highlight w:val="none"/>
          <w:shd w:val="clear" w:color="auto" w:fill="auto"/>
        </w:rPr>
        <w:t xml:space="preserve">”数额应当与“开标一览表”中“投标总</w:t>
      </w:r>
      <w:r>
        <w:rPr>
          <w:rFonts w:hint="eastAsia" w:ascii="宋体" w:hAnsi="宋体" w:eastAsia="宋体" w:cs="宋体"/>
          <w:b w:val="0"/>
          <w:bCs w:val="0"/>
          <w:color w:val="auto"/>
          <w:highlight w:val="none"/>
          <w:shd w:val="clear" w:color="auto" w:fill="auto"/>
          <w:lang w:val="en-US" w:eastAsia="zh-CN"/>
        </w:rPr>
        <w:t xml:space="preserve">报</w:t>
      </w:r>
      <w:r>
        <w:rPr>
          <w:rFonts w:hint="eastAsia" w:ascii="宋体" w:hAnsi="宋体" w:eastAsia="宋体" w:cs="宋体"/>
          <w:b w:val="0"/>
          <w:bCs w:val="0"/>
          <w:color w:val="auto"/>
          <w:highlight w:val="none"/>
          <w:shd w:val="clear" w:color="auto" w:fill="auto"/>
        </w:rPr>
        <w:t xml:space="preserve">价”数额一致。</w:t>
      </w:r>
      <w:r/>
    </w:p>
    <w:p>
      <w:pPr>
        <w:pStyle w:val="656"/>
        <w:jc w:val="both"/>
        <w:spacing w:beforeAutospacing="0" w:afterAutospacing="0"/>
        <w:rPr>
          <w:b w:val="0"/>
          <w:bCs w:val="0"/>
          <w:color w:val="ff0000"/>
          <w:highlight w:val="none"/>
          <w:shd w:val="clear" w:color="auto" w:fill="auto"/>
        </w:rPr>
      </w:pPr>
      <w:r>
        <w:rPr>
          <w:b w:val="0"/>
          <w:bCs w:val="0"/>
          <w:color w:val="ff0000"/>
          <w:highlight w:val="none"/>
          <w:shd w:val="clear" w:color="auto" w:fill="auto"/>
        </w:rPr>
        <w:t xml:space="preserve"> </w:t>
      </w:r>
      <w:r/>
    </w:p>
    <w:p>
      <w:pPr>
        <w:pStyle w:val="656"/>
        <w:jc w:val="both"/>
        <w:spacing w:beforeAutospacing="0" w:afterAutospacing="0"/>
        <w:rPr>
          <w:b/>
          <w:bCs/>
          <w:color w:val="ff0000"/>
          <w:highlight w:val="none"/>
        </w:rPr>
      </w:pPr>
      <w:r>
        <w:rPr>
          <w:b/>
          <w:bCs/>
          <w:color w:val="ff0000"/>
          <w:highlight w:val="none"/>
        </w:rPr>
        <w:t xml:space="preserve"> </w:t>
      </w:r>
      <w:r/>
    </w:p>
    <w:p>
      <w:pPr>
        <w:pStyle w:val="656"/>
        <w:jc w:val="center"/>
        <w:spacing w:beforeAutospacing="0" w:afterAutospacing="0"/>
        <w:rPr>
          <w:rFonts w:hint="eastAsia"/>
          <w:highlight w:val="none"/>
        </w:rPr>
      </w:pPr>
      <w:r>
        <w:rPr>
          <w:rFonts w:hint="eastAsia"/>
          <w:highlight w:val="none"/>
          <w:lang w:val="en-US" w:eastAsia="zh-CN"/>
        </w:rPr>
        <w:t xml:space="preserve">                                </w:t>
      </w:r>
      <w:r>
        <w:rPr>
          <w:rFonts w:hint="eastAsia"/>
          <w:highlight w:val="none"/>
        </w:rPr>
        <w:t xml:space="preserve">供应商全称（加盖CA电子公章）：</w:t>
      </w:r>
      <w:r/>
    </w:p>
    <w:p>
      <w:pPr>
        <w:pStyle w:val="656"/>
        <w:jc w:val="center"/>
        <w:spacing w:beforeAutospacing="0" w:afterAutospacing="0"/>
        <w:rPr>
          <w:highlight w:val="none"/>
        </w:rPr>
      </w:pPr>
      <w:r>
        <w:rPr>
          <w:rFonts w:hint="eastAsia"/>
          <w:highlight w:val="none"/>
          <w:lang w:val="en-US" w:eastAsia="zh-CN"/>
        </w:rPr>
        <w:t xml:space="preserve">                                                        </w:t>
      </w:r>
      <w:r>
        <w:rPr>
          <w:rFonts w:hint="eastAsia"/>
          <w:highlight w:val="none"/>
        </w:rPr>
        <w:t xml:space="preserve">日  期：</w:t>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656"/>
        <w:jc w:val="center"/>
        <w:spacing w:beforeAutospacing="0" w:afterAutospacing="0"/>
        <w:rPr>
          <w:rFonts w:hint="eastAsia" w:ascii="黑体" w:hAnsi="宋体" w:eastAsia="黑体" w:cs="黑体"/>
          <w:b/>
          <w:i/>
          <w:iCs/>
          <w:color w:val="000000"/>
          <w:sz w:val="32"/>
          <w:szCs w:val="32"/>
          <w:u w:val="single"/>
        </w:rPr>
        <w:outlineLvl w:val="0"/>
      </w:pPr>
      <w:r>
        <w:rPr>
          <w:rFonts w:hint="eastAsia" w:ascii="黑体" w:hAnsi="宋体" w:eastAsia="黑体" w:cs="黑体"/>
          <w:b/>
          <w:i/>
          <w:iCs/>
          <w:color w:val="000000"/>
          <w:sz w:val="32"/>
          <w:szCs w:val="32"/>
          <w:u w:val="single"/>
          <w:lang w:val="en-US" w:eastAsia="zh-CN"/>
        </w:rPr>
        <w:t xml:space="preserve">十二、</w:t>
      </w:r>
      <w:r>
        <w:rPr>
          <w:rFonts w:hint="eastAsia" w:ascii="黑体" w:hAnsi="宋体" w:eastAsia="黑体" w:cs="黑体"/>
          <w:b/>
          <w:i/>
          <w:iCs/>
          <w:color w:val="000000"/>
          <w:sz w:val="32"/>
          <w:szCs w:val="32"/>
          <w:u w:val="single"/>
        </w:rPr>
        <w:t xml:space="preserve">资格性审查响应对照表</w:t>
      </w:r>
      <w:r/>
    </w:p>
    <w:tbl>
      <w:tblPr>
        <w:tblStyle w:val="645"/>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320"/>
        <w:gridCol w:w="1807"/>
        <w:gridCol w:w="1785"/>
      </w:tblGrid>
      <w:tr>
        <w:trPr>
          <w:trHeight w:val="882"/>
        </w:trPr>
        <w:tc>
          <w:tcPr>
            <w:tcW w:w="646" w:type="dxa"/>
            <w:vAlign w:val="center"/>
            <w:textDirection w:val="lrTb"/>
            <w:noWrap w:val="false"/>
          </w:tcPr>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tcW w:w="5320" w:type="dxa"/>
            <w:vAlign w:val="center"/>
            <w:textDirection w:val="lrTb"/>
            <w:noWrap w:val="false"/>
          </w:tcPr>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资格性审查响应内容</w:t>
            </w:r>
            <w:r/>
          </w:p>
        </w:tc>
        <w:tc>
          <w:tcPr>
            <w:tcW w:w="1807" w:type="dxa"/>
            <w:vAlign w:val="center"/>
            <w:textDirection w:val="lrTb"/>
            <w:noWrap w:val="false"/>
          </w:tcPr>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是否响应</w:t>
            </w:r>
            <w:r/>
          </w:p>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（填是或者否）</w:t>
            </w:r>
            <w:r/>
          </w:p>
        </w:tc>
        <w:tc>
          <w:tcPr>
            <w:tcW w:w="1785" w:type="dxa"/>
            <w:vAlign w:val="center"/>
            <w:textDirection w:val="lrTb"/>
            <w:noWrap w:val="false"/>
          </w:tcPr>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cstheme="minorEastAsia"/>
                <w:b/>
                <w:sz w:val="24"/>
                <w:szCs w:val="24"/>
                <w:lang w:val="en-US" w:eastAsia="zh-CN"/>
              </w:rPr>
              <w:t xml:space="preserve">响应文件</w:t>
            </w:r>
            <w:r>
              <w:rPr>
                <w:rFonts w:hint="eastAsia" w:asciiTheme="minorEastAsia" w:hAnsiTheme="minorEastAsia" w:eastAsiaTheme="minorEastAsia" w:cstheme="minorEastAsia"/>
                <w:b/>
                <w:sz w:val="24"/>
                <w:szCs w:val="24"/>
              </w:rPr>
              <w:t xml:space="preserve">中的</w:t>
            </w:r>
            <w:r/>
          </w:p>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页码位置</w:t>
            </w:r>
            <w:r/>
          </w:p>
        </w:tc>
      </w:tr>
      <w:tr>
        <w:trPr>
          <w:trHeight w:val="585"/>
        </w:trPr>
        <w:tc>
          <w:tcPr>
            <w:tcW w:w="646" w:type="dxa"/>
            <w:vAlign w:val="center"/>
            <w:textDirection w:val="lrTb"/>
            <w:noWrap w:val="false"/>
          </w:tcPr>
          <w:p>
            <w:pPr>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tcW w:w="5320" w:type="dxa"/>
            <w:vAlign w:val="center"/>
            <w:textDirection w:val="lrTb"/>
            <w:noWrap w:val="false"/>
          </w:tcPr>
          <w:p>
            <w:pPr>
              <w:jc w:val="left"/>
              <w:rPr>
                <w:rFonts w:hint="eastAsia" w:asciiTheme="minorEastAsia" w:hAnsiTheme="minorEastAsia" w:eastAsiaTheme="minorEastAsia" w:cstheme="minorEastAsia"/>
                <w:b w:val="0"/>
                <w:bCs/>
                <w:iCs/>
                <w:sz w:val="24"/>
                <w:szCs w:val="24"/>
              </w:rPr>
            </w:pPr>
            <w:r>
              <w:rPr>
                <w:rFonts w:hint="eastAsia" w:asciiTheme="minorEastAsia" w:hAnsiTheme="minorEastAsia" w:eastAsiaTheme="minorEastAsia" w:cstheme="minorEastAsia"/>
                <w:b w:val="0"/>
                <w:bCs/>
                <w:i w:val="0"/>
                <w:iCs/>
                <w:color w:val="000000"/>
                <w:sz w:val="24"/>
                <w:szCs w:val="24"/>
                <w:highlight w:val="none"/>
                <w:u w:val="none"/>
              </w:rPr>
              <w:t xml:space="preserve">法人或者其他组织的营业执照等证明文件，自然人的身份证明</w:t>
            </w:r>
            <w:r>
              <w:rPr>
                <w:rFonts w:hint="eastAsia" w:asciiTheme="minorEastAsia" w:hAnsiTheme="minorEastAsia" w:eastAsiaTheme="minorEastAsia" w:cstheme="minorEastAsia"/>
                <w:b w:val="0"/>
                <w:bCs/>
                <w:i w:val="0"/>
                <w:iCs/>
                <w:color w:val="000000"/>
                <w:sz w:val="24"/>
                <w:szCs w:val="24"/>
                <w:highlight w:val="none"/>
                <w:u w:val="none"/>
                <w:lang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tc>
        <w:tc>
          <w:tcPr>
            <w:tcW w:w="1785" w:type="dxa"/>
            <w:vAlign w:val="center"/>
            <w:textDirection w:val="lrTb"/>
            <w:noWrap w:val="false"/>
          </w:tcPr>
          <w:p>
            <w:pP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tc>
      </w:tr>
      <w:tr>
        <w:trPr>
          <w:trHeight w:val="585"/>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lang w:val="en-US" w:eastAsia="zh-CN" w:bidi="ar-SA"/>
              </w:rPr>
              <w:t xml:space="preserve">上一年度的财务状况报表（至少提供资产负债表、利润表、现金流量表，投标人成立不满一年无需提供）</w:t>
            </w:r>
            <w:r>
              <w:rPr>
                <w:rFonts w:hint="eastAsia" w:asciiTheme="minorEastAsia" w:hAnsiTheme="minorEastAsia" w:cstheme="minorEastAsia"/>
                <w:i w:val="0"/>
                <w:iCs/>
                <w:color w:val="000000"/>
                <w:sz w:val="24"/>
                <w:szCs w:val="24"/>
                <w:highlight w:val="none"/>
                <w:u w:val="none"/>
                <w:lang w:val="en-US" w:eastAsia="zh-CN" w:bidi="ar-SA"/>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585"/>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auto"/>
                <w:sz w:val="24"/>
                <w:szCs w:val="24"/>
                <w:highlight w:val="none"/>
                <w:u w:val="none"/>
              </w:rPr>
              <w:t xml:space="preserve">具备履行合同所必需的设备和专业技术能力的书面声明</w:t>
            </w:r>
            <w:r>
              <w:rPr>
                <w:rFonts w:hint="eastAsia" w:asciiTheme="minorEastAsia" w:hAnsiTheme="minorEastAsia" w:cstheme="minorEastAsia"/>
                <w:i w:val="0"/>
                <w:iCs/>
                <w:color w:val="auto"/>
                <w:sz w:val="24"/>
                <w:szCs w:val="24"/>
                <w:highlight w:val="none"/>
                <w:u w:val="none"/>
                <w:lang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22"/>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rPr>
              <w:t xml:space="preserve">依法缴纳税收和社会保障资金的相关材料（</w:t>
            </w:r>
            <w:r>
              <w:rPr>
                <w:rFonts w:hint="eastAsia" w:asciiTheme="minorEastAsia" w:hAnsiTheme="minorEastAsia" w:eastAsiaTheme="minorEastAsia" w:cstheme="minorEastAsia"/>
                <w:i w:val="0"/>
                <w:iCs/>
                <w:color w:val="auto"/>
                <w:sz w:val="24"/>
                <w:szCs w:val="24"/>
                <w:highlight w:val="none"/>
                <w:u w:val="none"/>
              </w:rPr>
              <w:t xml:space="preserve">提供提交磋商响应文件截止时间前一年内至少一个月依法缴纳税收及缴纳社会保障资金的证明材料。磋商供应商依法享受缓缴、免缴税收、社会保障资金的提供证明材料。</w:t>
            </w:r>
            <w:r>
              <w:rPr>
                <w:rFonts w:hint="eastAsia" w:asciiTheme="minorEastAsia" w:hAnsiTheme="minorEastAsia" w:eastAsiaTheme="minorEastAsia" w:cstheme="minorEastAsia"/>
                <w:i w:val="0"/>
                <w:iCs/>
                <w:color w:val="000000"/>
                <w:sz w:val="24"/>
                <w:szCs w:val="24"/>
                <w:highlight w:val="none"/>
                <w:u w:val="none"/>
              </w:rPr>
              <w:t xml:space="preserve">）</w:t>
            </w:r>
            <w:r>
              <w:rPr>
                <w:rFonts w:hint="eastAsia" w:asciiTheme="minorEastAsia" w:hAnsiTheme="minorEastAsia" w:eastAsiaTheme="minorEastAsia" w:cstheme="minorEastAsia"/>
                <w:i w:val="0"/>
                <w:iCs/>
                <w:color w:val="000000"/>
                <w:sz w:val="24"/>
                <w:szCs w:val="24"/>
                <w:highlight w:val="none"/>
                <w:u w:val="none"/>
                <w:lang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22"/>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rPr>
              <w:t xml:space="preserve">参加政府采购活动前 3 年内在经营活动中没有重大违法记录的书面声明</w:t>
            </w:r>
            <w:r>
              <w:rPr>
                <w:rFonts w:hint="eastAsia" w:asciiTheme="minorEastAsia" w:hAnsiTheme="minorEastAsia" w:eastAsiaTheme="minorEastAsia" w:cstheme="minorEastAsia"/>
                <w:i w:val="0"/>
                <w:iCs/>
                <w:color w:val="000000"/>
                <w:sz w:val="24"/>
                <w:szCs w:val="24"/>
                <w:highlight w:val="none"/>
                <w:u w:val="none"/>
                <w:lang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22"/>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cstheme="minorEastAsia"/>
                <w:i w:val="0"/>
                <w:iCs/>
                <w:color w:val="000000"/>
                <w:sz w:val="24"/>
                <w:szCs w:val="24"/>
                <w:highlight w:val="none"/>
                <w:u w:val="none"/>
                <w:lang w:eastAsia="zh-CN"/>
              </w:rPr>
              <w:t xml:space="preserve">供应商</w:t>
            </w:r>
            <w:r>
              <w:rPr>
                <w:rFonts w:hint="eastAsia" w:asciiTheme="minorEastAsia" w:hAnsiTheme="minorEastAsia" w:eastAsiaTheme="minorEastAsia" w:cstheme="minorEastAsia"/>
                <w:i w:val="0"/>
                <w:iCs/>
                <w:color w:val="000000"/>
                <w:sz w:val="24"/>
                <w:szCs w:val="24"/>
                <w:highlight w:val="none"/>
                <w:u w:val="none"/>
              </w:rPr>
              <w:t xml:space="preserve">须具有有效期内的测绘乙级及以上资质（专业范围必须包括测绘航空摄影和工程测量）。</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684"/>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W w:w="5320" w:type="dxa"/>
            <w:vAlign w:val="center"/>
            <w:textDirection w:val="lrTb"/>
            <w:noWrap w:val="false"/>
          </w:tcPr>
          <w:p>
            <w:pPr>
              <w:jc w:val="left"/>
              <w:rPr>
                <w:rFonts w:hint="default" w:asciiTheme="minorEastAsia" w:hAnsiTheme="minorEastAsia" w:eastAsiaTheme="minorEastAsia" w:cstheme="minorEastAsia"/>
                <w:iCs/>
                <w:sz w:val="24"/>
                <w:szCs w:val="24"/>
                <w:lang w:val="en-US" w:eastAsia="zh-CN"/>
              </w:rPr>
            </w:pPr>
            <w:r>
              <w:rPr>
                <w:rFonts w:hint="eastAsia" w:asciiTheme="minorEastAsia" w:hAnsiTheme="minorEastAsia" w:cstheme="minorEastAsia"/>
                <w:iCs/>
                <w:sz w:val="24"/>
                <w:szCs w:val="24"/>
                <w:lang w:val="en-US" w:eastAsia="zh-CN"/>
              </w:rPr>
              <w:t xml:space="preserve">中小企业声明函</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684"/>
        </w:trPr>
        <w:tc>
          <w:tcPr>
            <w:tcW w:w="646"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8</w:t>
            </w:r>
            <w:r/>
          </w:p>
        </w:tc>
        <w:tc>
          <w:tcPr>
            <w:tcW w:w="5320" w:type="dxa"/>
            <w:vAlign w:val="center"/>
            <w:textDirection w:val="lrTb"/>
            <w:noWrap w:val="false"/>
          </w:tcPr>
          <w:p>
            <w:pPr>
              <w:jc w:val="left"/>
              <w:rPr>
                <w:rFonts w:hint="default" w:asciiTheme="minorEastAsia" w:hAnsiTheme="minorEastAsia" w:cstheme="minorEastAsia"/>
                <w:iCs/>
                <w:sz w:val="24"/>
                <w:szCs w:val="24"/>
                <w:lang w:val="en-US" w:eastAsia="zh-CN"/>
              </w:rPr>
            </w:pPr>
            <w:r>
              <w:rPr>
                <w:rFonts w:hint="eastAsia" w:asciiTheme="minorEastAsia" w:hAnsiTheme="minorEastAsia" w:cstheme="minorEastAsia"/>
                <w:iCs/>
                <w:sz w:val="24"/>
                <w:szCs w:val="24"/>
                <w:lang w:val="en-US"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ind w:firstLine="210"/>
        <w:rPr>
          <w:rFonts w:cs="宋体"/>
          <w:szCs w:val="28"/>
          <w:lang w:val="zh-CN"/>
        </w:rPr>
      </w:pPr>
      <w:r>
        <w:rPr>
          <w:rFonts w:cs="宋体"/>
          <w:szCs w:val="28"/>
          <w:lang w:val="zh-CN"/>
        </w:rPr>
      </w:r>
      <w:r/>
    </w:p>
    <w:p>
      <w:pPr>
        <w:rPr>
          <w:rFonts w:hAnsi="宋体" w:eastAsia="宋体" w:cs="宋体"/>
          <w:iCs/>
          <w:sz w:val="24"/>
          <w:szCs w:val="24"/>
          <w:lang w:val="zh-CN"/>
        </w:rPr>
      </w:pPr>
      <w:r>
        <w:rPr>
          <w:rFonts w:hint="eastAsia" w:hAnsi="宋体" w:eastAsia="宋体" w:cs="宋体"/>
          <w:iCs/>
          <w:sz w:val="24"/>
          <w:szCs w:val="24"/>
          <w:lang w:val="zh-CN"/>
        </w:rPr>
        <w:t xml:space="preserve">注：本表须明确填写并按</w:t>
      </w:r>
      <w:r>
        <w:rPr>
          <w:rFonts w:hint="eastAsia" w:hAnsi="宋体" w:eastAsia="宋体" w:cs="宋体"/>
          <w:iCs/>
          <w:sz w:val="24"/>
          <w:szCs w:val="24"/>
          <w:lang w:val="en-US" w:eastAsia="zh-CN"/>
        </w:rPr>
        <w:t xml:space="preserve">磋商</w:t>
      </w:r>
      <w:r>
        <w:rPr>
          <w:rFonts w:hint="eastAsia" w:hAnsi="宋体" w:eastAsia="宋体" w:cs="宋体"/>
          <w:iCs/>
          <w:sz w:val="24"/>
          <w:szCs w:val="24"/>
          <w:lang w:val="zh-CN"/>
        </w:rPr>
        <w:t xml:space="preserve">文件要求提供材料，否则资格性检查无法通过。</w:t>
      </w:r>
      <w:r/>
    </w:p>
    <w:p>
      <w:pPr>
        <w:ind w:firstLine="3780"/>
        <w:spacing w:line="560" w:lineRule="exact"/>
        <w:rPr>
          <w:rFonts w:hAnsi="宋体"/>
          <w:bCs/>
          <w:szCs w:val="28"/>
        </w:rPr>
      </w:pPr>
      <w:r>
        <w:rPr>
          <w:rFonts w:hAnsi="宋体"/>
          <w:bCs/>
          <w:szCs w:val="28"/>
        </w:rPr>
      </w:r>
      <w:r/>
    </w:p>
    <w:p>
      <w:pPr>
        <w:pStyle w:val="656"/>
        <w:ind w:right="1560" w:firstLine="624"/>
        <w:jc w:val="right"/>
        <w:spacing w:line="0" w:lineRule="atLeast"/>
        <w:tabs>
          <w:tab w:val="left" w:pos="4864" w:leader="none"/>
        </w:tabs>
        <w:rPr>
          <w:rFonts w:ascii="宋体" w:hAnsi="宋体" w:eastAsia="宋体" w:cs="宋体"/>
          <w:color w:val="000000"/>
        </w:rPr>
      </w:pPr>
      <w:r>
        <w:rPr>
          <w:rFonts w:ascii="宋体" w:hAnsi="宋体" w:eastAsia="宋体" w:cs="宋体"/>
          <w:color w:val="000000"/>
        </w:rPr>
      </w:r>
      <w:r/>
    </w:p>
    <w:p>
      <w:pPr>
        <w:pStyle w:val="656"/>
        <w:ind w:right="1560" w:firstLine="624"/>
        <w:jc w:val="right"/>
        <w:spacing w:line="0" w:lineRule="atLeast"/>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供应商</w:t>
      </w:r>
      <w:r>
        <w:rPr>
          <w:rFonts w:hint="eastAsia" w:ascii="宋体" w:hAnsi="宋体" w:eastAsia="宋体" w:cs="宋体"/>
          <w:color w:val="000000"/>
        </w:rPr>
        <w:t xml:space="preserve">全称（加盖CA电子公章）：</w:t>
      </w:r>
      <w:r/>
    </w:p>
    <w:p>
      <w:pPr>
        <w:pStyle w:val="656"/>
        <w:ind w:right="1560"/>
        <w:spacing w:line="0" w:lineRule="atLeast"/>
        <w:tabs>
          <w:tab w:val="left" w:pos="4864" w:leader="none"/>
        </w:tabs>
        <w:rPr>
          <w:rFonts w:ascii="宋体" w:hAnsi="宋体" w:eastAsia="宋体" w:cs="宋体"/>
          <w:color w:val="000000"/>
        </w:rPr>
      </w:pPr>
      <w:r>
        <w:rPr>
          <w:rFonts w:ascii="宋体" w:hAnsi="宋体" w:eastAsia="宋体" w:cs="宋体"/>
          <w:color w:val="000000"/>
        </w:rPr>
      </w:r>
      <w:r/>
    </w:p>
    <w:p>
      <w:pPr>
        <w:pStyle w:val="656"/>
        <w:ind w:right="1560" w:firstLine="480"/>
        <w:jc w:val="right"/>
        <w:spacing w:line="0" w:lineRule="atLeast"/>
        <w:tabs>
          <w:tab w:val="left" w:pos="4864" w:leader="none"/>
        </w:tabs>
        <w:rPr>
          <w:rFonts w:ascii="宋体" w:hAnsi="宋体" w:eastAsia="宋体" w:cs="宋体"/>
          <w:color w:val="000000"/>
          <w:sz w:val="30"/>
          <w:szCs w:val="30"/>
        </w:rPr>
      </w:pPr>
      <w:r>
        <w:rPr>
          <w:rFonts w:hint="eastAsia" w:ascii="宋体" w:hAnsi="宋体" w:eastAsia="宋体" w:cs="宋体"/>
          <w:color w:val="000000"/>
        </w:rPr>
        <w:t xml:space="preserve">        日  期：</w:t>
      </w:r>
      <w:r/>
    </w:p>
    <w:p>
      <w:pPr>
        <w:pStyle w:val="65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43"/>
        <w:numPr>
          <w:ilvl w:val="1"/>
          <w:numId w:val="0"/>
        </w:numPr>
        <w:ind w:left="0" w:firstLine="0"/>
        <w:jc w:val="center"/>
        <w:tabs>
          <w:tab w:val="left" w:pos="851" w:leader="none"/>
        </w:tabs>
        <w:outlineLvl w:val="0"/>
      </w:pPr>
      <w:r>
        <w:rPr>
          <w:color w:val="auto"/>
          <w:highlight w:val="none"/>
        </w:rPr>
        <w:t xml:space="preserve"> </w:t>
      </w:r>
      <w:r>
        <w:rPr>
          <w:rFonts w:hint="eastAsia" w:ascii="黑体" w:hAnsi="宋体" w:eastAsia="黑体" w:cs="黑体"/>
          <w:b/>
          <w:i/>
          <w:iCs/>
          <w:color w:val="000000"/>
          <w:sz w:val="32"/>
          <w:szCs w:val="32"/>
          <w:highlight w:val="none"/>
        </w:rPr>
        <w:t xml:space="preserve">十</w:t>
      </w:r>
      <w:r>
        <w:rPr>
          <w:rFonts w:hint="eastAsia" w:ascii="黑体" w:eastAsia="黑体" w:cs="黑体"/>
          <w:b/>
          <w:i/>
          <w:iCs/>
          <w:color w:val="000000"/>
          <w:sz w:val="32"/>
          <w:szCs w:val="32"/>
          <w:highlight w:val="none"/>
          <w:lang w:eastAsia="zh-CN"/>
        </w:rPr>
        <w:t xml:space="preserve">三</w:t>
      </w:r>
      <w:r>
        <w:rPr>
          <w:rFonts w:hint="eastAsia" w:ascii="黑体" w:hAnsi="宋体" w:eastAsia="黑体" w:cs="黑体"/>
          <w:b/>
          <w:i/>
          <w:iCs/>
          <w:color w:val="000000"/>
          <w:sz w:val="32"/>
          <w:szCs w:val="32"/>
          <w:highlight w:val="none"/>
        </w:rPr>
        <w:t xml:space="preserve">、</w:t>
      </w:r>
      <w:r>
        <w:rPr>
          <w:rFonts w:hint="eastAsia" w:ascii="黑体" w:hAnsi="宋体" w:eastAsia="黑体" w:cs="黑体"/>
          <w:b/>
          <w:i/>
          <w:iCs/>
          <w:color w:val="000000"/>
          <w:sz w:val="32"/>
          <w:szCs w:val="32"/>
          <w:u w:val="single"/>
          <w:lang w:val="en-US" w:eastAsia="zh-CN" w:bidi="ar-SA"/>
        </w:rPr>
        <w:t xml:space="preserve">符合性检查响应对照表</w:t>
      </w:r>
      <w:r/>
    </w:p>
    <w:tbl>
      <w:tblPr>
        <w:tblStyle w:val="645"/>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4650"/>
        <w:gridCol w:w="2085"/>
        <w:gridCol w:w="2021"/>
      </w:tblGrid>
      <w:tr>
        <w:trPr>
          <w:trHeight w:val="882"/>
        </w:trPr>
        <w:tc>
          <w:tcPr>
            <w:tcW w:w="802" w:type="dxa"/>
            <w:vAlign w:val="center"/>
            <w:textDirection w:val="lrTb"/>
            <w:noWrap w:val="false"/>
          </w:tcPr>
          <w:p>
            <w:pPr>
              <w:jc w:val="center"/>
              <w:spacing w:line="240" w:lineRule="atLeast"/>
              <w:rPr>
                <w:rFonts w:hAnsi="宋体" w:eastAsia="宋体" w:cs="宋体"/>
                <w:b/>
                <w:sz w:val="24"/>
                <w:szCs w:val="24"/>
              </w:rPr>
            </w:pPr>
            <w:r>
              <w:rPr>
                <w:rFonts w:hint="eastAsia" w:hAnsi="宋体" w:eastAsia="宋体" w:cs="宋体"/>
                <w:b/>
                <w:sz w:val="24"/>
                <w:szCs w:val="24"/>
              </w:rPr>
              <w:t xml:space="preserve">序号</w:t>
            </w:r>
            <w:r/>
          </w:p>
        </w:tc>
        <w:tc>
          <w:tcPr>
            <w:tcW w:w="4650" w:type="dxa"/>
            <w:vAlign w:val="center"/>
            <w:textDirection w:val="lrTb"/>
            <w:noWrap w:val="false"/>
          </w:tcPr>
          <w:p>
            <w:pPr>
              <w:jc w:val="center"/>
              <w:spacing w:line="240" w:lineRule="atLeast"/>
              <w:rPr>
                <w:rFonts w:hAnsi="宋体" w:eastAsia="宋体" w:cs="宋体"/>
                <w:b/>
                <w:sz w:val="24"/>
                <w:szCs w:val="24"/>
              </w:rPr>
            </w:pPr>
            <w:r>
              <w:rPr>
                <w:rFonts w:hint="eastAsia" w:hAnsi="宋体" w:eastAsia="宋体" w:cs="宋体"/>
                <w:b/>
                <w:sz w:val="24"/>
                <w:szCs w:val="24"/>
              </w:rPr>
              <w:t xml:space="preserve">符合性检查响应内容</w:t>
            </w:r>
            <w:r/>
          </w:p>
        </w:tc>
        <w:tc>
          <w:tcPr>
            <w:tcW w:w="2085" w:type="dxa"/>
            <w:vAlign w:val="center"/>
            <w:textDirection w:val="lrTb"/>
            <w:noWrap w:val="false"/>
          </w:tcPr>
          <w:p>
            <w:pPr>
              <w:jc w:val="center"/>
              <w:spacing w:line="240" w:lineRule="atLeast"/>
              <w:rPr>
                <w:rFonts w:hAnsi="宋体" w:eastAsia="宋体" w:cs="宋体"/>
                <w:b/>
                <w:sz w:val="24"/>
                <w:szCs w:val="24"/>
              </w:rPr>
            </w:pPr>
            <w:r>
              <w:rPr>
                <w:rFonts w:hint="eastAsia" w:hAnsi="宋体" w:eastAsia="宋体" w:cs="宋体"/>
                <w:b/>
                <w:sz w:val="24"/>
                <w:szCs w:val="24"/>
              </w:rPr>
              <w:t xml:space="preserve">是否响应</w:t>
            </w:r>
            <w:r/>
          </w:p>
          <w:p>
            <w:pPr>
              <w:jc w:val="center"/>
              <w:spacing w:line="240" w:lineRule="atLeast"/>
              <w:rPr>
                <w:rFonts w:hAnsi="宋体" w:eastAsia="宋体" w:cs="宋体"/>
                <w:b/>
                <w:sz w:val="24"/>
                <w:szCs w:val="24"/>
              </w:rPr>
            </w:pPr>
            <w:r>
              <w:rPr>
                <w:rFonts w:hint="eastAsia" w:hAnsi="宋体" w:eastAsia="宋体" w:cs="宋体"/>
                <w:b/>
                <w:sz w:val="24"/>
                <w:szCs w:val="24"/>
              </w:rPr>
              <w:t xml:space="preserve">（填是或者否）</w:t>
            </w:r>
            <w:r/>
          </w:p>
        </w:tc>
        <w:tc>
          <w:tcPr>
            <w:tcW w:w="2021" w:type="dxa"/>
            <w:vAlign w:val="center"/>
            <w:textDirection w:val="lrTb"/>
            <w:noWrap w:val="false"/>
          </w:tcPr>
          <w:p>
            <w:pPr>
              <w:jc w:val="center"/>
              <w:spacing w:line="240" w:lineRule="atLeast"/>
              <w:rPr>
                <w:rFonts w:hAnsi="宋体" w:eastAsia="宋体" w:cs="宋体"/>
                <w:b/>
                <w:sz w:val="24"/>
                <w:szCs w:val="24"/>
              </w:rPr>
            </w:pPr>
            <w:r>
              <w:rPr>
                <w:rFonts w:hint="eastAsia" w:hAnsi="宋体" w:cs="宋体"/>
                <w:b/>
                <w:sz w:val="24"/>
                <w:szCs w:val="24"/>
                <w:lang w:val="en-US" w:eastAsia="zh-CN"/>
              </w:rPr>
              <w:t xml:space="preserve">响应文件</w:t>
            </w:r>
            <w:r>
              <w:rPr>
                <w:rFonts w:hint="eastAsia" w:hAnsi="宋体" w:eastAsia="宋体" w:cs="宋体"/>
                <w:b/>
                <w:sz w:val="24"/>
                <w:szCs w:val="24"/>
              </w:rPr>
              <w:t xml:space="preserve">中的</w:t>
            </w:r>
            <w:r/>
          </w:p>
          <w:p>
            <w:pPr>
              <w:jc w:val="center"/>
              <w:spacing w:line="240" w:lineRule="atLeast"/>
              <w:rPr>
                <w:rFonts w:hAnsi="宋体" w:eastAsia="宋体" w:cs="宋体"/>
                <w:b/>
                <w:sz w:val="24"/>
                <w:szCs w:val="24"/>
              </w:rPr>
            </w:pPr>
            <w:r>
              <w:rPr>
                <w:rFonts w:hint="eastAsia" w:hAnsi="宋体" w:eastAsia="宋体" w:cs="宋体"/>
                <w:b/>
                <w:sz w:val="24"/>
                <w:szCs w:val="24"/>
              </w:rPr>
              <w:t xml:space="preserve">页码位置</w:t>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1</w:t>
            </w:r>
            <w:r/>
          </w:p>
        </w:tc>
        <w:tc>
          <w:tcPr>
            <w:tcW w:w="4650" w:type="dxa"/>
            <w:vAlign w:val="center"/>
            <w:textDirection w:val="lrTb"/>
            <w:noWrap w:val="false"/>
          </w:tcPr>
          <w:p>
            <w:pPr>
              <w:jc w:val="left"/>
              <w:spacing w:line="240" w:lineRule="auto"/>
              <w:rPr>
                <w:rFonts w:hint="eastAsia" w:hAnsi="宋体" w:eastAsia="宋体" w:cs="宋体"/>
                <w:iCs/>
                <w:sz w:val="24"/>
                <w:szCs w:val="24"/>
              </w:rPr>
            </w:pPr>
            <w:r>
              <w:rPr>
                <w:rFonts w:hint="eastAsia" w:hAnsi="宋体" w:eastAsia="宋体" w:cs="宋体"/>
                <w:iCs/>
                <w:sz w:val="24"/>
                <w:szCs w:val="24"/>
              </w:rPr>
              <w:t xml:space="preserve">最高限价 </w:t>
            </w:r>
            <w:r/>
          </w:p>
        </w:tc>
        <w:tc>
          <w:tcPr>
            <w:tcW w:w="2085" w:type="dxa"/>
            <w:vAlign w:val="center"/>
            <w:textDirection w:val="lrTb"/>
            <w:noWrap w:val="false"/>
          </w:tcPr>
          <w:p>
            <w:pPr>
              <w:rPr>
                <w:rFonts w:hAnsi="宋体" w:eastAsia="宋体" w:cs="宋体"/>
                <w:b/>
                <w:sz w:val="24"/>
                <w:szCs w:val="24"/>
              </w:rPr>
            </w:pPr>
            <w:r>
              <w:rPr>
                <w:rFonts w:hAnsi="宋体" w:eastAsia="宋体" w:cs="宋体"/>
                <w:b/>
                <w:sz w:val="24"/>
                <w:szCs w:val="24"/>
              </w:rPr>
            </w:r>
            <w:r/>
          </w:p>
        </w:tc>
        <w:tc>
          <w:tcPr>
            <w:tcW w:w="2021" w:type="dxa"/>
            <w:vAlign w:val="center"/>
            <w:textDirection w:val="lrTb"/>
            <w:noWrap w:val="false"/>
          </w:tcPr>
          <w:p>
            <w:pPr>
              <w:rPr>
                <w:rFonts w:hAnsi="宋体" w:eastAsia="宋体" w:cs="宋体"/>
                <w:b/>
                <w:sz w:val="24"/>
                <w:szCs w:val="24"/>
              </w:rPr>
            </w:pPr>
            <w:r>
              <w:rPr>
                <w:rFonts w:hAnsi="宋体" w:eastAsia="宋体" w:cs="宋体"/>
                <w:b/>
                <w:sz w:val="24"/>
                <w:szCs w:val="24"/>
              </w:rPr>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2</w:t>
            </w:r>
            <w:r/>
          </w:p>
        </w:tc>
        <w:tc>
          <w:tcPr>
            <w:tcW w:w="4650" w:type="dxa"/>
            <w:vAlign w:val="center"/>
            <w:textDirection w:val="lrTb"/>
            <w:noWrap w:val="false"/>
          </w:tcPr>
          <w:p>
            <w:pPr>
              <w:jc w:val="left"/>
              <w:spacing w:line="240" w:lineRule="auto"/>
              <w:rPr>
                <w:rFonts w:hAnsi="宋体" w:eastAsia="宋体" w:cs="宋体"/>
                <w:iCs/>
                <w:sz w:val="24"/>
                <w:szCs w:val="24"/>
              </w:rPr>
            </w:pPr>
            <w:r>
              <w:rPr>
                <w:rFonts w:hint="eastAsia" w:hAnsi="宋体" w:eastAsia="宋体" w:cs="宋体"/>
                <w:iCs/>
                <w:sz w:val="24"/>
                <w:szCs w:val="24"/>
              </w:rPr>
              <w:t xml:space="preserve">合同履行期限</w:t>
            </w:r>
            <w:r/>
          </w:p>
        </w:tc>
        <w:tc>
          <w:tcPr>
            <w:tcW w:w="2085" w:type="dxa"/>
            <w:vAlign w:val="center"/>
            <w:textDirection w:val="lrTb"/>
            <w:noWrap w:val="false"/>
          </w:tcPr>
          <w:p>
            <w:pPr>
              <w:rPr>
                <w:rFonts w:hAnsi="宋体" w:eastAsia="宋体" w:cs="宋体"/>
                <w:b/>
                <w:sz w:val="24"/>
                <w:szCs w:val="24"/>
              </w:rPr>
            </w:pPr>
            <w:r>
              <w:rPr>
                <w:rFonts w:hAnsi="宋体" w:eastAsia="宋体" w:cs="宋体"/>
                <w:b/>
                <w:sz w:val="24"/>
                <w:szCs w:val="24"/>
              </w:rPr>
            </w:r>
            <w:r/>
          </w:p>
        </w:tc>
        <w:tc>
          <w:tcPr>
            <w:tcW w:w="2021" w:type="dxa"/>
            <w:vAlign w:val="center"/>
            <w:textDirection w:val="lrTb"/>
            <w:noWrap w:val="false"/>
          </w:tcPr>
          <w:p>
            <w:pPr>
              <w:rPr>
                <w:rFonts w:hAnsi="宋体" w:eastAsia="宋体" w:cs="宋体"/>
                <w:b/>
                <w:sz w:val="24"/>
                <w:szCs w:val="24"/>
              </w:rPr>
            </w:pPr>
            <w:r>
              <w:rPr>
                <w:rFonts w:hAnsi="宋体" w:eastAsia="宋体" w:cs="宋体"/>
                <w:b/>
                <w:sz w:val="24"/>
                <w:szCs w:val="24"/>
              </w:rPr>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3</w:t>
            </w:r>
            <w:r/>
          </w:p>
        </w:tc>
        <w:tc>
          <w:tcPr>
            <w:tcW w:w="4650" w:type="dxa"/>
            <w:vAlign w:val="center"/>
            <w:textDirection w:val="lrTb"/>
            <w:noWrap w:val="false"/>
          </w:tcPr>
          <w:p>
            <w:pPr>
              <w:jc w:val="left"/>
              <w:spacing w:line="240" w:lineRule="auto"/>
              <w:rPr>
                <w:rFonts w:hAnsi="宋体" w:eastAsia="宋体" w:cs="宋体"/>
                <w:iCs/>
                <w:sz w:val="24"/>
                <w:szCs w:val="24"/>
              </w:rPr>
            </w:pPr>
            <w:r>
              <w:rPr>
                <w:rFonts w:hint="eastAsia" w:hAnsi="宋体" w:eastAsia="宋体" w:cs="宋体"/>
                <w:iCs/>
                <w:sz w:val="24"/>
                <w:szCs w:val="24"/>
              </w:rPr>
              <w:t xml:space="preserve">付款方式</w:t>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4</w:t>
            </w:r>
            <w:r/>
          </w:p>
        </w:tc>
        <w:tc>
          <w:tcPr>
            <w:tcW w:w="4650" w:type="dxa"/>
            <w:vAlign w:val="center"/>
            <w:textDirection w:val="lrTb"/>
            <w:noWrap w:val="false"/>
          </w:tcPr>
          <w:p>
            <w:pPr>
              <w:jc w:val="left"/>
              <w:spacing w:line="240" w:lineRule="auto"/>
              <w:rPr>
                <w:rFonts w:hAnsi="宋体" w:eastAsia="宋体" w:cs="宋体"/>
                <w:iCs/>
                <w:sz w:val="24"/>
                <w:szCs w:val="24"/>
              </w:rPr>
            </w:pPr>
            <w:r>
              <w:rPr>
                <w:rFonts w:hint="eastAsia" w:hAnsi="宋体" w:eastAsia="宋体" w:cs="宋体"/>
                <w:iCs/>
                <w:sz w:val="24"/>
                <w:szCs w:val="24"/>
                <w:lang w:val="en-US" w:eastAsia="zh-CN"/>
              </w:rPr>
              <w:t xml:space="preserve">实质性响应内容（附件1）</w:t>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r>
        <w:trPr>
          <w:trHeight w:val="592"/>
        </w:trPr>
        <w:tc>
          <w:tcPr>
            <w:tcW w:w="802" w:type="dxa"/>
            <w:vAlign w:val="center"/>
            <w:textDirection w:val="lrTb"/>
            <w:noWrap w:val="false"/>
          </w:tcPr>
          <w:p>
            <w:pPr>
              <w:jc w:val="center"/>
              <w:rPr>
                <w:rFonts w:hint="eastAsia" w:hAnsi="宋体" w:eastAsia="宋体" w:cs="宋体"/>
                <w:sz w:val="24"/>
                <w:szCs w:val="24"/>
                <w:lang w:val="en-US" w:eastAsia="zh-CN"/>
              </w:rPr>
            </w:pPr>
            <w:r>
              <w:rPr>
                <w:rFonts w:hint="eastAsia" w:hAnsi="宋体" w:eastAsia="宋体" w:cs="宋体"/>
                <w:sz w:val="24"/>
                <w:szCs w:val="24"/>
                <w:lang w:val="en-US" w:eastAsia="zh-CN"/>
              </w:rPr>
              <w:t xml:space="preserve">5</w:t>
            </w:r>
            <w:r/>
          </w:p>
        </w:tc>
        <w:tc>
          <w:tcPr>
            <w:tcW w:w="4650" w:type="dxa"/>
            <w:vAlign w:val="center"/>
            <w:textDirection w:val="lrTb"/>
            <w:noWrap w:val="false"/>
          </w:tcPr>
          <w:p>
            <w:pPr>
              <w:spacing w:line="590" w:lineRule="atLeast"/>
              <w:rPr>
                <w:rFonts w:hAnsi="宋体" w:eastAsia="宋体" w:cs="宋体"/>
                <w:iCs/>
                <w:sz w:val="24"/>
                <w:szCs w:val="24"/>
              </w:rPr>
            </w:pPr>
            <w:r>
              <w:rPr>
                <w:rFonts w:hAnsi="宋体" w:eastAsia="宋体" w:cs="宋体"/>
                <w:iCs/>
                <w:sz w:val="24"/>
                <w:szCs w:val="24"/>
              </w:rPr>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r>
        <w:trPr>
          <w:trHeight w:val="592"/>
        </w:trPr>
        <w:tc>
          <w:tcPr>
            <w:tcW w:w="802" w:type="dxa"/>
            <w:vAlign w:val="center"/>
            <w:textDirection w:val="lrTb"/>
            <w:noWrap w:val="false"/>
          </w:tcPr>
          <w:p>
            <w:pPr>
              <w:jc w:val="center"/>
              <w:rPr>
                <w:rFonts w:hint="eastAsia" w:hAnsi="宋体" w:eastAsia="宋体" w:cs="宋体"/>
                <w:sz w:val="24"/>
                <w:szCs w:val="24"/>
                <w:lang w:val="en-US" w:eastAsia="zh-CN"/>
              </w:rPr>
            </w:pPr>
            <w:r>
              <w:rPr>
                <w:rFonts w:hint="eastAsia" w:hAnsi="宋体" w:eastAsia="宋体" w:cs="宋体"/>
                <w:sz w:val="24"/>
                <w:szCs w:val="24"/>
                <w:lang w:val="en-US" w:eastAsia="zh-CN"/>
              </w:rPr>
              <w:t xml:space="preserve">6</w:t>
            </w:r>
            <w:r/>
          </w:p>
        </w:tc>
        <w:tc>
          <w:tcPr>
            <w:tcW w:w="4650" w:type="dxa"/>
            <w:vAlign w:val="center"/>
            <w:textDirection w:val="lrTb"/>
            <w:noWrap w:val="false"/>
          </w:tcPr>
          <w:p>
            <w:pPr>
              <w:spacing w:line="590" w:lineRule="atLeast"/>
              <w:rPr>
                <w:rFonts w:hAnsi="宋体" w:eastAsia="宋体" w:cs="宋体"/>
                <w:iCs/>
                <w:sz w:val="24"/>
                <w:szCs w:val="24"/>
              </w:rPr>
            </w:pPr>
            <w:r>
              <w:rPr>
                <w:rFonts w:hAnsi="宋体" w:eastAsia="宋体" w:cs="宋体"/>
                <w:iCs/>
                <w:sz w:val="24"/>
                <w:szCs w:val="24"/>
              </w:rPr>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bl>
    <w:p>
      <w:pPr>
        <w:ind w:firstLine="210"/>
        <w:rPr>
          <w:rFonts w:hAnsi="宋体" w:eastAsia="宋体" w:cs="宋体"/>
          <w:sz w:val="24"/>
          <w:szCs w:val="24"/>
          <w:lang w:val="zh-CN"/>
        </w:rPr>
      </w:pPr>
      <w:r>
        <w:rPr>
          <w:rFonts w:hAnsi="宋体" w:eastAsia="宋体" w:cs="宋体"/>
          <w:sz w:val="24"/>
          <w:szCs w:val="24"/>
          <w:lang w:val="zh-CN"/>
        </w:rPr>
      </w:r>
      <w:r/>
    </w:p>
    <w:p>
      <w:pPr>
        <w:ind w:firstLine="210"/>
        <w:rPr>
          <w:rFonts w:hAnsi="宋体" w:eastAsia="宋体" w:cs="宋体"/>
          <w:color w:val="000000"/>
          <w:sz w:val="24"/>
          <w:szCs w:val="22"/>
          <w:lang w:val="zh-CN"/>
        </w:rPr>
      </w:pPr>
      <w:r>
        <w:rPr>
          <w:rFonts w:hint="eastAsia" w:hAnsi="宋体" w:eastAsia="宋体" w:cs="宋体"/>
          <w:color w:val="000000"/>
          <w:sz w:val="24"/>
          <w:szCs w:val="22"/>
          <w:lang w:val="zh-CN"/>
        </w:rPr>
        <w:t xml:space="preserve">注：本表须明确填写并按</w:t>
      </w:r>
      <w:r>
        <w:rPr>
          <w:rFonts w:hint="eastAsia" w:hAnsi="宋体" w:eastAsia="宋体" w:cs="宋体"/>
          <w:color w:val="000000"/>
          <w:sz w:val="24"/>
          <w:szCs w:val="22"/>
          <w:lang w:val="en-US" w:eastAsia="zh-CN"/>
        </w:rPr>
        <w:t xml:space="preserve">磋商</w:t>
      </w:r>
      <w:r>
        <w:rPr>
          <w:rFonts w:hint="eastAsia" w:hAnsi="宋体" w:eastAsia="宋体" w:cs="宋体"/>
          <w:color w:val="000000"/>
          <w:sz w:val="24"/>
          <w:szCs w:val="22"/>
          <w:lang w:val="zh-CN"/>
        </w:rPr>
        <w:t xml:space="preserve">文件要求提供材料，否则符合性检查无法通过。</w:t>
      </w:r>
      <w:r/>
    </w:p>
    <w:p>
      <w:pPr>
        <w:ind w:firstLine="210"/>
        <w:rPr>
          <w:rFonts w:hAnsi="宋体" w:eastAsia="宋体" w:cs="宋体"/>
          <w:color w:val="000000"/>
          <w:sz w:val="24"/>
          <w:szCs w:val="22"/>
          <w:lang w:val="zh-CN"/>
        </w:rPr>
      </w:pPr>
      <w:r>
        <w:rPr>
          <w:rFonts w:hAnsi="宋体" w:eastAsia="宋体" w:cs="宋体"/>
          <w:color w:val="000000"/>
          <w:sz w:val="24"/>
          <w:szCs w:val="22"/>
          <w:lang w:val="zh-CN"/>
        </w:rPr>
      </w:r>
      <w:r/>
    </w:p>
    <w:p>
      <w:pPr>
        <w:ind w:firstLine="210"/>
        <w:rPr>
          <w:rFonts w:cs="宋体"/>
          <w:szCs w:val="28"/>
          <w:lang w:val="zh-CN"/>
        </w:rPr>
      </w:pPr>
      <w:r>
        <w:rPr>
          <w:rFonts w:cs="宋体"/>
          <w:szCs w:val="28"/>
          <w:lang w:val="zh-CN"/>
        </w:rPr>
      </w:r>
      <w:r/>
    </w:p>
    <w:p>
      <w:pPr>
        <w:pStyle w:val="656"/>
        <w:ind w:right="1560" w:firstLine="624"/>
        <w:jc w:val="right"/>
        <w:spacing w:line="0" w:lineRule="atLeast"/>
        <w:tabs>
          <w:tab w:val="left" w:pos="4864" w:leader="none"/>
        </w:tabs>
        <w:rPr>
          <w:rFonts w:ascii="宋体" w:hAnsi="宋体" w:eastAsia="宋体" w:cs="宋体"/>
          <w:color w:val="000000"/>
        </w:rPr>
      </w:pPr>
      <w:r>
        <w:rPr>
          <w:rFonts w:hint="eastAsia" w:ascii="宋体" w:hAnsi="宋体" w:eastAsia="宋体" w:cs="宋体"/>
          <w:color w:val="000000"/>
        </w:rPr>
        <w:t xml:space="preserve">             </w:t>
      </w:r>
      <w:r/>
    </w:p>
    <w:p>
      <w:pPr>
        <w:pStyle w:val="656"/>
        <w:ind w:right="1560" w:firstLine="624"/>
        <w:jc w:val="right"/>
        <w:spacing w:line="0" w:lineRule="atLeast"/>
        <w:tabs>
          <w:tab w:val="left" w:pos="4864" w:leader="none"/>
        </w:tabs>
        <w:rPr>
          <w:rFonts w:ascii="宋体" w:hAnsi="宋体" w:eastAsia="宋体" w:cs="宋体"/>
          <w:color w:val="000000"/>
        </w:rPr>
      </w:pPr>
      <w:r>
        <w:rPr>
          <w:rFonts w:ascii="宋体" w:hAnsi="宋体" w:eastAsia="宋体" w:cs="宋体"/>
          <w:color w:val="000000"/>
        </w:rPr>
      </w:r>
      <w:r/>
    </w:p>
    <w:p>
      <w:pPr>
        <w:pStyle w:val="656"/>
        <w:ind w:right="1560" w:firstLine="624"/>
        <w:jc w:val="right"/>
        <w:spacing w:line="0" w:lineRule="atLeast"/>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供应商</w:t>
      </w:r>
      <w:r>
        <w:rPr>
          <w:rFonts w:hint="eastAsia" w:ascii="宋体" w:hAnsi="宋体" w:eastAsia="宋体" w:cs="宋体"/>
          <w:color w:val="000000"/>
        </w:rPr>
        <w:t xml:space="preserve">全称（加盖CA电子公章）：</w:t>
      </w:r>
      <w:r/>
    </w:p>
    <w:p>
      <w:pPr>
        <w:pStyle w:val="656"/>
        <w:ind w:right="1560" w:firstLine="480"/>
        <w:jc w:val="right"/>
        <w:spacing w:line="0" w:lineRule="atLeast"/>
        <w:tabs>
          <w:tab w:val="left" w:pos="4864" w:leader="none"/>
        </w:tabs>
      </w:pPr>
      <w:r>
        <w:rPr>
          <w:rFonts w:hint="eastAsia" w:ascii="宋体" w:hAnsi="宋体" w:eastAsia="宋体" w:cs="宋体"/>
          <w:color w:val="000000"/>
        </w:rPr>
        <w:t xml:space="preserve">        日  期：</w:t>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42"/>
        <w:jc w:val="left"/>
        <w:spacing w:line="360" w:lineRule="auto"/>
        <w:rPr>
          <w:rFonts w:hint="eastAsia" w:hAnsi="宋体" w:eastAsia="宋体"/>
          <w:b/>
          <w:bCs/>
          <w:sz w:val="32"/>
          <w:szCs w:val="32"/>
        </w:rPr>
      </w:pPr>
      <w:r/>
      <w:bookmarkStart w:id="175" w:name="_Hlt26955054"/>
      <w:r>
        <w:rPr>
          <w:rFonts w:hint="eastAsia" w:ascii="黑体" w:hAnsi="宋体" w:eastAsia="黑体" w:cs="黑体"/>
          <w:b/>
          <w:color w:val="auto"/>
          <w:sz w:val="32"/>
          <w:szCs w:val="32"/>
          <w:highlight w:val="none"/>
        </w:rPr>
        <w:br w:type="page" w:clear="all"/>
      </w:r>
      <w:r>
        <w:rPr>
          <w:rFonts w:hint="eastAsia" w:hAnsi="宋体" w:eastAsia="宋体"/>
          <w:b/>
          <w:bCs/>
          <w:sz w:val="32"/>
          <w:szCs w:val="32"/>
        </w:rPr>
        <w:t xml:space="preserve">附件1、            </w:t>
      </w:r>
      <w:r/>
    </w:p>
    <w:p>
      <w:pPr>
        <w:pStyle w:val="642"/>
        <w:jc w:val="center"/>
        <w:spacing w:line="360" w:lineRule="auto"/>
        <w:rPr>
          <w:rFonts w:hint="eastAsia" w:hAnsi="宋体" w:cs="Times New Roman"/>
          <w:sz w:val="28"/>
          <w:szCs w:val="28"/>
        </w:rPr>
        <w:outlineLvl w:val="9"/>
      </w:pPr>
      <w:r>
        <w:rPr>
          <w:rFonts w:hint="eastAsia" w:hAnsi="宋体" w:eastAsia="宋体"/>
          <w:b/>
          <w:bCs/>
          <w:sz w:val="32"/>
          <w:szCs w:val="32"/>
        </w:rPr>
        <w:t xml:space="preserve">实质性响应内容</w:t>
      </w:r>
      <w:r/>
    </w:p>
    <w:p>
      <w:pPr>
        <w:pStyle w:val="668"/>
        <w:ind w:left="0" w:firstLine="482"/>
        <w:keepLines w:val="0"/>
        <w:keepNext w:val="0"/>
        <w:pageBreakBefore w:val="0"/>
        <w:spacing w:line="440" w:lineRule="exact"/>
        <w:widowControl w:val="off"/>
        <w:rPr>
          <w:rFonts w:hint="eastAsia" w:cs="Times New Roman" w:asciiTheme="minorHAnsi" w:hAnsiTheme="minorHAnsi" w:eastAsiaTheme="minorEastAsia"/>
          <w:b/>
          <w:bCs/>
          <w:color w:val="auto"/>
          <w:sz w:val="24"/>
          <w:szCs w:val="24"/>
          <w:highlight w:val="none"/>
          <w:lang w:val="en-US" w:eastAsia="zh-CN" w:bidi="ar-SA"/>
        </w:rPr>
      </w:pPr>
      <w:r>
        <w:rPr>
          <w:rFonts w:hint="eastAsia" w:cs="Times New Roman" w:asciiTheme="minorHAnsi" w:hAnsiTheme="minorHAnsi" w:eastAsiaTheme="minorEastAsia"/>
          <w:b/>
          <w:bCs/>
          <w:color w:val="auto"/>
          <w:sz w:val="24"/>
          <w:szCs w:val="24"/>
          <w:highlight w:val="none"/>
          <w:lang w:val="en-US" w:eastAsia="zh-CN" w:bidi="ar-SA"/>
        </w:rPr>
        <w:t xml:space="preserve">一、项目概况</w:t>
      </w:r>
      <w:r/>
    </w:p>
    <w:p>
      <w:pPr>
        <w:pStyle w:val="656"/>
        <w:ind w:firstLine="480"/>
        <w:jc w:val="both"/>
        <w:spacing w:beforeAutospacing="0" w:afterAutospacing="0" w:line="400" w:lineRule="exact"/>
        <w:rPr>
          <w:rFonts w:hint="eastAsia" w:cs="Times New Roman" w:asciiTheme="minorHAnsi" w:hAnsiTheme="minorHAnsi" w:eastAsiaTheme="minorEastAsia"/>
          <w:b/>
          <w:bCs/>
          <w:color w:val="auto"/>
          <w:sz w:val="24"/>
          <w:szCs w:val="24"/>
          <w:highlight w:val="none"/>
          <w:lang w:val="en-US" w:eastAsia="zh-CN" w:bidi="ar-SA"/>
        </w:rPr>
      </w:pPr>
      <w:r>
        <w:rPr>
          <w:rFonts w:hint="eastAsia" w:cs="Times New Roman" w:asciiTheme="minorHAnsi" w:hAnsiTheme="minorHAnsi" w:eastAsiaTheme="minorEastAsia"/>
          <w:b/>
          <w:bCs/>
          <w:color w:val="auto"/>
          <w:sz w:val="24"/>
          <w:szCs w:val="24"/>
          <w:highlight w:val="none"/>
          <w:lang w:val="en-US" w:eastAsia="zh-CN" w:bidi="ar-SA"/>
        </w:rPr>
        <w:t xml:space="preserve">二、采购需求</w:t>
      </w:r>
      <w:r/>
    </w:p>
    <w:p>
      <w:pPr>
        <w:pStyle w:val="656"/>
        <w:ind w:firstLine="480"/>
        <w:jc w:val="both"/>
        <w:spacing w:beforeAutospacing="0" w:afterAutospacing="0" w:line="400" w:lineRule="exact"/>
        <w:rPr>
          <w:rFonts w:hint="eastAsia" w:cs="Times New Roman" w:asciiTheme="minorHAnsi" w:hAnsiTheme="minorHAnsi" w:eastAsiaTheme="minorEastAsia"/>
          <w:b/>
          <w:bCs/>
          <w:color w:val="auto"/>
          <w:sz w:val="24"/>
          <w:szCs w:val="24"/>
          <w:highlight w:val="none"/>
          <w:lang w:val="en-US" w:eastAsia="zh-CN" w:bidi="ar-SA"/>
        </w:rPr>
      </w:pPr>
      <w:r>
        <w:rPr>
          <w:rFonts w:hint="eastAsia" w:cs="Times New Roman" w:asciiTheme="minorHAnsi" w:hAnsiTheme="minorHAnsi" w:eastAsiaTheme="minorEastAsia"/>
          <w:b/>
          <w:bCs/>
          <w:color w:val="auto"/>
          <w:sz w:val="24"/>
          <w:szCs w:val="24"/>
          <w:highlight w:val="none"/>
          <w:lang w:val="en-US" w:eastAsia="zh-CN" w:bidi="ar-SA"/>
        </w:rPr>
        <w:t xml:space="preserve">三、技术要求</w:t>
      </w:r>
      <w:r/>
    </w:p>
    <w:p>
      <w:pPr>
        <w:pStyle w:val="668"/>
        <w:ind w:left="0" w:firstLine="482"/>
        <w:keepLines w:val="0"/>
        <w:keepNext w:val="0"/>
        <w:pageBreakBefore w:val="0"/>
        <w:spacing w:line="440" w:lineRule="exact"/>
        <w:widowControl w:val="off"/>
        <w:rPr>
          <w:rFonts w:hint="eastAsia" w:cs="Times New Roman" w:asciiTheme="minorHAnsi" w:hAnsiTheme="minorHAnsi" w:eastAsiaTheme="minorEastAsia"/>
          <w:b/>
          <w:bCs/>
          <w:color w:val="auto"/>
          <w:sz w:val="24"/>
          <w:szCs w:val="24"/>
          <w:highlight w:val="none"/>
          <w:lang w:val="en-US" w:eastAsia="zh-CN" w:bidi="ar-SA"/>
        </w:rPr>
      </w:pPr>
      <w:r>
        <w:rPr>
          <w:rFonts w:hint="eastAsia" w:cs="Times New Roman" w:asciiTheme="minorHAnsi" w:hAnsiTheme="minorHAnsi" w:eastAsiaTheme="minorEastAsia"/>
          <w:b/>
          <w:bCs/>
          <w:color w:val="auto"/>
          <w:sz w:val="24"/>
          <w:szCs w:val="24"/>
          <w:highlight w:val="none"/>
          <w:lang w:val="en-US" w:eastAsia="zh-CN" w:bidi="ar-SA"/>
        </w:rPr>
        <w:t xml:space="preserve">四、合同履行期限及地点</w:t>
      </w:r>
      <w:r/>
    </w:p>
    <w:p>
      <w:pPr>
        <w:pStyle w:val="668"/>
        <w:ind w:left="0" w:firstLine="482"/>
        <w:keepLines w:val="0"/>
        <w:keepNext w:val="0"/>
        <w:pageBreakBefore w:val="0"/>
        <w:spacing w:line="440" w:lineRule="exact"/>
        <w:widowControl w:val="off"/>
        <w:rPr>
          <w:rFonts w:hint="eastAsia" w:cs="Times New Roman" w:asciiTheme="minorHAnsi" w:hAnsiTheme="minorHAnsi" w:eastAsiaTheme="minorEastAsia"/>
          <w:b/>
          <w:bCs/>
          <w:color w:val="auto"/>
          <w:sz w:val="24"/>
          <w:szCs w:val="24"/>
          <w:highlight w:val="none"/>
          <w:lang w:val="en-US" w:eastAsia="zh-CN" w:bidi="ar-SA"/>
        </w:rPr>
      </w:pPr>
      <w:r>
        <w:rPr>
          <w:rFonts w:hint="eastAsia" w:cs="Times New Roman" w:asciiTheme="minorHAnsi" w:hAnsiTheme="minorHAnsi" w:eastAsiaTheme="minorEastAsia"/>
          <w:b/>
          <w:bCs/>
          <w:color w:val="auto"/>
          <w:sz w:val="24"/>
          <w:szCs w:val="24"/>
          <w:highlight w:val="none"/>
          <w:lang w:val="en-US" w:eastAsia="zh-CN" w:bidi="ar-SA"/>
        </w:rPr>
        <w:t xml:space="preserve">五、其他</w:t>
      </w:r>
      <w:r/>
    </w:p>
    <w:p>
      <w:pPr>
        <w:pStyle w:val="671"/>
        <w:ind w:firstLine="560"/>
        <w:rPr>
          <w:rFonts w:hAnsi="宋体" w:cs="Times New Roman"/>
          <w:sz w:val="28"/>
          <w:szCs w:val="28"/>
        </w:rPr>
      </w:pPr>
      <w:r>
        <w:rPr>
          <w:rFonts w:hint="eastAsia" w:hAnsi="宋体" w:cs="Times New Roman"/>
          <w:sz w:val="28"/>
          <w:szCs w:val="28"/>
        </w:rPr>
        <w:t xml:space="preserve">我公司承诺响应磋商文件采购需求</w:t>
      </w:r>
      <w:r>
        <w:rPr>
          <w:rFonts w:hint="eastAsia" w:hAnsi="宋体" w:cs="Times New Roman"/>
          <w:sz w:val="28"/>
          <w:szCs w:val="28"/>
          <w:lang w:eastAsia="zh-CN"/>
        </w:rPr>
        <w:t xml:space="preserve">中</w:t>
      </w:r>
      <w:r>
        <w:rPr>
          <w:rFonts w:hint="eastAsia" w:hAnsi="宋体" w:cs="Times New Roman"/>
          <w:sz w:val="28"/>
          <w:szCs w:val="28"/>
          <w:lang w:val="en-US" w:eastAsia="zh-CN"/>
        </w:rPr>
        <w:t xml:space="preserve">以上内容中</w:t>
      </w:r>
      <w:r>
        <w:rPr>
          <w:rFonts w:hint="eastAsia" w:hAnsi="宋体" w:cs="Times New Roman"/>
          <w:sz w:val="28"/>
          <w:szCs w:val="28"/>
        </w:rPr>
        <w:t xml:space="preserve">的全部内容。</w:t>
      </w:r>
      <w:r/>
    </w:p>
    <w:p>
      <w:pPr>
        <w:ind w:firstLine="3080"/>
        <w:spacing w:line="560" w:lineRule="exact"/>
        <w:rPr>
          <w:rFonts w:hint="eastAsia" w:hAnsi="宋体" w:cs="Times New Roman"/>
          <w:sz w:val="28"/>
          <w:szCs w:val="28"/>
          <w:lang w:val="en-US" w:eastAsia="zh-CN" w:bidi="ar-SA"/>
        </w:rPr>
      </w:pPr>
      <w:r>
        <w:rPr>
          <w:rFonts w:hint="eastAsia" w:hAnsi="宋体" w:cs="Times New Roman"/>
          <w:sz w:val="28"/>
          <w:szCs w:val="28"/>
          <w:lang w:val="en-US" w:eastAsia="zh-CN" w:bidi="ar-SA"/>
        </w:rPr>
      </w:r>
      <w:r/>
    </w:p>
    <w:p>
      <w:pPr>
        <w:ind w:firstLine="2640"/>
        <w:spacing w:line="560" w:lineRule="exact"/>
        <w:rPr>
          <w:rFonts w:hint="eastAsia" w:hAnsi="宋体" w:cs="Times New Roman"/>
          <w:sz w:val="24"/>
          <w:szCs w:val="24"/>
          <w:lang w:val="en-US" w:eastAsia="zh-CN" w:bidi="ar-SA"/>
        </w:rPr>
      </w:pPr>
      <w:r>
        <w:rPr>
          <w:rFonts w:hint="eastAsia" w:hAnsi="宋体" w:cs="Times New Roman"/>
          <w:sz w:val="24"/>
          <w:szCs w:val="24"/>
          <w:lang w:val="en-US" w:eastAsia="zh-CN" w:bidi="ar-SA"/>
        </w:rPr>
      </w:r>
      <w:r/>
    </w:p>
    <w:p>
      <w:pPr>
        <w:ind w:firstLine="4320"/>
        <w:spacing w:line="560" w:lineRule="exact"/>
        <w:rPr>
          <w:rFonts w:hint="eastAsia" w:hAnsi="宋体" w:cs="Times New Roman" w:asciiTheme="minorHAnsi" w:eastAsiaTheme="minorEastAsia"/>
          <w:sz w:val="24"/>
          <w:szCs w:val="24"/>
          <w:lang w:val="en-US" w:eastAsia="zh-CN" w:bidi="ar-SA"/>
        </w:rPr>
      </w:pPr>
      <w:r>
        <w:rPr>
          <w:rFonts w:hint="eastAsia" w:hAnsi="宋体" w:cs="Times New Roman"/>
          <w:sz w:val="24"/>
          <w:szCs w:val="24"/>
          <w:lang w:val="en-US" w:eastAsia="zh-CN" w:bidi="ar-SA"/>
        </w:rPr>
        <w:t xml:space="preserve">供应商全称（加盖CA电子公章）</w:t>
      </w:r>
      <w:r>
        <w:rPr>
          <w:rFonts w:hint="eastAsia" w:hAnsi="宋体" w:cs="Times New Roman" w:asciiTheme="minorHAnsi" w:eastAsiaTheme="minorEastAsia"/>
          <w:sz w:val="24"/>
          <w:szCs w:val="24"/>
          <w:lang w:val="en-US" w:eastAsia="zh-CN" w:bidi="ar-SA"/>
        </w:rPr>
        <w:t xml:space="preserve">：</w:t>
      </w:r>
      <w:r/>
    </w:p>
    <w:p>
      <w:pPr>
        <w:pStyle w:val="653"/>
        <w:ind w:right="0" w:firstLine="4068"/>
        <w:spacing w:line="560" w:lineRule="exact"/>
        <w:rPr>
          <w:rFonts w:hint="eastAsia" w:hAnsi="宋体" w:cs="Times New Roman" w:asciiTheme="minorHAnsi" w:eastAsiaTheme="minorEastAsia"/>
          <w:sz w:val="24"/>
          <w:szCs w:val="24"/>
          <w:lang w:val="en-US" w:eastAsia="zh-CN" w:bidi="ar-SA"/>
        </w:rPr>
      </w:pPr>
      <w:r>
        <w:rPr>
          <w:rFonts w:hint="eastAsia" w:hAnsi="宋体" w:cs="Times New Roman" w:asciiTheme="minorHAnsi" w:eastAsiaTheme="minorEastAsia"/>
          <w:sz w:val="24"/>
          <w:szCs w:val="24"/>
          <w:lang w:val="en-US" w:eastAsia="zh-CN" w:bidi="ar-SA"/>
        </w:rPr>
        <w:t xml:space="preserve">日期：      年     月     日</w:t>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62"/>
        <w:numPr>
          <w:ilvl w:val="2"/>
          <w:numId w:val="0"/>
        </w:numPr>
        <w:ind w:left="0" w:firstLine="0"/>
        <w:rPr>
          <w:rFonts w:hint="eastAsia"/>
        </w:rPr>
        <w:outlineLvl w:val="9"/>
      </w:pPr>
      <w:r/>
      <w:bookmarkStart w:id="176" w:name="_Hlt26955066"/>
      <w:r/>
      <w:bookmarkStart w:id="177" w:name="_Hlt26671374"/>
      <w:r/>
      <w:bookmarkStart w:id="178" w:name="_Hlt26609389"/>
      <w:r/>
      <w:bookmarkStart w:id="179" w:name="_Toc462564146"/>
      <w:r/>
      <w:bookmarkStart w:id="180" w:name="_格式2__法定代表人授权书"/>
      <w:r/>
      <w:r/>
    </w:p>
    <w:p>
      <w:pPr>
        <w:pStyle w:val="656"/>
        <w:jc w:val="both"/>
        <w:spacing w:beforeAutospacing="0" w:afterAutospacing="0"/>
        <w:rPr>
          <w:rFonts w:hint="eastAsia" w:ascii="黑体" w:hAnsi="宋体" w:eastAsia="黑体" w:cs="黑体"/>
          <w:b/>
          <w:bCs/>
          <w:i/>
          <w:color w:val="auto"/>
          <w:sz w:val="32"/>
          <w:szCs w:val="32"/>
          <w:highlight w:val="none"/>
          <w:u w:val="single"/>
        </w:rPr>
      </w:pPr>
      <w:r>
        <w:rPr>
          <w:rFonts w:hint="eastAsia" w:ascii="黑体" w:hAnsi="宋体" w:eastAsia="黑体" w:cs="黑体"/>
          <w:b/>
          <w:i/>
          <w:color w:val="auto"/>
          <w:sz w:val="32"/>
          <w:szCs w:val="32"/>
          <w:highlight w:val="none"/>
          <w:u w:val="single"/>
        </w:rPr>
      </w:r>
      <w:r>
        <w:rPr>
          <w:rFonts w:hint="eastAsia" w:ascii="黑体" w:hAnsi="宋体" w:eastAsia="黑体" w:cs="黑体"/>
          <w:b/>
          <w:i/>
          <w:color w:val="auto"/>
          <w:sz w:val="32"/>
          <w:szCs w:val="32"/>
          <w:highlight w:val="none"/>
          <w:u w:val="single"/>
        </w:rPr>
      </w:r>
    </w:p>
    <w:p>
      <w:pPr>
        <w:pStyle w:val="656"/>
        <w:jc w:val="both"/>
        <w:spacing w:beforeAutospacing="0" w:afterAutospacing="0"/>
        <w:rPr>
          <w:rFonts w:hint="eastAsia" w:ascii="黑体" w:hAnsi="宋体" w:eastAsia="黑体" w:cs="黑体"/>
          <w:b/>
          <w:bCs/>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56"/>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56"/>
        <w:numPr>
          <w:ilvl w:val="0"/>
          <w:numId w:val="0"/>
        </w:numPr>
        <w:jc w:val="center"/>
        <w:spacing w:beforeAutospacing="0" w:afterAutospacing="0"/>
        <w:rPr>
          <w:rFonts w:hint="eastAsia" w:ascii="黑体" w:hAnsi="宋体" w:eastAsia="黑体" w:cs="黑体"/>
          <w:b/>
          <w:i/>
          <w:color w:val="auto"/>
          <w:sz w:val="32"/>
          <w:szCs w:val="32"/>
          <w:highlight w:val="none"/>
          <w:u w:val="single"/>
        </w:rPr>
        <w:outlineLvl w:val="0"/>
      </w:pPr>
      <w:r>
        <w:rPr>
          <w:rFonts w:hint="eastAsia" w:ascii="黑体" w:hAnsi="宋体" w:eastAsia="黑体" w:cs="黑体"/>
          <w:b/>
          <w:i/>
          <w:color w:val="auto"/>
          <w:sz w:val="32"/>
          <w:szCs w:val="32"/>
          <w:highlight w:val="none"/>
          <w:u w:val="single"/>
          <w:lang w:val="en-US" w:eastAsia="zh-CN"/>
        </w:rPr>
        <w:t xml:space="preserve">十四、</w:t>
      </w:r>
      <w:r>
        <w:rPr>
          <w:rFonts w:hint="eastAsia" w:ascii="黑体" w:hAnsi="宋体" w:eastAsia="黑体" w:cs="黑体"/>
          <w:b/>
          <w:i/>
          <w:color w:val="auto"/>
          <w:sz w:val="32"/>
          <w:szCs w:val="32"/>
          <w:highlight w:val="none"/>
          <w:u w:val="single"/>
        </w:rPr>
        <w:t xml:space="preserve">开标一览表</w:t>
      </w:r>
      <w:r/>
    </w:p>
    <w:p>
      <w:pPr>
        <w:pStyle w:val="656"/>
        <w:ind w:firstLine="4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（一轮报价表）</w:t>
      </w:r>
      <w:r/>
    </w:p>
    <w:p>
      <w:pPr>
        <w:pStyle w:val="656"/>
        <w:ind w:firstLine="480"/>
        <w:jc w:val="both"/>
        <w:spacing w:beforeAutospacing="0" w:afterAutospacing="0"/>
        <w:rPr>
          <w:color w:val="auto"/>
          <w:highlight w:val="none"/>
        </w:rPr>
      </w:pP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全称（加盖CA电子签章）：</w:t>
      </w:r>
      <w:r/>
    </w:p>
    <w:p>
      <w:pPr>
        <w:pStyle w:val="656"/>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45"/>
        <w:tblW w:w="965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65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9653" w:type="dxa"/>
            <w:vAlign w:val="center"/>
            <w:textDirection w:val="lrTb"/>
            <w:noWrap w:val="false"/>
          </w:tcPr>
          <w:p>
            <w:pPr>
              <w:pStyle w:val="656"/>
              <w:jc w:val="center"/>
              <w:spacing w:beforeAutospacing="0" w:afterAutospacing="0"/>
              <w:rPr>
                <w:color w:val="auto"/>
                <w:highlight w:val="none"/>
              </w:rPr>
            </w:pPr>
            <w:r>
              <w:rPr>
                <w:rFonts w:hint="eastAsia" w:ascii="宋体" w:hAnsi="宋体" w:eastAsia="宋体" w:cs="宋体"/>
                <w:color w:val="auto"/>
                <w:highlight w:val="none"/>
              </w:rPr>
              <w:t xml:space="preserve">投标总</w:t>
            </w:r>
            <w:r>
              <w:rPr>
                <w:rFonts w:hint="eastAsia" w:ascii="宋体" w:hAnsi="宋体" w:eastAsia="宋体" w:cs="宋体"/>
                <w:color w:val="auto"/>
                <w:highlight w:val="none"/>
                <w:lang w:val="en-US" w:eastAsia="zh-CN"/>
              </w:rPr>
              <w:t xml:space="preserve">报</w:t>
            </w:r>
            <w:r>
              <w:rPr>
                <w:rFonts w:hint="eastAsia" w:ascii="宋体" w:hAnsi="宋体" w:eastAsia="宋体" w:cs="宋体"/>
                <w:color w:val="auto"/>
                <w:highlight w:val="none"/>
              </w:rPr>
              <w:t xml:space="preserve">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653" w:type="dxa"/>
            <w:vAlign w:val="center"/>
            <w:textDirection w:val="lrTb"/>
            <w:noWrap w:val="false"/>
          </w:tcPr>
          <w:p>
            <w:pPr>
              <w:pStyle w:val="65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653" w:type="dxa"/>
            <w:vAlign w:val="center"/>
            <w:textDirection w:val="lrTb"/>
            <w:noWrap w:val="false"/>
          </w:tcPr>
          <w:p>
            <w:pPr>
              <w:pStyle w:val="656"/>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56"/>
        <w:jc w:val="both"/>
        <w:spacing w:beforeAutospacing="0" w:afterAutospacing="0"/>
        <w:rPr>
          <w:color w:val="auto"/>
          <w:highlight w:val="none"/>
        </w:rPr>
      </w:pPr>
      <w:r>
        <w:rPr>
          <w:color w:val="auto"/>
          <w:highlight w:val="none"/>
        </w:rPr>
        <w:t xml:space="preserve"> </w:t>
      </w:r>
      <w:r/>
    </w:p>
    <w:p>
      <w:pPr>
        <w:pStyle w:val="656"/>
        <w:ind w:firstLine="480"/>
        <w:jc w:val="both"/>
        <w:spacing w:beforeAutospacing="0" w:afterAutospacing="0"/>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56"/>
        <w:ind w:firstLine="480"/>
        <w:jc w:val="both"/>
        <w:spacing w:beforeAutospacing="0" w:afterAutospacing="0"/>
        <w:rPr>
          <w:highlight w:val="none"/>
        </w:rPr>
      </w:pPr>
      <w:r>
        <w:rPr>
          <w:highlight w:val="none"/>
        </w:rPr>
        <w:t xml:space="preserve"> </w:t>
      </w:r>
      <w:r/>
    </w:p>
    <w:p>
      <w:pPr>
        <w:pStyle w:val="65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662"/>
        <w:numPr>
          <w:ilvl w:val="2"/>
          <w:numId w:val="0"/>
        </w:numPr>
        <w:ind w:left="288" w:firstLine="0"/>
        <w:rPr>
          <w:rFonts w:hint="eastAsia"/>
          <w:lang w:val="en-US" w:eastAsia="zh-CN"/>
        </w:rPr>
        <w:outlineLvl w:val="9"/>
      </w:pPr>
      <w:r>
        <w:rPr>
          <w:rFonts w:hint="eastAsia"/>
          <w:lang w:val="en-US" w:eastAsia="zh-CN"/>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both"/>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both"/>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p>
    <w:p>
      <w:pPr>
        <w:jc w:val="both"/>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p>
    <w:p>
      <w:pPr>
        <w:jc w:val="both"/>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p>
    <w:p>
      <w:pPr>
        <w:jc w:val="both"/>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p>
    <w:p>
      <w:pPr>
        <w:jc w:val="both"/>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p>
    <w:p>
      <w:pPr>
        <w:jc w:val="both"/>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rPr>
          <w:rFonts w:hint="eastAsia" w:ascii="黑体" w:hAnsi="宋体" w:eastAsia="黑体" w:cs="黑体"/>
          <w:b/>
          <w:bCs/>
          <w:color w:val="auto"/>
          <w:sz w:val="32"/>
          <w:szCs w:val="32"/>
          <w:highlight w:val="none"/>
          <w:lang w:val="en-US" w:eastAsia="zh-CN" w:bidi="ar-SA"/>
        </w:rPr>
      </w:r>
    </w:p>
    <w:p>
      <w:pPr>
        <w:jc w:val="both"/>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t xml:space="preserve">十五、技术方案、服务承诺、培训承诺等</w:t>
      </w:r>
      <w:r/>
    </w:p>
    <w:p>
      <w:pPr>
        <w:pStyle w:val="656"/>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ascii="宋体" w:hAnsi="宋体" w:eastAsia="宋体" w:cs="宋体"/>
          <w:color w:val="auto"/>
          <w:sz w:val="24"/>
          <w:szCs w:val="24"/>
          <w:highlight w:val="none"/>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t xml:space="preserve">十六、盐城市政府采购事前信用承诺书</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656"/>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pStyle w:val="65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6"/>
        <w:jc w:val="center"/>
        <w:spacing w:beforeAutospacing="0" w:afterAutospacing="0"/>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6"/>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56"/>
        <w:jc w:val="both"/>
        <w:spacing w:before="290" w:beforeAutospacing="0" w:afterAutospacing="0" w:line="360" w:lineRule="auto"/>
        <w:rPr>
          <w:rFonts w:ascii="宋体" w:hAnsi="宋体" w:eastAsia="宋体" w:cs="宋体"/>
          <w:color w:val="auto"/>
          <w:highlight w:val="none"/>
        </w:rPr>
        <w:outlineLvl w:val="0"/>
      </w:pPr>
      <w:r>
        <w:rPr>
          <w:rFonts w:hint="eastAsia" w:ascii="宋体" w:hAnsi="宋体" w:eastAsia="宋体" w:cs="宋体"/>
          <w:color w:val="auto"/>
          <w:highlight w:val="none"/>
        </w:rPr>
        <w:t xml:space="preserve">一、质疑供应商基本信息</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outlineLvl w:val="0"/>
      </w:pPr>
      <w:r>
        <w:rPr>
          <w:rFonts w:hint="eastAsia" w:ascii="宋体" w:hAnsi="宋体" w:eastAsia="宋体" w:cs="宋体"/>
          <w:color w:val="auto"/>
          <w:highlight w:val="none"/>
        </w:rPr>
        <w:t xml:space="preserve">二、质疑项目基本情况</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outlineLvl w:val="0"/>
      </w:pPr>
      <w:r>
        <w:rPr>
          <w:rFonts w:hint="eastAsia" w:ascii="宋体" w:hAnsi="宋体" w:eastAsia="宋体" w:cs="宋体"/>
          <w:color w:val="auto"/>
          <w:highlight w:val="none"/>
        </w:rPr>
        <w:t xml:space="preserve">三、质疑事项具体内容</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56"/>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56"/>
        <w:jc w:val="both"/>
        <w:spacing w:beforeAutospacing="0" w:afterAutospacing="0" w:line="360" w:lineRule="auto"/>
        <w:rPr>
          <w:rFonts w:ascii="宋体" w:hAnsi="宋体" w:eastAsia="宋体" w:cs="宋体"/>
          <w:color w:val="auto"/>
          <w:highlight w:val="none"/>
        </w:rPr>
        <w:outlineLvl w:val="0"/>
      </w:pPr>
      <w:r>
        <w:rPr>
          <w:rFonts w:hint="eastAsia" w:ascii="宋体" w:hAnsi="宋体" w:eastAsia="宋体" w:cs="宋体"/>
          <w:color w:val="auto"/>
          <w:highlight w:val="none"/>
        </w:rPr>
        <w:t xml:space="preserve">四、与质疑事项相关的质疑请求</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56"/>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56"/>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6"/>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656"/>
        <w:ind w:firstLine="420"/>
        <w:jc w:val="both"/>
        <w:spacing w:beforeAutospacing="0" w:afterAutospacing="0"/>
        <w:rPr>
          <w:color w:val="auto"/>
          <w:highlight w:val="none"/>
        </w:rPr>
      </w:pPr>
      <w:r>
        <w:rPr>
          <w:color w:val="auto"/>
          <w:highlight w:val="none"/>
        </w:rPr>
        <w:t xml:space="preserve"> </w:t>
      </w:r>
      <w:bookmarkEnd w:id="6"/>
      <w:bookmarkEnd w:id="41"/>
      <w:bookmarkEnd w:id="88"/>
      <w:bookmarkEnd w:id="89"/>
      <w:bookmarkEnd w:id="90"/>
      <w:bookmarkEnd w:id="91"/>
      <w:bookmarkEnd w:id="92"/>
      <w:bookmarkEnd w:id="93"/>
      <w:bookmarkEnd w:id="94"/>
      <w:bookmarkEnd w:id="95"/>
      <w:bookmarkEnd w:id="104"/>
      <w:bookmarkEnd w:id="105"/>
      <w:bookmarkEnd w:id="112"/>
      <w:bookmarkEnd w:id="161"/>
      <w:bookmarkEnd w:id="162"/>
      <w:bookmarkEnd w:id="168"/>
      <w:bookmarkEnd w:id="169"/>
      <w:bookmarkEnd w:id="170"/>
      <w:bookmarkEnd w:id="171"/>
      <w:bookmarkEnd w:id="172"/>
      <w:bookmarkEnd w:id="173"/>
      <w:bookmarkEnd w:id="174"/>
      <w:bookmarkEnd w:id="175"/>
      <w:bookmarkEnd w:id="176"/>
      <w:bookmarkEnd w:id="177"/>
      <w:bookmarkEnd w:id="178"/>
      <w:bookmarkEnd w:id="179"/>
      <w:bookmarkEnd w:id="180"/>
      <w:r/>
    </w:p>
    <w:p>
      <w:pPr>
        <w:rPr>
          <w:color w:val="auto"/>
          <w:highlight w:val="none"/>
        </w:rPr>
      </w:pPr>
      <w:r>
        <w:rPr>
          <w:color w:val="auto"/>
          <w:highlight w:val="none"/>
        </w:rPr>
      </w:r>
      <w:r/>
    </w:p>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仿宋_GB2312">
    <w:panose1 w:val="02010609060101010101"/>
  </w:font>
  <w:font w:name="黑体">
    <w:panose1 w:val="02010609060101010101"/>
  </w:font>
  <w:font w:name="Verdana">
    <w:panose1 w:val="020B060403050404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0" w:firstLine="0"/>
        <w:tabs>
          <w:tab w:val="left" w:pos="851" w:leader="none"/>
        </w:tabs>
      </w:pPr>
      <w:rPr>
        <w:rFonts w:hint="eastAsia"/>
      </w:rPr>
    </w:lvl>
    <w:lvl w:ilvl="1">
      <w:start w:val="1"/>
      <w:numFmt w:val="decimalZero"/>
      <w:isLgl w:val="false"/>
      <w:suff w:val="tab"/>
      <w:lvlText w:val="节 %1.%2"/>
      <w:lvlJc w:val="left"/>
      <w:pPr>
        <w:ind w:left="0" w:firstLine="0"/>
        <w:tabs>
          <w:tab w:val="left" w:pos="720" w:leader="none"/>
        </w:tabs>
      </w:pPr>
      <w:rPr>
        <w:rFonts w:hint="eastAsia"/>
      </w:rPr>
    </w:lvl>
    <w:lvl w:ilvl="2">
      <w:start w:val="1"/>
      <w:numFmt w:val="lowerLetter"/>
      <w:pStyle w:val="662"/>
      <w:isLgl w:val="false"/>
      <w:suff w:val="tab"/>
      <w:lvlText w:val="(%3)"/>
      <w:lvlJc w:val="left"/>
      <w:pPr>
        <w:ind w:left="720" w:hanging="432"/>
        <w:tabs>
          <w:tab w:val="left" w:pos="720" w:leader="none"/>
        </w:tabs>
      </w:pPr>
      <w:rPr>
        <w:rFonts w:hint="eastAsia"/>
      </w:rPr>
    </w:lvl>
    <w:lvl w:ilvl="3">
      <w:start w:val="1"/>
      <w:numFmt w:val="lowerRoman"/>
      <w:isLgl w:val="false"/>
      <w:suff w:val="tab"/>
      <w:lvlText w:val="(%4)"/>
      <w:lvlJc w:val="right"/>
      <w:pPr>
        <w:ind w:left="864" w:hanging="144"/>
        <w:tabs>
          <w:tab w:val="left" w:pos="864" w:leader="none"/>
        </w:tabs>
      </w:pPr>
      <w:rPr>
        <w:rFonts w:hint="eastAsia"/>
      </w:rPr>
    </w:lvl>
    <w:lvl w:ilvl="4">
      <w:start w:val="1"/>
      <w:numFmt w:val="decimal"/>
      <w:isLgl w:val="false"/>
      <w:suff w:val="tab"/>
      <w:lvlText w:val="%5)"/>
      <w:lvlJc w:val="left"/>
      <w:pPr>
        <w:ind w:left="1008" w:hanging="432"/>
        <w:tabs>
          <w:tab w:val="left" w:pos="1008" w:leader="none"/>
        </w:tabs>
      </w:pPr>
      <w:rPr>
        <w:rFonts w:hint="eastAsia"/>
      </w:rPr>
    </w:lvl>
    <w:lvl w:ilvl="5">
      <w:start w:val="1"/>
      <w:numFmt w:val="lowerLetter"/>
      <w:isLgl w:val="false"/>
      <w:suff w:val="tab"/>
      <w:lvlText w:val="%6)"/>
      <w:lvlJc w:val="left"/>
      <w:pPr>
        <w:ind w:left="1152" w:hanging="432"/>
        <w:tabs>
          <w:tab w:val="left" w:pos="1152" w:leader="none"/>
        </w:tabs>
      </w:pPr>
      <w:rPr>
        <w:rFonts w:hint="eastAsia"/>
      </w:rPr>
    </w:lvl>
    <w:lvl w:ilvl="6">
      <w:start w:val="1"/>
      <w:numFmt w:val="lowerRoman"/>
      <w:isLgl w:val="false"/>
      <w:suff w:val="tab"/>
      <w:lvlText w:val="%7)"/>
      <w:lvlJc w:val="right"/>
      <w:pPr>
        <w:ind w:left="1296" w:hanging="288"/>
        <w:tabs>
          <w:tab w:val="left" w:pos="1296" w:leader="none"/>
        </w:tabs>
      </w:pPr>
      <w:rPr>
        <w:rFonts w:hint="eastAsia"/>
      </w:rPr>
    </w:lvl>
    <w:lvl w:ilvl="7">
      <w:start w:val="1"/>
      <w:numFmt w:val="lowerLetter"/>
      <w:isLgl w:val="false"/>
      <w:suff w:val="tab"/>
      <w:lvlText w:val="%8."/>
      <w:lvlJc w:val="left"/>
      <w:pPr>
        <w:ind w:left="1440" w:hanging="432"/>
        <w:tabs>
          <w:tab w:val="left" w:pos="1440" w:leader="none"/>
        </w:tabs>
      </w:pPr>
      <w:rPr>
        <w:rFonts w:hint="eastAsia"/>
      </w:rPr>
    </w:lvl>
    <w:lvl w:ilvl="8">
      <w:start w:val="1"/>
      <w:numFmt w:val="lowerRoman"/>
      <w:isLgl w:val="false"/>
      <w:suff w:val="tab"/>
      <w:lvlText w:val="%9."/>
      <w:lvlJc w:val="right"/>
      <w:pPr>
        <w:ind w:left="1584" w:hanging="14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4"/>
    <w:link w:val="642"/>
    <w:uiPriority w:val="9"/>
    <w:rPr>
      <w:rFonts w:ascii="Arial" w:hAnsi="Arial" w:eastAsia="Arial" w:cs="Arial"/>
      <w:sz w:val="40"/>
      <w:szCs w:val="40"/>
    </w:rPr>
  </w:style>
  <w:style w:type="character" w:styleId="15">
    <w:name w:val="Heading 2 Char"/>
    <w:basedOn w:val="644"/>
    <w:link w:val="643"/>
    <w:uiPriority w:val="9"/>
    <w:rPr>
      <w:rFonts w:ascii="Arial" w:hAnsi="Arial" w:eastAsia="Arial" w:cs="Arial"/>
      <w:sz w:val="34"/>
    </w:rPr>
  </w:style>
  <w:style w:type="paragraph" w:styleId="16">
    <w:name w:val="Heading 3"/>
    <w:basedOn w:val="641"/>
    <w:next w:val="6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4"/>
    <w:link w:val="16"/>
    <w:uiPriority w:val="9"/>
    <w:rPr>
      <w:rFonts w:ascii="Arial" w:hAnsi="Arial" w:eastAsia="Arial" w:cs="Arial"/>
      <w:sz w:val="30"/>
      <w:szCs w:val="30"/>
    </w:rPr>
  </w:style>
  <w:style w:type="paragraph" w:styleId="18">
    <w:name w:val="Heading 4"/>
    <w:basedOn w:val="641"/>
    <w:next w:val="6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4"/>
    <w:link w:val="18"/>
    <w:uiPriority w:val="9"/>
    <w:rPr>
      <w:rFonts w:ascii="Arial" w:hAnsi="Arial" w:eastAsia="Arial" w:cs="Arial"/>
      <w:b/>
      <w:bCs/>
      <w:sz w:val="26"/>
      <w:szCs w:val="26"/>
    </w:rPr>
  </w:style>
  <w:style w:type="paragraph" w:styleId="20">
    <w:name w:val="Heading 5"/>
    <w:basedOn w:val="641"/>
    <w:next w:val="6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4"/>
    <w:link w:val="20"/>
    <w:uiPriority w:val="9"/>
    <w:rPr>
      <w:rFonts w:ascii="Arial" w:hAnsi="Arial" w:eastAsia="Arial" w:cs="Arial"/>
      <w:b/>
      <w:bCs/>
      <w:sz w:val="24"/>
      <w:szCs w:val="24"/>
    </w:rPr>
  </w:style>
  <w:style w:type="paragraph" w:styleId="22">
    <w:name w:val="Heading 6"/>
    <w:basedOn w:val="641"/>
    <w:next w:val="6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4"/>
    <w:link w:val="22"/>
    <w:uiPriority w:val="9"/>
    <w:rPr>
      <w:rFonts w:ascii="Arial" w:hAnsi="Arial" w:eastAsia="Arial" w:cs="Arial"/>
      <w:b/>
      <w:bCs/>
      <w:sz w:val="22"/>
      <w:szCs w:val="22"/>
    </w:rPr>
  </w:style>
  <w:style w:type="paragraph" w:styleId="24">
    <w:name w:val="Heading 7"/>
    <w:basedOn w:val="641"/>
    <w:next w:val="6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4"/>
    <w:link w:val="24"/>
    <w:uiPriority w:val="9"/>
    <w:rPr>
      <w:rFonts w:ascii="Arial" w:hAnsi="Arial" w:eastAsia="Arial" w:cs="Arial"/>
      <w:b/>
      <w:bCs/>
      <w:i/>
      <w:iCs/>
      <w:sz w:val="22"/>
      <w:szCs w:val="22"/>
    </w:rPr>
  </w:style>
  <w:style w:type="paragraph" w:styleId="26">
    <w:name w:val="Heading 8"/>
    <w:basedOn w:val="641"/>
    <w:next w:val="6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4"/>
    <w:link w:val="26"/>
    <w:uiPriority w:val="9"/>
    <w:rPr>
      <w:rFonts w:ascii="Arial" w:hAnsi="Arial" w:eastAsia="Arial" w:cs="Arial"/>
      <w:i/>
      <w:iCs/>
      <w:sz w:val="22"/>
      <w:szCs w:val="22"/>
    </w:rPr>
  </w:style>
  <w:style w:type="paragraph" w:styleId="28">
    <w:name w:val="Heading 9"/>
    <w:basedOn w:val="641"/>
    <w:next w:val="6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1"/>
    <w:next w:val="641"/>
    <w:link w:val="34"/>
    <w:uiPriority w:val="10"/>
    <w:qFormat/>
    <w:pPr>
      <w:contextualSpacing/>
      <w:spacing w:before="300" w:after="200"/>
    </w:pPr>
    <w:rPr>
      <w:sz w:val="48"/>
      <w:szCs w:val="48"/>
    </w:rPr>
  </w:style>
  <w:style w:type="character" w:styleId="34">
    <w:name w:val="Title Char"/>
    <w:basedOn w:val="644"/>
    <w:link w:val="33"/>
    <w:uiPriority w:val="10"/>
    <w:rPr>
      <w:sz w:val="48"/>
      <w:szCs w:val="48"/>
    </w:rPr>
  </w:style>
  <w:style w:type="paragraph" w:styleId="35">
    <w:name w:val="Subtitle"/>
    <w:basedOn w:val="641"/>
    <w:next w:val="641"/>
    <w:link w:val="36"/>
    <w:uiPriority w:val="11"/>
    <w:qFormat/>
    <w:pPr>
      <w:spacing w:before="200" w:after="200"/>
    </w:pPr>
    <w:rPr>
      <w:sz w:val="24"/>
      <w:szCs w:val="24"/>
    </w:rPr>
  </w:style>
  <w:style w:type="character" w:styleId="36">
    <w:name w:val="Subtitle Char"/>
    <w:basedOn w:val="644"/>
    <w:link w:val="35"/>
    <w:uiPriority w:val="11"/>
    <w:rPr>
      <w:sz w:val="24"/>
      <w:szCs w:val="24"/>
    </w:rPr>
  </w:style>
  <w:style w:type="paragraph" w:styleId="37">
    <w:name w:val="Quote"/>
    <w:basedOn w:val="641"/>
    <w:next w:val="641"/>
    <w:link w:val="38"/>
    <w:uiPriority w:val="29"/>
    <w:qFormat/>
    <w:pPr>
      <w:ind w:left="720" w:right="720"/>
    </w:pPr>
    <w:rPr>
      <w:i/>
    </w:rPr>
  </w:style>
  <w:style w:type="character" w:styleId="38">
    <w:name w:val="Quote Char"/>
    <w:link w:val="37"/>
    <w:uiPriority w:val="29"/>
    <w:rPr>
      <w:i/>
    </w:rPr>
  </w:style>
  <w:style w:type="paragraph" w:styleId="39">
    <w:name w:val="Intense Quote"/>
    <w:basedOn w:val="641"/>
    <w:next w:val="6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4"/>
    <w:link w:val="655"/>
    <w:uiPriority w:val="99"/>
  </w:style>
  <w:style w:type="character" w:styleId="44">
    <w:name w:val="Footer Char"/>
    <w:basedOn w:val="644"/>
    <w:link w:val="654"/>
    <w:uiPriority w:val="99"/>
  </w:style>
  <w:style w:type="paragraph" w:styleId="45">
    <w:name w:val="Caption"/>
    <w:basedOn w:val="641"/>
    <w:next w:val="641"/>
    <w:uiPriority w:val="35"/>
    <w:semiHidden/>
    <w:unhideWhenUsed/>
    <w:qFormat/>
    <w:pPr>
      <w:spacing w:line="276" w:lineRule="auto"/>
    </w:pPr>
    <w:rPr>
      <w:b/>
      <w:bCs/>
      <w:color w:val="4f81bd" w:themeColor="accent1"/>
      <w:sz w:val="18"/>
      <w:szCs w:val="18"/>
    </w:rPr>
  </w:style>
  <w:style w:type="character" w:styleId="46">
    <w:name w:val="Caption Char"/>
    <w:basedOn w:val="45"/>
    <w:link w:val="654"/>
    <w:uiPriority w:val="99"/>
  </w:style>
  <w:style w:type="table" w:styleId="48">
    <w:name w:val="Table Grid Light"/>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4"/>
    <w:uiPriority w:val="99"/>
    <w:unhideWhenUsed/>
    <w:rPr>
      <w:vertAlign w:val="superscript"/>
    </w:rPr>
  </w:style>
  <w:style w:type="paragraph" w:styleId="177">
    <w:name w:val="endnote text"/>
    <w:basedOn w:val="6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4"/>
    <w:uiPriority w:val="99"/>
    <w:semiHidden/>
    <w:unhideWhenUsed/>
    <w:rPr>
      <w:vertAlign w:val="superscript"/>
    </w:rPr>
  </w:style>
  <w:style w:type="paragraph" w:styleId="180">
    <w:name w:val="toc 1"/>
    <w:basedOn w:val="641"/>
    <w:next w:val="641"/>
    <w:uiPriority w:val="39"/>
    <w:unhideWhenUsed/>
    <w:pPr>
      <w:ind w:left="0" w:right="0" w:firstLine="0"/>
      <w:spacing w:after="57"/>
    </w:pPr>
  </w:style>
  <w:style w:type="paragraph" w:styleId="181">
    <w:name w:val="toc 2"/>
    <w:basedOn w:val="641"/>
    <w:next w:val="641"/>
    <w:uiPriority w:val="39"/>
    <w:unhideWhenUsed/>
    <w:pPr>
      <w:ind w:left="283" w:right="0" w:firstLine="0"/>
      <w:spacing w:after="57"/>
    </w:pPr>
  </w:style>
  <w:style w:type="paragraph" w:styleId="182">
    <w:name w:val="toc 3"/>
    <w:basedOn w:val="641"/>
    <w:next w:val="641"/>
    <w:uiPriority w:val="39"/>
    <w:unhideWhenUsed/>
    <w:pPr>
      <w:ind w:left="567" w:right="0" w:firstLine="0"/>
      <w:spacing w:after="57"/>
    </w:pPr>
  </w:style>
  <w:style w:type="paragraph" w:styleId="183">
    <w:name w:val="toc 4"/>
    <w:basedOn w:val="641"/>
    <w:next w:val="641"/>
    <w:uiPriority w:val="39"/>
    <w:unhideWhenUsed/>
    <w:pPr>
      <w:ind w:left="850" w:right="0" w:firstLine="0"/>
      <w:spacing w:after="57"/>
    </w:pPr>
  </w:style>
  <w:style w:type="paragraph" w:styleId="184">
    <w:name w:val="toc 5"/>
    <w:basedOn w:val="641"/>
    <w:next w:val="641"/>
    <w:uiPriority w:val="39"/>
    <w:unhideWhenUsed/>
    <w:pPr>
      <w:ind w:left="1134" w:right="0" w:firstLine="0"/>
      <w:spacing w:after="57"/>
    </w:pPr>
  </w:style>
  <w:style w:type="paragraph" w:styleId="185">
    <w:name w:val="toc 6"/>
    <w:basedOn w:val="641"/>
    <w:next w:val="641"/>
    <w:uiPriority w:val="39"/>
    <w:unhideWhenUsed/>
    <w:pPr>
      <w:ind w:left="1417" w:right="0" w:firstLine="0"/>
      <w:spacing w:after="57"/>
    </w:pPr>
  </w:style>
  <w:style w:type="paragraph" w:styleId="186">
    <w:name w:val="toc 7"/>
    <w:basedOn w:val="641"/>
    <w:next w:val="641"/>
    <w:uiPriority w:val="39"/>
    <w:unhideWhenUsed/>
    <w:pPr>
      <w:ind w:left="1701" w:right="0" w:firstLine="0"/>
      <w:spacing w:after="57"/>
    </w:pPr>
  </w:style>
  <w:style w:type="paragraph" w:styleId="187">
    <w:name w:val="toc 8"/>
    <w:basedOn w:val="641"/>
    <w:next w:val="641"/>
    <w:uiPriority w:val="39"/>
    <w:unhideWhenUsed/>
    <w:pPr>
      <w:ind w:left="1984" w:right="0" w:firstLine="0"/>
      <w:spacing w:after="57"/>
    </w:pPr>
  </w:style>
  <w:style w:type="paragraph" w:styleId="188">
    <w:name w:val="toc 9"/>
    <w:basedOn w:val="641"/>
    <w:next w:val="6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1"/>
    <w:next w:val="641"/>
    <w:uiPriority w:val="99"/>
    <w:unhideWhenUsed/>
    <w:pPr>
      <w:spacing w:after="0" w:afterAutospacing="0"/>
    </w:pPr>
  </w:style>
  <w:style w:type="paragraph" w:styleId="64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2">
    <w:name w:val="Heading 1"/>
    <w:basedOn w:val="641"/>
    <w:next w:val="641"/>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643">
    <w:name w:val="Heading 2"/>
    <w:basedOn w:val="641"/>
    <w:next w:val="64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Normal Indent"/>
    <w:basedOn w:val="641"/>
    <w:uiPriority w:val="0"/>
    <w:qFormat/>
    <w:pPr>
      <w:ind w:firstLine="420"/>
    </w:pPr>
    <w:rPr>
      <w:rFonts w:ascii="Times New Roman" w:eastAsia="宋体"/>
      <w:szCs w:val="20"/>
    </w:rPr>
  </w:style>
  <w:style w:type="paragraph" w:styleId="647">
    <w:name w:val="Note Heading"/>
    <w:basedOn w:val="641"/>
    <w:next w:val="641"/>
    <w:uiPriority w:val="0"/>
    <w:qFormat/>
    <w:rPr>
      <w:rFonts w:ascii="Verdana" w:hAnsi="Verdana"/>
      <w:szCs w:val="20"/>
    </w:rPr>
  </w:style>
  <w:style w:type="paragraph" w:styleId="648">
    <w:name w:val="Document Map"/>
    <w:basedOn w:val="641"/>
    <w:next w:val="641"/>
    <w:uiPriority w:val="0"/>
    <w:qFormat/>
    <w:pPr>
      <w:shd w:val="clear" w:color="auto" w:fill="000080"/>
    </w:pPr>
  </w:style>
  <w:style w:type="paragraph" w:styleId="649">
    <w:name w:val="annotation text"/>
    <w:basedOn w:val="641"/>
    <w:uiPriority w:val="0"/>
    <w:qFormat/>
    <w:pPr>
      <w:jc w:val="left"/>
    </w:pPr>
  </w:style>
  <w:style w:type="paragraph" w:styleId="650">
    <w:name w:val="Body Text"/>
    <w:basedOn w:val="641"/>
    <w:next w:val="641"/>
    <w:uiPriority w:val="0"/>
    <w:qFormat/>
    <w:pPr>
      <w:spacing w:after="120"/>
    </w:pPr>
  </w:style>
  <w:style w:type="paragraph" w:styleId="651">
    <w:name w:val="Body Text Indent"/>
    <w:basedOn w:val="641"/>
    <w:next w:val="652"/>
    <w:uiPriority w:val="0"/>
    <w:qFormat/>
    <w:pPr>
      <w:ind w:left="420"/>
      <w:spacing w:after="120"/>
    </w:pPr>
    <w:rPr>
      <w:sz w:val="24"/>
    </w:rPr>
  </w:style>
  <w:style w:type="paragraph" w:styleId="652">
    <w:name w:val="envelope return"/>
    <w:basedOn w:val="641"/>
    <w:uiPriority w:val="99"/>
    <w:qFormat/>
    <w:rPr>
      <w:rFonts w:ascii="Arial" w:hAnsi="Arial" w:cs="Arial"/>
    </w:rPr>
  </w:style>
  <w:style w:type="paragraph" w:styleId="653">
    <w:name w:val="Block Text"/>
    <w:basedOn w:val="641"/>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654">
    <w:name w:val="Footer"/>
    <w:basedOn w:val="641"/>
    <w:link w:val="664"/>
    <w:uiPriority w:val="0"/>
    <w:qFormat/>
    <w:pPr>
      <w:jc w:val="left"/>
      <w:tabs>
        <w:tab w:val="center" w:pos="4153" w:leader="none"/>
        <w:tab w:val="right" w:pos="8306" w:leader="none"/>
      </w:tabs>
    </w:pPr>
    <w:rPr>
      <w:sz w:val="18"/>
      <w:szCs w:val="18"/>
    </w:rPr>
  </w:style>
  <w:style w:type="paragraph" w:styleId="655">
    <w:name w:val="Header"/>
    <w:basedOn w:val="641"/>
    <w:link w:val="663"/>
    <w:uiPriority w:val="0"/>
    <w:qFormat/>
    <w:pPr>
      <w:jc w:val="center"/>
      <w:tabs>
        <w:tab w:val="center" w:pos="4153" w:leader="none"/>
        <w:tab w:val="right" w:pos="8306" w:leader="none"/>
      </w:tabs>
      <w:pBdr>
        <w:bottom w:val="single" w:color="auto" w:sz="6" w:space="1"/>
      </w:pBdr>
    </w:pPr>
    <w:rPr>
      <w:sz w:val="18"/>
      <w:szCs w:val="18"/>
    </w:rPr>
  </w:style>
  <w:style w:type="paragraph" w:styleId="656">
    <w:name w:val="Normal (Web)"/>
    <w:basedOn w:val="641"/>
    <w:uiPriority w:val="0"/>
    <w:qFormat/>
    <w:pPr>
      <w:jc w:val="left"/>
      <w:spacing w:beforeAutospacing="1" w:afterAutospacing="1"/>
    </w:pPr>
    <w:rPr>
      <w:rFonts w:cs="Times New Roman"/>
      <w:sz w:val="24"/>
    </w:rPr>
  </w:style>
  <w:style w:type="paragraph" w:styleId="657">
    <w:name w:val="Body Text First Indent"/>
    <w:basedOn w:val="650"/>
    <w:uiPriority w:val="0"/>
    <w:qFormat/>
    <w:pPr>
      <w:ind w:firstLine="420"/>
    </w:pPr>
    <w:rPr>
      <w:sz w:val="24"/>
    </w:rPr>
  </w:style>
  <w:style w:type="paragraph" w:styleId="658">
    <w:name w:val="Body Text First Indent 2"/>
    <w:basedOn w:val="651"/>
    <w:uiPriority w:val="0"/>
    <w:qFormat/>
    <w:pPr>
      <w:ind w:firstLine="420"/>
    </w:pPr>
  </w:style>
  <w:style w:type="table" w:styleId="659">
    <w:name w:val="Table Grid"/>
    <w:basedOn w:val="6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0">
    <w:name w:val="Emphasis"/>
    <w:uiPriority w:val="0"/>
    <w:qFormat/>
    <w:rPr>
      <w:i/>
    </w:rPr>
  </w:style>
  <w:style w:type="paragraph" w:styleId="661" w:customStyle="1">
    <w:name w:val="Default"/>
    <w:basedOn w:val="641"/>
    <w:uiPriority w:val="0"/>
    <w:semiHidden/>
    <w:qFormat/>
    <w:pPr>
      <w:jc w:val="left"/>
    </w:pPr>
    <w:rPr>
      <w:rFonts w:ascii="宋体" w:hAnsi="Calibri" w:cs="宋体"/>
      <w:color w:val="000000"/>
      <w:sz w:val="24"/>
    </w:rPr>
  </w:style>
  <w:style w:type="paragraph" w:styleId="662" w:customStyle="1">
    <w:name w:val="标题 31"/>
    <w:basedOn w:val="641"/>
    <w:next w:val="641"/>
    <w:uiPriority w:val="0"/>
    <w:qFormat/>
    <w:pPr>
      <w:numPr>
        <w:ilvl w:val="2"/>
        <w:numId w:val="1"/>
      </w:numPr>
      <w:keepLines/>
      <w:keepNext/>
      <w:spacing w:before="260" w:after="260" w:line="416" w:lineRule="atLeast"/>
      <w:outlineLvl w:val="2"/>
    </w:pPr>
    <w:rPr>
      <w:b/>
      <w:bCs/>
      <w:sz w:val="32"/>
      <w:szCs w:val="32"/>
    </w:rPr>
  </w:style>
  <w:style w:type="character" w:styleId="663" w:customStyle="1">
    <w:name w:val="页眉 Char"/>
    <w:basedOn w:val="644"/>
    <w:link w:val="655"/>
    <w:uiPriority w:val="0"/>
    <w:qFormat/>
    <w:rPr>
      <w:rFonts w:asciiTheme="minorHAnsi" w:hAnsiTheme="minorHAnsi" w:eastAsiaTheme="minorEastAsia" w:cstheme="minorBidi"/>
      <w:sz w:val="18"/>
      <w:szCs w:val="18"/>
    </w:rPr>
  </w:style>
  <w:style w:type="character" w:styleId="664" w:customStyle="1">
    <w:name w:val="页脚 Char"/>
    <w:basedOn w:val="644"/>
    <w:link w:val="654"/>
    <w:uiPriority w:val="0"/>
    <w:qFormat/>
    <w:rPr>
      <w:rFonts w:asciiTheme="minorHAnsi" w:hAnsiTheme="minorHAnsi" w:eastAsiaTheme="minorEastAsia" w:cstheme="minorBidi"/>
      <w:sz w:val="18"/>
      <w:szCs w:val="18"/>
    </w:rPr>
  </w:style>
  <w:style w:type="paragraph" w:styleId="665" w:customStyle="1">
    <w:name w:val="普通正文"/>
    <w:basedOn w:val="641"/>
    <w:uiPriority w:val="0"/>
    <w:qFormat/>
    <w:pPr>
      <w:ind w:firstLine="480"/>
      <w:jc w:val="left"/>
      <w:spacing w:before="120" w:after="120" w:line="360" w:lineRule="auto"/>
    </w:pPr>
    <w:rPr>
      <w:rFonts w:ascii="Arial" w:hAnsi="Arial" w:eastAsia="等线" w:cs="Arial"/>
      <w:sz w:val="24"/>
      <w:szCs w:val="24"/>
    </w:rPr>
  </w:style>
  <w:style w:type="paragraph" w:styleId="666" w:customStyle="1">
    <w:name w:val="正文首行缩进 21"/>
    <w:basedOn w:val="667"/>
    <w:uiPriority w:val="0"/>
    <w:qFormat/>
    <w:pPr>
      <w:ind w:firstLine="420"/>
    </w:pPr>
  </w:style>
  <w:style w:type="paragraph" w:styleId="667" w:customStyle="1">
    <w:name w:val="正文文本缩进1"/>
    <w:basedOn w:val="641"/>
    <w:uiPriority w:val="0"/>
    <w:qFormat/>
    <w:pPr>
      <w:ind w:left="420"/>
      <w:spacing w:after="120"/>
    </w:pPr>
  </w:style>
  <w:style w:type="paragraph" w:styleId="668">
    <w:name w:val="List Paragraph"/>
    <w:basedOn w:val="641"/>
    <w:uiPriority w:val="34"/>
    <w:qFormat/>
    <w:pPr>
      <w:ind w:firstLine="420"/>
      <w:spacing w:line="240" w:lineRule="auto"/>
    </w:pPr>
    <w:rPr>
      <w:rFonts w:ascii="Times New Roman" w:eastAsia="宋体"/>
      <w:sz w:val="20"/>
      <w:szCs w:val="24"/>
    </w:rPr>
  </w:style>
  <w:style w:type="paragraph" w:styleId="669" w:customStyle="1">
    <w:name w:val="1 正文"/>
    <w:basedOn w:val="641"/>
    <w:uiPriority w:val="0"/>
    <w:qFormat/>
    <w:pPr>
      <w:ind w:firstLine="420"/>
    </w:pPr>
    <w:rPr>
      <w:rFonts w:hAnsi="宋体"/>
      <w:sz w:val="24"/>
    </w:rPr>
  </w:style>
  <w:style w:type="paragraph" w:styleId="670" w:customStyle="1">
    <w:name w:val="首行缩进"/>
    <w:basedOn w:val="641"/>
    <w:uiPriority w:val="0"/>
    <w:qFormat/>
    <w:pPr>
      <w:ind w:firstLine="480"/>
      <w:spacing w:line="360" w:lineRule="auto"/>
    </w:pPr>
    <w:rPr>
      <w:rFonts w:ascii="宋体" w:hAnsi="宋体" w:cs="宋体"/>
      <w:sz w:val="24"/>
    </w:rPr>
  </w:style>
  <w:style w:type="paragraph" w:styleId="671" w:customStyle="1">
    <w:name w:val="正文空2格  1."/>
    <w:basedOn w:val="641"/>
    <w:uiPriority w:val="0"/>
    <w:qFormat/>
    <w:pPr>
      <w:ind w:firstLine="480"/>
    </w:pPr>
    <w:rPr>
      <w:rFonts w:cs="宋体"/>
      <w:szCs w:val="20"/>
    </w:rPr>
  </w:style>
  <w:style w:type="paragraph" w:styleId="672" w:customStyle="1">
    <w:name w:val="普通(网站)1"/>
    <w:basedOn w:val="641"/>
    <w:uiPriority w:val="0"/>
    <w:qFormat/>
    <w:rPr>
      <w:rFonts w:ascii="Times New Roman"/>
      <w:szCs w:val="24"/>
    </w:rPr>
  </w:style>
  <w:style w:type="paragraph" w:styleId="673" w:customStyle="1">
    <w:name w:val="footer1"/>
    <w:basedOn w:val="674"/>
    <w:uiPriority w:val="0"/>
    <w:qFormat/>
    <w:pPr>
      <w:jc w:val="left"/>
      <w:tabs>
        <w:tab w:val="center" w:pos="4153" w:leader="none"/>
        <w:tab w:val="right" w:pos="8306" w:leader="none"/>
      </w:tabs>
    </w:pPr>
    <w:rPr>
      <w:sz w:val="18"/>
    </w:rPr>
  </w:style>
  <w:style w:type="paragraph" w:styleId="674" w:customStyle="1">
    <w:name w:val="正文111"/>
    <w:next w:val="67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5" w:customStyle="1">
    <w:name w:val="标题 41"/>
    <w:basedOn w:val="676"/>
    <w:next w:val="674"/>
    <w:uiPriority w:val="0"/>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676" w:customStyle="1">
    <w:name w:val="正文11"/>
    <w:next w:val="673"/>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character" w:styleId="677" w:customStyle="1">
    <w:name w:val="font21"/>
    <w:basedOn w:val="644"/>
    <w:uiPriority w:val="0"/>
    <w:qFormat/>
    <w:rPr>
      <w:rFonts w:hint="eastAsia" w:ascii="宋体" w:hAnsi="宋体" w:eastAsia="宋体" w:cs="宋体"/>
      <w:color w:val="000000"/>
      <w:sz w:val="24"/>
      <w:szCs w:val="24"/>
      <w:u w:val="none"/>
    </w:rPr>
  </w:style>
  <w:style w:type="character" w:styleId="678" w:customStyle="1">
    <w:name w:val="font31"/>
    <w:basedOn w:val="644"/>
    <w:uiPriority w:val="0"/>
    <w:qFormat/>
    <w:rPr>
      <w:rFonts w:hint="eastAsia" w:ascii="宋体" w:hAnsi="宋体" w:eastAsia="宋体" w:cs="宋体"/>
      <w:color w:val="000000"/>
      <w:sz w:val="24"/>
      <w:szCs w:val="24"/>
      <w:u w:val="none"/>
      <w:vertAlign w:val="subscript"/>
    </w:rPr>
  </w:style>
  <w:style w:type="numbering" w:styleId="87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孙丹萍</cp:lastModifiedBy>
  <cp:revision>191</cp:revision>
  <dcterms:created xsi:type="dcterms:W3CDTF">2014-10-29T12:08:00Z</dcterms:created>
  <dcterms:modified xsi:type="dcterms:W3CDTF">2026-07-01T07:44:02Z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8C617C946F6B4629A6FB1DE111DFEB7B_13</vt:lpwstr>
  </property>
  <property fmtid="{D5CDD505-2E9C-101B-9397-08002B2CF9AE}" pid="4" name="KSOTemplateDocerSaveRecord">
    <vt:lpwstr>eyJoZGlkIjoiYTcyMDk0ZWExNjNhM2NjZGY4MTgwZTE5YmQzNzVhMzAiLCJ1c2VySWQiOiIzNjMzNTM2NDAifQ==</vt:lpwstr>
  </property>
</Properties>
</file>