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5"/>
        <w:rPr>
          <w:rFonts w:hint="eastAsia"/>
        </w:rPr>
      </w:pPr>
      <w:r>
        <w:rPr>
          <w:rFonts w:hint="eastAsia"/>
        </w:rPr>
      </w:r>
      <w:r/>
    </w:p>
    <w:p>
      <w:pPr>
        <w:pStyle w:val="976"/>
        <w:jc w:val="center"/>
        <w:widowControl/>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 xml:space="preserve">招 标 文 件 </w:t>
      </w:r>
      <w:r>
        <w:rPr>
          <w:rFonts w:hint="eastAsia" w:ascii="宋体" w:hAnsi="宋体" w:eastAsia="宋体" w:cs="宋体"/>
          <w:b/>
          <w:bCs/>
          <w:sz w:val="72"/>
          <w:szCs w:val="72"/>
          <w:highlight w:val="none"/>
        </w:rPr>
      </w:r>
      <w:r/>
    </w:p>
    <w:p>
      <w:pPr>
        <w:pStyle w:val="976"/>
        <w:jc w:val="both"/>
        <w:widowControl/>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pStyle w:val="976"/>
        <w:jc w:val="center"/>
        <w:widowControl/>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pStyle w:val="976"/>
        <w:ind w:firstLine="1928"/>
        <w:jc w:val="both"/>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项目编号：JSZC-320991-YCLX-G2025-0016</w:t>
      </w: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2025年新城街道城市管理外包服务</w:t>
      </w:r>
      <w:r>
        <w:rPr>
          <w:rFonts w:hint="eastAsia" w:ascii="宋体" w:hAnsi="宋体" w:eastAsia="宋体" w:cs="宋体"/>
          <w:b/>
          <w:bCs/>
          <w:sz w:val="32"/>
          <w:szCs w:val="32"/>
          <w:highlight w:val="none"/>
          <w:lang w:eastAsia="zh-CN"/>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widowControl/>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盐城经济技术开发区新城街道办事处</w:t>
      </w:r>
      <w:r>
        <w:rPr>
          <w:rFonts w:hint="eastAsia" w:ascii="宋体" w:hAnsi="宋体" w:eastAsia="宋体" w:cs="宋体"/>
          <w:b/>
          <w:bCs/>
          <w:sz w:val="32"/>
          <w:szCs w:val="32"/>
          <w:highlight w:val="none"/>
          <w:lang w:eastAsia="zh-CN"/>
        </w:rPr>
      </w:r>
      <w:r/>
    </w:p>
    <w:p>
      <w:pPr>
        <w:pStyle w:val="976"/>
        <w:jc w:val="center"/>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2025年</w:t>
      </w:r>
      <w:r>
        <w:rPr>
          <w:rFonts w:hint="eastAsia" w:ascii="宋体" w:hAnsi="宋体" w:cs="宋体"/>
          <w:b/>
          <w:bCs/>
          <w:sz w:val="32"/>
          <w:szCs w:val="32"/>
          <w:highlight w:val="none"/>
          <w:lang w:val="en-US" w:eastAsia="zh-CN"/>
        </w:rPr>
        <w:t xml:space="preserve">12</w:t>
      </w:r>
      <w:r>
        <w:rPr>
          <w:rFonts w:hint="eastAsia" w:ascii="宋体" w:hAnsi="宋体" w:eastAsia="宋体" w:cs="宋体"/>
          <w:b/>
          <w:bCs/>
          <w:sz w:val="32"/>
          <w:szCs w:val="32"/>
          <w:highlight w:val="none"/>
        </w:rPr>
        <w:t xml:space="preserve">月</w:t>
      </w:r>
      <w:r>
        <w:rPr>
          <w:rFonts w:hint="eastAsia" w:ascii="宋体" w:hAnsi="宋体" w:eastAsia="宋体" w:cs="宋体"/>
          <w:b/>
          <w:bCs/>
          <w:sz w:val="32"/>
          <w:szCs w:val="32"/>
          <w:highlight w:val="none"/>
        </w:rPr>
      </w:r>
      <w:r/>
    </w:p>
    <w:p>
      <w:pPr>
        <w:pStyle w:val="1248"/>
        <w:ind w:firstLine="0"/>
        <w:jc w:val="both"/>
        <w:rPr>
          <w:rFonts w:hint="eastAsia" w:ascii="宋体" w:hAnsi="宋体" w:eastAsia="宋体" w:cs="宋体"/>
          <w:sz w:val="32"/>
          <w:szCs w:val="32"/>
          <w:highlight w:val="none"/>
        </w:rPr>
        <w:sectPr>
          <w:headerReference w:type="default" r:id="rId9"/>
          <w:footerReference w:type="default" r:id="rId10"/>
          <w:footnotePr/>
          <w:endnotePr/>
          <w:type w:val="nextPage"/>
          <w:pgSz w:w="11906" w:h="16838" w:orient="portrait"/>
          <w:pgMar w:top="1134" w:right="1134" w:bottom="1134" w:left="1196" w:header="794" w:footer="907" w:gutter="0"/>
          <w:cols w:num="1" w:sep="0" w:space="1701" w:equalWidth="1"/>
          <w:docGrid w:linePitch="360"/>
        </w:sectPr>
      </w:pPr>
      <w:r>
        <w:rPr>
          <w:rFonts w:hint="eastAsia" w:ascii="宋体" w:hAnsi="宋体" w:eastAsia="宋体" w:cs="宋体"/>
          <w:sz w:val="32"/>
          <w:szCs w:val="32"/>
          <w:highlight w:val="none"/>
        </w:rPr>
      </w:r>
      <w:r/>
    </w:p>
    <w:p>
      <w:pPr>
        <w:pStyle w:val="1248"/>
        <w:ind w:firstLine="0"/>
        <w:jc w:val="both"/>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1248"/>
        <w:ind w:firstLine="0"/>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总 目 录</w:t>
      </w:r>
      <w:r>
        <w:rPr>
          <w:rFonts w:hint="eastAsia" w:ascii="宋体" w:hAnsi="宋体" w:eastAsia="宋体" w:cs="宋体"/>
          <w:sz w:val="32"/>
          <w:szCs w:val="32"/>
          <w:highlight w:val="none"/>
        </w:rPr>
      </w:r>
      <w:r/>
    </w:p>
    <w:p>
      <w:pPr>
        <w:pStyle w:val="1248"/>
        <w:ind w:firstLine="0"/>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976"/>
        <w:ind w:right="1016"/>
        <w:jc w:val="both"/>
        <w:spacing w:line="560" w:lineRule="exact"/>
        <w:rPr>
          <w:rFonts w:hint="eastAsia" w:ascii="宋体" w:hAnsi="宋体" w:eastAsia="宋体" w:cs="宋体"/>
          <w:color w:val="000000"/>
          <w:sz w:val="28"/>
          <w:szCs w:val="28"/>
          <w:highlight w:val="none"/>
        </w:rPr>
        <w:outlineLvl w:val="0"/>
      </w:pPr>
      <w:r/>
      <w:bookmarkStart w:id="0" w:name="_Toc2444"/>
      <w:r/>
      <w:bookmarkStart w:id="1" w:name="_Toc23976"/>
      <w:r/>
      <w:bookmarkStart w:id="2" w:name="_Toc3774"/>
      <w:r>
        <w:rPr>
          <w:rFonts w:hint="eastAsia" w:ascii="宋体" w:hAnsi="宋体" w:eastAsia="宋体" w:cs="宋体"/>
          <w:color w:val="000000"/>
          <w:sz w:val="28"/>
          <w:szCs w:val="28"/>
          <w:highlight w:val="none"/>
        </w:rPr>
        <w:t xml:space="preserve">第一章   招标公告………………………………………………1</w:t>
      </w:r>
      <w:r>
        <w:rPr>
          <w:rFonts w:hint="eastAsia" w:ascii="宋体" w:hAnsi="宋体" w:eastAsia="宋体" w:cs="宋体"/>
          <w:color w:val="000000"/>
          <w:sz w:val="28"/>
          <w:szCs w:val="28"/>
          <w:highlight w:val="none"/>
        </w:rPr>
      </w:r>
      <w:r/>
    </w:p>
    <w:p>
      <w:pPr>
        <w:pStyle w:val="976"/>
        <w:ind w:right="1016"/>
        <w:jc w:val="both"/>
        <w:spacing w:line="560" w:lineRule="exact"/>
        <w:rPr>
          <w:rFonts w:hint="eastAsia" w:ascii="宋体" w:hAnsi="宋体" w:eastAsia="宋体" w:cs="宋体"/>
          <w:color w:val="000000"/>
          <w:sz w:val="28"/>
          <w:szCs w:val="28"/>
          <w:highlight w:val="none"/>
          <w:lang w:eastAsia="zh-CN"/>
        </w:rPr>
        <w:outlineLvl w:val="0"/>
      </w:pPr>
      <w:r>
        <w:rPr>
          <w:rFonts w:hint="eastAsia" w:ascii="宋体" w:hAnsi="宋体" w:eastAsia="宋体" w:cs="宋体"/>
          <w:color w:val="000000"/>
          <w:sz w:val="28"/>
          <w:szCs w:val="28"/>
          <w:highlight w:val="none"/>
        </w:rPr>
        <w:t xml:space="preserve">第二章   投标人须知……………………………………………</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eastAsia="zh-CN"/>
        </w:rPr>
      </w:r>
      <w:r/>
    </w:p>
    <w:p>
      <w:pPr>
        <w:pStyle w:val="976"/>
        <w:ind w:right="1016"/>
        <w:jc w:val="both"/>
        <w:spacing w:line="560" w:lineRule="exact"/>
        <w:rPr>
          <w:rFonts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t xml:space="preserve">第三章   合同文本………………………………………………</w:t>
      </w:r>
      <w:r>
        <w:rPr>
          <w:rFonts w:hint="eastAsia" w:ascii="宋体" w:hAnsi="宋体" w:cs="宋体"/>
          <w:color w:val="000000"/>
          <w:sz w:val="28"/>
          <w:szCs w:val="28"/>
          <w:highlight w:val="none"/>
          <w:lang w:val="en-US" w:eastAsia="zh-CN"/>
        </w:rPr>
        <w:t xml:space="preserve">21</w:t>
      </w:r>
      <w:r>
        <w:rPr>
          <w:rFonts w:ascii="宋体" w:hAnsi="宋体" w:eastAsia="宋体" w:cs="宋体"/>
          <w:color w:val="000000"/>
          <w:sz w:val="28"/>
          <w:szCs w:val="28"/>
          <w:highlight w:val="none"/>
          <w:lang w:val="en-US" w:eastAsia="zh-CN"/>
        </w:rPr>
      </w:r>
      <w:r/>
    </w:p>
    <w:p>
      <w:pPr>
        <w:pStyle w:val="976"/>
        <w:ind w:right="1016"/>
        <w:jc w:val="both"/>
        <w:spacing w:line="560" w:lineRule="exact"/>
        <w:rPr>
          <w:rFonts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t xml:space="preserve">第四章   采购需求………………………………………………</w:t>
      </w:r>
      <w:r>
        <w:rPr>
          <w:rFonts w:hint="eastAsia" w:ascii="宋体" w:hAnsi="宋体" w:cs="宋体"/>
          <w:color w:val="000000"/>
          <w:sz w:val="28"/>
          <w:szCs w:val="28"/>
          <w:highlight w:val="none"/>
          <w:lang w:val="en-US" w:eastAsia="zh-CN"/>
        </w:rPr>
        <w:t xml:space="preserve">31</w:t>
      </w:r>
      <w:r>
        <w:rPr>
          <w:rFonts w:ascii="宋体" w:hAnsi="宋体" w:eastAsia="宋体" w:cs="宋体"/>
          <w:color w:val="000000"/>
          <w:sz w:val="28"/>
          <w:szCs w:val="28"/>
          <w:highlight w:val="none"/>
          <w:lang w:val="en-US" w:eastAsia="zh-CN"/>
        </w:rPr>
      </w:r>
      <w:r/>
    </w:p>
    <w:p>
      <w:pPr>
        <w:pStyle w:val="976"/>
        <w:ind w:right="1016"/>
        <w:jc w:val="both"/>
        <w:spacing w:line="560" w:lineRule="exact"/>
        <w:rPr>
          <w:rFonts w:hint="eastAsia" w:ascii="宋体" w:hAnsi="宋体" w:eastAsia="宋体" w:cs="宋体"/>
          <w:color w:val="000000"/>
          <w:sz w:val="28"/>
          <w:szCs w:val="28"/>
          <w:highlight w:val="none"/>
          <w:lang w:eastAsia="zh-CN"/>
        </w:rPr>
        <w:outlineLvl w:val="0"/>
      </w:pPr>
      <w:r>
        <w:rPr>
          <w:rFonts w:hint="eastAsia" w:ascii="宋体" w:hAnsi="宋体" w:eastAsia="宋体" w:cs="宋体"/>
          <w:color w:val="000000"/>
          <w:sz w:val="28"/>
          <w:szCs w:val="28"/>
          <w:highlight w:val="none"/>
        </w:rPr>
        <w:t xml:space="preserve">第五章   评标方法与评标标准…………………………………3</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eastAsia="zh-CN"/>
        </w:rPr>
      </w:r>
      <w:r/>
    </w:p>
    <w:p>
      <w:pPr>
        <w:pStyle w:val="976"/>
        <w:ind w:right="1016"/>
        <w:jc w:val="both"/>
        <w:spacing w:line="560" w:lineRule="exact"/>
        <w:rPr>
          <w:rFonts w:ascii="宋体" w:hAnsi="宋体" w:eastAsia="宋体" w:cs="宋体"/>
          <w:color w:val="000000"/>
          <w:sz w:val="28"/>
          <w:szCs w:val="28"/>
          <w:highlight w:val="none"/>
          <w:lang w:val="en-US" w:eastAsia="zh-CN"/>
        </w:rPr>
        <w:outlineLvl w:val="0"/>
      </w:pPr>
      <w:r>
        <w:rPr>
          <w:rFonts w:hint="eastAsia" w:ascii="宋体" w:hAnsi="宋体" w:eastAsia="宋体" w:cs="宋体"/>
          <w:color w:val="000000"/>
          <w:sz w:val="28"/>
          <w:szCs w:val="28"/>
          <w:highlight w:val="none"/>
        </w:rPr>
        <w:t xml:space="preserve">第六章   投标文件格式…………………………………………</w:t>
      </w:r>
      <w:r>
        <w:rPr>
          <w:rFonts w:hint="eastAsia" w:ascii="宋体" w:hAnsi="宋体" w:cs="宋体"/>
          <w:color w:val="000000"/>
          <w:sz w:val="28"/>
          <w:szCs w:val="28"/>
          <w:highlight w:val="none"/>
          <w:lang w:val="en-US" w:eastAsia="zh-CN"/>
        </w:rPr>
        <w:t xml:space="preserve">40</w:t>
      </w:r>
      <w:r>
        <w:rPr>
          <w:rFonts w:ascii="宋体" w:hAnsi="宋体" w:eastAsia="宋体" w:cs="宋体"/>
          <w:color w:val="000000"/>
          <w:sz w:val="28"/>
          <w:szCs w:val="28"/>
          <w:highlight w:val="none"/>
          <w:lang w:val="en-US" w:eastAsia="zh-CN"/>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88"/>
        <w:rPr>
          <w:rFonts w:hint="eastAsia" w:ascii="宋体" w:hAnsi="宋体" w:eastAsia="宋体" w:cs="宋体"/>
          <w:highlight w:val="none"/>
        </w:rPr>
      </w:pPr>
      <w:r>
        <w:rPr>
          <w:rFonts w:hint="eastAsia" w:ascii="宋体" w:hAnsi="宋体" w:eastAsia="宋体" w:cs="宋体"/>
          <w:highlight w:val="none"/>
        </w:rPr>
      </w:r>
      <w:r/>
    </w:p>
    <w:p>
      <w:pPr>
        <w:pStyle w:val="976"/>
        <w:jc w:val="both"/>
        <w:keepNext/>
        <w:spacing w:line="500" w:lineRule="exact"/>
        <w:rPr>
          <w:rFonts w:hint="eastAsia" w:ascii="宋体" w:hAnsi="宋体" w:eastAsia="宋体" w:cs="宋体"/>
          <w:color w:val="000000"/>
          <w:sz w:val="44"/>
          <w:szCs w:val="44"/>
          <w:highlight w:val="none"/>
        </w:rPr>
        <w:sectPr>
          <w:footerReference w:type="default" r:id="rId11"/>
          <w:footnotePr/>
          <w:endnotePr/>
          <w:type w:val="nextPage"/>
          <w:pgSz w:w="11906" w:h="16838" w:orient="portrait"/>
          <w:pgMar w:top="1134" w:right="1134" w:bottom="1134" w:left="1196" w:header="794" w:footer="907" w:gutter="0"/>
          <w:pgNumType w:start="1"/>
          <w:cols w:num="1" w:sep="0" w:space="1701" w:equalWidth="1"/>
          <w:docGrid w:linePitch="360"/>
        </w:sectPr>
        <w:outlineLvl w:val="0"/>
      </w:pPr>
      <w:r/>
      <w:bookmarkEnd w:id="0"/>
      <w:r/>
      <w:bookmarkEnd w:id="1"/>
      <w:r/>
      <w:bookmarkEnd w:id="2"/>
      <w:r/>
      <w:bookmarkStart w:id="3" w:name="_Toc35393629"/>
      <w:r/>
      <w:bookmarkStart w:id="4" w:name="_Toc35393798"/>
      <w:r/>
      <w:bookmarkStart w:id="5" w:name="_Toc28359089"/>
      <w:r/>
      <w:bookmarkStart w:id="6" w:name="_Toc28359012"/>
      <w:r/>
      <w:bookmarkStart w:id="7" w:name="_Toc61149549"/>
      <w:r/>
      <w:bookmarkStart w:id="8" w:name="_Toc14577347"/>
      <w:r/>
      <w:bookmarkStart w:id="9" w:name="_Toc513029209"/>
      <w:r>
        <w:rPr>
          <w:rFonts w:hint="eastAsia" w:ascii="宋体" w:hAnsi="宋体" w:eastAsia="宋体" w:cs="宋体"/>
          <w:color w:val="000000"/>
          <w:sz w:val="44"/>
          <w:szCs w:val="44"/>
          <w:highlight w:val="none"/>
        </w:rPr>
      </w:r>
      <w:r/>
    </w:p>
    <w:p>
      <w:pPr>
        <w:pStyle w:val="976"/>
        <w:jc w:val="center"/>
        <w:keepNext/>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976"/>
        <w:jc w:val="center"/>
        <w:keepNext/>
        <w:spacing w:line="500" w:lineRule="exact"/>
        <w:rPr>
          <w:rFonts w:hint="eastAsia" w:ascii="宋体" w:hAnsi="宋体" w:eastAsia="宋体" w:cs="宋体"/>
          <w:b/>
          <w:bCs/>
          <w:color w:val="000000"/>
          <w:sz w:val="44"/>
          <w:szCs w:val="44"/>
          <w:highlight w:val="none"/>
        </w:rPr>
        <w:outlineLvl w:val="0"/>
      </w:pPr>
      <w:r>
        <w:rPr>
          <w:rFonts w:hint="eastAsia" w:ascii="宋体" w:hAnsi="宋体" w:eastAsia="宋体" w:cs="宋体"/>
          <w:color w:val="000000"/>
          <w:sz w:val="44"/>
          <w:szCs w:val="44"/>
          <w:highlight w:val="none"/>
        </w:rPr>
        <w:t xml:space="preserve">第一章  招标</w:t>
      </w:r>
      <w:r>
        <w:rPr>
          <w:rFonts w:hint="eastAsia" w:ascii="宋体" w:hAnsi="宋体" w:eastAsia="宋体" w:cs="宋体"/>
          <w:b/>
          <w:bCs/>
          <w:color w:val="000000"/>
          <w:sz w:val="44"/>
          <w:szCs w:val="44"/>
          <w:highlight w:val="none"/>
        </w:rPr>
        <w:t xml:space="preserve">公告</w:t>
      </w:r>
      <w:r>
        <w:rPr>
          <w:rFonts w:hint="eastAsia" w:ascii="宋体" w:hAnsi="宋体" w:eastAsia="宋体" w:cs="宋体"/>
          <w:b/>
          <w:bCs/>
          <w:color w:val="000000"/>
          <w:sz w:val="44"/>
          <w:szCs w:val="44"/>
          <w:highlight w:val="none"/>
        </w:rPr>
      </w:r>
      <w:r/>
    </w:p>
    <w:p>
      <w:pPr>
        <w:pStyle w:val="976"/>
        <w:ind w:firstLine="482"/>
        <w:spacing w:line="500" w:lineRule="exact"/>
        <w:rPr>
          <w:rFonts w:hint="eastAsia" w:ascii="宋体" w:hAnsi="宋体" w:eastAsia="宋体" w:cs="宋体"/>
          <w:b/>
          <w:color w:val="000000"/>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color w:val="000000"/>
          <w:sz w:val="24"/>
          <w:highlight w:val="none"/>
        </w:rPr>
        <w:t xml:space="preserve">项目概况</w:t>
      </w:r>
      <w:r>
        <w:rPr>
          <w:rFonts w:hint="eastAsia" w:ascii="宋体" w:hAnsi="宋体" w:eastAsia="宋体" w:cs="宋体"/>
          <w:b/>
          <w:color w:val="000000"/>
          <w:sz w:val="24"/>
          <w:highlight w:val="none"/>
        </w:rPr>
      </w:r>
      <w:r/>
    </w:p>
    <w:p>
      <w:pPr>
        <w:pStyle w:val="976"/>
        <w:ind w:firstLine="480"/>
        <w:jc w:val="left"/>
        <w:spacing w:line="500" w:lineRule="exact"/>
        <w:rPr>
          <w:rFonts w:hint="eastAsia" w:ascii="宋体" w:hAnsi="宋体" w:eastAsia="宋体" w:cs="宋体"/>
          <w:bCs/>
          <w:color w:val="000000"/>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highlight w:val="none"/>
          <w:u w:val="single"/>
          <w:lang w:eastAsia="zh-CN"/>
        </w:rPr>
        <w:t xml:space="preserve">2025年新城街道城市管理外包服务JSZC-320991-YCLX-G2025-0016</w:t>
      </w:r>
      <w:r>
        <w:rPr>
          <w:rFonts w:hint="eastAsia" w:ascii="宋体" w:hAnsi="宋体" w:eastAsia="宋体" w:cs="宋体"/>
          <w:sz w:val="24"/>
          <w:highlight w:val="none"/>
          <w:u w:val="single"/>
          <w:lang w:val="en-US" w:eastAsia="zh-CN"/>
        </w:rPr>
        <w:t xml:space="preserve"> </w:t>
      </w:r>
      <w:r>
        <w:rPr>
          <w:rFonts w:hint="eastAsia" w:ascii="宋体" w:hAnsi="宋体" w:eastAsia="宋体" w:cs="宋体"/>
          <w:bCs/>
          <w:color w:val="000000"/>
          <w:sz w:val="24"/>
          <w:highlight w:val="none"/>
        </w:rPr>
        <w:t xml:space="preserve">的潜在供应商应在“苏采云”系统</w:t>
      </w:r>
      <w:r>
        <w:rPr>
          <w:rFonts w:hint="eastAsia" w:ascii="宋体" w:hAnsi="宋体" w:eastAsia="宋体" w:cs="宋体"/>
          <w:sz w:val="24"/>
          <w:highlight w:val="none"/>
        </w:rPr>
        <w:t xml:space="preserve">内免费下载（投标人必须在苏采云系统中获取采购文件，方能参与政府采购项目）</w:t>
      </w:r>
      <w:r>
        <w:rPr>
          <w:rFonts w:hint="eastAsia" w:ascii="宋体" w:hAnsi="宋体" w:eastAsia="宋体" w:cs="宋体"/>
          <w:bCs/>
          <w:color w:val="000000"/>
          <w:sz w:val="24"/>
          <w:highlight w:val="none"/>
        </w:rPr>
        <w:t xml:space="preserve">获取招标文件，并于2025年</w:t>
      </w:r>
      <w:r>
        <w:rPr>
          <w:rFonts w:hint="eastAsia" w:ascii="宋体" w:hAnsi="宋体" w:eastAsia="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lang w:val="en-US" w:eastAsia="zh-CN"/>
        </w:rPr>
        <w:t xml:space="preserve">12</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rPr>
        <w:t xml:space="preserve">5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lang w:val="en-US" w:eastAsia="zh-CN"/>
        </w:rPr>
        <w:t xml:space="preserve">上</w:t>
      </w:r>
      <w:r>
        <w:rPr>
          <w:rFonts w:hint="eastAsia" w:ascii="宋体" w:hAnsi="宋体" w:eastAsia="宋体" w:cs="宋体"/>
          <w:bCs/>
          <w:color w:val="000000"/>
          <w:sz w:val="24"/>
          <w:highlight w:val="none"/>
        </w:rPr>
        <w:t xml:space="preserve">午</w:t>
      </w:r>
      <w:r>
        <w:rPr>
          <w:rFonts w:hint="eastAsia" w:ascii="宋体" w:hAnsi="宋体" w:eastAsia="宋体" w:cs="宋体"/>
          <w:bCs/>
          <w:color w:val="000000"/>
          <w:sz w:val="24"/>
          <w:highlight w:val="none"/>
          <w:lang w:val="en-US" w:eastAsia="zh-CN"/>
        </w:rPr>
        <w:t xml:space="preserve">09</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0</w:t>
      </w:r>
      <w:r>
        <w:rPr>
          <w:rFonts w:hint="eastAsia" w:ascii="宋体" w:hAnsi="宋体" w:eastAsia="宋体" w:cs="宋体"/>
          <w:bCs/>
          <w:color w:val="000000"/>
          <w:sz w:val="24"/>
          <w:highlight w:val="none"/>
        </w:rPr>
        <w:t xml:space="preserve">0时（北京时间）前递交投标文件。</w:t>
      </w:r>
      <w:r>
        <w:rPr>
          <w:rFonts w:hint="eastAsia" w:ascii="宋体" w:hAnsi="宋体" w:eastAsia="宋体" w:cs="宋体"/>
          <w:bCs/>
          <w:color w:val="000000"/>
          <w:sz w:val="24"/>
          <w:highlight w:val="none"/>
        </w:rPr>
      </w:r>
      <w:r/>
    </w:p>
    <w:p>
      <w:pPr>
        <w:pStyle w:val="976"/>
        <w:ind w:firstLine="482"/>
        <w:spacing w:line="5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一、项目基本情况</w:t>
      </w:r>
      <w:bookmarkEnd w:id="3"/>
      <w:r/>
      <w:bookmarkEnd w:id="4"/>
      <w:r/>
      <w:bookmarkEnd w:id="5"/>
      <w:r/>
      <w:bookmarkEnd w:id="6"/>
      <w:r>
        <w:rPr>
          <w:rFonts w:hint="eastAsia" w:ascii="宋体" w:hAnsi="宋体" w:eastAsia="宋体" w:cs="宋体"/>
          <w:b/>
          <w:bCs/>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1.项目编号：JSZC-320991-YCLX-G2025-0016 </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lang w:eastAsia="zh-CN"/>
        </w:rPr>
      </w:pPr>
      <w:r>
        <w:rPr>
          <w:rFonts w:hint="eastAsia" w:ascii="宋体" w:hAnsi="宋体" w:eastAsia="宋体" w:cs="宋体"/>
          <w:sz w:val="24"/>
          <w:highlight w:val="none"/>
        </w:rPr>
        <w:t xml:space="preserve">2.项目名称：</w:t>
      </w:r>
      <w:bookmarkStart w:id="10" w:name="OLE_LINK27"/>
      <w:r>
        <w:rPr>
          <w:rFonts w:hint="eastAsia" w:ascii="宋体" w:hAnsi="宋体" w:cs="宋体"/>
          <w:sz w:val="24"/>
          <w:highlight w:val="none"/>
          <w:lang w:eastAsia="zh-CN"/>
        </w:rPr>
        <w:t xml:space="preserve">2025年新城街道城市管理外包服务</w:t>
      </w:r>
      <w:r>
        <w:rPr>
          <w:rFonts w:hint="eastAsia" w:ascii="宋体" w:hAnsi="宋体" w:eastAsia="宋体" w:cs="宋体"/>
          <w:sz w:val="24"/>
          <w:highlight w:val="none"/>
          <w:lang w:eastAsia="zh-CN"/>
        </w:rPr>
      </w:r>
      <w:r/>
    </w:p>
    <w:p>
      <w:pPr>
        <w:pStyle w:val="976"/>
        <w:ind w:firstLine="480"/>
        <w:spacing w:line="500" w:lineRule="exact"/>
        <w:rPr>
          <w:rFonts w:hint="eastAsia" w:ascii="宋体" w:hAnsi="宋体" w:eastAsia="宋体" w:cs="宋体"/>
          <w:sz w:val="24"/>
          <w:highlight w:val="none"/>
          <w:lang w:eastAsia="zh-CN"/>
        </w:rPr>
      </w:pPr>
      <w:r/>
      <w:bookmarkEnd w:id="10"/>
      <w:r>
        <w:rPr>
          <w:rFonts w:hint="eastAsia" w:ascii="宋体" w:hAnsi="宋体" w:eastAsia="宋体" w:cs="宋体"/>
          <w:sz w:val="24"/>
          <w:highlight w:val="none"/>
        </w:rPr>
        <w:t xml:space="preserve">3.采购方式：</w:t>
      </w:r>
      <w:r>
        <w:rPr>
          <w:rFonts w:hint="eastAsia" w:ascii="宋体" w:hAnsi="宋体" w:eastAsia="宋体" w:cs="宋体"/>
          <w:sz w:val="24"/>
          <w:highlight w:val="none"/>
          <w:lang w:val="en-US" w:eastAsia="zh-CN"/>
        </w:rPr>
        <w:t xml:space="preserve">公开招标</w:t>
      </w:r>
      <w:r>
        <w:rPr>
          <w:rFonts w:hint="eastAsia" w:ascii="宋体" w:hAnsi="宋体" w:eastAsia="宋体" w:cs="宋体"/>
          <w:sz w:val="24"/>
          <w:highlight w:val="none"/>
          <w:lang w:eastAsia="zh-CN"/>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4.预算金额：</w:t>
      </w:r>
      <w:bookmarkStart w:id="11" w:name="OLE_LINK19"/>
      <w:r/>
      <w:bookmarkStart w:id="12" w:name="OLE_LINK20"/>
      <w:r>
        <w:rPr>
          <w:rFonts w:hint="eastAsia" w:ascii="宋体" w:hAnsi="宋体" w:cs="宋体"/>
          <w:sz w:val="24"/>
          <w:highlight w:val="none"/>
          <w:lang w:val="en-US" w:eastAsia="zh-CN"/>
        </w:rPr>
        <w:t xml:space="preserve">160.00万</w:t>
      </w:r>
      <w:r>
        <w:rPr>
          <w:rFonts w:hint="eastAsia" w:ascii="宋体" w:hAnsi="宋体" w:eastAsia="宋体" w:cs="宋体"/>
          <w:sz w:val="24"/>
          <w:highlight w:val="none"/>
        </w:rPr>
        <w:t xml:space="preserve">元</w:t>
      </w:r>
      <w:bookmarkEnd w:id="11"/>
      <w:r/>
      <w:bookmarkEnd w:id="12"/>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5.</w:t>
      </w:r>
      <w:bookmarkStart w:id="13" w:name="OLE_LINK28"/>
      <w:r/>
      <w:bookmarkStart w:id="14" w:name="OLE_LINK29"/>
      <w:r>
        <w:rPr>
          <w:rFonts w:hint="eastAsia" w:ascii="宋体" w:hAnsi="宋体" w:eastAsia="宋体" w:cs="宋体"/>
          <w:sz w:val="24"/>
          <w:highlight w:val="none"/>
        </w:rPr>
        <w:t xml:space="preserve">最高限价：</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0</w:t>
      </w:r>
      <w:r>
        <w:rPr>
          <w:rFonts w:hint="eastAsia" w:ascii="宋体" w:hAnsi="宋体" w:cs="宋体"/>
          <w:sz w:val="24"/>
          <w:highlight w:val="none"/>
          <w:lang w:val="en-US" w:eastAsia="zh-CN"/>
        </w:rPr>
        <w:t xml:space="preserve">.16</w:t>
      </w:r>
      <w:r>
        <w:rPr>
          <w:rFonts w:hint="eastAsia" w:ascii="宋体" w:hAnsi="宋体" w:eastAsia="宋体" w:cs="宋体"/>
          <w:sz w:val="24"/>
          <w:highlight w:val="none"/>
        </w:rPr>
        <w:t xml:space="preserve">万元</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bookmarkEnd w:id="13"/>
      <w:r/>
      <w:bookmarkEnd w:id="14"/>
      <w:r>
        <w:rPr>
          <w:rFonts w:hint="eastAsia" w:ascii="宋体" w:hAnsi="宋体" w:eastAsia="宋体" w:cs="宋体"/>
          <w:sz w:val="24"/>
          <w:highlight w:val="none"/>
        </w:rPr>
        <w:t xml:space="preserve">6.采购需求：</w:t>
      </w:r>
      <w:bookmarkStart w:id="15" w:name="OLE_LINK17"/>
      <w:r/>
      <w:bookmarkStart w:id="16" w:name="OLE_LINK18"/>
      <w:r>
        <w:rPr>
          <w:rFonts w:hint="eastAsia" w:ascii="宋体" w:hAnsi="宋体" w:cs="宋体"/>
          <w:sz w:val="24"/>
          <w:highlight w:val="none"/>
          <w:lang w:eastAsia="zh-CN"/>
        </w:rPr>
        <w:t xml:space="preserve">2025年新城街道城市管理外包服务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具体详见项目需求。</w:t>
      </w:r>
      <w:r>
        <w:rPr>
          <w:rFonts w:hint="eastAsia" w:ascii="宋体" w:hAnsi="宋体" w:eastAsia="宋体" w:cs="宋体"/>
          <w:sz w:val="24"/>
          <w:highlight w:val="none"/>
        </w:rPr>
      </w:r>
      <w:r/>
    </w:p>
    <w:p>
      <w:pPr>
        <w:pStyle w:val="976"/>
        <w:ind w:firstLine="480"/>
        <w:jc w:val="left"/>
        <w:spacing w:line="500" w:lineRule="exact"/>
        <w:rPr>
          <w:rFonts w:hint="eastAsia" w:ascii="宋体" w:hAnsi="宋体" w:eastAsia="宋体" w:cs="宋体"/>
          <w:b/>
          <w:sz w:val="28"/>
          <w:szCs w:val="28"/>
          <w:highlight w:val="none"/>
          <w:u w:val="single"/>
        </w:rPr>
      </w:pPr>
      <w:r/>
      <w:bookmarkEnd w:id="15"/>
      <w:r/>
      <w:bookmarkEnd w:id="16"/>
      <w:r>
        <w:rPr>
          <w:rFonts w:hint="eastAsia" w:ascii="宋体" w:hAnsi="宋体" w:eastAsia="宋体" w:cs="宋体"/>
          <w:sz w:val="24"/>
          <w:highlight w:val="none"/>
        </w:rPr>
        <w:t xml:space="preserve">7.</w:t>
      </w:r>
      <w:r>
        <w:rPr>
          <w:rFonts w:hint="eastAsia" w:ascii="宋体" w:hAnsi="宋体" w:eastAsia="宋体" w:cs="宋体"/>
          <w:spacing w:val="2"/>
          <w:sz w:val="24"/>
          <w:highlight w:val="none"/>
        </w:rPr>
        <w:t xml:space="preserve">合同履行期限：一年</w:t>
      </w:r>
      <w:r>
        <w:rPr>
          <w:rFonts w:hint="eastAsia" w:ascii="宋体" w:hAnsi="宋体" w:eastAsia="宋体" w:cs="宋体"/>
          <w:spacing w:val="2"/>
          <w:sz w:val="24"/>
          <w:highlight w:val="none"/>
          <w:lang w:eastAsia="zh-CN"/>
        </w:rPr>
        <w:t xml:space="preserve">，期间采购人定期进行考核，合同期满，经考核合格后可续签下一年，</w:t>
      </w:r>
      <w:r>
        <w:rPr>
          <w:rFonts w:hint="eastAsia" w:ascii="宋体" w:hAnsi="宋体" w:eastAsia="宋体" w:cs="宋体"/>
          <w:spacing w:val="2"/>
          <w:sz w:val="24"/>
          <w:highlight w:val="none"/>
          <w:lang w:val="en-US" w:eastAsia="zh-CN"/>
        </w:rPr>
        <w:t xml:space="preserve">续签最高不超过一年</w:t>
      </w:r>
      <w:r>
        <w:rPr>
          <w:rFonts w:hint="eastAsia" w:ascii="宋体" w:hAnsi="宋体" w:eastAsia="宋体" w:cs="宋体"/>
          <w:spacing w:val="2"/>
          <w:sz w:val="24"/>
          <w:highlight w:val="none"/>
        </w:rPr>
        <w:t xml:space="preserve">。</w:t>
      </w:r>
      <w:r>
        <w:rPr>
          <w:rFonts w:hint="eastAsia" w:ascii="宋体" w:hAnsi="宋体" w:eastAsia="宋体" w:cs="宋体"/>
          <w:b/>
          <w:sz w:val="28"/>
          <w:szCs w:val="28"/>
          <w:highlight w:val="none"/>
          <w:u w:val="single"/>
        </w:rPr>
      </w:r>
      <w:r/>
    </w:p>
    <w:p>
      <w:pPr>
        <w:pStyle w:val="1248"/>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8.本项目（是/否）接受联合体：不接受联合体。</w:t>
      </w:r>
      <w:r>
        <w:rPr>
          <w:rFonts w:hint="eastAsia" w:ascii="宋体" w:hAnsi="宋体" w:eastAsia="宋体" w:cs="宋体"/>
          <w:highlight w:val="none"/>
        </w:rPr>
      </w:r>
      <w:r/>
    </w:p>
    <w:p>
      <w:pPr>
        <w:pStyle w:val="976"/>
        <w:ind w:firstLine="482"/>
        <w:jc w:val="left"/>
        <w:spacing w:line="500" w:lineRule="exact"/>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二、申请人的资格要求</w:t>
      </w:r>
      <w:r>
        <w:rPr>
          <w:rFonts w:hint="eastAsia" w:ascii="宋体" w:hAnsi="宋体" w:eastAsia="宋体" w:cs="宋体"/>
          <w:b/>
          <w:bCs/>
          <w:sz w:val="24"/>
          <w:szCs w:val="20"/>
          <w:highlight w:val="none"/>
        </w:rPr>
      </w:r>
      <w:r/>
    </w:p>
    <w:p>
      <w:pPr>
        <w:pStyle w:val="976"/>
        <w:ind w:firstLine="480"/>
        <w:jc w:val="left"/>
        <w:spacing w:line="500" w:lineRule="exact"/>
        <w:widowControl/>
        <w:rPr>
          <w:rFonts w:hint="eastAsia" w:ascii="宋体" w:hAnsi="宋体" w:eastAsia="宋体" w:cs="宋体"/>
          <w:sz w:val="24"/>
          <w:szCs w:val="20"/>
          <w:highlight w:val="none"/>
        </w:rPr>
      </w:pPr>
      <w:r>
        <w:rPr>
          <w:rFonts w:hint="eastAsia" w:ascii="宋体" w:hAnsi="宋体" w:cs="宋体"/>
          <w:sz w:val="24"/>
          <w:szCs w:val="20"/>
          <w:highlight w:val="none"/>
          <w:lang w:val="en-US" w:eastAsia="zh-CN"/>
        </w:rPr>
        <w:t xml:space="preserve">（一）</w:t>
      </w:r>
      <w:r>
        <w:rPr>
          <w:rFonts w:hint="eastAsia" w:ascii="宋体" w:hAnsi="宋体" w:eastAsia="宋体" w:cs="宋体"/>
          <w:sz w:val="24"/>
          <w:szCs w:val="20"/>
          <w:highlight w:val="none"/>
        </w:rPr>
        <w:t xml:space="preserve">满足《中华人民共和国政府采购法》第二十二条规定，并提供下列材料：</w:t>
      </w:r>
      <w:r>
        <w:rPr>
          <w:rFonts w:hint="eastAsia" w:ascii="宋体" w:hAnsi="宋体" w:eastAsia="宋体" w:cs="宋体"/>
          <w:sz w:val="24"/>
          <w:szCs w:val="20"/>
          <w:highlight w:val="none"/>
        </w:rPr>
      </w:r>
      <w:r/>
    </w:p>
    <w:p>
      <w:pPr>
        <w:pStyle w:val="976"/>
        <w:ind w:firstLine="480"/>
        <w:jc w:val="left"/>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1.法人或者其他组织的营业执照等证明文件，自然人的身份证明；</w:t>
      </w:r>
      <w:r>
        <w:rPr>
          <w:rFonts w:hint="eastAsia" w:ascii="宋体" w:hAnsi="宋体" w:eastAsia="宋体" w:cs="宋体"/>
          <w:sz w:val="24"/>
          <w:szCs w:val="20"/>
          <w:highlight w:val="none"/>
        </w:rPr>
      </w:r>
      <w:r/>
    </w:p>
    <w:p>
      <w:pPr>
        <w:pStyle w:val="976"/>
        <w:ind w:firstLine="480"/>
        <w:jc w:val="left"/>
        <w:spacing w:line="500" w:lineRule="exact"/>
        <w:widowControl/>
        <w:rPr>
          <w:rFonts w:hint="eastAsia" w:ascii="宋体" w:hAnsi="宋体" w:eastAsia="宋体" w:cs="宋体"/>
          <w:sz w:val="24"/>
          <w:szCs w:val="20"/>
          <w:highlight w:val="none"/>
        </w:rPr>
      </w:pPr>
      <w:r>
        <w:rPr>
          <w:rFonts w:hint="eastAsia" w:ascii="宋体" w:hAnsi="宋体" w:cs="宋体"/>
          <w:sz w:val="24"/>
          <w:szCs w:val="20"/>
          <w:highlight w:val="none"/>
          <w:lang w:val="en-US" w:eastAsia="zh-CN"/>
        </w:rPr>
        <w:t xml:space="preserve">2.</w:t>
      </w:r>
      <w:r>
        <w:rPr>
          <w:rFonts w:hint="eastAsia" w:ascii="宋体" w:hAnsi="宋体" w:eastAsia="宋体" w:cs="宋体"/>
          <w:sz w:val="24"/>
          <w:szCs w:val="20"/>
          <w:highlight w:val="none"/>
        </w:rPr>
        <w:t xml:space="preserve">上一年度的财务状况报表（成立不满一年无需提供）；</w:t>
      </w:r>
      <w:r>
        <w:rPr>
          <w:rFonts w:hint="eastAsia" w:ascii="宋体" w:hAnsi="宋体" w:eastAsia="宋体" w:cs="宋体"/>
          <w:sz w:val="24"/>
          <w:szCs w:val="20"/>
          <w:highlight w:val="none"/>
        </w:rPr>
      </w:r>
      <w:r/>
    </w:p>
    <w:p>
      <w:pPr>
        <w:pStyle w:val="976"/>
        <w:ind w:firstLine="480"/>
        <w:jc w:val="left"/>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w:t>
      </w:r>
      <w:r>
        <w:rPr>
          <w:rFonts w:hint="eastAsia" w:ascii="宋体" w:hAnsi="宋体" w:cs="宋体"/>
          <w:sz w:val="24"/>
          <w:szCs w:val="20"/>
          <w:highlight w:val="none"/>
          <w:lang w:eastAsia="zh-CN"/>
        </w:rPr>
        <w:t xml:space="preserve">.</w:t>
      </w:r>
      <w:r>
        <w:rPr>
          <w:rFonts w:hint="eastAsia" w:ascii="宋体" w:hAnsi="宋体" w:eastAsia="宋体" w:cs="宋体"/>
          <w:sz w:val="24"/>
          <w:szCs w:val="20"/>
          <w:highlight w:val="none"/>
        </w:rPr>
        <w:t xml:space="preserve">具备履行合同所必需的设备和专业技术能力的书面声明；</w:t>
      </w:r>
      <w:r>
        <w:rPr>
          <w:rFonts w:hint="eastAsia" w:ascii="宋体" w:hAnsi="宋体" w:eastAsia="宋体" w:cs="宋体"/>
          <w:sz w:val="24"/>
          <w:szCs w:val="20"/>
          <w:highlight w:val="none"/>
        </w:rPr>
      </w:r>
      <w:r/>
    </w:p>
    <w:p>
      <w:pPr>
        <w:pStyle w:val="976"/>
        <w:ind w:firstLine="480"/>
        <w:jc w:val="left"/>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rPr>
        <w:t xml:space="preserve">依法缴纳税收和社会保障资金的相关材料；</w:t>
      </w:r>
      <w:r>
        <w:rPr>
          <w:rFonts w:hint="eastAsia" w:ascii="宋体" w:hAnsi="宋体" w:eastAsia="宋体" w:cs="宋体"/>
          <w:sz w:val="24"/>
          <w:szCs w:val="20"/>
          <w:highlight w:val="none"/>
        </w:rPr>
      </w:r>
      <w:r/>
    </w:p>
    <w:p>
      <w:pPr>
        <w:pStyle w:val="976"/>
        <w:ind w:firstLine="480"/>
        <w:jc w:val="left"/>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rPr>
        <w:t xml:space="preserve">参加政府采购活动前3年内在经营活动中没有重大违法记录的书面声明。</w:t>
      </w:r>
      <w:r>
        <w:rPr>
          <w:rFonts w:hint="eastAsia" w:ascii="宋体" w:hAnsi="宋体" w:eastAsia="宋体" w:cs="宋体"/>
          <w:sz w:val="24"/>
          <w:szCs w:val="20"/>
          <w:highlight w:val="none"/>
        </w:rPr>
      </w:r>
      <w:r/>
    </w:p>
    <w:p>
      <w:pPr>
        <w:pStyle w:val="976"/>
        <w:ind w:firstLine="480"/>
        <w:jc w:val="left"/>
        <w:spacing w:line="500" w:lineRule="exact"/>
        <w:widowControl/>
        <w:rPr>
          <w:rFonts w:hint="eastAsia" w:ascii="宋体" w:hAnsi="宋体" w:eastAsia="宋体" w:cs="宋体"/>
          <w:sz w:val="24"/>
          <w:szCs w:val="20"/>
          <w:highlight w:val="none"/>
        </w:rPr>
      </w:pPr>
      <w:r>
        <w:rPr>
          <w:rFonts w:hint="eastAsia" w:ascii="宋体" w:hAnsi="宋体" w:cs="宋体"/>
          <w:sz w:val="24"/>
          <w:szCs w:val="20"/>
          <w:highlight w:val="none"/>
          <w:lang w:val="en-US" w:eastAsia="zh-CN"/>
        </w:rPr>
        <w:t xml:space="preserve">6</w:t>
      </w:r>
      <w:r>
        <w:rPr>
          <w:rFonts w:hint="eastAsia" w:ascii="宋体" w:hAnsi="宋体" w:eastAsia="宋体" w:cs="宋体"/>
          <w:sz w:val="24"/>
          <w:szCs w:val="20"/>
          <w:highlight w:val="none"/>
        </w:rPr>
        <w:t xml:space="preserve">.法律、行政法规规定的其他条件。</w:t>
      </w:r>
      <w:r>
        <w:rPr>
          <w:rFonts w:hint="eastAsia" w:ascii="宋体" w:hAnsi="宋体" w:eastAsia="宋体" w:cs="宋体"/>
          <w:sz w:val="24"/>
          <w:szCs w:val="20"/>
          <w:highlight w:val="none"/>
        </w:rPr>
      </w:r>
      <w:r/>
    </w:p>
    <w:p>
      <w:pPr>
        <w:pStyle w:val="976"/>
        <w:ind w:firstLine="480"/>
        <w:jc w:val="left"/>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sz w:val="24"/>
          <w:szCs w:val="20"/>
          <w:highlight w:val="none"/>
        </w:rPr>
      </w:r>
      <w:r/>
    </w:p>
    <w:p>
      <w:pPr>
        <w:pStyle w:val="976"/>
        <w:ind w:firstLine="480"/>
        <w:jc w:val="left"/>
        <w:spacing w:line="500" w:lineRule="exact"/>
        <w:widowControl/>
        <w:rPr>
          <w:rFonts w:hint="eastAsia"/>
          <w:highlight w:val="none"/>
        </w:rPr>
      </w:pPr>
      <w:r>
        <w:rPr>
          <w:rFonts w:hint="eastAsia" w:ascii="宋体" w:hAnsi="宋体" w:eastAsia="宋体" w:cs="宋体"/>
          <w:sz w:val="24"/>
          <w:szCs w:val="20"/>
          <w:highlight w:val="none"/>
        </w:rPr>
        <w:t xml:space="preserve">8.单位负责人为同一人或者存在直接控股、管理关系的不同供应商，不得参加同一合同项下的政府采购活动。</w:t>
      </w:r>
      <w:r>
        <w:rPr>
          <w:rFonts w:hint="eastAsia"/>
          <w:highlight w:val="none"/>
        </w:rPr>
      </w:r>
      <w:r/>
    </w:p>
    <w:p>
      <w:pPr>
        <w:pStyle w:val="976"/>
        <w:ind w:firstLine="480"/>
        <w:spacing w:line="500" w:lineRule="exact"/>
        <w:rPr>
          <w:rFonts w:hint="eastAsia" w:ascii="宋体" w:hAnsi="宋体" w:eastAsia="宋体" w:cs="宋体"/>
          <w:b/>
          <w:color w:val="000000"/>
          <w:sz w:val="24"/>
          <w:highlight w:val="none"/>
        </w:rPr>
      </w:pPr>
      <w:r>
        <w:rPr>
          <w:rFonts w:hint="eastAsia" w:ascii="宋体" w:hAnsi="宋体" w:cs="宋体"/>
          <w:sz w:val="24"/>
          <w:szCs w:val="20"/>
          <w:highlight w:val="none"/>
          <w:lang w:val="en-US" w:eastAsia="zh-CN"/>
        </w:rPr>
        <w:t xml:space="preserve">（二</w:t>
      </w:r>
      <w:r>
        <w:rPr>
          <w:rFonts w:hint="eastAsia" w:ascii="宋体" w:hAnsi="宋体" w:cs="宋体"/>
          <w:sz w:val="24"/>
          <w:szCs w:val="20"/>
          <w:highlight w:val="none"/>
          <w:lang w:eastAsia="zh-CN"/>
        </w:rPr>
        <w:t xml:space="preserve">）</w:t>
      </w:r>
      <w:r>
        <w:rPr>
          <w:rFonts w:hint="eastAsia" w:ascii="宋体" w:hAnsi="宋体" w:eastAsia="宋体" w:cs="宋体"/>
          <w:sz w:val="24"/>
          <w:szCs w:val="20"/>
          <w:highlight w:val="none"/>
        </w:rPr>
        <w:t xml:space="preserve">落实政府采购政策需满足的资格要求：</w:t>
      </w:r>
      <w:bookmarkStart w:id="17" w:name="OLE_LINK23"/>
      <w:r/>
      <w:bookmarkStart w:id="18" w:name="OLE_LINK24"/>
      <w:r>
        <w:rPr>
          <w:rFonts w:hint="eastAsia" w:ascii="宋体" w:hAnsi="宋体" w:eastAsia="宋体" w:cs="宋体"/>
          <w:b/>
          <w:color w:val="000000"/>
          <w:sz w:val="24"/>
          <w:highlight w:val="none"/>
        </w:rPr>
        <w:t xml:space="preserve">本项目专门面向中小企业采购。采购标的所属行业为</w:t>
      </w:r>
      <w:r>
        <w:rPr>
          <w:rFonts w:hint="eastAsia" w:ascii="宋体" w:hAnsi="宋体" w:eastAsia="宋体" w:cs="宋体"/>
          <w:b/>
          <w:color w:val="000000"/>
          <w:sz w:val="24"/>
          <w:highlight w:val="none"/>
          <w:u w:val="single"/>
        </w:rPr>
        <w:t xml:space="preserve"> </w:t>
      </w:r>
      <w:r>
        <w:rPr>
          <w:rFonts w:hint="eastAsia" w:ascii="宋体" w:hAnsi="宋体" w:eastAsia="宋体" w:cs="宋体"/>
          <w:b/>
          <w:bCs/>
          <w:sz w:val="24"/>
          <w:szCs w:val="21"/>
          <w:highlight w:val="none"/>
          <w:u w:val="single"/>
        </w:rPr>
        <w:t xml:space="preserve">租赁和商务服务业</w:t>
      </w:r>
      <w:r>
        <w:rPr>
          <w:rFonts w:hint="eastAsia" w:ascii="宋体" w:hAnsi="宋体" w:eastAsia="宋体" w:cs="宋体"/>
          <w:bCs/>
          <w:sz w:val="24"/>
          <w:szCs w:val="21"/>
          <w:highlight w:val="none"/>
        </w:rPr>
        <w:t xml:space="preserve"> </w:t>
      </w:r>
      <w:r>
        <w:rPr>
          <w:rFonts w:hint="eastAsia" w:ascii="宋体" w:hAnsi="宋体" w:eastAsia="宋体" w:cs="宋体"/>
          <w:b/>
          <w:color w:val="000000"/>
          <w:sz w:val="24"/>
          <w:highlight w:val="none"/>
        </w:rPr>
        <w:t xml:space="preserve">，投标人需按照采购文件的要求提供相应的《中小型企业声明函》。企业标准请参照《关于印发中小企业划型标准规定的通知》（工信部联企业[2011]300号）文件规定自行填写。</w:t>
      </w:r>
      <w:r>
        <w:rPr>
          <w:rFonts w:hint="eastAsia" w:ascii="宋体" w:hAnsi="宋体" w:eastAsia="宋体" w:cs="宋体"/>
          <w:b/>
          <w:color w:val="000000"/>
          <w:sz w:val="24"/>
          <w:highlight w:val="none"/>
        </w:rPr>
      </w:r>
      <w:r/>
    </w:p>
    <w:p>
      <w:pPr>
        <w:pStyle w:val="976"/>
        <w:ind w:firstLine="480"/>
        <w:spacing w:line="500" w:lineRule="exact"/>
        <w:rPr>
          <w:rFonts w:ascii="宋体" w:hAnsi="宋体" w:eastAsia="宋体" w:cs="宋体"/>
          <w:sz w:val="24"/>
          <w:szCs w:val="20"/>
          <w:highlight w:val="none"/>
          <w:lang w:val="en-US" w:eastAsia="zh-CN"/>
        </w:rPr>
      </w:pPr>
      <w:r/>
      <w:bookmarkEnd w:id="17"/>
      <w:r/>
      <w:bookmarkEnd w:id="18"/>
      <w:r>
        <w:rPr>
          <w:rFonts w:hint="eastAsia" w:ascii="宋体" w:hAnsi="宋体" w:cs="宋体"/>
          <w:sz w:val="24"/>
          <w:szCs w:val="20"/>
          <w:highlight w:val="none"/>
          <w:lang w:val="en-US" w:eastAsia="zh-CN"/>
        </w:rPr>
        <w:t xml:space="preserve">（三）</w:t>
      </w:r>
      <w:r>
        <w:rPr>
          <w:rFonts w:hint="eastAsia" w:ascii="宋体" w:hAnsi="宋体" w:eastAsia="宋体" w:cs="宋体"/>
          <w:sz w:val="24"/>
          <w:szCs w:val="20"/>
          <w:highlight w:val="none"/>
        </w:rPr>
        <w:t xml:space="preserve">本项目的特定资格要求：</w:t>
      </w:r>
      <w:bookmarkStart w:id="19" w:name="_Hlk157001916"/>
      <w:r>
        <w:rPr>
          <w:rFonts w:hint="eastAsia" w:ascii="宋体" w:hAnsi="宋体" w:cs="宋体"/>
          <w:sz w:val="24"/>
          <w:szCs w:val="20"/>
          <w:highlight w:val="none"/>
          <w:lang w:val="en-US" w:eastAsia="zh-CN"/>
        </w:rPr>
        <w:t xml:space="preserve">无</w:t>
      </w:r>
      <w:r>
        <w:rPr>
          <w:rFonts w:ascii="宋体" w:hAnsi="宋体" w:eastAsia="宋体" w:cs="宋体"/>
          <w:sz w:val="24"/>
          <w:szCs w:val="20"/>
          <w:highlight w:val="none"/>
          <w:lang w:val="en-US" w:eastAsia="zh-CN"/>
        </w:rPr>
      </w:r>
      <w:r/>
    </w:p>
    <w:p>
      <w:pPr>
        <w:pStyle w:val="976"/>
        <w:ind w:firstLine="482"/>
        <w:spacing w:line="500" w:lineRule="exact"/>
        <w:rPr>
          <w:rFonts w:hint="eastAsia" w:ascii="宋体" w:hAnsi="宋体" w:eastAsia="宋体" w:cs="宋体"/>
          <w:b/>
          <w:bCs/>
          <w:sz w:val="24"/>
          <w:szCs w:val="21"/>
          <w:highlight w:val="none"/>
        </w:rPr>
      </w:pPr>
      <w:r/>
      <w:bookmarkEnd w:id="19"/>
      <w:r>
        <w:rPr>
          <w:rFonts w:hint="eastAsia" w:ascii="宋体" w:hAnsi="宋体" w:eastAsia="宋体" w:cs="宋体"/>
          <w:b/>
          <w:bCs/>
          <w:sz w:val="24"/>
          <w:szCs w:val="21"/>
          <w:highlight w:val="none"/>
        </w:rPr>
        <w:t xml:space="preserve">三、获取招标文件</w:t>
      </w:r>
      <w:r>
        <w:rPr>
          <w:rFonts w:hint="eastAsia" w:ascii="宋体" w:hAnsi="宋体" w:eastAsia="宋体" w:cs="宋体"/>
          <w:b/>
          <w:bCs/>
          <w:sz w:val="24"/>
          <w:szCs w:val="21"/>
          <w:highlight w:val="none"/>
        </w:rPr>
      </w:r>
      <w:r/>
    </w:p>
    <w:p>
      <w:pPr>
        <w:pStyle w:val="976"/>
        <w:ind w:firstLine="480"/>
        <w:spacing w:line="500" w:lineRule="exact"/>
        <w:rPr>
          <w:rFonts w:hint="eastAsia" w:ascii="宋体" w:hAnsi="宋体" w:eastAsia="宋体" w:cs="宋体"/>
          <w:color w:val="000000"/>
          <w:sz w:val="24"/>
          <w:szCs w:val="21"/>
          <w:highlight w:val="none"/>
        </w:rPr>
      </w:pPr>
      <w:r>
        <w:rPr>
          <w:rFonts w:hint="eastAsia" w:ascii="宋体" w:hAnsi="宋体" w:eastAsia="宋体" w:cs="宋体"/>
          <w:sz w:val="24"/>
          <w:highlight w:val="none"/>
        </w:rPr>
        <w:t xml:space="preserve">1.采购文件获取截止时间</w:t>
      </w:r>
      <w:r>
        <w:rPr>
          <w:rFonts w:hint="eastAsia" w:ascii="宋体" w:hAnsi="宋体" w:eastAsia="宋体" w:cs="宋体"/>
          <w:bCs/>
          <w:color w:val="000000"/>
          <w:sz w:val="24"/>
          <w:highlight w:val="none"/>
        </w:rPr>
        <w:t xml:space="preserve">2025年</w:t>
      </w:r>
      <w:r>
        <w:rPr>
          <w:rFonts w:hint="eastAsia" w:ascii="宋体" w:hAnsi="宋体" w:cs="宋体"/>
          <w:bCs/>
          <w:color w:val="000000"/>
          <w:sz w:val="24"/>
          <w:highlight w:val="none"/>
          <w:u w:val="single"/>
          <w:lang w:val="en-US" w:eastAsia="zh-CN"/>
        </w:rPr>
        <w:t xml:space="preserve">12</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cs="宋体"/>
          <w:bCs/>
          <w:color w:val="000000"/>
          <w:sz w:val="24"/>
          <w:highlight w:val="none"/>
          <w:u w:val="single"/>
          <w:lang w:val="en-US" w:eastAsia="zh-CN"/>
        </w:rPr>
        <w:t xml:space="preserve">5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lang w:val="en-US" w:eastAsia="zh-CN"/>
        </w:rPr>
        <w:t xml:space="preserve">上</w:t>
      </w:r>
      <w:r>
        <w:rPr>
          <w:rFonts w:hint="eastAsia" w:ascii="宋体" w:hAnsi="宋体" w:eastAsia="宋体" w:cs="宋体"/>
          <w:sz w:val="24"/>
          <w:szCs w:val="21"/>
          <w:highlight w:val="none"/>
        </w:rPr>
        <w:t xml:space="preserve">午</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09</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val="en-US" w:eastAsia="zh-CN"/>
        </w:rPr>
        <w:t xml:space="preserve">00</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（北京时间）；</w:t>
      </w:r>
      <w:r>
        <w:rPr>
          <w:rFonts w:hint="eastAsia" w:ascii="宋体" w:hAnsi="宋体" w:eastAsia="宋体" w:cs="宋体"/>
          <w:color w:val="000000"/>
          <w:sz w:val="24"/>
          <w:szCs w:val="21"/>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2.地点：“苏采云”系统内免费下载（投标人必须在苏采云系统中获取采购文件，方能参与政府采购项目）；</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3.方式：本项目采用网上注册登记方式。</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4.文件售价：免费</w:t>
      </w:r>
      <w:r>
        <w:rPr>
          <w:rFonts w:hint="eastAsia" w:ascii="宋体" w:hAnsi="宋体" w:eastAsia="宋体" w:cs="宋体"/>
          <w:sz w:val="24"/>
          <w:highlight w:val="none"/>
        </w:rPr>
      </w:r>
      <w:r/>
    </w:p>
    <w:p>
      <w:pPr>
        <w:pStyle w:val="976"/>
        <w:ind w:firstLine="480"/>
        <w:spacing w:line="560" w:lineRule="exact"/>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四、提交投标文件截止时间、开标时间和地点</w:t>
      </w:r>
      <w:r>
        <w:rPr>
          <w:rFonts w:hint="eastAsia" w:ascii="宋体" w:hAnsi="宋体" w:eastAsia="宋体" w:cs="宋体"/>
          <w:b/>
          <w:bCs/>
          <w:sz w:val="24"/>
          <w:szCs w:val="20"/>
          <w:highlight w:val="none"/>
        </w:rPr>
      </w:r>
      <w:r/>
    </w:p>
    <w:p>
      <w:pPr>
        <w:pStyle w:val="976"/>
        <w:ind w:firstLine="480"/>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1.时间：2025年</w:t>
      </w:r>
      <w:r>
        <w:rPr>
          <w:rFonts w:hint="eastAsia" w:ascii="宋体" w:hAnsi="宋体" w:cs="宋体"/>
          <w:sz w:val="24"/>
          <w:szCs w:val="20"/>
          <w:highlight w:val="none"/>
          <w:lang w:val="en-US" w:eastAsia="zh-CN"/>
        </w:rPr>
        <w:t xml:space="preserve">12</w:t>
      </w:r>
      <w:r>
        <w:rPr>
          <w:rFonts w:hint="eastAsia" w:ascii="宋体" w:hAnsi="宋体" w:eastAsia="宋体" w:cs="宋体"/>
          <w:sz w:val="24"/>
          <w:szCs w:val="20"/>
          <w:highlight w:val="none"/>
        </w:rPr>
        <w:t xml:space="preserve">月</w:t>
      </w:r>
      <w:r>
        <w:rPr>
          <w:rFonts w:hint="eastAsia" w:ascii="宋体" w:hAnsi="宋体" w:cs="宋体"/>
          <w:sz w:val="24"/>
          <w:szCs w:val="20"/>
          <w:highlight w:val="none"/>
          <w:u w:val="none"/>
          <w:lang w:val="en-US" w:eastAsia="zh-CN"/>
        </w:rPr>
        <w:t xml:space="preserve"> 5</w:t>
      </w:r>
      <w:r>
        <w:rPr>
          <w:rFonts w:hint="eastAsia" w:ascii="宋体" w:hAnsi="宋体" w:eastAsia="宋体" w:cs="宋体"/>
          <w:sz w:val="24"/>
          <w:szCs w:val="20"/>
          <w:highlight w:val="none"/>
        </w:rPr>
        <w:t xml:space="preserve">日9点</w:t>
      </w:r>
      <w:r>
        <w:rPr>
          <w:rFonts w:hint="eastAsia" w:ascii="宋体" w:hAnsi="宋体" w:cs="宋体"/>
          <w:sz w:val="24"/>
          <w:szCs w:val="20"/>
          <w:highlight w:val="none"/>
          <w:lang w:val="en-US" w:eastAsia="zh-CN"/>
        </w:rPr>
        <w:t xml:space="preserve">0</w:t>
      </w:r>
      <w:r>
        <w:rPr>
          <w:rFonts w:hint="eastAsia" w:ascii="宋体" w:hAnsi="宋体" w:eastAsia="宋体" w:cs="宋体"/>
          <w:sz w:val="24"/>
          <w:szCs w:val="20"/>
          <w:highlight w:val="none"/>
        </w:rPr>
        <w:t xml:space="preserve">0分（北京时间）</w:t>
      </w:r>
      <w:r>
        <w:rPr>
          <w:rFonts w:hint="eastAsia" w:ascii="宋体" w:hAnsi="宋体" w:eastAsia="宋体" w:cs="宋体"/>
          <w:sz w:val="24"/>
          <w:szCs w:val="20"/>
          <w:highlight w:val="none"/>
        </w:rPr>
      </w:r>
      <w:r/>
    </w:p>
    <w:p>
      <w:pPr>
        <w:pStyle w:val="976"/>
        <w:ind w:firstLine="480"/>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2.地点：苏采云“不见面”开标大厅。</w:t>
      </w:r>
      <w:r>
        <w:rPr>
          <w:rFonts w:hint="eastAsia" w:ascii="宋体" w:hAnsi="宋体" w:eastAsia="宋体" w:cs="宋体"/>
          <w:sz w:val="24"/>
          <w:szCs w:val="20"/>
          <w:highlight w:val="none"/>
        </w:rPr>
      </w:r>
      <w:r/>
    </w:p>
    <w:p>
      <w:pPr>
        <w:pStyle w:val="976"/>
        <w:ind w:firstLine="480"/>
        <w:spacing w:line="560" w:lineRule="exact"/>
        <w:widowControl/>
        <w:rPr>
          <w:rFonts w:hint="eastAsia" w:ascii="宋体" w:hAnsi="宋体" w:eastAsia="宋体" w:cs="宋体"/>
          <w:b/>
          <w:bCs/>
          <w:sz w:val="24"/>
          <w:szCs w:val="20"/>
          <w:highlight w:val="none"/>
        </w:rPr>
      </w:pPr>
      <w:r/>
      <w:bookmarkStart w:id="20" w:name="_Toc35393625"/>
      <w:r/>
      <w:bookmarkStart w:id="21" w:name="_Toc28359007"/>
      <w:r/>
      <w:bookmarkStart w:id="22" w:name="_Toc28359084"/>
      <w:r/>
      <w:bookmarkStart w:id="23" w:name="_Toc35393794"/>
      <w:r/>
      <w:bookmarkStart w:id="24" w:name="_Toc38985267"/>
      <w:r>
        <w:rPr>
          <w:rFonts w:hint="eastAsia" w:ascii="宋体" w:hAnsi="宋体" w:eastAsia="宋体" w:cs="宋体"/>
          <w:b/>
          <w:bCs/>
          <w:sz w:val="24"/>
          <w:szCs w:val="20"/>
          <w:highlight w:val="none"/>
        </w:rPr>
        <w:t xml:space="preserve">五、公告期限</w:t>
      </w:r>
      <w:bookmarkEnd w:id="20"/>
      <w:r/>
      <w:bookmarkEnd w:id="21"/>
      <w:r/>
      <w:bookmarkEnd w:id="22"/>
      <w:r/>
      <w:bookmarkEnd w:id="23"/>
      <w:r/>
      <w:bookmarkEnd w:id="24"/>
      <w:r>
        <w:rPr>
          <w:rFonts w:hint="eastAsia" w:ascii="宋体" w:hAnsi="宋体" w:eastAsia="宋体" w:cs="宋体"/>
          <w:b/>
          <w:bCs/>
          <w:sz w:val="24"/>
          <w:szCs w:val="20"/>
          <w:highlight w:val="none"/>
        </w:rPr>
      </w:r>
      <w:r/>
    </w:p>
    <w:p>
      <w:pPr>
        <w:pStyle w:val="976"/>
        <w:ind w:firstLine="480"/>
        <w:spacing w:line="560" w:lineRule="exact"/>
        <w:widowControl/>
        <w:rPr>
          <w:rFonts w:hint="eastAsia" w:ascii="宋体" w:hAnsi="宋体" w:eastAsia="宋体" w:cs="宋体"/>
          <w:sz w:val="24"/>
          <w:szCs w:val="20"/>
          <w:highlight w:val="none"/>
        </w:rPr>
      </w:pPr>
      <w:r/>
      <w:bookmarkStart w:id="25" w:name="_Toc35393626"/>
      <w:r/>
      <w:bookmarkStart w:id="26" w:name="_Toc35393795"/>
      <w:r/>
      <w:bookmarkStart w:id="27" w:name="_Toc38985268"/>
      <w:r>
        <w:rPr>
          <w:rFonts w:hint="eastAsia" w:ascii="宋体" w:hAnsi="宋体" w:eastAsia="宋体" w:cs="宋体"/>
          <w:sz w:val="24"/>
          <w:szCs w:val="20"/>
          <w:highlight w:val="none"/>
        </w:rPr>
        <w:t xml:space="preserve">自本公告发布之日起5个工作日。</w:t>
      </w:r>
      <w:bookmarkEnd w:id="25"/>
      <w:r/>
      <w:bookmarkEnd w:id="26"/>
      <w:r/>
      <w:bookmarkEnd w:id="27"/>
      <w:r>
        <w:rPr>
          <w:rFonts w:hint="eastAsia" w:ascii="宋体" w:hAnsi="宋体" w:eastAsia="宋体" w:cs="宋体"/>
          <w:sz w:val="24"/>
          <w:szCs w:val="20"/>
          <w:highlight w:val="none"/>
        </w:rPr>
      </w:r>
      <w:r/>
    </w:p>
    <w:p>
      <w:pPr>
        <w:pStyle w:val="1206"/>
        <w:ind w:firstLine="482"/>
        <w:jc w:val="both"/>
        <w:spacing w:before="0" w:beforeAutospacing="0" w:after="0" w:afterAutospacing="0" w:line="500" w:lineRule="exact"/>
        <w:shd w:val="clear" w:color="auto" w:fill="ffffff"/>
        <w:rPr>
          <w:rFonts w:hint="eastAsia" w:ascii="宋体" w:hAnsi="宋体" w:eastAsia="宋体" w:cs="宋体"/>
          <w:b/>
          <w:bCs/>
          <w:highlight w:val="none"/>
        </w:rPr>
      </w:pPr>
      <w:r>
        <w:rPr>
          <w:rFonts w:hint="eastAsia" w:ascii="宋体" w:hAnsi="宋体" w:eastAsia="宋体" w:cs="宋体"/>
          <w:b/>
          <w:bCs/>
          <w:highlight w:val="none"/>
        </w:rPr>
        <w:t xml:space="preserve">六、其他补充事宜                                                          </w:t>
      </w:r>
      <w:r>
        <w:rPr>
          <w:rFonts w:hint="eastAsia" w:ascii="宋体" w:hAnsi="宋体" w:eastAsia="宋体" w:cs="宋体"/>
          <w:b/>
          <w:bCs/>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2.潜在供应商访问电子招标响应交易平台的网络地址和方法：</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2.2 潜在投标人访问“苏采云”系统方法：江苏省政府采购网首页－“苏采云”链接。</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2.3 采购文件（后缀名为“.kedt”）、供应商操作手册及政府采购客户端工具可通过“苏采云”系统相应链接进行下载。</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2.4 采购代理机构将数据电文形式的采购文件加载至“苏采云”系统，供潜在供应商下载或者查阅。</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2.5 请潜在投标单位提前安装相应的控件（详见《“苏采云”系统供应商操作手册》）并使用谷歌浏览器登录“苏采云”系统参与不见面开评标。</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如潜在投标人未按上述要求操作，将自行承担所产生的风险。</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3.有关本次招标的事项若存在变动或修改，敬请及时关注在“中国政府采购网”“江苏政府采购网”“盐城市政府采购网”发布的更正公告。</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4.本次招标不收取投标保证金，不收取质量保证金。</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七、凡对本次采购提出询问，请按以下方式联系</w:t>
      </w:r>
      <w:r>
        <w:rPr>
          <w:rFonts w:hint="eastAsia" w:ascii="宋体" w:hAnsi="宋体" w:eastAsia="宋体" w:cs="宋体"/>
          <w:sz w:val="24"/>
          <w:highlight w:val="none"/>
        </w:rPr>
      </w:r>
      <w:r/>
    </w:p>
    <w:p>
      <w:pPr>
        <w:pStyle w:val="976"/>
        <w:ind w:firstLine="480"/>
        <w:spacing w:line="500" w:lineRule="exact"/>
        <w:rPr>
          <w:rFonts w:hint="eastAsia" w:ascii="宋体" w:hAnsi="宋体"/>
          <w:sz w:val="24"/>
          <w:highlight w:val="none"/>
        </w:rPr>
      </w:pPr>
      <w:r/>
      <w:bookmarkEnd w:id="7"/>
      <w:r/>
      <w:bookmarkEnd w:id="8"/>
      <w:r/>
      <w:bookmarkEnd w:id="9"/>
      <w:r>
        <w:rPr>
          <w:rFonts w:hint="eastAsia" w:ascii="宋体" w:hAnsi="宋体"/>
          <w:sz w:val="24"/>
          <w:highlight w:val="none"/>
        </w:rPr>
        <w:t xml:space="preserve">1.采购人信息</w:t>
      </w:r>
      <w:r>
        <w:rPr>
          <w:rFonts w:hint="eastAsia" w:ascii="宋体" w:hAnsi="宋体"/>
          <w:sz w:val="24"/>
          <w:highlight w:val="none"/>
        </w:rPr>
      </w:r>
      <w:r/>
    </w:p>
    <w:p>
      <w:pPr>
        <w:pStyle w:val="976"/>
        <w:ind w:firstLine="480"/>
        <w:spacing w:line="500" w:lineRule="exact"/>
        <w:rPr>
          <w:rFonts w:hint="eastAsia" w:ascii="宋体" w:hAnsi="宋体"/>
          <w:sz w:val="24"/>
          <w:highlight w:val="none"/>
        </w:rPr>
      </w:pPr>
      <w:r>
        <w:rPr>
          <w:rFonts w:hint="eastAsia" w:ascii="宋体" w:hAnsi="宋体"/>
          <w:sz w:val="24"/>
          <w:highlight w:val="none"/>
        </w:rPr>
        <w:t xml:space="preserve">单位名称：盐城经济技术开发区新城街道办事处</w:t>
      </w:r>
      <w:r>
        <w:rPr>
          <w:rFonts w:hint="eastAsia" w:ascii="宋体" w:hAnsi="宋体"/>
          <w:sz w:val="24"/>
          <w:highlight w:val="none"/>
        </w:rPr>
      </w:r>
      <w:r/>
    </w:p>
    <w:p>
      <w:pPr>
        <w:pStyle w:val="976"/>
        <w:ind w:firstLine="480"/>
        <w:spacing w:line="500" w:lineRule="exact"/>
        <w:rPr>
          <w:rFonts w:hint="eastAsia" w:ascii="宋体" w:hAnsi="宋体"/>
          <w:sz w:val="24"/>
          <w:highlight w:val="none"/>
          <w:lang w:val="en-US" w:eastAsia="zh-CN"/>
        </w:rPr>
      </w:pPr>
      <w:r>
        <w:rPr>
          <w:rFonts w:hint="eastAsia" w:ascii="宋体" w:hAnsi="宋体"/>
          <w:sz w:val="24"/>
          <w:highlight w:val="none"/>
        </w:rPr>
        <w:t xml:space="preserve">单位地址：盐城经济技术开发区</w:t>
      </w:r>
      <w:r>
        <w:rPr>
          <w:rFonts w:hint="eastAsia" w:ascii="宋体" w:hAnsi="宋体"/>
          <w:sz w:val="24"/>
          <w:highlight w:val="none"/>
          <w:lang w:val="en-US" w:eastAsia="zh-CN"/>
        </w:rPr>
        <w:t xml:space="preserve">雨露花园1号综合楼</w:t>
      </w:r>
      <w:r>
        <w:rPr>
          <w:rFonts w:hint="eastAsia" w:ascii="宋体" w:hAnsi="宋体"/>
          <w:sz w:val="24"/>
          <w:highlight w:val="none"/>
          <w:lang w:val="en-US" w:eastAsia="zh-CN"/>
        </w:rPr>
      </w:r>
      <w:r/>
    </w:p>
    <w:p>
      <w:pPr>
        <w:pStyle w:val="976"/>
        <w:ind w:firstLine="480"/>
        <w:spacing w:line="500" w:lineRule="exact"/>
        <w:rPr>
          <w:rFonts w:hint="eastAsia" w:ascii="宋体" w:hAnsi="宋体"/>
          <w:sz w:val="24"/>
          <w:highlight w:val="none"/>
        </w:rPr>
      </w:pPr>
      <w:r>
        <w:rPr>
          <w:rFonts w:hint="eastAsia" w:ascii="宋体" w:hAnsi="宋体"/>
          <w:sz w:val="24"/>
          <w:highlight w:val="none"/>
        </w:rPr>
        <w:t xml:space="preserve">联系人：龚勇杰 </w:t>
      </w:r>
      <w:r>
        <w:rPr>
          <w:rFonts w:hint="eastAsia" w:ascii="宋体" w:hAnsi="宋体"/>
          <w:sz w:val="24"/>
          <w:highlight w:val="none"/>
        </w:rPr>
      </w:r>
      <w:r/>
    </w:p>
    <w:p>
      <w:pPr>
        <w:pStyle w:val="976"/>
        <w:ind w:firstLine="480"/>
        <w:spacing w:line="500" w:lineRule="exact"/>
        <w:rPr>
          <w:rFonts w:hint="eastAsia" w:ascii="宋体" w:hAnsi="宋体"/>
          <w:sz w:val="24"/>
          <w:highlight w:val="none"/>
        </w:rPr>
      </w:pPr>
      <w:r>
        <w:rPr>
          <w:rFonts w:hint="eastAsia" w:ascii="宋体" w:hAnsi="宋体"/>
          <w:sz w:val="24"/>
          <w:highlight w:val="none"/>
        </w:rPr>
        <w:t xml:space="preserve">联系电话：13770017978</w:t>
      </w:r>
      <w:r>
        <w:rPr>
          <w:rFonts w:hint="eastAsia" w:ascii="宋体" w:hAnsi="宋体"/>
          <w:sz w:val="24"/>
          <w:highlight w:val="none"/>
        </w:rPr>
      </w:r>
      <w:r/>
    </w:p>
    <w:p>
      <w:pPr>
        <w:pStyle w:val="976"/>
        <w:ind w:firstLine="480"/>
        <w:spacing w:line="500" w:lineRule="exact"/>
        <w:rPr>
          <w:rFonts w:hint="eastAsia" w:ascii="宋体" w:hAnsi="宋体"/>
          <w:sz w:val="24"/>
          <w:highlight w:val="none"/>
        </w:rPr>
      </w:pPr>
      <w:r>
        <w:rPr>
          <w:rFonts w:hint="eastAsia" w:ascii="宋体" w:hAnsi="宋体"/>
          <w:sz w:val="24"/>
          <w:highlight w:val="none"/>
        </w:rPr>
        <w:t xml:space="preserve">2.采购代理机构信息（如有）</w:t>
      </w:r>
      <w:r>
        <w:rPr>
          <w:rFonts w:hint="eastAsia" w:ascii="宋体" w:hAnsi="宋体"/>
          <w:sz w:val="24"/>
          <w:highlight w:val="none"/>
        </w:rPr>
      </w:r>
      <w:r/>
    </w:p>
    <w:p>
      <w:pPr>
        <w:pStyle w:val="976"/>
        <w:ind w:firstLine="480"/>
        <w:spacing w:line="500" w:lineRule="exact"/>
        <w:rPr>
          <w:rFonts w:hint="eastAsia" w:ascii="宋体" w:hAnsi="宋体"/>
          <w:sz w:val="24"/>
          <w:highlight w:val="none"/>
        </w:rPr>
      </w:pPr>
      <w:r>
        <w:rPr>
          <w:rFonts w:hint="eastAsia" w:ascii="宋体" w:hAnsi="宋体"/>
          <w:sz w:val="24"/>
          <w:highlight w:val="none"/>
        </w:rPr>
        <w:t xml:space="preserve">单位名称：盐城立信造价工程师事务所有限公司</w:t>
      </w:r>
      <w:r>
        <w:rPr>
          <w:rFonts w:hint="eastAsia" w:ascii="宋体" w:hAnsi="宋体"/>
          <w:sz w:val="24"/>
          <w:highlight w:val="none"/>
        </w:rPr>
      </w:r>
      <w:r/>
    </w:p>
    <w:p>
      <w:pPr>
        <w:pStyle w:val="976"/>
        <w:ind w:firstLine="480"/>
        <w:spacing w:line="500" w:lineRule="exact"/>
        <w:rPr>
          <w:rFonts w:hint="eastAsia" w:ascii="宋体" w:hAnsi="宋体"/>
          <w:sz w:val="24"/>
          <w:highlight w:val="none"/>
        </w:rPr>
      </w:pPr>
      <w:r>
        <w:rPr>
          <w:rFonts w:hint="eastAsia" w:ascii="宋体" w:hAnsi="宋体"/>
          <w:sz w:val="24"/>
          <w:highlight w:val="none"/>
        </w:rPr>
        <w:t xml:space="preserve">单位地址：盐城市中南城购物中心金座九楼909室</w:t>
      </w:r>
      <w:r>
        <w:rPr>
          <w:rFonts w:hint="eastAsia" w:ascii="宋体" w:hAnsi="宋体"/>
          <w:sz w:val="24"/>
          <w:highlight w:val="none"/>
        </w:rPr>
      </w:r>
      <w:r/>
    </w:p>
    <w:p>
      <w:pPr>
        <w:pStyle w:val="976"/>
        <w:ind w:firstLine="480"/>
        <w:spacing w:line="500" w:lineRule="exact"/>
        <w:rPr>
          <w:rFonts w:hint="eastAsia" w:ascii="宋体" w:hAnsi="宋体"/>
          <w:sz w:val="24"/>
          <w:highlight w:val="none"/>
        </w:rPr>
      </w:pPr>
      <w:r>
        <w:rPr>
          <w:rFonts w:hint="eastAsia" w:ascii="宋体" w:hAnsi="宋体"/>
          <w:sz w:val="24"/>
          <w:highlight w:val="none"/>
        </w:rPr>
        <w:t xml:space="preserve">联系人：韩磊</w:t>
      </w:r>
      <w:r>
        <w:rPr>
          <w:rFonts w:hint="eastAsia" w:ascii="宋体" w:hAnsi="宋体"/>
          <w:sz w:val="24"/>
          <w:highlight w:val="none"/>
        </w:rPr>
      </w:r>
      <w:r/>
    </w:p>
    <w:p>
      <w:pPr>
        <w:pStyle w:val="976"/>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联系电话：</w:t>
      </w:r>
      <w:r>
        <w:rPr>
          <w:rFonts w:hint="eastAsia" w:ascii="宋体" w:hAnsi="宋体"/>
          <w:sz w:val="24"/>
          <w:highlight w:val="none"/>
          <w:lang w:eastAsia="zh-CN"/>
        </w:rPr>
        <w:t xml:space="preserve">19106223739</w:t>
      </w:r>
      <w:r>
        <w:rPr>
          <w:rFonts w:hint="eastAsia" w:ascii="宋体" w:hAnsi="宋体" w:eastAsia="宋体"/>
          <w:sz w:val="24"/>
          <w:highlight w:val="none"/>
          <w:lang w:eastAsia="zh-CN"/>
        </w:rPr>
      </w:r>
      <w:r/>
    </w:p>
    <w:p>
      <w:pPr>
        <w:pStyle w:val="976"/>
        <w:ind w:firstLine="480"/>
        <w:spacing w:line="500" w:lineRule="exact"/>
        <w:rPr>
          <w:rFonts w:hint="eastAsia" w:ascii="宋体" w:hAnsi="宋体"/>
          <w:sz w:val="24"/>
          <w:highlight w:val="none"/>
        </w:rPr>
      </w:pPr>
      <w:r>
        <w:rPr>
          <w:rFonts w:hint="eastAsia" w:ascii="宋体" w:hAnsi="宋体"/>
          <w:sz w:val="24"/>
          <w:highlight w:val="none"/>
        </w:rPr>
        <w:t xml:space="preserve">3.项目联系方式</w:t>
      </w:r>
      <w:r>
        <w:rPr>
          <w:rFonts w:hint="eastAsia" w:ascii="宋体" w:hAnsi="宋体"/>
          <w:sz w:val="24"/>
          <w:highlight w:val="none"/>
        </w:rPr>
      </w:r>
      <w:r/>
    </w:p>
    <w:p>
      <w:pPr>
        <w:pStyle w:val="976"/>
        <w:ind w:firstLine="480"/>
        <w:spacing w:line="500" w:lineRule="exact"/>
        <w:rPr>
          <w:rFonts w:hint="eastAsia" w:ascii="宋体" w:hAnsi="宋体"/>
          <w:sz w:val="24"/>
          <w:highlight w:val="none"/>
        </w:rPr>
      </w:pPr>
      <w:r>
        <w:rPr>
          <w:rFonts w:hint="eastAsia" w:ascii="宋体" w:hAnsi="宋体"/>
          <w:sz w:val="24"/>
          <w:highlight w:val="none"/>
        </w:rPr>
        <w:t xml:space="preserve">项目联系人：韩磊</w:t>
      </w:r>
      <w:r>
        <w:rPr>
          <w:rFonts w:hint="eastAsia" w:ascii="宋体" w:hAnsi="宋体"/>
          <w:sz w:val="24"/>
          <w:highlight w:val="none"/>
        </w:rPr>
      </w:r>
      <w:r/>
    </w:p>
    <w:p>
      <w:pPr>
        <w:pStyle w:val="976"/>
        <w:ind w:firstLine="480"/>
        <w:spacing w:line="500" w:lineRule="exact"/>
        <w:rPr>
          <w:rFonts w:hint="eastAsia" w:ascii="宋体" w:hAnsi="宋体" w:eastAsia="宋体"/>
          <w:sz w:val="24"/>
          <w:highlight w:val="none"/>
          <w:lang w:eastAsia="zh-CN"/>
        </w:rPr>
      </w:pPr>
      <w:r>
        <w:rPr>
          <w:rFonts w:hint="eastAsia" w:ascii="宋体" w:hAnsi="宋体"/>
          <w:sz w:val="24"/>
          <w:highlight w:val="none"/>
        </w:rPr>
        <w:t xml:space="preserve">电话：</w:t>
      </w:r>
      <w:r>
        <w:rPr>
          <w:rFonts w:hint="eastAsia" w:ascii="宋体" w:hAnsi="宋体"/>
          <w:sz w:val="24"/>
          <w:highlight w:val="none"/>
          <w:lang w:eastAsia="zh-CN"/>
        </w:rPr>
        <w:t xml:space="preserve">19106223739</w:t>
      </w:r>
      <w:r>
        <w:rPr>
          <w:rFonts w:hint="eastAsia" w:ascii="宋体" w:hAnsi="宋体" w:eastAsia="宋体"/>
          <w:sz w:val="24"/>
          <w:highlight w:val="none"/>
          <w:lang w:eastAsia="zh-CN"/>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r>
      <w:r/>
    </w:p>
    <w:p>
      <w:pPr>
        <w:pStyle w:val="976"/>
        <w:ind w:firstLine="3080"/>
        <w:spacing w:line="500" w:lineRule="exact"/>
        <w:rPr>
          <w:rFonts w:hint="eastAsia" w:ascii="宋体" w:hAnsi="宋体" w:eastAsia="宋体" w:cs="宋体"/>
          <w:b/>
          <w:bCs/>
          <w:color w:val="000000"/>
          <w:sz w:val="44"/>
          <w:szCs w:val="44"/>
          <w:highlight w:val="none"/>
        </w:rPr>
      </w:pPr>
      <w:r>
        <w:rPr>
          <w:rFonts w:hint="eastAsia" w:ascii="宋体" w:hAnsi="宋体" w:eastAsia="宋体" w:cs="宋体"/>
          <w:color w:val="000000"/>
          <w:sz w:val="44"/>
          <w:szCs w:val="44"/>
          <w:highlight w:val="none"/>
        </w:rPr>
        <w:t xml:space="preserve">第二章</w:t>
      </w:r>
      <w:bookmarkStart w:id="28" w:name="_Toc513029202"/>
      <w:r/>
      <w:bookmarkStart w:id="29" w:name="_Toc120614213"/>
      <w:r/>
      <w:bookmarkStart w:id="30" w:name="_Toc20823274"/>
      <w:r/>
      <w:bookmarkStart w:id="31" w:name="_Toc16938518"/>
      <w:r>
        <w:rPr>
          <w:rFonts w:hint="eastAsia" w:ascii="宋体" w:hAnsi="宋体" w:eastAsia="宋体" w:cs="宋体"/>
          <w:color w:val="000000"/>
          <w:sz w:val="44"/>
          <w:szCs w:val="44"/>
          <w:highlight w:val="none"/>
        </w:rPr>
        <w:t xml:space="preserve">　投标人</w:t>
      </w:r>
      <w:r>
        <w:rPr>
          <w:rFonts w:hint="eastAsia" w:ascii="宋体" w:hAnsi="宋体" w:eastAsia="宋体" w:cs="宋体"/>
          <w:b/>
          <w:bCs/>
          <w:color w:val="000000"/>
          <w:sz w:val="44"/>
          <w:szCs w:val="44"/>
          <w:highlight w:val="none"/>
        </w:rPr>
        <w:t xml:space="preserve">须知</w:t>
      </w:r>
      <w:bookmarkEnd w:id="28"/>
      <w:r/>
      <w:bookmarkEnd w:id="29"/>
      <w:r/>
      <w:bookmarkEnd w:id="30"/>
      <w:r/>
      <w:bookmarkEnd w:id="31"/>
      <w:r>
        <w:rPr>
          <w:rFonts w:hint="eastAsia" w:ascii="宋体" w:hAnsi="宋体" w:eastAsia="宋体" w:cs="宋体"/>
          <w:b/>
          <w:bCs/>
          <w:color w:val="000000"/>
          <w:sz w:val="44"/>
          <w:szCs w:val="44"/>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ind w:firstLine="482"/>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一、总则</w:t>
      </w:r>
      <w:r>
        <w:rPr>
          <w:rFonts w:hint="eastAsia" w:ascii="宋体" w:hAnsi="宋体" w:eastAsia="宋体" w:cs="宋体"/>
          <w:b/>
          <w:bCs/>
          <w:sz w:val="24"/>
          <w:szCs w:val="20"/>
          <w:highlight w:val="none"/>
          <w:lang w:val="zh-CN"/>
        </w:rPr>
      </w:r>
      <w:r/>
    </w:p>
    <w:p>
      <w:pPr>
        <w:pStyle w:val="976"/>
        <w:ind w:firstLine="482"/>
        <w:spacing w:line="500" w:lineRule="exact"/>
        <w:widowControl/>
        <w:rPr>
          <w:rFonts w:hint="eastAsia" w:ascii="宋体" w:hAnsi="宋体" w:eastAsia="宋体" w:cs="宋体"/>
          <w:b/>
          <w:bCs/>
          <w:sz w:val="24"/>
          <w:szCs w:val="20"/>
          <w:highlight w:val="none"/>
          <w:lang w:val="zh-CN"/>
        </w:rPr>
      </w:pPr>
      <w:r/>
      <w:bookmarkStart w:id="32" w:name="_Toc16938520"/>
      <w:r/>
      <w:bookmarkStart w:id="33" w:name="_Toc513029204"/>
      <w:r/>
      <w:bookmarkStart w:id="34" w:name="_Toc458694821"/>
      <w:r/>
      <w:bookmarkStart w:id="35" w:name="_Toc20823276"/>
      <w:r>
        <w:rPr>
          <w:rFonts w:hint="eastAsia" w:ascii="宋体" w:hAnsi="宋体" w:eastAsia="宋体" w:cs="宋体"/>
          <w:b/>
          <w:bCs/>
          <w:sz w:val="24"/>
          <w:szCs w:val="20"/>
          <w:highlight w:val="none"/>
          <w:lang w:val="zh-CN"/>
        </w:rPr>
        <w:t xml:space="preserve">1</w:t>
      </w:r>
      <w:bookmarkEnd w:id="32"/>
      <w:r>
        <w:rPr>
          <w:rFonts w:hint="eastAsia" w:ascii="宋体" w:hAnsi="宋体" w:eastAsia="宋体" w:cs="宋体"/>
          <w:b/>
          <w:bCs/>
          <w:sz w:val="24"/>
          <w:szCs w:val="20"/>
          <w:highlight w:val="none"/>
          <w:lang w:val="zh-CN"/>
        </w:rPr>
        <w:t xml:space="preserve">、招标方式</w:t>
      </w:r>
      <w:bookmarkEnd w:id="33"/>
      <w:r/>
      <w:bookmarkEnd w:id="34"/>
      <w:r/>
      <w:bookmarkEnd w:id="35"/>
      <w:r>
        <w:rPr>
          <w:rFonts w:hint="eastAsia" w:ascii="宋体" w:hAnsi="宋体" w:eastAsia="宋体" w:cs="宋体"/>
          <w:b/>
          <w:bCs/>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1.1本次招标采取公开招标方式，本招标文件仅适用于招标公告中所述项目。</w:t>
      </w:r>
      <w:r>
        <w:rPr>
          <w:rFonts w:hint="eastAsia" w:ascii="宋体" w:hAnsi="宋体" w:eastAsia="宋体" w:cs="宋体"/>
          <w:sz w:val="24"/>
          <w:szCs w:val="20"/>
          <w:highlight w:val="none"/>
        </w:rPr>
      </w:r>
      <w:r/>
    </w:p>
    <w:p>
      <w:pPr>
        <w:pStyle w:val="976"/>
        <w:ind w:firstLine="482"/>
        <w:spacing w:line="500" w:lineRule="exact"/>
        <w:widowControl/>
        <w:rPr>
          <w:rFonts w:hint="eastAsia" w:ascii="宋体" w:hAnsi="宋体" w:eastAsia="宋体" w:cs="宋体"/>
          <w:b/>
          <w:bCs/>
          <w:sz w:val="24"/>
          <w:szCs w:val="20"/>
          <w:highlight w:val="none"/>
          <w:lang w:val="zh-CN"/>
        </w:rPr>
      </w:pPr>
      <w:r/>
      <w:bookmarkStart w:id="36" w:name="_Toc16938521"/>
      <w:r/>
      <w:bookmarkStart w:id="37" w:name="_Toc513029205"/>
      <w:r/>
      <w:bookmarkStart w:id="38" w:name="_Toc20823277"/>
      <w:r>
        <w:rPr>
          <w:rFonts w:hint="eastAsia" w:ascii="宋体" w:hAnsi="宋体" w:eastAsia="宋体" w:cs="宋体"/>
          <w:b/>
          <w:bCs/>
          <w:sz w:val="24"/>
          <w:szCs w:val="20"/>
          <w:highlight w:val="none"/>
          <w:lang w:val="zh-CN"/>
        </w:rPr>
        <w:t xml:space="preserve">2、合格的投标人</w:t>
      </w:r>
      <w:bookmarkEnd w:id="36"/>
      <w:r/>
      <w:bookmarkEnd w:id="37"/>
      <w:r/>
      <w:bookmarkEnd w:id="38"/>
      <w:r>
        <w:rPr>
          <w:rFonts w:hint="eastAsia" w:ascii="宋体" w:hAnsi="宋体" w:eastAsia="宋体" w:cs="宋体"/>
          <w:b/>
          <w:bCs/>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2.1满足招标公告中供应商的资格要求的规定。</w:t>
      </w:r>
      <w:r>
        <w:rPr>
          <w:rFonts w:hint="eastAsia" w:ascii="宋体" w:hAnsi="宋体" w:eastAsia="宋体" w:cs="宋体"/>
          <w:sz w:val="24"/>
          <w:szCs w:val="20"/>
          <w:highlight w:val="none"/>
        </w:rPr>
      </w:r>
      <w:r/>
    </w:p>
    <w:p>
      <w:pPr>
        <w:pStyle w:val="976"/>
        <w:ind w:firstLine="48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2.2满足本文件实质性要求和条件的规定。</w:t>
      </w:r>
      <w:r>
        <w:rPr>
          <w:rFonts w:hint="eastAsia" w:ascii="宋体" w:hAnsi="宋体" w:eastAsia="宋体" w:cs="宋体"/>
          <w:sz w:val="24"/>
          <w:szCs w:val="20"/>
          <w:highlight w:val="none"/>
        </w:rPr>
      </w:r>
      <w:r/>
    </w:p>
    <w:p>
      <w:pPr>
        <w:pStyle w:val="976"/>
        <w:ind w:firstLine="482"/>
        <w:spacing w:line="500" w:lineRule="exact"/>
        <w:widowControl/>
        <w:rPr>
          <w:rFonts w:hint="eastAsia" w:ascii="宋体" w:hAnsi="宋体" w:eastAsia="宋体" w:cs="宋体"/>
          <w:b/>
          <w:bCs/>
          <w:sz w:val="24"/>
          <w:szCs w:val="20"/>
          <w:highlight w:val="none"/>
          <w:lang w:val="zh-CN"/>
        </w:rPr>
      </w:pPr>
      <w:r/>
      <w:bookmarkStart w:id="39" w:name="_Toc513029206"/>
      <w:r/>
      <w:bookmarkStart w:id="40" w:name="_Toc20823278"/>
      <w:r/>
      <w:bookmarkStart w:id="41" w:name="_Toc16938522"/>
      <w:r>
        <w:rPr>
          <w:rFonts w:hint="eastAsia" w:ascii="宋体" w:hAnsi="宋体" w:eastAsia="宋体" w:cs="宋体"/>
          <w:b/>
          <w:bCs/>
          <w:sz w:val="24"/>
          <w:szCs w:val="20"/>
          <w:highlight w:val="none"/>
          <w:lang w:val="zh-CN"/>
        </w:rPr>
        <w:t xml:space="preserve">3、适用法律</w:t>
      </w:r>
      <w:bookmarkEnd w:id="39"/>
      <w:r/>
      <w:bookmarkEnd w:id="40"/>
      <w:r/>
      <w:bookmarkEnd w:id="41"/>
      <w:r>
        <w:rPr>
          <w:rFonts w:hint="eastAsia" w:ascii="宋体" w:hAnsi="宋体" w:eastAsia="宋体" w:cs="宋体"/>
          <w:b/>
          <w:bCs/>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3.1本次招标及由此产生的合同受中华人民共和国有关的法律法规制约和保护。</w:t>
      </w:r>
      <w:r>
        <w:rPr>
          <w:rFonts w:hint="eastAsia" w:ascii="宋体" w:hAnsi="宋体" w:eastAsia="宋体" w:cs="宋体"/>
          <w:sz w:val="24"/>
          <w:szCs w:val="20"/>
          <w:highlight w:val="none"/>
        </w:rPr>
      </w:r>
      <w:r/>
    </w:p>
    <w:p>
      <w:pPr>
        <w:pStyle w:val="976"/>
        <w:ind w:firstLine="482"/>
        <w:spacing w:line="500" w:lineRule="exact"/>
        <w:widowControl/>
        <w:rPr>
          <w:rFonts w:hint="eastAsia" w:ascii="宋体" w:hAnsi="宋体" w:eastAsia="宋体" w:cs="宋体"/>
          <w:b/>
          <w:bCs/>
          <w:sz w:val="24"/>
          <w:szCs w:val="20"/>
          <w:highlight w:val="none"/>
          <w:lang w:val="zh-CN"/>
        </w:rPr>
      </w:pPr>
      <w:r/>
      <w:bookmarkStart w:id="42" w:name="_Toc513029207"/>
      <w:r/>
      <w:bookmarkStart w:id="43" w:name="_Toc20823279"/>
      <w:r/>
      <w:bookmarkStart w:id="44" w:name="_Toc16938523"/>
      <w:r/>
      <w:bookmarkStart w:id="45" w:name="_Toc462564067"/>
      <w:r>
        <w:rPr>
          <w:rFonts w:hint="eastAsia" w:ascii="宋体" w:hAnsi="宋体" w:eastAsia="宋体" w:cs="宋体"/>
          <w:b/>
          <w:bCs/>
          <w:sz w:val="24"/>
          <w:szCs w:val="20"/>
          <w:highlight w:val="none"/>
          <w:lang w:val="zh-CN"/>
        </w:rPr>
        <w:t xml:space="preserve">4、投标费用</w:t>
      </w:r>
      <w:bookmarkEnd w:id="42"/>
      <w:r/>
      <w:bookmarkEnd w:id="43"/>
      <w:r/>
      <w:bookmarkEnd w:id="44"/>
      <w:r/>
      <w:bookmarkEnd w:id="45"/>
      <w:r>
        <w:rPr>
          <w:rFonts w:hint="eastAsia" w:ascii="宋体" w:hAnsi="宋体" w:eastAsia="宋体" w:cs="宋体"/>
          <w:b/>
          <w:bCs/>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4.1投标人应自行承担所有与参加投标有关的费用，无论投标过程中的做法和结果如何，</w:t>
      </w:r>
      <w:r>
        <w:rPr>
          <w:rFonts w:hint="eastAsia" w:ascii="宋体" w:hAnsi="宋体" w:eastAsia="宋体" w:cs="宋体"/>
          <w:sz w:val="24"/>
          <w:szCs w:val="24"/>
          <w:highlight w:val="none"/>
        </w:rPr>
        <w:t xml:space="preserve">盐城立信造价工程师事务所有限公司</w:t>
      </w:r>
      <w:r>
        <w:rPr>
          <w:rFonts w:hint="eastAsia" w:ascii="宋体" w:hAnsi="宋体" w:eastAsia="宋体" w:cs="宋体"/>
          <w:sz w:val="24"/>
          <w:szCs w:val="20"/>
          <w:highlight w:val="none"/>
        </w:rPr>
        <w:t xml:space="preserve">（以下简称代理机构）在任何情况下均无义务和责任承担这些费用。</w:t>
      </w:r>
      <w:r>
        <w:rPr>
          <w:rFonts w:hint="eastAsia" w:ascii="宋体" w:hAnsi="宋体" w:eastAsia="宋体" w:cs="宋体"/>
          <w:sz w:val="24"/>
          <w:szCs w:val="20"/>
          <w:highlight w:val="none"/>
        </w:rPr>
      </w:r>
      <w:r/>
    </w:p>
    <w:p>
      <w:pPr>
        <w:pStyle w:val="976"/>
        <w:ind w:firstLine="482"/>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5、招标文件的约束力</w:t>
      </w:r>
      <w:r>
        <w:rPr>
          <w:rFonts w:hint="eastAsia" w:ascii="宋体" w:hAnsi="宋体" w:eastAsia="宋体" w:cs="宋体"/>
          <w:b/>
          <w:bCs/>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5.1投标人一旦参加本项目采购活动，即被认为接受了本招标文件的规定和约束。</w:t>
      </w:r>
      <w:r>
        <w:rPr>
          <w:rFonts w:hint="eastAsia" w:ascii="宋体" w:hAnsi="宋体" w:eastAsia="宋体" w:cs="宋体"/>
          <w:sz w:val="24"/>
          <w:szCs w:val="20"/>
          <w:highlight w:val="none"/>
        </w:rPr>
      </w:r>
      <w:r/>
    </w:p>
    <w:p>
      <w:pPr>
        <w:pStyle w:val="976"/>
        <w:ind w:firstLine="482"/>
        <w:spacing w:line="500" w:lineRule="exact"/>
        <w:widowControl/>
        <w:rPr>
          <w:rFonts w:hint="eastAsia" w:ascii="宋体" w:hAnsi="宋体" w:eastAsia="宋体" w:cs="宋体"/>
          <w:b/>
          <w:bCs/>
          <w:sz w:val="24"/>
          <w:szCs w:val="20"/>
          <w:highlight w:val="none"/>
          <w:lang w:val="zh-CN"/>
        </w:rPr>
      </w:pPr>
      <w:r/>
      <w:bookmarkStart w:id="46" w:name="_Toc16938525"/>
      <w:r/>
      <w:bookmarkStart w:id="47" w:name="_Toc20823281"/>
      <w:r/>
      <w:bookmarkStart w:id="48" w:name="_Toc120614215"/>
      <w:r>
        <w:rPr>
          <w:rFonts w:hint="eastAsia" w:ascii="宋体" w:hAnsi="宋体" w:eastAsia="宋体" w:cs="宋体"/>
          <w:b/>
          <w:bCs/>
          <w:sz w:val="24"/>
          <w:szCs w:val="20"/>
          <w:highlight w:val="none"/>
          <w:lang w:val="zh-CN"/>
        </w:rPr>
        <w:t xml:space="preserve">二、招标文件</w:t>
      </w:r>
      <w:bookmarkEnd w:id="46"/>
      <w:r/>
      <w:bookmarkEnd w:id="47"/>
      <w:r/>
      <w:bookmarkEnd w:id="48"/>
      <w:r>
        <w:rPr>
          <w:rFonts w:hint="eastAsia" w:ascii="宋体" w:hAnsi="宋体" w:eastAsia="宋体" w:cs="宋体"/>
          <w:b/>
          <w:bCs/>
          <w:sz w:val="24"/>
          <w:szCs w:val="20"/>
          <w:highlight w:val="none"/>
          <w:lang w:val="zh-CN"/>
        </w:rPr>
      </w:r>
      <w:r/>
    </w:p>
    <w:p>
      <w:pPr>
        <w:pStyle w:val="976"/>
        <w:ind w:firstLine="482"/>
        <w:spacing w:line="500" w:lineRule="exact"/>
        <w:widowControl/>
        <w:rPr>
          <w:rFonts w:hint="eastAsia" w:ascii="宋体" w:hAnsi="宋体" w:eastAsia="宋体" w:cs="宋体"/>
          <w:b/>
          <w:bCs/>
          <w:sz w:val="24"/>
          <w:szCs w:val="20"/>
          <w:highlight w:val="none"/>
          <w:lang w:val="zh-CN"/>
        </w:rPr>
      </w:pPr>
      <w:r/>
      <w:bookmarkStart w:id="49" w:name="_Toc513029210"/>
      <w:r/>
      <w:bookmarkStart w:id="50" w:name="_Toc20823282"/>
      <w:r/>
      <w:bookmarkStart w:id="51" w:name="_Toc16938526"/>
      <w:r>
        <w:rPr>
          <w:rFonts w:hint="eastAsia" w:ascii="宋体" w:hAnsi="宋体" w:eastAsia="宋体" w:cs="宋体"/>
          <w:b/>
          <w:bCs/>
          <w:sz w:val="24"/>
          <w:szCs w:val="20"/>
          <w:highlight w:val="none"/>
          <w:lang w:val="zh-CN"/>
        </w:rPr>
        <w:t xml:space="preserve">6、招标文件构成</w:t>
      </w:r>
      <w:bookmarkEnd w:id="49"/>
      <w:r/>
      <w:bookmarkEnd w:id="50"/>
      <w:r/>
      <w:bookmarkEnd w:id="51"/>
      <w:r>
        <w:rPr>
          <w:rFonts w:hint="eastAsia" w:ascii="宋体" w:hAnsi="宋体" w:eastAsia="宋体" w:cs="宋体"/>
          <w:b/>
          <w:bCs/>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6.1 招标文件由以下部分组成：</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（1）招标公告</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（2）投标人须知</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（3）合同文本</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（4）采购需求</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（5）评标方法与评标标准</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（6）投标文件格式</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请仔细检查招标文件是否齐全，如有缺漏请立即与代理机构联系解决。</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0"/>
          <w:highlight w:val="none"/>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7、招标文件的澄清</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7.1任何要求对招标文件进行澄清的投标人，应在投标截止期</w:t>
      </w:r>
      <w:r>
        <w:rPr>
          <w:rFonts w:hint="eastAsia" w:ascii="宋体" w:hAnsi="宋体" w:eastAsia="宋体" w:cs="宋体"/>
          <w:b/>
          <w:bCs/>
          <w:sz w:val="24"/>
          <w:szCs w:val="20"/>
          <w:highlight w:val="none"/>
        </w:rPr>
        <w:t xml:space="preserve">十日</w:t>
      </w:r>
      <w:r>
        <w:rPr>
          <w:rFonts w:hint="eastAsia" w:ascii="宋体" w:hAnsi="宋体" w:eastAsia="宋体" w:cs="宋体"/>
          <w:sz w:val="24"/>
          <w:szCs w:val="20"/>
          <w:highlight w:val="none"/>
        </w:rPr>
        <w:t xml:space="preserve">前按招标公告中的通讯地址，以书面形式通知代理机构。</w:t>
      </w:r>
      <w:r>
        <w:rPr>
          <w:rFonts w:hint="eastAsia" w:ascii="宋体" w:hAnsi="宋体" w:eastAsia="宋体" w:cs="宋体"/>
          <w:sz w:val="24"/>
          <w:szCs w:val="20"/>
          <w:highlight w:val="none"/>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52" w:name="_Toc462564071"/>
      <w:r/>
      <w:bookmarkStart w:id="53" w:name="_Toc16938528"/>
      <w:r/>
      <w:bookmarkStart w:id="54" w:name="_Toc20823284"/>
      <w:r/>
      <w:bookmarkStart w:id="55" w:name="_Toc513029212"/>
      <w:r>
        <w:rPr>
          <w:rFonts w:hint="eastAsia" w:ascii="宋体" w:hAnsi="宋体" w:eastAsia="宋体" w:cs="宋体"/>
          <w:b/>
          <w:bCs/>
          <w:sz w:val="24"/>
          <w:szCs w:val="20"/>
          <w:highlight w:val="none"/>
          <w:lang w:val="zh-CN"/>
        </w:rPr>
        <w:t xml:space="preserve">8、招标文件的修改</w:t>
      </w:r>
      <w:bookmarkEnd w:id="52"/>
      <w:r/>
      <w:bookmarkEnd w:id="53"/>
      <w:r/>
      <w:bookmarkEnd w:id="54"/>
      <w:r/>
      <w:bookmarkEnd w:id="55"/>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8.1在投标截止时间前，代理机构可以对招标文件进行修改。</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8.2代理机构有权按照法定的要求推迟投标截止日期和开标日期。</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8.3招标文件的修改将在“中国政府采购网”、“江苏政府采购网”、“盐城市政府采购网”公布，补充文件将作为招标文件的组成部分，并对投标人具有约束力。</w:t>
      </w:r>
      <w:r>
        <w:rPr>
          <w:rFonts w:hint="eastAsia" w:ascii="宋体" w:hAnsi="宋体" w:eastAsia="宋体" w:cs="宋体"/>
          <w:sz w:val="24"/>
          <w:szCs w:val="20"/>
          <w:highlight w:val="none"/>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56" w:name="_Toc16938529"/>
      <w:r/>
      <w:bookmarkStart w:id="57" w:name="_Toc513029213"/>
      <w:r/>
      <w:bookmarkStart w:id="58" w:name="_Toc20823285"/>
      <w:r/>
      <w:bookmarkStart w:id="59" w:name="_Toc462564072"/>
      <w:r/>
      <w:bookmarkStart w:id="60" w:name="_Toc120614216"/>
      <w:r>
        <w:rPr>
          <w:rFonts w:hint="eastAsia" w:ascii="宋体" w:hAnsi="宋体" w:eastAsia="宋体" w:cs="宋体"/>
          <w:b/>
          <w:bCs/>
          <w:sz w:val="24"/>
          <w:szCs w:val="20"/>
          <w:highlight w:val="none"/>
          <w:lang w:val="zh-CN"/>
        </w:rPr>
        <w:t xml:space="preserve">三、投标文件的编制</w:t>
      </w:r>
      <w:bookmarkEnd w:id="56"/>
      <w:r/>
      <w:bookmarkEnd w:id="57"/>
      <w:r/>
      <w:bookmarkEnd w:id="58"/>
      <w:r/>
      <w:bookmarkEnd w:id="59"/>
      <w:r/>
      <w:bookmarkEnd w:id="60"/>
      <w:r>
        <w:rPr>
          <w:rFonts w:hint="eastAsia" w:ascii="宋体" w:hAnsi="宋体" w:eastAsia="宋体" w:cs="宋体"/>
          <w:b/>
          <w:bCs/>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61" w:name="_Toc462564073"/>
      <w:r/>
      <w:bookmarkStart w:id="62" w:name="_Toc20823286"/>
      <w:r/>
      <w:bookmarkStart w:id="63" w:name="_Toc16938530"/>
      <w:r/>
      <w:bookmarkStart w:id="64" w:name="_Toc513029214"/>
      <w:r>
        <w:rPr>
          <w:rFonts w:hint="eastAsia" w:ascii="宋体" w:hAnsi="宋体" w:eastAsia="宋体" w:cs="宋体"/>
          <w:b/>
          <w:bCs/>
          <w:sz w:val="24"/>
          <w:szCs w:val="20"/>
          <w:highlight w:val="none"/>
          <w:lang w:val="zh-CN"/>
        </w:rPr>
        <w:t xml:space="preserve">9、投标文件的语言及度量衡单位</w:t>
      </w:r>
      <w:bookmarkEnd w:id="61"/>
      <w:r/>
      <w:bookmarkEnd w:id="62"/>
      <w:r/>
      <w:bookmarkEnd w:id="63"/>
      <w:r/>
      <w:bookmarkEnd w:id="64"/>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9.1投标人提交的投标文件以及投标人与代理机构就有关投标的所有来往通知、函件和文件均应使用</w:t>
      </w:r>
      <w:r>
        <w:rPr>
          <w:rFonts w:hint="eastAsia" w:ascii="宋体" w:hAnsi="宋体" w:eastAsia="宋体" w:cs="宋体"/>
          <w:b/>
          <w:bCs/>
          <w:sz w:val="24"/>
          <w:szCs w:val="20"/>
          <w:highlight w:val="none"/>
        </w:rPr>
        <w:t xml:space="preserve">简体中文</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9.2除技术性能另有规定外，投标文件所使用的度量衡单位，均须采用国家法定计量单位。</w:t>
      </w:r>
      <w:r>
        <w:rPr>
          <w:rFonts w:hint="eastAsia" w:ascii="宋体" w:hAnsi="宋体" w:eastAsia="宋体" w:cs="宋体"/>
          <w:sz w:val="24"/>
          <w:szCs w:val="20"/>
          <w:highlight w:val="none"/>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65" w:name="_Toc462564074"/>
      <w:r/>
      <w:bookmarkStart w:id="66" w:name="_Toc513029215"/>
      <w:r/>
      <w:bookmarkStart w:id="67" w:name="_Toc16938531"/>
      <w:r/>
      <w:bookmarkStart w:id="68" w:name="_Toc20823287"/>
      <w:r>
        <w:rPr>
          <w:rFonts w:hint="eastAsia" w:ascii="宋体" w:hAnsi="宋体" w:eastAsia="宋体" w:cs="宋体"/>
          <w:b/>
          <w:bCs/>
          <w:sz w:val="24"/>
          <w:szCs w:val="20"/>
          <w:highlight w:val="none"/>
          <w:lang w:val="zh-CN"/>
        </w:rPr>
        <w:t xml:space="preserve">10、投标文件构成</w:t>
      </w:r>
      <w:bookmarkEnd w:id="65"/>
      <w:r/>
      <w:bookmarkEnd w:id="66"/>
      <w:r/>
      <w:bookmarkEnd w:id="67"/>
      <w:r/>
      <w:bookmarkEnd w:id="68"/>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bookmarkStart w:id="69" w:name="_Toc49090509"/>
      <w:r/>
      <w:bookmarkStart w:id="70" w:name="_Toc513029216"/>
      <w:r/>
      <w:bookmarkStart w:id="71" w:name="_Toc513029219"/>
      <w:r/>
      <w:bookmarkStart w:id="72" w:name="_Toc14577357"/>
      <w:r/>
      <w:bookmarkStart w:id="73" w:name="_Toc14577354"/>
      <w:r/>
      <w:bookmarkStart w:id="74" w:name="_Toc49090507"/>
      <w:r>
        <w:rPr>
          <w:rFonts w:hint="eastAsia" w:ascii="宋体" w:hAnsi="宋体" w:eastAsia="宋体" w:cs="宋体"/>
          <w:sz w:val="24"/>
          <w:szCs w:val="20"/>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eastAsia="宋体" w:cs="宋体"/>
          <w:sz w:val="24"/>
          <w:szCs w:val="20"/>
          <w:highlight w:val="none"/>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11、证明投标人及投标标的符合招标文件规定的文件</w:t>
      </w:r>
      <w:bookmarkEnd w:id="69"/>
      <w:r/>
      <w:bookmarkEnd w:id="70"/>
      <w:r/>
      <w:bookmarkEnd w:id="71"/>
      <w:r/>
      <w:bookmarkEnd w:id="72"/>
      <w:r/>
      <w:bookmarkEnd w:id="73"/>
      <w:r/>
      <w:bookmarkEnd w:id="74"/>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rPr>
      </w:pPr>
      <w:r/>
      <w:bookmarkStart w:id="75" w:name="_Toc49090508"/>
      <w:r/>
      <w:bookmarkStart w:id="76" w:name="_Toc14577355"/>
      <w:r>
        <w:rPr>
          <w:rFonts w:hint="eastAsia" w:ascii="宋体" w:hAnsi="宋体" w:eastAsia="宋体" w:cs="宋体"/>
          <w:sz w:val="24"/>
          <w:szCs w:val="20"/>
          <w:highlight w:val="none"/>
        </w:rPr>
        <w:t xml:space="preserve">11.1投标人应按照法律、法规、规章和规范性文件以及招标文件要求提交证明文件，证明其及投标标的符合招标文件规定。</w:t>
      </w:r>
      <w:bookmarkEnd w:id="75"/>
      <w:r/>
      <w:bookmarkEnd w:id="76"/>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11.2招标文件对证明文件无明确形式要求的，证明文件可以以文字资料、图纸和数据等形式提交。</w:t>
      </w:r>
      <w:r>
        <w:rPr>
          <w:rFonts w:hint="eastAsia" w:ascii="宋体" w:hAnsi="宋体" w:eastAsia="宋体" w:cs="宋体"/>
          <w:sz w:val="24"/>
          <w:szCs w:val="20"/>
          <w:highlight w:val="none"/>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12、投标分项报价表</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12.1投标人应按照招标文件规定格式填报投标分项报价表。</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0"/>
          <w:highlight w:val="none"/>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cs="宋体"/>
          <w:sz w:val="24"/>
          <w:szCs w:val="20"/>
          <w:highlight w:val="none"/>
          <w:lang w:val="en-US" w:eastAsia="zh-CN"/>
        </w:rPr>
        <w:t xml:space="preserve">2</w:t>
      </w:r>
      <w:r>
        <w:rPr>
          <w:rFonts w:hint="eastAsia" w:ascii="宋体" w:hAnsi="宋体" w:eastAsia="宋体" w:cs="宋体"/>
          <w:sz w:val="24"/>
          <w:szCs w:val="20"/>
          <w:highlight w:val="none"/>
          <w:lang w:val="zh-CN"/>
        </w:rPr>
        <w:t xml:space="preserve">.</w:t>
      </w:r>
      <w:r>
        <w:rPr>
          <w:rFonts w:hint="eastAsia" w:ascii="宋体" w:hAnsi="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投标分项明细表中包含（不限于）</w:t>
      </w:r>
      <w:r>
        <w:rPr>
          <w:rFonts w:hint="eastAsia" w:ascii="宋体" w:hAnsi="宋体" w:cs="宋体"/>
          <w:sz w:val="24"/>
          <w:szCs w:val="20"/>
          <w:highlight w:val="none"/>
          <w:lang w:val="en-US" w:eastAsia="zh-CN"/>
        </w:rPr>
        <w:t xml:space="preserve">城市管理</w:t>
      </w:r>
      <w:r>
        <w:rPr>
          <w:rFonts w:hint="eastAsia" w:ascii="宋体" w:hAnsi="宋体" w:eastAsia="宋体" w:cs="宋体"/>
          <w:sz w:val="24"/>
          <w:szCs w:val="20"/>
          <w:highlight w:val="none"/>
          <w:lang w:val="zh-CN"/>
        </w:rPr>
        <w:t xml:space="preserve">人员工资、社保费、公积金、福利费、体检费、高温补助费、不可预见费（应充分考虑所有风险、责任等）、法定税费、及公众责任保险费、意外伤害险和合理利润以及法定假日和双休日及晚间值班等一切加班费用外，还应包括：管理、劳务、培训、风险、税金及政策性文件规定等各项应有费用，以及为完成招标文件规定的</w:t>
      </w:r>
      <w:r>
        <w:rPr>
          <w:rFonts w:hint="eastAsia" w:ascii="宋体" w:hAnsi="宋体" w:cs="宋体"/>
          <w:sz w:val="24"/>
          <w:szCs w:val="20"/>
          <w:highlight w:val="none"/>
          <w:lang w:val="zh-CN"/>
        </w:rPr>
        <w:t xml:space="preserve">城市管理服务</w:t>
      </w:r>
      <w:r>
        <w:rPr>
          <w:rFonts w:hint="eastAsia" w:ascii="宋体" w:hAnsi="宋体" w:eastAsia="宋体" w:cs="宋体"/>
          <w:sz w:val="24"/>
          <w:szCs w:val="20"/>
          <w:highlight w:val="none"/>
          <w:lang w:val="zh-CN"/>
        </w:rPr>
        <w:t xml:space="preserve">工作所涉及到的一切相关费用。除合同约定外，采购人不再增加任何费用。</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cs="宋体"/>
          <w:sz w:val="24"/>
          <w:szCs w:val="20"/>
          <w:highlight w:val="none"/>
          <w:lang w:val="en-US" w:eastAsia="zh-CN"/>
        </w:rPr>
        <w:t xml:space="preserve">2</w:t>
      </w:r>
      <w:r>
        <w:rPr>
          <w:rFonts w:hint="eastAsia" w:ascii="宋体" w:hAnsi="宋体" w:eastAsia="宋体" w:cs="宋体"/>
          <w:sz w:val="24"/>
          <w:szCs w:val="20"/>
          <w:highlight w:val="none"/>
          <w:lang w:val="zh-CN"/>
        </w:rPr>
        <w:t xml:space="preserve">.</w:t>
      </w:r>
      <w:r>
        <w:rPr>
          <w:rFonts w:hint="eastAsia" w:ascii="宋体" w:hAnsi="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.1所有人员的随身装备和相关装备（含通讯、保安用器械等）等由投标人购置并承担费用。</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w:t>
      </w:r>
      <w:r>
        <w:rPr>
          <w:rFonts w:hint="eastAsia" w:ascii="宋体" w:hAnsi="宋体" w:cs="宋体"/>
          <w:sz w:val="24"/>
          <w:szCs w:val="20"/>
          <w:highlight w:val="none"/>
          <w:lang w:val="en-US" w:eastAsia="zh-CN"/>
        </w:rPr>
        <w:t xml:space="preserve">2</w:t>
      </w:r>
      <w:r>
        <w:rPr>
          <w:rFonts w:hint="eastAsia" w:ascii="宋体" w:hAnsi="宋体" w:eastAsia="宋体" w:cs="宋体"/>
          <w:sz w:val="24"/>
          <w:szCs w:val="20"/>
          <w:highlight w:val="none"/>
          <w:lang w:val="zh-CN"/>
        </w:rPr>
        <w:t xml:space="preserve">.</w:t>
      </w:r>
      <w:r>
        <w:rPr>
          <w:rFonts w:hint="eastAsia" w:ascii="宋体" w:hAnsi="宋体" w:cs="宋体"/>
          <w:sz w:val="24"/>
          <w:szCs w:val="20"/>
          <w:highlight w:val="none"/>
          <w:lang w:val="en-US" w:eastAsia="zh-CN"/>
        </w:rPr>
        <w:t xml:space="preserve">3</w:t>
      </w:r>
      <w:r>
        <w:rPr>
          <w:rFonts w:hint="eastAsia" w:ascii="宋体" w:hAnsi="宋体" w:eastAsia="宋体" w:cs="宋体"/>
          <w:sz w:val="24"/>
          <w:szCs w:val="20"/>
          <w:highlight w:val="none"/>
          <w:lang w:val="zh-CN"/>
        </w:rPr>
        <w:t xml:space="preserve">.2各投标人自行根据招标人提供的服务内容、招标文件及答疑文件等资料要求，并根据市场行情、结合自身公司实力、管理水平等因素，按要求进行报价。</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w:t>
      </w:r>
      <w:r>
        <w:rPr>
          <w:rFonts w:hint="eastAsia" w:ascii="宋体" w:hAnsi="宋体" w:cs="宋体"/>
          <w:b/>
          <w:bCs/>
          <w:sz w:val="24"/>
          <w:szCs w:val="20"/>
          <w:highlight w:val="none"/>
          <w:lang w:val="en-US" w:eastAsia="zh-CN"/>
        </w:rPr>
        <w:t xml:space="preserve">2</w:t>
      </w:r>
      <w:r>
        <w:rPr>
          <w:rFonts w:hint="eastAsia" w:ascii="宋体" w:hAnsi="宋体" w:eastAsia="宋体" w:cs="宋体"/>
          <w:b/>
          <w:bCs/>
          <w:sz w:val="24"/>
          <w:szCs w:val="20"/>
          <w:highlight w:val="none"/>
          <w:lang w:val="zh-CN"/>
        </w:rPr>
        <w:t xml:space="preserve">.</w:t>
      </w:r>
      <w:r>
        <w:rPr>
          <w:rFonts w:hint="eastAsia" w:ascii="宋体" w:hAnsi="宋体" w:cs="宋体"/>
          <w:b/>
          <w:bCs/>
          <w:sz w:val="24"/>
          <w:szCs w:val="20"/>
          <w:highlight w:val="none"/>
          <w:lang w:val="en-US" w:eastAsia="zh-CN"/>
        </w:rPr>
        <w:t xml:space="preserve">3</w:t>
      </w:r>
      <w:r>
        <w:rPr>
          <w:rFonts w:hint="eastAsia" w:ascii="宋体" w:hAnsi="宋体" w:eastAsia="宋体" w:cs="宋体"/>
          <w:b/>
          <w:bCs/>
          <w:sz w:val="24"/>
          <w:szCs w:val="20"/>
          <w:highlight w:val="none"/>
          <w:lang w:val="zh-CN"/>
        </w:rPr>
        <w:t xml:space="preserve">.3所有人员必须足额缴纳保险费用，缴纳基数与缴纳费率应按照我省、市相关部门颁布的最新文件规定执行。社保（企业部分）不得低于1292.47元/人</w:t>
      </w:r>
      <w:r>
        <w:rPr>
          <w:rFonts w:hint="eastAsia" w:ascii="宋体" w:hAnsi="宋体" w:cs="宋体"/>
          <w:b/>
          <w:bCs/>
          <w:sz w:val="24"/>
          <w:szCs w:val="20"/>
          <w:highlight w:val="none"/>
          <w:lang w:val="en-US" w:eastAsia="zh-CN"/>
        </w:rPr>
        <w:t xml:space="preserve">/</w:t>
      </w:r>
      <w:r>
        <w:rPr>
          <w:rFonts w:hint="eastAsia" w:ascii="宋体" w:hAnsi="宋体" w:eastAsia="宋体" w:cs="宋体"/>
          <w:b/>
          <w:bCs/>
          <w:sz w:val="24"/>
          <w:szCs w:val="20"/>
          <w:highlight w:val="none"/>
          <w:lang w:val="zh-CN"/>
        </w:rPr>
        <w:t xml:space="preserve">月。</w:t>
      </w:r>
      <w:r>
        <w:rPr>
          <w:rFonts w:hint="eastAsia" w:ascii="宋体" w:hAnsi="宋体" w:eastAsia="宋体" w:cs="宋体"/>
          <w:b/>
          <w:bCs/>
          <w:sz w:val="24"/>
          <w:szCs w:val="20"/>
          <w:highlight w:val="none"/>
          <w:lang w:val="zh-CN"/>
        </w:rPr>
      </w:r>
      <w:r/>
    </w:p>
    <w:p>
      <w:pPr>
        <w:pStyle w:val="976"/>
        <w:ind w:firstLine="240"/>
        <w:spacing w:line="500" w:lineRule="exact"/>
        <w:widowControl/>
        <w:rPr>
          <w:rFonts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zh-CN"/>
        </w:rPr>
        <w:t xml:space="preserve">1</w:t>
      </w:r>
      <w:r>
        <w:rPr>
          <w:rFonts w:hint="eastAsia" w:ascii="宋体" w:hAnsi="宋体" w:cs="宋体"/>
          <w:b/>
          <w:bCs/>
          <w:sz w:val="24"/>
          <w:szCs w:val="20"/>
          <w:highlight w:val="none"/>
          <w:lang w:val="en-US" w:eastAsia="zh-CN"/>
        </w:rPr>
        <w:t xml:space="preserve">2</w:t>
      </w:r>
      <w:r>
        <w:rPr>
          <w:rFonts w:hint="eastAsia" w:ascii="宋体" w:hAnsi="宋体" w:eastAsia="宋体" w:cs="宋体"/>
          <w:b/>
          <w:bCs/>
          <w:sz w:val="24"/>
          <w:szCs w:val="20"/>
          <w:highlight w:val="none"/>
          <w:lang w:val="zh-CN"/>
        </w:rPr>
        <w:t xml:space="preserve">.</w:t>
      </w:r>
      <w:r>
        <w:rPr>
          <w:rFonts w:hint="eastAsia" w:ascii="宋体" w:hAnsi="宋体" w:cs="宋体"/>
          <w:b/>
          <w:bCs/>
          <w:sz w:val="24"/>
          <w:szCs w:val="20"/>
          <w:highlight w:val="none"/>
          <w:lang w:val="en-US" w:eastAsia="zh-CN"/>
        </w:rPr>
        <w:t xml:space="preserve">3</w:t>
      </w:r>
      <w:r>
        <w:rPr>
          <w:rFonts w:hint="eastAsia" w:ascii="宋体" w:hAnsi="宋体" w:eastAsia="宋体" w:cs="宋体"/>
          <w:b/>
          <w:bCs/>
          <w:sz w:val="24"/>
          <w:szCs w:val="20"/>
          <w:highlight w:val="none"/>
          <w:lang w:val="zh-CN"/>
        </w:rPr>
        <w:t xml:space="preserve">.4各投标人住房公积金须按不低于114元/人/每月</w:t>
      </w:r>
      <w:r>
        <w:rPr>
          <w:rFonts w:hint="eastAsia" w:ascii="宋体" w:hAnsi="宋体" w:cs="宋体"/>
          <w:b/>
          <w:bCs/>
          <w:sz w:val="24"/>
          <w:szCs w:val="20"/>
          <w:highlight w:val="none"/>
          <w:lang w:val="zh-CN"/>
        </w:rPr>
        <w:t xml:space="preserve">，</w:t>
      </w:r>
      <w:r>
        <w:rPr>
          <w:rFonts w:hint="eastAsia" w:ascii="宋体" w:hAnsi="宋体" w:cs="宋体"/>
          <w:b/>
          <w:bCs/>
          <w:sz w:val="24"/>
          <w:szCs w:val="20"/>
          <w:highlight w:val="none"/>
          <w:lang w:val="en-US" w:eastAsia="zh-CN"/>
        </w:rPr>
        <w:t xml:space="preserve">雇主责任险不得低于101.40</w:t>
      </w:r>
      <w:r>
        <w:rPr>
          <w:rFonts w:hint="eastAsia" w:ascii="宋体" w:hAnsi="宋体" w:eastAsia="宋体" w:cs="宋体"/>
          <w:b/>
          <w:bCs/>
          <w:sz w:val="24"/>
          <w:szCs w:val="20"/>
          <w:highlight w:val="none"/>
          <w:lang w:val="zh-CN"/>
        </w:rPr>
        <w:t xml:space="preserve">元/人/每月</w:t>
      </w:r>
      <w:r>
        <w:rPr>
          <w:rFonts w:hint="eastAsia" w:ascii="宋体" w:hAnsi="宋体" w:cs="宋体"/>
          <w:b/>
          <w:bCs/>
          <w:sz w:val="24"/>
          <w:szCs w:val="20"/>
          <w:highlight w:val="none"/>
          <w:lang w:val="zh-CN"/>
        </w:rPr>
        <w:t xml:space="preserve">。</w:t>
      </w:r>
      <w:r>
        <w:rPr>
          <w:rFonts w:ascii="宋体" w:hAnsi="宋体" w:eastAsia="宋体" w:cs="宋体"/>
          <w:b/>
          <w:bCs/>
          <w:sz w:val="24"/>
          <w:szCs w:val="20"/>
          <w:highlight w:val="none"/>
          <w:lang w:val="en-US" w:eastAsia="zh-CN"/>
        </w:rPr>
      </w:r>
      <w:r/>
    </w:p>
    <w:p>
      <w:pPr>
        <w:pStyle w:val="976"/>
        <w:ind w:firstLine="240"/>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w:t>
      </w:r>
      <w:r>
        <w:rPr>
          <w:rFonts w:hint="eastAsia" w:ascii="宋体" w:hAnsi="宋体" w:cs="宋体"/>
          <w:b/>
          <w:bCs/>
          <w:sz w:val="24"/>
          <w:szCs w:val="20"/>
          <w:highlight w:val="none"/>
          <w:lang w:val="en-US" w:eastAsia="zh-CN"/>
        </w:rPr>
        <w:t xml:space="preserve">2</w:t>
      </w:r>
      <w:r>
        <w:rPr>
          <w:rFonts w:hint="eastAsia" w:ascii="宋体" w:hAnsi="宋体" w:eastAsia="宋体" w:cs="宋体"/>
          <w:b/>
          <w:bCs/>
          <w:sz w:val="24"/>
          <w:szCs w:val="20"/>
          <w:highlight w:val="none"/>
          <w:lang w:val="zh-CN"/>
        </w:rPr>
        <w:t xml:space="preserve">.</w:t>
      </w:r>
      <w:r>
        <w:rPr>
          <w:rFonts w:hint="eastAsia" w:ascii="宋体" w:hAnsi="宋体" w:cs="宋体"/>
          <w:b/>
          <w:bCs/>
          <w:sz w:val="24"/>
          <w:szCs w:val="20"/>
          <w:highlight w:val="none"/>
          <w:lang w:val="en-US" w:eastAsia="zh-CN"/>
        </w:rPr>
        <w:t xml:space="preserve">3</w:t>
      </w:r>
      <w:r>
        <w:rPr>
          <w:rFonts w:hint="eastAsia" w:ascii="宋体" w:hAnsi="宋体" w:eastAsia="宋体" w:cs="宋体"/>
          <w:b/>
          <w:bCs/>
          <w:sz w:val="24"/>
          <w:szCs w:val="20"/>
          <w:highlight w:val="none"/>
          <w:lang w:val="zh-CN"/>
        </w:rPr>
        <w:t xml:space="preserve">.5人员工资及相关费用测算依据：所有人员工资不低于本市最低工资标准2260元/人</w:t>
      </w:r>
      <w:r>
        <w:rPr>
          <w:rFonts w:hint="eastAsia" w:ascii="宋体" w:hAnsi="宋体" w:cs="宋体"/>
          <w:b/>
          <w:bCs/>
          <w:sz w:val="24"/>
          <w:szCs w:val="20"/>
          <w:highlight w:val="none"/>
          <w:lang w:val="en-US" w:eastAsia="zh-CN"/>
        </w:rPr>
        <w:t xml:space="preserve">/</w:t>
      </w:r>
      <w:r>
        <w:rPr>
          <w:rFonts w:hint="eastAsia" w:ascii="宋体" w:hAnsi="宋体" w:eastAsia="宋体" w:cs="宋体"/>
          <w:b/>
          <w:bCs/>
          <w:sz w:val="24"/>
          <w:szCs w:val="20"/>
          <w:highlight w:val="none"/>
          <w:lang w:val="zh-CN"/>
        </w:rPr>
        <w:t xml:space="preserve">月。所有工作人员法定节假日加班工资以不低于国家及本省相关规定测算, 法定节假日加班人员按</w:t>
      </w:r>
      <w:r>
        <w:rPr>
          <w:rFonts w:hint="eastAsia" w:ascii="宋体" w:hAnsi="宋体" w:cs="宋体"/>
          <w:b/>
          <w:bCs/>
          <w:sz w:val="24"/>
          <w:szCs w:val="20"/>
          <w:highlight w:val="none"/>
          <w:lang w:val="en-US" w:eastAsia="zh-CN"/>
        </w:rPr>
        <w:t xml:space="preserve">20</w:t>
      </w:r>
      <w:r>
        <w:rPr>
          <w:rFonts w:hint="eastAsia" w:ascii="宋体" w:hAnsi="宋体" w:eastAsia="宋体" w:cs="宋体"/>
          <w:b/>
          <w:bCs/>
          <w:sz w:val="24"/>
          <w:szCs w:val="20"/>
          <w:highlight w:val="none"/>
          <w:lang w:val="zh-CN"/>
        </w:rPr>
        <w:t xml:space="preserve">人计算，须按不低于4052.41元/人/年测算加班费用。高温费盐城市标准6、7、8、9月四个月补贴夏季高温费用，按不低于1200元/人/年，休息日加班费按照上六休一的工作模式每年加班52日，按照周末双倍工资标准，不低于</w:t>
      </w:r>
      <w:r>
        <w:rPr>
          <w:rFonts w:hint="eastAsia" w:ascii="宋体" w:hAnsi="宋体" w:cs="宋体"/>
          <w:b/>
          <w:bCs/>
          <w:sz w:val="24"/>
          <w:szCs w:val="20"/>
          <w:highlight w:val="none"/>
          <w:lang w:val="en-US" w:eastAsia="zh-CN"/>
        </w:rPr>
        <w:t xml:space="preserve">75</w:t>
      </w:r>
      <w:r>
        <w:rPr>
          <w:rFonts w:hint="eastAsia" w:ascii="宋体" w:hAnsi="宋体" w:eastAsia="宋体" w:cs="宋体"/>
          <w:b/>
          <w:bCs/>
          <w:sz w:val="24"/>
          <w:szCs w:val="20"/>
          <w:highlight w:val="none"/>
          <w:lang w:val="zh-CN"/>
        </w:rPr>
        <w:t xml:space="preserve">*52*2=</w:t>
      </w:r>
      <w:r>
        <w:rPr>
          <w:rFonts w:hint="eastAsia" w:ascii="宋体" w:hAnsi="宋体" w:cs="宋体"/>
          <w:b/>
          <w:bCs/>
          <w:sz w:val="24"/>
          <w:szCs w:val="20"/>
          <w:highlight w:val="none"/>
          <w:lang w:val="en-US" w:eastAsia="zh-CN"/>
        </w:rPr>
        <w:t xml:space="preserve">7800</w:t>
      </w:r>
      <w:r>
        <w:rPr>
          <w:rFonts w:hint="eastAsia" w:ascii="宋体" w:hAnsi="宋体" w:eastAsia="宋体" w:cs="宋体"/>
          <w:b/>
          <w:bCs/>
          <w:sz w:val="24"/>
          <w:szCs w:val="20"/>
          <w:highlight w:val="none"/>
          <w:lang w:val="zh-CN"/>
        </w:rPr>
        <w:t xml:space="preserve">元人/年填报，福利费按不低于500元/人/年，服装费，按不低于1000元/人/年，为完成招标文件规定的</w:t>
      </w:r>
      <w:r>
        <w:rPr>
          <w:rFonts w:hint="eastAsia" w:ascii="宋体" w:hAnsi="宋体" w:cs="宋体"/>
          <w:b/>
          <w:bCs/>
          <w:sz w:val="24"/>
          <w:szCs w:val="20"/>
          <w:highlight w:val="none"/>
          <w:lang w:val="en-US" w:eastAsia="zh-CN"/>
        </w:rPr>
        <w:t xml:space="preserve">城市管理</w:t>
      </w:r>
      <w:r>
        <w:rPr>
          <w:rFonts w:hint="eastAsia" w:ascii="宋体" w:hAnsi="宋体" w:eastAsia="宋体" w:cs="宋体"/>
          <w:b/>
          <w:bCs/>
          <w:sz w:val="24"/>
          <w:szCs w:val="20"/>
          <w:highlight w:val="none"/>
          <w:lang w:val="zh-CN"/>
        </w:rPr>
        <w:t xml:space="preserve">服务工作需投入专业设备费，按不低于1000元/人/年</w:t>
      </w:r>
      <w:r>
        <w:rPr>
          <w:rFonts w:hint="eastAsia" w:ascii="宋体" w:hAnsi="宋体" w:cs="宋体"/>
          <w:b/>
          <w:bCs/>
          <w:sz w:val="24"/>
          <w:szCs w:val="20"/>
          <w:highlight w:val="none"/>
          <w:lang w:val="zh-CN"/>
        </w:rPr>
        <w:t xml:space="preserve">。税金费率不得低于6.72%。</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所提供人员的费用不得低于上述1</w:t>
      </w:r>
      <w:r>
        <w:rPr>
          <w:rFonts w:hint="eastAsia" w:ascii="宋体" w:hAnsi="宋体" w:cs="宋体"/>
          <w:b/>
          <w:bCs/>
          <w:sz w:val="24"/>
          <w:szCs w:val="20"/>
          <w:highlight w:val="none"/>
          <w:lang w:val="en-US" w:eastAsia="zh-CN"/>
        </w:rPr>
        <w:t xml:space="preserve">2</w:t>
      </w:r>
      <w:r>
        <w:rPr>
          <w:rFonts w:hint="eastAsia" w:ascii="宋体" w:hAnsi="宋体" w:eastAsia="宋体" w:cs="宋体"/>
          <w:b/>
          <w:bCs/>
          <w:sz w:val="24"/>
          <w:szCs w:val="20"/>
          <w:highlight w:val="none"/>
          <w:lang w:val="zh-CN"/>
        </w:rPr>
        <w:t xml:space="preserve">.</w:t>
      </w:r>
      <w:r>
        <w:rPr>
          <w:rFonts w:hint="eastAsia" w:ascii="宋体" w:hAnsi="宋体" w:cs="宋体"/>
          <w:b/>
          <w:bCs/>
          <w:sz w:val="24"/>
          <w:szCs w:val="20"/>
          <w:highlight w:val="none"/>
          <w:lang w:val="en-US" w:eastAsia="zh-CN"/>
        </w:rPr>
        <w:t xml:space="preserve">3</w:t>
      </w:r>
      <w:r>
        <w:rPr>
          <w:rFonts w:hint="eastAsia" w:ascii="宋体" w:hAnsi="宋体" w:eastAsia="宋体" w:cs="宋体"/>
          <w:b/>
          <w:bCs/>
          <w:sz w:val="24"/>
          <w:szCs w:val="20"/>
          <w:highlight w:val="none"/>
          <w:lang w:val="zh-CN"/>
        </w:rPr>
        <w:t xml:space="preserve">.3、1</w:t>
      </w:r>
      <w:r>
        <w:rPr>
          <w:rFonts w:hint="eastAsia" w:ascii="宋体" w:hAnsi="宋体" w:cs="宋体"/>
          <w:b/>
          <w:bCs/>
          <w:sz w:val="24"/>
          <w:szCs w:val="20"/>
          <w:highlight w:val="none"/>
          <w:lang w:val="en-US" w:eastAsia="zh-CN"/>
        </w:rPr>
        <w:t xml:space="preserve">2</w:t>
      </w:r>
      <w:r>
        <w:rPr>
          <w:rFonts w:hint="eastAsia" w:ascii="宋体" w:hAnsi="宋体" w:eastAsia="宋体" w:cs="宋体"/>
          <w:b/>
          <w:bCs/>
          <w:sz w:val="24"/>
          <w:szCs w:val="20"/>
          <w:highlight w:val="none"/>
          <w:lang w:val="zh-CN"/>
        </w:rPr>
        <w:t xml:space="preserve">.</w:t>
      </w:r>
      <w:r>
        <w:rPr>
          <w:rFonts w:hint="eastAsia" w:ascii="宋体" w:hAnsi="宋体" w:cs="宋体"/>
          <w:b/>
          <w:bCs/>
          <w:sz w:val="24"/>
          <w:szCs w:val="20"/>
          <w:highlight w:val="none"/>
          <w:lang w:val="en-US" w:eastAsia="zh-CN"/>
        </w:rPr>
        <w:t xml:space="preserve">3</w:t>
      </w:r>
      <w:r>
        <w:rPr>
          <w:rFonts w:hint="eastAsia" w:ascii="宋体" w:hAnsi="宋体" w:eastAsia="宋体" w:cs="宋体"/>
          <w:b/>
          <w:bCs/>
          <w:sz w:val="24"/>
          <w:szCs w:val="20"/>
          <w:highlight w:val="none"/>
          <w:lang w:val="zh-CN"/>
        </w:rPr>
        <w:t xml:space="preserve">.4、1</w:t>
      </w:r>
      <w:r>
        <w:rPr>
          <w:rFonts w:hint="eastAsia" w:ascii="宋体" w:hAnsi="宋体" w:cs="宋体"/>
          <w:b/>
          <w:bCs/>
          <w:sz w:val="24"/>
          <w:szCs w:val="20"/>
          <w:highlight w:val="none"/>
          <w:lang w:val="en-US" w:eastAsia="zh-CN"/>
        </w:rPr>
        <w:t xml:space="preserve">2.3</w:t>
      </w:r>
      <w:r>
        <w:rPr>
          <w:rFonts w:hint="eastAsia" w:ascii="宋体" w:hAnsi="宋体" w:eastAsia="宋体" w:cs="宋体"/>
          <w:b/>
          <w:bCs/>
          <w:sz w:val="24"/>
          <w:szCs w:val="20"/>
          <w:highlight w:val="none"/>
          <w:lang w:val="zh-CN"/>
        </w:rPr>
        <w:t xml:space="preserve">.5条标准进行测算，否则将视为未实质性响应招标文件要求。如果招标公告发布之后开标前遇政府调整职工最低工资标准或社会保险缴纳基数，评标委员会进行符合性审查时可仍按上述标准审查，中标后，中标人应按照最新政策文件规定执行。用工制度必须按《中华人民共和国劳动法》、《江苏省劳动管理条例》有关规定执行。</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13.3 投标人根据招标内容的要求准确报价，一经报出，不得更改。</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13.4 如出现不合理的报价，经评标委员会评审其报价明显高于其市场价或低于其企业成本的，均可作废标处理。</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13.5投标报价的单位为人民币(元)。如果未能按合同、招标投标文件履约的，中止合同，履约保证金不予退还，并不支付服务期间的</w:t>
      </w:r>
      <w:r>
        <w:rPr>
          <w:rFonts w:hint="eastAsia" w:ascii="宋体" w:hAnsi="宋体" w:cs="宋体"/>
          <w:sz w:val="24"/>
          <w:szCs w:val="20"/>
          <w:highlight w:val="none"/>
          <w:lang w:val="zh-CN"/>
        </w:rPr>
        <w:t xml:space="preserve">城市管理</w:t>
      </w:r>
      <w:r>
        <w:rPr>
          <w:rFonts w:hint="eastAsia" w:ascii="宋体" w:hAnsi="宋体" w:eastAsia="宋体" w:cs="宋体"/>
          <w:sz w:val="24"/>
          <w:szCs w:val="20"/>
          <w:highlight w:val="none"/>
          <w:lang w:val="zh-CN"/>
        </w:rPr>
        <w:t xml:space="preserve">费用。招标方有权终止合同的履行，受托单位应承担相应的完全责任，包括赔偿因此而给本单位及第三人带来的相应损失。合同期满后，退出本</w:t>
      </w:r>
      <w:r>
        <w:rPr>
          <w:rFonts w:hint="eastAsia" w:ascii="宋体" w:hAnsi="宋体" w:cs="宋体"/>
          <w:sz w:val="24"/>
          <w:szCs w:val="20"/>
          <w:highlight w:val="none"/>
          <w:lang w:val="en-US" w:eastAsia="zh-CN"/>
        </w:rPr>
        <w:t xml:space="preserve">城市</w:t>
      </w:r>
      <w:r>
        <w:rPr>
          <w:rFonts w:hint="eastAsia" w:ascii="宋体" w:hAnsi="宋体" w:eastAsia="宋体" w:cs="宋体"/>
          <w:sz w:val="24"/>
          <w:szCs w:val="20"/>
          <w:highlight w:val="none"/>
          <w:lang w:val="zh-CN"/>
        </w:rPr>
        <w:t xml:space="preserve">管理时必须向本单位移交全套档案资料等，经本单位验收合格，并完成与后续</w:t>
      </w:r>
      <w:r>
        <w:rPr>
          <w:rFonts w:hint="eastAsia" w:ascii="宋体" w:hAnsi="宋体" w:cs="宋体"/>
          <w:sz w:val="24"/>
          <w:szCs w:val="20"/>
          <w:highlight w:val="none"/>
          <w:lang w:val="en-US" w:eastAsia="zh-CN"/>
        </w:rPr>
        <w:t xml:space="preserve">城市管理</w:t>
      </w:r>
      <w:r>
        <w:rPr>
          <w:rFonts w:hint="eastAsia" w:ascii="宋体" w:hAnsi="宋体" w:eastAsia="宋体" w:cs="宋体"/>
          <w:sz w:val="24"/>
          <w:szCs w:val="20"/>
          <w:highlight w:val="none"/>
          <w:lang w:val="zh-CN"/>
        </w:rPr>
        <w:t xml:space="preserve">服务企业的衔接后，方可退出，同时无息退还履约保证金余额。合同提前终止或期满退出的，规定时间内必须与本单位及后续</w:t>
      </w:r>
      <w:r>
        <w:rPr>
          <w:rFonts w:hint="eastAsia" w:ascii="宋体" w:hAnsi="宋体" w:cs="宋体"/>
          <w:sz w:val="24"/>
          <w:szCs w:val="20"/>
          <w:highlight w:val="none"/>
          <w:lang w:val="en-US" w:eastAsia="zh-CN"/>
        </w:rPr>
        <w:t xml:space="preserve">城市</w:t>
      </w:r>
      <w:r>
        <w:rPr>
          <w:rFonts w:hint="eastAsia" w:ascii="宋体" w:hAnsi="宋体" w:eastAsia="宋体" w:cs="宋体"/>
          <w:sz w:val="24"/>
          <w:szCs w:val="20"/>
          <w:highlight w:val="none"/>
          <w:lang w:val="zh-CN"/>
        </w:rPr>
        <w:t xml:space="preserve">管理企业的完成交接、衔接工作。</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13.6对于超出招标文件的其他临时性服务项目，由甲乙双方协商解决。</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13、技术要求响应及偏离表、商务要求响应及偏离表</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13.1投标人需对招标文件中的技术要求与商务要求逐项作出响应或偏离，并说明原因。</w:t>
      </w:r>
      <w:r>
        <w:rPr>
          <w:rFonts w:hint="eastAsia" w:ascii="宋体" w:hAnsi="宋体" w:eastAsia="宋体" w:cs="宋体"/>
          <w:sz w:val="24"/>
          <w:szCs w:val="20"/>
          <w:highlight w:val="none"/>
          <w:lang w:val="zh-CN"/>
        </w:rPr>
      </w:r>
      <w:r/>
    </w:p>
    <w:p>
      <w:pPr>
        <w:pStyle w:val="976"/>
        <w:ind w:firstLine="240"/>
        <w:spacing w:line="500" w:lineRule="exact"/>
        <w:widowControl/>
        <w:rPr>
          <w:rFonts w:hint="eastAsia"/>
          <w:highlight w:val="none"/>
          <w:lang w:val="zh-CN"/>
        </w:rPr>
      </w:pPr>
      <w:r>
        <w:rPr>
          <w:rFonts w:hint="eastAsia" w:ascii="宋体" w:hAnsi="宋体" w:eastAsia="宋体" w:cs="宋体"/>
          <w:sz w:val="24"/>
          <w:szCs w:val="20"/>
          <w:highlight w:val="none"/>
          <w:lang w:val="zh-CN"/>
        </w:rPr>
        <w:t xml:space="preserve">13.2投标人可在投标文件中提供认为需要的其他技术文件或说明。</w:t>
      </w:r>
      <w:r>
        <w:rPr>
          <w:rFonts w:hint="eastAsia"/>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77" w:name="_Toc49090510"/>
      <w:r/>
      <w:bookmarkStart w:id="78" w:name="_Toc14577359"/>
      <w:r>
        <w:rPr>
          <w:rFonts w:hint="eastAsia" w:ascii="宋体" w:hAnsi="宋体" w:eastAsia="宋体" w:cs="宋体"/>
          <w:b/>
          <w:bCs/>
          <w:sz w:val="24"/>
          <w:szCs w:val="20"/>
          <w:highlight w:val="none"/>
          <w:lang w:val="zh-CN"/>
        </w:rPr>
        <w:t xml:space="preserve">14、投标函和开标一览表</w:t>
      </w:r>
      <w:bookmarkEnd w:id="77"/>
      <w:r/>
      <w:bookmarkEnd w:id="78"/>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val="zh-CN"/>
        </w:rPr>
        <w:t xml:space="preserve">14.1投标人应按照招标文件中提供的格式完整、正确填写投标函、开标一览表</w:t>
      </w:r>
      <w:r>
        <w:rPr>
          <w:rFonts w:hint="eastAsia" w:ascii="宋体" w:hAnsi="宋体" w:cs="宋体"/>
          <w:sz w:val="24"/>
          <w:szCs w:val="20"/>
          <w:highlight w:val="none"/>
          <w:lang w:val="zh-CN"/>
        </w:rPr>
        <w:t xml:space="preserve">。</w:t>
      </w:r>
      <w:r>
        <w:rPr>
          <w:rFonts w:hint="eastAsia" w:ascii="宋体" w:hAnsi="宋体" w:eastAsia="宋体" w:cs="宋体"/>
          <w:sz w:val="24"/>
          <w:szCs w:val="20"/>
          <w:highlight w:val="none"/>
          <w:lang w:val="en-US" w:eastAsia="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14.3投标文件的大写金额和小写金额不一致的，以大写金额为准；对不同文字文本投标的解释发生异议的，以中文文本为准。</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79" w:name="_Toc14577360"/>
      <w:r/>
      <w:bookmarkStart w:id="80" w:name="_Toc49090511"/>
      <w:r>
        <w:rPr>
          <w:rFonts w:hint="eastAsia" w:ascii="宋体" w:hAnsi="宋体" w:eastAsia="宋体" w:cs="宋体"/>
          <w:b/>
          <w:bCs/>
          <w:sz w:val="24"/>
          <w:szCs w:val="20"/>
          <w:highlight w:val="none"/>
          <w:lang w:val="zh-CN"/>
        </w:rPr>
        <w:t xml:space="preserve">15、投标有效期</w:t>
      </w:r>
      <w:bookmarkEnd w:id="79"/>
      <w:r/>
      <w:bookmarkEnd w:id="80"/>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15.1投标有效期为代理机构规定的开标之日后</w:t>
      </w:r>
      <w:r>
        <w:rPr>
          <w:rFonts w:hint="eastAsia" w:ascii="宋体" w:hAnsi="宋体" w:eastAsia="宋体" w:cs="宋体"/>
          <w:b/>
          <w:bCs/>
          <w:sz w:val="24"/>
          <w:szCs w:val="24"/>
          <w:highlight w:val="none"/>
          <w:u w:val="single"/>
        </w:rPr>
        <w:t xml:space="preserve">六十（60）天</w:t>
      </w:r>
      <w:r>
        <w:rPr>
          <w:rFonts w:hint="eastAsia" w:ascii="宋体" w:hAnsi="宋体" w:eastAsia="宋体" w:cs="宋体"/>
          <w:sz w:val="24"/>
          <w:szCs w:val="24"/>
          <w:highlight w:val="none"/>
        </w:rPr>
        <w:t xml:space="preserve">。投标有效期比规定</w:t>
      </w:r>
      <w:r>
        <w:rPr>
          <w:rFonts w:hint="eastAsia" w:ascii="宋体" w:hAnsi="宋体" w:eastAsia="宋体" w:cs="宋体"/>
          <w:sz w:val="24"/>
          <w:szCs w:val="20"/>
          <w:highlight w:val="none"/>
          <w:lang w:val="zh-CN"/>
        </w:rPr>
        <w:t xml:space="preserve">短的将被视为未实质性响应招标文件而予以拒绝。</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16、投标有效期的延长</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四、投标文件的递交</w:t>
      </w:r>
      <w:r>
        <w:rPr>
          <w:rFonts w:hint="eastAsia" w:ascii="宋体" w:hAnsi="宋体" w:eastAsia="宋体" w:cs="宋体"/>
          <w:b/>
          <w:bCs/>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81" w:name="_Toc16938541"/>
      <w:r/>
      <w:bookmarkStart w:id="82" w:name="_Toc513029225"/>
      <w:r/>
      <w:bookmarkStart w:id="83" w:name="_Toc20823297"/>
      <w:r/>
      <w:bookmarkStart w:id="84" w:name="_Toc462564084"/>
      <w:r>
        <w:rPr>
          <w:rFonts w:hint="eastAsia" w:ascii="宋体" w:hAnsi="宋体" w:eastAsia="宋体" w:cs="宋体"/>
          <w:b/>
          <w:bCs/>
          <w:sz w:val="24"/>
          <w:szCs w:val="20"/>
          <w:highlight w:val="none"/>
          <w:lang w:val="zh-CN"/>
        </w:rPr>
        <w:t xml:space="preserve">17、</w:t>
      </w:r>
      <w:bookmarkEnd w:id="81"/>
      <w:r/>
      <w:bookmarkEnd w:id="82"/>
      <w:r/>
      <w:bookmarkEnd w:id="83"/>
      <w:r/>
      <w:bookmarkEnd w:id="84"/>
      <w:r>
        <w:rPr>
          <w:rFonts w:hint="eastAsia" w:ascii="宋体" w:hAnsi="宋体" w:eastAsia="宋体" w:cs="宋体"/>
          <w:b/>
          <w:bCs/>
          <w:sz w:val="24"/>
          <w:szCs w:val="20"/>
          <w:highlight w:val="none"/>
          <w:lang w:val="zh-CN"/>
        </w:rPr>
        <w:t xml:space="preserve">电子投标文件的递交</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17.1 投标人应当按照《操作手册》规定，在投标截止时间前制作并上传电子投标</w:t>
      </w:r>
      <w:bookmarkStart w:id="85" w:name="_Toc16938542"/>
      <w:r/>
      <w:bookmarkEnd w:id="85"/>
      <w:r/>
      <w:bookmarkStart w:id="86" w:name="_Toc20823298"/>
      <w:r/>
      <w:bookmarkEnd w:id="86"/>
      <w:r>
        <w:rPr>
          <w:rFonts w:hint="eastAsia" w:ascii="宋体" w:hAnsi="宋体" w:eastAsia="宋体" w:cs="宋体"/>
          <w:sz w:val="24"/>
          <w:szCs w:val="20"/>
          <w:highlight w:val="none"/>
        </w:rPr>
        <w:t xml:space="preserve">文件。</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18、投标截止时间</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i/>
          <w:iCs/>
          <w:sz w:val="24"/>
          <w:szCs w:val="20"/>
          <w:highlight w:val="none"/>
          <w:u w:val="single"/>
          <w:lang w:val="zh-CN"/>
        </w:rPr>
        <w:t xml:space="preserve">18.1投标人上传电子投标文件的时间不得迟于招标公告中规定的投标截止时间</w:t>
      </w:r>
      <w:r>
        <w:rPr>
          <w:rFonts w:hint="eastAsia" w:ascii="宋体" w:hAnsi="宋体" w:eastAsia="宋体" w:cs="宋体"/>
          <w:sz w:val="24"/>
          <w:szCs w:val="20"/>
          <w:highlight w:val="none"/>
          <w:lang w:val="zh-CN"/>
        </w:rPr>
        <w:t xml:space="preserve">。</w:t>
      </w:r>
      <w:r>
        <w:rPr>
          <w:rFonts w:hint="eastAsia" w:ascii="宋体" w:hAnsi="宋体" w:eastAsia="宋体" w:cs="宋体"/>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18.2代理机构可以按照规定，通过修改招标文件酌情延长投标截止时间，在此情况下，投标人的所有权利和义务以及投标人受制的截止时间均应以延长后新的截止时间为准。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87" w:name="_Toc16938543"/>
      <w:r/>
      <w:bookmarkStart w:id="88" w:name="_Toc20823299"/>
      <w:r/>
      <w:bookmarkStart w:id="89" w:name="_Toc513029227"/>
      <w:r>
        <w:rPr>
          <w:rFonts w:hint="eastAsia" w:ascii="宋体" w:hAnsi="宋体" w:eastAsia="宋体" w:cs="宋体"/>
          <w:b/>
          <w:bCs/>
          <w:sz w:val="24"/>
          <w:szCs w:val="20"/>
          <w:highlight w:val="none"/>
          <w:lang w:val="zh-CN"/>
        </w:rPr>
        <w:t xml:space="preserve">19、投标文件</w:t>
      </w:r>
      <w:bookmarkEnd w:id="87"/>
      <w:r/>
      <w:bookmarkEnd w:id="88"/>
      <w:r/>
      <w:bookmarkEnd w:id="89"/>
      <w:r>
        <w:rPr>
          <w:rFonts w:hint="eastAsia" w:ascii="宋体" w:hAnsi="宋体" w:eastAsia="宋体" w:cs="宋体"/>
          <w:b/>
          <w:bCs/>
          <w:sz w:val="24"/>
          <w:szCs w:val="20"/>
          <w:highlight w:val="none"/>
          <w:lang w:val="zh-CN"/>
        </w:rPr>
        <w:t xml:space="preserve">的拒收</w:t>
      </w:r>
      <w:r>
        <w:rPr>
          <w:rFonts w:hint="eastAsia" w:ascii="宋体" w:hAnsi="宋体" w:eastAsia="宋体" w:cs="宋体"/>
          <w:b/>
          <w:bCs/>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19.1代理机构拒绝接收在其规定的投标截止时间后上传的任何投标文件。</w:t>
      </w:r>
      <w:r>
        <w:rPr>
          <w:rFonts w:hint="eastAsia" w:ascii="宋体" w:hAnsi="宋体" w:eastAsia="宋体" w:cs="宋体"/>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19.2采购人可以按照规定，通过修改招标文件酌情延长投标截止时间，在此情况下，投标人的所有权利和义务以及投标人受制的截止时间均应以延长后新的截止时间为准。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90" w:name="_Toc513029228"/>
      <w:r/>
      <w:bookmarkStart w:id="91" w:name="_Toc16938544"/>
      <w:r/>
      <w:bookmarkStart w:id="92" w:name="_Toc20823300"/>
      <w:r>
        <w:rPr>
          <w:rFonts w:hint="eastAsia" w:ascii="宋体" w:hAnsi="宋体" w:eastAsia="宋体" w:cs="宋体"/>
          <w:b/>
          <w:bCs/>
          <w:sz w:val="24"/>
          <w:szCs w:val="20"/>
          <w:highlight w:val="none"/>
          <w:lang w:val="zh-CN"/>
        </w:rPr>
        <w:t xml:space="preserve">20、投标文件的撤回和修改</w:t>
      </w:r>
      <w:bookmarkEnd w:id="90"/>
      <w:r/>
      <w:bookmarkEnd w:id="91"/>
      <w:r/>
      <w:bookmarkEnd w:id="92"/>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20.1投标文件的撤回</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20.1.1电子投标文件的撤回</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投标人可在投标截止时间前，撤回其电子投标文件，具体操作方法见《操作手册》。</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21.1.2投标人撤回电子投标文件，则认为其不再参与本项目投标活动。</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20.2 投标文件的修改</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20.2.1投标人可在投标截止时间前，对其电子投标文件进行修改，具体操作方法见《操作手册》。</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20.2.2在投标截止时间之后，投标人不得对其电子投标文件作任何修改。</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20.3在投标截止时间至招标文件中规定的投标有效期满之间的这段时间内，投标人不得撤回其投标。</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93" w:name="_Toc120614218"/>
      <w:r/>
      <w:bookmarkStart w:id="94" w:name="_Toc16938545"/>
      <w:r/>
      <w:bookmarkStart w:id="95" w:name="_Toc20823301"/>
      <w:r/>
      <w:bookmarkStart w:id="96" w:name="_Toc513029229"/>
      <w:r>
        <w:rPr>
          <w:rFonts w:hint="eastAsia" w:ascii="宋体" w:hAnsi="宋体" w:eastAsia="宋体" w:cs="宋体"/>
          <w:b/>
          <w:bCs/>
          <w:sz w:val="24"/>
          <w:szCs w:val="20"/>
          <w:highlight w:val="none"/>
          <w:lang w:val="zh-CN"/>
        </w:rPr>
        <w:t xml:space="preserve">五、开标与评标</w:t>
      </w:r>
      <w:bookmarkEnd w:id="93"/>
      <w:r/>
      <w:bookmarkEnd w:id="94"/>
      <w:r/>
      <w:bookmarkEnd w:id="95"/>
      <w:r/>
      <w:bookmarkEnd w:id="96"/>
      <w:r>
        <w:rPr>
          <w:rFonts w:hint="eastAsia" w:ascii="宋体" w:hAnsi="宋体" w:eastAsia="宋体" w:cs="宋体"/>
          <w:b/>
          <w:bCs/>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97" w:name="_Toc20823302"/>
      <w:r/>
      <w:bookmarkStart w:id="98" w:name="_Toc513029230"/>
      <w:r/>
      <w:bookmarkStart w:id="99" w:name="_Toc16938546"/>
      <w:r>
        <w:rPr>
          <w:rFonts w:hint="eastAsia" w:ascii="宋体" w:hAnsi="宋体" w:eastAsia="宋体" w:cs="宋体"/>
          <w:b/>
          <w:bCs/>
          <w:sz w:val="24"/>
          <w:szCs w:val="20"/>
          <w:highlight w:val="none"/>
          <w:lang w:val="zh-CN"/>
        </w:rPr>
        <w:t xml:space="preserve">21、开标</w:t>
      </w:r>
      <w:bookmarkEnd w:id="97"/>
      <w:r/>
      <w:bookmarkEnd w:id="98"/>
      <w:r/>
      <w:bookmarkEnd w:id="99"/>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21.2开标仪式由代理机构组织。苏采云系统将自动对项目进行开标，并宣布各投标人名称和投标价格。</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21.3投标人在开标过程中涉及到的投标文件解密、开标结果确认等工作，应按照《操作手册》规定执行。</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100" w:name="_Toc16938547"/>
      <w:r/>
      <w:bookmarkStart w:id="101" w:name="_Toc513029231"/>
      <w:r/>
      <w:bookmarkStart w:id="102" w:name="_Toc20823303"/>
      <w:r>
        <w:rPr>
          <w:rFonts w:hint="eastAsia" w:ascii="宋体" w:hAnsi="宋体" w:eastAsia="宋体" w:cs="宋体"/>
          <w:b/>
          <w:bCs/>
          <w:sz w:val="24"/>
          <w:szCs w:val="20"/>
          <w:highlight w:val="none"/>
          <w:lang w:val="zh-CN"/>
        </w:rPr>
        <w:t xml:space="preserve">22、评标委员会</w:t>
      </w:r>
      <w:bookmarkEnd w:id="100"/>
      <w:r/>
      <w:bookmarkEnd w:id="101"/>
      <w:r/>
      <w:bookmarkEnd w:id="102"/>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22.1开标后，代理机构将立即组织评标委员会（以下简称评委会）进行评标。</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22.2评委会由采购人代表和有关技术、经济等方面的专家组成，且人员构成符合政府采购有关规定。</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22.3评委会独立工作，负责评审所有投标文件并确定中标候选人。</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23、评标过程的保密与公正</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23.1凡是与审查、澄清、评价和比较投标的有关资料以及授标建议等，采购人、评委、代理机构均不得向投标人或与评标无关的其他人员透露。</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23.2在评标过程中，投标人不得以任何行为影响评标过程，否则其投标文件将被作为无效投标文件。</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23.3代理机构和评标委员会不向未中标的投标人解释未中标原因，也不公布评标过程中的相关细节。</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23.4采用综合评分法的项目，未中标的投标人可于中标结果公告期限届满之日起通过苏采云系统查看自己的评审得分及排序情况。</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103" w:name="_Toc513029232"/>
      <w:r/>
      <w:bookmarkStart w:id="104" w:name="_Toc20823304"/>
      <w:r/>
      <w:bookmarkStart w:id="105" w:name="_Toc16938548"/>
      <w:r>
        <w:rPr>
          <w:rFonts w:hint="eastAsia" w:ascii="宋体" w:hAnsi="宋体" w:eastAsia="宋体" w:cs="宋体"/>
          <w:b/>
          <w:bCs/>
          <w:sz w:val="24"/>
          <w:szCs w:val="20"/>
          <w:highlight w:val="none"/>
          <w:lang w:val="zh-CN"/>
        </w:rPr>
        <w:t xml:space="preserve">24、投标文件的澄清</w:t>
      </w:r>
      <w:bookmarkEnd w:id="103"/>
      <w:r/>
      <w:bookmarkEnd w:id="104"/>
      <w:r/>
      <w:bookmarkEnd w:id="105"/>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24.1评标期间，评委会对投标文件中含义不明确、同类问题表述不一致或者有明显文字和计算错误的内容，有权要求投标人作出必要的澄清、说明或者补正。</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投标人的澄清、说明或者补正不得超出投标文件的范围或者改变投标文件的实质性内容。</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评标委员会并非对每个投标人都做澄清要求。</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24.3接到评委会澄清、说明和补正要求的投标人如未按规定做出澄清、说明和补正，其风险由投标人自行承担。</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24.</w:t>
      </w:r>
      <w:r>
        <w:rPr>
          <w:rFonts w:hint="eastAsia" w:ascii="宋体" w:hAnsi="宋体" w:eastAsia="宋体" w:cs="宋体"/>
          <w:sz w:val="24"/>
          <w:szCs w:val="20"/>
          <w:highlight w:val="none"/>
        </w:rPr>
        <w:t xml:space="preserve">4</w:t>
      </w:r>
      <w:r>
        <w:rPr>
          <w:rFonts w:hint="eastAsia" w:ascii="宋体" w:hAnsi="宋体" w:eastAsia="宋体" w:cs="宋体"/>
          <w:sz w:val="24"/>
          <w:szCs w:val="20"/>
          <w:highlight w:val="none"/>
          <w:lang w:val="zh-CN"/>
        </w:rPr>
        <w:t xml:space="preserve">政府采购异常低价审查</w:t>
      </w:r>
      <w:r>
        <w:rPr>
          <w:rFonts w:hint="eastAsia" w:ascii="宋体" w:hAnsi="宋体" w:eastAsia="宋体" w:cs="宋体"/>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采购人应在采购文件中明确评审委员会启动异常低价投标（响应）审查的情形和具体要求，包括：</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（一）评审过程中出现下列情形之一的，评审委员会应当启动异常低价投标（响应）审查程序：</w:t>
      </w:r>
      <w:r>
        <w:rPr>
          <w:rFonts w:hint="eastAsia" w:ascii="宋体" w:hAnsi="宋体" w:eastAsia="宋体" w:cs="宋体"/>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1．投标（响应）报价低于采购项目预算50%的，即投标（响应）报价&lt;采购项目预算×50%；</w:t>
      </w:r>
      <w:r>
        <w:rPr>
          <w:rFonts w:hint="eastAsia" w:ascii="宋体" w:hAnsi="宋体" w:eastAsia="宋体" w:cs="宋体"/>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2．投标（响应）报价低于采购项目最高限价45%的，即投标（响应）报价&lt;采购项目最高限价×45%；</w:t>
      </w:r>
      <w:r>
        <w:rPr>
          <w:rFonts w:hint="eastAsia" w:ascii="宋体" w:hAnsi="宋体" w:eastAsia="宋体" w:cs="宋体"/>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3．评审委员会认定的供应商报价过低、有可能影响产品质量或者不能诚信履约的其他情形。</w:t>
      </w:r>
      <w:r>
        <w:rPr>
          <w:rFonts w:hint="eastAsia" w:ascii="宋体" w:hAnsi="宋体" w:eastAsia="宋体" w:cs="宋体"/>
          <w:sz w:val="24"/>
          <w:szCs w:val="20"/>
          <w:highlight w:val="none"/>
          <w:lang w:val="zh-CN"/>
        </w:rPr>
      </w:r>
      <w:r/>
    </w:p>
    <w:p>
      <w:pPr>
        <w:pStyle w:val="976"/>
        <w:ind w:firstLine="48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106" w:name="_Toc513029233"/>
      <w:r/>
      <w:bookmarkStart w:id="107" w:name="_Toc20823305"/>
      <w:r/>
      <w:bookmarkStart w:id="108" w:name="_Toc16938549"/>
      <w:r>
        <w:rPr>
          <w:rFonts w:hint="eastAsia" w:ascii="宋体" w:hAnsi="宋体" w:eastAsia="宋体" w:cs="宋体"/>
          <w:b/>
          <w:bCs/>
          <w:sz w:val="24"/>
          <w:szCs w:val="20"/>
          <w:highlight w:val="none"/>
          <w:lang w:val="zh-CN"/>
        </w:rPr>
        <w:t xml:space="preserve">25、对投标文件的初审</w:t>
      </w:r>
      <w:bookmarkEnd w:id="106"/>
      <w:r/>
      <w:bookmarkEnd w:id="107"/>
      <w:r/>
      <w:bookmarkEnd w:id="108"/>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25.1投标文件初审分为资格审查和符合性审查。</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采购人在进行资格性审查的同时，将在“信用中国”网站查询投标人的信用记录，以确定投标人是否具备投标资格，查询结果留存并归档。</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4"/>
          <w:highlight w:val="none"/>
          <w:lang w:val="zh-CN"/>
        </w:rPr>
      </w:pPr>
      <w:r>
        <w:rPr>
          <w:rFonts w:hint="eastAsia" w:ascii="宋体" w:hAnsi="宋体" w:eastAsia="宋体" w:cs="宋体"/>
          <w:sz w:val="24"/>
          <w:szCs w:val="20"/>
          <w:highlight w:val="none"/>
          <w:lang w:val="zh-CN"/>
        </w:rPr>
        <w:t xml:space="preserve">25.1.2符合性审查：依据招标文件的规定，由评委会从投标文件的有效性、完整性和对招标文件的响应程度进行审查，</w:t>
      </w:r>
      <w:bookmarkStart w:id="109" w:name="OLE_LINK22"/>
      <w:r>
        <w:rPr>
          <w:rFonts w:hint="eastAsia" w:ascii="宋体" w:hAnsi="宋体" w:eastAsia="宋体" w:cs="宋体"/>
          <w:sz w:val="24"/>
          <w:szCs w:val="20"/>
          <w:highlight w:val="none"/>
          <w:lang w:val="zh-CN"/>
        </w:rPr>
        <w:t xml:space="preserve">以确定是否对招标文件的实质性要求作出响应。</w:t>
      </w:r>
      <w:r>
        <w:rPr>
          <w:rFonts w:hint="eastAsia" w:ascii="宋体" w:hAnsi="宋体" w:eastAsia="宋体" w:cs="宋体"/>
          <w:sz w:val="24"/>
          <w:szCs w:val="24"/>
          <w:highlight w:val="none"/>
          <w:lang w:val="zh-CN"/>
        </w:rPr>
      </w:r>
      <w:r/>
    </w:p>
    <w:p>
      <w:pPr>
        <w:pStyle w:val="976"/>
        <w:ind w:firstLine="240"/>
        <w:spacing w:line="500" w:lineRule="exact"/>
        <w:widowControl/>
        <w:rPr>
          <w:rFonts w:hint="eastAsia" w:ascii="宋体" w:hAnsi="宋体" w:eastAsia="宋体" w:cs="宋体"/>
          <w:sz w:val="24"/>
          <w:szCs w:val="24"/>
          <w:highlight w:val="none"/>
          <w:lang w:val="zh-CN"/>
        </w:rPr>
      </w:pPr>
      <w:r/>
      <w:bookmarkEnd w:id="109"/>
      <w:r>
        <w:rPr>
          <w:rFonts w:hint="eastAsia" w:ascii="宋体" w:hAnsi="宋体" w:eastAsia="宋体" w:cs="宋体"/>
          <w:sz w:val="24"/>
          <w:szCs w:val="20"/>
          <w:highlight w:val="none"/>
          <w:lang w:val="zh-CN"/>
        </w:rPr>
        <w:t xml:space="preserve">25.1.3未通过资格审查或符合性审查的投标人，代理机构将在苏采云系统中告知未通过资格审查或符合性审查的原因，评标结束后，代理机构将不再告知未通过资格审查和符合性审查的原因。</w:t>
      </w:r>
      <w:r>
        <w:rPr>
          <w:rFonts w:hint="eastAsia" w:ascii="宋体" w:hAnsi="宋体" w:eastAsia="宋体" w:cs="宋体"/>
          <w:sz w:val="24"/>
          <w:szCs w:val="24"/>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25.4评委会将对确定为实质性响应的投标进行进一步审核，确定其是否有计算上或累加上的算术错误，修正错误的原则如下：</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（1）投标文件中开标一览表内容与投标文件中相应内容不一致的，以开标一览表为准。</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（2）大写金额和小写金额不一致的，以大写金额为准。</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（3）单价金额小数点或者百分比有明显错位的，以开标一览表的总价为准，并修改单价。</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（4）总价金额与按单价汇总金额不一致的，以单价金额计算结果为准。</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同时出现两种以上错误的，按照前款规定的顺序修正。</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bookmarkStart w:id="110" w:name="_Toc513029234"/>
      <w:r/>
      <w:bookmarkStart w:id="111" w:name="_Toc20823306"/>
      <w:r/>
      <w:bookmarkStart w:id="112" w:name="_Toc16938550"/>
      <w:r>
        <w:rPr>
          <w:rFonts w:hint="eastAsia" w:ascii="宋体" w:hAnsi="宋体" w:eastAsia="宋体" w:cs="宋体"/>
          <w:sz w:val="24"/>
          <w:szCs w:val="20"/>
          <w:highlight w:val="none"/>
          <w:lang w:val="zh-CN"/>
        </w:rPr>
        <w:t xml:space="preserve">25.6投标人在开、评标全过程中应保持通讯畅通，及时登录苏采云系统查阅、答复相关信息，并安排专人与代理机构及评标委员会联系。</w:t>
      </w:r>
      <w:bookmarkEnd w:id="110"/>
      <w:r/>
      <w:bookmarkEnd w:id="111"/>
      <w:r/>
      <w:bookmarkEnd w:id="112"/>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26、无效投标条款和废标条款</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bookmarkStart w:id="113" w:name="_Toc16938551"/>
      <w:r/>
      <w:bookmarkStart w:id="114" w:name="_Toc20823307"/>
      <w:r/>
      <w:bookmarkStart w:id="115" w:name="_Toc513029235"/>
      <w:r>
        <w:rPr>
          <w:rFonts w:hint="eastAsia" w:ascii="宋体" w:hAnsi="宋体" w:eastAsia="宋体" w:cs="宋体"/>
          <w:sz w:val="24"/>
          <w:szCs w:val="20"/>
          <w:highlight w:val="none"/>
          <w:lang w:val="zh-CN"/>
        </w:rPr>
        <w:t xml:space="preserve">26.1无效投标条款</w:t>
      </w:r>
      <w:bookmarkEnd w:id="113"/>
      <w:r/>
      <w:bookmarkEnd w:id="114"/>
      <w:r/>
      <w:bookmarkEnd w:id="115"/>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26.1.1投标人在苏采云系统规定的时间内未成功解密电子投标文件的。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26.1.2投标人未按照招标文件要求上传电子投标文件的。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26.1.3同一投标人提交两个（含两个）以上不同的投标报价的。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26.1.4投标人不具备招标文件中规定资格要求的。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26.1.5投标人的报价超过了采购预算或最高限价的。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26.1.6未通过符合性审查的。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0"/>
          <w:highlight w:val="none"/>
          <w:lang w:val="zh-CN"/>
        </w:rPr>
        <w:t xml:space="preserve">26.1.7不符合招标文件中规定的实质性要求和条件的</w:t>
      </w:r>
      <w:r>
        <w:rPr>
          <w:rFonts w:hint="eastAsia" w:ascii="宋体" w:hAnsi="宋体" w:eastAsia="宋体" w:cs="宋体"/>
          <w:i/>
          <w:iCs/>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rPr>
        <w:t xml:space="preserve">26.1.8</w:t>
      </w:r>
      <w:r>
        <w:rPr>
          <w:rFonts w:hint="eastAsia" w:ascii="宋体" w:hAnsi="宋体" w:eastAsia="宋体" w:cs="宋体"/>
          <w:sz w:val="24"/>
          <w:szCs w:val="20"/>
          <w:highlight w:val="none"/>
          <w:lang w:val="zh-CN"/>
        </w:rPr>
        <w:t xml:space="preserve">投标人被</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lang w:val="zh-CN"/>
        </w:rPr>
        <w:t xml:space="preserve">信用中国</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lang w:val="zh-CN"/>
        </w:rPr>
        <w:t xml:space="preserve">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26.1.9投标文件含有采购人不能接受的附加条件的。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26.1.11投标文件未按照招标文件要求加盖CA电子公章的。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26.1.12其他法律、法规及本招标文件规定的属无效投标的情形。</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26.2废标条款</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26.2.1符合专业条件的供应商或者对招标文件作实质响应的供应商不足三家的。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26.2.2出现影响采购公正的违法、违规行为的。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26.2.3因重大变故，采购任务取消的。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26.2.4评标委员会认定招标文件存在歧义、重大缺陷导致评审工作无法进行。</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26.2.5因苏采云系统系统故障原因造成开标不成功的。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26.3 投标截止时间结束后参加投标的供应商不足三家的处理：</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116" w:name="_Toc120614219"/>
      <w:r>
        <w:rPr>
          <w:rFonts w:hint="eastAsia" w:ascii="宋体" w:hAnsi="宋体" w:eastAsia="宋体" w:cs="宋体"/>
          <w:b/>
          <w:bCs/>
          <w:sz w:val="24"/>
          <w:szCs w:val="20"/>
          <w:highlight w:val="none"/>
          <w:lang w:val="zh-CN"/>
        </w:rPr>
        <w:t xml:space="preserve">六、定标</w:t>
      </w:r>
      <w:bookmarkEnd w:id="116"/>
      <w:r>
        <w:rPr>
          <w:rFonts w:hint="eastAsia" w:ascii="宋体" w:hAnsi="宋体" w:eastAsia="宋体" w:cs="宋体"/>
          <w:b/>
          <w:bCs/>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117" w:name="_Toc20823310"/>
      <w:r/>
      <w:bookmarkStart w:id="118" w:name="_Toc16938554"/>
      <w:r/>
      <w:bookmarkStart w:id="119" w:name="_Toc513029238"/>
      <w:r>
        <w:rPr>
          <w:rFonts w:hint="eastAsia" w:ascii="宋体" w:hAnsi="宋体" w:eastAsia="宋体" w:cs="宋体"/>
          <w:b/>
          <w:bCs/>
          <w:sz w:val="24"/>
          <w:szCs w:val="20"/>
          <w:highlight w:val="none"/>
          <w:lang w:val="zh-CN"/>
        </w:rPr>
        <w:t xml:space="preserve">27、</w:t>
      </w:r>
      <w:bookmarkEnd w:id="117"/>
      <w:r>
        <w:rPr>
          <w:rFonts w:hint="eastAsia" w:ascii="宋体" w:hAnsi="宋体" w:eastAsia="宋体" w:cs="宋体"/>
          <w:b/>
          <w:bCs/>
          <w:sz w:val="24"/>
          <w:szCs w:val="20"/>
          <w:highlight w:val="none"/>
          <w:lang w:val="zh-CN"/>
        </w:rPr>
        <w:t xml:space="preserve">确定</w:t>
      </w:r>
      <w:bookmarkEnd w:id="118"/>
      <w:r/>
      <w:bookmarkEnd w:id="119"/>
      <w:r>
        <w:rPr>
          <w:rFonts w:hint="eastAsia" w:ascii="宋体" w:hAnsi="宋体" w:eastAsia="宋体" w:cs="宋体"/>
          <w:b/>
          <w:bCs/>
          <w:sz w:val="24"/>
          <w:szCs w:val="20"/>
          <w:highlight w:val="none"/>
          <w:lang w:val="zh-CN"/>
        </w:rPr>
        <w:t xml:space="preserve">中标单位</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27.1中标候选人的选取原则和数量见招标文件第五章规定。 </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27.2采购人应根据评委会推荐的中标候选人确定中标人。</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27.3代理机构将在</w:t>
      </w:r>
      <w:r>
        <w:rPr>
          <w:rFonts w:hint="eastAsia" w:ascii="宋体" w:hAnsi="宋体" w:eastAsia="宋体" w:cs="宋体"/>
          <w:sz w:val="24"/>
          <w:szCs w:val="20"/>
          <w:highlight w:val="none"/>
        </w:rPr>
        <w:t xml:space="preserve">“中国政府采购网”、“江苏政府采购网”、“盐城市政府采购网”</w:t>
      </w:r>
      <w:r>
        <w:rPr>
          <w:rFonts w:hint="eastAsia" w:ascii="宋体" w:hAnsi="宋体" w:eastAsia="宋体" w:cs="宋体"/>
          <w:sz w:val="24"/>
          <w:szCs w:val="20"/>
          <w:highlight w:val="none"/>
          <w:lang w:val="zh-CN"/>
        </w:rPr>
        <w:t xml:space="preserve">发布中标公告，公告期限为1个工作日。</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27.4若有充分证据证明，中标人出现下列情况之一的，一经查实，将被取消中标资格：</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27.4.1提供虚假材料谋取中标的。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27.4.2向采购人、代理机构行贿或者提供其他不正当利益的。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27.4.3属于本文件规定的无效条件，但在评标过程中又未被评委会发现的。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27.4.4与采购人或者其他供应商恶意串通的。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27.4.5采取不正当手段诋毁、排挤其他供应商的。</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bookmarkStart w:id="120" w:name="_Toc200451960"/>
      <w:r>
        <w:rPr>
          <w:rFonts w:hint="eastAsia" w:ascii="宋体" w:hAnsi="宋体" w:eastAsia="宋体" w:cs="宋体"/>
          <w:sz w:val="24"/>
          <w:szCs w:val="20"/>
          <w:highlight w:val="none"/>
          <w:lang w:val="zh-CN"/>
        </w:rPr>
        <w:t xml:space="preserve">27.5 有下列情形之一的，视为投标人串通投标，投标无效：</w:t>
      </w:r>
      <w:bookmarkEnd w:id="120"/>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27.5.1不同投标人的投标文件由同一单位或者个人编制。</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27.5.2不同投标人委托同一单位或者个人办理投标事宜。</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27.5.3不同投标人的投标文件载明的项目管理成员或者联系人员为同一人。</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27.5.4不同投标人的投标文件异常一致或者投标报价呈规律性差异。</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28、质疑处理</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28.2.1对可以质疑的采购文件提出质疑的，为收到采购文件之日或者采购文件公告期限届满之日；</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28.2.2对采购过程提出质疑的，为各采购程序环节结束之日；</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28.2.3对中标或者成交结果提出质疑的，为中标或者成交结果公告期限届满之日。</w:t>
      </w:r>
      <w:r>
        <w:rPr>
          <w:rFonts w:hint="eastAsia" w:ascii="宋体" w:hAnsi="宋体" w:eastAsia="宋体" w:cs="宋体"/>
          <w:sz w:val="24"/>
          <w:szCs w:val="20"/>
          <w:highlight w:val="none"/>
          <w:lang w:val="zh-CN"/>
        </w:rPr>
      </w:r>
      <w:r/>
    </w:p>
    <w:p>
      <w:pPr>
        <w:pStyle w:val="976"/>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0"/>
          <w:highlight w:val="none"/>
          <w:lang w:val="zh-CN"/>
        </w:rPr>
      </w:r>
      <w:r/>
    </w:p>
    <w:p>
      <w:pPr>
        <w:pStyle w:val="1206"/>
        <w:ind w:firstLine="241"/>
        <w:spacing w:before="0" w:beforeAutospacing="0" w:after="0" w:afterAutospacing="0" w:line="500" w:lineRule="exact"/>
        <w:rPr>
          <w:rFonts w:hint="eastAsia" w:ascii="宋体" w:hAnsi="宋体" w:eastAsia="宋体" w:cs="宋体"/>
          <w:b/>
          <w:highlight w:val="none"/>
        </w:rPr>
      </w:pPr>
      <w:r>
        <w:rPr>
          <w:rFonts w:hint="eastAsia" w:ascii="宋体" w:hAnsi="宋体" w:eastAsia="宋体" w:cs="宋体"/>
          <w:b/>
          <w:bCs/>
          <w:szCs w:val="20"/>
          <w:highlight w:val="none"/>
          <w:lang w:val="zh-CN"/>
        </w:rPr>
        <w:t xml:space="preserve">28.4</w:t>
      </w:r>
      <w:r>
        <w:rPr>
          <w:rFonts w:hint="eastAsia" w:ascii="宋体" w:hAnsi="宋体" w:eastAsia="宋体" w:cs="宋体"/>
          <w:b/>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hint="eastAsia" w:ascii="宋体" w:hAnsi="宋体" w:eastAsia="宋体" w:cs="宋体"/>
          <w:b/>
          <w:highlight w:val="none"/>
        </w:rPr>
      </w:r>
      <w:r/>
    </w:p>
    <w:p>
      <w:pPr>
        <w:pStyle w:val="976"/>
        <w:ind w:firstLine="24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采购人及采购代理机构只接收以纸质原件形式送达的质疑，采购人和采购代理机构不接受未填写快递运单的快件。质疑接收部门联系地址：</w:t>
      </w:r>
      <w:bookmarkStart w:id="121" w:name="OLE_LINK66"/>
      <w:r/>
      <w:bookmarkStart w:id="122" w:name="OLE_LINK67"/>
      <w:r>
        <w:rPr>
          <w:rFonts w:hint="eastAsia" w:ascii="宋体" w:hAnsi="宋体" w:eastAsia="宋体" w:cs="宋体"/>
          <w:sz w:val="24"/>
          <w:szCs w:val="24"/>
          <w:highlight w:val="none"/>
        </w:rPr>
        <w:t xml:space="preserve">详见采购公告</w:t>
      </w:r>
      <w:bookmarkEnd w:id="121"/>
      <w:r/>
      <w:bookmarkEnd w:id="122"/>
      <w:r>
        <w:rPr>
          <w:rFonts w:hint="eastAsia" w:ascii="宋体" w:hAnsi="宋体" w:eastAsia="宋体" w:cs="宋体"/>
          <w:sz w:val="24"/>
          <w:szCs w:val="24"/>
          <w:highlight w:val="none"/>
        </w:rPr>
        <w:t xml:space="preserve">，联系电话： 详见采购公告。</w:t>
      </w:r>
      <w:r>
        <w:rPr>
          <w:rFonts w:hint="eastAsia" w:ascii="宋体" w:hAnsi="宋体" w:eastAsia="宋体" w:cs="宋体"/>
          <w:sz w:val="24"/>
          <w:szCs w:val="24"/>
          <w:highlight w:val="none"/>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28.5 以下情形的质疑不予受理</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28.5.1内容不符合《政府采购质疑和投诉办法》第十二条规定的质疑。</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28.5.2超出政府采购法定期限的质疑。</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28.5.3以传真、电子邮件等方式递交的非原件形式的质疑。</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28.5.4未参加投标活动的供应商或在投标活动中自身权益未受到损害的供应商所提出的质疑。</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28.5.5供应商组成联合体参加投标，联合体中任何一方或多方未按要求签字、盖章、加盖公章的质疑。</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29、中标通知书</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29.</w:t>
      </w:r>
      <w:r>
        <w:rPr>
          <w:rFonts w:hint="eastAsia" w:ascii="宋体" w:hAnsi="宋体" w:eastAsia="宋体" w:cs="宋体"/>
          <w:sz w:val="24"/>
          <w:szCs w:val="20"/>
          <w:highlight w:val="none"/>
        </w:rPr>
        <w:t xml:space="preserve">1</w:t>
      </w:r>
      <w:r>
        <w:rPr>
          <w:rFonts w:hint="eastAsia" w:ascii="宋体" w:hAnsi="宋体" w:eastAsia="宋体" w:cs="宋体"/>
          <w:sz w:val="24"/>
          <w:szCs w:val="20"/>
          <w:highlight w:val="none"/>
          <w:lang w:val="zh-CN"/>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123" w:name="_Toc16938552"/>
      <w:r/>
      <w:bookmarkStart w:id="124" w:name="_Toc120614220"/>
      <w:r/>
      <w:bookmarkStart w:id="125" w:name="_Toc20823308"/>
      <w:r/>
      <w:bookmarkStart w:id="126" w:name="_Toc513029236"/>
      <w:r>
        <w:rPr>
          <w:rFonts w:hint="eastAsia" w:ascii="宋体" w:hAnsi="宋体" w:eastAsia="宋体" w:cs="宋体"/>
          <w:b/>
          <w:bCs/>
          <w:sz w:val="24"/>
          <w:szCs w:val="20"/>
          <w:highlight w:val="none"/>
          <w:lang w:val="zh-CN"/>
        </w:rPr>
        <w:t xml:space="preserve">七、授予合同</w:t>
      </w:r>
      <w:bookmarkEnd w:id="123"/>
      <w:r/>
      <w:bookmarkEnd w:id="124"/>
      <w:r/>
      <w:bookmarkEnd w:id="125"/>
      <w:r/>
      <w:bookmarkEnd w:id="126"/>
      <w:r>
        <w:rPr>
          <w:rFonts w:hint="eastAsia" w:ascii="宋体" w:hAnsi="宋体" w:eastAsia="宋体" w:cs="宋体"/>
          <w:b/>
          <w:bCs/>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bookmarkStart w:id="127" w:name="_Toc513029237"/>
      <w:r/>
      <w:bookmarkStart w:id="128" w:name="_Toc20823309"/>
      <w:r/>
      <w:bookmarkStart w:id="129" w:name="_Toc16938553"/>
      <w:r>
        <w:rPr>
          <w:rFonts w:hint="eastAsia" w:ascii="宋体" w:hAnsi="宋体" w:eastAsia="宋体" w:cs="宋体"/>
          <w:b/>
          <w:bCs/>
          <w:sz w:val="24"/>
          <w:szCs w:val="20"/>
          <w:highlight w:val="none"/>
          <w:lang w:val="zh-CN"/>
        </w:rPr>
        <w:t xml:space="preserve">30、签订合同</w:t>
      </w:r>
      <w:bookmarkEnd w:id="127"/>
      <w:r/>
      <w:bookmarkEnd w:id="128"/>
      <w:r/>
      <w:bookmarkEnd w:id="129"/>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30.l中标人应当在中标通知书发出之日起三十日内，按照招标文件确定的事项与采购人签订政府采购合同。</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30.2招标文件、中标人的投标文件及招标过程中有关澄清、承诺文件均应作为合同附件</w:t>
      </w:r>
      <w:r>
        <w:rPr>
          <w:rFonts w:hint="eastAsia" w:ascii="宋体" w:hAnsi="宋体" w:eastAsia="宋体" w:cs="宋体"/>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30.3签订合同后，</w:t>
      </w:r>
      <w:r>
        <w:rPr>
          <w:rFonts w:hint="eastAsia" w:ascii="宋体" w:hAnsi="宋体" w:eastAsia="宋体" w:cs="宋体"/>
          <w:i/>
          <w:iCs/>
          <w:sz w:val="24"/>
          <w:szCs w:val="24"/>
          <w:highlight w:val="none"/>
          <w:u w:val="single"/>
        </w:rPr>
        <w:t xml:space="preserve">中标人不得将合同标的进行转包</w:t>
      </w:r>
      <w:r>
        <w:rPr>
          <w:rFonts w:hint="eastAsia" w:ascii="宋体" w:hAnsi="宋体" w:eastAsia="宋体" w:cs="宋体"/>
          <w:sz w:val="24"/>
          <w:szCs w:val="24"/>
          <w:highlight w:val="none"/>
        </w:rPr>
        <w:t xml:space="preserve">。</w:t>
      </w:r>
      <w:r>
        <w:rPr>
          <w:rFonts w:hint="eastAsia" w:ascii="宋体" w:hAnsi="宋体" w:eastAsia="宋体" w:cs="宋体"/>
          <w:sz w:val="24"/>
          <w:szCs w:val="20"/>
          <w:highlight w:val="none"/>
          <w:lang w:val="zh-CN"/>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0"/>
          <w:highlight w:val="none"/>
          <w:lang w:val="zh-CN"/>
        </w:rPr>
      </w:r>
      <w:r/>
    </w:p>
    <w:p>
      <w:pPr>
        <w:pStyle w:val="976"/>
        <w:ind w:firstLine="241"/>
        <w:spacing w:line="50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31、服务（包含与服务相关的货物）的追加</w:t>
      </w:r>
      <w:r>
        <w:rPr>
          <w:rFonts w:hint="eastAsia" w:ascii="宋体" w:hAnsi="宋体" w:eastAsia="宋体" w:cs="宋体"/>
          <w:b/>
          <w:bCs/>
          <w:sz w:val="24"/>
          <w:szCs w:val="20"/>
          <w:highlight w:val="none"/>
          <w:lang w:val="zh-CN"/>
        </w:rPr>
      </w:r>
      <w:r/>
    </w:p>
    <w:p>
      <w:pPr>
        <w:pStyle w:val="976"/>
        <w:ind w:firstLine="240"/>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4"/>
          <w:szCs w:val="20"/>
          <w:highlight w:val="none"/>
          <w:lang w:val="zh-CN"/>
        </w:rPr>
      </w:r>
      <w:r/>
    </w:p>
    <w:p>
      <w:pPr>
        <w:pStyle w:val="976"/>
        <w:ind w:firstLine="241"/>
        <w:keepLines/>
        <w:keepNext/>
        <w:spacing w:line="500" w:lineRule="exact"/>
        <w:rPr>
          <w:rFonts w:hint="eastAsia" w:ascii="宋体" w:hAnsi="宋体" w:eastAsia="宋体" w:cs="宋体"/>
          <w:b/>
          <w:bCs/>
          <w:color w:val="000000"/>
          <w:sz w:val="24"/>
          <w:szCs w:val="24"/>
          <w:highlight w:val="none"/>
        </w:rPr>
      </w:pPr>
      <w:r/>
      <w:bookmarkStart w:id="130" w:name="OLE_LINK8"/>
      <w:r>
        <w:rPr>
          <w:rFonts w:hint="eastAsia" w:ascii="宋体" w:hAnsi="宋体" w:eastAsia="宋体" w:cs="宋体"/>
          <w:b/>
          <w:bCs/>
          <w:color w:val="000000"/>
          <w:sz w:val="24"/>
          <w:szCs w:val="24"/>
          <w:highlight w:val="none"/>
        </w:rPr>
        <w:t xml:space="preserve">32.政府采购政策功能落实</w:t>
      </w:r>
      <w:r>
        <w:rPr>
          <w:rFonts w:hint="eastAsia" w:ascii="宋体" w:hAnsi="宋体" w:eastAsia="宋体" w:cs="宋体"/>
          <w:b/>
          <w:bCs/>
          <w:color w:val="000000"/>
          <w:sz w:val="24"/>
          <w:szCs w:val="24"/>
          <w:highlight w:val="none"/>
        </w:rPr>
      </w:r>
      <w:r/>
    </w:p>
    <w:p>
      <w:pPr>
        <w:pStyle w:val="976"/>
        <w:ind w:firstLine="240"/>
        <w:keepLines/>
        <w:keepNext/>
        <w:spacing w:line="500" w:lineRule="exact"/>
        <w:rPr>
          <w:rFonts w:hint="eastAsia" w:ascii="宋体" w:hAnsi="宋体" w:eastAsia="宋体" w:cs="宋体"/>
          <w:color w:val="000000"/>
          <w:sz w:val="24"/>
          <w:szCs w:val="24"/>
          <w:highlight w:val="none"/>
        </w:rPr>
      </w:pPr>
      <w:r/>
      <w:bookmarkEnd w:id="130"/>
      <w:r>
        <w:rPr>
          <w:rFonts w:hint="eastAsia" w:ascii="宋体" w:hAnsi="宋体" w:eastAsia="宋体" w:cs="宋体"/>
          <w:color w:val="000000"/>
          <w:sz w:val="24"/>
          <w:szCs w:val="24"/>
          <w:highlight w:val="none"/>
        </w:rPr>
        <w:t xml:space="preserve">32.1政府采购线上合同信用融资政策</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976"/>
        <w:ind w:firstLine="240"/>
        <w:spacing w:line="500" w:lineRule="exact"/>
        <w:tabs>
          <w:tab w:val="left" w:pos="138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32.2进口产品</w:t>
      </w:r>
      <w:r>
        <w:rPr>
          <w:rFonts w:hint="eastAsia" w:ascii="宋体" w:hAnsi="宋体" w:eastAsia="宋体" w:cs="宋体"/>
          <w:color w:val="000000"/>
          <w:sz w:val="24"/>
          <w:szCs w:val="24"/>
          <w:highlight w:val="none"/>
        </w:rPr>
      </w:r>
      <w:r/>
    </w:p>
    <w:p>
      <w:pPr>
        <w:pStyle w:val="97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976"/>
        <w:ind w:firstLine="240"/>
        <w:spacing w:line="500" w:lineRule="exact"/>
        <w:tabs>
          <w:tab w:val="left" w:pos="138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32.3中小企业、监狱企业及残疾人福利性单位</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32.3.1中小企业定义：</w:t>
      </w:r>
      <w:r>
        <w:rPr>
          <w:rFonts w:hint="eastAsia" w:ascii="宋体" w:hAnsi="宋体" w:eastAsia="宋体" w:cs="宋体"/>
          <w:color w:val="000000"/>
          <w:sz w:val="24"/>
          <w:szCs w:val="24"/>
          <w:highlight w:val="none"/>
        </w:rPr>
      </w:r>
      <w:r/>
    </w:p>
    <w:p>
      <w:pPr>
        <w:pStyle w:val="97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32.3.2供应商提供的货物、工程或者服务符合下列情形的，享受中小企业扶持政策：</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32.3.2.2在工程采购项目中，工程由中小企业承建，即工程施工单位为中小企业；</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32.3.7本项目是否专门面向中小企业预留采购份额见第一章《</w:t>
      </w:r>
      <w:r>
        <w:rPr>
          <w:rFonts w:hint="eastAsia" w:ascii="宋体" w:hAnsi="宋体" w:eastAsia="宋体" w:cs="宋体"/>
          <w:sz w:val="24"/>
          <w:szCs w:val="24"/>
          <w:highlight w:val="none"/>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32.3.8采购标的对应的中小企业划分标准所属行业见第四章《采购需求》。</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32.3.9小微企业价格评审优惠的政策：见第五章《评标方法和评标标准》。</w:t>
      </w:r>
      <w:r>
        <w:rPr>
          <w:rFonts w:hint="eastAsia" w:ascii="宋体" w:hAnsi="宋体" w:eastAsia="宋体" w:cs="宋体"/>
          <w:color w:val="000000"/>
          <w:sz w:val="24"/>
          <w:szCs w:val="24"/>
          <w:highlight w:val="none"/>
        </w:rPr>
      </w:r>
      <w:r/>
    </w:p>
    <w:p>
      <w:pPr>
        <w:pStyle w:val="976"/>
        <w:ind w:firstLine="240"/>
        <w:keepLines/>
        <w:keepNex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32.4政府采购节能产品、环境标志产品</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32.4.1严格执行政府采购关于支持</w:t>
      </w:r>
      <w:r>
        <w:rPr>
          <w:rFonts w:hint="eastAsia" w:ascii="宋体" w:hAnsi="宋体" w:eastAsia="宋体" w:cs="宋体"/>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976"/>
        <w:ind w:firstLine="24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32.5绿色包装</w:t>
      </w:r>
      <w:r>
        <w:rPr>
          <w:rFonts w:hint="eastAsia" w:ascii="宋体" w:hAnsi="宋体" w:eastAsia="宋体" w:cs="宋体"/>
          <w:color w:val="000000"/>
          <w:sz w:val="24"/>
          <w:szCs w:val="24"/>
          <w:highlight w:val="none"/>
        </w:rPr>
      </w:r>
      <w:r/>
    </w:p>
    <w:p>
      <w:pPr>
        <w:pStyle w:val="97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rPr>
      </w:r>
      <w:r/>
    </w:p>
    <w:p>
      <w:pPr>
        <w:pStyle w:val="976"/>
        <w:ind w:firstLine="240"/>
        <w:spacing w:line="500" w:lineRule="exact"/>
        <w:tabs>
          <w:tab w:val="left" w:pos="138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32.6政府采购创新产品</w:t>
      </w:r>
      <w:r>
        <w:rPr>
          <w:rFonts w:hint="eastAsia" w:ascii="宋体" w:hAnsi="宋体" w:eastAsia="宋体" w:cs="宋体"/>
          <w:color w:val="000000"/>
          <w:sz w:val="24"/>
          <w:szCs w:val="24"/>
          <w:highlight w:val="none"/>
        </w:rPr>
      </w:r>
      <w:r/>
    </w:p>
    <w:p>
      <w:pPr>
        <w:pStyle w:val="97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r>
      <w:r/>
    </w:p>
    <w:p>
      <w:pPr>
        <w:pStyle w:val="976"/>
        <w:ind w:firstLine="480"/>
        <w:spacing w:line="500" w:lineRule="exact"/>
        <w:tabs>
          <w:tab w:val="left" w:pos="138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32.7绿色数据中心政策 </w:t>
      </w:r>
      <w:r>
        <w:rPr>
          <w:rFonts w:hint="eastAsia" w:ascii="宋体" w:hAnsi="宋体" w:eastAsia="宋体" w:cs="宋体"/>
          <w:color w:val="000000"/>
          <w:sz w:val="24"/>
          <w:szCs w:val="24"/>
          <w:highlight w:val="none"/>
        </w:rPr>
      </w:r>
      <w:r/>
    </w:p>
    <w:p>
      <w:pPr>
        <w:pStyle w:val="97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rPr>
      </w:r>
      <w:r/>
    </w:p>
    <w:p>
      <w:pPr>
        <w:pStyle w:val="976"/>
        <w:ind w:firstLine="240"/>
        <w:spacing w:line="500" w:lineRule="exact"/>
        <w:tabs>
          <w:tab w:val="left" w:pos="138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32.8履约保证金</w:t>
      </w:r>
      <w:r>
        <w:rPr>
          <w:rFonts w:hint="eastAsia" w:ascii="宋体" w:hAnsi="宋体" w:eastAsia="宋体" w:cs="宋体"/>
          <w:color w:val="000000"/>
          <w:sz w:val="24"/>
          <w:szCs w:val="24"/>
          <w:highlight w:val="none"/>
        </w:rPr>
      </w:r>
      <w:r/>
    </w:p>
    <w:p>
      <w:pPr>
        <w:pStyle w:val="97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详见采购合同。</w:t>
      </w:r>
      <w:r>
        <w:rPr>
          <w:rFonts w:hint="eastAsia" w:ascii="宋体" w:hAnsi="宋体" w:eastAsia="宋体" w:cs="宋体"/>
          <w:color w:val="000000"/>
          <w:sz w:val="24"/>
          <w:szCs w:val="24"/>
          <w:highlight w:val="none"/>
        </w:rPr>
      </w:r>
      <w:r/>
    </w:p>
    <w:p>
      <w:pPr>
        <w:pStyle w:val="976"/>
        <w:ind w:firstLine="241"/>
        <w:spacing w:line="500" w:lineRule="exact"/>
        <w:tabs>
          <w:tab w:val="left" w:pos="9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 预付款制度</w:t>
      </w:r>
      <w:r>
        <w:rPr>
          <w:rFonts w:hint="eastAsia" w:ascii="宋体" w:hAnsi="宋体" w:eastAsia="宋体" w:cs="宋体"/>
          <w:b/>
          <w:bCs/>
          <w:color w:val="000000"/>
          <w:sz w:val="24"/>
          <w:szCs w:val="24"/>
          <w:highlight w:val="none"/>
        </w:rPr>
      </w:r>
      <w:r/>
    </w:p>
    <w:p>
      <w:pPr>
        <w:pStyle w:val="97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本项目落实预付款制度，预付款比例为</w:t>
      </w:r>
      <w:r>
        <w:rPr>
          <w:rFonts w:hint="eastAsia" w:ascii="宋体" w:hAnsi="宋体" w:eastAsia="宋体" w:cs="宋体"/>
          <w:color w:val="000000"/>
          <w:sz w:val="24"/>
          <w:szCs w:val="24"/>
          <w:highlight w:val="none"/>
          <w:u w:val="single"/>
        </w:rPr>
        <w:t xml:space="preserve">30</w:t>
      </w:r>
      <w:r>
        <w:rPr>
          <w:rFonts w:hint="eastAsia" w:ascii="宋体" w:hAnsi="宋体" w:eastAsia="宋体" w:cs="宋体"/>
          <w:color w:val="000000"/>
          <w:sz w:val="24"/>
          <w:szCs w:val="24"/>
          <w:highlight w:val="none"/>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rPr>
      </w:r>
      <w:r/>
    </w:p>
    <w:p>
      <w:pPr>
        <w:pStyle w:val="976"/>
        <w:ind w:firstLine="241"/>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八、招标代理服务费</w:t>
      </w:r>
      <w:r>
        <w:rPr>
          <w:rFonts w:hint="eastAsia" w:ascii="宋体" w:hAnsi="宋体" w:eastAsia="宋体" w:cs="宋体"/>
          <w:b/>
          <w:color w:val="000000"/>
          <w:sz w:val="24"/>
          <w:szCs w:val="24"/>
          <w:highlight w:val="none"/>
        </w:rPr>
      </w:r>
      <w:r/>
    </w:p>
    <w:p>
      <w:pPr>
        <w:pStyle w:val="97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.1投标人应自行承担所有与参加投标有关的费用，无论投标过程中的做法和结果如何，</w:t>
      </w:r>
      <w:r>
        <w:rPr>
          <w:rFonts w:hint="eastAsia" w:ascii="宋体" w:hAnsi="宋体" w:eastAsia="宋体" w:cs="宋体"/>
          <w:bCs/>
          <w:sz w:val="24"/>
          <w:highlight w:val="none"/>
          <w:lang w:eastAsia="zh-CN"/>
        </w:rPr>
        <w:t xml:space="preserve">盐城立信造价工程师事务所有限公司</w:t>
      </w:r>
      <w:r>
        <w:rPr>
          <w:rFonts w:hint="eastAsia" w:ascii="宋体" w:hAnsi="宋体" w:eastAsia="宋体" w:cs="宋体"/>
          <w:bCs/>
          <w:sz w:val="24"/>
          <w:highlight w:val="none"/>
        </w:rPr>
        <w:t xml:space="preserve">（以下简称代理机构）在任何情况下均无义务和责任承担这些费用。</w:t>
      </w:r>
      <w:r>
        <w:rPr>
          <w:rFonts w:hint="eastAsia" w:ascii="宋体" w:hAnsi="宋体" w:eastAsia="宋体" w:cs="宋体"/>
          <w:bCs/>
          <w:sz w:val="24"/>
          <w:highlight w:val="none"/>
        </w:rPr>
      </w:r>
      <w:r/>
    </w:p>
    <w:p>
      <w:pPr>
        <w:pStyle w:val="976"/>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2本项目招标代理服务费由成交供应商支付：招标代理服务和造价咨询费参照《江苏省招标代理服务收费的指导意见》苏招协【2022】002号文标准的39.86%和苏建价协（2022）7号文第8条收费标准的39.86%分别计取，如单个项目的招标代理服务费低于5000元、造价咨询服务费低于3000元的，则分别按5000元、3000元计取。投标人投标时综合考虑进报价中，此项费用不得单列，凡漏项或少计均视为优惠采购人，不另行增加费用。中标后由中标单位在领取中标通知书前直接向招标代理公司一次性付清。</w:t>
      </w:r>
      <w:r>
        <w:rPr>
          <w:rFonts w:hint="eastAsia" w:ascii="宋体" w:hAnsi="宋体" w:eastAsia="宋体" w:cs="宋体"/>
          <w:bCs/>
          <w:sz w:val="24"/>
          <w:highlight w:val="none"/>
        </w:rPr>
      </w:r>
      <w:r/>
    </w:p>
    <w:p>
      <w:pPr>
        <w:pStyle w:val="976"/>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976"/>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第三章  合同条款及格式</w:t>
      </w:r>
      <w:r>
        <w:rPr>
          <w:rFonts w:hint="eastAsia" w:ascii="宋体" w:hAnsi="宋体" w:eastAsia="宋体" w:cs="宋体"/>
          <w:b/>
          <w:bCs/>
          <w:sz w:val="36"/>
          <w:szCs w:val="36"/>
          <w:highlight w:val="none"/>
        </w:rPr>
      </w:r>
      <w:r/>
    </w:p>
    <w:p>
      <w:pPr>
        <w:pStyle w:val="1274"/>
        <w:ind w:firstLine="420"/>
        <w:spacing w:line="400" w:lineRule="exact"/>
        <w:rPr>
          <w:rFonts w:hint="eastAsia" w:ascii="宋体" w:hAnsi="宋体" w:eastAsia="宋体" w:cs="宋体"/>
          <w:sz w:val="21"/>
          <w:highlight w:val="none"/>
        </w:rPr>
      </w:pPr>
      <w:r>
        <w:rPr>
          <w:rFonts w:hint="eastAsia" w:ascii="宋体" w:hAnsi="宋体" w:eastAsia="宋体" w:cs="宋体"/>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rPr>
          <w:rFonts w:hint="eastAsia" w:ascii="宋体" w:hAnsi="宋体" w:eastAsia="宋体" w:cs="宋体"/>
          <w:sz w:val="21"/>
          <w:highlight w:val="none"/>
        </w:rPr>
      </w:r>
      <w:r/>
    </w:p>
    <w:p>
      <w:pPr>
        <w:pStyle w:val="976"/>
        <w:ind w:firstLine="480"/>
        <w:jc w:val="center"/>
        <w:spacing w:line="500" w:lineRule="exact"/>
        <w:tabs>
          <w:tab w:val="left" w:pos="1381"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政府采购合同（格式）</w:t>
      </w:r>
      <w:r>
        <w:rPr>
          <w:rFonts w:hint="eastAsia" w:ascii="宋体" w:hAnsi="宋体" w:eastAsia="宋体" w:cs="宋体"/>
          <w:b/>
          <w:bCs/>
          <w:sz w:val="24"/>
          <w:szCs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根据《中华人民共和国民法典》等相关法律法规之规定，按照平等、自愿、公平和诚实信用的原则，经</w:t>
      </w:r>
      <w:r>
        <w:rPr>
          <w:rFonts w:hint="eastAsia" w:ascii="宋体" w:hAnsi="宋体" w:eastAsia="宋体" w:cs="宋体"/>
          <w:sz w:val="24"/>
          <w:highlight w:val="none"/>
          <w:u w:val="single"/>
          <w:lang w:eastAsia="zh-CN"/>
        </w:rPr>
        <w:t xml:space="preserve">盐城经济技术开发区新城街道办事处</w:t>
      </w:r>
      <w:r>
        <w:rPr>
          <w:rFonts w:hint="eastAsia" w:ascii="宋体" w:hAnsi="宋体" w:eastAsia="宋体" w:cs="宋体"/>
          <w:sz w:val="24"/>
          <w:highlight w:val="none"/>
        </w:rPr>
        <w:t xml:space="preserve">(以下简称：甲方)和</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（成交供应商名称）(以下简称：乙方)协商一致，约定以下合同条款，以兹共同遵守、全面履行。 </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bookmarkStart w:id="131" w:name="_Toc15367"/>
      <w:r/>
      <w:bookmarkStart w:id="132" w:name="_Toc19273"/>
      <w:r/>
      <w:bookmarkStart w:id="133" w:name="_Toc20421"/>
      <w:r/>
      <w:bookmarkStart w:id="134" w:name="_Toc22967"/>
      <w:r/>
      <w:bookmarkStart w:id="135" w:name="_Toc28855"/>
      <w:r>
        <w:rPr>
          <w:rFonts w:hint="eastAsia" w:ascii="宋体" w:hAnsi="宋体" w:eastAsia="宋体" w:cs="宋体"/>
          <w:sz w:val="24"/>
          <w:highlight w:val="none"/>
          <w:lang w:eastAsia="zh-CN"/>
        </w:rPr>
        <w:t xml:space="preserve">一、</w:t>
      </w:r>
      <w:r>
        <w:rPr>
          <w:rFonts w:hint="eastAsia" w:ascii="宋体" w:hAnsi="宋体" w:eastAsia="宋体" w:cs="宋体"/>
          <w:sz w:val="24"/>
          <w:highlight w:val="none"/>
        </w:rPr>
        <w:t xml:space="preserve">合同组成部分</w:t>
      </w:r>
      <w:bookmarkEnd w:id="131"/>
      <w:r/>
      <w:bookmarkEnd w:id="132"/>
      <w:r/>
      <w:bookmarkEnd w:id="133"/>
      <w:r/>
      <w:bookmarkEnd w:id="134"/>
      <w:r/>
      <w:bookmarkEnd w:id="135"/>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本合同及其补充合同、变更协议；</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成交通知书；</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投标（响应）文件（含澄清或者说明文件）；</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采购文件（含澄清或者修改文件）；</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其他相关采购文件。</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二</w:t>
      </w:r>
      <w:r>
        <w:rPr>
          <w:rFonts w:hint="eastAsia" w:ascii="宋体" w:hAnsi="宋体" w:eastAsia="宋体" w:cs="宋体"/>
          <w:sz w:val="24"/>
          <w:highlight w:val="none"/>
        </w:rPr>
        <w:t xml:space="preserve">、服务内容</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服务名称：</w:t>
      </w:r>
      <w:r>
        <w:rPr>
          <w:rFonts w:hint="eastAsia" w:ascii="宋体" w:hAnsi="宋体" w:cs="宋体"/>
          <w:sz w:val="24"/>
          <w:highlight w:val="none"/>
          <w:u w:val="single"/>
          <w:lang w:eastAsia="zh-CN"/>
        </w:rPr>
        <w:t xml:space="preserve">2025年新城街道城市管理外包服务</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具体服务内容：</w:t>
      </w:r>
      <w:r>
        <w:rPr>
          <w:rFonts w:hint="eastAsia" w:ascii="宋体" w:hAnsi="宋体" w:eastAsia="宋体" w:cs="宋体"/>
          <w:sz w:val="24"/>
          <w:highlight w:val="none"/>
          <w:lang w:eastAsia="zh-CN"/>
        </w:rPr>
        <w:t xml:space="preserve">详见采购文件需求部分</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服务期：</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年</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rPr>
        <w:t xml:space="preserve">期间采购人定期进行考核，合同期满，经考核合格后可续签下一年</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最高续签不超过一年。</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三</w:t>
      </w:r>
      <w:r>
        <w:rPr>
          <w:rFonts w:hint="eastAsia" w:ascii="宋体" w:hAnsi="宋体" w:eastAsia="宋体" w:cs="宋体"/>
          <w:sz w:val="24"/>
          <w:highlight w:val="none"/>
        </w:rPr>
        <w:t xml:space="preserve">、合同金额</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本合同金额为：人民币（大写）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元/年（￥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元/年）。</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(1)当采购数量与实际使用数量不一致时，乙方根据实际使用量提供产品和服务，合同的最终结算金额按实际使用量乘以成交单价进行计算。</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(2)如需向与财政部门签署融资合作协议的银行办理授信申请的, 需在协作银行开立结算户作为回款专用户,作为该笔合同唯一的收款帐户，供货结束货款结算时，财政部门将政府采购款项直接支付到该账户。</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(3)建立资金预付制度，预付款原则上不低于合同金额的30%。</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(4)对于满足合同约定支付条件的，采购人应当自收到票据后将资金支付到合同约定的供应商账户。</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四</w:t>
      </w:r>
      <w:r>
        <w:rPr>
          <w:rFonts w:hint="eastAsia" w:ascii="宋体" w:hAnsi="宋体" w:eastAsia="宋体" w:cs="宋体"/>
          <w:sz w:val="24"/>
          <w:highlight w:val="none"/>
        </w:rPr>
        <w:t xml:space="preserve">、技术资料</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乙方应按采购文件规定的时间向甲方提供服务。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没有甲方事先书面同意，乙方不得将由甲方提供的有关合同或任何合同条文、规格、计划或资料提供给与履行本合同无关的任何其他人。即使向履行本合同有关的人员提供，也应注意保密并限于履行合同的必需范围。</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五</w:t>
      </w:r>
      <w:r>
        <w:rPr>
          <w:rFonts w:hint="eastAsia" w:ascii="宋体" w:hAnsi="宋体" w:eastAsia="宋体" w:cs="宋体"/>
          <w:sz w:val="24"/>
          <w:highlight w:val="none"/>
        </w:rPr>
        <w:t xml:space="preserve">、质量条款</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达到国家相关标准及招标人要求（详见采购人考核办法）</w:t>
      </w:r>
      <w:r>
        <w:rPr>
          <w:rFonts w:hint="eastAsia" w:ascii="宋体" w:hAnsi="宋体" w:eastAsia="宋体" w:cs="宋体"/>
          <w:sz w:val="24"/>
          <w:highlight w:val="none"/>
          <w:lang w:val="zh-CN"/>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六</w:t>
      </w:r>
      <w:r>
        <w:rPr>
          <w:rFonts w:hint="eastAsia" w:ascii="宋体" w:hAnsi="宋体" w:eastAsia="宋体" w:cs="宋体"/>
          <w:sz w:val="24"/>
          <w:highlight w:val="none"/>
        </w:rPr>
        <w:t xml:space="preserve">、履约保证金</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乙方交纳人民币_________元作为本合同的履约保证金（不超过合同金额的10%）。3A的供应商免交履约保证金，2A的供应商按一半金额缴纳（需提供信用管理部门备案的第三方信用报告，且信用报告通过“信用盐城网”可查实）。</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履约保证金缴纳形式：以银行转账、支票、汇票、本票或者金融机构、担保机构出具的保函等非现金方式缴纳或提交；</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提交履约保证金的时间：签订合同前，成交供应商须向采购人提交履约保证金。履约保证金需从成交供应商（乙方）基本账户中汇出。履约保证金于合同履行结束后，无质量服务问题，一次性无息退还。</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履约保证金退还方式：原账户退还。</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履约保证金退还时间：最终验收合格后15日内。</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履约保证金退还条件：最终验收合格后。</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履约保证金不予退还的情形：乙方出现违约情况时。</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七、转包或分包</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本合同范围内产品或服务，应由乙方直接供应，不得转让他人供应；</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除非得到甲方的书面同意，乙方不得部分分包给他人供应。</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如有转让和未经甲方同意的分包行为，甲方有权给予终止合同。 </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八、服务要求</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合同服务期：协助城管中队开展日常工作，为加强对城市管理辅助人员的管理，维护城市管理队伍形象，保持良好的市容市貌，不断提高镇街道城市管理水平。</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履约期间，甲方依据相关考核办法，按月对乙方进行考核，考核结果与合同费用支付挂钩。</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九、安全责任</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单位对操作人员和管理人员等发生在作业过程中的一切安全（包括交通安全、运行安全、人员损伤等）负全部法律责任，并承担由此而产生的一切经济损失，一切责任与招标人无关。投标单位须给本项目全体职工办理意外伤害险。投标单位职工须统一工作制服并配有电动自行车。</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十、合同款支付</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付款方式：</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）合同签订后支付合同价款的</w:t>
      </w:r>
      <w:r>
        <w:rPr>
          <w:rFonts w:hint="eastAsia" w:ascii="宋体" w:hAnsi="宋体" w:eastAsia="宋体" w:cs="宋体"/>
          <w:sz w:val="24"/>
          <w:highlight w:val="none"/>
          <w:lang w:val="en-US" w:eastAsia="zh-CN"/>
        </w:rPr>
        <w:t xml:space="preserve">30%作为预付款（签订合同时，乙方明确表示无需预付款的或主动要求降低预付款比例的，可作出相应调整）；</w:t>
      </w:r>
      <w:r>
        <w:rPr>
          <w:rFonts w:hint="eastAsia" w:ascii="宋体" w:hAnsi="宋体" w:eastAsia="宋体" w:cs="宋体"/>
          <w:sz w:val="24"/>
          <w:highlight w:val="none"/>
          <w:lang w:val="en-US" w:eastAsia="zh-CN"/>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甲方按月考核，每季度考核汇总一次，履行合同之日起一个季度结算一次</w:t>
      </w:r>
      <w:r>
        <w:rPr>
          <w:rFonts w:hint="eastAsia" w:ascii="宋体" w:hAnsi="宋体" w:eastAsia="宋体" w:cs="宋体"/>
          <w:sz w:val="24"/>
          <w:highlight w:val="none"/>
          <w:lang w:eastAsia="zh-CN"/>
        </w:rPr>
        <w:t xml:space="preserve">（支付合同金额时扣除预付款部分再行结算）</w:t>
      </w:r>
      <w:r>
        <w:rPr>
          <w:rFonts w:hint="eastAsia" w:ascii="宋体" w:hAnsi="宋体" w:eastAsia="宋体" w:cs="宋体"/>
          <w:sz w:val="24"/>
          <w:highlight w:val="none"/>
        </w:rPr>
        <w:t xml:space="preserve">，乙方须及时发放工资，并将工资发放明细提供给甲方（备案）。每季度的支付费用=合同价/4-考核扣款。（注：考核标准：详见合同附件）</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本项目城市管理辅助人员外包服务相关费用支付时，乙方应提供税务发票。</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月度</w:t>
      </w:r>
      <w:r>
        <w:rPr>
          <w:rFonts w:hint="eastAsia" w:ascii="宋体" w:hAnsi="宋体" w:eastAsia="宋体" w:cs="宋体"/>
          <w:color w:val="000000"/>
          <w:sz w:val="24"/>
          <w:highlight w:val="none"/>
          <w:lang w:val="en-US" w:eastAsia="zh-CN"/>
        </w:rPr>
        <w:t xml:space="preserve">考核平均分达85分及以上的为合格，85分以下为不合格。</w:t>
      </w:r>
      <w:r>
        <w:rPr>
          <w:rFonts w:hint="eastAsia" w:ascii="宋体" w:hAnsi="宋体" w:eastAsia="宋体" w:cs="宋体"/>
          <w:sz w:val="24"/>
          <w:highlight w:val="none"/>
        </w:rPr>
        <w:t xml:space="preserve">如连续有两个月考核</w:t>
      </w:r>
      <w:r>
        <w:rPr>
          <w:rFonts w:hint="eastAsia" w:ascii="宋体" w:hAnsi="宋体" w:eastAsia="宋体" w:cs="宋体"/>
          <w:sz w:val="24"/>
          <w:highlight w:val="none"/>
          <w:lang w:val="en-US" w:eastAsia="zh-CN"/>
        </w:rPr>
        <w:t xml:space="preserve">平均分</w:t>
      </w:r>
      <w:r>
        <w:rPr>
          <w:rFonts w:hint="eastAsia" w:ascii="宋体" w:hAnsi="宋体" w:eastAsia="宋体" w:cs="宋体"/>
          <w:sz w:val="24"/>
          <w:highlight w:val="none"/>
        </w:rPr>
        <w:t xml:space="preserve">不合格或累计三个月考核不合格，甲方有权终止合同，重新选择新的城市管理辅助人员外包服务企业。  </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十一.税费</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本合同执行中相关的一切税费均由乙方负担。</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十二、甲方的权利、义务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审定乙方拟定的年度管理服务计划和方案；</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甲方有权对乙方的工作和投标文件、承诺书、合同履行情况进行监督检查，监督乙方管理工作的实施及相关制度和投标文件执行情况，对发现的问题，乙方应及时整改，针对乙方未达标的情况提出整改要求并扣除相应的服务费用；甲方下达整改通知后，乙方逾期仍达不到承诺目标，甲方有权视情节对乙方实施处罚，直至终止合同；</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各岗位劳务服务人员须全员缴纳社保</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投标时均按全员缴纳社保计算</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如投标人投标报价未按全员缴纳社保计算的，</w:t>
      </w:r>
      <w:r>
        <w:rPr>
          <w:rFonts w:hint="eastAsia" w:ascii="宋体" w:hAnsi="宋体" w:eastAsia="宋体" w:cs="宋体"/>
          <w:sz w:val="24"/>
          <w:highlight w:val="none"/>
          <w:lang w:eastAsia="zh-CN"/>
        </w:rPr>
        <w:t xml:space="preserve">甲方有权扣除相应的服务费，乙方无条件服从。</w:t>
      </w:r>
      <w:r>
        <w:rPr>
          <w:rFonts w:hint="eastAsia" w:ascii="宋体" w:hAnsi="宋体" w:eastAsia="宋体" w:cs="宋体"/>
          <w:sz w:val="24"/>
          <w:highlight w:val="none"/>
          <w:lang w:val="en-US" w:eastAsia="zh-CN"/>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在合同履行期间，如乙方中途退出或发生责任事故，给甲方带来不良影响的，或者因乙方工作严重不力，影响甲方正常工作秩序的，甲方有权终止本合同，并要求乙方给予经济赔偿；</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对拒绝、不服从或抵触甲方领导指挥的乙方使用人员严加教育，屡教不改的，甲方有权要求乙方进行调换，否则甲方有权终止本合同，并对乙方进行经济处罚；</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监督、指导乙方人员在区域内的一切行为和活动；</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7.履约期间乙方人员产生劳动合同纠纷等由乙方自行解决；</w:t>
      </w:r>
      <w:r>
        <w:rPr>
          <w:rFonts w:hint="eastAsia" w:ascii="宋体" w:hAnsi="宋体" w:eastAsia="宋体" w:cs="宋体"/>
          <w:sz w:val="24"/>
          <w:highlight w:val="none"/>
          <w:lang w:val="en-US" w:eastAsia="zh-CN"/>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依据相关法律、法规规定享有的其他权利。</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十三、乙方的权利、义务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按照国家和有关城市管理服务的技术标准、行业规范以及本服务合同进行管理，提供专业化的服务；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根据甲方授权，制定必要的规章制度，并以有效方式督促辖区使用人遵守；</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全面贯彻执行国家相关法规、政策，全面遵守招标文件的要求，执行投标文件的承诺，接受甲方的检查、监督；</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依照法律、法规规定和本合同约定享有的其他权利。</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十四、乙方的违约责任</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甲方不履行本合同约定的义务，乙方可要求甲方履行，由此造成的损失，甲方应承担相应的责任。</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甲方违反本合同的约定，未能按时如数支付城市管理服务费的，应按服务费标准的0.5%向乙方支付违约金，并应于五日内支付。</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乙方违反本合同约定，乙方如发生将城市管理服务转包、转让、违规、违法现象或在履行合约单方中途退出的，甲方将中止本合同并不予退还履约保证金和不予支付服务费。</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该项目服务过程中中标单位的项目负责人必须常驻现场实施管理，并参与甲方的日常考勤。中途项目负责人需离岗必须履行书面请假手续并经甲方同意。若未经甲方同意而擅自离岗的，将处以每天 1000 元的违约金，在支付项目款时从应付的项目款中扣除。若擅自离岗连续达2天以上的，经甲方提出仍未改正的，甲方有权终止合同，因此给甲方造成损失的，甲方将依法追偿。</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十五、不可抗力事件处理</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在合同有效期内，任何一方因不可抗力事件导致不能履行合同，则合同履行期可延长，其延长期与不可抗力影响期相同。</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不可抗力事件发生后，应立即通知对方，并寄送有关权威机构出具的证明。</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不可抗力事件延续120天以上，双方应通过友好协商，确定是否继续履行合同。</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十六、诉讼</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双方在执行合同中所发生的一切争议，应通过协商解决。如协商不成，可向合同签订地法院起诉，合同签订地在此约定为盐城市。</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十七、合同生效及其它</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合同经双方法定代表人或授权委托代表人签字并加盖单位公章后生效。</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本合同未尽事宜，遵照《中华人民共和国民法典》有关条文执行。</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本合同正本一式三份，具有同等法律效力，甲方、乙方及财政监管部门各执一份。</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甲方：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乙方： </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地址：                                   地址： </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法定代表人或授权代表：                   法定代表人或授权代表：</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联系电话：                               联系电话：</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签订日期：      年  月  日</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附件：</w:t>
      </w:r>
      <w:r>
        <w:rPr>
          <w:rFonts w:hint="eastAsia" w:ascii="宋体" w:hAnsi="宋体" w:cs="宋体"/>
          <w:sz w:val="24"/>
          <w:highlight w:val="none"/>
          <w:lang w:eastAsia="zh-CN"/>
        </w:rPr>
        <w:t xml:space="preserve">2025年新城街道城市管理外包服务</w:t>
      </w:r>
      <w:r>
        <w:rPr>
          <w:rFonts w:hint="eastAsia" w:ascii="宋体" w:hAnsi="宋体" w:eastAsia="宋体" w:cs="宋体"/>
          <w:sz w:val="24"/>
          <w:highlight w:val="none"/>
        </w:rPr>
        <w:t xml:space="preserve">考核办法</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中标单位日常管理考核</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中标单位必须在管理区域内设置1名项目负责人（此负责人不得从事其它单位其它项目），确保所有人员的信息畅通，配合采购人做好聘用人员日常管理、教育和保障工作。采购人每日对工作纪律和中标单位管理情况进行考核，每扣1分处罚20元。</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（1）聘用人员按规定的工作时间准时上下班，不迟到，不早退（含开会），上下班采取定位定点拍照上传方式，违反的扣所属公司管理费1分/人次。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（2）聘用人员上班期间必须按规定着装，保持衣帽整洁，不得留长发、染发、蓄胡须、着浓妆，保持仪容整洁，并佩戴使用指定的装备，违反的扣所属公司管理费2分/人次。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（3）聘用人员按规定每周调休一天，外包公司每周将调休和上班考勤表报采购人；不按规定调休或者履行请假手续的，扣管理费5分/人次。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（4）聘用人员上班时间不得无故离岗、脱岗，不准吃零食、抽烟、饮酒，不做与工作无关的事，不聚集聊天，违反的扣管理费1分/人次。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（5）不得吃拿卡要、收受礼品礼金，因违反工作纪律受到群众投诉的一经查实，1次扣10分，情节严重造成恶劣影响的给予辞退。</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（6）中标单位必须对聘用人员实行岗前培训，了解相关法律法规、工作内容等。考核中发现聘用人员对工作内容不了解，按情节严重程度扣管理费25-100分/人次。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（7）中标单位严格按合同要求聘用人员（以上报核准人数为准），不缺人、不断档，违反的扣管理费3分/人次。同一区域缺人连续3次以上的（含3次），扣管理费90分/次。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（8）聘用人员对考核无理取闹或对考核人员谩骂打击报复的，扣管理费50分/人次。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（9）保障，迎检期间督查发现问题双倍扣分，领导发现问题3倍扣分，造成重大影响的问题点10倍扣分。</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（10）聘用人员若与市民发生严重争执，影响到街道形象的，扣所属管理费25分/次；在重大保障活动中失责、遭媒体曝光，严重影响到街道形象的，必须无条件辞退，并扣管理费50分/次。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（11）遵守保密纪律，对工作内容、工作安排严格保密，不得留存、转发工作有关的图片、音频、视频等影像资料和工作群内容，违反的一经发现立即辞退，并视情节严重程度扣管理费25-100分/人次。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（12）若中标单位调用本项目里服务人员承接非本合同范围的项目，一经查实，扣管理费25-50分/次。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2.城市管理辅助人员日常考核</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lang w:eastAsia="en-US"/>
        </w:rPr>
      </w:pPr>
      <w:r>
        <w:rPr>
          <w:rFonts w:hint="eastAsia" w:ascii="宋体" w:hAnsi="宋体" w:eastAsia="宋体" w:cs="宋体"/>
          <w:sz w:val="24"/>
          <w:highlight w:val="none"/>
        </w:rPr>
        <w:t xml:space="preserve">由采购人对照“考核细则表”，采购人对照考核内容对城市管理辅助人员进行每日考核，考核结果于次日上午通报。每扣1分处罚20元。</w:t>
      </w:r>
      <w:r>
        <w:rPr>
          <w:rFonts w:hint="eastAsia" w:ascii="宋体" w:hAnsi="宋体" w:eastAsia="宋体" w:cs="宋体"/>
          <w:sz w:val="24"/>
          <w:highlight w:val="none"/>
          <w:lang w:eastAsia="en-US"/>
        </w:rPr>
      </w:r>
      <w:r/>
    </w:p>
    <w:tbl>
      <w:tblPr>
        <w:tblW w:w="9639"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765"/>
        <w:gridCol w:w="529"/>
        <w:gridCol w:w="4660"/>
        <w:gridCol w:w="7"/>
        <w:gridCol w:w="3671"/>
        <w:gridCol w:w="7"/>
      </w:tblGrid>
      <w:tr>
        <w:trPr>
          <w:gridAfter w:val="1"/>
          <w:trHeight w:val="436"/>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gridSpan w:val="3"/>
            <w:tcBorders>
              <w:top w:val="single" w:color="000000" w:sz="4" w:space="0"/>
              <w:left w:val="single" w:color="000000" w:sz="4" w:space="0"/>
              <w:bottom w:val="single" w:color="000000" w:sz="4" w:space="0"/>
              <w:right w:val="single" w:color="000000" w:sz="4" w:space="0"/>
            </w:tcBorders>
            <w:tcW w:w="5196"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工作内容</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考核标准</w:t>
            </w:r>
            <w:r>
              <w:rPr>
                <w:rFonts w:hint="eastAsia" w:ascii="宋体" w:hAnsi="宋体" w:eastAsia="宋体" w:cs="宋体"/>
                <w:sz w:val="24"/>
                <w:highlight w:val="none"/>
              </w:rPr>
            </w:r>
            <w:r/>
          </w:p>
        </w:tc>
      </w:tr>
      <w:tr>
        <w:trPr>
          <w:gridAfter w:val="1"/>
          <w:trHeight w:val="813"/>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城</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市</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理</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4" w:space="0"/>
              <w:left w:val="single" w:color="000000" w:sz="4" w:space="0"/>
              <w:bottom w:val="single" w:color="000000" w:sz="4" w:space="0"/>
              <w:right w:val="single" w:color="000000" w:sz="4" w:space="0"/>
            </w:tcBorders>
            <w:tcW w:w="4667"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及时发现、劝阻、制止出店经营、占道经营、违章占道、乱泼污水、乱倒垃圾、乱披乱挂、乱堆乱放、乱搭乱建等影响市容环境卫生的行为；</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每发现一处扣1分。</w:t>
            </w:r>
            <w:r>
              <w:rPr>
                <w:rFonts w:hint="eastAsia" w:ascii="宋体" w:hAnsi="宋体" w:eastAsia="宋体" w:cs="宋体"/>
                <w:sz w:val="24"/>
                <w:highlight w:val="none"/>
              </w:rPr>
            </w:r>
            <w:r/>
          </w:p>
        </w:tc>
      </w:tr>
      <w:tr>
        <w:trPr>
          <w:gridAfter w:val="1"/>
          <w:trHeight w:val="352"/>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4" w:space="0"/>
              <w:left w:val="single" w:color="000000" w:sz="4" w:space="0"/>
              <w:bottom w:val="single" w:color="000000" w:sz="4" w:space="0"/>
              <w:right w:val="single" w:color="000000" w:sz="4" w:space="0"/>
            </w:tcBorders>
            <w:tcW w:w="4667"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对未经批准擅自设置门头店招、户外广告、落地灯箱行为进行制止、取证、上报。</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每发现一处扣1分；取证不规范、调查信息不完整每发现一处扣0.5分。</w:t>
            </w:r>
            <w:r>
              <w:rPr>
                <w:rFonts w:hint="eastAsia" w:ascii="宋体" w:hAnsi="宋体" w:eastAsia="宋体" w:cs="宋体"/>
                <w:sz w:val="24"/>
                <w:highlight w:val="none"/>
              </w:rPr>
            </w:r>
            <w:r/>
          </w:p>
        </w:tc>
      </w:tr>
      <w:tr>
        <w:trPr>
          <w:gridAfter w:val="1"/>
          <w:trHeight w:val="771"/>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4" w:space="0"/>
              <w:left w:val="single" w:color="000000" w:sz="4" w:space="0"/>
              <w:bottom w:val="single" w:color="000000" w:sz="4" w:space="0"/>
              <w:right w:val="single" w:color="000000" w:sz="4" w:space="0"/>
            </w:tcBorders>
            <w:tcW w:w="4667"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对未经批准的沿街派发商业性宣传品、户外走秀、使用高音喇叭叫卖以及从事促销、展览、咨询等活动进行劝阻、制止、上报和处理。</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对无审批的宣传活动未进行劝阻、制止、上报和处理的，每发现一处扣1分。</w:t>
            </w:r>
            <w:r>
              <w:rPr>
                <w:rFonts w:hint="eastAsia" w:ascii="宋体" w:hAnsi="宋体" w:eastAsia="宋体" w:cs="宋体"/>
                <w:sz w:val="24"/>
                <w:highlight w:val="none"/>
              </w:rPr>
            </w:r>
            <w:r/>
          </w:p>
        </w:tc>
      </w:tr>
      <w:tr>
        <w:trPr>
          <w:gridAfter w:val="1"/>
          <w:trHeight w:val="811"/>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4" w:space="0"/>
              <w:left w:val="single" w:color="000000" w:sz="4" w:space="0"/>
              <w:bottom w:val="single" w:color="000000" w:sz="4" w:space="0"/>
              <w:right w:val="single" w:color="000000" w:sz="4" w:space="0"/>
            </w:tcBorders>
            <w:tcW w:w="4667"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对占用盲道、人行道的机动车、非机动车乱停放行为及时进行劝阻，引导车主规范停车，做到集中定点有序停放。</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每发现一处扣1分。</w:t>
            </w:r>
            <w:r>
              <w:rPr>
                <w:rFonts w:hint="eastAsia" w:ascii="宋体" w:hAnsi="宋体" w:eastAsia="宋体" w:cs="宋体"/>
                <w:sz w:val="24"/>
                <w:highlight w:val="none"/>
              </w:rPr>
            </w:r>
            <w:r/>
          </w:p>
        </w:tc>
      </w:tr>
      <w:tr>
        <w:trPr>
          <w:gridAfter w:val="1"/>
          <w:trHeight w:val="1443"/>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4" w:space="0"/>
              <w:left w:val="single" w:color="000000" w:sz="4" w:space="0"/>
              <w:bottom w:val="single" w:color="000000" w:sz="4" w:space="0"/>
              <w:right w:val="single" w:color="000000" w:sz="4" w:space="0"/>
            </w:tcBorders>
            <w:tcW w:w="4667"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可视范围内的“牛皮癣”（包括建筑物、构筑物、地面、设施等表面张贴刻画、涂写的非法广告及宣传品、通讯号码以及其所产生的污垢，各种非法张贴在公共信息广告张贴栏以外的纸质或胶纸等广告）加强巡查，及时上报和处理。</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未及时发现、制止和处理的，每发现一处扣1分。</w:t>
            </w:r>
            <w:r>
              <w:rPr>
                <w:rFonts w:hint="eastAsia" w:ascii="宋体" w:hAnsi="宋体" w:eastAsia="宋体" w:cs="宋体"/>
                <w:sz w:val="24"/>
                <w:highlight w:val="none"/>
              </w:rPr>
            </w:r>
            <w:r/>
          </w:p>
        </w:tc>
      </w:tr>
      <w:tr>
        <w:trPr>
          <w:gridAfter w:val="1"/>
          <w:trHeight w:val="481"/>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4" w:space="0"/>
              <w:left w:val="single" w:color="000000" w:sz="4" w:space="0"/>
              <w:bottom w:val="single" w:color="000000" w:sz="4" w:space="0"/>
              <w:right w:val="single" w:color="000000" w:sz="4" w:space="0"/>
            </w:tcBorders>
            <w:tcW w:w="4667"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对交通设施、道路路面、路灯设施、排（污）水设施、花坛、绿地、树木损坏等行为进行制止并上报有关职能部门。</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未及时发现、制止并上报，每发现一处扣1分。</w:t>
            </w:r>
            <w:r>
              <w:rPr>
                <w:rFonts w:hint="eastAsia" w:ascii="宋体" w:hAnsi="宋体" w:eastAsia="宋体" w:cs="宋体"/>
                <w:sz w:val="24"/>
                <w:highlight w:val="none"/>
              </w:rPr>
            </w:r>
            <w:r/>
          </w:p>
        </w:tc>
      </w:tr>
      <w:tr>
        <w:trPr>
          <w:gridAfter w:val="1"/>
          <w:trHeight w:val="481"/>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4" w:space="0"/>
              <w:left w:val="single" w:color="000000" w:sz="4" w:space="0"/>
              <w:bottom w:val="single" w:color="000000" w:sz="4" w:space="0"/>
              <w:right w:val="single" w:color="000000" w:sz="4" w:space="0"/>
            </w:tcBorders>
            <w:tcW w:w="4667"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对乱倒生产、生活垃圾和建筑垃圾渣土进行制止、上报和配合处理；</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未及时发现、制止、取证并上报的，每发现一处扣1分；取证不规范、调查信息不完整每发现一处扣0.5分。</w:t>
            </w:r>
            <w:r>
              <w:rPr>
                <w:rFonts w:hint="eastAsia" w:ascii="宋体" w:hAnsi="宋体" w:eastAsia="宋体" w:cs="宋体"/>
                <w:sz w:val="24"/>
                <w:highlight w:val="none"/>
              </w:rPr>
            </w:r>
            <w:r/>
          </w:p>
        </w:tc>
      </w:tr>
      <w:tr>
        <w:trPr>
          <w:gridAfter w:val="1"/>
          <w:trHeight w:val="785"/>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top w:val="single" w:color="000000" w:sz="4" w:space="0"/>
              <w:left w:val="single" w:color="000000" w:sz="4" w:space="0"/>
              <w:bottom w:val="single" w:color="000000" w:sz="4" w:space="0"/>
              <w:right w:val="single" w:color="000000" w:sz="4" w:space="0"/>
            </w:tcBorders>
            <w:tcW w:w="4667"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对擅自从事开挖道路、建筑物外部装修装饰、增设或者调整公共设施、乱拉乱接线等行为进行制止、取证并上报。</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671"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未及时发现、制止、取证和上报，每发现一处扣1分；取证不规范、调查信息不完整，每发现一处扣0.5分。</w:t>
            </w:r>
            <w:r>
              <w:rPr>
                <w:rFonts w:hint="eastAsia" w:ascii="宋体" w:hAnsi="宋体" w:eastAsia="宋体" w:cs="宋体"/>
                <w:sz w:val="24"/>
                <w:highlight w:val="none"/>
              </w:rPr>
            </w:r>
            <w:r/>
          </w:p>
        </w:tc>
      </w:tr>
      <w:tr>
        <w:trPr>
          <w:trHeight w:val="549"/>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r>
            <w:r/>
          </w:p>
        </w:tc>
        <w:tc>
          <w:tcPr>
            <w:tcBorders>
              <w:top w:val="single" w:color="000000" w:sz="4" w:space="0"/>
              <w:left w:val="single" w:color="000000" w:sz="4" w:space="0"/>
              <w:bottom w:val="none" w:color="000000" w:sz="0" w:space="0"/>
              <w:right w:val="single" w:color="000000" w:sz="4" w:space="0"/>
            </w:tcBorders>
            <w:tcW w:w="529" w:type="dxa"/>
            <w:vAlign w:val="center"/>
            <w:vMerge w:val="restart"/>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城</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建</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监</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察</w:t>
            </w: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对装修过程中，擅自变动建筑主体、承重结构等行为要及时制止、取证并上报。</w:t>
            </w:r>
            <w:r>
              <w:rPr>
                <w:rFonts w:hint="eastAsia" w:ascii="宋体" w:hAnsi="宋体" w:eastAsia="宋体" w:cs="宋体"/>
                <w:sz w:val="24"/>
                <w:highlight w:val="none"/>
              </w:rPr>
            </w:r>
            <w:r/>
          </w:p>
        </w:tc>
        <w:tc>
          <w:tcPr>
            <w:gridSpan w:val="3"/>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未及时发现、制止并上报的，每发现一处扣1分；取证不规范、调查信息不完整每发现一处扣0.5分；不配合查处和拆除的每有一起扣1分。</w:t>
            </w:r>
            <w:r>
              <w:rPr>
                <w:rFonts w:hint="eastAsia" w:ascii="宋体" w:hAnsi="宋体" w:eastAsia="宋体" w:cs="宋体"/>
                <w:sz w:val="24"/>
                <w:highlight w:val="none"/>
              </w:rPr>
            </w:r>
            <w:r/>
          </w:p>
        </w:tc>
      </w:tr>
      <w:tr>
        <w:trPr>
          <w:trHeight w:val="686"/>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lang w:eastAsia="zh-CN"/>
              </w:rPr>
            </w:r>
            <w:r/>
          </w:p>
        </w:tc>
        <w:tc>
          <w:tcPr>
            <w:tcBorders>
              <w:top w:val="none" w:color="000000" w:sz="0" w:space="0"/>
              <w:left w:val="single" w:color="000000" w:sz="4" w:space="0"/>
              <w:bottom w:val="none" w:color="000000" w:sz="0"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沿街营业性用房、写字楼等，工程投资额在30万元以上，且建筑面积在300平方米以上未取得施工许可证的装饰装修行为要及时制止、取证并上报；</w:t>
            </w:r>
            <w:r>
              <w:rPr>
                <w:rFonts w:hint="eastAsia" w:ascii="宋体" w:hAnsi="宋体" w:eastAsia="宋体" w:cs="宋体"/>
                <w:sz w:val="24"/>
                <w:highlight w:val="none"/>
              </w:rPr>
            </w:r>
            <w:r/>
          </w:p>
        </w:tc>
        <w:tc>
          <w:tcPr>
            <w:gridSpan w:val="3"/>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未及时发现、制止并上报的，每发现一处扣1分；取证不规范、调查信息不完整每发现一处扣0.5分；不配合查处和拆除的每有一起扣1分。</w:t>
            </w:r>
            <w:r>
              <w:rPr>
                <w:rFonts w:hint="eastAsia" w:ascii="宋体" w:hAnsi="宋体" w:eastAsia="宋体" w:cs="宋体"/>
                <w:sz w:val="24"/>
                <w:highlight w:val="none"/>
              </w:rPr>
            </w:r>
            <w:r/>
          </w:p>
        </w:tc>
      </w:tr>
      <w:tr>
        <w:trPr>
          <w:trHeight w:val="1082"/>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r>
            <w:r/>
          </w:p>
        </w:tc>
        <w:tc>
          <w:tcPr>
            <w:tcBorders>
              <w:top w:val="none" w:color="000000" w:sz="0" w:space="0"/>
              <w:left w:val="single" w:color="000000" w:sz="4" w:space="0"/>
              <w:bottom w:val="single" w:color="000000" w:sz="4"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未按国家安全生产规定，采取必要安全防护和消防措施的行为，比如，施工现场材料乱堆放、线路私拉乱接、特种作业人员无从业资格证、施工人员不规范作业等要及时制止、责令其整改和上报，并做好巡查登记；</w:t>
            </w:r>
            <w:r>
              <w:rPr>
                <w:rFonts w:hint="eastAsia" w:ascii="宋体" w:hAnsi="宋体" w:eastAsia="宋体" w:cs="宋体"/>
                <w:sz w:val="24"/>
                <w:highlight w:val="none"/>
              </w:rPr>
            </w:r>
            <w:r/>
          </w:p>
        </w:tc>
        <w:tc>
          <w:tcPr>
            <w:gridSpan w:val="3"/>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未及时发现、制止并上报的，每发现一处扣1分；未落实登记制度的，每发现一次扣0.5分；对发现问题未跟踪督促整改的，每发现一次扣1分。</w:t>
            </w:r>
            <w:r>
              <w:rPr>
                <w:rFonts w:hint="eastAsia" w:ascii="宋体" w:hAnsi="宋体" w:eastAsia="宋体" w:cs="宋体"/>
                <w:sz w:val="24"/>
                <w:highlight w:val="none"/>
              </w:rPr>
            </w:r>
            <w:r/>
          </w:p>
        </w:tc>
      </w:tr>
      <w:tr>
        <w:trPr>
          <w:trHeight w:val="767"/>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其</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他</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督促保洁人员遵守安全操作规范，对逆向行车、不着反光背心、救生衣等不规范作业行为及时制止和跟踪整改。</w:t>
            </w:r>
            <w:r>
              <w:rPr>
                <w:rFonts w:hint="eastAsia" w:ascii="宋体" w:hAnsi="宋体" w:eastAsia="宋体" w:cs="宋体"/>
                <w:sz w:val="24"/>
                <w:highlight w:val="none"/>
              </w:rPr>
            </w:r>
            <w:r/>
          </w:p>
        </w:tc>
        <w:tc>
          <w:tcPr>
            <w:gridSpan w:val="3"/>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每发现一起保洁工人未遵守安全操作规范的扣1分。</w:t>
            </w:r>
            <w:r>
              <w:rPr>
                <w:rFonts w:hint="eastAsia" w:ascii="宋体" w:hAnsi="宋体" w:eastAsia="宋体" w:cs="宋体"/>
                <w:sz w:val="24"/>
                <w:highlight w:val="none"/>
              </w:rPr>
            </w:r>
            <w:r/>
          </w:p>
        </w:tc>
      </w:tr>
      <w:tr>
        <w:trPr>
          <w:trHeight w:val="363"/>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市领导或市主管部门指出的问题；被媒体曝光，引发舆情。</w:t>
            </w:r>
            <w:r>
              <w:rPr>
                <w:rFonts w:hint="eastAsia" w:ascii="宋体" w:hAnsi="宋体" w:eastAsia="宋体" w:cs="宋体"/>
                <w:sz w:val="24"/>
                <w:highlight w:val="none"/>
              </w:rPr>
            </w:r>
            <w:r/>
          </w:p>
        </w:tc>
        <w:tc>
          <w:tcPr>
            <w:gridSpan w:val="3"/>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每发生一起扣4分。</w:t>
            </w:r>
            <w:r>
              <w:rPr>
                <w:rFonts w:hint="eastAsia" w:ascii="宋体" w:hAnsi="宋体" w:eastAsia="宋体" w:cs="宋体"/>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r>
            <w:r/>
          </w:p>
        </w:tc>
        <w:tc>
          <w:tcPr>
            <w:tcBorders>
              <w:top w:val="single" w:color="000000" w:sz="4" w:space="0"/>
              <w:left w:val="single" w:color="000000" w:sz="4" w:space="0"/>
              <w:bottom w:val="none" w:color="000000" w:sz="0" w:space="0"/>
              <w:right w:val="single" w:color="000000" w:sz="4" w:space="0"/>
            </w:tcBorders>
            <w:tcW w:w="529" w:type="dxa"/>
            <w:vAlign w:val="center"/>
            <w:vMerge w:val="restart"/>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其</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他</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pStyle w:val="976"/>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区和</w:t>
            </w:r>
            <w:r>
              <w:rPr>
                <w:rFonts w:hint="eastAsia" w:ascii="宋体" w:hAnsi="宋体" w:eastAsia="宋体" w:cs="宋体"/>
                <w:sz w:val="24"/>
                <w:highlight w:val="none"/>
                <w:lang w:val="en-US" w:eastAsia="zh-CN"/>
              </w:rPr>
              <w:t xml:space="preserve">街道</w:t>
            </w:r>
            <w:r>
              <w:rPr>
                <w:rFonts w:hint="eastAsia" w:ascii="宋体" w:hAnsi="宋体" w:eastAsia="宋体" w:cs="宋体"/>
                <w:sz w:val="24"/>
                <w:highlight w:val="none"/>
              </w:rPr>
              <w:t xml:space="preserve">领导检查时指出问题的；区主管部门考核出现的问题。</w:t>
            </w:r>
            <w:r>
              <w:rPr>
                <w:rFonts w:hint="eastAsia" w:ascii="宋体" w:hAnsi="宋体" w:eastAsia="宋体" w:cs="宋体"/>
                <w:sz w:val="24"/>
                <w:highlight w:val="none"/>
              </w:rPr>
            </w:r>
            <w:r/>
          </w:p>
        </w:tc>
        <w:tc>
          <w:tcPr>
            <w:gridSpan w:val="3"/>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每发生一起扣3分。</w:t>
            </w:r>
            <w:r>
              <w:rPr>
                <w:rFonts w:hint="eastAsia" w:ascii="宋体" w:hAnsi="宋体" w:eastAsia="宋体" w:cs="宋体"/>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r>
            <w:r/>
          </w:p>
        </w:tc>
        <w:tc>
          <w:tcPr>
            <w:tcBorders>
              <w:top w:val="none" w:color="000000" w:sz="0" w:space="0"/>
              <w:left w:val="single" w:color="000000" w:sz="4" w:space="0"/>
              <w:bottom w:val="none" w:color="000000" w:sz="0"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pStyle w:val="976"/>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因工作不到位，被连续投诉的。</w:t>
            </w:r>
            <w:r>
              <w:rPr>
                <w:rFonts w:hint="eastAsia" w:ascii="宋体" w:hAnsi="宋体" w:eastAsia="宋体" w:cs="宋体"/>
                <w:sz w:val="24"/>
                <w:highlight w:val="none"/>
              </w:rPr>
            </w:r>
            <w:r/>
          </w:p>
        </w:tc>
        <w:tc>
          <w:tcPr>
            <w:gridSpan w:val="3"/>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每发生一起扣2分。</w:t>
            </w:r>
            <w:r>
              <w:rPr>
                <w:rFonts w:hint="eastAsia" w:ascii="宋体" w:hAnsi="宋体" w:eastAsia="宋体" w:cs="宋体"/>
                <w:sz w:val="24"/>
                <w:highlight w:val="none"/>
              </w:rPr>
            </w:r>
            <w:r/>
          </w:p>
        </w:tc>
      </w:tr>
      <w:tr>
        <w:trPr>
          <w:trHeight w:val="303"/>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lang w:eastAsia="zh-CN"/>
              </w:rPr>
            </w:r>
            <w:r/>
          </w:p>
        </w:tc>
        <w:tc>
          <w:tcPr>
            <w:tcBorders>
              <w:top w:val="none" w:color="000000" w:sz="0" w:space="0"/>
              <w:left w:val="single" w:color="000000" w:sz="4" w:space="0"/>
              <w:bottom w:val="single" w:color="000000" w:sz="4" w:space="0"/>
              <w:right w:val="single" w:color="000000" w:sz="4" w:space="0"/>
            </w:tcBorders>
            <w:tcW w:w="529" w:type="dxa"/>
            <w:vAlign w:val="center"/>
            <w:vMerge w:val="continue"/>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4660" w:type="dxa"/>
            <w:vAlign w:val="center"/>
            <w:textDirection w:val="lrTb"/>
            <w:noWrap/>
          </w:tcPr>
          <w:p>
            <w:pPr>
              <w:pStyle w:val="976"/>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交办事项</w:t>
            </w:r>
            <w:r>
              <w:rPr>
                <w:rFonts w:hint="eastAsia" w:ascii="宋体" w:hAnsi="宋体" w:eastAsia="宋体" w:cs="宋体"/>
                <w:sz w:val="24"/>
                <w:highlight w:val="none"/>
              </w:rPr>
            </w:r>
            <w:r/>
          </w:p>
        </w:tc>
        <w:tc>
          <w:tcPr>
            <w:gridSpan w:val="3"/>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对交办事项未在规定时间完成的，每发生一起扣2分。</w:t>
            </w:r>
            <w:r>
              <w:rPr>
                <w:rFonts w:hint="eastAsia" w:ascii="宋体" w:hAnsi="宋体" w:eastAsia="宋体" w:cs="宋体"/>
                <w:sz w:val="24"/>
                <w:highlight w:val="none"/>
              </w:rPr>
            </w:r>
            <w:r/>
          </w:p>
        </w:tc>
      </w:tr>
    </w:tbl>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88"/>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jc w:val="center"/>
        <w:spacing w:line="500" w:lineRule="exact"/>
        <w:tabs>
          <w:tab w:val="left" w:pos="1381" w:leader="none"/>
        </w:tabs>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第四章 项目需求</w:t>
      </w:r>
      <w:r>
        <w:rPr>
          <w:rFonts w:hint="eastAsia" w:ascii="宋体" w:hAnsi="宋体" w:eastAsia="宋体" w:cs="宋体"/>
          <w:b/>
          <w:bCs/>
          <w:sz w:val="32"/>
          <w:szCs w:val="32"/>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一、招标项目预算金额及最高限价</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1.采购内容：</w:t>
      </w:r>
      <w:r>
        <w:rPr>
          <w:rFonts w:hint="eastAsia" w:ascii="宋体" w:hAnsi="宋体" w:cs="宋体"/>
          <w:sz w:val="24"/>
          <w:highlight w:val="none"/>
          <w:lang w:eastAsia="zh-CN"/>
        </w:rPr>
        <w:t xml:space="preserve">2025年新城街道城市管理外包服务</w:t>
      </w:r>
      <w:r>
        <w:rPr>
          <w:rFonts w:hint="eastAsia" w:ascii="宋体" w:hAnsi="宋体" w:eastAsia="宋体" w:cs="宋体"/>
          <w:sz w:val="24"/>
          <w:highlight w:val="none"/>
          <w:lang w:eastAsia="zh-CN"/>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2.采购预算金额为：</w:t>
      </w:r>
      <w:r>
        <w:rPr>
          <w:rFonts w:hint="eastAsia" w:ascii="宋体" w:hAnsi="宋体" w:eastAsia="宋体" w:cs="宋体"/>
          <w:sz w:val="24"/>
          <w:highlight w:val="none"/>
          <w:lang w:val="en-US" w:eastAsia="zh-CN"/>
        </w:rPr>
        <w:t xml:space="preserve">160</w:t>
      </w:r>
      <w:r>
        <w:rPr>
          <w:rFonts w:hint="eastAsia" w:ascii="宋体" w:hAnsi="宋体" w:cs="宋体"/>
          <w:sz w:val="24"/>
          <w:highlight w:val="none"/>
          <w:lang w:val="en-US" w:eastAsia="zh-CN"/>
        </w:rPr>
        <w:t xml:space="preserve">.00</w:t>
      </w:r>
      <w:r>
        <w:rPr>
          <w:rFonts w:hint="eastAsia" w:ascii="宋体" w:hAnsi="宋体" w:eastAsia="宋体" w:cs="宋体"/>
          <w:sz w:val="24"/>
          <w:highlight w:val="none"/>
        </w:rPr>
        <w:t xml:space="preserve">万元</w:t>
      </w:r>
      <w:r>
        <w:rPr>
          <w:rFonts w:hint="eastAsia" w:ascii="宋体" w:hAnsi="宋体" w:eastAsia="宋体" w:cs="宋体"/>
          <w:sz w:val="24"/>
          <w:highlight w:val="none"/>
          <w:lang w:val="en-US" w:eastAsia="zh-CN"/>
        </w:rPr>
        <w:t xml:space="preserve">/年</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3.最高限价：</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0</w:t>
      </w:r>
      <w:r>
        <w:rPr>
          <w:rFonts w:hint="eastAsia" w:ascii="宋体" w:hAnsi="宋体" w:cs="宋体"/>
          <w:sz w:val="24"/>
          <w:highlight w:val="none"/>
          <w:lang w:val="en-US" w:eastAsia="zh-CN"/>
        </w:rPr>
        <w:t xml:space="preserve">.16</w:t>
      </w:r>
      <w:r>
        <w:rPr>
          <w:rFonts w:hint="eastAsia" w:ascii="宋体" w:hAnsi="宋体" w:eastAsia="宋体" w:cs="宋体"/>
          <w:sz w:val="24"/>
          <w:highlight w:val="none"/>
        </w:rPr>
        <w:t xml:space="preserve">万元</w:t>
      </w:r>
      <w:r>
        <w:rPr>
          <w:rFonts w:hint="eastAsia" w:ascii="宋体" w:hAnsi="宋体" w:eastAsia="宋体" w:cs="宋体"/>
          <w:sz w:val="24"/>
          <w:highlight w:val="none"/>
          <w:lang w:val="en-US" w:eastAsia="zh-CN"/>
        </w:rPr>
        <w:t xml:space="preserve">/年</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项目组</w:t>
      </w:r>
      <w:r>
        <w:rPr>
          <w:rFonts w:hint="eastAsia" w:ascii="宋体" w:hAnsi="宋体" w:eastAsia="宋体" w:cs="宋体"/>
          <w:sz w:val="24"/>
          <w:highlight w:val="none"/>
        </w:rPr>
        <w:t xml:space="preserve">人员数量</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人；请各投标人按照单价进行投标报价，最终报价超过最高限价的为无效报价，按照无效响应处理；</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4.合同履行期限（服务期）：</w:t>
      </w:r>
      <w:r>
        <w:rPr>
          <w:rFonts w:hint="eastAsia" w:ascii="宋体" w:hAnsi="宋体" w:eastAsia="宋体" w:cs="宋体"/>
          <w:sz w:val="24"/>
          <w:highlight w:val="none"/>
          <w:lang w:eastAsia="zh-CN"/>
        </w:rPr>
        <w:t xml:space="preserve">壹</w:t>
      </w:r>
      <w:r>
        <w:rPr>
          <w:rFonts w:hint="eastAsia" w:ascii="宋体" w:hAnsi="宋体" w:eastAsia="宋体" w:cs="宋体"/>
          <w:sz w:val="24"/>
          <w:highlight w:val="none"/>
        </w:rPr>
        <w:t xml:space="preserve">年</w:t>
      </w:r>
      <w:r>
        <w:rPr>
          <w:rFonts w:hint="eastAsia" w:ascii="宋体" w:hAnsi="宋体" w:eastAsia="宋体" w:cs="宋体"/>
          <w:sz w:val="24"/>
          <w:highlight w:val="none"/>
          <w:lang w:eastAsia="zh-CN"/>
        </w:rPr>
        <w:t xml:space="preserve">，期间采购人定期进行考核，合同期满，经考核合格后可续签下一年，最高续签不超过一年。</w:t>
      </w:r>
      <w:r>
        <w:rPr>
          <w:rFonts w:hint="eastAsia" w:ascii="宋体" w:hAnsi="宋体" w:eastAsia="宋体" w:cs="宋体"/>
          <w:sz w:val="24"/>
          <w:highlight w:val="none"/>
          <w:lang w:eastAsia="zh-CN"/>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二、人员需求</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cs="宋体"/>
          <w:sz w:val="24"/>
          <w:highlight w:val="none"/>
          <w:lang w:eastAsia="zh-CN"/>
        </w:rPr>
        <w:t xml:space="preserve">2025年新城街道城市管理外包服务</w:t>
      </w:r>
      <w:r>
        <w:rPr>
          <w:rFonts w:hint="eastAsia" w:ascii="宋体" w:hAnsi="宋体" w:eastAsia="宋体" w:cs="宋体"/>
          <w:sz w:val="24"/>
          <w:highlight w:val="none"/>
        </w:rPr>
        <w:t xml:space="preserve">需要配备城市管理辅助人员</w:t>
      </w:r>
      <w:r>
        <w:rPr>
          <w:rFonts w:hint="eastAsia" w:ascii="宋体" w:hAnsi="宋体" w:eastAsia="宋体" w:cs="宋体"/>
          <w:sz w:val="24"/>
          <w:highlight w:val="none"/>
          <w:lang w:val="en-US" w:eastAsia="zh-CN"/>
        </w:rPr>
        <w:t xml:space="preserve">20</w:t>
      </w:r>
      <w:r>
        <w:rPr>
          <w:rFonts w:hint="eastAsia" w:ascii="宋体" w:hAnsi="宋体" w:eastAsia="宋体" w:cs="宋体"/>
          <w:sz w:val="24"/>
          <w:highlight w:val="none"/>
        </w:rPr>
        <w:t xml:space="preserve">人（其中包含一名负责人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和1-2名内勤文职人员</w:t>
      </w:r>
      <w:r>
        <w:rPr>
          <w:rFonts w:hint="eastAsia" w:ascii="宋体" w:hAnsi="宋体" w:eastAsia="宋体" w:cs="宋体"/>
          <w:sz w:val="24"/>
          <w:highlight w:val="none"/>
        </w:rPr>
        <w:t xml:space="preserve">）。年龄要求在</w:t>
      </w:r>
      <w:r>
        <w:rPr>
          <w:rFonts w:hint="eastAsia" w:ascii="宋体" w:hAnsi="宋体" w:eastAsia="宋体" w:cs="宋体"/>
          <w:sz w:val="24"/>
          <w:highlight w:val="none"/>
          <w:lang w:val="en-US" w:eastAsia="zh-CN"/>
        </w:rPr>
        <w:t xml:space="preserve">国家法定退休年龄以下</w:t>
      </w:r>
      <w:r>
        <w:rPr>
          <w:rFonts w:hint="eastAsia" w:ascii="宋体" w:hAnsi="宋体" w:eastAsia="宋体" w:cs="宋体"/>
          <w:sz w:val="24"/>
          <w:highlight w:val="none"/>
        </w:rPr>
        <w:t xml:space="preserve">，具有一年以上相关城市管理工作经验，性别不限，身体健康，无纹身，责任心强，体态良好，接受过相关训练，熟悉相关法律法规，思想品质好，作风正派，无违法纪录。</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三、工作时间</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工作时间：夏季 上午</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0---晚上7：00</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冬季 上午</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rPr>
        <w:t xml:space="preserve">0---晚上</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：00</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具体工作时间可根据发包人要求和实际情况进行调整。</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四、装备要求</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成交供应商须提供</w:t>
      </w:r>
      <w:r>
        <w:rPr>
          <w:rFonts w:hint="eastAsia" w:ascii="宋体" w:hAnsi="宋体" w:eastAsia="宋体" w:cs="宋体"/>
          <w:sz w:val="24"/>
          <w:highlight w:val="none"/>
        </w:rPr>
        <w:t xml:space="preserve">执法仪</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台、对讲机</w:t>
      </w: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部、电动</w:t>
      </w:r>
      <w:r>
        <w:rPr>
          <w:rFonts w:hint="eastAsia" w:ascii="宋体" w:hAnsi="宋体" w:eastAsia="宋体" w:cs="宋体"/>
          <w:sz w:val="24"/>
          <w:highlight w:val="none"/>
          <w:lang w:val="en-US" w:eastAsia="zh-CN"/>
        </w:rPr>
        <w:t xml:space="preserve">巡逻</w:t>
      </w:r>
      <w:r>
        <w:rPr>
          <w:rFonts w:hint="eastAsia" w:ascii="宋体" w:hAnsi="宋体" w:eastAsia="宋体" w:cs="宋体"/>
          <w:sz w:val="24"/>
          <w:highlight w:val="none"/>
        </w:rPr>
        <w:t xml:space="preserve">车</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辆、</w:t>
      </w:r>
      <w:r>
        <w:rPr>
          <w:rFonts w:hint="eastAsia" w:ascii="宋体" w:hAnsi="宋体" w:eastAsia="宋体" w:cs="宋体"/>
          <w:sz w:val="24"/>
          <w:highlight w:val="none"/>
          <w:lang w:val="en-US" w:eastAsia="zh-CN"/>
        </w:rPr>
        <w:t xml:space="preserve">皮卡</w:t>
      </w:r>
      <w:r>
        <w:rPr>
          <w:rFonts w:hint="eastAsia" w:ascii="宋体" w:hAnsi="宋体" w:eastAsia="宋体" w:cs="宋体"/>
          <w:sz w:val="24"/>
          <w:highlight w:val="none"/>
        </w:rPr>
        <w:t xml:space="preserve">车1辆。</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五、办公用房</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采购人提供办公场所。</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六、工作内容</w:t>
      </w:r>
      <w:r>
        <w:rPr>
          <w:rFonts w:hint="eastAsia" w:ascii="宋体" w:hAnsi="宋体" w:eastAsia="宋体" w:cs="宋体"/>
          <w:sz w:val="24"/>
          <w:highlight w:val="none"/>
          <w:lang w:val="en-US" w:eastAsia="zh-CN"/>
        </w:rPr>
      </w:r>
      <w:r/>
    </w:p>
    <w:p>
      <w:pPr>
        <w:pStyle w:val="976"/>
        <w:ind w:firstLine="480"/>
        <w:spacing w:line="500" w:lineRule="exact"/>
        <w:tabs>
          <w:tab w:val="left" w:pos="138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主要工作为新城街道辖区内的集区域管理工作和街道政府安排的其它工作（包括但不限于：燃气安全、户外广告、废品收购点安全检查等）及以下具体内容：</w:t>
      </w:r>
      <w:r>
        <w:rPr>
          <w:rFonts w:hint="eastAsia" w:ascii="宋体" w:hAnsi="宋体" w:eastAsia="宋体" w:cs="宋体"/>
          <w:sz w:val="24"/>
          <w:highlight w:val="none"/>
          <w:lang w:val="en-US" w:eastAsia="zh-CN"/>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及时发现、劝阻、劝说出店经营、占道经营、违章占道、乱泼污水、乱倒垃圾、乱披乱挂、乱堆乱放、乱搭乱建等影响市容环境卫生的行为；</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及时劝阻、驱离流动商贩；</w:t>
      </w:r>
      <w:r>
        <w:rPr>
          <w:rFonts w:hint="eastAsia" w:ascii="宋体" w:hAnsi="宋体" w:eastAsia="宋体" w:cs="宋体"/>
          <w:sz w:val="24"/>
          <w:highlight w:val="none"/>
        </w:rPr>
      </w:r>
      <w:r/>
    </w:p>
    <w:p>
      <w:pPr>
        <w:pStyle w:val="976"/>
        <w:ind w:firstLine="24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3.</w:t>
      </w:r>
      <w:r>
        <w:rPr>
          <w:rFonts w:hint="eastAsia" w:ascii="宋体" w:hAnsi="宋体" w:eastAsia="宋体" w:cs="宋体"/>
          <w:sz w:val="24"/>
          <w:highlight w:val="none"/>
        </w:rPr>
        <w:t xml:space="preserve">对未经批准擅自设置门头店招、户外广告、落地灯箱；沿街派发商业性宣传品、户外走秀、使用高音喇叭叫卖以及从事促销、展览、咨询等活动劝阻和劝说；</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对占用盲道、人行道的机动车、非机动车乱停放行为及时进行劝阻，引导车主规范停车，做到集中定点有序停放；</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对可视范围内的“牛皮癣”（包括建筑物、构筑物、地面、设施等表面张贴刻画、涂写的非法广告及宣传品、通讯号码以及其所产生的污垢，各种非法张贴在公共信息广告张贴栏以外的纸质或胶纸等广告）加强巡查，及时上报和处理；</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对交通设施、道路路面、路灯设施、排（污）水设施、花坛、绿地、树木损坏等行为进行劝说并上报有关职能部门；</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对乱倒生产、生活垃圾和建筑垃圾渣土进行劝说、取证、上报和配合处理；</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对从事卜卦、算命、赌博、乞讨、卖艺等违法活动进行劝离；</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对擅自从事开挖道路、建筑物外部装修装饰、增设或者调整公共设施、乱拉乱接线等行为进行劝说、取证并上报；</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对未按国家安全生产规定，采取必要安全防护和消防措施的行为，比如，施工现场材料乱堆放、线路私拉乱接、特种作业人员无从业资格证、施工人员不规范作业等要及时劝说、责令其整改和上报，并做好巡查登记；</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遵守安全操作规范，对逆向行车、不着反光背心、救生衣等不规范作业行为进行劝说和跟踪督促整改；</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12.采购人有重大活动或突发事件时，具有安保经验的项目组成员全力协助采购人维持现场秩序和安全，并无条件服从现场相关部门安排。</w:t>
      </w:r>
      <w:r>
        <w:rPr>
          <w:rFonts w:hint="eastAsia" w:ascii="宋体" w:hAnsi="宋体" w:eastAsia="宋体" w:cs="宋体"/>
          <w:sz w:val="24"/>
          <w:highlight w:val="none"/>
          <w:lang w:val="en-US" w:eastAsia="zh-CN"/>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13.</w:t>
      </w:r>
      <w:r>
        <w:rPr>
          <w:rFonts w:hint="eastAsia" w:ascii="宋体" w:hAnsi="宋体" w:eastAsia="宋体" w:cs="宋体"/>
          <w:sz w:val="24"/>
          <w:highlight w:val="none"/>
        </w:rPr>
        <w:t xml:space="preserve">拟派本项目的主要负责人须符合采购文件规定的条件。管理岗位人员工作不尽职或不能胜任工作时，应予以及时调整，采购人有权要求对不符合条件或其他违纪违规的派遣辅助人员予以调整；投标人所属员工必须按时足量在岗在位，辅助人员遵守采购人的管理制度，服从采购人整体管理，并完成采购人交付的其他城市管理服务。</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14.听从城管部门的调遣，完成城管部门交付的其他工作任务。 </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七、其它综合说明</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1.在合同期内，投标人不得将项目分包或整体转包给任何单位和个人，否则，采购人有权即刻终止合同，并要求投标人赔偿所有相应损失。</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2.投标人所有员工身份证及相关资料必须在采购人备案</w:t>
      </w:r>
      <w:r>
        <w:rPr>
          <w:rFonts w:hint="eastAsia" w:ascii="宋体" w:hAnsi="宋体" w:eastAsia="宋体" w:cs="宋体"/>
          <w:sz w:val="24"/>
          <w:highlight w:val="none"/>
          <w:lang w:eastAsia="zh-CN"/>
        </w:rPr>
        <w:t xml:space="preserve">，并且每月组织一次岗位服务培训，培训结果须每月上报给采购人</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3.投标人员工在管理服务过程中必须加强劳动保护，在工作中如发生意外人身伤亡事故，由投标人自行处理，</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概不负责。</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4.投标人员工在管理服务时必须遵守采购人所有现场的管理规定，否则造成的后果一律由投标人负责。</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5.如与区级以上层面相关政策冲突或抵触，采购人有权单方面终止该服务合同，不承担任何法律责任。</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八、付款方式</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1）合同签订后支付合同价款的30%作为预付款（签订合同时，乙方明确表示无需预付款的或主动要求降低预付款比例的，可作出相应调整）；（2）甲方按月考核，每季度考核汇总一次，履行合同之日起一个季度结算一次（支付合同金额时扣除预付款部分再行结算），乙方须及时发放工资，并将工资发放明细提供给甲方（备案）。每季度的支付费用=合同价/4-考核扣款。（注：考核标准：详见合同附件）（3）本项目城市管理辅助人员外包服务相关费用支付时，乙方应提供税务发票。（4）如连续有两个月考核</w:t>
      </w:r>
      <w:r>
        <w:rPr>
          <w:rFonts w:hint="eastAsia" w:ascii="宋体" w:hAnsi="宋体" w:eastAsia="宋体" w:cs="宋体"/>
          <w:sz w:val="24"/>
          <w:highlight w:val="none"/>
          <w:lang w:val="en-US" w:eastAsia="zh-CN"/>
        </w:rPr>
        <w:t xml:space="preserve">平均分</w:t>
      </w:r>
      <w:r>
        <w:rPr>
          <w:rFonts w:hint="eastAsia" w:ascii="宋体" w:hAnsi="宋体" w:eastAsia="宋体" w:cs="宋体"/>
          <w:sz w:val="24"/>
          <w:highlight w:val="none"/>
        </w:rPr>
        <w:t xml:space="preserve">不合格或累计三个月考核不合格，甲方有权终止合同，重新选择新的城市管理辅助人员外包服务企业。 </w:t>
      </w: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九、</w:t>
      </w:r>
      <w:r>
        <w:rPr>
          <w:rFonts w:hint="eastAsia" w:ascii="宋体" w:hAnsi="宋体" w:eastAsia="宋体" w:cs="宋体"/>
          <w:sz w:val="24"/>
          <w:highlight w:val="none"/>
        </w:rPr>
        <w:t xml:space="preserve">采购标的对应的中小企业划分标准所属行业一览表</w:t>
      </w:r>
      <w:r>
        <w:rPr>
          <w:rFonts w:hint="eastAsia" w:ascii="宋体" w:hAnsi="宋体" w:eastAsia="宋体" w:cs="宋体"/>
          <w:sz w:val="24"/>
          <w:highlight w:val="none"/>
        </w:rPr>
      </w:r>
      <w:r/>
    </w:p>
    <w:tbl>
      <w:tblPr>
        <w:tblW w:w="5000" w:type="pct"/>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5171"/>
        <w:gridCol w:w="3833"/>
      </w:tblGrid>
      <w:tr>
        <w:trPr>
          <w:tblCellSpacing w:w="0" w:type="dxa"/>
        </w:trPr>
        <w:tc>
          <w:tcPr>
            <w:tcW w:w="810" w:type="dxa"/>
            <w:vAlign w:val="center"/>
            <w:textDirection w:val="lrTb"/>
            <w:noWrap w:val="false"/>
          </w:tcPr>
          <w:p>
            <w:pPr>
              <w:pStyle w:val="976"/>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5207" w:type="dxa"/>
            <w:vAlign w:val="center"/>
            <w:textDirection w:val="lrTb"/>
            <w:noWrap w:val="false"/>
          </w:tcPr>
          <w:p>
            <w:pPr>
              <w:pStyle w:val="976"/>
              <w:ind w:firstLine="480"/>
              <w:jc w:val="center"/>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采购标的</w:t>
            </w:r>
            <w:r>
              <w:rPr>
                <w:rFonts w:hint="eastAsia" w:ascii="宋体" w:hAnsi="宋体" w:eastAsia="宋体" w:cs="宋体"/>
                <w:sz w:val="24"/>
                <w:highlight w:val="none"/>
              </w:rPr>
            </w:r>
            <w:r/>
          </w:p>
        </w:tc>
        <w:tc>
          <w:tcPr>
            <w:tcW w:w="3857" w:type="dxa"/>
            <w:vAlign w:val="center"/>
            <w:textDirection w:val="lrTb"/>
            <w:noWrap w:val="false"/>
          </w:tcPr>
          <w:p>
            <w:pPr>
              <w:pStyle w:val="976"/>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对应中小企业划分标准所属行业</w:t>
            </w:r>
            <w:r>
              <w:rPr>
                <w:rFonts w:hint="eastAsia" w:ascii="宋体" w:hAnsi="宋体" w:eastAsia="宋体" w:cs="宋体"/>
                <w:sz w:val="24"/>
                <w:highlight w:val="none"/>
              </w:rPr>
            </w:r>
            <w:r/>
          </w:p>
        </w:tc>
      </w:tr>
      <w:tr>
        <w:trPr>
          <w:tblCellSpacing w:w="0" w:type="dxa"/>
          <w:trHeight w:val="291"/>
        </w:trPr>
        <w:tc>
          <w:tcPr>
            <w:tcW w:w="810" w:type="dxa"/>
            <w:vAlign w:val="center"/>
            <w:textDirection w:val="lrTb"/>
            <w:noWrap w:val="false"/>
          </w:tcPr>
          <w:p>
            <w:pPr>
              <w:pStyle w:val="976"/>
              <w:ind w:firstLine="24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5207" w:type="dxa"/>
            <w:vAlign w:val="center"/>
            <w:textDirection w:val="lrTb"/>
            <w:noWrap w:val="false"/>
          </w:tcPr>
          <w:p>
            <w:pPr>
              <w:pStyle w:val="976"/>
              <w:spacing w:line="500" w:lineRule="exact"/>
              <w:tabs>
                <w:tab w:val="left" w:pos="1381" w:leader="none"/>
              </w:tabs>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2025年新城街道城市管理外包服务</w:t>
            </w:r>
            <w:r>
              <w:rPr>
                <w:rFonts w:hint="eastAsia" w:ascii="宋体" w:hAnsi="宋体" w:eastAsia="宋体" w:cs="宋体"/>
                <w:sz w:val="24"/>
                <w:highlight w:val="none"/>
                <w:lang w:eastAsia="zh-CN"/>
              </w:rPr>
            </w:r>
            <w:r/>
          </w:p>
        </w:tc>
        <w:tc>
          <w:tcPr>
            <w:tcW w:w="3857" w:type="dxa"/>
            <w:vAlign w:val="center"/>
            <w:textDirection w:val="lrTb"/>
            <w:noWrap w:val="false"/>
          </w:tcPr>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t xml:space="preserve">租赁和商务服务业</w:t>
            </w:r>
            <w:r>
              <w:rPr>
                <w:rFonts w:hint="eastAsia" w:ascii="宋体" w:hAnsi="宋体" w:eastAsia="宋体" w:cs="宋体"/>
                <w:sz w:val="24"/>
                <w:highlight w:val="none"/>
              </w:rPr>
            </w:r>
            <w:r/>
          </w:p>
        </w:tc>
      </w:tr>
    </w:tbl>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76"/>
        <w:ind w:firstLine="480"/>
        <w:spacing w:line="500" w:lineRule="exact"/>
        <w:tabs>
          <w:tab w:val="left" w:pos="1381" w:leader="none"/>
        </w:tabs>
        <w:rPr>
          <w:rFonts w:hint="eastAsia" w:ascii="宋体" w:hAnsi="宋体" w:eastAsia="宋体" w:cs="宋体"/>
          <w:sz w:val="24"/>
          <w:highlight w:val="none"/>
        </w:rPr>
      </w:pPr>
      <w:r/>
      <w:bookmarkStart w:id="136" w:name="_Toc10360"/>
      <w:r/>
      <w:bookmarkStart w:id="137" w:name="_Toc29713"/>
      <w:r/>
      <w:bookmarkStart w:id="138" w:name="_Toc21507"/>
      <w:r>
        <w:rPr>
          <w:rFonts w:hint="eastAsia" w:ascii="宋体" w:hAnsi="宋体" w:eastAsia="宋体" w:cs="宋体"/>
          <w:sz w:val="24"/>
          <w:highlight w:val="none"/>
        </w:rPr>
        <w:br w:type="page" w:clear="all"/>
      </w:r>
      <w:r>
        <w:rPr>
          <w:rFonts w:hint="eastAsia" w:ascii="宋体" w:hAnsi="宋体" w:eastAsia="宋体" w:cs="宋体"/>
          <w:sz w:val="24"/>
          <w:highlight w:val="none"/>
        </w:rPr>
      </w:r>
      <w:r/>
    </w:p>
    <w:p>
      <w:pPr>
        <w:pStyle w:val="976"/>
        <w:ind w:firstLine="1760"/>
        <w:spacing w:line="500" w:lineRule="exact"/>
        <w:rPr>
          <w:rFonts w:hint="eastAsia" w:ascii="宋体" w:hAnsi="宋体" w:eastAsia="宋体" w:cs="宋体"/>
          <w:highlight w:val="none"/>
        </w:rPr>
        <w:outlineLvl w:val="0"/>
      </w:pPr>
      <w:r>
        <w:rPr>
          <w:rFonts w:hint="eastAsia" w:ascii="宋体" w:hAnsi="宋体" w:eastAsia="宋体" w:cs="宋体"/>
          <w:sz w:val="44"/>
          <w:szCs w:val="44"/>
          <w:highlight w:val="none"/>
        </w:rPr>
        <w:t xml:space="preserve">第五章  评审方法和评审标准</w:t>
      </w:r>
      <w:bookmarkEnd w:id="136"/>
      <w:r/>
      <w:bookmarkEnd w:id="137"/>
      <w:r/>
      <w:bookmarkEnd w:id="138"/>
      <w:r>
        <w:rPr>
          <w:rFonts w:hint="eastAsia" w:ascii="宋体" w:hAnsi="宋体" w:eastAsia="宋体" w:cs="宋体"/>
          <w:highlight w:val="none"/>
        </w:rPr>
      </w:r>
      <w:r/>
    </w:p>
    <w:p>
      <w:pPr>
        <w:pStyle w:val="976"/>
        <w:ind w:firstLine="482"/>
        <w:spacing w:line="500" w:lineRule="exact"/>
        <w:rPr>
          <w:rFonts w:hint="eastAsia" w:ascii="宋体" w:hAnsi="宋体" w:eastAsia="宋体" w:cs="宋体"/>
          <w:b/>
          <w:bCs/>
          <w:color w:val="000000"/>
          <w:sz w:val="24"/>
          <w:szCs w:val="24"/>
          <w:highlight w:val="none"/>
        </w:rPr>
      </w:pPr>
      <w:r/>
      <w:bookmarkStart w:id="139" w:name="OLE_LINK4"/>
      <w:r/>
      <w:bookmarkStart w:id="140" w:name="OLE_LINK3"/>
      <w:r>
        <w:rPr>
          <w:rFonts w:hint="eastAsia" w:ascii="宋体" w:hAnsi="宋体" w:eastAsia="宋体" w:cs="宋体"/>
          <w:b/>
          <w:color w:val="000000"/>
          <w:sz w:val="24"/>
          <w:szCs w:val="24"/>
          <w:highlight w:val="none"/>
        </w:rPr>
        <w:t xml:space="preserve">一、评审方法</w:t>
      </w:r>
      <w:r>
        <w:rPr>
          <w:rFonts w:hint="eastAsia" w:ascii="宋体" w:hAnsi="宋体" w:eastAsia="宋体" w:cs="宋体"/>
          <w:b/>
          <w:bCs/>
          <w:color w:val="000000"/>
          <w:sz w:val="24"/>
          <w:szCs w:val="24"/>
          <w:highlight w:val="none"/>
        </w:rPr>
      </w:r>
      <w:r/>
    </w:p>
    <w:p>
      <w:pPr>
        <w:pStyle w:val="1279"/>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本项目采用 </w:t>
      </w:r>
      <w:r>
        <w:rPr>
          <w:rFonts w:hint="eastAsia" w:ascii="宋体" w:hAnsi="宋体" w:eastAsia="宋体" w:cs="宋体"/>
          <w:color w:val="000000"/>
          <w:sz w:val="24"/>
          <w:highlight w:val="none"/>
          <w:u w:val="single"/>
        </w:rPr>
        <w:t xml:space="preserve">综合评分法</w:t>
      </w:r>
      <w:r>
        <w:rPr>
          <w:rFonts w:hint="eastAsia" w:ascii="宋体" w:hAnsi="宋体" w:eastAsia="宋体" w:cs="宋体"/>
          <w:color w:val="000000"/>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highlight w:val="none"/>
        </w:rPr>
      </w:r>
      <w:r/>
    </w:p>
    <w:p>
      <w:pPr>
        <w:pStyle w:val="976"/>
        <w:ind w:firstLine="482"/>
        <w:spacing w:line="500" w:lineRule="exact"/>
        <w:rPr>
          <w:rFonts w:hint="eastAsia" w:ascii="宋体" w:hAnsi="宋体" w:eastAsia="宋体" w:cs="宋体"/>
          <w:b/>
          <w:bCs/>
          <w:sz w:val="24"/>
          <w:szCs w:val="24"/>
          <w:highlight w:val="none"/>
        </w:rPr>
      </w:pPr>
      <w:r>
        <w:rPr>
          <w:rFonts w:hint="eastAsia" w:ascii="宋体" w:hAnsi="宋体" w:eastAsia="宋体" w:cs="宋体"/>
          <w:b/>
          <w:sz w:val="24"/>
          <w:highlight w:val="none"/>
        </w:rPr>
        <w:t xml:space="preserve">政府采购政策功能落实</w:t>
      </w:r>
      <w:r>
        <w:rPr>
          <w:rFonts w:hint="eastAsia" w:ascii="宋体" w:hAnsi="宋体" w:eastAsia="宋体" w:cs="宋体"/>
          <w:b/>
          <w:bCs/>
          <w:sz w:val="24"/>
          <w:szCs w:val="24"/>
          <w:highlight w:val="none"/>
        </w:rPr>
      </w:r>
      <w:r/>
    </w:p>
    <w:p>
      <w:pPr>
        <w:pStyle w:val="976"/>
        <w:ind w:firstLine="480"/>
        <w:jc w:val="left"/>
        <w:spacing w:line="50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1、小微型企业价格扣除</w:t>
      </w:r>
      <w:r>
        <w:rPr>
          <w:rFonts w:ascii="宋体" w:hAnsi="宋体" w:cs="宋体"/>
          <w:color w:val="000000"/>
          <w:sz w:val="24"/>
          <w:szCs w:val="20"/>
          <w:highlight w:val="none"/>
        </w:rPr>
      </w:r>
      <w:r/>
    </w:p>
    <w:p>
      <w:pPr>
        <w:pStyle w:val="976"/>
        <w:ind w:firstLine="480"/>
        <w:jc w:val="left"/>
        <w:spacing w:line="50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（1）本项目专门面向中小企业采购，不再对小型和微型企业报价给予价格扣除。</w:t>
      </w:r>
      <w:r>
        <w:rPr>
          <w:rFonts w:ascii="宋体" w:hAnsi="宋体" w:cs="宋体"/>
          <w:color w:val="000000"/>
          <w:sz w:val="24"/>
          <w:szCs w:val="20"/>
          <w:highlight w:val="none"/>
        </w:rPr>
      </w:r>
      <w:r/>
    </w:p>
    <w:p>
      <w:pPr>
        <w:pStyle w:val="976"/>
        <w:ind w:firstLine="480"/>
        <w:jc w:val="left"/>
        <w:spacing w:line="50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（2）供应商需按照采购文件的要求提供相应的《中小企业声明函》。</w:t>
      </w:r>
      <w:r>
        <w:rPr>
          <w:rFonts w:ascii="宋体" w:hAnsi="宋体" w:cs="宋体"/>
          <w:color w:val="000000"/>
          <w:sz w:val="24"/>
          <w:szCs w:val="20"/>
          <w:highlight w:val="none"/>
        </w:rPr>
      </w:r>
      <w:r/>
    </w:p>
    <w:p>
      <w:pPr>
        <w:pStyle w:val="976"/>
        <w:ind w:firstLine="480"/>
        <w:jc w:val="left"/>
        <w:spacing w:line="50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（3）企业标准请参照《关于印发中小企业划型标准规定的通知》（工信部联企业[2011]300号）文件规定自行填写。</w:t>
      </w:r>
      <w:r>
        <w:rPr>
          <w:rFonts w:ascii="宋体" w:hAnsi="宋体" w:cs="宋体"/>
          <w:color w:val="000000"/>
          <w:sz w:val="24"/>
          <w:szCs w:val="20"/>
          <w:highlight w:val="none"/>
        </w:rPr>
      </w:r>
      <w:r/>
    </w:p>
    <w:p>
      <w:pPr>
        <w:pStyle w:val="976"/>
        <w:ind w:firstLine="480"/>
        <w:jc w:val="left"/>
        <w:spacing w:line="500" w:lineRule="exact"/>
        <w:rPr>
          <w:rFonts w:ascii="宋体" w:hAnsi="宋体" w:cs="宋体"/>
          <w:sz w:val="24"/>
          <w:highlight w:val="none"/>
        </w:rPr>
      </w:pPr>
      <w:r>
        <w:rPr>
          <w:rFonts w:hint="eastAsia" w:ascii="宋体" w:hAnsi="宋体" w:cs="宋体"/>
          <w:sz w:val="24"/>
          <w:highlight w:val="none"/>
        </w:rPr>
        <w:t xml:space="preserve">4、残疾人福利单位、监狱企业属于小型、微型企业的，不重复享受政策。</w:t>
      </w:r>
      <w:r>
        <w:rPr>
          <w:rFonts w:ascii="宋体" w:hAnsi="宋体" w:cs="宋体"/>
          <w:sz w:val="24"/>
          <w:highlight w:val="none"/>
        </w:rPr>
      </w:r>
      <w:r/>
    </w:p>
    <w:p>
      <w:pPr>
        <w:pStyle w:val="976"/>
        <w:ind w:firstLine="480"/>
        <w:spacing w:line="500" w:lineRule="exact"/>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highlight w:val="none"/>
        </w:rPr>
        <w:t xml:space="preserve">如属政府强制采购产品未提供认证证书的或认证证书提供不全的将视为未实质性响应采购要求</w:t>
      </w:r>
      <w:r>
        <w:rPr>
          <w:rFonts w:hint="eastAsia" w:ascii="宋体" w:hAnsi="宋体" w:cs="宋体"/>
          <w:i/>
          <w:sz w:val="24"/>
          <w:highlight w:val="none"/>
        </w:rPr>
        <w:t xml:space="preserve">。</w:t>
      </w:r>
      <w:r>
        <w:rPr>
          <w:rFonts w:hint="eastAsia" w:ascii="宋体" w:hAnsi="宋体" w:cs="宋体"/>
          <w:sz w:val="24"/>
          <w:highlight w:val="none"/>
        </w:rPr>
        <w:t xml:space="preserve">其他条件相同情况下，应当优先采购节能产品、环境标志产品。</w:t>
      </w:r>
      <w:r>
        <w:rPr>
          <w:rFonts w:ascii="宋体" w:hAnsi="宋体" w:cs="宋体"/>
          <w:sz w:val="24"/>
          <w:highlight w:val="none"/>
        </w:rPr>
      </w:r>
      <w:r/>
    </w:p>
    <w:p>
      <w:pPr>
        <w:pStyle w:val="1210"/>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、（一）评审过程中出现下列情形之一的，评审委员会应当启动异常低价投标（响应）审查程序：</w:t>
      </w:r>
      <w:r>
        <w:rPr>
          <w:rFonts w:ascii="宋体" w:hAnsi="宋体" w:eastAsia="宋体" w:cs="宋体"/>
          <w:sz w:val="24"/>
          <w:szCs w:val="24"/>
          <w:highlight w:val="none"/>
        </w:rPr>
      </w:r>
      <w:r/>
    </w:p>
    <w:p>
      <w:pPr>
        <w:pStyle w:val="1210"/>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1．投标（响应）报价低于采购项目预算50% 的，即投标（响应）报价&lt;采购项目预算×50%；</w:t>
      </w:r>
      <w:r>
        <w:rPr>
          <w:rFonts w:ascii="宋体" w:hAnsi="宋体" w:eastAsia="宋体" w:cs="宋体"/>
          <w:sz w:val="24"/>
          <w:szCs w:val="24"/>
          <w:highlight w:val="none"/>
        </w:rPr>
      </w:r>
      <w:r/>
    </w:p>
    <w:p>
      <w:pPr>
        <w:pStyle w:val="1210"/>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2．投标（响应）报价低于采购项目最高限价45%的，即投标（响应）报价&lt;采购项目最高限价×45%；</w:t>
      </w:r>
      <w:r>
        <w:rPr>
          <w:rFonts w:ascii="宋体" w:hAnsi="宋体" w:eastAsia="宋体" w:cs="宋体"/>
          <w:sz w:val="24"/>
          <w:szCs w:val="24"/>
          <w:highlight w:val="none"/>
        </w:rPr>
      </w:r>
      <w:r/>
    </w:p>
    <w:p>
      <w:pPr>
        <w:pStyle w:val="1210"/>
        <w:ind w:firstLine="480"/>
        <w:spacing w:line="500" w:lineRule="exact"/>
        <w:rPr>
          <w:rFonts w:hint="eastAsia" w:ascii="宋体" w:hAnsi="宋体" w:eastAsia="宋体" w:cs="宋体"/>
          <w:sz w:val="24"/>
          <w:highlight w:val="none"/>
        </w:rPr>
      </w:pPr>
      <w:r>
        <w:rPr>
          <w:rFonts w:hint="eastAsia" w:ascii="宋体" w:hAnsi="宋体" w:eastAsia="宋体" w:cs="宋体"/>
          <w:sz w:val="24"/>
          <w:szCs w:val="24"/>
          <w:highlight w:val="none"/>
        </w:rPr>
        <w:t xml:space="preserve">3．评审委员会认定的供应商报价过低、有可能影响产品质量或者不能诚信履约的其他情形。</w:t>
      </w:r>
      <w:r>
        <w:rPr>
          <w:rFonts w:hint="eastAsia" w:ascii="宋体" w:hAnsi="宋体" w:eastAsia="宋体" w:cs="宋体"/>
          <w:sz w:val="24"/>
          <w:highlight w:val="none"/>
        </w:rPr>
      </w:r>
      <w:r/>
    </w:p>
    <w:p>
      <w:pPr>
        <w:pStyle w:val="976"/>
        <w:ind w:firstLine="482"/>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 w:val="24"/>
          <w:szCs w:val="24"/>
          <w:highlight w:val="none"/>
        </w:rPr>
      </w:r>
      <w:r/>
    </w:p>
    <w:p>
      <w:pPr>
        <w:pStyle w:val="976"/>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三、评标标准</w:t>
      </w:r>
      <w:r>
        <w:rPr>
          <w:rFonts w:hint="eastAsia" w:ascii="宋体" w:hAnsi="宋体" w:eastAsia="宋体" w:cs="宋体"/>
          <w:b/>
          <w:sz w:val="24"/>
          <w:highlight w:val="none"/>
        </w:rPr>
      </w:r>
      <w:r/>
    </w:p>
    <w:p>
      <w:pPr>
        <w:pStyle w:val="976"/>
        <w:ind w:firstLine="480"/>
        <w:spacing w:line="500" w:lineRule="exact"/>
        <w:rPr>
          <w:rFonts w:hint="eastAsia" w:ascii="宋体" w:hAnsi="宋体" w:eastAsia="宋体" w:cs="宋体"/>
          <w:bCs/>
          <w:sz w:val="24"/>
          <w:highlight w:val="none"/>
        </w:rPr>
      </w:pPr>
      <w:r/>
      <w:bookmarkEnd w:id="139"/>
      <w:r/>
      <w:bookmarkEnd w:id="140"/>
      <w:r/>
      <w:bookmarkStart w:id="141" w:name="OLE_LINK61"/>
      <w:r/>
      <w:bookmarkStart w:id="142" w:name="OLE_LINK62"/>
      <w:r>
        <w:rPr>
          <w:rFonts w:hint="eastAsia" w:ascii="宋体" w:hAnsi="宋体" w:eastAsia="宋体" w:cs="宋体"/>
          <w:bCs/>
          <w:sz w:val="24"/>
          <w:highlight w:val="none"/>
        </w:rPr>
        <w:t xml:space="preserve">本项目评分总分值为100分。</w:t>
      </w:r>
      <w:r>
        <w:rPr>
          <w:rFonts w:hint="eastAsia" w:ascii="宋体" w:hAnsi="宋体" w:eastAsia="宋体" w:cs="宋体"/>
          <w:bCs/>
          <w:sz w:val="24"/>
          <w:highlight w:val="none"/>
        </w:rPr>
      </w:r>
      <w:r/>
    </w:p>
    <w:tbl>
      <w:tblPr>
        <w:tblW w:w="5232" w:type="pct"/>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49"/>
        <w:gridCol w:w="1130"/>
        <w:gridCol w:w="1024"/>
        <w:gridCol w:w="6928"/>
      </w:tblGrid>
      <w:tr>
        <w:trPr>
          <w:trHeight w:val="556"/>
        </w:trPr>
        <w:tc>
          <w:tcPr>
            <w:gridSpan w:val="2"/>
            <w:tcW w:w="2079" w:type="dxa"/>
            <w:vAlign w:val="center"/>
            <w:textDirection w:val="lrTb"/>
            <w:noWrap w:val="false"/>
          </w:tcPr>
          <w:p>
            <w:pPr>
              <w:pStyle w:val="976"/>
              <w:jc w:val="center"/>
              <w:rPr>
                <w:rFonts w:hint="eastAsia" w:ascii="宋体" w:hAnsi="宋体" w:eastAsia="宋体" w:cs="宋体"/>
                <w:sz w:val="24"/>
                <w:highlight w:val="none"/>
              </w:rPr>
            </w:pPr>
            <w:r>
              <w:rPr>
                <w:rFonts w:hint="eastAsia" w:ascii="宋体" w:hAnsi="宋体" w:eastAsia="宋体" w:cs="宋体"/>
                <w:sz w:val="24"/>
                <w:highlight w:val="none"/>
              </w:rPr>
              <w:t xml:space="preserve">评审因素</w:t>
            </w:r>
            <w:r>
              <w:rPr>
                <w:rFonts w:hint="eastAsia" w:ascii="宋体" w:hAnsi="宋体" w:eastAsia="宋体" w:cs="宋体"/>
                <w:sz w:val="24"/>
                <w:highlight w:val="none"/>
              </w:rPr>
            </w:r>
            <w:r/>
          </w:p>
        </w:tc>
        <w:tc>
          <w:tcPr>
            <w:tcW w:w="1023" w:type="dxa"/>
            <w:vAlign w:val="center"/>
            <w:textDirection w:val="lrTb"/>
            <w:noWrap w:val="false"/>
          </w:tcPr>
          <w:p>
            <w:pPr>
              <w:pStyle w:val="976"/>
              <w:jc w:val="center"/>
              <w:rPr>
                <w:rFonts w:hint="eastAsia" w:ascii="宋体" w:hAnsi="宋体" w:eastAsia="宋体" w:cs="宋体"/>
                <w:sz w:val="24"/>
                <w:highlight w:val="none"/>
              </w:rPr>
            </w:pPr>
            <w:r>
              <w:rPr>
                <w:rFonts w:hint="eastAsia" w:ascii="宋体" w:hAnsi="宋体" w:eastAsia="宋体" w:cs="宋体"/>
                <w:sz w:val="24"/>
                <w:highlight w:val="none"/>
              </w:rPr>
              <w:t xml:space="preserve">分数</w:t>
            </w:r>
            <w:r>
              <w:rPr>
                <w:rFonts w:hint="eastAsia" w:ascii="宋体" w:hAnsi="宋体" w:eastAsia="宋体" w:cs="宋体"/>
                <w:sz w:val="24"/>
                <w:highlight w:val="none"/>
              </w:rPr>
            </w:r>
            <w:r/>
          </w:p>
        </w:tc>
        <w:tc>
          <w:tcPr>
            <w:tcW w:w="6921" w:type="dxa"/>
            <w:vAlign w:val="center"/>
            <w:textDirection w:val="lrTb"/>
            <w:noWrap w:val="false"/>
          </w:tcPr>
          <w:p>
            <w:pPr>
              <w:pStyle w:val="976"/>
              <w:jc w:val="center"/>
              <w:rPr>
                <w:rFonts w:hint="eastAsia" w:ascii="宋体" w:hAnsi="宋体" w:eastAsia="宋体" w:cs="宋体"/>
                <w:sz w:val="24"/>
                <w:highlight w:val="none"/>
              </w:rPr>
            </w:pPr>
            <w:r>
              <w:rPr>
                <w:rFonts w:hint="eastAsia" w:ascii="宋体" w:hAnsi="宋体" w:eastAsia="宋体" w:cs="宋体"/>
                <w:sz w:val="24"/>
                <w:highlight w:val="none"/>
              </w:rPr>
              <w:t xml:space="preserve">评审标准</w:t>
            </w:r>
            <w:r>
              <w:rPr>
                <w:rFonts w:hint="eastAsia" w:ascii="宋体" w:hAnsi="宋体" w:eastAsia="宋体" w:cs="宋体"/>
                <w:sz w:val="24"/>
                <w:highlight w:val="none"/>
              </w:rPr>
            </w:r>
            <w:r/>
          </w:p>
        </w:tc>
      </w:tr>
      <w:tr>
        <w:trPr>
          <w:trHeight w:val="2010"/>
        </w:trPr>
        <w:tc>
          <w:tcPr>
            <w:tcW w:w="948" w:type="dxa"/>
            <w:vAlign w:val="center"/>
            <w:textDirection w:val="lrTb"/>
            <w:noWrap w:val="false"/>
          </w:tcPr>
          <w:p>
            <w:pPr>
              <w:pStyle w:val="976"/>
              <w:jc w:val="center"/>
              <w:rPr>
                <w:rFonts w:hint="eastAsia" w:ascii="宋体" w:hAnsi="宋体" w:eastAsia="宋体" w:cs="宋体"/>
                <w:sz w:val="24"/>
                <w:highlight w:val="none"/>
              </w:rPr>
            </w:pPr>
            <w:r>
              <w:rPr>
                <w:rFonts w:hint="eastAsia" w:ascii="宋体" w:hAnsi="宋体" w:eastAsia="宋体" w:cs="宋体"/>
                <w:sz w:val="24"/>
                <w:highlight w:val="none"/>
              </w:rPr>
              <w:t xml:space="preserve">报价分</w:t>
            </w:r>
            <w:r>
              <w:rPr>
                <w:rFonts w:hint="eastAsia" w:ascii="宋体" w:hAnsi="宋体" w:eastAsia="宋体" w:cs="宋体"/>
                <w:sz w:val="24"/>
                <w:highlight w:val="none"/>
              </w:rPr>
            </w:r>
            <w:r/>
          </w:p>
          <w:p>
            <w:pPr>
              <w:pStyle w:val="988"/>
              <w:ind w:left="0" w:firstLine="0"/>
              <w:jc w:val="center"/>
              <w:rPr>
                <w:rFonts w:hint="eastAsia" w:ascii="宋体" w:hAnsi="宋体" w:eastAsia="宋体" w:cs="宋体"/>
                <w:highlight w:val="none"/>
                <w:lang w:val="en-US" w:eastAsia="zh-CN"/>
              </w:rPr>
            </w:pPr>
            <w:r>
              <w:rPr>
                <w:rFonts w:hint="eastAsia" w:ascii="宋体" w:hAnsi="宋体" w:cs="宋体"/>
                <w:sz w:val="24"/>
                <w:highlight w:val="none"/>
                <w:lang w:val="en-US" w:eastAsia="zh-CN"/>
              </w:rPr>
              <w:t xml:space="preserve">20</w:t>
            </w:r>
            <w:r>
              <w:rPr>
                <w:rFonts w:hint="eastAsia" w:ascii="宋体" w:hAnsi="宋体" w:eastAsia="宋体" w:cs="宋体"/>
                <w:sz w:val="24"/>
                <w:highlight w:val="none"/>
                <w:lang w:val="en-US" w:eastAsia="zh-CN"/>
              </w:rPr>
              <w:t xml:space="preserve">分</w:t>
            </w:r>
            <w:r>
              <w:rPr>
                <w:rFonts w:hint="eastAsia" w:ascii="宋体" w:hAnsi="宋体" w:eastAsia="宋体" w:cs="宋体"/>
                <w:highlight w:val="none"/>
                <w:lang w:val="en-US" w:eastAsia="zh-CN"/>
              </w:rPr>
            </w:r>
            <w:r/>
          </w:p>
        </w:tc>
        <w:tc>
          <w:tcPr>
            <w:tcW w:w="1129" w:type="dxa"/>
            <w:vAlign w:val="center"/>
            <w:textDirection w:val="lrTb"/>
            <w:noWrap w:val="false"/>
          </w:tcPr>
          <w:p>
            <w:pPr>
              <w:pStyle w:val="976"/>
              <w:jc w:val="center"/>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rPr>
                <w:rFonts w:hint="eastAsia" w:ascii="宋体" w:hAnsi="宋体" w:eastAsia="宋体" w:cs="宋体"/>
                <w:sz w:val="24"/>
                <w:highlight w:val="none"/>
              </w:rPr>
            </w:r>
            <w:r/>
          </w:p>
        </w:tc>
        <w:tc>
          <w:tcPr>
            <w:tcW w:w="1023" w:type="dxa"/>
            <w:vAlign w:val="center"/>
            <w:textDirection w:val="lrTb"/>
            <w:noWrap w:val="false"/>
          </w:tcPr>
          <w:p>
            <w:pPr>
              <w:pStyle w:val="976"/>
              <w:jc w:val="center"/>
              <w:rPr>
                <w:rFonts w:hint="eastAsia" w:ascii="宋体" w:hAnsi="宋体" w:eastAsia="宋体" w:cs="宋体"/>
                <w:sz w:val="24"/>
                <w:highlight w:val="none"/>
              </w:rPr>
            </w:pPr>
            <w:r>
              <w:rPr>
                <w:rFonts w:hint="eastAsia" w:ascii="宋体" w:hAnsi="宋体" w:cs="宋体"/>
                <w:sz w:val="24"/>
                <w:highlight w:val="none"/>
                <w:lang w:val="en-US" w:eastAsia="zh-CN"/>
              </w:rPr>
              <w:t xml:space="preserve">20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6921" w:type="dxa"/>
            <w:vAlign w:val="center"/>
            <w:textDirection w:val="lrTb"/>
            <w:noWrap w:val="false"/>
          </w:tcPr>
          <w:p>
            <w:pPr>
              <w:pStyle w:val="976"/>
              <w:ind w:firstLine="42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0。（保留两位小数，按小数点后第三位四舍五入）。</w:t>
            </w:r>
            <w:r>
              <w:rPr>
                <w:rFonts w:hint="eastAsia" w:ascii="宋体" w:hAnsi="宋体" w:eastAsia="宋体" w:cs="宋体"/>
                <w:sz w:val="24"/>
                <w:highlight w:val="none"/>
              </w:rPr>
            </w:r>
            <w:r/>
          </w:p>
          <w:p>
            <w:pPr>
              <w:pStyle w:val="976"/>
              <w:jc w:val="left"/>
              <w:rPr>
                <w:rFonts w:hint="eastAsia" w:ascii="宋体" w:hAnsi="宋体" w:eastAsia="宋体" w:cs="宋体"/>
                <w:sz w:val="24"/>
                <w:highlight w:val="none"/>
              </w:rPr>
            </w:pPr>
            <w:r>
              <w:rPr>
                <w:rFonts w:hint="eastAsia" w:ascii="宋体" w:hAnsi="宋体" w:eastAsia="宋体" w:cs="宋体"/>
                <w:sz w:val="24"/>
                <w:highlight w:val="none"/>
              </w:rPr>
              <w:t xml:space="preserve">注：有效投标报价为未被评标委员会判定为无效标的响应文件。</w:t>
            </w:r>
            <w:r>
              <w:rPr>
                <w:rFonts w:hint="eastAsia" w:ascii="宋体" w:hAnsi="宋体" w:eastAsia="宋体" w:cs="宋体"/>
                <w:sz w:val="24"/>
                <w:highlight w:val="none"/>
              </w:rPr>
            </w:r>
            <w:r/>
          </w:p>
        </w:tc>
      </w:tr>
      <w:tr>
        <w:trPr>
          <w:trHeight w:val="90"/>
        </w:trPr>
        <w:tc>
          <w:tcPr>
            <w:tcW w:w="948" w:type="dxa"/>
            <w:vAlign w:val="center"/>
            <w:vMerge w:val="restart"/>
            <w:textDirection w:val="lrTb"/>
            <w:noWrap w:val="false"/>
          </w:tcPr>
          <w:p>
            <w:pPr>
              <w:pStyle w:val="976"/>
              <w:jc w:val="both"/>
              <w:rPr>
                <w:rFonts w:hint="eastAsia" w:ascii="宋体" w:hAnsi="宋体" w:eastAsia="宋体" w:cs="宋体"/>
                <w:sz w:val="24"/>
                <w:highlight w:val="none"/>
              </w:rPr>
            </w:pPr>
            <w:r>
              <w:rPr>
                <w:rFonts w:hint="eastAsia" w:ascii="宋体" w:hAnsi="宋体" w:eastAsia="宋体" w:cs="宋体"/>
                <w:sz w:val="24"/>
                <w:highlight w:val="none"/>
              </w:rPr>
              <w:t xml:space="preserve">企业综合实力</w:t>
            </w:r>
            <w:r>
              <w:rPr>
                <w:rFonts w:hint="eastAsia" w:ascii="宋体" w:hAnsi="宋体" w:eastAsia="宋体" w:cs="宋体"/>
                <w:sz w:val="24"/>
                <w:highlight w:val="none"/>
              </w:rPr>
            </w:r>
            <w:r/>
          </w:p>
          <w:p>
            <w:pPr>
              <w:pStyle w:val="976"/>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32</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lang w:eastAsia="zh-CN"/>
              </w:rPr>
            </w:r>
            <w:r/>
          </w:p>
        </w:tc>
        <w:tc>
          <w:tcPr>
            <w:tcW w:w="1129" w:type="dxa"/>
            <w:vAlign w:val="center"/>
            <w:textDirection w:val="lrTb"/>
            <w:noWrap w:val="false"/>
          </w:tcPr>
          <w:p>
            <w:pPr>
              <w:pStyle w:val="976"/>
              <w:jc w:val="center"/>
              <w:rPr>
                <w:rFonts w:hint="eastAsia" w:ascii="宋体" w:hAnsi="宋体" w:eastAsia="宋体" w:cs="宋体"/>
                <w:sz w:val="24"/>
                <w:highlight w:val="none"/>
              </w:rPr>
            </w:pPr>
            <w:r>
              <w:rPr>
                <w:rFonts w:hint="eastAsia" w:ascii="宋体" w:hAnsi="宋体" w:eastAsia="宋体" w:cs="宋体"/>
                <w:sz w:val="24"/>
                <w:highlight w:val="none"/>
              </w:rPr>
              <w:t xml:space="preserve">企业业绩</w:t>
            </w:r>
            <w:r>
              <w:rPr>
                <w:rFonts w:hint="eastAsia" w:ascii="宋体" w:hAnsi="宋体" w:eastAsia="宋体" w:cs="宋体"/>
                <w:sz w:val="24"/>
                <w:highlight w:val="none"/>
              </w:rPr>
            </w:r>
            <w:r/>
          </w:p>
        </w:tc>
        <w:tc>
          <w:tcPr>
            <w:tcW w:w="1023" w:type="dxa"/>
            <w:vAlign w:val="center"/>
            <w:textDirection w:val="lrTb"/>
            <w:noWrap w:val="false"/>
          </w:tcPr>
          <w:p>
            <w:pPr>
              <w:pStyle w:val="976"/>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6921" w:type="dxa"/>
            <w:vAlign w:val="center"/>
            <w:textDirection w:val="lrTb"/>
            <w:noWrap w:val="false"/>
          </w:tcPr>
          <w:p>
            <w:pPr>
              <w:pStyle w:val="976"/>
              <w:ind w:firstLine="42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投标人20</w:t>
            </w:r>
            <w:r>
              <w:rPr>
                <w:rFonts w:hint="eastAsia" w:ascii="宋体" w:hAnsi="宋体" w:eastAsia="宋体" w:cs="宋体"/>
                <w:sz w:val="24"/>
                <w:highlight w:val="none"/>
                <w:lang w:val="en-US" w:eastAsia="zh-CN"/>
              </w:rPr>
              <w:t xml:space="preserve">22</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月1日以来承接过(以合同签订时间为准)类似项目业绩</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城市管理服务</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的，每提供一个得</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分，最高得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分，须提供</w:t>
            </w:r>
            <w:r>
              <w:rPr>
                <w:rFonts w:hint="eastAsia" w:ascii="宋体" w:hAnsi="宋体" w:eastAsia="宋体" w:cs="宋体"/>
                <w:sz w:val="24"/>
                <w:highlight w:val="none"/>
                <w:lang w:val="en-US" w:eastAsia="zh-CN"/>
              </w:rPr>
              <w:t xml:space="preserve">中标通知书</w:t>
            </w:r>
            <w:r>
              <w:rPr>
                <w:rFonts w:hint="eastAsia" w:ascii="宋体" w:hAnsi="宋体" w:eastAsia="宋体" w:cs="宋体"/>
                <w:sz w:val="24"/>
                <w:highlight w:val="none"/>
              </w:rPr>
              <w:t xml:space="preserve">原件扫描件</w:t>
            </w:r>
            <w:r>
              <w:rPr>
                <w:rFonts w:hint="eastAsia" w:ascii="宋体" w:hAnsi="宋体" w:eastAsia="宋体" w:cs="宋体"/>
                <w:sz w:val="24"/>
                <w:highlight w:val="none"/>
                <w:lang w:val="en-US" w:eastAsia="zh-CN"/>
              </w:rPr>
              <w:t xml:space="preserve">和</w:t>
            </w:r>
            <w:r>
              <w:rPr>
                <w:rFonts w:hint="eastAsia" w:ascii="宋体" w:hAnsi="宋体" w:eastAsia="宋体" w:cs="宋体"/>
                <w:sz w:val="24"/>
                <w:highlight w:val="none"/>
              </w:rPr>
              <w:t xml:space="preserve">合同原件扫描件，未提供或未按要求提供均不得分。</w:t>
            </w:r>
            <w:r>
              <w:rPr>
                <w:rFonts w:hint="eastAsia" w:ascii="宋体" w:hAnsi="宋体" w:eastAsia="宋体" w:cs="宋体"/>
                <w:sz w:val="24"/>
                <w:highlight w:val="none"/>
              </w:rPr>
            </w:r>
            <w:r/>
          </w:p>
          <w:p>
            <w:pPr>
              <w:pStyle w:val="976"/>
              <w:ind w:firstLine="420"/>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注：上述类似项目业绩是指与本项目内容相关的项目业绩，业绩材料中须体现甲乙双方单位名称、签订时间、项目内容，如未体现须出具业主证明，否则不得分。</w:t>
            </w:r>
            <w:r>
              <w:rPr>
                <w:rFonts w:hint="eastAsia" w:ascii="宋体" w:hAnsi="宋体" w:eastAsia="宋体" w:cs="宋体"/>
                <w:sz w:val="24"/>
                <w:highlight w:val="none"/>
              </w:rPr>
            </w:r>
            <w:r/>
          </w:p>
        </w:tc>
      </w:tr>
      <w:tr>
        <w:trPr>
          <w:trHeight w:val="2160"/>
        </w:trPr>
        <w:tc>
          <w:tcPr>
            <w:tcW w:w="948" w:type="dxa"/>
            <w:vAlign w:val="center"/>
            <w:vMerge w:val="continue"/>
            <w:textDirection w:val="lrTb"/>
            <w:noWrap w:val="false"/>
          </w:tcPr>
          <w:p>
            <w:pPr>
              <w:pStyle w:val="976"/>
              <w:jc w:val="left"/>
              <w:rPr>
                <w:rFonts w:hint="eastAsia" w:ascii="宋体" w:hAnsi="宋体" w:eastAsia="宋体" w:cs="宋体"/>
                <w:sz w:val="24"/>
                <w:highlight w:val="none"/>
              </w:rPr>
            </w:pPr>
            <w:r>
              <w:rPr>
                <w:rFonts w:hint="eastAsia" w:ascii="宋体" w:hAnsi="宋体" w:eastAsia="宋体" w:cs="宋体"/>
                <w:sz w:val="24"/>
                <w:highlight w:val="none"/>
              </w:rPr>
            </w:r>
            <w:r/>
          </w:p>
        </w:tc>
        <w:tc>
          <w:tcPr>
            <w:tcW w:w="1129" w:type="dxa"/>
            <w:vAlign w:val="center"/>
            <w:textDirection w:val="lrTb"/>
            <w:noWrap w:val="false"/>
          </w:tcPr>
          <w:p>
            <w:pPr>
              <w:pStyle w:val="976"/>
              <w:jc w:val="center"/>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人员配置</w:t>
            </w:r>
            <w:r>
              <w:rPr>
                <w:rFonts w:hint="eastAsia" w:ascii="宋体" w:hAnsi="宋体" w:eastAsia="宋体" w:cs="宋体"/>
                <w:sz w:val="24"/>
                <w:highlight w:val="none"/>
              </w:rPr>
            </w:r>
            <w:r/>
          </w:p>
          <w:p>
            <w:pPr>
              <w:pStyle w:val="976"/>
              <w:jc w:val="left"/>
              <w:rPr>
                <w:rFonts w:hint="eastAsia" w:ascii="宋体" w:hAnsi="宋体" w:eastAsia="宋体" w:cs="宋体"/>
                <w:sz w:val="24"/>
                <w:highlight w:val="none"/>
              </w:rPr>
            </w:pPr>
            <w:r>
              <w:rPr>
                <w:rFonts w:hint="eastAsia" w:ascii="宋体" w:hAnsi="宋体" w:eastAsia="宋体" w:cs="宋体"/>
                <w:sz w:val="24"/>
                <w:highlight w:val="none"/>
              </w:rPr>
            </w:r>
            <w:r/>
          </w:p>
        </w:tc>
        <w:tc>
          <w:tcPr>
            <w:tcW w:w="1023" w:type="dxa"/>
            <w:vAlign w:val="center"/>
            <w:textDirection w:val="lrTb"/>
            <w:noWrap w:val="false"/>
          </w:tcPr>
          <w:p>
            <w:pPr>
              <w:pStyle w:val="976"/>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6921" w:type="dxa"/>
            <w:vAlign w:val="center"/>
            <w:textDirection w:val="lrTb"/>
            <w:noWrap w:val="false"/>
          </w:tcPr>
          <w:p>
            <w:pPr>
              <w:pStyle w:val="988"/>
              <w:ind w:left="0" w:firstLine="240"/>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1.供应商拟派驻项目负责人具有保安员证书得2分，本项最高得2分；</w:t>
            </w:r>
            <w:r>
              <w:rPr>
                <w:rFonts w:hint="eastAsia" w:ascii="宋体" w:hAnsi="宋体" w:cs="宋体"/>
                <w:color w:val="000000"/>
                <w:sz w:val="24"/>
                <w:szCs w:val="24"/>
                <w:highlight w:val="none"/>
                <w:lang w:val="en-US" w:eastAsia="zh-CN" w:bidi="ar"/>
              </w:rPr>
            </w:r>
            <w:r/>
          </w:p>
          <w:p>
            <w:pPr>
              <w:pStyle w:val="988"/>
              <w:ind w:left="0" w:firstLine="240"/>
              <w:rPr>
                <w:rFonts w:hint="eastAsia" w:ascii="宋体" w:hAnsi="宋体" w:cs="宋体"/>
                <w:color w:val="000000"/>
                <w:sz w:val="24"/>
                <w:szCs w:val="24"/>
                <w:highlight w:val="none"/>
                <w:lang w:val="zh-CN" w:eastAsia="zh-CN" w:bidi="ar"/>
              </w:rPr>
            </w:pP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val="zh-CN" w:eastAsia="zh-CN" w:bidi="ar"/>
              </w:rPr>
              <w:t xml:space="preserve">项目组成员中(项目负责人除外)，每有一个具有保安员证书的得</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zh-CN" w:eastAsia="zh-CN" w:bidi="ar"/>
              </w:rPr>
              <w:t xml:space="preserve">分，</w:t>
            </w:r>
            <w:r>
              <w:rPr>
                <w:rFonts w:hint="eastAsia" w:ascii="宋体" w:hAnsi="宋体" w:cs="宋体"/>
                <w:color w:val="000000"/>
                <w:sz w:val="24"/>
                <w:szCs w:val="24"/>
                <w:highlight w:val="none"/>
                <w:lang w:val="en-US" w:eastAsia="zh-CN" w:bidi="ar"/>
              </w:rPr>
              <w:t xml:space="preserve">此项</w:t>
            </w:r>
            <w:r>
              <w:rPr>
                <w:rFonts w:hint="eastAsia" w:ascii="宋体" w:hAnsi="宋体" w:cs="宋体"/>
                <w:color w:val="000000"/>
                <w:sz w:val="24"/>
                <w:szCs w:val="24"/>
                <w:highlight w:val="none"/>
                <w:lang w:val="zh-CN" w:eastAsia="zh-CN" w:bidi="ar"/>
              </w:rPr>
              <w:t xml:space="preserve">最高得</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val="zh-CN" w:eastAsia="zh-CN" w:bidi="ar"/>
              </w:rPr>
              <w:t xml:space="preserve">分。</w:t>
            </w:r>
            <w:r>
              <w:rPr>
                <w:rFonts w:hint="eastAsia" w:ascii="宋体" w:hAnsi="宋体" w:cs="宋体"/>
                <w:color w:val="000000"/>
                <w:sz w:val="24"/>
                <w:szCs w:val="24"/>
                <w:highlight w:val="none"/>
                <w:lang w:val="zh-CN" w:eastAsia="zh-CN" w:bidi="ar"/>
              </w:rPr>
            </w:r>
            <w:r/>
          </w:p>
          <w:p>
            <w:pPr>
              <w:pStyle w:val="988"/>
              <w:ind w:left="0" w:firstLine="240"/>
              <w:rPr>
                <w:rFonts w:hint="eastAsia" w:ascii="宋体" w:hAnsi="宋体" w:eastAsia="宋体" w:cs="宋体"/>
                <w:color w:val="000000"/>
                <w:sz w:val="24"/>
                <w:szCs w:val="24"/>
                <w:highlight w:val="none"/>
                <w:lang w:val="zh-CN" w:eastAsia="zh-CN" w:bidi="ar"/>
              </w:rPr>
            </w:pPr>
            <w:r>
              <w:rPr>
                <w:rFonts w:hint="eastAsia" w:ascii="宋体" w:hAnsi="宋体" w:cs="宋体"/>
                <w:color w:val="000000"/>
                <w:sz w:val="24"/>
                <w:szCs w:val="24"/>
                <w:highlight w:val="none"/>
                <w:lang w:val="en-US" w:eastAsia="zh-CN" w:bidi="ar"/>
              </w:rPr>
              <w:t xml:space="preserve">以上人员</w:t>
            </w:r>
            <w:r>
              <w:rPr>
                <w:rFonts w:hint="eastAsia" w:ascii="宋体" w:hAnsi="宋体" w:cs="宋体"/>
                <w:color w:val="000000"/>
                <w:sz w:val="24"/>
                <w:szCs w:val="24"/>
                <w:highlight w:val="none"/>
                <w:lang w:val="zh-CN" w:eastAsia="zh-CN" w:bidi="ar"/>
              </w:rPr>
              <w:t xml:space="preserve">投标时</w:t>
            </w:r>
            <w:r>
              <w:rPr>
                <w:rFonts w:hint="eastAsia" w:ascii="宋体" w:hAnsi="宋体" w:cs="宋体"/>
                <w:color w:val="000000"/>
                <w:sz w:val="24"/>
                <w:szCs w:val="24"/>
                <w:highlight w:val="none"/>
                <w:lang w:val="en-US" w:eastAsia="zh-CN" w:bidi="ar"/>
              </w:rPr>
              <w:t xml:space="preserve">提供有效期内的证书原件扫描件和在开标之日前3个月内任意1个月在投标单位缴纳社保的相关证明材料，</w:t>
            </w:r>
            <w:r>
              <w:rPr>
                <w:rFonts w:hint="eastAsia" w:ascii="宋体" w:hAnsi="宋体" w:cs="宋体"/>
                <w:color w:val="000000"/>
                <w:sz w:val="24"/>
                <w:szCs w:val="24"/>
                <w:highlight w:val="none"/>
                <w:lang w:val="zh-CN" w:eastAsia="zh-CN" w:bidi="ar"/>
              </w:rPr>
              <w:t xml:space="preserve">未提供不得分。</w:t>
            </w:r>
            <w:r>
              <w:rPr>
                <w:rFonts w:hint="eastAsia" w:ascii="宋体" w:hAnsi="宋体" w:eastAsia="宋体" w:cs="宋体"/>
                <w:color w:val="000000"/>
                <w:sz w:val="24"/>
                <w:szCs w:val="24"/>
                <w:highlight w:val="none"/>
                <w:lang w:val="zh-CN" w:eastAsia="zh-CN" w:bidi="ar"/>
              </w:rPr>
            </w:r>
            <w:r/>
          </w:p>
        </w:tc>
      </w:tr>
      <w:tr>
        <w:trPr>
          <w:trHeight w:val="90"/>
        </w:trPr>
        <w:tc>
          <w:tcPr>
            <w:tcW w:w="948" w:type="dxa"/>
            <w:vAlign w:val="center"/>
            <w:vMerge w:val="continue"/>
            <w:textDirection w:val="lrTb"/>
            <w:noWrap w:val="false"/>
          </w:tcPr>
          <w:p>
            <w:pPr>
              <w:pStyle w:val="976"/>
              <w:jc w:val="left"/>
              <w:rPr>
                <w:rFonts w:hint="eastAsia" w:ascii="宋体" w:hAnsi="宋体" w:eastAsia="宋体" w:cs="宋体"/>
                <w:sz w:val="24"/>
                <w:highlight w:val="none"/>
              </w:rPr>
            </w:pPr>
            <w:r>
              <w:rPr>
                <w:rFonts w:hint="eastAsia" w:ascii="宋体" w:hAnsi="宋体" w:eastAsia="宋体" w:cs="宋体"/>
                <w:sz w:val="24"/>
                <w:highlight w:val="none"/>
              </w:rPr>
            </w:r>
            <w:r/>
          </w:p>
        </w:tc>
        <w:tc>
          <w:tcPr>
            <w:tcW w:w="1129" w:type="dxa"/>
            <w:vAlign w:val="center"/>
            <w:vMerge w:val="restart"/>
            <w:textDirection w:val="lrTb"/>
            <w:noWrap w:val="false"/>
          </w:tcPr>
          <w:p>
            <w:pPr>
              <w:pStyle w:val="976"/>
              <w:ind w:left="240" w:hanging="240"/>
              <w:jc w:val="center"/>
              <w:spacing w:line="48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企业</w:t>
            </w:r>
            <w:r>
              <w:rPr>
                <w:rFonts w:hint="eastAsia" w:ascii="宋体" w:hAnsi="宋体" w:eastAsia="宋体" w:cs="宋体"/>
                <w:bCs/>
                <w:sz w:val="24"/>
                <w:highlight w:val="none"/>
              </w:rPr>
            </w:r>
            <w:r/>
          </w:p>
          <w:p>
            <w:pPr>
              <w:pStyle w:val="976"/>
              <w:ind w:left="240" w:hanging="240"/>
              <w:jc w:val="center"/>
              <w:spacing w:line="48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实力</w:t>
            </w:r>
            <w:r>
              <w:rPr>
                <w:rFonts w:hint="eastAsia" w:ascii="宋体" w:hAnsi="宋体" w:eastAsia="宋体" w:cs="宋体"/>
                <w:bCs/>
                <w:sz w:val="24"/>
                <w:highlight w:val="none"/>
              </w:rPr>
            </w:r>
            <w:r/>
          </w:p>
        </w:tc>
        <w:tc>
          <w:tcPr>
            <w:tcW w:w="1023" w:type="dxa"/>
            <w:vAlign w:val="center"/>
            <w:vMerge w:val="restart"/>
            <w:textDirection w:val="lrTb"/>
            <w:noWrap w:val="false"/>
          </w:tcPr>
          <w:p>
            <w:pPr>
              <w:pStyle w:val="976"/>
              <w:jc w:val="center"/>
              <w:rPr>
                <w:rFonts w:hint="eastAsia" w:ascii="宋体" w:hAnsi="宋体" w:eastAsia="宋体" w:cs="宋体"/>
                <w:sz w:val="24"/>
                <w:highlight w:val="none"/>
              </w:rPr>
            </w:pP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6921" w:type="dxa"/>
            <w:vAlign w:val="center"/>
            <w:textDirection w:val="lrTb"/>
            <w:noWrap w:val="false"/>
          </w:tcPr>
          <w:p>
            <w:pPr>
              <w:pStyle w:val="988"/>
              <w:ind w:left="0" w:firstLine="240"/>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bidi="ar"/>
              </w:rPr>
              <w:t xml:space="preserve">供应商</w:t>
            </w:r>
            <w:r>
              <w:rPr>
                <w:rFonts w:hint="eastAsia" w:ascii="宋体" w:hAnsi="宋体" w:eastAsia="宋体" w:cs="宋体"/>
                <w:color w:val="000000"/>
                <w:sz w:val="24"/>
                <w:szCs w:val="24"/>
                <w:highlight w:val="none"/>
                <w:lang w:eastAsia="zh-CN" w:bidi="ar"/>
              </w:rPr>
              <w:t xml:space="preserve">具有国家认监委批准设立的认证机构颁发并在有效期内的质量管理体系认证证书、环境管理体系认证证书、职业健康安全管理体系</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每</w:t>
            </w:r>
            <w:r>
              <w:rPr>
                <w:rFonts w:hint="eastAsia" w:ascii="宋体" w:hAnsi="宋体" w:eastAsia="宋体" w:cs="宋体"/>
                <w:sz w:val="24"/>
                <w:szCs w:val="24"/>
                <w:highlight w:val="none"/>
              </w:rPr>
              <w:t xml:space="preserve">有一个得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分，此项最多得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分。(投标时提供网站截图和证书原件扫描件</w:t>
            </w:r>
            <w:r>
              <w:rPr>
                <w:rFonts w:hint="eastAsia" w:ascii="宋体" w:hAnsi="宋体" w:eastAsia="宋体" w:cs="宋体"/>
                <w:color w:val="000000"/>
                <w:sz w:val="24"/>
                <w:szCs w:val="24"/>
                <w:highlight w:val="none"/>
                <w:lang w:val="en-US" w:eastAsia="zh-CN" w:bidi="ar"/>
              </w:rPr>
              <w:t xml:space="preserve">及国家认证认可监督管理委员会官方网站查询截图，缺一均不得分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90"/>
        </w:trPr>
        <w:tc>
          <w:tcPr>
            <w:tcW w:w="948" w:type="dxa"/>
            <w:vAlign w:val="center"/>
            <w:textDirection w:val="lrTb"/>
            <w:noWrap w:val="false"/>
          </w:tcPr>
          <w:p>
            <w:pPr>
              <w:pStyle w:val="976"/>
              <w:jc w:val="left"/>
              <w:rPr>
                <w:rFonts w:hint="eastAsia" w:ascii="宋体" w:hAnsi="宋体" w:eastAsia="宋体" w:cs="宋体"/>
                <w:sz w:val="24"/>
                <w:highlight w:val="none"/>
              </w:rPr>
            </w:pPr>
            <w:r>
              <w:rPr>
                <w:rFonts w:hint="eastAsia" w:ascii="宋体" w:hAnsi="宋体" w:eastAsia="宋体" w:cs="宋体"/>
                <w:sz w:val="24"/>
                <w:highlight w:val="none"/>
              </w:rPr>
            </w:r>
            <w:r/>
          </w:p>
        </w:tc>
        <w:tc>
          <w:tcPr>
            <w:tcW w:w="1129" w:type="dxa"/>
            <w:vAlign w:val="center"/>
            <w:vMerge w:val="continue"/>
            <w:textDirection w:val="lrTb"/>
            <w:noWrap w:val="false"/>
          </w:tcPr>
          <w:p>
            <w:pPr>
              <w:pStyle w:val="976"/>
              <w:ind w:left="240" w:hanging="240"/>
              <w:jc w:val="center"/>
              <w:spacing w:line="480" w:lineRule="exact"/>
              <w:rPr>
                <w:rFonts w:hint="eastAsia" w:ascii="宋体" w:hAnsi="宋体" w:eastAsia="宋体" w:cs="宋体"/>
                <w:bCs/>
                <w:sz w:val="24"/>
                <w:highlight w:val="none"/>
              </w:rPr>
            </w:pPr>
            <w:r>
              <w:rPr>
                <w:rFonts w:hint="eastAsia" w:ascii="宋体" w:hAnsi="宋体" w:eastAsia="宋体" w:cs="宋体"/>
                <w:bCs/>
                <w:sz w:val="24"/>
                <w:highlight w:val="none"/>
              </w:rPr>
            </w:r>
            <w:r/>
          </w:p>
        </w:tc>
        <w:tc>
          <w:tcPr>
            <w:tcW w:w="1023" w:type="dxa"/>
            <w:vAlign w:val="center"/>
            <w:vMerge w:val="continue"/>
            <w:textDirection w:val="lrTb"/>
            <w:noWrap w:val="false"/>
          </w:tcPr>
          <w:p>
            <w:pPr>
              <w:pStyle w:val="976"/>
              <w:jc w:val="center"/>
              <w:rPr>
                <w:rFonts w:hint="eastAsia" w:ascii="宋体" w:hAnsi="宋体" w:cs="宋体"/>
                <w:sz w:val="24"/>
                <w:highlight w:val="none"/>
                <w:lang w:val="en-US" w:eastAsia="zh-CN"/>
              </w:rPr>
            </w:pPr>
            <w:r>
              <w:rPr>
                <w:rFonts w:hint="eastAsia" w:ascii="宋体" w:hAnsi="宋体" w:cs="宋体"/>
                <w:sz w:val="24"/>
                <w:highlight w:val="none"/>
                <w:lang w:val="en-US" w:eastAsia="zh-CN"/>
              </w:rPr>
            </w:r>
            <w:r/>
          </w:p>
        </w:tc>
        <w:tc>
          <w:tcPr>
            <w:tcW w:w="6921" w:type="dxa"/>
            <w:vAlign w:val="center"/>
            <w:textDirection w:val="lrTb"/>
            <w:noWrap w:val="false"/>
          </w:tcPr>
          <w:p>
            <w:pPr>
              <w:pStyle w:val="988"/>
              <w:ind w:left="0" w:firstLine="240"/>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投标人或项目负责人自2021年1月1日以来（以发证日期为准）获得政府部门表彰的，县（区）级得1分、地市级得2分、省级及以上的3分。此项满分6分。（以提供的荣誉证书或奖状或获奖文件为依据） 须提供材料原件彩色扫描件，不提供不得分。</w:t>
            </w:r>
            <w:r>
              <w:rPr>
                <w:rFonts w:hint="eastAsia" w:ascii="宋体" w:hAnsi="宋体" w:cs="宋体"/>
                <w:color w:val="000000"/>
                <w:sz w:val="24"/>
                <w:szCs w:val="24"/>
                <w:highlight w:val="none"/>
                <w:lang w:val="en-US" w:eastAsia="zh-CN" w:bidi="ar"/>
              </w:rPr>
            </w:r>
            <w:r/>
          </w:p>
        </w:tc>
      </w:tr>
      <w:tr>
        <w:trPr>
          <w:trHeight w:val="964"/>
        </w:trPr>
        <w:tc>
          <w:tcPr>
            <w:tcW w:w="948" w:type="dxa"/>
            <w:vAlign w:val="center"/>
            <w:textDirection w:val="lrTb"/>
            <w:noWrap w:val="false"/>
          </w:tcPr>
          <w:p>
            <w:pPr>
              <w:pStyle w:val="976"/>
              <w:jc w:val="left"/>
              <w:rPr>
                <w:rFonts w:hint="eastAsia" w:ascii="宋体" w:hAnsi="宋体" w:eastAsia="宋体" w:cs="宋体"/>
                <w:sz w:val="24"/>
                <w:highlight w:val="none"/>
              </w:rPr>
            </w:pPr>
            <w:r>
              <w:rPr>
                <w:rFonts w:hint="eastAsia" w:ascii="宋体" w:hAnsi="宋体" w:eastAsia="宋体" w:cs="宋体"/>
                <w:sz w:val="24"/>
                <w:highlight w:val="none"/>
              </w:rPr>
            </w:r>
            <w:r/>
          </w:p>
        </w:tc>
        <w:tc>
          <w:tcPr>
            <w:tcW w:w="1129" w:type="dxa"/>
            <w:vAlign w:val="center"/>
            <w:textDirection w:val="lrTb"/>
            <w:noWrap w:val="false"/>
          </w:tcPr>
          <w:p>
            <w:pPr>
              <w:pStyle w:val="976"/>
              <w:ind w:left="240" w:hanging="240"/>
              <w:jc w:val="center"/>
              <w:spacing w:line="480" w:lineRule="exact"/>
              <w:rPr>
                <w:rFonts w:hint="eastAsia" w:ascii="宋体" w:hAnsi="宋体" w:eastAsia="宋体" w:cs="宋体"/>
                <w:bCs/>
                <w:sz w:val="24"/>
                <w:highlight w:val="none"/>
              </w:rPr>
            </w:pPr>
            <w:r>
              <w:rPr>
                <w:rFonts w:hint="eastAsia" w:ascii="宋体" w:hAnsi="宋体" w:eastAsia="宋体" w:cs="宋体"/>
                <w:b w:val="0"/>
                <w:bCs w:val="0"/>
                <w:color w:val="000000"/>
                <w:sz w:val="24"/>
                <w:szCs w:val="24"/>
                <w:highlight w:val="none"/>
                <w:lang w:val="en-US" w:eastAsia="zh-CN"/>
              </w:rPr>
              <w:t xml:space="preserve">机械设备</w:t>
            </w:r>
            <w:r>
              <w:rPr>
                <w:rFonts w:hint="eastAsia" w:ascii="宋体" w:hAnsi="宋体" w:eastAsia="宋体" w:cs="宋体"/>
                <w:bCs/>
                <w:sz w:val="24"/>
                <w:highlight w:val="none"/>
              </w:rPr>
            </w:r>
            <w:r/>
          </w:p>
        </w:tc>
        <w:tc>
          <w:tcPr>
            <w:tcW w:w="1023" w:type="dxa"/>
            <w:vAlign w:val="center"/>
            <w:textDirection w:val="lrTb"/>
            <w:noWrap w:val="false"/>
          </w:tcPr>
          <w:p>
            <w:pPr>
              <w:pStyle w:val="976"/>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10分</w:t>
            </w:r>
            <w:r>
              <w:rPr>
                <w:rFonts w:hint="eastAsia" w:ascii="宋体" w:hAnsi="宋体" w:eastAsia="宋体" w:cs="宋体"/>
                <w:sz w:val="24"/>
                <w:highlight w:val="none"/>
                <w:lang w:val="en-US" w:eastAsia="zh-CN"/>
              </w:rPr>
            </w:r>
            <w:r/>
          </w:p>
        </w:tc>
        <w:tc>
          <w:tcPr>
            <w:tcW w:w="6921" w:type="dxa"/>
            <w:vAlign w:val="center"/>
            <w:textDirection w:val="lrTb"/>
            <w:noWrap w:val="false"/>
          </w:tcPr>
          <w:p>
            <w:pPr>
              <w:pStyle w:val="988"/>
              <w:ind w:left="0" w:firstLine="240"/>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bidi="ar"/>
              </w:rPr>
              <w:t xml:space="preserve">供应商针对本项目投入</w:t>
            </w:r>
            <w:r>
              <w:rPr>
                <w:rFonts w:hint="eastAsia" w:ascii="宋体" w:hAnsi="宋体" w:eastAsia="宋体" w:cs="宋体"/>
                <w:color w:val="000000"/>
                <w:sz w:val="24"/>
                <w:szCs w:val="24"/>
                <w:highlight w:val="none"/>
                <w:lang w:val="en-US" w:eastAsia="zh-CN" w:bidi="ar"/>
              </w:rPr>
              <w:t xml:space="preserve">执法仪5只以上的，</w:t>
            </w:r>
            <w:r>
              <w:rPr>
                <w:rFonts w:hint="eastAsia" w:ascii="宋体" w:hAnsi="宋体" w:eastAsia="宋体" w:cs="宋体"/>
                <w:color w:val="000000"/>
                <w:sz w:val="24"/>
                <w:szCs w:val="24"/>
                <w:highlight w:val="none"/>
                <w:lang w:eastAsia="zh-CN" w:bidi="ar"/>
              </w:rPr>
              <w:t xml:space="preserve">每</w:t>
            </w:r>
            <w:r>
              <w:rPr>
                <w:rFonts w:hint="eastAsia" w:ascii="宋体" w:hAnsi="宋体" w:eastAsia="宋体" w:cs="宋体"/>
                <w:color w:val="000000"/>
                <w:sz w:val="24"/>
                <w:szCs w:val="24"/>
                <w:highlight w:val="none"/>
                <w:lang w:val="en-US" w:eastAsia="zh-CN" w:bidi="ar"/>
              </w:rPr>
              <w:t xml:space="preserve">多</w:t>
            </w:r>
            <w:r>
              <w:rPr>
                <w:rFonts w:hint="eastAsia" w:ascii="宋体" w:hAnsi="宋体" w:eastAsia="宋体" w:cs="宋体"/>
                <w:color w:val="000000"/>
                <w:sz w:val="24"/>
                <w:szCs w:val="24"/>
                <w:highlight w:val="none"/>
                <w:lang w:eastAsia="zh-CN" w:bidi="ar"/>
              </w:rPr>
              <w:t xml:space="preserve">提供1</w:t>
            </w:r>
            <w:r>
              <w:rPr>
                <w:rFonts w:hint="eastAsia" w:ascii="宋体" w:hAnsi="宋体" w:eastAsia="宋体" w:cs="宋体"/>
                <w:color w:val="000000"/>
                <w:sz w:val="24"/>
                <w:szCs w:val="24"/>
                <w:highlight w:val="none"/>
                <w:lang w:val="en-US" w:eastAsia="zh-CN" w:bidi="ar"/>
              </w:rPr>
              <w:t xml:space="preserve">只</w:t>
            </w:r>
            <w:r>
              <w:rPr>
                <w:rFonts w:hint="eastAsia" w:ascii="宋体" w:hAnsi="宋体" w:eastAsia="宋体" w:cs="宋体"/>
                <w:color w:val="000000"/>
                <w:sz w:val="24"/>
                <w:szCs w:val="24"/>
                <w:highlight w:val="none"/>
                <w:lang w:eastAsia="zh-CN" w:bidi="ar"/>
              </w:rPr>
              <w:t xml:space="preserve">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bidi="ar"/>
              </w:rPr>
              <w:t xml:space="preserve">分，最多得</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eastAsia="zh-CN" w:bidi="ar"/>
              </w:rPr>
              <w:t xml:space="preserve">分。（</w:t>
            </w:r>
            <w:r>
              <w:rPr>
                <w:rFonts w:hint="eastAsia" w:ascii="宋体" w:hAnsi="宋体" w:eastAsia="宋体" w:cs="宋体"/>
                <w:color w:val="000000"/>
                <w:sz w:val="24"/>
                <w:szCs w:val="24"/>
                <w:highlight w:val="none"/>
                <w:lang w:val="en-US" w:eastAsia="zh-CN" w:bidi="ar"/>
              </w:rPr>
              <w:t xml:space="preserve">例如：投标人提供7只执法仪评分要求的资料，则其中5只为基本求不参与计分，另2只参与计分，共</w:t>
            </w:r>
            <w:r>
              <w:rPr>
                <w:rFonts w:hint="eastAsia" w:ascii="宋体" w:hAnsi="宋体" w:eastAsia="宋体" w:cs="宋体"/>
                <w:color w:val="000000"/>
                <w:sz w:val="24"/>
                <w:szCs w:val="24"/>
                <w:highlight w:val="none"/>
                <w:lang w:eastAsia="zh-CN" w:bidi="ar"/>
              </w:rPr>
              <w:t xml:space="preserve">得</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eastAsia="zh-CN" w:bidi="ar"/>
              </w:rPr>
              <w:t xml:space="preserve">分</w:t>
            </w:r>
            <w:r>
              <w:rPr>
                <w:rFonts w:hint="eastAsia" w:ascii="宋体" w:hAnsi="宋体" w:eastAsia="宋体" w:cs="宋体"/>
                <w:color w:val="000000"/>
                <w:sz w:val="24"/>
                <w:szCs w:val="24"/>
                <w:highlight w:val="none"/>
                <w:lang w:val="en-US" w:eastAsia="zh-CN" w:bidi="ar"/>
              </w:rPr>
              <w:t xml:space="preserve">，如仅提供5只评分要求的资料或未提供资料则不得分，下同</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88"/>
              <w:ind w:left="0" w:firstLine="240"/>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eastAsia="zh-CN" w:bidi="ar"/>
              </w:rPr>
              <w:t xml:space="preserve">供应商针对本项目投入</w:t>
            </w:r>
            <w:r>
              <w:rPr>
                <w:rFonts w:hint="eastAsia" w:ascii="宋体" w:hAnsi="宋体" w:eastAsia="宋体" w:cs="宋体"/>
                <w:color w:val="000000"/>
                <w:sz w:val="24"/>
                <w:szCs w:val="24"/>
                <w:highlight w:val="none"/>
                <w:lang w:val="en-US" w:eastAsia="zh-CN" w:bidi="ar"/>
              </w:rPr>
              <w:t xml:space="preserve">对讲机10只以上的</w:t>
            </w:r>
            <w:r>
              <w:rPr>
                <w:rFonts w:hint="eastAsia" w:ascii="宋体" w:hAnsi="宋体" w:eastAsia="宋体" w:cs="宋体"/>
                <w:color w:val="000000"/>
                <w:sz w:val="24"/>
                <w:szCs w:val="24"/>
                <w:highlight w:val="none"/>
                <w:lang w:eastAsia="zh-CN" w:bidi="ar"/>
              </w:rPr>
              <w:t xml:space="preserve">，每</w:t>
            </w:r>
            <w:r>
              <w:rPr>
                <w:rFonts w:hint="eastAsia" w:ascii="宋体" w:hAnsi="宋体" w:eastAsia="宋体" w:cs="宋体"/>
                <w:color w:val="000000"/>
                <w:sz w:val="24"/>
                <w:szCs w:val="24"/>
                <w:highlight w:val="none"/>
                <w:lang w:val="en-US" w:eastAsia="zh-CN" w:bidi="ar"/>
              </w:rPr>
              <w:t xml:space="preserve">多</w:t>
            </w:r>
            <w:r>
              <w:rPr>
                <w:rFonts w:hint="eastAsia" w:ascii="宋体" w:hAnsi="宋体" w:eastAsia="宋体" w:cs="宋体"/>
                <w:color w:val="000000"/>
                <w:sz w:val="24"/>
                <w:szCs w:val="24"/>
                <w:highlight w:val="none"/>
                <w:lang w:eastAsia="zh-CN" w:bidi="ar"/>
              </w:rPr>
              <w:t xml:space="preserve">提供</w:t>
            </w:r>
            <w:r>
              <w:rPr>
                <w:rFonts w:hint="eastAsia" w:ascii="宋体" w:hAnsi="宋体" w:eastAsia="宋体" w:cs="宋体"/>
                <w:color w:val="000000"/>
                <w:sz w:val="24"/>
                <w:szCs w:val="24"/>
                <w:highlight w:val="none"/>
                <w:lang w:val="en-US" w:eastAsia="zh-CN" w:bidi="ar"/>
              </w:rPr>
              <w:t xml:space="preserve">1只</w:t>
            </w:r>
            <w:r>
              <w:rPr>
                <w:rFonts w:hint="eastAsia" w:ascii="宋体" w:hAnsi="宋体" w:eastAsia="宋体" w:cs="宋体"/>
                <w:color w:val="000000"/>
                <w:sz w:val="24"/>
                <w:szCs w:val="24"/>
                <w:highlight w:val="none"/>
                <w:lang w:eastAsia="zh-CN" w:bidi="ar"/>
              </w:rPr>
              <w:t xml:space="preserve">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bidi="ar"/>
              </w:rPr>
              <w:t xml:space="preserve">分，最多得</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eastAsia="zh-CN" w:bidi="ar"/>
              </w:rPr>
              <w:t xml:space="preserve">分。</w:t>
            </w:r>
            <w:r>
              <w:rPr>
                <w:rFonts w:hint="eastAsia" w:ascii="宋体" w:hAnsi="宋体" w:eastAsia="宋体" w:cs="宋体"/>
                <w:color w:val="000000"/>
                <w:sz w:val="24"/>
                <w:szCs w:val="24"/>
                <w:highlight w:val="none"/>
                <w:lang w:eastAsia="zh-CN" w:bidi="ar"/>
              </w:rPr>
            </w:r>
            <w:r/>
          </w:p>
          <w:p>
            <w:pPr>
              <w:pStyle w:val="988"/>
              <w:ind w:left="0" w:firstLine="240"/>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注：上述</w:t>
            </w:r>
            <w:r>
              <w:rPr>
                <w:rFonts w:hint="eastAsia" w:ascii="宋体" w:hAnsi="宋体" w:eastAsia="宋体" w:cs="宋体"/>
                <w:color w:val="000000"/>
                <w:sz w:val="24"/>
                <w:szCs w:val="24"/>
                <w:highlight w:val="none"/>
                <w:lang w:eastAsia="zh-CN" w:bidi="ar"/>
              </w:rPr>
              <w:t xml:space="preserve">设备</w:t>
            </w:r>
            <w:r>
              <w:rPr>
                <w:rFonts w:hint="eastAsia" w:ascii="宋体" w:hAnsi="宋体" w:eastAsia="宋体" w:cs="宋体"/>
                <w:color w:val="000000"/>
                <w:sz w:val="24"/>
                <w:szCs w:val="24"/>
                <w:highlight w:val="none"/>
                <w:lang w:val="en-US" w:eastAsia="zh-CN" w:bidi="ar"/>
              </w:rPr>
              <w:t xml:space="preserve">如为自有须提供</w:t>
            </w:r>
            <w:r>
              <w:rPr>
                <w:rFonts w:hint="eastAsia" w:ascii="宋体" w:hAnsi="宋体" w:eastAsia="宋体" w:cs="宋体"/>
                <w:color w:val="000000"/>
                <w:sz w:val="24"/>
                <w:szCs w:val="24"/>
                <w:highlight w:val="none"/>
                <w:lang w:eastAsia="zh-CN" w:bidi="ar"/>
              </w:rPr>
              <w:t xml:space="preserve">：设备图片、购置发票原件</w:t>
            </w:r>
            <w:r>
              <w:rPr>
                <w:rFonts w:hint="eastAsia" w:ascii="宋体" w:hAnsi="宋体" w:eastAsia="宋体" w:cs="宋体"/>
                <w:color w:val="000000"/>
                <w:sz w:val="24"/>
                <w:szCs w:val="24"/>
                <w:highlight w:val="none"/>
                <w:lang w:val="en-US" w:eastAsia="zh-CN" w:bidi="ar"/>
              </w:rPr>
              <w:t xml:space="preserve">彩色</w:t>
            </w:r>
            <w:r>
              <w:rPr>
                <w:rFonts w:hint="eastAsia" w:ascii="宋体" w:hAnsi="宋体" w:eastAsia="宋体" w:cs="宋体"/>
                <w:color w:val="000000"/>
                <w:sz w:val="24"/>
                <w:szCs w:val="24"/>
                <w:highlight w:val="none"/>
                <w:lang w:eastAsia="zh-CN" w:bidi="ar"/>
              </w:rPr>
              <w:t xml:space="preserve">扫描件。</w:t>
            </w:r>
            <w:r>
              <w:rPr>
                <w:rFonts w:hint="eastAsia" w:ascii="宋体" w:hAnsi="宋体" w:eastAsia="宋体" w:cs="宋体"/>
                <w:color w:val="000000"/>
                <w:sz w:val="24"/>
                <w:szCs w:val="24"/>
                <w:highlight w:val="none"/>
                <w:lang w:val="en-US" w:eastAsia="zh-CN" w:bidi="ar"/>
              </w:rPr>
              <w:t xml:space="preserve">上述</w:t>
            </w:r>
            <w:r>
              <w:rPr>
                <w:rFonts w:hint="eastAsia" w:ascii="宋体" w:hAnsi="宋体" w:eastAsia="宋体" w:cs="宋体"/>
                <w:color w:val="000000"/>
                <w:sz w:val="24"/>
                <w:szCs w:val="24"/>
                <w:highlight w:val="none"/>
                <w:lang w:eastAsia="zh-CN" w:bidi="ar"/>
              </w:rPr>
              <w:t xml:space="preserve">设备</w:t>
            </w:r>
            <w:r>
              <w:rPr>
                <w:rFonts w:hint="eastAsia" w:ascii="宋体" w:hAnsi="宋体" w:eastAsia="宋体" w:cs="宋体"/>
                <w:color w:val="000000"/>
                <w:sz w:val="24"/>
                <w:szCs w:val="24"/>
                <w:highlight w:val="none"/>
                <w:lang w:val="en-US" w:eastAsia="zh-CN" w:bidi="ar"/>
              </w:rPr>
              <w:t xml:space="preserve">如为租赁须提供</w:t>
            </w:r>
            <w:r>
              <w:rPr>
                <w:rFonts w:hint="eastAsia" w:ascii="宋体" w:hAnsi="宋体" w:eastAsia="宋体" w:cs="宋体"/>
                <w:color w:val="000000"/>
                <w:sz w:val="24"/>
                <w:szCs w:val="24"/>
                <w:highlight w:val="none"/>
                <w:lang w:eastAsia="zh-CN" w:bidi="ar"/>
              </w:rPr>
              <w:t xml:space="preserve">：设备图片、租赁协议</w:t>
            </w:r>
            <w:r>
              <w:rPr>
                <w:rFonts w:hint="eastAsia" w:ascii="宋体" w:hAnsi="宋体" w:eastAsia="宋体" w:cs="宋体"/>
                <w:color w:val="000000"/>
                <w:sz w:val="24"/>
                <w:szCs w:val="24"/>
                <w:highlight w:val="none"/>
                <w:lang w:val="en-US" w:eastAsia="zh-CN" w:bidi="ar"/>
              </w:rPr>
              <w:t xml:space="preserve">（租赁期限须覆盖本项目服务期限）</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租赁</w:t>
            </w:r>
            <w:r>
              <w:rPr>
                <w:rFonts w:hint="eastAsia" w:ascii="宋体" w:hAnsi="宋体" w:eastAsia="宋体" w:cs="宋体"/>
                <w:color w:val="000000"/>
                <w:sz w:val="24"/>
                <w:szCs w:val="24"/>
                <w:highlight w:val="none"/>
                <w:lang w:eastAsia="zh-CN" w:bidi="ar"/>
              </w:rPr>
              <w:t xml:space="preserve">发票原件</w:t>
            </w:r>
            <w:r>
              <w:rPr>
                <w:rFonts w:hint="eastAsia" w:ascii="宋体" w:hAnsi="宋体" w:eastAsia="宋体" w:cs="宋体"/>
                <w:color w:val="000000"/>
                <w:sz w:val="24"/>
                <w:szCs w:val="24"/>
                <w:highlight w:val="none"/>
                <w:lang w:val="en-US" w:eastAsia="zh-CN" w:bidi="ar"/>
              </w:rPr>
              <w:t xml:space="preserve">彩色</w:t>
            </w:r>
            <w:r>
              <w:rPr>
                <w:rFonts w:hint="eastAsia" w:ascii="宋体" w:hAnsi="宋体" w:eastAsia="宋体" w:cs="宋体"/>
                <w:color w:val="000000"/>
                <w:sz w:val="24"/>
                <w:szCs w:val="24"/>
                <w:highlight w:val="none"/>
                <w:lang w:eastAsia="zh-CN" w:bidi="ar"/>
              </w:rPr>
              <w:t xml:space="preserve">扫描件，</w:t>
            </w:r>
            <w:r>
              <w:rPr>
                <w:rFonts w:hint="eastAsia" w:ascii="宋体" w:hAnsi="宋体" w:eastAsia="宋体" w:cs="宋体"/>
                <w:color w:val="000000"/>
                <w:sz w:val="24"/>
                <w:szCs w:val="24"/>
                <w:highlight w:val="none"/>
                <w:lang w:val="en-US" w:eastAsia="zh-CN" w:bidi="ar"/>
              </w:rPr>
              <w:t xml:space="preserve">不提供或提供不全的不得分。</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r>
            <w:r/>
          </w:p>
          <w:p>
            <w:pPr>
              <w:pStyle w:val="988"/>
              <w:ind w:left="0" w:firstLine="240"/>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t xml:space="preserve">供应商针对本项目投入</w:t>
            </w:r>
            <w:r>
              <w:rPr>
                <w:rFonts w:hint="eastAsia" w:ascii="宋体" w:hAnsi="宋体" w:eastAsia="宋体" w:cs="宋体"/>
                <w:color w:val="000000"/>
                <w:sz w:val="24"/>
                <w:szCs w:val="24"/>
                <w:highlight w:val="none"/>
                <w:lang w:val="en-US" w:eastAsia="zh-CN" w:bidi="ar"/>
              </w:rPr>
              <w:t xml:space="preserve">电动巡逻车5辆以上的</w:t>
            </w:r>
            <w:r>
              <w:rPr>
                <w:rFonts w:hint="eastAsia" w:ascii="宋体" w:hAnsi="宋体" w:eastAsia="宋体" w:cs="宋体"/>
                <w:color w:val="000000"/>
                <w:sz w:val="24"/>
                <w:szCs w:val="24"/>
                <w:highlight w:val="none"/>
                <w:lang w:eastAsia="zh-CN" w:bidi="ar"/>
              </w:rPr>
              <w:t xml:space="preserve">，每</w:t>
            </w:r>
            <w:r>
              <w:rPr>
                <w:rFonts w:hint="eastAsia" w:ascii="宋体" w:hAnsi="宋体" w:eastAsia="宋体" w:cs="宋体"/>
                <w:color w:val="000000"/>
                <w:sz w:val="24"/>
                <w:szCs w:val="24"/>
                <w:highlight w:val="none"/>
                <w:lang w:val="en-US" w:eastAsia="zh-CN" w:bidi="ar"/>
              </w:rPr>
              <w:t xml:space="preserve">多</w:t>
            </w:r>
            <w:r>
              <w:rPr>
                <w:rFonts w:hint="eastAsia" w:ascii="宋体" w:hAnsi="宋体" w:eastAsia="宋体" w:cs="宋体"/>
                <w:color w:val="000000"/>
                <w:sz w:val="24"/>
                <w:szCs w:val="24"/>
                <w:highlight w:val="none"/>
                <w:lang w:eastAsia="zh-CN" w:bidi="ar"/>
              </w:rPr>
              <w:t xml:space="preserve">提供</w:t>
            </w:r>
            <w:r>
              <w:rPr>
                <w:rFonts w:hint="eastAsia" w:ascii="宋体" w:hAnsi="宋体" w:eastAsia="宋体" w:cs="宋体"/>
                <w:color w:val="000000"/>
                <w:sz w:val="24"/>
                <w:szCs w:val="24"/>
                <w:highlight w:val="none"/>
                <w:lang w:val="en-US" w:eastAsia="zh-CN" w:bidi="ar"/>
              </w:rPr>
              <w:t xml:space="preserve">1辆</w:t>
            </w:r>
            <w:r>
              <w:rPr>
                <w:rFonts w:hint="eastAsia" w:ascii="宋体" w:hAnsi="宋体" w:eastAsia="宋体" w:cs="宋体"/>
                <w:color w:val="000000"/>
                <w:sz w:val="24"/>
                <w:szCs w:val="24"/>
                <w:highlight w:val="none"/>
                <w:lang w:eastAsia="zh-CN" w:bidi="ar"/>
              </w:rPr>
              <w:t xml:space="preserve">得</w:t>
            </w:r>
            <w:r>
              <w:rPr>
                <w:rFonts w:hint="eastAsia"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eastAsia="zh-CN" w:bidi="ar"/>
              </w:rPr>
              <w:t xml:space="preserve">分，最多得</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t xml:space="preserve">分。</w:t>
            </w:r>
            <w:r>
              <w:rPr>
                <w:rFonts w:hint="eastAsia" w:ascii="宋体" w:hAnsi="宋体" w:eastAsia="宋体" w:cs="宋体"/>
                <w:color w:val="000000"/>
                <w:sz w:val="24"/>
                <w:szCs w:val="24"/>
                <w:highlight w:val="none"/>
                <w:lang w:eastAsia="zh-CN" w:bidi="ar"/>
              </w:rPr>
            </w:r>
            <w:r/>
          </w:p>
          <w:p>
            <w:pPr>
              <w:pStyle w:val="988"/>
              <w:ind w:left="0" w:firstLine="240"/>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注：上述车辆如为自有须提供前侧、后侧实景照片，车牌号须清晰可见、购车发票，投标时需提供上述材料的原件的彩色扫描件，不提供或提供不全的不得分。上述车辆如为租赁须提供前侧、后侧实景照片，车牌号须清晰可见、租赁车辆发票、租赁协议（租赁期限须覆盖本项目服务期限），投标时需提供上述材料的原件的彩色扫描件，不提供或提供不全的不得分。】</w:t>
            </w:r>
            <w:r>
              <w:rPr>
                <w:rFonts w:hint="eastAsia" w:ascii="宋体" w:hAnsi="宋体" w:eastAsia="宋体" w:cs="宋体"/>
                <w:color w:val="000000"/>
                <w:sz w:val="24"/>
                <w:szCs w:val="24"/>
                <w:highlight w:val="none"/>
                <w:lang w:eastAsia="zh-CN" w:bidi="ar"/>
              </w:rPr>
            </w:r>
            <w:r/>
          </w:p>
          <w:p>
            <w:pPr>
              <w:pStyle w:val="988"/>
              <w:ind w:left="0" w:firstLine="240"/>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bidi="ar"/>
              </w:rPr>
              <w:t xml:space="preserve">供应商针对本项目投入</w:t>
            </w:r>
            <w:r>
              <w:rPr>
                <w:rFonts w:hint="eastAsia" w:ascii="宋体" w:hAnsi="宋体" w:eastAsia="宋体" w:cs="宋体"/>
                <w:color w:val="000000"/>
                <w:sz w:val="24"/>
                <w:szCs w:val="24"/>
                <w:highlight w:val="none"/>
                <w:lang w:val="en-US" w:eastAsia="zh-CN" w:bidi="ar"/>
              </w:rPr>
              <w:t xml:space="preserve">皮卡车1辆以上的</w:t>
            </w:r>
            <w:r>
              <w:rPr>
                <w:rFonts w:hint="eastAsia" w:ascii="宋体" w:hAnsi="宋体" w:eastAsia="宋体" w:cs="宋体"/>
                <w:color w:val="000000"/>
                <w:sz w:val="24"/>
                <w:szCs w:val="24"/>
                <w:highlight w:val="none"/>
                <w:lang w:eastAsia="zh-CN" w:bidi="ar"/>
              </w:rPr>
              <w:t xml:space="preserve">，每</w:t>
            </w:r>
            <w:r>
              <w:rPr>
                <w:rFonts w:hint="eastAsia" w:ascii="宋体" w:hAnsi="宋体" w:eastAsia="宋体" w:cs="宋体"/>
                <w:color w:val="000000"/>
                <w:sz w:val="24"/>
                <w:szCs w:val="24"/>
                <w:highlight w:val="none"/>
                <w:lang w:val="en-US" w:eastAsia="zh-CN" w:bidi="ar"/>
              </w:rPr>
              <w:t xml:space="preserve">多</w:t>
            </w:r>
            <w:r>
              <w:rPr>
                <w:rFonts w:hint="eastAsia" w:ascii="宋体" w:hAnsi="宋体" w:eastAsia="宋体" w:cs="宋体"/>
                <w:color w:val="000000"/>
                <w:sz w:val="24"/>
                <w:szCs w:val="24"/>
                <w:highlight w:val="none"/>
                <w:lang w:eastAsia="zh-CN" w:bidi="ar"/>
              </w:rPr>
              <w:t xml:space="preserve">提供</w:t>
            </w:r>
            <w:r>
              <w:rPr>
                <w:rFonts w:hint="eastAsia" w:ascii="宋体" w:hAnsi="宋体" w:eastAsia="宋体" w:cs="宋体"/>
                <w:color w:val="000000"/>
                <w:sz w:val="24"/>
                <w:szCs w:val="24"/>
                <w:highlight w:val="none"/>
                <w:lang w:val="en-US" w:eastAsia="zh-CN" w:bidi="ar"/>
              </w:rPr>
              <w:t xml:space="preserve">1辆</w:t>
            </w:r>
            <w:r>
              <w:rPr>
                <w:rFonts w:hint="eastAsia" w:ascii="宋体" w:hAnsi="宋体" w:eastAsia="宋体" w:cs="宋体"/>
                <w:color w:val="000000"/>
                <w:sz w:val="24"/>
                <w:szCs w:val="24"/>
                <w:highlight w:val="none"/>
                <w:lang w:eastAsia="zh-CN" w:bidi="ar"/>
              </w:rPr>
              <w:t xml:space="preserve">得</w:t>
            </w:r>
            <w:r>
              <w:rPr>
                <w:rFonts w:hint="eastAsia"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eastAsia="zh-CN" w:bidi="ar"/>
              </w:rPr>
              <w:t xml:space="preserve">分，最多得</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bidi="ar"/>
              </w:rPr>
              <w:t xml:space="preserve">分。</w:t>
            </w:r>
            <w:r>
              <w:rPr>
                <w:rFonts w:hint="eastAsia" w:ascii="宋体" w:hAnsi="宋体" w:eastAsia="宋体" w:cs="宋体"/>
                <w:color w:val="000000"/>
                <w:sz w:val="24"/>
                <w:szCs w:val="24"/>
                <w:highlight w:val="none"/>
                <w:lang w:eastAsia="zh-CN" w:bidi="ar"/>
              </w:rPr>
            </w:r>
            <w:r/>
          </w:p>
          <w:p>
            <w:pPr>
              <w:pStyle w:val="988"/>
              <w:ind w:left="0" w:firstLine="240"/>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注：上述车辆如为自有须提供①车辆登记证(所有人名称必须与供应商名称一致)、②车辆行驶证、③前侧、后侧实景照片，车牌号须清晰可见、④有效期内的交强险保单、⑤购车发票，投标时需提供上述材料的原件的彩色扫描件，不提供或提供不全的不得分。上述车辆如为租赁须提供①车辆登记证(所有人名称必须与供应商名称一致)、②车辆行驶证、③前侧、后侧实景照片，车牌号须清晰可见、④有效期内的交强险保单、⑤租赁车辆的发票、⑥租赁协议（租赁期限须覆盖本项目服务期限），投标时需提供上述材料的原件的彩色扫描件，不提供或提供不全的不得分。】</w:t>
            </w:r>
            <w:r>
              <w:rPr>
                <w:rFonts w:hint="eastAsia" w:ascii="宋体" w:hAnsi="宋体" w:eastAsia="宋体" w:cs="宋体"/>
                <w:color w:val="000000"/>
                <w:sz w:val="24"/>
                <w:szCs w:val="24"/>
                <w:highlight w:val="none"/>
                <w:lang w:eastAsia="zh-CN" w:bidi="ar"/>
              </w:rPr>
            </w:r>
            <w:r/>
          </w:p>
        </w:tc>
      </w:tr>
      <w:tr>
        <w:trPr>
          <w:trHeight w:val="2209"/>
        </w:trPr>
        <w:tc>
          <w:tcPr>
            <w:tcW w:w="948" w:type="dxa"/>
            <w:vAlign w:val="center"/>
            <w:textDirection w:val="lrTb"/>
            <w:noWrap w:val="false"/>
          </w:tcPr>
          <w:p>
            <w:pPr>
              <w:pStyle w:val="976"/>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服务方案（</w:t>
            </w:r>
            <w:r>
              <w:rPr>
                <w:rFonts w:hint="eastAsia" w:ascii="宋体" w:hAnsi="宋体" w:cs="宋体"/>
                <w:sz w:val="24"/>
                <w:highlight w:val="none"/>
                <w:lang w:val="en-US" w:eastAsia="zh-CN"/>
              </w:rPr>
              <w:t xml:space="preserve">48</w:t>
            </w:r>
            <w:r>
              <w:rPr>
                <w:rFonts w:hint="eastAsia"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r>
            <w:r/>
          </w:p>
        </w:tc>
        <w:tc>
          <w:tcPr>
            <w:tcW w:w="1129" w:type="dxa"/>
            <w:vAlign w:val="center"/>
            <w:textDirection w:val="lrTb"/>
            <w:noWrap w:val="false"/>
          </w:tcPr>
          <w:p>
            <w:pPr>
              <w:pStyle w:val="976"/>
              <w:ind w:left="240" w:hanging="240"/>
              <w:jc w:val="center"/>
              <w:spacing w:line="48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服务方案</w:t>
            </w:r>
            <w:r>
              <w:rPr>
                <w:rFonts w:hint="eastAsia" w:ascii="宋体" w:hAnsi="宋体" w:eastAsia="宋体" w:cs="宋体"/>
                <w:bCs/>
                <w:sz w:val="24"/>
                <w:highlight w:val="none"/>
                <w:lang w:val="en-US" w:eastAsia="zh-CN"/>
              </w:rPr>
            </w:r>
            <w:r/>
          </w:p>
        </w:tc>
        <w:tc>
          <w:tcPr>
            <w:tcW w:w="1023" w:type="dxa"/>
            <w:vAlign w:val="center"/>
            <w:textDirection w:val="lrTb"/>
            <w:noWrap w:val="false"/>
          </w:tcPr>
          <w:p>
            <w:pPr>
              <w:pStyle w:val="976"/>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48</w:t>
            </w:r>
            <w:r>
              <w:rPr>
                <w:rFonts w:ascii="宋体" w:hAnsi="宋体" w:eastAsia="宋体" w:cs="宋体"/>
                <w:sz w:val="24"/>
                <w:highlight w:val="none"/>
                <w:lang w:val="en-US" w:eastAsia="zh-CN"/>
              </w:rPr>
            </w:r>
            <w:r/>
          </w:p>
        </w:tc>
        <w:tc>
          <w:tcPr>
            <w:tcW w:w="6921" w:type="dxa"/>
            <w:vAlign w:val="center"/>
            <w:textDirection w:val="lrTb"/>
            <w:noWrap w:val="false"/>
          </w:tcPr>
          <w:p>
            <w:pPr>
              <w:pStyle w:val="976"/>
              <w:ind w:firstLine="422"/>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1.服务的详细方案 （</w:t>
            </w:r>
            <w:r>
              <w:rPr>
                <w:rFonts w:hint="eastAsia" w:ascii="宋体" w:hAnsi="宋体" w:cs="宋体"/>
                <w:b/>
                <w:bCs/>
                <w:sz w:val="24"/>
                <w:szCs w:val="24"/>
                <w:highlight w:val="none"/>
                <w:lang w:val="en-US" w:eastAsia="zh-CN"/>
              </w:rPr>
              <w:t xml:space="preserve">10</w:t>
            </w:r>
            <w:r>
              <w:rPr>
                <w:rFonts w:hint="eastAsia" w:ascii="宋体" w:hAnsi="宋体" w:eastAsia="宋体" w:cs="宋体"/>
                <w:b/>
                <w:bCs/>
                <w:sz w:val="24"/>
                <w:szCs w:val="24"/>
                <w:highlight w:val="none"/>
                <w:lang w:eastAsia="zh-CN"/>
              </w:rPr>
              <w:t xml:space="preserve">分） </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eastAsia="zh-CN"/>
              </w:rPr>
            </w:r>
            <w:r/>
          </w:p>
          <w:p>
            <w:pPr>
              <w:pStyle w:val="976"/>
              <w:ind w:firstLine="42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包括但不限于：</w:t>
            </w:r>
            <w:r>
              <w:rPr>
                <w:rFonts w:hint="eastAsia" w:ascii="宋体" w:hAnsi="宋体" w:eastAsia="宋体" w:cs="宋体"/>
                <w:b/>
                <w:bCs/>
                <w:sz w:val="24"/>
                <w:szCs w:val="24"/>
                <w:highlight w:val="none"/>
                <w:lang w:val="en-US" w:eastAsia="zh-CN"/>
              </w:rPr>
              <w:t xml:space="preserve">①</w:t>
            </w:r>
            <w:r>
              <w:rPr>
                <w:rFonts w:hint="eastAsia" w:ascii="宋体" w:hAnsi="宋体" w:eastAsia="宋体" w:cs="宋体"/>
                <w:b/>
                <w:bCs/>
                <w:sz w:val="24"/>
                <w:szCs w:val="24"/>
                <w:highlight w:val="none"/>
                <w:lang w:eastAsia="zh-CN"/>
              </w:rPr>
              <w:t xml:space="preserve">项目中的任务管理；</w:t>
            </w:r>
            <w:r>
              <w:rPr>
                <w:rFonts w:hint="eastAsia" w:ascii="宋体" w:hAnsi="宋体" w:eastAsia="宋体" w:cs="宋体"/>
                <w:b/>
                <w:bCs/>
                <w:sz w:val="24"/>
                <w:szCs w:val="24"/>
                <w:highlight w:val="none"/>
                <w:lang w:val="en-US" w:eastAsia="zh-CN"/>
              </w:rPr>
              <w:t xml:space="preserve">②</w:t>
            </w:r>
            <w:r>
              <w:rPr>
                <w:rFonts w:hint="eastAsia" w:ascii="宋体" w:hAnsi="宋体" w:eastAsia="宋体" w:cs="宋体"/>
                <w:b/>
                <w:bCs/>
                <w:sz w:val="24"/>
                <w:szCs w:val="24"/>
                <w:highlight w:val="none"/>
                <w:lang w:eastAsia="zh-CN"/>
              </w:rPr>
              <w:t xml:space="preserve">实施运作流程；</w:t>
            </w:r>
            <w:r>
              <w:rPr>
                <w:rFonts w:hint="eastAsia" w:ascii="宋体" w:hAnsi="宋体" w:eastAsia="宋体" w:cs="宋体"/>
                <w:b/>
                <w:bCs/>
                <w:sz w:val="24"/>
                <w:szCs w:val="24"/>
                <w:highlight w:val="none"/>
                <w:lang w:val="en-US" w:eastAsia="zh-CN"/>
              </w:rPr>
              <w:t xml:space="preserve">③服务方案；④服务要求</w:t>
            </w:r>
            <w:r>
              <w:rPr>
                <w:rFonts w:hint="eastAsia" w:ascii="宋体" w:hAnsi="宋体" w:eastAsia="宋体" w:cs="宋体"/>
                <w:b/>
                <w:bCs/>
                <w:sz w:val="24"/>
                <w:szCs w:val="24"/>
                <w:highlight w:val="none"/>
                <w:lang w:eastAsia="zh-CN"/>
              </w:rPr>
              <w:t xml:space="preserve">等</w:t>
            </w:r>
            <w:r>
              <w:rPr>
                <w:rFonts w:hint="eastAsia" w:ascii="宋体" w:hAnsi="宋体" w:eastAsia="宋体" w:cs="宋体"/>
                <w:b/>
                <w:bCs/>
                <w:sz w:val="24"/>
                <w:szCs w:val="24"/>
                <w:highlight w:val="none"/>
                <w:lang w:val="en-US" w:eastAsia="zh-CN"/>
              </w:rPr>
              <w:t xml:space="preserve">方面内容</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p>
            <w:pPr>
              <w:pStyle w:val="1278"/>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方案内容满足以上要求且符合本项目实际需求的，得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分，每缺少一项内容，或内容明显错误，或内容非专门针对本项目，或内容不能满足本项目实际需求的，每一项扣</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lang w:eastAsia="zh-CN"/>
              </w:rPr>
              <w:t xml:space="preserve">分，扣完</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分为止（即：得0分）。</w:t>
            </w:r>
            <w:r>
              <w:rPr>
                <w:rFonts w:hint="eastAsia" w:ascii="宋体" w:hAnsi="宋体" w:eastAsia="宋体" w:cs="宋体"/>
                <w:sz w:val="24"/>
                <w:szCs w:val="24"/>
                <w:highlight w:val="none"/>
                <w:lang w:eastAsia="zh-CN"/>
              </w:rPr>
            </w:r>
            <w:r/>
          </w:p>
          <w:p>
            <w:pPr>
              <w:pStyle w:val="976"/>
              <w:ind w:firstLine="422"/>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2.拟采取的管理服务模式及质量标准承诺（</w:t>
            </w:r>
            <w:r>
              <w:rPr>
                <w:rFonts w:hint="eastAsia" w:ascii="宋体" w:hAnsi="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分） </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eastAsia="zh-CN"/>
              </w:rPr>
            </w:r>
            <w:r/>
          </w:p>
          <w:p>
            <w:pPr>
              <w:pStyle w:val="976"/>
              <w:ind w:firstLine="42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eastAsia="zh-CN"/>
              </w:rPr>
              <w:t xml:space="preserve">包括但不限于：</w:t>
            </w:r>
            <w:r>
              <w:rPr>
                <w:rFonts w:hint="eastAsia" w:ascii="宋体" w:hAnsi="宋体" w:eastAsia="宋体" w:cs="宋体"/>
                <w:b/>
                <w:bCs/>
                <w:sz w:val="24"/>
                <w:szCs w:val="24"/>
                <w:highlight w:val="none"/>
                <w:lang w:val="en-US" w:eastAsia="zh-CN"/>
              </w:rPr>
              <w:t xml:space="preserve">①服务质量控制；②服务响应时间；③持续改进；④服务目标承诺等方面内容：</w:t>
            </w:r>
            <w:r>
              <w:rPr>
                <w:rFonts w:hint="eastAsia" w:ascii="宋体" w:hAnsi="宋体" w:eastAsia="宋体" w:cs="宋体"/>
                <w:sz w:val="24"/>
                <w:szCs w:val="24"/>
                <w:highlight w:val="none"/>
                <w:lang w:val="en-US" w:eastAsia="zh-CN"/>
              </w:rPr>
            </w:r>
            <w:r/>
          </w:p>
          <w:p>
            <w:pPr>
              <w:pStyle w:val="1278"/>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方案内容满足以上要求且符合本项目实际需求的，得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分，每缺少一项内容，或内容明显错误，或内容非专门针对本项目，或内容不能满足本项目实际需求的，每一项扣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分，扣完</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分为止（即：得0分）。</w:t>
            </w:r>
            <w:r>
              <w:rPr>
                <w:rFonts w:hint="eastAsia" w:ascii="宋体" w:hAnsi="宋体" w:eastAsia="宋体" w:cs="宋体"/>
                <w:sz w:val="24"/>
                <w:szCs w:val="24"/>
                <w:highlight w:val="none"/>
                <w:lang w:eastAsia="zh-CN"/>
              </w:rPr>
            </w:r>
            <w:r/>
          </w:p>
          <w:p>
            <w:pPr>
              <w:pStyle w:val="976"/>
              <w:ind w:firstLine="42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3.适合本项目的各种突发事件的处理预案（</w:t>
            </w:r>
            <w:r>
              <w:rPr>
                <w:rFonts w:hint="eastAsia" w:ascii="宋体" w:hAnsi="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分）</w:t>
            </w:r>
            <w:r>
              <w:rPr>
                <w:rFonts w:hint="eastAsia" w:ascii="宋体" w:hAnsi="宋体" w:eastAsia="宋体" w:cs="宋体"/>
                <w:b/>
                <w:bCs/>
                <w:sz w:val="24"/>
                <w:szCs w:val="24"/>
                <w:highlight w:val="none"/>
                <w:lang w:eastAsia="zh-CN"/>
              </w:rPr>
            </w:r>
            <w:r/>
          </w:p>
          <w:p>
            <w:pPr>
              <w:pStyle w:val="976"/>
              <w:ind w:firstLine="42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包括但不限于：①重大节日及大型活动应急预案；②</w:t>
            </w:r>
            <w:r>
              <w:rPr>
                <w:rFonts w:hint="eastAsia" w:ascii="宋体" w:hAnsi="宋体" w:eastAsia="宋体" w:cs="宋体"/>
                <w:b/>
                <w:bCs/>
                <w:color w:val="000000"/>
                <w:sz w:val="24"/>
                <w:szCs w:val="24"/>
                <w:highlight w:val="none"/>
                <w:lang w:val="zh-CN" w:bidi="ar"/>
              </w:rPr>
              <w:t xml:space="preserve">恶劣天气</w:t>
            </w:r>
            <w:r>
              <w:rPr>
                <w:rFonts w:hint="eastAsia" w:ascii="宋体" w:hAnsi="宋体" w:eastAsia="宋体" w:cs="宋体"/>
                <w:b/>
                <w:bCs/>
                <w:sz w:val="24"/>
                <w:szCs w:val="24"/>
                <w:highlight w:val="none"/>
                <w:lang w:val="en-US" w:eastAsia="zh-CN"/>
              </w:rPr>
              <w:t xml:space="preserve">；③治安或消防安全应急预案；④服务人员应急处理能力及制订流程等方面内容：</w:t>
            </w:r>
            <w:r>
              <w:rPr>
                <w:rFonts w:hint="eastAsia" w:ascii="宋体" w:hAnsi="宋体" w:eastAsia="宋体" w:cs="宋体"/>
                <w:b/>
                <w:bCs/>
                <w:sz w:val="24"/>
                <w:szCs w:val="24"/>
                <w:highlight w:val="none"/>
                <w:lang w:val="en-US" w:eastAsia="zh-CN"/>
              </w:rPr>
            </w:r>
            <w:r/>
          </w:p>
          <w:p>
            <w:pPr>
              <w:pStyle w:val="1278"/>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方案内容满足以上要求且符合本项目实际需求的，得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分，每缺少一项内容，或内容明显错误，或内容非专门针对本项目，或内容不能满足本项目实际需求的，每一项扣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分，扣完</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分为止（即：得0分）。</w:t>
            </w:r>
            <w:r>
              <w:rPr>
                <w:rFonts w:hint="eastAsia" w:ascii="宋体" w:hAnsi="宋体" w:eastAsia="宋体" w:cs="宋体"/>
                <w:sz w:val="24"/>
                <w:szCs w:val="24"/>
                <w:highlight w:val="none"/>
                <w:lang w:eastAsia="zh-CN"/>
              </w:rPr>
            </w:r>
            <w:r/>
          </w:p>
          <w:p>
            <w:pPr>
              <w:pStyle w:val="976"/>
              <w:ind w:firstLine="422"/>
              <w:spacing w:line="360" w:lineRule="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4.组织机构设置、</w:t>
            </w:r>
            <w:r>
              <w:rPr>
                <w:rFonts w:hint="eastAsia" w:ascii="宋体" w:hAnsi="宋体" w:eastAsia="宋体" w:cs="宋体"/>
                <w:b/>
                <w:bCs/>
                <w:color w:val="000000"/>
                <w:sz w:val="24"/>
                <w:szCs w:val="24"/>
                <w:highlight w:val="none"/>
                <w:lang w:val="zh-CN" w:bidi="ar"/>
              </w:rPr>
              <w:t xml:space="preserve">工段划分、作业时间、</w:t>
            </w:r>
            <w:r>
              <w:rPr>
                <w:rFonts w:hint="eastAsia" w:ascii="宋体" w:hAnsi="宋体" w:eastAsia="宋体" w:cs="宋体"/>
                <w:b/>
                <w:bCs/>
                <w:sz w:val="24"/>
                <w:szCs w:val="24"/>
                <w:highlight w:val="none"/>
                <w:lang w:eastAsia="zh-CN"/>
              </w:rPr>
              <w:t xml:space="preserve">人员配备、培训与管理（</w:t>
            </w:r>
            <w:r>
              <w:rPr>
                <w:rFonts w:hint="eastAsia" w:ascii="宋体" w:hAnsi="宋体" w:cs="宋体"/>
                <w:b/>
                <w:bCs/>
                <w:sz w:val="24"/>
                <w:szCs w:val="24"/>
                <w:highlight w:val="none"/>
                <w:lang w:val="en-US" w:eastAsia="zh-CN"/>
              </w:rPr>
              <w:t xml:space="preserve">8</w:t>
            </w:r>
            <w:r>
              <w:rPr>
                <w:rFonts w:hint="eastAsia" w:ascii="宋体" w:hAnsi="宋体" w:eastAsia="宋体" w:cs="宋体"/>
                <w:b/>
                <w:bCs/>
                <w:sz w:val="24"/>
                <w:szCs w:val="24"/>
                <w:highlight w:val="none"/>
                <w:lang w:eastAsia="zh-CN"/>
              </w:rPr>
              <w:t xml:space="preserve">分）</w:t>
            </w:r>
            <w:r>
              <w:rPr>
                <w:rFonts w:hint="eastAsia"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eastAsia="zh-CN"/>
              </w:rPr>
            </w:r>
            <w:r/>
          </w:p>
          <w:p>
            <w:pPr>
              <w:pStyle w:val="976"/>
              <w:ind w:firstLine="42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包括但不限于：①</w:t>
            </w:r>
            <w:r>
              <w:rPr>
                <w:rFonts w:hint="eastAsia" w:ascii="宋体" w:hAnsi="宋体" w:eastAsia="宋体" w:cs="宋体"/>
                <w:b/>
                <w:bCs/>
                <w:sz w:val="24"/>
                <w:szCs w:val="24"/>
                <w:highlight w:val="none"/>
                <w:lang w:eastAsia="zh-CN"/>
              </w:rPr>
              <w:t xml:space="preserve">组织机构设置；</w:t>
            </w:r>
            <w:r>
              <w:rPr>
                <w:rFonts w:hint="eastAsia" w:ascii="宋体" w:hAnsi="宋体" w:eastAsia="宋体" w:cs="宋体"/>
                <w:b/>
                <w:bCs/>
                <w:sz w:val="24"/>
                <w:szCs w:val="24"/>
                <w:highlight w:val="none"/>
                <w:lang w:val="en-US" w:eastAsia="zh-CN"/>
              </w:rPr>
              <w:t xml:space="preserve">②</w:t>
            </w:r>
            <w:r>
              <w:rPr>
                <w:rFonts w:hint="eastAsia" w:ascii="宋体" w:hAnsi="宋体" w:eastAsia="宋体" w:cs="宋体"/>
                <w:b/>
                <w:bCs/>
                <w:sz w:val="24"/>
                <w:szCs w:val="24"/>
                <w:highlight w:val="none"/>
                <w:lang w:eastAsia="zh-CN"/>
              </w:rPr>
              <w:t xml:space="preserve">人员配备；</w:t>
            </w:r>
            <w:r>
              <w:rPr>
                <w:rFonts w:hint="eastAsia" w:ascii="宋体" w:hAnsi="宋体" w:eastAsia="宋体" w:cs="宋体"/>
                <w:b/>
                <w:bCs/>
                <w:sz w:val="24"/>
                <w:szCs w:val="24"/>
                <w:highlight w:val="none"/>
                <w:lang w:val="en-US" w:eastAsia="zh-CN"/>
              </w:rPr>
              <w:t xml:space="preserve">③人员</w:t>
            </w:r>
            <w:r>
              <w:rPr>
                <w:rFonts w:hint="eastAsia" w:ascii="宋体" w:hAnsi="宋体" w:eastAsia="宋体" w:cs="宋体"/>
                <w:b/>
                <w:bCs/>
                <w:sz w:val="24"/>
                <w:szCs w:val="24"/>
                <w:highlight w:val="none"/>
                <w:lang w:eastAsia="zh-CN"/>
              </w:rPr>
              <w:t xml:space="preserve">培训；</w:t>
            </w:r>
            <w:r>
              <w:rPr>
                <w:rFonts w:hint="eastAsia" w:ascii="宋体" w:hAnsi="宋体" w:eastAsia="宋体" w:cs="宋体"/>
                <w:b/>
                <w:bCs/>
                <w:sz w:val="24"/>
                <w:szCs w:val="24"/>
                <w:highlight w:val="none"/>
                <w:lang w:val="en-US" w:eastAsia="zh-CN"/>
              </w:rPr>
              <w:t xml:space="preserve">④人员</w:t>
            </w:r>
            <w:r>
              <w:rPr>
                <w:rFonts w:hint="eastAsia" w:ascii="宋体" w:hAnsi="宋体" w:eastAsia="宋体" w:cs="宋体"/>
                <w:b/>
                <w:bCs/>
                <w:sz w:val="24"/>
                <w:szCs w:val="24"/>
                <w:highlight w:val="none"/>
                <w:lang w:eastAsia="zh-CN"/>
              </w:rPr>
              <w:t xml:space="preserve">管理</w:t>
            </w:r>
            <w:r>
              <w:rPr>
                <w:rFonts w:hint="eastAsia" w:ascii="宋体" w:hAnsi="宋体" w:eastAsia="宋体" w:cs="宋体"/>
                <w:b/>
                <w:bCs/>
                <w:sz w:val="24"/>
                <w:szCs w:val="24"/>
                <w:highlight w:val="none"/>
                <w:lang w:val="en-US" w:eastAsia="zh-CN"/>
              </w:rPr>
              <w:t xml:space="preserve">等</w:t>
            </w:r>
            <w:r>
              <w:rPr>
                <w:rFonts w:hint="eastAsia" w:ascii="宋体" w:hAnsi="宋体" w:eastAsia="宋体" w:cs="宋体"/>
                <w:b/>
                <w:bCs/>
                <w:sz w:val="24"/>
                <w:szCs w:val="24"/>
                <w:highlight w:val="none"/>
                <w:lang w:eastAsia="zh-CN"/>
              </w:rPr>
              <w:t xml:space="preserve">方面</w:t>
            </w:r>
            <w:r>
              <w:rPr>
                <w:rFonts w:hint="eastAsia" w:ascii="宋体" w:hAnsi="宋体" w:eastAsia="宋体" w:cs="宋体"/>
                <w:b/>
                <w:bCs/>
                <w:sz w:val="24"/>
                <w:szCs w:val="24"/>
                <w:highlight w:val="none"/>
                <w:lang w:val="en-US" w:eastAsia="zh-CN"/>
              </w:rPr>
              <w:t xml:space="preserve">内容：</w:t>
            </w:r>
            <w:r>
              <w:rPr>
                <w:rFonts w:hint="eastAsia" w:ascii="宋体" w:hAnsi="宋体" w:eastAsia="宋体" w:cs="宋体"/>
                <w:b/>
                <w:bCs/>
                <w:sz w:val="24"/>
                <w:szCs w:val="24"/>
                <w:highlight w:val="none"/>
                <w:lang w:val="en-US" w:eastAsia="zh-CN"/>
              </w:rPr>
            </w:r>
            <w:r/>
          </w:p>
          <w:p>
            <w:pPr>
              <w:pStyle w:val="1278"/>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方案内容满足以上要求且符合本项目实际需求的，得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分，每缺少一项内容，或内容明显错误，或内容非专门针对本项目，或内容不能满足本项目实际需求的，每一项扣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分，扣完</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分为止（即：得0分）。</w:t>
            </w:r>
            <w:r>
              <w:rPr>
                <w:rFonts w:hint="eastAsia" w:ascii="宋体" w:hAnsi="宋体" w:eastAsia="宋体" w:cs="宋体"/>
                <w:sz w:val="24"/>
                <w:szCs w:val="24"/>
                <w:highlight w:val="none"/>
                <w:lang w:eastAsia="zh-CN"/>
              </w:rPr>
            </w:r>
            <w:r/>
          </w:p>
          <w:p>
            <w:pPr>
              <w:pStyle w:val="976"/>
              <w:ind w:firstLine="42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5.服装配备及设备设施配备情况(</w:t>
            </w:r>
            <w:r>
              <w:rPr>
                <w:rFonts w:hint="eastAsia" w:ascii="宋体" w:hAnsi="宋体" w:cs="宋体"/>
                <w:b/>
                <w:bCs/>
                <w:sz w:val="24"/>
                <w:szCs w:val="24"/>
                <w:highlight w:val="none"/>
                <w:lang w:val="en-US" w:eastAsia="zh-CN"/>
              </w:rPr>
              <w:t xml:space="preserve">6</w:t>
            </w:r>
            <w:r>
              <w:rPr>
                <w:rFonts w:hint="eastAsia" w:ascii="宋体" w:hAnsi="宋体" w:eastAsia="宋体" w:cs="宋体"/>
                <w:b/>
                <w:bCs/>
                <w:sz w:val="24"/>
                <w:szCs w:val="24"/>
                <w:highlight w:val="none"/>
                <w:lang w:eastAsia="zh-CN"/>
              </w:rPr>
              <w:t xml:space="preserve">分)</w:t>
            </w:r>
            <w:r>
              <w:rPr>
                <w:rFonts w:hint="eastAsia" w:ascii="宋体" w:hAnsi="宋体" w:eastAsia="宋体" w:cs="宋体"/>
                <w:b/>
                <w:bCs/>
                <w:sz w:val="24"/>
                <w:szCs w:val="24"/>
                <w:highlight w:val="none"/>
                <w:lang w:eastAsia="zh-CN"/>
              </w:rPr>
            </w:r>
            <w:r/>
          </w:p>
          <w:p>
            <w:pPr>
              <w:pStyle w:val="976"/>
              <w:ind w:firstLine="42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包括但不限于：①根据工作任务确定所需装备（</w:t>
            </w:r>
            <w:r>
              <w:rPr>
                <w:rFonts w:hint="eastAsia" w:ascii="宋体" w:hAnsi="宋体" w:eastAsia="宋体" w:cs="宋体"/>
                <w:b/>
                <w:bCs/>
                <w:color w:val="000000"/>
                <w:sz w:val="24"/>
                <w:szCs w:val="24"/>
                <w:highlight w:val="none"/>
                <w:lang w:val="zh-CN" w:bidi="ar"/>
              </w:rPr>
              <w:t xml:space="preserve">工作服上反光标识，配备的交通工具上反光标志</w:t>
            </w:r>
            <w:r>
              <w:rPr>
                <w:rFonts w:hint="eastAsia" w:ascii="宋体" w:hAnsi="宋体" w:cs="宋体"/>
                <w:b/>
                <w:bCs/>
                <w:color w:val="000000"/>
                <w:sz w:val="24"/>
                <w:szCs w:val="24"/>
                <w:highlight w:val="none"/>
                <w:lang w:val="en-US" w:eastAsia="zh-CN" w:bidi="ar"/>
              </w:rPr>
              <w:t xml:space="preserve">等</w:t>
            </w:r>
            <w:r>
              <w:rPr>
                <w:rFonts w:hint="eastAsia" w:ascii="宋体" w:hAnsi="宋体" w:eastAsia="宋体" w:cs="宋体"/>
                <w:b/>
                <w:bCs/>
                <w:color w:val="000000"/>
                <w:sz w:val="24"/>
                <w:szCs w:val="24"/>
                <w:highlight w:val="none"/>
                <w:lang w:val="zh-CN" w:bidi="ar"/>
              </w:rPr>
              <w:t xml:space="preserve">）</w:t>
            </w:r>
            <w:r>
              <w:rPr>
                <w:rFonts w:hint="eastAsia" w:ascii="宋体" w:hAnsi="宋体" w:eastAsia="宋体" w:cs="宋体"/>
                <w:b/>
                <w:bCs/>
                <w:sz w:val="24"/>
                <w:szCs w:val="24"/>
                <w:highlight w:val="none"/>
                <w:lang w:val="en-US" w:eastAsia="zh-CN"/>
              </w:rPr>
              <w:t xml:space="preserve">；②建立装备清单与管理；③培训服务人员装备的使用技能等</w:t>
            </w:r>
            <w:r>
              <w:rPr>
                <w:rFonts w:hint="eastAsia" w:ascii="宋体" w:hAnsi="宋体" w:eastAsia="宋体" w:cs="宋体"/>
                <w:b/>
                <w:bCs/>
                <w:sz w:val="24"/>
                <w:szCs w:val="24"/>
                <w:highlight w:val="none"/>
                <w:lang w:eastAsia="zh-CN"/>
              </w:rPr>
              <w:t xml:space="preserve">方面</w:t>
            </w:r>
            <w:r>
              <w:rPr>
                <w:rFonts w:hint="eastAsia" w:ascii="宋体" w:hAnsi="宋体" w:eastAsia="宋体" w:cs="宋体"/>
                <w:b/>
                <w:bCs/>
                <w:sz w:val="24"/>
                <w:szCs w:val="24"/>
                <w:highlight w:val="none"/>
                <w:lang w:val="en-US" w:eastAsia="zh-CN"/>
              </w:rPr>
              <w:t xml:space="preserve">内容：</w:t>
            </w:r>
            <w:r>
              <w:rPr>
                <w:rFonts w:hint="eastAsia" w:ascii="宋体" w:hAnsi="宋体" w:eastAsia="宋体" w:cs="宋体"/>
                <w:sz w:val="24"/>
                <w:szCs w:val="24"/>
                <w:highlight w:val="none"/>
                <w:lang w:val="en-US" w:eastAsia="zh-CN"/>
              </w:rPr>
            </w:r>
            <w:r/>
          </w:p>
          <w:p>
            <w:pPr>
              <w:pStyle w:val="1278"/>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方案内容满足以上要求且符合本项目实际需求的，得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分，每缺少一项内容，或内容明显错误，或内容非专门针对本项目，或内容不能满足本项目实际需求的，每一项扣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分，扣完</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分为止（即：得0分）。</w:t>
            </w:r>
            <w:r>
              <w:rPr>
                <w:rFonts w:hint="eastAsia" w:ascii="宋体" w:hAnsi="宋体" w:eastAsia="宋体" w:cs="宋体"/>
                <w:sz w:val="24"/>
                <w:szCs w:val="24"/>
                <w:highlight w:val="none"/>
                <w:lang w:eastAsia="zh-CN"/>
              </w:rPr>
            </w:r>
            <w:r/>
          </w:p>
          <w:p>
            <w:pPr>
              <w:pStyle w:val="976"/>
              <w:ind w:firstLine="42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6.进退场方案（</w:t>
            </w:r>
            <w:r>
              <w:rPr>
                <w:rFonts w:hint="eastAsia" w:ascii="宋体" w:hAnsi="宋体" w:cs="宋体"/>
                <w:b/>
                <w:bCs/>
                <w:sz w:val="24"/>
                <w:szCs w:val="24"/>
                <w:highlight w:val="none"/>
                <w:lang w:val="en-US" w:eastAsia="zh-CN"/>
              </w:rPr>
              <w:t xml:space="preserve">8</w:t>
            </w:r>
            <w:r>
              <w:rPr>
                <w:rFonts w:hint="eastAsia" w:ascii="宋体" w:hAnsi="宋体" w:eastAsia="宋体" w:cs="宋体"/>
                <w:b/>
                <w:bCs/>
                <w:sz w:val="24"/>
                <w:szCs w:val="24"/>
                <w:highlight w:val="none"/>
                <w:lang w:val="en-US" w:eastAsia="zh-CN"/>
              </w:rPr>
              <w:t xml:space="preserve">分）</w:t>
            </w:r>
            <w:r>
              <w:rPr>
                <w:rFonts w:hint="eastAsia" w:ascii="宋体" w:hAnsi="宋体" w:eastAsia="宋体" w:cs="宋体"/>
                <w:b/>
                <w:bCs/>
                <w:sz w:val="24"/>
                <w:szCs w:val="24"/>
                <w:highlight w:val="none"/>
                <w:lang w:val="en-US" w:eastAsia="zh-CN"/>
              </w:rPr>
            </w:r>
            <w:r/>
          </w:p>
          <w:p>
            <w:pPr>
              <w:pStyle w:val="976"/>
              <w:ind w:firstLine="42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包括但不限于：①与原服务单位对接；②明确重大注重事项；③到期交接承诺；④交接工作安排、内容、手续及流程等内容：</w:t>
            </w:r>
            <w:r>
              <w:rPr>
                <w:rFonts w:hint="eastAsia" w:ascii="宋体" w:hAnsi="宋体" w:eastAsia="宋体" w:cs="宋体"/>
                <w:b/>
                <w:bCs/>
                <w:sz w:val="24"/>
                <w:szCs w:val="24"/>
                <w:highlight w:val="none"/>
                <w:lang w:val="en-US" w:eastAsia="zh-CN"/>
              </w:rPr>
            </w:r>
            <w:r/>
          </w:p>
          <w:p>
            <w:pPr>
              <w:pStyle w:val="988"/>
              <w:ind w:left="0" w:firstLine="240"/>
              <w:rPr>
                <w:rFonts w:hint="eastAsia" w:ascii="宋体" w:hAnsi="宋体" w:eastAsia="宋体" w:cs="宋体"/>
                <w:color w:val="000000"/>
                <w:sz w:val="24"/>
                <w:szCs w:val="24"/>
                <w:highlight w:val="none"/>
                <w:lang w:eastAsia="zh-CN" w:bidi="ar"/>
              </w:rPr>
            </w:pPr>
            <w:r>
              <w:rPr>
                <w:rFonts w:hint="eastAsia" w:ascii="宋体" w:hAnsi="宋体" w:eastAsia="宋体" w:cs="宋体"/>
                <w:sz w:val="24"/>
                <w:szCs w:val="24"/>
                <w:highlight w:val="none"/>
                <w:lang w:eastAsia="zh-CN"/>
              </w:rPr>
              <w:t xml:space="preserve">方案内容满足以上要求且符合本项目实际需求的，得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分，每缺少一项内容，或内容明显错误，或内容非专门针对本项目，或内容不能满足本项目实际需求的，每一项扣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分，扣完</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分为止（即：得0分）。</w:t>
            </w:r>
            <w:r>
              <w:rPr>
                <w:rFonts w:hint="eastAsia" w:ascii="宋体" w:hAnsi="宋体" w:eastAsia="宋体" w:cs="宋体"/>
                <w:color w:val="000000"/>
                <w:sz w:val="24"/>
                <w:szCs w:val="24"/>
                <w:highlight w:val="none"/>
                <w:lang w:eastAsia="zh-CN" w:bidi="ar"/>
              </w:rPr>
            </w:r>
            <w:r/>
          </w:p>
        </w:tc>
      </w:tr>
      <w:tr>
        <w:trPr>
          <w:trHeight w:val="781"/>
        </w:trPr>
        <w:tc>
          <w:tcPr>
            <w:tcW w:w="948" w:type="dxa"/>
            <w:vAlign w:val="center"/>
            <w:textDirection w:val="lrTb"/>
            <w:noWrap w:val="false"/>
          </w:tcPr>
          <w:p>
            <w:pPr>
              <w:pStyle w:val="976"/>
              <w:jc w:val="left"/>
              <w:rPr>
                <w:rFonts w:hint="eastAsia" w:ascii="宋体" w:hAnsi="宋体" w:eastAsia="宋体" w:cs="宋体"/>
                <w:sz w:val="24"/>
                <w:highlight w:val="none"/>
              </w:rPr>
            </w:pPr>
            <w:r>
              <w:rPr>
                <w:rFonts w:hint="eastAsia" w:ascii="宋体" w:hAnsi="宋体" w:eastAsia="宋体" w:cs="宋体"/>
                <w:sz w:val="24"/>
                <w:highlight w:val="none"/>
              </w:rPr>
              <w:t xml:space="preserve">总分</w:t>
            </w:r>
            <w:r>
              <w:rPr>
                <w:rFonts w:hint="eastAsia" w:ascii="宋体" w:hAnsi="宋体" w:eastAsia="宋体" w:cs="宋体"/>
                <w:sz w:val="24"/>
                <w:highlight w:val="none"/>
              </w:rPr>
            </w:r>
            <w:r/>
          </w:p>
        </w:tc>
        <w:tc>
          <w:tcPr>
            <w:tcW w:w="1129" w:type="dxa"/>
            <w:vAlign w:val="center"/>
            <w:textDirection w:val="lrTb"/>
            <w:noWrap w:val="false"/>
          </w:tcPr>
          <w:p>
            <w:pPr>
              <w:pStyle w:val="976"/>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023" w:type="dxa"/>
            <w:vAlign w:val="top"/>
            <w:textDirection w:val="lrTb"/>
            <w:noWrap w:val="false"/>
          </w:tcPr>
          <w:p>
            <w:pPr>
              <w:pStyle w:val="976"/>
              <w:rPr>
                <w:rFonts w:hint="eastAsia" w:ascii="宋体" w:hAnsi="宋体" w:eastAsia="宋体" w:cs="宋体"/>
                <w:sz w:val="24"/>
                <w:highlight w:val="none"/>
              </w:rPr>
            </w:pPr>
            <w:r>
              <w:rPr>
                <w:rFonts w:hint="eastAsia" w:ascii="宋体" w:hAnsi="宋体" w:eastAsia="宋体" w:cs="宋体"/>
                <w:sz w:val="24"/>
                <w:highlight w:val="none"/>
              </w:rPr>
            </w:r>
            <w:r/>
          </w:p>
          <w:p>
            <w:pPr>
              <w:pStyle w:val="976"/>
              <w:jc w:val="center"/>
              <w:rPr>
                <w:rFonts w:hint="eastAsia" w:ascii="宋体" w:hAnsi="宋体" w:eastAsia="宋体" w:cs="宋体"/>
                <w:sz w:val="24"/>
                <w:highlight w:val="none"/>
              </w:rPr>
            </w:pPr>
            <w:r>
              <w:rPr>
                <w:rFonts w:hint="eastAsia" w:ascii="宋体" w:hAnsi="宋体" w:eastAsia="宋体" w:cs="宋体"/>
                <w:sz w:val="24"/>
                <w:highlight w:val="none"/>
              </w:rPr>
              <w:t xml:space="preserve">100分</w:t>
            </w:r>
            <w:r>
              <w:rPr>
                <w:rFonts w:hint="eastAsia" w:ascii="宋体" w:hAnsi="宋体" w:eastAsia="宋体" w:cs="宋体"/>
                <w:sz w:val="24"/>
                <w:highlight w:val="none"/>
              </w:rPr>
            </w:r>
            <w:r/>
          </w:p>
        </w:tc>
        <w:tc>
          <w:tcPr>
            <w:tcW w:w="6921" w:type="dxa"/>
            <w:vAlign w:val="center"/>
            <w:textDirection w:val="lrTb"/>
            <w:noWrap w:val="false"/>
          </w:tcPr>
          <w:p>
            <w:pPr>
              <w:pStyle w:val="976"/>
              <w:jc w:val="lef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166"/>
        <w:jc w:val="center"/>
        <w:spacing w:line="360" w:lineRule="auto"/>
        <w:rPr>
          <w:rFonts w:hint="eastAsia" w:ascii="宋体" w:hAnsi="宋体" w:eastAsia="宋体" w:cs="宋体"/>
          <w:sz w:val="44"/>
          <w:szCs w:val="44"/>
          <w:highlight w:val="none"/>
        </w:rPr>
      </w:pPr>
      <w:r>
        <w:rPr>
          <w:rFonts w:hint="eastAsia" w:ascii="宋体" w:hAnsi="宋体" w:eastAsia="宋体" w:cs="宋体"/>
          <w:bCs/>
          <w:sz w:val="24"/>
          <w:highlight w:val="none"/>
          <w:lang w:val="zh-CN"/>
        </w:rPr>
        <w:t xml:space="preserve">  </w:t>
      </w:r>
      <w:r>
        <w:rPr>
          <w:rFonts w:hint="eastAsia" w:ascii="宋体" w:hAnsi="宋体" w:eastAsia="宋体" w:cs="宋体"/>
          <w:sz w:val="44"/>
          <w:szCs w:val="44"/>
          <w:highlight w:val="none"/>
        </w:rPr>
        <w:br w:type="page" w:clear="all"/>
      </w:r>
      <w:bookmarkEnd w:id="141"/>
      <w:r/>
      <w:bookmarkEnd w:id="142"/>
      <w:r>
        <w:rPr>
          <w:rFonts w:hint="eastAsia" w:ascii="宋体" w:hAnsi="宋体" w:eastAsia="宋体" w:cs="宋体"/>
          <w:sz w:val="44"/>
          <w:szCs w:val="44"/>
          <w:highlight w:val="none"/>
        </w:rPr>
      </w:r>
      <w:r/>
    </w:p>
    <w:p>
      <w:pPr>
        <w:pStyle w:val="976"/>
        <w:keepNext/>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976"/>
        <w:jc w:val="center"/>
        <w:keepNext/>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t xml:space="preserve">第六章  投标文件格式</w:t>
      </w:r>
      <w:r>
        <w:rPr>
          <w:rFonts w:hint="eastAsia" w:ascii="宋体" w:hAnsi="宋体" w:eastAsia="宋体" w:cs="宋体"/>
          <w:color w:val="000000"/>
          <w:sz w:val="44"/>
          <w:szCs w:val="44"/>
          <w:highlight w:val="none"/>
        </w:rPr>
      </w:r>
      <w:r/>
    </w:p>
    <w:p>
      <w:pPr>
        <w:pStyle w:val="976"/>
        <w:jc w:val="center"/>
        <w:rPr>
          <w:rFonts w:hint="eastAsia" w:ascii="宋体" w:hAnsi="宋体" w:eastAsia="宋体" w:cs="宋体"/>
          <w:b/>
          <w:color w:val="000000"/>
          <w:sz w:val="72"/>
          <w:highlight w:val="none"/>
        </w:rPr>
      </w:pPr>
      <w:r/>
      <w:bookmarkStart w:id="143" w:name="_Hlt26671244"/>
      <w:r/>
      <w:bookmarkEnd w:id="143"/>
      <w:r/>
      <w:bookmarkStart w:id="144" w:name="_Hlt26955039"/>
      <w:r/>
      <w:bookmarkEnd w:id="144"/>
      <w:r>
        <w:rPr>
          <w:rFonts w:hint="eastAsia" w:ascii="宋体" w:hAnsi="宋体" w:eastAsia="宋体" w:cs="宋体"/>
          <w:b/>
          <w:color w:val="000000"/>
          <w:sz w:val="72"/>
          <w:highlight w:val="none"/>
        </w:rPr>
      </w:r>
      <w:r/>
    </w:p>
    <w:p>
      <w:pPr>
        <w:pStyle w:val="97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976"/>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t xml:space="preserve">投 标 文 件</w:t>
      </w:r>
      <w:r>
        <w:rPr>
          <w:rFonts w:hint="eastAsia" w:ascii="宋体" w:hAnsi="宋体" w:eastAsia="宋体" w:cs="宋体"/>
          <w:bCs/>
          <w:color w:val="000000"/>
          <w:sz w:val="72"/>
          <w:highlight w:val="none"/>
        </w:rPr>
      </w:r>
      <w:r/>
    </w:p>
    <w:p>
      <w:pPr>
        <w:pStyle w:val="97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97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6"/>
        <w:ind w:firstLine="1260"/>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t xml:space="preserve">项 目 名 称：</w:t>
      </w:r>
      <w:r>
        <w:rPr>
          <w:rFonts w:hint="eastAsia" w:ascii="宋体" w:hAnsi="宋体" w:eastAsia="宋体" w:cs="宋体"/>
          <w:bCs/>
          <w:color w:val="000000"/>
          <w:sz w:val="36"/>
          <w:highlight w:val="none"/>
          <w:u w:val="single"/>
        </w:rPr>
        <w:t xml:space="preserve">                  </w:t>
      </w:r>
      <w:r>
        <w:rPr>
          <w:rFonts w:hint="eastAsia" w:ascii="宋体" w:hAnsi="宋体" w:eastAsia="宋体" w:cs="宋体"/>
          <w:bCs/>
          <w:color w:val="000000"/>
          <w:sz w:val="36"/>
          <w:highlight w:val="none"/>
        </w:rPr>
      </w:r>
      <w:r/>
    </w:p>
    <w:p>
      <w:pPr>
        <w:pStyle w:val="976"/>
        <w:ind w:firstLine="1260"/>
        <w:rPr>
          <w:rFonts w:hint="eastAsia" w:ascii="宋体" w:hAnsi="宋体" w:eastAsia="宋体" w:cs="宋体"/>
          <w:bCs/>
          <w:color w:val="000000"/>
          <w:sz w:val="36"/>
          <w:highlight w:val="none"/>
          <w:u w:val="single"/>
        </w:rPr>
      </w:pPr>
      <w:r>
        <w:rPr>
          <w:rFonts w:hint="eastAsia" w:ascii="宋体" w:hAnsi="宋体" w:eastAsia="宋体" w:cs="宋体"/>
          <w:bCs/>
          <w:color w:val="000000"/>
          <w:sz w:val="36"/>
          <w:highlight w:val="none"/>
        </w:rPr>
        <w:t xml:space="preserve">招 标 编 号：</w:t>
      </w:r>
      <w:r>
        <w:rPr>
          <w:rFonts w:hint="eastAsia" w:ascii="宋体" w:hAnsi="宋体" w:eastAsia="宋体" w:cs="宋体"/>
          <w:bCs/>
          <w:color w:val="000000"/>
          <w:sz w:val="36"/>
          <w:highlight w:val="none"/>
          <w:u w:val="single"/>
        </w:rPr>
        <w:t xml:space="preserve">                  </w:t>
      </w:r>
      <w:r>
        <w:rPr>
          <w:rFonts w:hint="eastAsia" w:ascii="宋体" w:hAnsi="宋体" w:eastAsia="宋体" w:cs="宋体"/>
          <w:bCs/>
          <w:color w:val="000000"/>
          <w:sz w:val="36"/>
          <w:highlight w:val="none"/>
          <w:u w:val="single"/>
        </w:rPr>
      </w:r>
      <w:r/>
    </w:p>
    <w:p>
      <w:pPr>
        <w:pStyle w:val="976"/>
        <w:ind w:firstLine="1260"/>
        <w:rPr>
          <w:rFonts w:hint="eastAsia" w:ascii="宋体" w:hAnsi="宋体" w:eastAsia="宋体" w:cs="宋体"/>
          <w:bCs/>
          <w:color w:val="000000"/>
          <w:sz w:val="36"/>
          <w:highlight w:val="none"/>
          <w:u w:val="single"/>
        </w:rPr>
      </w:pPr>
      <w:r>
        <w:rPr>
          <w:rFonts w:hint="eastAsia" w:ascii="宋体" w:hAnsi="宋体" w:eastAsia="宋体" w:cs="宋体"/>
          <w:bCs/>
          <w:color w:val="000000"/>
          <w:sz w:val="36"/>
          <w:highlight w:val="none"/>
        </w:rPr>
        <w:t xml:space="preserve">供应商名称：</w:t>
      </w:r>
      <w:r>
        <w:rPr>
          <w:rFonts w:hint="eastAsia" w:ascii="宋体" w:hAnsi="宋体" w:eastAsia="宋体" w:cs="宋体"/>
          <w:bCs/>
          <w:color w:val="000000"/>
          <w:sz w:val="36"/>
          <w:highlight w:val="none"/>
          <w:u w:val="single"/>
        </w:rPr>
        <w:t xml:space="preserve">（加盖CA电子公章）</w:t>
      </w:r>
      <w:r>
        <w:rPr>
          <w:rFonts w:hint="eastAsia" w:ascii="宋体" w:hAnsi="宋体" w:eastAsia="宋体" w:cs="宋体"/>
          <w:bCs/>
          <w:color w:val="000000"/>
          <w:sz w:val="36"/>
          <w:highlight w:val="none"/>
          <w:u w:val="single"/>
        </w:rPr>
      </w:r>
      <w:r/>
    </w:p>
    <w:p>
      <w:pPr>
        <w:pStyle w:val="976"/>
        <w:ind w:firstLine="1260"/>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t xml:space="preserve">日      期 ：</w:t>
      </w:r>
      <w:r>
        <w:rPr>
          <w:rFonts w:hint="eastAsia" w:ascii="宋体" w:hAnsi="宋体" w:eastAsia="宋体" w:cs="宋体"/>
          <w:bCs/>
          <w:color w:val="000000"/>
          <w:sz w:val="36"/>
          <w:highlight w:val="none"/>
          <w:u w:val="single"/>
        </w:rPr>
        <w:t xml:space="preserve">                  </w:t>
      </w:r>
      <w:r>
        <w:rPr>
          <w:rFonts w:hint="eastAsia" w:ascii="宋体" w:hAnsi="宋体" w:eastAsia="宋体" w:cs="宋体"/>
          <w:bCs/>
          <w:color w:val="000000"/>
          <w:sz w:val="36"/>
          <w:highlight w:val="none"/>
        </w:rPr>
      </w:r>
      <w:r/>
    </w:p>
    <w:p>
      <w:pPr>
        <w:pStyle w:val="976"/>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6"/>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76"/>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76"/>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976"/>
        <w:jc w:val="center"/>
        <w:spacing w:before="100" w:after="100" w:line="0" w:lineRule="atLeas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投标文件目录</w:t>
      </w:r>
      <w:r>
        <w:rPr>
          <w:rFonts w:hint="eastAsia" w:ascii="宋体" w:hAnsi="宋体" w:eastAsia="宋体" w:cs="宋体"/>
          <w:color w:val="000000"/>
          <w:sz w:val="32"/>
          <w:szCs w:val="32"/>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一、法人或者其他组织的营业执照等证明文件，自然人的身份证明</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二、经审计的上一年度财务状况报表（至少提供资产负债表、利润表、现金流量表，投标人成立不满一年无需提供）</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三、具备履行合同所必需的设备和专业技术能力的书面声明</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五、参加政府采购活动前 3 年内在经营活动中没有重大违法记录的书面声明</w:t>
      </w:r>
      <w:r>
        <w:rPr>
          <w:rFonts w:hint="eastAsia" w:ascii="宋体" w:hAnsi="宋体" w:eastAsia="宋体" w:cs="宋体"/>
          <w:bCs/>
          <w:color w:val="000000"/>
          <w:sz w:val="24"/>
          <w:highlight w:val="none"/>
        </w:rPr>
      </w:r>
      <w:r/>
    </w:p>
    <w:p>
      <w:pPr>
        <w:pStyle w:val="976"/>
        <w:ind w:firstLine="96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eastAsia="宋体" w:cs="宋体"/>
          <w:b/>
          <w:bCs/>
          <w:color w:val="000000"/>
          <w:sz w:val="24"/>
          <w:highlight w:val="none"/>
        </w:rPr>
        <w:t xml:space="preserve">自行承诺</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六、特定资格要求的证明文件（如果本项目设置特定资格要求，则需要提供）</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七、法人授权书</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八、投标函</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九、中小微企业声明函</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十、残疾人福利性单位声明函</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如有</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十一、投标分项报价表</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十二、技术要求响应及偏离表</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十三、商务要求响应及偏离表</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十四、开标一览表</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十五、</w:t>
      </w:r>
      <w:r>
        <w:rPr>
          <w:rFonts w:hint="eastAsia" w:ascii="宋体" w:hAnsi="宋体" w:cs="宋体"/>
          <w:bCs/>
          <w:color w:val="000000"/>
          <w:sz w:val="24"/>
          <w:highlight w:val="none"/>
          <w:lang w:val="en-US" w:eastAsia="zh-CN"/>
        </w:rPr>
        <w:t xml:space="preserve">服务</w:t>
      </w:r>
      <w:r>
        <w:rPr>
          <w:rFonts w:hint="eastAsia" w:ascii="宋体" w:hAnsi="宋体" w:eastAsia="宋体" w:cs="宋体"/>
          <w:bCs/>
          <w:color w:val="000000"/>
          <w:sz w:val="24"/>
          <w:highlight w:val="none"/>
        </w:rPr>
        <w:t xml:space="preserve">方案</w:t>
      </w:r>
      <w:r>
        <w:rPr>
          <w:rFonts w:hint="eastAsia" w:ascii="宋体" w:hAnsi="宋体" w:eastAsia="宋体" w:cs="宋体"/>
          <w:bCs/>
          <w:color w:val="000000"/>
          <w:sz w:val="24"/>
          <w:highlight w:val="none"/>
        </w:rPr>
      </w:r>
      <w:r/>
    </w:p>
    <w:p>
      <w:pPr>
        <w:pStyle w:val="97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十六 、盐城市政府采购事前信用承诺书</w:t>
      </w:r>
      <w:r>
        <w:rPr>
          <w:rFonts w:hint="eastAsia" w:ascii="宋体" w:hAnsi="宋体" w:eastAsia="宋体" w:cs="宋体"/>
          <w:bCs/>
          <w:color w:val="000000"/>
          <w:sz w:val="24"/>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jc w:val="center"/>
        <w:spacing w:before="50" w:after="50" w:line="500" w:lineRule="exact"/>
        <w:rPr>
          <w:rFonts w:hint="eastAsia" w:ascii="宋体" w:hAnsi="宋体" w:eastAsia="宋体" w:cs="宋体"/>
          <w:color w:val="000000"/>
          <w:sz w:val="24"/>
          <w:szCs w:val="20"/>
          <w:highlight w:val="none"/>
        </w:rPr>
      </w:pPr>
      <w:r>
        <w:rPr>
          <w:rFonts w:hint="eastAsia" w:ascii="宋体" w:hAnsi="宋体" w:eastAsia="宋体" w:cs="宋体"/>
          <w:color w:val="000000"/>
          <w:sz w:val="32"/>
          <w:szCs w:val="32"/>
          <w:highlight w:val="none"/>
        </w:rPr>
        <w:t xml:space="preserve">一、法人或者其他组织的营业执照等证明文件，自然人的身份证明</w:t>
      </w:r>
      <w:r>
        <w:rPr>
          <w:rFonts w:hint="eastAsia" w:ascii="宋体" w:hAnsi="宋体" w:eastAsia="宋体" w:cs="宋体"/>
          <w:color w:val="000000"/>
          <w:sz w:val="24"/>
          <w:szCs w:val="20"/>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spacing w:line="260" w:lineRule="exact"/>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32"/>
          <w:szCs w:val="32"/>
          <w:highlight w:val="none"/>
        </w:rPr>
      </w:r>
      <w:r/>
    </w:p>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32"/>
          <w:szCs w:val="32"/>
          <w:highlight w:val="none"/>
        </w:rPr>
        <w:t xml:space="preserve">二、上一年度的财务状况报表</w:t>
      </w:r>
      <w:r>
        <w:rPr>
          <w:rFonts w:hint="eastAsia" w:ascii="宋体" w:hAnsi="宋体" w:eastAsia="宋体" w:cs="宋体"/>
          <w:sz w:val="24"/>
          <w:szCs w:val="24"/>
          <w:highlight w:val="none"/>
        </w:rPr>
      </w:r>
      <w:r/>
    </w:p>
    <w:p>
      <w:pPr>
        <w:pStyle w:val="976"/>
        <w:jc w:val="center"/>
        <w:spacing w:before="100" w:after="100"/>
        <w:widowControl/>
        <w:rPr>
          <w:rFonts w:hint="eastAsia" w:ascii="宋体" w:hAnsi="宋体" w:eastAsia="宋体" w:cs="宋体"/>
          <w:highlight w:val="none"/>
        </w:rPr>
      </w:pPr>
      <w:r>
        <w:rPr>
          <w:rFonts w:hint="eastAsia" w:ascii="宋体" w:hAnsi="宋体" w:eastAsia="宋体" w:cs="宋体"/>
          <w:bCs/>
          <w:color w:val="000000"/>
          <w:sz w:val="24"/>
          <w:szCs w:val="24"/>
          <w:highlight w:val="none"/>
        </w:rPr>
        <w:t xml:space="preserve">（至少提供资产负债表、利润表、现金流量表，投标人成立不满一年无需提供）</w:t>
      </w:r>
      <w:r>
        <w:rPr>
          <w:rFonts w:hint="eastAsia" w:ascii="宋体" w:hAnsi="宋体" w:eastAsia="宋体" w:cs="宋体"/>
          <w:highlight w:val="none"/>
        </w:rPr>
      </w:r>
      <w:r/>
    </w:p>
    <w:p>
      <w:pPr>
        <w:pStyle w:val="976"/>
        <w:spacing w:line="260" w:lineRule="exact"/>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976"/>
        <w:jc w:val="center"/>
        <w:rPr>
          <w:rFonts w:hint="eastAsia" w:ascii="宋体" w:hAnsi="宋体" w:eastAsia="宋体" w:cs="宋体"/>
          <w:color w:val="000000"/>
          <w:sz w:val="40"/>
          <w:szCs w:val="40"/>
          <w:highlight w:val="none"/>
        </w:rPr>
      </w:pPr>
      <w:r>
        <w:rPr>
          <w:rFonts w:hint="eastAsia" w:ascii="宋体" w:hAnsi="宋体" w:eastAsia="宋体" w:cs="宋体"/>
          <w:color w:val="000000"/>
          <w:sz w:val="32"/>
          <w:szCs w:val="32"/>
          <w:highlight w:val="none"/>
        </w:rPr>
        <w:t xml:space="preserve">三、具备履行合同所必需的设备和专业技术能力的书面声明</w:t>
      </w:r>
      <w:r>
        <w:rPr>
          <w:rFonts w:hint="eastAsia" w:ascii="宋体" w:hAnsi="宋体" w:eastAsia="宋体" w:cs="宋体"/>
          <w:color w:val="000000"/>
          <w:sz w:val="40"/>
          <w:szCs w:val="40"/>
          <w:highlight w:val="none"/>
        </w:rPr>
      </w:r>
      <w:r/>
    </w:p>
    <w:p>
      <w:pPr>
        <w:pStyle w:val="97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ind w:firstLine="493"/>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bCs/>
          <w:color w:val="000000"/>
          <w:sz w:val="24"/>
          <w:highlight w:val="none"/>
        </w:rPr>
      </w:r>
      <w:r/>
    </w:p>
    <w:p>
      <w:pPr>
        <w:pStyle w:val="976"/>
        <w:ind w:firstLine="493"/>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主要设备有：   。</w:t>
      </w:r>
      <w:r>
        <w:rPr>
          <w:rFonts w:hint="eastAsia" w:ascii="宋体" w:hAnsi="宋体" w:eastAsia="宋体" w:cs="宋体"/>
          <w:bCs/>
          <w:color w:val="000000"/>
          <w:sz w:val="24"/>
          <w:highlight w:val="none"/>
        </w:rPr>
      </w:r>
      <w:r/>
    </w:p>
    <w:p>
      <w:pPr>
        <w:pStyle w:val="976"/>
        <w:ind w:firstLine="493"/>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主要专业技术能力有：   。</w:t>
      </w:r>
      <w:r>
        <w:rPr>
          <w:rFonts w:hint="eastAsia" w:ascii="宋体" w:hAnsi="宋体" w:eastAsia="宋体" w:cs="宋体"/>
          <w:bCs/>
          <w:color w:val="000000"/>
          <w:sz w:val="24"/>
          <w:highlight w:val="none"/>
        </w:rPr>
      </w:r>
      <w:r/>
    </w:p>
    <w:p>
      <w:pPr>
        <w:pStyle w:val="976"/>
        <w:ind w:firstLine="420"/>
        <w:spacing w:line="360" w:lineRule="auto"/>
        <w:rPr>
          <w:rFonts w:hint="eastAsia" w:ascii="宋体" w:hAnsi="宋体" w:eastAsia="宋体" w:cs="宋体"/>
          <w:szCs w:val="20"/>
          <w:highlight w:val="none"/>
        </w:rPr>
      </w:pPr>
      <w:r>
        <w:rPr>
          <w:rFonts w:hint="eastAsia" w:ascii="宋体" w:hAnsi="宋体" w:eastAsia="宋体" w:cs="宋体"/>
          <w:szCs w:val="20"/>
          <w:highlight w:val="none"/>
        </w:rPr>
      </w:r>
      <w:r/>
    </w:p>
    <w:p>
      <w:pPr>
        <w:pStyle w:val="976"/>
        <w:ind w:firstLine="420"/>
        <w:spacing w:line="360" w:lineRule="auto"/>
        <w:rPr>
          <w:rFonts w:hint="eastAsia" w:ascii="宋体" w:hAnsi="宋体" w:eastAsia="宋体" w:cs="宋体"/>
          <w:szCs w:val="20"/>
          <w:highlight w:val="none"/>
        </w:rPr>
      </w:pPr>
      <w:r>
        <w:rPr>
          <w:rFonts w:hint="eastAsia" w:ascii="宋体" w:hAnsi="宋体" w:eastAsia="宋体" w:cs="宋体"/>
          <w:szCs w:val="20"/>
          <w:highlight w:val="none"/>
        </w:rPr>
      </w:r>
      <w:r/>
    </w:p>
    <w:p>
      <w:pPr>
        <w:pStyle w:val="976"/>
        <w:ind w:firstLine="420"/>
        <w:spacing w:line="360" w:lineRule="auto"/>
        <w:rPr>
          <w:rFonts w:hint="eastAsia" w:ascii="宋体" w:hAnsi="宋体" w:eastAsia="宋体" w:cs="宋体"/>
          <w:szCs w:val="20"/>
          <w:highlight w:val="none"/>
        </w:rPr>
      </w:pPr>
      <w:r>
        <w:rPr>
          <w:rFonts w:hint="eastAsia" w:ascii="宋体" w:hAnsi="宋体" w:eastAsia="宋体" w:cs="宋体"/>
          <w:szCs w:val="20"/>
          <w:highlight w:val="none"/>
        </w:rPr>
      </w:r>
      <w:r/>
    </w:p>
    <w:p>
      <w:pPr>
        <w:pStyle w:val="976"/>
        <w:jc w:val="center"/>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供应商名称（公章）：</w:t>
      </w:r>
      <w:r>
        <w:rPr>
          <w:rFonts w:hint="eastAsia" w:ascii="宋体" w:hAnsi="宋体" w:eastAsia="宋体" w:cs="宋体"/>
          <w:bCs/>
          <w:color w:val="000000"/>
          <w:sz w:val="24"/>
          <w:highlight w:val="none"/>
        </w:rPr>
      </w:r>
      <w:r/>
    </w:p>
    <w:p>
      <w:pPr>
        <w:pStyle w:val="976"/>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976"/>
        <w:spacing w:line="260" w:lineRule="exact"/>
        <w:rPr>
          <w:rFonts w:hint="eastAsia" w:ascii="宋体" w:hAnsi="宋体" w:eastAsia="宋体" w:cs="宋体"/>
          <w:color w:val="000000"/>
          <w:sz w:val="32"/>
          <w:szCs w:val="32"/>
          <w:highlight w:val="none"/>
        </w:rPr>
      </w:pPr>
      <w:r>
        <w:rPr>
          <w:rFonts w:hint="eastAsia" w:ascii="宋体" w:hAnsi="宋体" w:eastAsia="宋体" w:cs="宋体"/>
          <w:highlight w:val="none"/>
        </w:rPr>
        <w:br w:type="page" w:clear="all"/>
      </w:r>
      <w:r>
        <w:rPr>
          <w:rFonts w:hint="eastAsia" w:ascii="宋体" w:hAnsi="宋体" w:eastAsia="宋体" w:cs="宋体"/>
          <w:color w:val="000000"/>
          <w:sz w:val="32"/>
          <w:szCs w:val="32"/>
          <w:highlight w:val="none"/>
        </w:rPr>
      </w:r>
      <w:r/>
    </w:p>
    <w:p>
      <w:pPr>
        <w:pStyle w:val="97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四、依法缴纳税收和社会保障资金的相关材料</w:t>
      </w:r>
      <w:r>
        <w:rPr>
          <w:rFonts w:hint="eastAsia" w:ascii="宋体" w:hAnsi="宋体" w:eastAsia="宋体" w:cs="宋体"/>
          <w:color w:val="000000"/>
          <w:sz w:val="32"/>
          <w:szCs w:val="32"/>
          <w:highlight w:val="none"/>
        </w:rPr>
      </w:r>
      <w:r/>
    </w:p>
    <w:p>
      <w:pPr>
        <w:pStyle w:val="976"/>
        <w:ind w:firstLine="480"/>
        <w:jc w:val="left"/>
        <w:spacing w:before="100" w:after="10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sz w:val="24"/>
          <w:szCs w:val="24"/>
          <w:highlight w:val="none"/>
        </w:rPr>
      </w:r>
      <w:r/>
    </w:p>
    <w:p>
      <w:pPr>
        <w:pStyle w:val="976"/>
        <w:jc w:val="center"/>
        <w:keepLines/>
        <w:keepNext/>
        <w:spacing w:before="260" w:after="260" w:line="500" w:lineRule="exact"/>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供应商名称（公章）：</w:t>
      </w:r>
      <w:r>
        <w:rPr>
          <w:rFonts w:hint="eastAsia" w:ascii="宋体" w:hAnsi="宋体" w:eastAsia="宋体" w:cs="宋体"/>
          <w:bCs/>
          <w:color w:val="000000"/>
          <w:sz w:val="24"/>
          <w:highlight w:val="none"/>
        </w:rPr>
      </w:r>
      <w:r/>
    </w:p>
    <w:p>
      <w:pPr>
        <w:pStyle w:val="976"/>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976"/>
        <w:jc w:val="center"/>
        <w:keepLines/>
        <w:keepNext/>
        <w:spacing w:before="260" w:after="260" w:line="500" w:lineRule="exact"/>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五、参加政府采购活动前 3 年内在经营活动中没有重大违法记录的</w:t>
      </w:r>
      <w:r>
        <w:rPr>
          <w:rFonts w:hint="eastAsia" w:ascii="宋体" w:hAnsi="宋体" w:eastAsia="宋体" w:cs="宋体"/>
          <w:color w:val="000000"/>
          <w:sz w:val="32"/>
          <w:szCs w:val="32"/>
          <w:highlight w:val="none"/>
        </w:rPr>
      </w:r>
      <w:r/>
    </w:p>
    <w:p>
      <w:pPr>
        <w:pStyle w:val="976"/>
        <w:jc w:val="center"/>
        <w:keepLines/>
        <w:keepNext/>
        <w:spacing w:before="260" w:after="260" w:line="500" w:lineRule="exact"/>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t xml:space="preserve">书面声明</w:t>
      </w:r>
      <w:r>
        <w:rPr>
          <w:rFonts w:hint="eastAsia" w:ascii="宋体" w:hAnsi="宋体" w:eastAsia="宋体" w:cs="宋体"/>
          <w:color w:val="000000"/>
          <w:sz w:val="32"/>
          <w:szCs w:val="32"/>
          <w:highlight w:val="none"/>
        </w:rPr>
      </w:r>
      <w:r/>
    </w:p>
    <w:p>
      <w:pPr>
        <w:pStyle w:val="976"/>
        <w:ind w:firstLine="448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声  明</w:t>
      </w:r>
      <w:r>
        <w:rPr>
          <w:rFonts w:hint="eastAsia" w:ascii="宋体" w:hAnsi="宋体" w:eastAsia="宋体" w:cs="宋体"/>
          <w:color w:val="000000"/>
          <w:sz w:val="32"/>
          <w:szCs w:val="32"/>
          <w:highlight w:val="none"/>
        </w:rPr>
      </w:r>
      <w:r/>
    </w:p>
    <w:p>
      <w:pPr>
        <w:pStyle w:val="976"/>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6"/>
        <w:spacing w:line="500" w:lineRule="exact"/>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rPr>
        <w:t xml:space="preserve">    </w:t>
      </w:r>
      <w:r>
        <w:rPr>
          <w:rFonts w:hint="eastAsia" w:ascii="宋体" w:hAnsi="宋体" w:eastAsia="宋体" w:cs="宋体"/>
          <w:bCs/>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4"/>
          <w:highlight w:val="none"/>
        </w:rPr>
      </w:r>
      <w:r/>
    </w:p>
    <w:p>
      <w:pPr>
        <w:pStyle w:val="976"/>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976"/>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ind w:firstLine="58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供应商名称（公章）：</w:t>
      </w:r>
      <w:r>
        <w:rPr>
          <w:rFonts w:hint="eastAsia" w:ascii="宋体" w:hAnsi="宋体" w:eastAsia="宋体" w:cs="宋体"/>
          <w:bCs/>
          <w:color w:val="000000"/>
          <w:sz w:val="24"/>
          <w:highlight w:val="none"/>
        </w:rPr>
      </w:r>
      <w:r/>
    </w:p>
    <w:p>
      <w:pPr>
        <w:pStyle w:val="976"/>
        <w:ind w:firstLine="4560"/>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76"/>
        <w:spacing w:line="260" w:lineRule="exact"/>
        <w:rPr>
          <w:rFonts w:hint="eastAsia" w:ascii="宋体" w:hAnsi="宋体" w:eastAsia="宋体" w:cs="宋体"/>
          <w:highlight w:val="none"/>
        </w:rPr>
      </w:pPr>
      <w:r>
        <w:rPr>
          <w:rFonts w:hint="eastAsia" w:ascii="宋体" w:hAnsi="宋体" w:eastAsia="宋体" w:cs="宋体"/>
          <w:highlight w:val="none"/>
        </w:rPr>
      </w:r>
      <w:r/>
    </w:p>
    <w:p>
      <w:pPr>
        <w:pStyle w:val="976"/>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976"/>
        <w:ind w:firstLine="640"/>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六、特定资格要求的证明文件</w:t>
      </w:r>
      <w:r>
        <w:rPr>
          <w:rFonts w:hint="eastAsia" w:ascii="宋体" w:hAnsi="宋体" w:eastAsia="宋体" w:cs="宋体"/>
          <w:color w:val="000000"/>
          <w:sz w:val="32"/>
          <w:szCs w:val="32"/>
          <w:highlight w:val="none"/>
        </w:rPr>
      </w:r>
      <w:r/>
    </w:p>
    <w:p>
      <w:pPr>
        <w:pStyle w:val="976"/>
        <w:jc w:val="center"/>
        <w:spacing w:before="100" w:after="100" w:line="0" w:lineRule="atLeas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如果本项目申请人的特定资格要求中要求提供的，必须提供。</w:t>
      </w:r>
      <w:r>
        <w:rPr>
          <w:rFonts w:hint="eastAsia" w:ascii="宋体" w:hAnsi="宋体" w:eastAsia="宋体" w:cs="宋体"/>
          <w:sz w:val="24"/>
          <w:szCs w:val="24"/>
          <w:highlight w:val="none"/>
        </w:rPr>
      </w:r>
      <w:r/>
    </w:p>
    <w:p>
      <w:pPr>
        <w:pStyle w:val="976"/>
        <w:rPr>
          <w:rFonts w:hint="eastAsia" w:ascii="宋体" w:hAnsi="宋体" w:eastAsia="宋体" w:cs="宋体"/>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七、法人授权书</w:t>
      </w:r>
      <w:r>
        <w:rPr>
          <w:rFonts w:hint="eastAsia" w:ascii="宋体" w:hAnsi="宋体" w:eastAsia="宋体" w:cs="宋体"/>
          <w:color w:val="000000"/>
          <w:sz w:val="32"/>
          <w:szCs w:val="32"/>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ind w:firstLine="480"/>
        <w:spacing w:line="5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本授权书声明：____________（供应商名称）授权________________（被授权人的姓名）为我方就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号项目采购活动的合法代理人，以本公司名义全权处理一切与该项目采购有关的事务。</w:t>
      </w:r>
      <w:r>
        <w:rPr>
          <w:rFonts w:hint="eastAsia" w:ascii="宋体" w:hAnsi="宋体" w:eastAsia="宋体" w:cs="宋体"/>
          <w:color w:val="000000"/>
          <w:sz w:val="24"/>
          <w:szCs w:val="24"/>
          <w:highlight w:val="none"/>
        </w:rPr>
      </w:r>
      <w:r/>
    </w:p>
    <w:p>
      <w:pPr>
        <w:pStyle w:val="976"/>
        <w:ind w:firstLine="480"/>
        <w:spacing w:line="5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976"/>
        <w:ind w:firstLine="480"/>
        <w:jc w:val="left"/>
        <w:spacing w:before="100" w:beforeAutospacing="1" w:after="100" w:afterAutospacing="1" w:line="2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被授权人身份证号码：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76"/>
        <w:ind w:firstLine="480"/>
        <w:jc w:val="left"/>
        <w:spacing w:before="100" w:beforeAutospacing="1" w:after="100" w:afterAutospacing="1" w:line="2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被授权人联系电话：</w:t>
      </w:r>
      <w:r>
        <w:rPr>
          <w:rFonts w:hint="eastAsia" w:ascii="宋体" w:hAnsi="宋体" w:eastAsia="宋体" w:cs="宋体"/>
          <w:sz w:val="24"/>
          <w:highlight w:val="none"/>
          <w:u w:val="single"/>
        </w:rPr>
        <w:t xml:space="preserve">  （手机）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76"/>
        <w:ind w:firstLine="480"/>
        <w:jc w:val="left"/>
        <w:spacing w:before="100" w:beforeAutospacing="1" w:after="100" w:afterAutospacing="1" w:line="2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授权单位名称：</w:t>
      </w:r>
      <w:r>
        <w:rPr>
          <w:rFonts w:hint="eastAsia" w:ascii="宋体" w:hAnsi="宋体" w:eastAsia="宋体" w:cs="宋体"/>
          <w:sz w:val="24"/>
          <w:highlight w:val="none"/>
          <w:u w:val="single"/>
        </w:rPr>
        <w:t xml:space="preserve">（加盖CA电子公章）          </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976"/>
        <w:ind w:firstLine="480"/>
        <w:jc w:val="left"/>
        <w:spacing w:before="100" w:beforeAutospacing="1" w:after="100" w:afterAutospacing="1" w:line="24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单 位 地 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r>
      <w:r/>
    </w:p>
    <w:p>
      <w:pPr>
        <w:pStyle w:val="976"/>
        <w:ind w:firstLine="480"/>
        <w:jc w:val="left"/>
        <w:spacing w:before="100" w:beforeAutospacing="1" w:after="100" w:afterAutospacing="1" w:line="240" w:lineRule="exac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日       期：</w:t>
      </w:r>
      <w:r>
        <w:rPr>
          <w:rFonts w:hint="eastAsia" w:ascii="宋体" w:hAnsi="宋体" w:eastAsia="宋体" w:cs="宋体"/>
          <w:sz w:val="24"/>
          <w:szCs w:val="22"/>
          <w:highlight w:val="none"/>
          <w:u w:val="single"/>
        </w:rPr>
        <w:t xml:space="preserve">                           </w:t>
      </w:r>
      <w:r>
        <w:rPr>
          <w:rFonts w:hint="eastAsia" w:ascii="宋体" w:hAnsi="宋体" w:eastAsia="宋体" w:cs="宋体"/>
          <w:sz w:val="24"/>
          <w:szCs w:val="22"/>
          <w:highlight w:val="none"/>
        </w:rPr>
      </w:r>
      <w:r/>
    </w:p>
    <w:p>
      <w:pPr>
        <w:pStyle w:val="976"/>
        <w:keepLines/>
        <w:keepNext/>
        <w:spacing w:before="260" w:after="260" w:line="416"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r>
      <w:r/>
    </w:p>
    <w:p>
      <w:pPr>
        <w:pStyle w:val="976"/>
        <w:ind w:firstLine="420"/>
        <w:rPr>
          <w:rFonts w:hint="eastAsia" w:ascii="宋体" w:hAnsi="宋体" w:eastAsia="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highlight w:val="none"/>
        </w:rPr>
      </w:r>
      <w:r/>
    </w:p>
    <w:p>
      <w:pPr>
        <w:pStyle w:val="976"/>
        <w:ind w:firstLine="420"/>
        <w:rPr>
          <w:rFonts w:hint="eastAsia" w:ascii="宋体" w:hAnsi="宋体" w:eastAsia="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highlight w:val="none"/>
        </w:rPr>
      </w:r>
      <w:r/>
    </w:p>
    <w:p>
      <w:pPr>
        <w:pStyle w:val="976"/>
        <w:ind w:firstLine="420"/>
        <w:rPr>
          <w:rFonts w:hint="eastAsia" w:ascii="宋体" w:hAnsi="宋体" w:eastAsia="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highlight w:val="none"/>
        </w:rPr>
      </w:r>
      <w:r/>
    </w:p>
    <w:p>
      <w:pPr>
        <w:pStyle w:val="976"/>
        <w:ind w:firstLine="420"/>
        <w:rPr>
          <w:rFonts w:hint="eastAsia" w:ascii="宋体" w:hAnsi="宋体" w:eastAsia="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highlight w:val="none"/>
        </w:rPr>
      </w:r>
      <w:r/>
    </w:p>
    <w:p>
      <w:pPr>
        <w:pStyle w:val="976"/>
        <w:ind w:firstLine="1800"/>
        <w:spacing w:line="560" w:lineRule="exact"/>
        <w:rPr>
          <w:rFonts w:hint="eastAsia" w:ascii="宋体" w:hAnsi="宋体" w:eastAsia="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highlight w:val="none"/>
        </w:rPr>
        <w:t xml:space="preserve">身份证复印件粘贴处（正反面且须与原件一致）：</w:t>
      </w:r>
      <w:r>
        <w:rPr>
          <w:rFonts w:hint="eastAsia" w:ascii="宋体" w:hAnsi="宋体" w:eastAsia="宋体" w:cs="宋体"/>
          <w:color w:val="000000"/>
          <w:sz w:val="24"/>
          <w:highlight w:val="none"/>
        </w:rPr>
      </w:r>
      <w:r/>
    </w:p>
    <w:p>
      <w:pPr>
        <w:pStyle w:val="976"/>
        <w:spacing w:line="560" w:lineRule="exact"/>
        <w:rPr>
          <w:rFonts w:hint="eastAsia" w:ascii="宋体" w:hAnsi="宋体" w:eastAsia="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highlight w:val="none"/>
        </w:rPr>
      </w:r>
      <w:r/>
    </w:p>
    <w:p>
      <w:pPr>
        <w:pStyle w:val="976"/>
        <w:ind w:firstLine="645"/>
        <w:spacing w:line="560" w:lineRule="exact"/>
        <w:rPr>
          <w:rFonts w:hint="eastAsia" w:ascii="宋体" w:hAnsi="宋体" w:eastAsia="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highlight w:val="none"/>
        </w:rPr>
      </w:r>
      <w:r/>
    </w:p>
    <w:p>
      <w:pPr>
        <w:pStyle w:val="976"/>
        <w:ind w:firstLine="645"/>
        <w:spacing w:line="560" w:lineRule="exact"/>
        <w:rPr>
          <w:rFonts w:hint="eastAsia" w:ascii="宋体" w:hAnsi="宋体" w:eastAsia="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highlight w:val="none"/>
        </w:rPr>
      </w:r>
      <w:r/>
    </w:p>
    <w:p>
      <w:pPr>
        <w:pStyle w:val="976"/>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八、投标函（格式）</w:t>
      </w:r>
      <w:r>
        <w:rPr>
          <w:rFonts w:hint="eastAsia" w:ascii="宋体" w:hAnsi="宋体" w:eastAsia="宋体" w:cs="宋体"/>
          <w:color w:val="000000"/>
          <w:sz w:val="32"/>
          <w:szCs w:val="32"/>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sz w:val="24"/>
          <w:szCs w:val="24"/>
          <w:highlight w:val="none"/>
        </w:rPr>
        <w:t xml:space="preserve">江苏国信政府采购服务中心有限公司</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项目招标文件，正式授权下述签字人_______________（姓名）代表我方______________（投标人的名称），全权处理本次项目投标的有关事宜。</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据此函，兹宣布同意如下：</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1.按招标文件规定的各项要求，向买方提供所需服务（包含与服务相关的货物）。</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5.如果在开标后规定的投标有效期内撤回投标或中标后拒绝签订合同，则按照国家相关法律法规受到相应处罚。</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6.同意向贵方提供贵方可能另外要求的与投标有关的任何证据或资料，并保证我方已提供和将要提供的文件是真实的、准确的。</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8.与本投标有关的正式通讯地址为：</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供应商开户行：</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w:t>
      </w:r>
      <w:r>
        <w:rPr>
          <w:rFonts w:hint="eastAsia" w:ascii="宋体" w:hAnsi="宋体" w:eastAsia="宋体" w:cs="宋体"/>
          <w:color w:val="000000"/>
          <w:sz w:val="24"/>
          <w:highlight w:val="none"/>
        </w:rPr>
      </w:r>
      <w:r/>
    </w:p>
    <w:p>
      <w:pPr>
        <w:pStyle w:val="976"/>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期：______年____月____日</w:t>
      </w:r>
      <w:r>
        <w:rPr>
          <w:rFonts w:hint="eastAsia" w:ascii="宋体" w:hAnsi="宋体" w:eastAsia="宋体" w:cs="宋体"/>
          <w:color w:val="000000"/>
          <w:sz w:val="24"/>
          <w:highlight w:val="none"/>
        </w:rPr>
      </w:r>
      <w:r/>
    </w:p>
    <w:p>
      <w:pPr>
        <w:pStyle w:val="1210"/>
        <w:ind w:firstLine="562"/>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976"/>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九、中小企业声明函（服务）</w:t>
      </w:r>
      <w:r>
        <w:rPr>
          <w:rFonts w:hint="eastAsia" w:ascii="宋体" w:hAnsi="宋体" w:eastAsia="宋体" w:cs="宋体"/>
          <w:color w:val="000000"/>
          <w:sz w:val="32"/>
          <w:szCs w:val="32"/>
          <w:highlight w:val="none"/>
        </w:rPr>
      </w:r>
      <w:r/>
    </w:p>
    <w:p>
      <w:pPr>
        <w:pStyle w:val="976"/>
        <w:ind w:firstLine="480"/>
        <w:spacing w:before="100" w:after="10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 xml:space="preserve">单位的采购文件编号</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rPr>
          <w:rFonts w:hint="eastAsia" w:ascii="宋体" w:hAnsi="宋体" w:eastAsia="宋体" w:cs="宋体"/>
          <w:sz w:val="24"/>
          <w:szCs w:val="24"/>
          <w:highlight w:val="none"/>
        </w:rPr>
      </w:r>
      <w:r/>
    </w:p>
    <w:p>
      <w:pPr>
        <w:pStyle w:val="976"/>
        <w:ind w:firstLine="360"/>
        <w:spacing w:before="100" w:after="100" w:line="500" w:lineRule="exact"/>
        <w:widowControl/>
        <w:rPr>
          <w:rFonts w:hint="eastAsia" w:ascii="宋体" w:hAnsi="宋体" w:eastAsia="宋体" w:cs="宋体"/>
          <w:i/>
          <w:iCs/>
          <w:sz w:val="24"/>
          <w:szCs w:val="24"/>
          <w:highlight w:val="none"/>
        </w:rPr>
      </w:pPr>
      <w:r>
        <w:rPr>
          <w:rFonts w:hint="eastAsia" w:ascii="宋体" w:hAnsi="宋体" w:eastAsia="宋体" w:cs="宋体"/>
          <w:i/>
          <w:iCs/>
          <w:color w:val="000000"/>
          <w:sz w:val="24"/>
          <w:szCs w:val="24"/>
          <w:highlight w:val="none"/>
        </w:rPr>
        <w:t xml:space="preserve">1.</w:t>
      </w:r>
      <w:r>
        <w:rPr>
          <w:rFonts w:hint="eastAsia" w:ascii="宋体" w:hAnsi="宋体" w:eastAsia="宋体" w:cs="宋体"/>
          <w:i/>
          <w:iCs/>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rPr>
        <w:t xml:space="preserve">行业；承接企业为</w:t>
      </w:r>
      <w:r>
        <w:rPr>
          <w:rFonts w:hint="eastAsia" w:ascii="宋体" w:hAnsi="宋体" w:eastAsia="宋体" w:cs="宋体"/>
          <w:i/>
          <w:iCs/>
          <w:color w:val="000000"/>
          <w:sz w:val="24"/>
          <w:szCs w:val="24"/>
          <w:highlight w:val="none"/>
          <w:u w:val="single"/>
        </w:rPr>
        <w:t xml:space="preserve">（企业名称）</w:t>
      </w:r>
      <w:r>
        <w:rPr>
          <w:rFonts w:hint="eastAsia" w:ascii="宋体" w:hAnsi="宋体" w:eastAsia="宋体" w:cs="宋体"/>
          <w:i/>
          <w:iCs/>
          <w:color w:val="000000"/>
          <w:sz w:val="24"/>
          <w:szCs w:val="24"/>
          <w:highlight w:val="none"/>
        </w:rPr>
        <w:t xml:space="preserve">，从业人员</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rPr>
        <w:t xml:space="preserve">人，营业收入为</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rPr>
        <w:t xml:space="preserve">万元，资产总额为</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rPr>
        <w:t xml:space="preserve">万元</w:t>
      </w:r>
      <w:r>
        <w:rPr>
          <w:rFonts w:hint="eastAsia" w:ascii="宋体" w:hAnsi="宋体" w:eastAsia="宋体" w:cs="宋体"/>
          <w:i/>
          <w:iCs/>
          <w:color w:val="000000"/>
          <w:sz w:val="24"/>
          <w:szCs w:val="24"/>
          <w:highlight w:val="none"/>
          <w:vertAlign w:val="superscript"/>
        </w:rPr>
        <w:t xml:space="preserve">1</w:t>
      </w:r>
      <w:r>
        <w:rPr>
          <w:rFonts w:hint="eastAsia" w:ascii="宋体" w:hAnsi="宋体" w:eastAsia="宋体" w:cs="宋体"/>
          <w:i/>
          <w:iCs/>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sz w:val="24"/>
          <w:szCs w:val="24"/>
          <w:highlight w:val="none"/>
          <w:u w:val="single"/>
        </w:rPr>
        <w:t xml:space="preserve">中型企业、小型企业、微型企业</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sz w:val="24"/>
          <w:szCs w:val="24"/>
          <w:highlight w:val="none"/>
        </w:rPr>
      </w:r>
      <w:r/>
    </w:p>
    <w:p>
      <w:pPr>
        <w:pStyle w:val="976"/>
        <w:ind w:firstLine="360"/>
        <w:spacing w:before="100" w:after="100" w:line="500" w:lineRule="exact"/>
        <w:widowControl/>
        <w:rPr>
          <w:rFonts w:hint="eastAsia" w:ascii="宋体" w:hAnsi="宋体" w:eastAsia="宋体" w:cs="宋体"/>
          <w:i/>
          <w:iCs/>
          <w:sz w:val="24"/>
          <w:szCs w:val="24"/>
          <w:highlight w:val="none"/>
        </w:rPr>
      </w:pPr>
      <w:r>
        <w:rPr>
          <w:rFonts w:hint="eastAsia" w:ascii="宋体" w:hAnsi="宋体" w:eastAsia="宋体" w:cs="宋体"/>
          <w:i/>
          <w:iCs/>
          <w:color w:val="000000"/>
          <w:sz w:val="24"/>
          <w:szCs w:val="24"/>
          <w:highlight w:val="none"/>
        </w:rPr>
        <w:t xml:space="preserve">2.</w:t>
      </w:r>
      <w:r>
        <w:rPr>
          <w:rFonts w:hint="eastAsia" w:ascii="宋体" w:hAnsi="宋体" w:eastAsia="宋体" w:cs="宋体"/>
          <w:i/>
          <w:iCs/>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rPr>
        <w:t xml:space="preserve">行业；承接企业为</w:t>
      </w:r>
      <w:r>
        <w:rPr>
          <w:rFonts w:hint="eastAsia" w:ascii="宋体" w:hAnsi="宋体" w:eastAsia="宋体" w:cs="宋体"/>
          <w:i/>
          <w:iCs/>
          <w:color w:val="000000"/>
          <w:sz w:val="24"/>
          <w:szCs w:val="24"/>
          <w:highlight w:val="none"/>
          <w:u w:val="single"/>
        </w:rPr>
        <w:t xml:space="preserve">（企业名称）</w:t>
      </w:r>
      <w:r>
        <w:rPr>
          <w:rFonts w:hint="eastAsia" w:ascii="宋体" w:hAnsi="宋体" w:eastAsia="宋体" w:cs="宋体"/>
          <w:i/>
          <w:iCs/>
          <w:color w:val="000000"/>
          <w:sz w:val="24"/>
          <w:szCs w:val="24"/>
          <w:highlight w:val="none"/>
        </w:rPr>
        <w:t xml:space="preserve">，从业人员</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rPr>
        <w:t xml:space="preserve">人，营业收入为</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rPr>
        <w:t xml:space="preserve">万元，资产总额为</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iCs/>
          <w:color w:val="000000"/>
          <w:sz w:val="24"/>
          <w:szCs w:val="24"/>
          <w:highlight w:val="none"/>
        </w:rPr>
        <w:t xml:space="preserve">万元</w:t>
      </w:r>
      <w:r>
        <w:rPr>
          <w:rFonts w:hint="eastAsia" w:ascii="宋体" w:hAnsi="宋体" w:eastAsia="宋体" w:cs="宋体"/>
          <w:i/>
          <w:iCs/>
          <w:color w:val="000000"/>
          <w:sz w:val="24"/>
          <w:szCs w:val="24"/>
          <w:highlight w:val="none"/>
          <w:vertAlign w:val="superscript"/>
        </w:rPr>
        <w:t xml:space="preserve">1</w:t>
      </w:r>
      <w:r>
        <w:rPr>
          <w:rFonts w:hint="eastAsia" w:ascii="宋体" w:hAnsi="宋体" w:eastAsia="宋体" w:cs="宋体"/>
          <w:i/>
          <w:iCs/>
          <w:color w:val="000000"/>
          <w:sz w:val="24"/>
          <w:szCs w:val="24"/>
          <w:highlight w:val="none"/>
        </w:rPr>
        <w:t xml:space="preserve">，属于</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sz w:val="24"/>
          <w:szCs w:val="24"/>
          <w:highlight w:val="none"/>
          <w:u w:val="single"/>
        </w:rPr>
        <w:t xml:space="preserve">中型企业、小型企业、微型企业</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sz w:val="24"/>
          <w:szCs w:val="24"/>
          <w:highlight w:val="none"/>
        </w:rPr>
      </w:r>
      <w:r/>
    </w:p>
    <w:p>
      <w:pPr>
        <w:pStyle w:val="976"/>
        <w:ind w:firstLine="360"/>
        <w:spacing w:before="100" w:after="10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976"/>
        <w:ind w:firstLine="360"/>
        <w:spacing w:before="100" w:after="10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highlight w:val="none"/>
        </w:rPr>
      </w:r>
      <w:r/>
    </w:p>
    <w:p>
      <w:pPr>
        <w:pStyle w:val="976"/>
        <w:ind w:firstLine="360"/>
        <w:spacing w:before="100" w:after="10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sz w:val="24"/>
          <w:szCs w:val="24"/>
          <w:highlight w:val="none"/>
        </w:rPr>
      </w:r>
      <w:r/>
    </w:p>
    <w:p>
      <w:pPr>
        <w:pStyle w:val="976"/>
        <w:ind w:right="720"/>
        <w:spacing w:before="100" w:after="100"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6"/>
        <w:ind w:right="180" w:firstLine="360"/>
        <w:jc w:val="right"/>
        <w:spacing w:before="100" w:after="10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企业名称（公章）：</w:t>
      </w:r>
      <w:r>
        <w:rPr>
          <w:rFonts w:hint="eastAsia" w:ascii="宋体" w:hAnsi="宋体" w:eastAsia="宋体" w:cs="宋体"/>
          <w:sz w:val="24"/>
          <w:szCs w:val="24"/>
          <w:highlight w:val="none"/>
        </w:rPr>
      </w:r>
      <w:r/>
    </w:p>
    <w:p>
      <w:pPr>
        <w:pStyle w:val="976"/>
        <w:ind w:right="480"/>
        <w:jc w:val="right"/>
        <w:spacing w:before="100" w:after="100"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sz w:val="24"/>
          <w:szCs w:val="24"/>
          <w:highlight w:val="none"/>
        </w:rPr>
      </w:r>
      <w:r/>
    </w:p>
    <w:p>
      <w:pPr>
        <w:pStyle w:val="976"/>
        <w:ind w:firstLine="480"/>
        <w:spacing w:line="500" w:lineRule="exact"/>
        <w:rPr>
          <w:rFonts w:hint="eastAsia" w:ascii="宋体" w:hAnsi="宋体" w:eastAsia="宋体" w:cs="宋体"/>
          <w:sz w:val="24"/>
          <w:highlight w:val="none"/>
        </w:rPr>
      </w:pPr>
      <w:r>
        <w:rPr>
          <w:rFonts w:hint="eastAsia" w:ascii="宋体" w:hAnsi="宋体" w:eastAsia="宋体" w:cs="宋体"/>
          <w:highlight w:val="none"/>
        </w:rPr>
        <w:t xml:space="preserve"> </w:t>
      </w:r>
      <w:r>
        <w:rPr>
          <w:rFonts w:hint="eastAsia" w:ascii="宋体" w:hAnsi="宋体" w:eastAsia="宋体" w:cs="宋体"/>
          <w:sz w:val="24"/>
          <w:highlight w:val="none"/>
        </w:rPr>
        <w:t xml:space="preserve">备注1：从业人员、营业收入、资产总额填报上一年度数据，无上一年度数据的新成立企业可不填报。</w:t>
      </w:r>
      <w:r>
        <w:rPr>
          <w:rFonts w:hint="eastAsia" w:ascii="宋体" w:hAnsi="宋体" w:eastAsia="宋体" w:cs="宋体"/>
          <w:sz w:val="24"/>
          <w:highlight w:val="none"/>
        </w:rPr>
      </w:r>
      <w:r/>
    </w:p>
    <w:p>
      <w:pPr>
        <w:pStyle w:val="976"/>
        <w:ind w:firstLine="480"/>
        <w:spacing w:line="500" w:lineRule="exact"/>
        <w:rPr>
          <w:rFonts w:hint="eastAsia" w:ascii="宋体" w:hAnsi="宋体" w:eastAsia="宋体" w:cs="宋体"/>
          <w:i/>
          <w:sz w:val="32"/>
          <w:szCs w:val="32"/>
          <w:highlight w:val="none"/>
          <w:u w:val="single"/>
        </w:rPr>
      </w:pPr>
      <w:r>
        <w:rPr>
          <w:rFonts w:hint="eastAsia" w:ascii="宋体" w:hAnsi="宋体" w:eastAsia="宋体" w:cs="宋体"/>
          <w:sz w:val="24"/>
          <w:highlight w:val="none"/>
        </w:rPr>
        <w:t xml:space="preserve">备注2：供应商如不提供此声明函，价格将不做相应扣除（如项目全面面向中小企业，则资格审查不通过）。</w:t>
      </w:r>
      <w:r>
        <w:rPr>
          <w:rFonts w:hint="eastAsia" w:ascii="宋体" w:hAnsi="宋体" w:eastAsia="宋体" w:cs="宋体"/>
          <w:i/>
          <w:sz w:val="32"/>
          <w:szCs w:val="32"/>
          <w:highlight w:val="none"/>
          <w:u w:val="single"/>
        </w:rPr>
      </w:r>
      <w:r/>
    </w:p>
    <w:p>
      <w:pPr>
        <w:pStyle w:val="976"/>
        <w:ind w:firstLine="480"/>
        <w:spacing w:before="100" w:after="100"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6"/>
        <w:rPr>
          <w:rFonts w:hint="eastAsia" w:ascii="宋体" w:hAnsi="宋体" w:eastAsia="宋体" w:cs="宋体"/>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highlight w:val="none"/>
        </w:rPr>
      </w:r>
      <w:r/>
    </w:p>
    <w:p>
      <w:pPr>
        <w:pStyle w:val="976"/>
        <w:jc w:val="center"/>
        <w:spacing w:before="100" w:after="100" w:line="400" w:lineRule="exact"/>
        <w:widowControl/>
        <w:rPr>
          <w:rFonts w:hint="eastAsia" w:ascii="宋体" w:hAnsi="宋体" w:eastAsia="宋体" w:cs="宋体"/>
          <w:sz w:val="24"/>
          <w:szCs w:val="24"/>
          <w:highlight w:val="none"/>
        </w:rPr>
      </w:pPr>
      <w:r>
        <w:rPr>
          <w:rFonts w:hint="eastAsia" w:ascii="宋体" w:hAnsi="宋体" w:eastAsia="宋体" w:cs="宋体"/>
          <w:color w:val="000000"/>
          <w:sz w:val="32"/>
          <w:szCs w:val="32"/>
          <w:highlight w:val="none"/>
        </w:rPr>
        <w:t xml:space="preserve"> 十、残疾人福利性单位声明函</w:t>
      </w:r>
      <w:r>
        <w:rPr>
          <w:rFonts w:hint="eastAsia" w:ascii="宋体" w:hAnsi="宋体" w:eastAsia="宋体" w:cs="宋体"/>
          <w:sz w:val="24"/>
          <w:szCs w:val="24"/>
          <w:highlight w:val="none"/>
        </w:rPr>
      </w:r>
      <w:r/>
    </w:p>
    <w:p>
      <w:pPr>
        <w:pStyle w:val="976"/>
        <w:ind w:firstLine="480"/>
        <w:spacing w:before="100" w:after="10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单位的采购文件编号为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采购活动由本单位提供服务。</w:t>
      </w:r>
      <w:r>
        <w:rPr>
          <w:rFonts w:hint="eastAsia" w:ascii="宋体" w:hAnsi="宋体" w:eastAsia="宋体" w:cs="宋体"/>
          <w:color w:val="000000"/>
          <w:sz w:val="24"/>
          <w:szCs w:val="24"/>
          <w:highlight w:val="none"/>
        </w:rPr>
      </w:r>
      <w:r/>
    </w:p>
    <w:p>
      <w:pPr>
        <w:pStyle w:val="976"/>
        <w:ind w:firstLine="480"/>
        <w:spacing w:before="100" w:after="10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976"/>
        <w:ind w:firstLine="480"/>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备注：1、供应商如不提供此声明函，价格将不做相应扣除</w:t>
      </w:r>
      <w:r>
        <w:rPr>
          <w:rFonts w:hint="eastAsia" w:ascii="宋体" w:hAnsi="宋体" w:eastAsia="宋体" w:cs="宋体"/>
          <w:sz w:val="24"/>
          <w:highlight w:val="none"/>
        </w:rPr>
        <w:t xml:space="preserve">（如项目全面面向中小企业，则资格审查不通过）</w:t>
      </w:r>
      <w:r>
        <w:rPr>
          <w:rFonts w:hint="eastAsia" w:ascii="宋体" w:hAnsi="宋体" w:eastAsia="宋体" w:cs="宋体"/>
          <w:sz w:val="24"/>
          <w:szCs w:val="24"/>
          <w:highlight w:val="none"/>
        </w:rPr>
        <w:t xml:space="preserve">。2、中标人为残疾人福利单位的，此声明函将随中标结果同时公告，接受社会监督</w:t>
      </w:r>
      <w:r>
        <w:rPr>
          <w:rFonts w:hint="eastAsia" w:ascii="宋体" w:hAnsi="宋体" w:eastAsia="宋体" w:cs="宋体"/>
          <w:sz w:val="24"/>
          <w:szCs w:val="24"/>
          <w:highlight w:val="none"/>
        </w:rPr>
      </w:r>
      <w:r/>
    </w:p>
    <w:p>
      <w:pPr>
        <w:pStyle w:val="97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6"/>
        <w:ind w:firstLine="624"/>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6"/>
        <w:ind w:right="1559" w:firstLine="482"/>
        <w:jc w:val="center"/>
        <w:spacing w:before="100" w:after="100" w:line="500" w:lineRule="exact"/>
        <w:widowControl/>
        <w:tabs>
          <w:tab w:val="left" w:pos="48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24"/>
          <w:szCs w:val="24"/>
          <w:highlight w:val="none"/>
        </w:rPr>
        <w:t xml:space="preserve">         供应商全称（公章）：</w:t>
      </w:r>
      <w:r>
        <w:rPr>
          <w:rFonts w:hint="eastAsia" w:ascii="宋体" w:hAnsi="宋体" w:eastAsia="宋体" w:cs="宋体"/>
          <w:color w:val="000000"/>
          <w:sz w:val="24"/>
          <w:szCs w:val="24"/>
          <w:highlight w:val="none"/>
        </w:rPr>
      </w:r>
      <w:r/>
    </w:p>
    <w:p>
      <w:pPr>
        <w:pStyle w:val="976"/>
        <w:ind w:right="1559" w:firstLine="482"/>
        <w:jc w:val="right"/>
        <w:spacing w:before="100" w:after="100" w:line="500" w:lineRule="exact"/>
        <w:widowControl/>
        <w:tabs>
          <w:tab w:val="left" w:pos="4864"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sz w:val="24"/>
          <w:szCs w:val="24"/>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6"/>
        <w:jc w:val="center"/>
        <w:rPr>
          <w:rFonts w:hint="eastAsia" w:ascii="宋体" w:hAnsi="宋体" w:eastAsia="宋体" w:cs="宋体"/>
          <w:b/>
          <w:sz w:val="32"/>
          <w:szCs w:val="32"/>
          <w:highlight w:val="none"/>
        </w:rPr>
        <w:outlineLvl w:val="1"/>
      </w:pPr>
      <w:r>
        <w:rPr>
          <w:rFonts w:hint="eastAsia" w:ascii="宋体" w:hAnsi="宋体" w:eastAsia="宋体" w:cs="宋体"/>
          <w:b/>
          <w:sz w:val="32"/>
          <w:szCs w:val="32"/>
          <w:highlight w:val="none"/>
        </w:rPr>
      </w:r>
      <w:r/>
    </w:p>
    <w:p>
      <w:pPr>
        <w:pStyle w:val="976"/>
        <w:rPr>
          <w:rFonts w:hint="eastAsia" w:ascii="宋体" w:hAnsi="宋体" w:eastAsia="宋体" w:cs="宋体"/>
          <w:sz w:val="32"/>
          <w:szCs w:val="32"/>
          <w:highlight w:val="none"/>
        </w:rPr>
        <w:sectPr>
          <w:footerReference w:type="default" r:id="rId12"/>
          <w:footnotePr/>
          <w:endnotePr/>
          <w:type w:val="nextPage"/>
          <w:pgSz w:w="11906" w:h="16838" w:orient="portrait"/>
          <w:pgMar w:top="1134" w:right="1134" w:bottom="1134" w:left="1196" w:header="794" w:footer="907" w:gutter="0"/>
          <w:pgNumType w:start="1"/>
          <w:cols w:num="1" w:sep="0" w:space="1701" w:equalWidth="1"/>
          <w:docGrid w:linePitch="360"/>
        </w:sectPr>
      </w:pPr>
      <w:r>
        <w:rPr>
          <w:rFonts w:hint="eastAsia" w:ascii="宋体" w:hAnsi="宋体" w:eastAsia="宋体" w:cs="宋体"/>
          <w:sz w:val="32"/>
          <w:szCs w:val="32"/>
          <w:highlight w:val="none"/>
        </w:rPr>
      </w:r>
      <w:r/>
    </w:p>
    <w:p>
      <w:pPr>
        <w:pStyle w:val="976"/>
        <w:jc w:val="center"/>
        <w:spacing w:before="100" w:after="100" w:line="400" w:lineRule="exact"/>
        <w:widowControl/>
        <w:rPr>
          <w:rFonts w:hint="eastAsia" w:ascii="宋体" w:hAnsi="宋体" w:eastAsia="宋体" w:cs="宋体"/>
          <w:bCs/>
          <w:iCs/>
          <w:highlight w:val="none"/>
          <w:lang w:val="zh-CN"/>
        </w:rPr>
      </w:pPr>
      <w:r>
        <w:rPr>
          <w:rFonts w:hint="eastAsia" w:ascii="宋体" w:hAnsi="宋体" w:eastAsia="宋体" w:cs="宋体"/>
          <w:color w:val="000000"/>
          <w:sz w:val="32"/>
          <w:szCs w:val="32"/>
          <w:highlight w:val="none"/>
        </w:rPr>
        <w:t xml:space="preserve">十一、分项报价表</w:t>
      </w:r>
      <w:r>
        <w:rPr>
          <w:rFonts w:hint="eastAsia" w:ascii="宋体" w:hAnsi="宋体" w:eastAsia="宋体" w:cs="宋体"/>
          <w:bCs/>
          <w:iCs/>
          <w:highlight w:val="none"/>
          <w:lang w:val="zh-CN"/>
        </w:rPr>
      </w:r>
      <w:r/>
    </w:p>
    <w:p>
      <w:pPr>
        <w:pStyle w:val="976"/>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976"/>
        <w:spacing w:line="500" w:lineRule="exact"/>
        <w:rPr>
          <w:rFonts w:hint="eastAsia" w:ascii="宋体" w:hAnsi="宋体" w:eastAsia="宋体" w:cs="宋体"/>
          <w:sz w:val="32"/>
          <w:szCs w:val="32"/>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sz w:val="32"/>
          <w:szCs w:val="32"/>
          <w:highlight w:val="none"/>
        </w:rPr>
      </w:r>
      <w:r/>
    </w:p>
    <w:tbl>
      <w:tblPr>
        <w:tblW w:w="1437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6"/>
        <w:gridCol w:w="845"/>
        <w:gridCol w:w="2056"/>
        <w:gridCol w:w="1625"/>
        <w:gridCol w:w="955"/>
        <w:gridCol w:w="1227"/>
        <w:gridCol w:w="1227"/>
        <w:gridCol w:w="5578"/>
      </w:tblGrid>
      <w:tr>
        <w:trPr>
          <w:trHeight w:val="330"/>
        </w:trPr>
        <w:tc>
          <w:tcPr>
            <w:gridSpan w:val="2"/>
            <w:tcW w:w="857"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序号</w:t>
            </w:r>
            <w:r>
              <w:rPr>
                <w:rFonts w:ascii="华文仿宋" w:hAnsi="华文仿宋" w:eastAsia="华文仿宋" w:cs="华文仿宋"/>
                <w:b/>
                <w:bCs/>
                <w:i w:val="0"/>
                <w:iCs w:val="0"/>
                <w:color w:val="000000"/>
                <w:sz w:val="22"/>
                <w:szCs w:val="22"/>
                <w:highlight w:val="none"/>
                <w:u w:val="none"/>
              </w:rPr>
            </w:r>
            <w:r/>
          </w:p>
        </w:tc>
        <w:tc>
          <w:tcPr>
            <w:gridSpan w:val="2"/>
            <w:tcW w:w="2901"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项目名称</w:t>
            </w:r>
            <w:r>
              <w:rPr>
                <w:rFonts w:hint="eastAsia" w:ascii="华文仿宋" w:hAnsi="华文仿宋" w:eastAsia="华文仿宋" w:cs="华文仿宋"/>
                <w:b/>
                <w:bCs/>
                <w:i w:val="0"/>
                <w:iCs w:val="0"/>
                <w:color w:val="000000"/>
                <w:sz w:val="22"/>
                <w:szCs w:val="22"/>
                <w:highlight w:val="none"/>
                <w:u w:val="none"/>
              </w:rPr>
            </w:r>
            <w:r/>
          </w:p>
        </w:tc>
        <w:tc>
          <w:tcPr>
            <w:tcW w:w="1625"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费用（元/人/年）</w:t>
            </w:r>
            <w:r>
              <w:rPr>
                <w:rFonts w:hint="eastAsia" w:ascii="华文仿宋" w:hAnsi="华文仿宋" w:eastAsia="华文仿宋" w:cs="华文仿宋"/>
                <w:b/>
                <w:bCs/>
                <w:i w:val="0"/>
                <w:iCs w:val="0"/>
                <w:color w:val="000000"/>
                <w:sz w:val="22"/>
                <w:szCs w:val="22"/>
                <w:highlight w:val="none"/>
                <w:u w:val="none"/>
              </w:rPr>
            </w:r>
            <w:r/>
          </w:p>
        </w:tc>
        <w:tc>
          <w:tcPr>
            <w:tcW w:w="955"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结算人数</w:t>
            </w:r>
            <w:r>
              <w:rPr>
                <w:rFonts w:hint="eastAsia" w:ascii="华文仿宋" w:hAnsi="华文仿宋" w:eastAsia="华文仿宋" w:cs="华文仿宋"/>
                <w:b/>
                <w:bCs/>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单价（元）</w:t>
            </w:r>
            <w:r>
              <w:rPr>
                <w:rFonts w:ascii="华文仿宋" w:hAnsi="华文仿宋" w:eastAsia="华文仿宋" w:cs="华文仿宋"/>
                <w:b/>
                <w:bCs/>
                <w:i w:val="0"/>
                <w:iCs w:val="0"/>
                <w:color w:val="000000"/>
                <w:sz w:val="22"/>
                <w:szCs w:val="22"/>
                <w:highlight w:val="none"/>
                <w:u w:val="none"/>
                <w:lang w:val="en-US" w:eastAsia="zh-CN" w:bidi="ar"/>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合计（元）</w:t>
            </w:r>
            <w:r>
              <w:rPr>
                <w:rFonts w:hint="eastAsia" w:ascii="华文仿宋" w:hAnsi="华文仿宋" w:eastAsia="华文仿宋" w:cs="华文仿宋"/>
                <w:b/>
                <w:bCs/>
                <w:i w:val="0"/>
                <w:iCs w:val="0"/>
                <w:color w:val="000000"/>
                <w:sz w:val="22"/>
                <w:szCs w:val="22"/>
                <w:highlight w:val="none"/>
                <w:u w:val="none"/>
              </w:rPr>
            </w:r>
            <w:r/>
          </w:p>
        </w:tc>
        <w:tc>
          <w:tcPr>
            <w:tcW w:w="5578" w:type="dxa"/>
            <w:vAlign w:val="center"/>
            <w:textDirection w:val="lrTb"/>
            <w:noWrap/>
          </w:tcPr>
          <w:p>
            <w:pPr>
              <w:pStyle w:val="976"/>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rHeight w:val="440"/>
        </w:trPr>
        <w:tc>
          <w:tcPr>
            <w:gridSpan w:val="2"/>
            <w:tcW w:w="857" w:type="dxa"/>
            <w:vAlign w:val="center"/>
            <w:vMerge w:val="restart"/>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一</w:t>
            </w:r>
            <w:r>
              <w:rPr>
                <w:rFonts w:hint="eastAsia" w:ascii="华文仿宋" w:hAnsi="华文仿宋" w:eastAsia="华文仿宋" w:cs="华文仿宋"/>
                <w:b/>
                <w:bCs/>
                <w:i w:val="0"/>
                <w:iCs w:val="0"/>
                <w:color w:val="000000"/>
                <w:sz w:val="22"/>
                <w:szCs w:val="22"/>
                <w:highlight w:val="none"/>
                <w:u w:val="none"/>
              </w:rPr>
            </w:r>
            <w:r/>
          </w:p>
        </w:tc>
        <w:tc>
          <w:tcPr>
            <w:tcW w:w="84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2056"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项目经理</w:t>
            </w:r>
            <w:r>
              <w:rPr>
                <w:rFonts w:hint="eastAsia" w:ascii="华文仿宋" w:hAnsi="华文仿宋" w:eastAsia="华文仿宋" w:cs="华文仿宋"/>
                <w:i w:val="0"/>
                <w:iCs w:val="0"/>
                <w:color w:val="000000"/>
                <w:sz w:val="22"/>
                <w:szCs w:val="22"/>
                <w:highlight w:val="none"/>
                <w:u w:val="none"/>
              </w:rPr>
            </w:r>
            <w:r/>
          </w:p>
        </w:tc>
        <w:tc>
          <w:tcPr>
            <w:tcW w:w="162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95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 </w:t>
            </w: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vMerge w:val="restart"/>
            <w:textDirection w:val="lrTb"/>
            <w:noWrap/>
          </w:tcPr>
          <w:p>
            <w:pPr>
              <w:pStyle w:val="976"/>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t xml:space="preserve">人员工资不低于 2260 元/人</w:t>
            </w:r>
            <w:r>
              <w:rPr>
                <w:rFonts w:hint="eastAsia" w:ascii="宋体" w:hAnsi="宋体" w:eastAsia="宋体" w:cs="宋体"/>
                <w:b/>
                <w:bCs/>
                <w:i w:val="0"/>
                <w:iCs w:val="0"/>
                <w:color w:val="000000"/>
                <w:sz w:val="22"/>
                <w:szCs w:val="22"/>
                <w:highlight w:val="none"/>
                <w:u w:val="none"/>
              </w:rPr>
            </w:r>
            <w:r/>
          </w:p>
          <w:p>
            <w:pPr>
              <w:pStyle w:val="976"/>
              <w:jc w:val="center"/>
              <w:rPr>
                <w:rFonts w:ascii="宋体" w:hAnsi="宋体" w:eastAsia="宋体" w:cs="宋体"/>
                <w:b/>
                <w:bCs/>
                <w:i w:val="0"/>
                <w:iCs w:val="0"/>
                <w:color w:val="000000"/>
                <w:sz w:val="22"/>
                <w:szCs w:val="22"/>
                <w:highlight w:val="none"/>
                <w:u w:val="none"/>
                <w:lang w:val="en-US"/>
              </w:rPr>
            </w:pPr>
            <w:r>
              <w:rPr>
                <w:rFonts w:hint="eastAsia" w:ascii="宋体" w:hAnsi="宋体" w:eastAsia="宋体" w:cs="宋体"/>
                <w:b/>
                <w:bCs/>
                <w:i w:val="0"/>
                <w:iCs w:val="0"/>
                <w:color w:val="000000"/>
                <w:sz w:val="22"/>
                <w:szCs w:val="22"/>
                <w:highlight w:val="none"/>
                <w:u w:val="none"/>
              </w:rPr>
              <w:t xml:space="preserve">月，社</w:t>
            </w:r>
            <w:r>
              <w:rPr>
                <w:rFonts w:hint="eastAsia" w:ascii="宋体" w:hAnsi="宋体" w:cs="宋体"/>
                <w:b/>
                <w:bCs/>
                <w:i w:val="0"/>
                <w:iCs w:val="0"/>
                <w:color w:val="000000"/>
                <w:sz w:val="22"/>
                <w:szCs w:val="22"/>
                <w:highlight w:val="none"/>
                <w:u w:val="none"/>
                <w:lang w:val="en-US" w:eastAsia="zh-CN"/>
              </w:rPr>
              <w:t xml:space="preserve">会保险</w:t>
            </w:r>
            <w:r>
              <w:rPr>
                <w:rFonts w:hint="eastAsia" w:ascii="宋体" w:hAnsi="宋体" w:eastAsia="宋体" w:cs="宋体"/>
                <w:b/>
                <w:bCs/>
                <w:i w:val="0"/>
                <w:iCs w:val="0"/>
                <w:color w:val="000000"/>
                <w:sz w:val="22"/>
                <w:szCs w:val="22"/>
                <w:highlight w:val="none"/>
                <w:u w:val="none"/>
              </w:rPr>
              <w:t xml:space="preserve">不得低于</w:t>
            </w:r>
            <w:r>
              <w:rPr>
                <w:rFonts w:hint="eastAsia" w:ascii="宋体" w:hAnsi="宋体" w:cs="宋体"/>
                <w:b/>
                <w:bCs/>
                <w:i w:val="0"/>
                <w:iCs w:val="0"/>
                <w:color w:val="000000"/>
                <w:sz w:val="22"/>
                <w:szCs w:val="22"/>
                <w:highlight w:val="none"/>
                <w:u w:val="none"/>
                <w:lang w:val="en-US" w:eastAsia="zh-CN"/>
              </w:rPr>
              <w:t xml:space="preserve">1292.47</w:t>
            </w:r>
            <w:r>
              <w:rPr>
                <w:rFonts w:hint="eastAsia" w:ascii="宋体" w:hAnsi="宋体" w:eastAsia="宋体" w:cs="宋体"/>
                <w:b/>
                <w:bCs/>
                <w:i w:val="0"/>
                <w:iCs w:val="0"/>
                <w:color w:val="000000"/>
                <w:sz w:val="22"/>
                <w:szCs w:val="22"/>
                <w:highlight w:val="none"/>
                <w:u w:val="none"/>
              </w:rPr>
              <w:t xml:space="preserve"> 元人/月，住房公积金不低于114 元/人/月，</w:t>
            </w:r>
            <w:r>
              <w:rPr>
                <w:rFonts w:hint="eastAsia" w:ascii="宋体" w:hAnsi="宋体" w:eastAsia="宋体" w:cs="宋体"/>
                <w:b/>
                <w:bCs/>
                <w:i w:val="0"/>
                <w:iCs w:val="0"/>
                <w:color w:val="000000"/>
                <w:sz w:val="22"/>
                <w:szCs w:val="22"/>
                <w:highlight w:val="none"/>
                <w:u w:val="none"/>
                <w:lang w:val="en-US" w:eastAsia="zh-CN"/>
              </w:rPr>
              <w:t xml:space="preserve">雇主责任险</w:t>
            </w:r>
            <w:r>
              <w:rPr>
                <w:rFonts w:hint="eastAsia" w:ascii="宋体" w:hAnsi="宋体" w:cs="宋体"/>
                <w:b/>
                <w:bCs/>
                <w:i w:val="0"/>
                <w:iCs w:val="0"/>
                <w:color w:val="000000"/>
                <w:sz w:val="22"/>
                <w:szCs w:val="22"/>
                <w:highlight w:val="none"/>
                <w:u w:val="none"/>
                <w:lang w:val="en-US" w:eastAsia="zh-CN"/>
              </w:rPr>
              <w:t xml:space="preserve">不低于101.40/人/月，法定节假日加班费不低于4052.41 元/人/年，高温补贴费不低于1200元/人/年，休息日加班费</w:t>
            </w:r>
            <w:r>
              <w:rPr>
                <w:rFonts w:hint="eastAsia" w:ascii="宋体" w:hAnsi="宋体" w:cs="宋体"/>
                <w:b/>
                <w:bCs/>
                <w:sz w:val="24"/>
                <w:szCs w:val="20"/>
                <w:highlight w:val="none"/>
                <w:lang w:val="en-US" w:eastAsia="zh-CN"/>
              </w:rPr>
              <w:t xml:space="preserve">7800</w:t>
            </w:r>
            <w:r>
              <w:rPr>
                <w:rFonts w:hint="eastAsia" w:ascii="宋体" w:hAnsi="宋体" w:cs="宋体"/>
                <w:b/>
                <w:bCs/>
                <w:i w:val="0"/>
                <w:iCs w:val="0"/>
                <w:color w:val="000000"/>
                <w:sz w:val="22"/>
                <w:szCs w:val="22"/>
                <w:highlight w:val="none"/>
                <w:u w:val="none"/>
                <w:lang w:val="en-US" w:eastAsia="zh-CN"/>
              </w:rPr>
              <w:t xml:space="preserve">元/人/年填报。</w:t>
            </w:r>
            <w:r>
              <w:rPr>
                <w:rFonts w:ascii="宋体" w:hAnsi="宋体" w:eastAsia="宋体" w:cs="宋体"/>
                <w:b/>
                <w:bCs/>
                <w:i w:val="0"/>
                <w:iCs w:val="0"/>
                <w:color w:val="000000"/>
                <w:sz w:val="22"/>
                <w:szCs w:val="22"/>
                <w:highlight w:val="none"/>
                <w:u w:val="none"/>
                <w:lang w:val="en-US"/>
              </w:rPr>
            </w:r>
            <w:r/>
          </w:p>
        </w:tc>
      </w:tr>
      <w:tr>
        <w:trPr>
          <w:trHeight w:val="440"/>
        </w:trPr>
        <w:tc>
          <w:tcPr>
            <w:gridSpan w:val="2"/>
            <w:tcW w:w="857" w:type="dxa"/>
            <w:vAlign w:val="center"/>
            <w:vMerge w:val="continue"/>
            <w:textDirection w:val="lrTb"/>
            <w:noWrap w:val="false"/>
          </w:tcPr>
          <w:p>
            <w:pPr>
              <w:pStyle w:val="976"/>
              <w:jc w:val="center"/>
              <w:rPr>
                <w:rFonts w:hint="eastAsia" w:ascii="华文仿宋" w:hAnsi="华文仿宋" w:eastAsia="华文仿宋" w:cs="华文仿宋"/>
                <w:b/>
                <w:bCs/>
                <w:i w:val="0"/>
                <w:iCs w:val="0"/>
                <w:color w:val="000000"/>
                <w:sz w:val="22"/>
                <w:szCs w:val="22"/>
                <w:highlight w:val="none"/>
                <w:u w:val="none"/>
              </w:rPr>
            </w:pPr>
            <w:r>
              <w:rPr>
                <w:rFonts w:hint="eastAsia" w:ascii="华文仿宋" w:hAnsi="华文仿宋" w:eastAsia="华文仿宋" w:cs="华文仿宋"/>
                <w:b/>
                <w:bCs/>
                <w:i w:val="0"/>
                <w:iCs w:val="0"/>
                <w:color w:val="000000"/>
                <w:sz w:val="22"/>
                <w:szCs w:val="22"/>
                <w:highlight w:val="none"/>
                <w:u w:val="none"/>
              </w:rPr>
            </w:r>
            <w:r/>
          </w:p>
        </w:tc>
        <w:tc>
          <w:tcPr>
            <w:tcW w:w="84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2</w:t>
            </w:r>
            <w:r>
              <w:rPr>
                <w:rFonts w:hint="eastAsia" w:ascii="华文仿宋" w:hAnsi="华文仿宋" w:eastAsia="华文仿宋" w:cs="华文仿宋"/>
                <w:i w:val="0"/>
                <w:iCs w:val="0"/>
                <w:color w:val="000000"/>
                <w:sz w:val="22"/>
                <w:szCs w:val="22"/>
                <w:highlight w:val="none"/>
                <w:u w:val="none"/>
              </w:rPr>
            </w:r>
            <w:r/>
          </w:p>
        </w:tc>
        <w:tc>
          <w:tcPr>
            <w:tcW w:w="2056"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队长</w:t>
            </w:r>
            <w:r>
              <w:rPr>
                <w:rFonts w:hint="eastAsia" w:ascii="华文仿宋" w:hAnsi="华文仿宋" w:eastAsia="华文仿宋" w:cs="华文仿宋"/>
                <w:i w:val="0"/>
                <w:iCs w:val="0"/>
                <w:color w:val="000000"/>
                <w:sz w:val="22"/>
                <w:szCs w:val="22"/>
                <w:highlight w:val="none"/>
                <w:u w:val="none"/>
              </w:rPr>
            </w:r>
            <w:r/>
          </w:p>
        </w:tc>
        <w:tc>
          <w:tcPr>
            <w:tcW w:w="162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95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2 </w:t>
            </w: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vMerge w:val="continue"/>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40"/>
        </w:trPr>
        <w:tc>
          <w:tcPr>
            <w:gridSpan w:val="2"/>
            <w:tcW w:w="857" w:type="dxa"/>
            <w:vAlign w:val="center"/>
            <w:vMerge w:val="continue"/>
            <w:textDirection w:val="lrTb"/>
            <w:noWrap w:val="false"/>
          </w:tcPr>
          <w:p>
            <w:pPr>
              <w:pStyle w:val="976"/>
              <w:jc w:val="center"/>
              <w:rPr>
                <w:rFonts w:hint="eastAsia" w:ascii="华文仿宋" w:hAnsi="华文仿宋" w:eastAsia="华文仿宋" w:cs="华文仿宋"/>
                <w:b/>
                <w:bCs/>
                <w:i w:val="0"/>
                <w:iCs w:val="0"/>
                <w:color w:val="000000"/>
                <w:sz w:val="22"/>
                <w:szCs w:val="22"/>
                <w:highlight w:val="none"/>
                <w:u w:val="none"/>
              </w:rPr>
            </w:pPr>
            <w:r>
              <w:rPr>
                <w:rFonts w:hint="eastAsia" w:ascii="华文仿宋" w:hAnsi="华文仿宋" w:eastAsia="华文仿宋" w:cs="华文仿宋"/>
                <w:b/>
                <w:bCs/>
                <w:i w:val="0"/>
                <w:iCs w:val="0"/>
                <w:color w:val="000000"/>
                <w:sz w:val="22"/>
                <w:szCs w:val="22"/>
                <w:highlight w:val="none"/>
                <w:u w:val="none"/>
              </w:rPr>
            </w:r>
            <w:r/>
          </w:p>
        </w:tc>
        <w:tc>
          <w:tcPr>
            <w:tcW w:w="84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3</w:t>
            </w:r>
            <w:r>
              <w:rPr>
                <w:rFonts w:hint="eastAsia" w:ascii="华文仿宋" w:hAnsi="华文仿宋" w:eastAsia="华文仿宋" w:cs="华文仿宋"/>
                <w:i w:val="0"/>
                <w:iCs w:val="0"/>
                <w:color w:val="000000"/>
                <w:sz w:val="22"/>
                <w:szCs w:val="22"/>
                <w:highlight w:val="none"/>
                <w:u w:val="none"/>
              </w:rPr>
            </w:r>
            <w:r/>
          </w:p>
        </w:tc>
        <w:tc>
          <w:tcPr>
            <w:tcW w:w="2056"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队员</w:t>
            </w:r>
            <w:r>
              <w:rPr>
                <w:rFonts w:hint="eastAsia" w:ascii="华文仿宋" w:hAnsi="华文仿宋" w:eastAsia="华文仿宋" w:cs="华文仿宋"/>
                <w:i w:val="0"/>
                <w:iCs w:val="0"/>
                <w:color w:val="000000"/>
                <w:sz w:val="22"/>
                <w:szCs w:val="22"/>
                <w:highlight w:val="none"/>
                <w:u w:val="none"/>
              </w:rPr>
            </w:r>
            <w:r/>
          </w:p>
        </w:tc>
        <w:tc>
          <w:tcPr>
            <w:tcW w:w="162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95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17 </w:t>
            </w: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vMerge w:val="continue"/>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40"/>
        </w:trPr>
        <w:tc>
          <w:tcPr>
            <w:gridSpan w:val="2"/>
            <w:tcW w:w="857" w:type="dxa"/>
            <w:vAlign w:val="center"/>
            <w:vMerge w:val="restart"/>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二</w:t>
            </w:r>
            <w:r>
              <w:rPr>
                <w:rFonts w:hint="eastAsia" w:ascii="华文仿宋" w:hAnsi="华文仿宋" w:eastAsia="华文仿宋" w:cs="华文仿宋"/>
                <w:b/>
                <w:bCs/>
                <w:i w:val="0"/>
                <w:iCs w:val="0"/>
                <w:color w:val="000000"/>
                <w:sz w:val="22"/>
                <w:szCs w:val="22"/>
                <w:highlight w:val="none"/>
                <w:u w:val="none"/>
              </w:rPr>
            </w:r>
            <w:r/>
          </w:p>
        </w:tc>
        <w:tc>
          <w:tcPr>
            <w:tcW w:w="84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hint="eastAsia" w:ascii="华文仿宋" w:hAnsi="华文仿宋" w:eastAsia="华文仿宋" w:cs="华文仿宋"/>
                <w:i w:val="0"/>
                <w:iCs w:val="0"/>
                <w:color w:val="000000"/>
                <w:sz w:val="22"/>
                <w:szCs w:val="22"/>
                <w:highlight w:val="none"/>
                <w:u w:val="none"/>
              </w:rPr>
            </w:r>
            <w:r/>
          </w:p>
        </w:tc>
        <w:tc>
          <w:tcPr>
            <w:tcW w:w="2056"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社会保险</w:t>
            </w:r>
            <w:r>
              <w:rPr>
                <w:rFonts w:hint="eastAsia" w:ascii="华文仿宋" w:hAnsi="华文仿宋" w:eastAsia="华文仿宋" w:cs="华文仿宋"/>
                <w:b/>
                <w:bCs/>
                <w:i w:val="0"/>
                <w:iCs w:val="0"/>
                <w:color w:val="000000"/>
                <w:sz w:val="22"/>
                <w:szCs w:val="22"/>
                <w:highlight w:val="none"/>
                <w:u w:val="none"/>
              </w:rPr>
            </w:r>
            <w:r/>
          </w:p>
        </w:tc>
        <w:tc>
          <w:tcPr>
            <w:tcW w:w="1625" w:type="dxa"/>
            <w:vAlign w:val="center"/>
            <w:textDirection w:val="lrTb"/>
            <w:noWrap/>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rPr>
            </w:r>
            <w:r/>
          </w:p>
          <w:p>
            <w:pPr>
              <w:pStyle w:val="988"/>
              <w:rPr>
                <w:rFonts w:hint="eastAsia"/>
                <w:highlight w:val="none"/>
              </w:rPr>
            </w:pPr>
            <w:r>
              <w:rPr>
                <w:rFonts w:hint="eastAsia"/>
                <w:highlight w:val="none"/>
              </w:rPr>
            </w:r>
            <w:r/>
          </w:p>
        </w:tc>
        <w:tc>
          <w:tcPr>
            <w:tcW w:w="955"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20 </w:t>
            </w:r>
            <w:r>
              <w:rPr>
                <w:rFonts w:hint="eastAsia" w:ascii="华文仿宋" w:hAnsi="华文仿宋" w:eastAsia="华文仿宋" w:cs="华文仿宋"/>
                <w:b/>
                <w:bCs/>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vMerge w:val="continue"/>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40"/>
        </w:trPr>
        <w:tc>
          <w:tcPr>
            <w:gridSpan w:val="2"/>
            <w:tcW w:w="857" w:type="dxa"/>
            <w:vAlign w:val="center"/>
            <w:vMerge w:val="continue"/>
            <w:textDirection w:val="lrTb"/>
            <w:noWrap w:val="false"/>
          </w:tcPr>
          <w:p>
            <w:pPr>
              <w:pStyle w:val="976"/>
              <w:jc w:val="center"/>
              <w:rPr>
                <w:rFonts w:hint="eastAsia" w:ascii="华文仿宋" w:hAnsi="华文仿宋" w:eastAsia="华文仿宋" w:cs="华文仿宋"/>
                <w:b/>
                <w:bCs/>
                <w:i w:val="0"/>
                <w:iCs w:val="0"/>
                <w:color w:val="000000"/>
                <w:sz w:val="22"/>
                <w:szCs w:val="22"/>
                <w:highlight w:val="none"/>
                <w:u w:val="none"/>
              </w:rPr>
            </w:pPr>
            <w:r>
              <w:rPr>
                <w:rFonts w:hint="eastAsia" w:ascii="华文仿宋" w:hAnsi="华文仿宋" w:eastAsia="华文仿宋" w:cs="华文仿宋"/>
                <w:b/>
                <w:bCs/>
                <w:i w:val="0"/>
                <w:iCs w:val="0"/>
                <w:color w:val="000000"/>
                <w:sz w:val="22"/>
                <w:szCs w:val="22"/>
                <w:highlight w:val="none"/>
                <w:u w:val="none"/>
              </w:rPr>
            </w:r>
            <w:r/>
          </w:p>
        </w:tc>
        <w:tc>
          <w:tcPr>
            <w:tcW w:w="84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2</w:t>
            </w:r>
            <w:r>
              <w:rPr>
                <w:rFonts w:hint="eastAsia" w:ascii="华文仿宋" w:hAnsi="华文仿宋" w:eastAsia="华文仿宋" w:cs="华文仿宋"/>
                <w:i w:val="0"/>
                <w:iCs w:val="0"/>
                <w:color w:val="000000"/>
                <w:sz w:val="22"/>
                <w:szCs w:val="22"/>
                <w:highlight w:val="none"/>
                <w:u w:val="none"/>
              </w:rPr>
            </w:r>
            <w:r/>
          </w:p>
        </w:tc>
        <w:tc>
          <w:tcPr>
            <w:tcW w:w="2056"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公积金</w:t>
            </w:r>
            <w:r>
              <w:rPr>
                <w:rFonts w:hint="eastAsia" w:ascii="华文仿宋" w:hAnsi="华文仿宋" w:eastAsia="华文仿宋" w:cs="华文仿宋"/>
                <w:b/>
                <w:bCs/>
                <w:i w:val="0"/>
                <w:iCs w:val="0"/>
                <w:color w:val="000000"/>
                <w:sz w:val="22"/>
                <w:szCs w:val="22"/>
                <w:highlight w:val="none"/>
                <w:u w:val="none"/>
              </w:rPr>
            </w:r>
            <w:r/>
          </w:p>
        </w:tc>
        <w:tc>
          <w:tcPr>
            <w:tcW w:w="1625" w:type="dxa"/>
            <w:vAlign w:val="center"/>
            <w:textDirection w:val="lrTb"/>
            <w:noWrap/>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rPr>
            </w:r>
            <w:r/>
          </w:p>
        </w:tc>
        <w:tc>
          <w:tcPr>
            <w:tcW w:w="955"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20 </w:t>
            </w:r>
            <w:r>
              <w:rPr>
                <w:rFonts w:hint="eastAsia" w:ascii="华文仿宋" w:hAnsi="华文仿宋" w:eastAsia="华文仿宋" w:cs="华文仿宋"/>
                <w:b/>
                <w:bCs/>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vMerge w:val="continue"/>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40"/>
        </w:trPr>
        <w:tc>
          <w:tcPr>
            <w:gridSpan w:val="2"/>
            <w:tcW w:w="857" w:type="dxa"/>
            <w:vAlign w:val="center"/>
            <w:vMerge w:val="continue"/>
            <w:textDirection w:val="lrTb"/>
            <w:noWrap w:val="false"/>
          </w:tcPr>
          <w:p>
            <w:pPr>
              <w:pStyle w:val="976"/>
              <w:jc w:val="center"/>
              <w:rPr>
                <w:rFonts w:hint="eastAsia" w:ascii="华文仿宋" w:hAnsi="华文仿宋" w:eastAsia="华文仿宋" w:cs="华文仿宋"/>
                <w:b/>
                <w:bCs/>
                <w:i w:val="0"/>
                <w:iCs w:val="0"/>
                <w:color w:val="000000"/>
                <w:sz w:val="22"/>
                <w:szCs w:val="22"/>
                <w:highlight w:val="none"/>
                <w:u w:val="none"/>
              </w:rPr>
            </w:pPr>
            <w:r>
              <w:rPr>
                <w:rFonts w:hint="eastAsia" w:ascii="华文仿宋" w:hAnsi="华文仿宋" w:eastAsia="华文仿宋" w:cs="华文仿宋"/>
                <w:b/>
                <w:bCs/>
                <w:i w:val="0"/>
                <w:iCs w:val="0"/>
                <w:color w:val="000000"/>
                <w:sz w:val="22"/>
                <w:szCs w:val="22"/>
                <w:highlight w:val="none"/>
                <w:u w:val="none"/>
              </w:rPr>
            </w:r>
            <w:r/>
          </w:p>
        </w:tc>
        <w:tc>
          <w:tcPr>
            <w:tcW w:w="84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3</w:t>
            </w:r>
            <w:r>
              <w:rPr>
                <w:rFonts w:hint="eastAsia" w:ascii="华文仿宋" w:hAnsi="华文仿宋" w:eastAsia="华文仿宋" w:cs="华文仿宋"/>
                <w:i w:val="0"/>
                <w:iCs w:val="0"/>
                <w:color w:val="000000"/>
                <w:sz w:val="22"/>
                <w:szCs w:val="22"/>
                <w:highlight w:val="none"/>
                <w:u w:val="none"/>
              </w:rPr>
            </w:r>
            <w:r/>
          </w:p>
        </w:tc>
        <w:tc>
          <w:tcPr>
            <w:tcW w:w="2056"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雇主责任险</w:t>
            </w:r>
            <w:r>
              <w:rPr>
                <w:rFonts w:hint="eastAsia" w:ascii="华文仿宋" w:hAnsi="华文仿宋" w:eastAsia="华文仿宋" w:cs="华文仿宋"/>
                <w:b/>
                <w:bCs/>
                <w:i w:val="0"/>
                <w:iCs w:val="0"/>
                <w:color w:val="000000"/>
                <w:sz w:val="22"/>
                <w:szCs w:val="22"/>
                <w:highlight w:val="none"/>
                <w:u w:val="none"/>
              </w:rPr>
            </w:r>
            <w:r/>
          </w:p>
        </w:tc>
        <w:tc>
          <w:tcPr>
            <w:tcW w:w="1625" w:type="dxa"/>
            <w:vAlign w:val="center"/>
            <w:textDirection w:val="lrTb"/>
            <w:noWrap/>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rPr>
            </w:r>
            <w:r/>
          </w:p>
        </w:tc>
        <w:tc>
          <w:tcPr>
            <w:tcW w:w="955"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20 </w:t>
            </w:r>
            <w:r>
              <w:rPr>
                <w:rFonts w:hint="eastAsia" w:ascii="华文仿宋" w:hAnsi="华文仿宋" w:eastAsia="华文仿宋" w:cs="华文仿宋"/>
                <w:b/>
                <w:bCs/>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vMerge w:val="continue"/>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40"/>
        </w:trPr>
        <w:tc>
          <w:tcPr>
            <w:gridSpan w:val="2"/>
            <w:tcW w:w="857" w:type="dxa"/>
            <w:vAlign w:val="center"/>
            <w:vMerge w:val="continue"/>
            <w:textDirection w:val="lrTb"/>
            <w:noWrap w:val="false"/>
          </w:tcPr>
          <w:p>
            <w:pPr>
              <w:pStyle w:val="976"/>
              <w:jc w:val="center"/>
              <w:rPr>
                <w:rFonts w:hint="eastAsia" w:ascii="华文仿宋" w:hAnsi="华文仿宋" w:eastAsia="华文仿宋" w:cs="华文仿宋"/>
                <w:b/>
                <w:bCs/>
                <w:i w:val="0"/>
                <w:iCs w:val="0"/>
                <w:color w:val="000000"/>
                <w:sz w:val="22"/>
                <w:szCs w:val="22"/>
                <w:highlight w:val="none"/>
                <w:u w:val="none"/>
              </w:rPr>
            </w:pPr>
            <w:r>
              <w:rPr>
                <w:rFonts w:hint="eastAsia" w:ascii="华文仿宋" w:hAnsi="华文仿宋" w:eastAsia="华文仿宋" w:cs="华文仿宋"/>
                <w:b/>
                <w:bCs/>
                <w:i w:val="0"/>
                <w:iCs w:val="0"/>
                <w:color w:val="000000"/>
                <w:sz w:val="22"/>
                <w:szCs w:val="22"/>
                <w:highlight w:val="none"/>
                <w:u w:val="none"/>
              </w:rPr>
            </w:r>
            <w:r/>
          </w:p>
        </w:tc>
        <w:tc>
          <w:tcPr>
            <w:tcW w:w="845" w:type="dxa"/>
            <w:vAlign w:val="center"/>
            <w:textDirection w:val="lrTb"/>
            <w:noWrap w:val="false"/>
          </w:tcPr>
          <w:p>
            <w:pPr>
              <w:pStyle w:val="976"/>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4</w:t>
            </w:r>
            <w:r>
              <w:rPr>
                <w:rFonts w:ascii="华文仿宋" w:hAnsi="华文仿宋" w:eastAsia="华文仿宋" w:cs="华文仿宋"/>
                <w:i w:val="0"/>
                <w:iCs w:val="0"/>
                <w:color w:val="000000"/>
                <w:sz w:val="22"/>
                <w:szCs w:val="22"/>
                <w:highlight w:val="none"/>
                <w:u w:val="none"/>
                <w:lang w:val="en-US" w:eastAsia="zh-CN" w:bidi="ar"/>
              </w:rPr>
            </w:r>
            <w:r/>
          </w:p>
        </w:tc>
        <w:tc>
          <w:tcPr>
            <w:tcW w:w="2056"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法定节假日加班费</w:t>
            </w:r>
            <w:r>
              <w:rPr>
                <w:rFonts w:ascii="华文仿宋" w:hAnsi="华文仿宋" w:eastAsia="华文仿宋" w:cs="华文仿宋"/>
                <w:b/>
                <w:bCs/>
                <w:i w:val="0"/>
                <w:iCs w:val="0"/>
                <w:color w:val="000000"/>
                <w:sz w:val="22"/>
                <w:szCs w:val="22"/>
                <w:highlight w:val="none"/>
                <w:u w:val="none"/>
                <w:lang w:val="en-US" w:eastAsia="zh-CN" w:bidi="ar"/>
              </w:rPr>
            </w:r>
            <w:r/>
          </w:p>
        </w:tc>
        <w:tc>
          <w:tcPr>
            <w:tcW w:w="1625" w:type="dxa"/>
            <w:vAlign w:val="center"/>
            <w:textDirection w:val="lrTb"/>
            <w:noWrap/>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r>
            <w:r/>
          </w:p>
        </w:tc>
        <w:tc>
          <w:tcPr>
            <w:tcW w:w="955"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20</w:t>
            </w:r>
            <w:r>
              <w:rPr>
                <w:rFonts w:ascii="华文仿宋" w:hAnsi="华文仿宋" w:eastAsia="华文仿宋" w:cs="华文仿宋"/>
                <w:b/>
                <w:bCs/>
                <w:i w:val="0"/>
                <w:iCs w:val="0"/>
                <w:color w:val="000000"/>
                <w:sz w:val="22"/>
                <w:szCs w:val="22"/>
                <w:highlight w:val="none"/>
                <w:u w:val="none"/>
                <w:lang w:val="en-US" w:eastAsia="zh-CN" w:bidi="ar"/>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vMerge w:val="continue"/>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40"/>
        </w:trPr>
        <w:tc>
          <w:tcPr>
            <w:gridSpan w:val="2"/>
            <w:tcW w:w="857" w:type="dxa"/>
            <w:vAlign w:val="center"/>
            <w:vMerge w:val="continue"/>
            <w:textDirection w:val="lrTb"/>
            <w:noWrap w:val="false"/>
          </w:tcPr>
          <w:p>
            <w:pPr>
              <w:pStyle w:val="976"/>
              <w:jc w:val="center"/>
              <w:rPr>
                <w:rFonts w:hint="eastAsia" w:ascii="华文仿宋" w:hAnsi="华文仿宋" w:eastAsia="华文仿宋" w:cs="华文仿宋"/>
                <w:b/>
                <w:bCs/>
                <w:i w:val="0"/>
                <w:iCs w:val="0"/>
                <w:color w:val="000000"/>
                <w:sz w:val="22"/>
                <w:szCs w:val="22"/>
                <w:highlight w:val="none"/>
                <w:u w:val="none"/>
              </w:rPr>
            </w:pPr>
            <w:r>
              <w:rPr>
                <w:rFonts w:hint="eastAsia" w:ascii="华文仿宋" w:hAnsi="华文仿宋" w:eastAsia="华文仿宋" w:cs="华文仿宋"/>
                <w:b/>
                <w:bCs/>
                <w:i w:val="0"/>
                <w:iCs w:val="0"/>
                <w:color w:val="000000"/>
                <w:sz w:val="22"/>
                <w:szCs w:val="22"/>
                <w:highlight w:val="none"/>
                <w:u w:val="none"/>
              </w:rPr>
            </w:r>
            <w:r/>
          </w:p>
        </w:tc>
        <w:tc>
          <w:tcPr>
            <w:tcW w:w="845"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5</w:t>
            </w:r>
            <w:r>
              <w:rPr>
                <w:rFonts w:hint="eastAsia" w:ascii="华文仿宋" w:hAnsi="华文仿宋" w:eastAsia="华文仿宋" w:cs="华文仿宋"/>
                <w:i w:val="0"/>
                <w:iCs w:val="0"/>
                <w:color w:val="000000"/>
                <w:sz w:val="22"/>
                <w:szCs w:val="22"/>
                <w:highlight w:val="none"/>
                <w:u w:val="none"/>
                <w:lang w:val="en-US" w:eastAsia="zh-CN" w:bidi="ar"/>
              </w:rPr>
            </w:r>
            <w:r/>
          </w:p>
        </w:tc>
        <w:tc>
          <w:tcPr>
            <w:tcW w:w="2056"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高温补贴费</w:t>
            </w:r>
            <w:r>
              <w:rPr>
                <w:rFonts w:ascii="华文仿宋" w:hAnsi="华文仿宋" w:eastAsia="华文仿宋" w:cs="华文仿宋"/>
                <w:b/>
                <w:bCs/>
                <w:i w:val="0"/>
                <w:iCs w:val="0"/>
                <w:color w:val="000000"/>
                <w:sz w:val="22"/>
                <w:szCs w:val="22"/>
                <w:highlight w:val="none"/>
                <w:u w:val="none"/>
                <w:lang w:val="en-US" w:eastAsia="zh-CN" w:bidi="ar"/>
              </w:rPr>
            </w:r>
            <w:r/>
          </w:p>
        </w:tc>
        <w:tc>
          <w:tcPr>
            <w:tcW w:w="1625" w:type="dxa"/>
            <w:vAlign w:val="center"/>
            <w:textDirection w:val="lrTb"/>
            <w:noWrap/>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r>
            <w:r/>
          </w:p>
        </w:tc>
        <w:tc>
          <w:tcPr>
            <w:tcW w:w="955"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20</w:t>
            </w:r>
            <w:r>
              <w:rPr>
                <w:rFonts w:hint="eastAsia" w:ascii="华文仿宋" w:hAnsi="华文仿宋" w:eastAsia="华文仿宋" w:cs="华文仿宋"/>
                <w:b/>
                <w:bCs/>
                <w:i w:val="0"/>
                <w:iCs w:val="0"/>
                <w:color w:val="000000"/>
                <w:sz w:val="22"/>
                <w:szCs w:val="22"/>
                <w:highlight w:val="none"/>
                <w:u w:val="none"/>
                <w:lang w:val="en-US" w:eastAsia="zh-CN" w:bidi="ar"/>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vMerge w:val="continue"/>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40"/>
        </w:trPr>
        <w:tc>
          <w:tcPr>
            <w:gridSpan w:val="2"/>
            <w:tcW w:w="857" w:type="dxa"/>
            <w:vAlign w:val="center"/>
            <w:vMerge w:val="continue"/>
            <w:textDirection w:val="lrTb"/>
            <w:noWrap w:val="false"/>
          </w:tcPr>
          <w:p>
            <w:pPr>
              <w:pStyle w:val="976"/>
              <w:jc w:val="center"/>
              <w:rPr>
                <w:rFonts w:hint="eastAsia" w:ascii="华文仿宋" w:hAnsi="华文仿宋" w:eastAsia="华文仿宋" w:cs="华文仿宋"/>
                <w:b/>
                <w:bCs/>
                <w:i w:val="0"/>
                <w:iCs w:val="0"/>
                <w:color w:val="000000"/>
                <w:sz w:val="22"/>
                <w:szCs w:val="22"/>
                <w:highlight w:val="none"/>
                <w:u w:val="none"/>
              </w:rPr>
            </w:pPr>
            <w:r>
              <w:rPr>
                <w:rFonts w:hint="eastAsia" w:ascii="华文仿宋" w:hAnsi="华文仿宋" w:eastAsia="华文仿宋" w:cs="华文仿宋"/>
                <w:b/>
                <w:bCs/>
                <w:i w:val="0"/>
                <w:iCs w:val="0"/>
                <w:color w:val="000000"/>
                <w:sz w:val="22"/>
                <w:szCs w:val="22"/>
                <w:highlight w:val="none"/>
                <w:u w:val="none"/>
              </w:rPr>
            </w:r>
            <w:r/>
          </w:p>
        </w:tc>
        <w:tc>
          <w:tcPr>
            <w:tcW w:w="845" w:type="dxa"/>
            <w:vAlign w:val="center"/>
            <w:textDirection w:val="lrTb"/>
            <w:noWrap w:val="false"/>
          </w:tcPr>
          <w:p>
            <w:pPr>
              <w:pStyle w:val="976"/>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6</w:t>
            </w:r>
            <w:r>
              <w:rPr>
                <w:rFonts w:ascii="华文仿宋" w:hAnsi="华文仿宋" w:eastAsia="华文仿宋" w:cs="华文仿宋"/>
                <w:i w:val="0"/>
                <w:iCs w:val="0"/>
                <w:color w:val="000000"/>
                <w:sz w:val="22"/>
                <w:szCs w:val="22"/>
                <w:highlight w:val="none"/>
                <w:u w:val="none"/>
                <w:lang w:val="en-US" w:eastAsia="zh-CN" w:bidi="ar"/>
              </w:rPr>
            </w:r>
            <w:r/>
          </w:p>
        </w:tc>
        <w:tc>
          <w:tcPr>
            <w:tcW w:w="2056"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lang w:val="en-US" w:eastAsia="zh-CN" w:bidi="ar"/>
              </w:rPr>
              <w:suppressLineNumbers w:val="0"/>
            </w:pPr>
            <w:r>
              <w:rPr>
                <w:rFonts w:ascii="华文仿宋" w:hAnsi="华文仿宋" w:eastAsia="华文仿宋" w:cs="华文仿宋"/>
                <w:b/>
                <w:bCs/>
                <w:i w:val="0"/>
                <w:iCs w:val="0"/>
                <w:color w:val="000000"/>
                <w:sz w:val="22"/>
                <w:szCs w:val="22"/>
                <w:highlight w:val="none"/>
                <w:u w:val="none"/>
                <w:lang w:val="en-US" w:eastAsia="zh-CN" w:bidi="ar"/>
              </w:rPr>
              <w:t xml:space="preserve">休息日加班费</w:t>
            </w:r>
            <w:r>
              <w:rPr>
                <w:rFonts w:ascii="华文仿宋" w:hAnsi="华文仿宋" w:eastAsia="华文仿宋" w:cs="华文仿宋"/>
                <w:b/>
                <w:bCs/>
                <w:i w:val="0"/>
                <w:iCs w:val="0"/>
                <w:color w:val="000000"/>
                <w:sz w:val="22"/>
                <w:szCs w:val="22"/>
                <w:highlight w:val="none"/>
                <w:u w:val="none"/>
                <w:lang w:val="en-US" w:eastAsia="zh-CN" w:bidi="ar"/>
              </w:rPr>
            </w:r>
            <w:r/>
          </w:p>
        </w:tc>
        <w:tc>
          <w:tcPr>
            <w:tcW w:w="1625" w:type="dxa"/>
            <w:vAlign w:val="center"/>
            <w:textDirection w:val="lrTb"/>
            <w:noWrap/>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r>
            <w:r/>
          </w:p>
        </w:tc>
        <w:tc>
          <w:tcPr>
            <w:tcW w:w="955"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20</w:t>
            </w:r>
            <w:r>
              <w:rPr>
                <w:rFonts w:ascii="华文仿宋" w:hAnsi="华文仿宋" w:eastAsia="华文仿宋" w:cs="华文仿宋"/>
                <w:b/>
                <w:bCs/>
                <w:i w:val="0"/>
                <w:iCs w:val="0"/>
                <w:color w:val="000000"/>
                <w:sz w:val="22"/>
                <w:szCs w:val="22"/>
                <w:highlight w:val="none"/>
                <w:u w:val="none"/>
                <w:lang w:val="en-US" w:eastAsia="zh-CN" w:bidi="ar"/>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vMerge w:val="continue"/>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40"/>
        </w:trPr>
        <w:tc>
          <w:tcPr>
            <w:gridSpan w:val="2"/>
            <w:tcW w:w="857" w:type="dxa"/>
            <w:vAlign w:val="center"/>
            <w:vMerge w:val="restart"/>
            <w:textDirection w:val="lrTb"/>
            <w:noWrap w:val="false"/>
          </w:tcPr>
          <w:p>
            <w:pPr>
              <w:pStyle w:val="976"/>
              <w:jc w:val="center"/>
              <w:rPr>
                <w:rFonts w:hint="eastAsia" w:ascii="华文仿宋" w:hAnsi="华文仿宋" w:eastAsia="华文仿宋" w:cs="华文仿宋"/>
                <w:b/>
                <w:bCs/>
                <w:i w:val="0"/>
                <w:iCs w:val="0"/>
                <w:color w:val="000000"/>
                <w:sz w:val="22"/>
                <w:szCs w:val="22"/>
                <w:highlight w:val="none"/>
                <w:u w:val="none"/>
                <w:lang w:val="en-US" w:eastAsia="zh-CN"/>
              </w:rPr>
            </w:pPr>
            <w:r>
              <w:rPr>
                <w:rFonts w:hint="eastAsia" w:ascii="华文仿宋" w:hAnsi="华文仿宋" w:eastAsia="华文仿宋" w:cs="华文仿宋"/>
                <w:b/>
                <w:bCs/>
                <w:i w:val="0"/>
                <w:iCs w:val="0"/>
                <w:color w:val="000000"/>
                <w:sz w:val="22"/>
                <w:szCs w:val="22"/>
                <w:highlight w:val="none"/>
                <w:u w:val="none"/>
                <w:lang w:val="en-US" w:eastAsia="zh-CN"/>
              </w:rPr>
              <w:t xml:space="preserve">三</w:t>
            </w:r>
            <w:r>
              <w:rPr>
                <w:rFonts w:hint="eastAsia" w:ascii="华文仿宋" w:hAnsi="华文仿宋" w:eastAsia="华文仿宋" w:cs="华文仿宋"/>
                <w:b/>
                <w:bCs/>
                <w:i w:val="0"/>
                <w:iCs w:val="0"/>
                <w:color w:val="000000"/>
                <w:sz w:val="22"/>
                <w:szCs w:val="22"/>
                <w:highlight w:val="none"/>
                <w:u w:val="none"/>
                <w:lang w:val="en-US" w:eastAsia="zh-CN"/>
              </w:rPr>
            </w:r>
            <w:r/>
          </w:p>
        </w:tc>
        <w:tc>
          <w:tcPr>
            <w:tcW w:w="845" w:type="dxa"/>
            <w:vAlign w:val="center"/>
            <w:textDirection w:val="lrTb"/>
            <w:noWrap w:val="false"/>
          </w:tcPr>
          <w:p>
            <w:pPr>
              <w:pStyle w:val="976"/>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ascii="华文仿宋" w:hAnsi="华文仿宋" w:eastAsia="华文仿宋" w:cs="华文仿宋"/>
                <w:i w:val="0"/>
                <w:iCs w:val="0"/>
                <w:color w:val="000000"/>
                <w:sz w:val="22"/>
                <w:szCs w:val="22"/>
                <w:highlight w:val="none"/>
                <w:u w:val="none"/>
                <w:lang w:val="en-US" w:eastAsia="zh-CN" w:bidi="ar"/>
              </w:rPr>
            </w:r>
            <w:r/>
          </w:p>
        </w:tc>
        <w:tc>
          <w:tcPr>
            <w:tcW w:w="2056"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设备费用</w:t>
            </w:r>
            <w:r>
              <w:rPr>
                <w:rFonts w:hint="eastAsia" w:ascii="华文仿宋" w:hAnsi="华文仿宋" w:eastAsia="华文仿宋" w:cs="华文仿宋"/>
                <w:b/>
                <w:bCs/>
                <w:i w:val="0"/>
                <w:iCs w:val="0"/>
                <w:color w:val="000000"/>
                <w:sz w:val="22"/>
                <w:szCs w:val="22"/>
                <w:highlight w:val="none"/>
                <w:u w:val="none"/>
                <w:lang w:val="en-US" w:eastAsia="zh-CN" w:bidi="ar"/>
              </w:rPr>
            </w:r>
            <w:r/>
          </w:p>
        </w:tc>
        <w:tc>
          <w:tcPr>
            <w:tcW w:w="1625" w:type="dxa"/>
            <w:vAlign w:val="center"/>
            <w:textDirection w:val="lrTb"/>
            <w:noWrap/>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r>
            <w:r/>
          </w:p>
        </w:tc>
        <w:tc>
          <w:tcPr>
            <w:tcW w:w="955"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20</w:t>
            </w:r>
            <w:r>
              <w:rPr>
                <w:rFonts w:ascii="华文仿宋" w:hAnsi="华文仿宋" w:eastAsia="华文仿宋" w:cs="华文仿宋"/>
                <w:b/>
                <w:bCs/>
                <w:i w:val="0"/>
                <w:iCs w:val="0"/>
                <w:color w:val="000000"/>
                <w:sz w:val="22"/>
                <w:szCs w:val="22"/>
                <w:highlight w:val="none"/>
                <w:u w:val="none"/>
                <w:lang w:val="en-US" w:eastAsia="zh-CN" w:bidi="ar"/>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1"/>
                <w:szCs w:val="21"/>
                <w:highlight w:val="none"/>
              </w:rPr>
              <w:t xml:space="preserve">包含为完成招标文件规定的</w:t>
            </w:r>
            <w:r>
              <w:rPr>
                <w:rFonts w:hint="eastAsia" w:ascii="宋体" w:hAnsi="宋体" w:cs="宋体"/>
                <w:color w:val="000000"/>
                <w:sz w:val="21"/>
                <w:szCs w:val="21"/>
                <w:highlight w:val="none"/>
                <w:lang w:val="en-US" w:eastAsia="zh-CN"/>
              </w:rPr>
              <w:t xml:space="preserve">城市管理</w:t>
            </w:r>
            <w:r>
              <w:rPr>
                <w:rFonts w:hint="eastAsia" w:ascii="宋体" w:hAnsi="宋体" w:eastAsia="宋体" w:cs="宋体"/>
                <w:color w:val="000000"/>
                <w:sz w:val="21"/>
                <w:szCs w:val="21"/>
                <w:highlight w:val="none"/>
              </w:rPr>
              <w:t xml:space="preserve">服务工作需投入专业设备费，按不低于1000元/人/年填报。</w:t>
            </w:r>
            <w:r>
              <w:rPr>
                <w:rFonts w:hint="eastAsia" w:ascii="宋体" w:hAnsi="宋体" w:eastAsia="宋体" w:cs="宋体"/>
                <w:i w:val="0"/>
                <w:iCs w:val="0"/>
                <w:color w:val="000000"/>
                <w:sz w:val="22"/>
                <w:szCs w:val="22"/>
                <w:highlight w:val="none"/>
                <w:u w:val="none"/>
              </w:rPr>
            </w:r>
            <w:r/>
          </w:p>
        </w:tc>
      </w:tr>
      <w:tr>
        <w:trPr>
          <w:trHeight w:val="440"/>
        </w:trPr>
        <w:tc>
          <w:tcPr>
            <w:gridSpan w:val="2"/>
            <w:tcW w:w="857" w:type="dxa"/>
            <w:vAlign w:val="center"/>
            <w:vMerge w:val="continue"/>
            <w:textDirection w:val="lrTb"/>
            <w:noWrap w:val="false"/>
          </w:tcPr>
          <w:p>
            <w:pPr>
              <w:pStyle w:val="976"/>
              <w:jc w:val="center"/>
              <w:rPr>
                <w:rFonts w:hint="eastAsia" w:ascii="华文仿宋" w:hAnsi="华文仿宋" w:eastAsia="华文仿宋" w:cs="华文仿宋"/>
                <w:b/>
                <w:bCs/>
                <w:i w:val="0"/>
                <w:iCs w:val="0"/>
                <w:color w:val="000000"/>
                <w:sz w:val="22"/>
                <w:szCs w:val="22"/>
                <w:highlight w:val="none"/>
                <w:u w:val="none"/>
              </w:rPr>
            </w:pPr>
            <w:r>
              <w:rPr>
                <w:rFonts w:hint="eastAsia" w:ascii="华文仿宋" w:hAnsi="华文仿宋" w:eastAsia="华文仿宋" w:cs="华文仿宋"/>
                <w:b/>
                <w:bCs/>
                <w:i w:val="0"/>
                <w:iCs w:val="0"/>
                <w:color w:val="000000"/>
                <w:sz w:val="22"/>
                <w:szCs w:val="22"/>
                <w:highlight w:val="none"/>
                <w:u w:val="none"/>
              </w:rPr>
            </w:r>
            <w:r/>
          </w:p>
        </w:tc>
        <w:tc>
          <w:tcPr>
            <w:tcW w:w="845" w:type="dxa"/>
            <w:vAlign w:val="center"/>
            <w:textDirection w:val="lrTb"/>
            <w:noWrap w:val="false"/>
          </w:tcPr>
          <w:p>
            <w:pPr>
              <w:pStyle w:val="976"/>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2</w:t>
            </w:r>
            <w:r>
              <w:rPr>
                <w:rFonts w:ascii="华文仿宋" w:hAnsi="华文仿宋" w:eastAsia="华文仿宋" w:cs="华文仿宋"/>
                <w:i w:val="0"/>
                <w:iCs w:val="0"/>
                <w:color w:val="000000"/>
                <w:sz w:val="22"/>
                <w:szCs w:val="22"/>
                <w:highlight w:val="none"/>
                <w:u w:val="none"/>
                <w:lang w:val="en-US" w:eastAsia="zh-CN" w:bidi="ar"/>
              </w:rPr>
            </w:r>
            <w:r/>
          </w:p>
        </w:tc>
        <w:tc>
          <w:tcPr>
            <w:tcW w:w="2056"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服装费用</w:t>
            </w:r>
            <w:r>
              <w:rPr>
                <w:rFonts w:hint="eastAsia" w:ascii="华文仿宋" w:hAnsi="华文仿宋" w:eastAsia="华文仿宋" w:cs="华文仿宋"/>
                <w:b/>
                <w:bCs/>
                <w:i w:val="0"/>
                <w:iCs w:val="0"/>
                <w:color w:val="000000"/>
                <w:sz w:val="22"/>
                <w:szCs w:val="22"/>
                <w:highlight w:val="none"/>
                <w:u w:val="none"/>
                <w:lang w:val="en-US" w:eastAsia="zh-CN" w:bidi="ar"/>
              </w:rPr>
            </w:r>
            <w:r/>
          </w:p>
        </w:tc>
        <w:tc>
          <w:tcPr>
            <w:tcW w:w="1625" w:type="dxa"/>
            <w:vAlign w:val="center"/>
            <w:textDirection w:val="lrTb"/>
            <w:noWrap/>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r>
            <w:r/>
          </w:p>
        </w:tc>
        <w:tc>
          <w:tcPr>
            <w:tcW w:w="955"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20</w:t>
            </w:r>
            <w:r>
              <w:rPr>
                <w:rFonts w:ascii="华文仿宋" w:hAnsi="华文仿宋" w:eastAsia="华文仿宋" w:cs="华文仿宋"/>
                <w:b/>
                <w:bCs/>
                <w:i w:val="0"/>
                <w:iCs w:val="0"/>
                <w:color w:val="000000"/>
                <w:sz w:val="22"/>
                <w:szCs w:val="22"/>
                <w:highlight w:val="none"/>
                <w:u w:val="none"/>
                <w:lang w:val="en-US" w:eastAsia="zh-CN" w:bidi="ar"/>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1"/>
                <w:szCs w:val="21"/>
                <w:highlight w:val="none"/>
              </w:rPr>
              <w:t xml:space="preserve">服装费，按不低于1000元/人/年填报。</w:t>
            </w:r>
            <w:r>
              <w:rPr>
                <w:rFonts w:hint="eastAsia" w:ascii="宋体" w:hAnsi="宋体" w:eastAsia="宋体" w:cs="宋体"/>
                <w:i w:val="0"/>
                <w:iCs w:val="0"/>
                <w:color w:val="000000"/>
                <w:sz w:val="22"/>
                <w:szCs w:val="22"/>
                <w:highlight w:val="none"/>
                <w:u w:val="none"/>
              </w:rPr>
            </w:r>
            <w:r/>
          </w:p>
        </w:tc>
      </w:tr>
      <w:tr>
        <w:trPr>
          <w:trHeight w:val="440"/>
        </w:trPr>
        <w:tc>
          <w:tcPr>
            <w:gridSpan w:val="2"/>
            <w:tcW w:w="857" w:type="dxa"/>
            <w:vAlign w:val="center"/>
            <w:vMerge w:val="continue"/>
            <w:textDirection w:val="lrTb"/>
            <w:noWrap w:val="false"/>
          </w:tcPr>
          <w:p>
            <w:pPr>
              <w:pStyle w:val="976"/>
              <w:jc w:val="center"/>
              <w:rPr>
                <w:rFonts w:hint="eastAsia" w:ascii="华文仿宋" w:hAnsi="华文仿宋" w:eastAsia="华文仿宋" w:cs="华文仿宋"/>
                <w:b/>
                <w:bCs/>
                <w:i w:val="0"/>
                <w:iCs w:val="0"/>
                <w:color w:val="000000"/>
                <w:sz w:val="22"/>
                <w:szCs w:val="22"/>
                <w:highlight w:val="none"/>
                <w:u w:val="none"/>
              </w:rPr>
            </w:pPr>
            <w:r>
              <w:rPr>
                <w:rFonts w:hint="eastAsia" w:ascii="华文仿宋" w:hAnsi="华文仿宋" w:eastAsia="华文仿宋" w:cs="华文仿宋"/>
                <w:b/>
                <w:bCs/>
                <w:i w:val="0"/>
                <w:iCs w:val="0"/>
                <w:color w:val="000000"/>
                <w:sz w:val="22"/>
                <w:szCs w:val="22"/>
                <w:highlight w:val="none"/>
                <w:u w:val="none"/>
              </w:rPr>
            </w:r>
            <w:r/>
          </w:p>
        </w:tc>
        <w:tc>
          <w:tcPr>
            <w:tcW w:w="845" w:type="dxa"/>
            <w:vAlign w:val="center"/>
            <w:textDirection w:val="lrTb"/>
            <w:noWrap w:val="false"/>
          </w:tcPr>
          <w:p>
            <w:pPr>
              <w:pStyle w:val="976"/>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3</w:t>
            </w:r>
            <w:r>
              <w:rPr>
                <w:rFonts w:ascii="华文仿宋" w:hAnsi="华文仿宋" w:eastAsia="华文仿宋" w:cs="华文仿宋"/>
                <w:i w:val="0"/>
                <w:iCs w:val="0"/>
                <w:color w:val="000000"/>
                <w:sz w:val="22"/>
                <w:szCs w:val="22"/>
                <w:highlight w:val="none"/>
                <w:u w:val="none"/>
                <w:lang w:val="en-US" w:eastAsia="zh-CN" w:bidi="ar"/>
              </w:rPr>
            </w:r>
            <w:r/>
          </w:p>
        </w:tc>
        <w:tc>
          <w:tcPr>
            <w:tcW w:w="2056"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福利</w:t>
            </w:r>
            <w:r>
              <w:rPr>
                <w:rFonts w:hint="eastAsia" w:ascii="华文仿宋" w:hAnsi="华文仿宋" w:eastAsia="华文仿宋" w:cs="华文仿宋"/>
                <w:b/>
                <w:bCs/>
                <w:i w:val="0"/>
                <w:iCs w:val="0"/>
                <w:color w:val="000000"/>
                <w:sz w:val="22"/>
                <w:szCs w:val="22"/>
                <w:highlight w:val="none"/>
                <w:u w:val="none"/>
                <w:lang w:val="en-US" w:eastAsia="zh-CN" w:bidi="ar"/>
              </w:rPr>
            </w:r>
            <w:r/>
          </w:p>
        </w:tc>
        <w:tc>
          <w:tcPr>
            <w:tcW w:w="1625" w:type="dxa"/>
            <w:vAlign w:val="center"/>
            <w:textDirection w:val="lrTb"/>
            <w:noWrap/>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r>
            <w:r/>
          </w:p>
        </w:tc>
        <w:tc>
          <w:tcPr>
            <w:tcW w:w="955"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20</w:t>
            </w:r>
            <w:r>
              <w:rPr>
                <w:rFonts w:ascii="华文仿宋" w:hAnsi="华文仿宋" w:eastAsia="华文仿宋" w:cs="华文仿宋"/>
                <w:b/>
                <w:bCs/>
                <w:i w:val="0"/>
                <w:iCs w:val="0"/>
                <w:color w:val="000000"/>
                <w:sz w:val="22"/>
                <w:szCs w:val="22"/>
                <w:highlight w:val="none"/>
                <w:u w:val="none"/>
                <w:lang w:val="en-US" w:eastAsia="zh-CN" w:bidi="ar"/>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1227" w:type="dxa"/>
            <w:vAlign w:val="center"/>
            <w:textDirection w:val="lrTb"/>
            <w:noWrap w:val="false"/>
          </w:tcPr>
          <w:p>
            <w:pPr>
              <w:pStyle w:val="976"/>
              <w:jc w:val="center"/>
              <w:keepLines w:val="0"/>
              <w:keepNext w:val="0"/>
              <w:widowControl/>
              <w:rPr>
                <w:rFonts w:hint="eastAsia" w:ascii="华文仿宋" w:hAnsi="华文仿宋" w:eastAsia="华文仿宋" w:cs="华文仿宋"/>
                <w:i w:val="0"/>
                <w:iCs w:val="0"/>
                <w:color w:val="000000"/>
                <w:sz w:val="22"/>
                <w:szCs w:val="22"/>
                <w:highlight w:val="none"/>
                <w:u w:val="none"/>
              </w:rPr>
              <w:suppressLineNumbers w:val="0"/>
            </w:pPr>
            <w:r>
              <w:rPr>
                <w:rFonts w:hint="eastAsia" w:ascii="华文仿宋" w:hAnsi="华文仿宋" w:eastAsia="华文仿宋" w:cs="华文仿宋"/>
                <w:i w:val="0"/>
                <w:iCs w:val="0"/>
                <w:color w:val="000000"/>
                <w:sz w:val="22"/>
                <w:szCs w:val="22"/>
                <w:highlight w:val="none"/>
                <w:u w:val="none"/>
              </w:rPr>
            </w:r>
            <w:r/>
          </w:p>
        </w:tc>
        <w:tc>
          <w:tcPr>
            <w:tcW w:w="5578" w:type="dxa"/>
            <w:vAlign w:val="center"/>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color w:val="000000"/>
                <w:sz w:val="21"/>
                <w:szCs w:val="21"/>
                <w:highlight w:val="none"/>
              </w:rPr>
              <w:t xml:space="preserve">福利费按不低于500元/人/年填报。</w:t>
            </w:r>
            <w:r>
              <w:rPr>
                <w:rFonts w:hint="eastAsia" w:ascii="宋体" w:hAnsi="宋体" w:eastAsia="宋体" w:cs="宋体"/>
                <w:i w:val="0"/>
                <w:iCs w:val="0"/>
                <w:color w:val="000000"/>
                <w:sz w:val="22"/>
                <w:szCs w:val="22"/>
                <w:highlight w:val="none"/>
                <w:u w:val="none"/>
              </w:rPr>
            </w:r>
            <w:r/>
          </w:p>
        </w:tc>
      </w:tr>
      <w:tr>
        <w:trPr>
          <w:trHeight w:val="440"/>
        </w:trPr>
        <w:tc>
          <w:tcPr>
            <w:gridSpan w:val="2"/>
            <w:tcW w:w="857" w:type="dxa"/>
            <w:vAlign w:val="center"/>
            <w:textDirection w:val="lrTb"/>
            <w:noWrap w:val="false"/>
          </w:tcPr>
          <w:p>
            <w:pPr>
              <w:pStyle w:val="976"/>
              <w:jc w:val="center"/>
              <w:rPr>
                <w:rFonts w:hint="eastAsia" w:ascii="华文仿宋" w:hAnsi="华文仿宋" w:eastAsia="华文仿宋" w:cs="华文仿宋"/>
                <w:b/>
                <w:bCs/>
                <w:i w:val="0"/>
                <w:iCs w:val="0"/>
                <w:color w:val="000000"/>
                <w:sz w:val="22"/>
                <w:szCs w:val="22"/>
                <w:highlight w:val="none"/>
                <w:u w:val="none"/>
                <w:lang w:val="en-US" w:eastAsia="zh-CN"/>
              </w:rPr>
            </w:pPr>
            <w:r>
              <w:rPr>
                <w:rFonts w:hint="eastAsia" w:ascii="华文仿宋" w:hAnsi="华文仿宋" w:eastAsia="华文仿宋" w:cs="华文仿宋"/>
                <w:b/>
                <w:bCs/>
                <w:i w:val="0"/>
                <w:iCs w:val="0"/>
                <w:color w:val="000000"/>
                <w:sz w:val="22"/>
                <w:szCs w:val="22"/>
                <w:highlight w:val="none"/>
                <w:u w:val="none"/>
                <w:lang w:val="en-US" w:eastAsia="zh-CN"/>
              </w:rPr>
              <w:t xml:space="preserve">四</w:t>
            </w:r>
            <w:r>
              <w:rPr>
                <w:rFonts w:hint="eastAsia" w:ascii="华文仿宋" w:hAnsi="华文仿宋" w:eastAsia="华文仿宋" w:cs="华文仿宋"/>
                <w:b/>
                <w:bCs/>
                <w:i w:val="0"/>
                <w:iCs w:val="0"/>
                <w:color w:val="000000"/>
                <w:sz w:val="22"/>
                <w:szCs w:val="22"/>
                <w:highlight w:val="none"/>
                <w:u w:val="none"/>
                <w:lang w:val="en-US" w:eastAsia="zh-CN"/>
              </w:rPr>
            </w:r>
            <w:r/>
          </w:p>
        </w:tc>
        <w:tc>
          <w:tcPr>
            <w:tcW w:w="845" w:type="dxa"/>
            <w:vAlign w:val="center"/>
            <w:textDirection w:val="lrTb"/>
            <w:noWrap w:val="false"/>
          </w:tcPr>
          <w:p>
            <w:pPr>
              <w:pStyle w:val="976"/>
              <w:jc w:val="center"/>
              <w:keepLines w:val="0"/>
              <w:keepNext w:val="0"/>
              <w:widowControl/>
              <w:rPr>
                <w:rFonts w:ascii="华文仿宋" w:hAnsi="华文仿宋" w:eastAsia="华文仿宋" w:cs="华文仿宋"/>
                <w:i w:val="0"/>
                <w:iCs w:val="0"/>
                <w:color w:val="000000"/>
                <w:sz w:val="22"/>
                <w:szCs w:val="22"/>
                <w:highlight w:val="none"/>
                <w:u w:val="none"/>
                <w:lang w:val="en-US" w:eastAsia="zh-CN" w:bidi="ar"/>
              </w:rPr>
              <w:suppressLineNumbers w:val="0"/>
            </w:pPr>
            <w:r>
              <w:rPr>
                <w:rFonts w:hint="eastAsia" w:ascii="华文仿宋" w:hAnsi="华文仿宋" w:eastAsia="华文仿宋" w:cs="华文仿宋"/>
                <w:i w:val="0"/>
                <w:iCs w:val="0"/>
                <w:color w:val="000000"/>
                <w:sz w:val="22"/>
                <w:szCs w:val="22"/>
                <w:highlight w:val="none"/>
                <w:u w:val="none"/>
                <w:lang w:val="en-US" w:eastAsia="zh-CN" w:bidi="ar"/>
              </w:rPr>
              <w:t xml:space="preserve">1</w:t>
            </w:r>
            <w:r>
              <w:rPr>
                <w:rFonts w:ascii="华文仿宋" w:hAnsi="华文仿宋" w:eastAsia="华文仿宋" w:cs="华文仿宋"/>
                <w:i w:val="0"/>
                <w:iCs w:val="0"/>
                <w:color w:val="000000"/>
                <w:sz w:val="22"/>
                <w:szCs w:val="22"/>
                <w:highlight w:val="none"/>
                <w:u w:val="none"/>
                <w:lang w:val="en-US" w:eastAsia="zh-CN" w:bidi="ar"/>
              </w:rPr>
            </w:r>
            <w:r/>
          </w:p>
        </w:tc>
        <w:tc>
          <w:tcPr>
            <w:tcW w:w="2056"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企业管理费及利润</w:t>
            </w:r>
            <w:r>
              <w:rPr>
                <w:rFonts w:ascii="华文仿宋" w:hAnsi="华文仿宋" w:eastAsia="华文仿宋" w:cs="华文仿宋"/>
                <w:b/>
                <w:bCs/>
                <w:i w:val="0"/>
                <w:iCs w:val="0"/>
                <w:color w:val="000000"/>
                <w:sz w:val="22"/>
                <w:szCs w:val="22"/>
                <w:highlight w:val="none"/>
                <w:u w:val="none"/>
                <w:lang w:val="en-US" w:eastAsia="zh-CN" w:bidi="ar"/>
              </w:rPr>
            </w:r>
            <w:r/>
          </w:p>
        </w:tc>
        <w:tc>
          <w:tcPr>
            <w:gridSpan w:val="5"/>
            <w:tcW w:w="10612" w:type="dxa"/>
            <w:vAlign w:val="center"/>
            <w:textDirection w:val="lrTb"/>
            <w:noWrap/>
          </w:tcPr>
          <w:p>
            <w:pPr>
              <w:pStyle w:val="976"/>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0"/>
        </w:trPr>
        <w:tc>
          <w:tcPr>
            <w:tcW w:w="851"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五</w:t>
            </w:r>
            <w:r>
              <w:rPr>
                <w:rFonts w:hint="eastAsia" w:ascii="华文仿宋" w:hAnsi="华文仿宋" w:eastAsia="华文仿宋" w:cs="华文仿宋"/>
                <w:b/>
                <w:bCs/>
                <w:i w:val="0"/>
                <w:iCs w:val="0"/>
                <w:color w:val="000000"/>
                <w:sz w:val="22"/>
                <w:szCs w:val="22"/>
                <w:highlight w:val="none"/>
                <w:u w:val="none"/>
              </w:rPr>
            </w:r>
            <w:r/>
          </w:p>
        </w:tc>
        <w:tc>
          <w:tcPr>
            <w:gridSpan w:val="2"/>
            <w:tcW w:w="851" w:type="dxa"/>
            <w:vAlign w:val="center"/>
            <w:textDirection w:val="lrTb"/>
            <w:noWrap w:val="false"/>
          </w:tcPr>
          <w:p>
            <w:pPr>
              <w:pStyle w:val="976"/>
              <w:jc w:val="center"/>
              <w:keepLines w:val="0"/>
              <w:keepNext w:val="0"/>
              <w:widowControl/>
              <w:rPr>
                <w:rFonts w:ascii="华文仿宋" w:hAnsi="华文仿宋" w:eastAsia="华文仿宋" w:cs="华文仿宋"/>
                <w:b/>
                <w:bCs/>
                <w:i w:val="0"/>
                <w:iCs w:val="0"/>
                <w:color w:val="000000"/>
                <w:sz w:val="22"/>
                <w:szCs w:val="22"/>
                <w:highlight w:val="none"/>
                <w:u w:val="none"/>
                <w:lang w:val="en-US" w:eastAsia="zh-CN" w:bidi="ar"/>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1</w:t>
            </w:r>
            <w:r>
              <w:rPr>
                <w:rFonts w:ascii="华文仿宋" w:hAnsi="华文仿宋" w:eastAsia="华文仿宋" w:cs="华文仿宋"/>
                <w:b/>
                <w:bCs/>
                <w:i w:val="0"/>
                <w:iCs w:val="0"/>
                <w:color w:val="000000"/>
                <w:sz w:val="22"/>
                <w:szCs w:val="22"/>
                <w:highlight w:val="none"/>
                <w:u w:val="none"/>
                <w:lang w:val="en-US" w:eastAsia="zh-CN" w:bidi="ar"/>
              </w:rPr>
            </w:r>
            <w:r/>
          </w:p>
        </w:tc>
        <w:tc>
          <w:tcPr>
            <w:tcW w:w="2056"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税费（6.72%）</w:t>
            </w:r>
            <w:r>
              <w:rPr>
                <w:rFonts w:hint="eastAsia" w:ascii="华文仿宋" w:hAnsi="华文仿宋" w:eastAsia="华文仿宋" w:cs="华文仿宋"/>
                <w:b/>
                <w:bCs/>
                <w:i w:val="0"/>
                <w:iCs w:val="0"/>
                <w:color w:val="000000"/>
                <w:sz w:val="22"/>
                <w:szCs w:val="22"/>
                <w:highlight w:val="none"/>
                <w:u w:val="none"/>
              </w:rPr>
            </w:r>
            <w:r/>
          </w:p>
        </w:tc>
        <w:tc>
          <w:tcPr>
            <w:gridSpan w:val="5"/>
            <w:tcW w:w="10612" w:type="dxa"/>
            <w:vAlign w:val="center"/>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40"/>
        </w:trPr>
        <w:tc>
          <w:tcPr>
            <w:gridSpan w:val="4"/>
            <w:tcW w:w="3758" w:type="dxa"/>
            <w:vAlign w:val="center"/>
            <w:textDirection w:val="lrTb"/>
            <w:noWrap w:val="false"/>
          </w:tcPr>
          <w:p>
            <w:pPr>
              <w:pStyle w:val="976"/>
              <w:jc w:val="center"/>
              <w:keepLines w:val="0"/>
              <w:keepNext w:val="0"/>
              <w:widowControl/>
              <w:rPr>
                <w:rFonts w:hint="eastAsia" w:ascii="华文仿宋" w:hAnsi="华文仿宋" w:eastAsia="华文仿宋" w:cs="华文仿宋"/>
                <w:b/>
                <w:bCs/>
                <w:i w:val="0"/>
                <w:iCs w:val="0"/>
                <w:color w:val="000000"/>
                <w:sz w:val="22"/>
                <w:szCs w:val="22"/>
                <w:highlight w:val="none"/>
                <w:u w:val="none"/>
              </w:rPr>
              <w:suppressLineNumbers w:val="0"/>
            </w:pPr>
            <w:r>
              <w:rPr>
                <w:rFonts w:hint="eastAsia" w:ascii="华文仿宋" w:hAnsi="华文仿宋" w:eastAsia="华文仿宋" w:cs="华文仿宋"/>
                <w:b/>
                <w:bCs/>
                <w:i w:val="0"/>
                <w:iCs w:val="0"/>
                <w:color w:val="000000"/>
                <w:sz w:val="22"/>
                <w:szCs w:val="22"/>
                <w:highlight w:val="none"/>
                <w:u w:val="none"/>
                <w:lang w:val="en-US" w:eastAsia="zh-CN" w:bidi="ar"/>
              </w:rPr>
              <w:t xml:space="preserve">合  计（元）</w:t>
            </w:r>
            <w:r>
              <w:rPr>
                <w:rFonts w:hint="eastAsia" w:ascii="华文仿宋" w:hAnsi="华文仿宋" w:eastAsia="华文仿宋" w:cs="华文仿宋"/>
                <w:b/>
                <w:bCs/>
                <w:i w:val="0"/>
                <w:iCs w:val="0"/>
                <w:color w:val="000000"/>
                <w:sz w:val="22"/>
                <w:szCs w:val="22"/>
                <w:highlight w:val="none"/>
                <w:u w:val="none"/>
              </w:rPr>
            </w:r>
            <w:r/>
          </w:p>
        </w:tc>
        <w:tc>
          <w:tcPr>
            <w:gridSpan w:val="5"/>
            <w:tcW w:w="10612" w:type="dxa"/>
            <w:vAlign w:val="center"/>
            <w:textDirection w:val="lrTb"/>
            <w:noWrap/>
          </w:tcPr>
          <w:p>
            <w:pPr>
              <w:pStyle w:val="976"/>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pStyle w:val="976"/>
        <w:ind w:right="1559" w:firstLine="482"/>
        <w:jc w:val="center"/>
        <w:spacing w:before="100" w:after="100" w:line="500" w:lineRule="exact"/>
        <w:widowControl/>
        <w:tabs>
          <w:tab w:val="left" w:pos="4864"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供应商全称（公章）：</w:t>
      </w:r>
      <w:r>
        <w:rPr>
          <w:rFonts w:hint="eastAsia" w:ascii="宋体" w:hAnsi="宋体" w:eastAsia="宋体" w:cs="宋体"/>
          <w:color w:val="000000"/>
          <w:sz w:val="24"/>
          <w:szCs w:val="24"/>
          <w:highlight w:val="none"/>
        </w:rPr>
      </w:r>
      <w:r/>
    </w:p>
    <w:p>
      <w:pPr>
        <w:pStyle w:val="976"/>
        <w:ind w:right="1559" w:firstLine="482"/>
        <w:jc w:val="center"/>
        <w:spacing w:before="100" w:after="100" w:line="500" w:lineRule="exact"/>
        <w:widowControl/>
        <w:tabs>
          <w:tab w:val="left" w:pos="4864" w:leader="none"/>
        </w:tabs>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  期：</w:t>
      </w:r>
      <w:r>
        <w:rPr>
          <w:rFonts w:hint="eastAsia" w:ascii="宋体" w:hAnsi="宋体" w:eastAsia="宋体" w:cs="宋体"/>
          <w:sz w:val="24"/>
          <w:szCs w:val="24"/>
          <w:highlight w:val="none"/>
        </w:rPr>
      </w:r>
      <w:r/>
    </w:p>
    <w:p>
      <w:pPr>
        <w:pStyle w:val="988"/>
        <w:rPr>
          <w:rFonts w:hint="eastAsia"/>
          <w:highlight w:val="none"/>
        </w:rPr>
        <w:sectPr>
          <w:footerReference w:type="default" r:id="rId13"/>
          <w:footnotePr/>
          <w:endnotePr/>
          <w:type w:val="nextPage"/>
          <w:pgSz w:w="16838" w:h="11906" w:orient="landscape"/>
          <w:pgMar w:top="1196" w:right="1134" w:bottom="1134" w:left="1134" w:header="794" w:footer="907" w:gutter="0"/>
          <w:pgNumType w:start="50"/>
          <w:cols w:num="1" w:sep="0" w:space="1701" w:equalWidth="1"/>
          <w:docGrid w:linePitch="360"/>
        </w:sectPr>
      </w:pPr>
      <w:r>
        <w:rPr>
          <w:rFonts w:hint="eastAsia"/>
          <w:highlight w:val="none"/>
        </w:rPr>
      </w:r>
      <w:r/>
    </w:p>
    <w:p>
      <w:pPr>
        <w:pStyle w:val="988"/>
        <w:rPr>
          <w:rFonts w:hint="eastAsia"/>
          <w:highlight w:val="none"/>
        </w:rPr>
      </w:pPr>
      <w:r>
        <w:rPr>
          <w:rFonts w:hint="eastAsia"/>
          <w:highlight w:val="none"/>
        </w:rPr>
      </w:r>
      <w:r/>
    </w:p>
    <w:p>
      <w:pPr>
        <w:pStyle w:val="976"/>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十二、技术要求响应及偏离表</w:t>
      </w:r>
      <w:r>
        <w:rPr>
          <w:rFonts w:hint="eastAsia" w:ascii="宋体" w:hAnsi="宋体" w:eastAsia="宋体" w:cs="宋体"/>
          <w:color w:val="000000"/>
          <w:sz w:val="32"/>
          <w:szCs w:val="32"/>
          <w:highlight w:val="none"/>
        </w:rPr>
      </w:r>
      <w:r/>
    </w:p>
    <w:tbl>
      <w:tblPr>
        <w:tblW w:w="9322"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采购文件要求</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响应情况</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sz w:val="24"/>
                <w:szCs w:val="24"/>
                <w:highlight w:val="none"/>
              </w:rPr>
            </w:r>
            <w:r/>
          </w:p>
        </w:tc>
        <w:tc>
          <w:tcPr>
            <w:tcW w:w="1903"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证明</w:t>
            </w:r>
            <w:r>
              <w:rPr>
                <w:rFonts w:hint="eastAsia" w:ascii="宋体" w:hAnsi="宋体" w:eastAsia="宋体" w:cs="宋体"/>
                <w:sz w:val="24"/>
                <w:szCs w:val="24"/>
                <w:highlight w:val="none"/>
              </w:rPr>
            </w:r>
            <w:r/>
          </w:p>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材料</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903"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903"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903"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903"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903"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903"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903"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903"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bl>
    <w:p>
      <w:pPr>
        <w:pStyle w:val="976"/>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注：行数不够，可自行添加。</w:t>
      </w:r>
      <w:r>
        <w:rPr>
          <w:rFonts w:hint="eastAsia" w:ascii="宋体" w:hAnsi="宋体" w:eastAsia="宋体" w:cs="宋体"/>
          <w:sz w:val="24"/>
          <w:szCs w:val="24"/>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jc w:val="center"/>
        <w:spacing w:before="100" w:after="100" w:line="400" w:lineRule="exac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十三、商务要求响应及偏离表</w:t>
      </w:r>
      <w:r>
        <w:rPr>
          <w:rFonts w:hint="eastAsia" w:ascii="宋体" w:hAnsi="宋体" w:eastAsia="宋体" w:cs="宋体"/>
          <w:color w:val="000000"/>
          <w:sz w:val="32"/>
          <w:szCs w:val="32"/>
          <w:highlight w:val="none"/>
        </w:rPr>
      </w:r>
      <w:r/>
    </w:p>
    <w:tbl>
      <w:tblPr>
        <w:tblW w:w="8520" w:type="dxa"/>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bookmarkStart w:id="145" w:name="_Hlt26955056"/>
            <w:r/>
            <w:bookmarkStart w:id="146" w:name="_Hlt26782999"/>
            <w:r/>
            <w:bookmarkStart w:id="147" w:name="_Hlt26671372"/>
            <w:r/>
            <w:bookmarkStart w:id="148" w:name="_Hlt26609391"/>
            <w:r/>
            <w:bookmarkStart w:id="149" w:name="_Hlt24879081"/>
            <w:r/>
            <w:bookmarkStart w:id="150" w:name="_Hlt26580838"/>
            <w:r/>
            <w:bookmarkStart w:id="151" w:name="_Hlt26955064"/>
            <w:r/>
            <w:bookmarkStart w:id="152" w:name="_Hlt26671343"/>
            <w:r>
              <w:rPr>
                <w:rFonts w:hint="eastAsia" w:ascii="宋体" w:hAnsi="宋体" w:eastAsia="宋体" w:cs="宋体"/>
                <w:color w:val="000000"/>
                <w:sz w:val="24"/>
                <w:szCs w:val="24"/>
                <w:highlight w:val="none"/>
              </w:rPr>
              <w:t xml:space="preserve">序号</w:t>
            </w:r>
            <w:bookmarkEnd w:id="145"/>
            <w:r/>
            <w:bookmarkEnd w:id="146"/>
            <w:r/>
            <w:bookmarkEnd w:id="147"/>
            <w:r/>
            <w:bookmarkEnd w:id="148"/>
            <w:r/>
            <w:bookmarkEnd w:id="149"/>
            <w:r/>
            <w:bookmarkEnd w:id="150"/>
            <w:r/>
            <w:bookmarkEnd w:id="151"/>
            <w:r/>
            <w:bookmarkEnd w:id="152"/>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采购文件要求</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响应情况</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sz w:val="24"/>
                <w:szCs w:val="24"/>
                <w:highlight w:val="none"/>
              </w:rPr>
            </w:r>
            <w:r/>
          </w:p>
        </w:tc>
        <w:tc>
          <w:tcPr>
            <w:tcW w:w="1101"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证明</w:t>
            </w:r>
            <w:r>
              <w:rPr>
                <w:rFonts w:hint="eastAsia" w:ascii="宋体" w:hAnsi="宋体" w:eastAsia="宋体" w:cs="宋体"/>
                <w:sz w:val="24"/>
                <w:szCs w:val="24"/>
                <w:highlight w:val="none"/>
              </w:rPr>
            </w:r>
            <w:r/>
          </w:p>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材料</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101"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101"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101"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101"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101"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101"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101"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r>
        <w:trPr>
          <w:tblCellSpacing w:w="0" w:type="dxa"/>
          <w:trHeight w:val="640"/>
        </w:trPr>
        <w:tc>
          <w:tcPr>
            <w:tcW w:w="53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3026"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tc>
        <w:tc>
          <w:tcPr>
            <w:tcW w:w="2608"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247"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c>
          <w:tcPr>
            <w:tcW w:w="1101" w:type="dxa"/>
            <w:vAlign w:val="center"/>
            <w:textDirection w:val="lrTb"/>
            <w:noWrap w:val="false"/>
          </w:tcPr>
          <w:p>
            <w:pPr>
              <w:pStyle w:val="976"/>
              <w:jc w:val="center"/>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tc>
      </w:tr>
    </w:tbl>
    <w:p>
      <w:pPr>
        <w:pStyle w:val="976"/>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注：行数不够，可自行添加。</w:t>
      </w:r>
      <w:r>
        <w:rPr>
          <w:rFonts w:hint="eastAsia" w:ascii="宋体" w:hAnsi="宋体" w:eastAsia="宋体" w:cs="宋体"/>
          <w:sz w:val="24"/>
          <w:szCs w:val="24"/>
          <w:highlight w:val="none"/>
        </w:rPr>
      </w:r>
      <w:r/>
    </w:p>
    <w:p>
      <w:pPr>
        <w:pStyle w:val="976"/>
        <w:spacing w:before="100" w:after="100"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6"/>
        <w:spacing w:before="100" w:after="100" w:line="48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6"/>
        <w:jc w:val="center"/>
        <w:spacing w:before="50" w:after="50"/>
        <w:rPr>
          <w:rFonts w:hint="eastAsia" w:ascii="宋体" w:hAnsi="宋体" w:eastAsia="宋体" w:cs="宋体"/>
          <w:sz w:val="22"/>
          <w:szCs w:val="22"/>
          <w:highlight w:val="none"/>
        </w:rPr>
        <w:sectPr>
          <w:footerReference w:type="default" r:id="rId14"/>
          <w:footnotePr/>
          <w:endnotePr/>
          <w:type w:val="nextPage"/>
          <w:pgSz w:w="11906" w:h="16838" w:orient="portrait"/>
          <w:pgMar w:top="1134" w:right="1134" w:bottom="1134" w:left="1196" w:header="794" w:footer="907" w:gutter="0"/>
          <w:pgNumType w:start="51"/>
          <w:cols w:num="1" w:sep="0" w:space="1701" w:equalWidth="1"/>
          <w:docGrid w:linePitch="360"/>
        </w:sectPr>
      </w:pPr>
      <w:r>
        <w:rPr>
          <w:rFonts w:hint="eastAsia" w:ascii="宋体" w:hAnsi="宋体" w:eastAsia="宋体" w:cs="宋体"/>
          <w:sz w:val="22"/>
          <w:szCs w:val="22"/>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jc w:val="center"/>
        <w:spacing w:before="100" w:after="100" w:line="400" w:lineRule="exac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十四、开标一览表</w:t>
      </w:r>
      <w:r>
        <w:rPr>
          <w:rFonts w:hint="eastAsia" w:ascii="宋体" w:hAnsi="宋体" w:eastAsia="宋体" w:cs="宋体"/>
          <w:color w:val="000000"/>
          <w:sz w:val="32"/>
          <w:szCs w:val="32"/>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pStyle w:val="976"/>
        <w:jc w:val="lef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rPr>
      </w:r>
      <w:r/>
    </w:p>
    <w:p>
      <w:pPr>
        <w:pStyle w:val="976"/>
        <w:jc w:val="lef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货币单位：人民币元</w:t>
      </w:r>
      <w:r>
        <w:rPr>
          <w:rFonts w:hint="eastAsia" w:ascii="宋体" w:hAnsi="宋体" w:eastAsia="宋体" w:cs="宋体"/>
          <w:sz w:val="24"/>
          <w:szCs w:val="24"/>
          <w:highlight w:val="none"/>
        </w:rPr>
      </w:r>
      <w:r/>
    </w:p>
    <w:tbl>
      <w:tblPr>
        <w:tblW w:w="4515" w:type="pct"/>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837"/>
        <w:gridCol w:w="2637"/>
        <w:gridCol w:w="3337"/>
      </w:tblGrid>
      <w:tr>
        <w:trPr>
          <w:tblCellSpacing w:w="15" w:type="dxa"/>
        </w:trPr>
        <w:tc>
          <w:tcPr>
            <w:tcW w:w="1521" w:type="dxa"/>
            <w:vAlign w:val="center"/>
            <w:textDirection w:val="lrTb"/>
            <w:noWrap w:val="false"/>
          </w:tcPr>
          <w:p>
            <w:pPr>
              <w:pStyle w:val="976"/>
              <w:jc w:val="lef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tc>
        <w:tc>
          <w:tcPr>
            <w:tcW w:w="1420" w:type="dxa"/>
            <w:vAlign w:val="center"/>
            <w:textDirection w:val="lrTb"/>
            <w:noWrap w:val="false"/>
          </w:tcPr>
          <w:p>
            <w:pPr>
              <w:pStyle w:val="976"/>
              <w:jc w:val="lef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项目内容</w:t>
            </w:r>
            <w:r>
              <w:rPr>
                <w:rFonts w:hint="eastAsia" w:ascii="宋体" w:hAnsi="宋体" w:eastAsia="宋体" w:cs="宋体"/>
                <w:sz w:val="24"/>
                <w:szCs w:val="24"/>
                <w:highlight w:val="none"/>
              </w:rPr>
            </w:r>
            <w:r/>
          </w:p>
        </w:tc>
        <w:tc>
          <w:tcPr>
            <w:tcW w:w="1792" w:type="dxa"/>
            <w:vAlign w:val="center"/>
            <w:textDirection w:val="lrTb"/>
            <w:noWrap w:val="false"/>
          </w:tcPr>
          <w:p>
            <w:pPr>
              <w:pStyle w:val="976"/>
              <w:jc w:val="lef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总价（小写）</w:t>
            </w:r>
            <w:r>
              <w:rPr>
                <w:rFonts w:hint="eastAsia" w:ascii="宋体" w:hAnsi="宋体" w:eastAsia="宋体" w:cs="宋体"/>
                <w:sz w:val="24"/>
                <w:szCs w:val="24"/>
                <w:highlight w:val="none"/>
              </w:rPr>
            </w:r>
            <w:r/>
          </w:p>
        </w:tc>
      </w:tr>
      <w:tr>
        <w:trPr>
          <w:tblCellSpacing w:w="15" w:type="dxa"/>
        </w:trPr>
        <w:tc>
          <w:tcPr>
            <w:tcW w:w="1521" w:type="dxa"/>
            <w:vAlign w:val="center"/>
            <w:textDirection w:val="lrTb"/>
            <w:noWrap w:val="false"/>
          </w:tcPr>
          <w:p>
            <w:pPr>
              <w:pStyle w:val="976"/>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0" w:type="dxa"/>
            <w:vAlign w:val="center"/>
            <w:textDirection w:val="lrTb"/>
            <w:noWrap w:val="false"/>
          </w:tcPr>
          <w:p>
            <w:pPr>
              <w:pStyle w:val="976"/>
              <w:jc w:val="lef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详见投标文件</w:t>
            </w:r>
            <w:r>
              <w:rPr>
                <w:rFonts w:hint="eastAsia" w:ascii="宋体" w:hAnsi="宋体" w:eastAsia="宋体" w:cs="宋体"/>
                <w:sz w:val="24"/>
                <w:szCs w:val="24"/>
                <w:highlight w:val="none"/>
              </w:rPr>
            </w:r>
            <w:r/>
          </w:p>
        </w:tc>
        <w:tc>
          <w:tcPr>
            <w:tcW w:w="1792" w:type="dxa"/>
            <w:vAlign w:val="center"/>
            <w:textDirection w:val="lrTb"/>
            <w:noWrap w:val="false"/>
          </w:tcPr>
          <w:p>
            <w:pPr>
              <w:pStyle w:val="976"/>
              <w:jc w:val="lef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SHAPE  \* MERGEFORMAT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SHAPE  \* MERGEFORMAT </w:instrText>
            </w:r>
            <w:r>
              <w:rPr>
                <w:rFonts w:hint="eastAsia" w:ascii="宋体" w:hAnsi="宋体" w:eastAsia="宋体" w:cs="宋体"/>
                <w:highlight w:val="none"/>
              </w:rPr>
              <w:fldChar w:fldCharType="separate"/>
            </w: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720090" cy="23368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21"/>
                                <a:stretch/>
                              </a:blipFill>
                              <a:ln>
                                <a:noFill/>
                              </a:ln>
                            </wps:spPr>
                            <wps:bodyPr rot="0">
                              <a:prstTxWarp prst="textNoShape">
                                <a:avLst/>
                              </a:prstTxWarp>
                              <a:noAutofit/>
                            </wps:bodyPr>
                          </wps:wsp>
                        </a:graphicData>
                      </a:graphic>
                    </wp:anchor>
                  </w:drawing>
                </mc:Choice>
                <mc:Fallback>
                  <w:pict>
                    <v:shape id="shape 9" o:spid="_x0000_s9" o:spt="1" type="#_x0000_t1" style="position:absolute;z-index:524288;o:allowoverlap:true;o:allowincell:true;mso-position-horizontal-relative:text;margin-left:0.0pt;mso-position-horizontal:absolute;mso-position-vertical-relative:text;margin-top:0.0pt;mso-position-vertical:absolute;width:56.7pt;height:18.4pt;mso-wrap-distance-left:0.0pt;mso-wrap-distance-top:0.0pt;mso-wrap-distance-right:0.0pt;mso-wrap-distance-bottom:0.0pt;visibility:visible;" stroked="f">
                      <v:fill r:id="rId21" o:title="" type="frame"/>
                    </v:shape>
                  </w:pict>
                </mc:Fallback>
              </mc:AlternateContent>
            </w:r>
            <w:r>
              <w:rPr>
                <w:rFonts w:hint="eastAsia" w:ascii="宋体" w:hAnsi="宋体" w:eastAsia="宋体" w:cs="宋体"/>
                <w:highlight w:val="none"/>
              </w:rPr>
              <w:fldChar w:fldCharType="end"/>
            </w:r>
            <w:r>
              <w:rPr>
                <w:rFonts w:hint="eastAsia" w:ascii="宋体" w:hAnsi="宋体" w:eastAsia="宋体" w:cs="宋体"/>
                <w:highlight w:val="none"/>
              </w:rPr>
              <w:fldChar w:fldCharType="end"/>
            </w:r>
            <w:r>
              <w:rPr>
                <w:rFonts w:hint="eastAsia" w:ascii="宋体" w:hAnsi="宋体" w:eastAsia="宋体" w:cs="宋体"/>
                <w:sz w:val="24"/>
                <w:szCs w:val="24"/>
                <w:highlight w:val="none"/>
              </w:rPr>
              <w:t xml:space="preserve"> 元</w:t>
            </w:r>
            <w:r>
              <w:rPr>
                <w:rFonts w:hint="eastAsia" w:ascii="宋体" w:hAnsi="宋体" w:eastAsia="宋体" w:cs="宋体"/>
                <w:sz w:val="24"/>
                <w:szCs w:val="24"/>
                <w:highlight w:val="none"/>
              </w:rPr>
            </w:r>
            <w:r/>
          </w:p>
        </w:tc>
      </w:tr>
      <w:tr>
        <w:trPr>
          <w:tblCellSpacing w:w="15" w:type="dxa"/>
        </w:trPr>
        <w:tc>
          <w:tcPr>
            <w:tcW w:w="1521" w:type="dxa"/>
            <w:vAlign w:val="center"/>
            <w:textDirection w:val="lrTb"/>
            <w:noWrap w:val="false"/>
          </w:tcPr>
          <w:p>
            <w:pPr>
              <w:pStyle w:val="976"/>
              <w:jc w:val="lef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总价（大写）：</w:t>
            </w:r>
            <w:r>
              <w:rPr>
                <w:rFonts w:hint="eastAsia" w:ascii="宋体" w:hAnsi="宋体" w:eastAsia="宋体" w:cs="宋体"/>
                <w:sz w:val="24"/>
                <w:szCs w:val="24"/>
                <w:highlight w:val="none"/>
              </w:rPr>
            </w:r>
            <w:r/>
          </w:p>
        </w:tc>
        <w:tc>
          <w:tcPr>
            <w:gridSpan w:val="2"/>
            <w:tcW w:w="5974" w:type="dxa"/>
            <w:vAlign w:val="center"/>
            <w:textDirection w:val="lrTb"/>
            <w:noWrap w:val="false"/>
          </w:tcPr>
          <w:p>
            <w:pPr>
              <w:pStyle w:val="976"/>
              <w:jc w:val="lef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金额大写  </w:t>
            </w:r>
            <w:r>
              <w:rPr>
                <w:rFonts w:hint="eastAsia" w:ascii="宋体" w:hAnsi="宋体" w:eastAsia="宋体" w:cs="宋体"/>
                <w:sz w:val="24"/>
                <w:szCs w:val="24"/>
                <w:highlight w:val="none"/>
              </w:rPr>
            </w:r>
            <w:r/>
          </w:p>
        </w:tc>
      </w:tr>
    </w:tbl>
    <w:p>
      <w:pPr>
        <w:pStyle w:val="976"/>
        <w:jc w:val="lef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6"/>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投标人公章：     （电子签章）</w:t>
      </w:r>
      <w:r>
        <w:rPr>
          <w:rFonts w:hint="eastAsia" w:ascii="宋体" w:hAnsi="宋体" w:eastAsia="宋体" w:cs="宋体"/>
          <w:sz w:val="24"/>
          <w:szCs w:val="24"/>
          <w:highlight w:val="none"/>
        </w:rPr>
      </w:r>
      <w:r/>
    </w:p>
    <w:p>
      <w:pPr>
        <w:pStyle w:val="976"/>
        <w:jc w:val="righ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6"/>
        <w:jc w:val="righ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6"/>
        <w:jc w:val="right"/>
        <w:spacing w:before="100" w:beforeAutospacing="1" w:after="100" w:afterAutospacing="1"/>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highlight w:val="none"/>
        </w:rPr>
        <w:fldChar w:fldCharType="begin"/>
      </w:r>
      <w:r>
        <w:rPr>
          <w:rFonts w:hint="eastAsia" w:ascii="宋体" w:hAnsi="宋体" w:eastAsia="宋体" w:cs="宋体"/>
          <w:highlight w:val="none"/>
        </w:rPr>
        <w:instrText xml:space="preserve"> SHAPE  \* MERGEFORMAT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SHAPE  \* MERGEFORMAT </w:instrText>
      </w:r>
      <w:r>
        <w:rPr>
          <w:rFonts w:hint="eastAsia" w:ascii="宋体" w:hAnsi="宋体" w:eastAsia="宋体" w:cs="宋体"/>
          <w:highlight w:val="none"/>
        </w:rPr>
        <w:fldChar w:fldCharType="separate"/>
      </w: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0</wp:posOffset>
                </wp:positionH>
                <wp:positionV relativeFrom="paragraph">
                  <wp:posOffset>0</wp:posOffset>
                </wp:positionV>
                <wp:extent cx="720090" cy="23368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22"/>
                          <a:stretch/>
                        </a:blipFill>
                        <a:ln>
                          <a:noFill/>
                        </a:ln>
                      </wps:spPr>
                      <wps:bodyPr rot="0">
                        <a:prstTxWarp prst="textNoShape">
                          <a:avLst/>
                        </a:prstTxWarp>
                        <a:noAutofit/>
                      </wps:bodyPr>
                    </wps:wsp>
                  </a:graphicData>
                </a:graphic>
              </wp:anchor>
            </w:drawing>
          </mc:Choice>
          <mc:Fallback>
            <w:pict>
              <v:shape id="shape 10" o:spid="_x0000_s10" o:spt="1" type="#_x0000_t1" style="position:absolute;z-index:251658241;o:allowoverlap:true;o:allowincell:true;mso-position-horizontal-relative:text;margin-left:0.0pt;mso-position-horizontal:absolute;mso-position-vertical-relative:text;margin-top:0.0pt;mso-position-vertical:absolute;width:56.7pt;height:18.4pt;mso-wrap-distance-left:0.0pt;mso-wrap-distance-top:0.0pt;mso-wrap-distance-right:0.0pt;mso-wrap-distance-bottom:0.0pt;visibility:visible;" stroked="f">
                <v:fill r:id="rId22" o:title="" type="frame"/>
              </v:shape>
            </w:pict>
          </mc:Fallback>
        </mc:AlternateContent>
      </w:r>
      <w:r>
        <w:rPr>
          <w:rFonts w:hint="eastAsia" w:ascii="宋体" w:hAnsi="宋体" w:eastAsia="宋体" w:cs="宋体"/>
          <w:highlight w:val="none"/>
        </w:rPr>
        <w:fldChar w:fldCharType="end"/>
      </w:r>
      <w:r>
        <w:rPr>
          <w:rFonts w:hint="eastAsia" w:ascii="宋体" w:hAnsi="宋体" w:eastAsia="宋体" w:cs="宋体"/>
          <w:highlight w:val="none"/>
        </w:rPr>
        <w:fldChar w:fldCharType="end"/>
      </w:r>
      <w:r>
        <w:rPr>
          <w:rFonts w:hint="eastAsia" w:ascii="宋体" w:hAnsi="宋体" w:eastAsia="宋体" w:cs="宋体"/>
          <w:sz w:val="24"/>
          <w:szCs w:val="24"/>
          <w:highlight w:val="none"/>
        </w:rPr>
        <w:t xml:space="preserve"> 年</w:t>
      </w:r>
      <w:r>
        <w:rPr>
          <w:rFonts w:hint="eastAsia" w:ascii="宋体" w:hAnsi="宋体" w:eastAsia="宋体" w:cs="宋体"/>
          <w:highlight w:val="none"/>
        </w:rPr>
        <w:fldChar w:fldCharType="begin"/>
      </w:r>
      <w:r>
        <w:rPr>
          <w:rFonts w:hint="eastAsia" w:ascii="宋体" w:hAnsi="宋体" w:eastAsia="宋体" w:cs="宋体"/>
          <w:highlight w:val="none"/>
        </w:rPr>
        <w:instrText xml:space="preserve"> SHAPE  \* MERGEFORMAT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SHAPE  \* MERGEFORMAT </w:instrText>
      </w:r>
      <w:r>
        <w:rPr>
          <w:rFonts w:hint="eastAsia" w:ascii="宋体" w:hAnsi="宋体" w:eastAsia="宋体" w:cs="宋体"/>
          <w:highlight w:val="none"/>
        </w:rPr>
        <w:fldChar w:fldCharType="separate"/>
      </w: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0</wp:posOffset>
                </wp:positionH>
                <wp:positionV relativeFrom="paragraph">
                  <wp:posOffset>0</wp:posOffset>
                </wp:positionV>
                <wp:extent cx="720090" cy="23368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23"/>
                          <a:stretch/>
                        </a:blipFill>
                        <a:ln>
                          <a:noFill/>
                        </a:ln>
                      </wps:spPr>
                      <wps:bodyPr rot="0">
                        <a:prstTxWarp prst="textNoShape">
                          <a:avLst/>
                        </a:prstTxWarp>
                        <a:noAutofit/>
                      </wps:bodyPr>
                    </wps:wsp>
                  </a:graphicData>
                </a:graphic>
              </wp:anchor>
            </w:drawing>
          </mc:Choice>
          <mc:Fallback>
            <w:pict>
              <v:shape id="shape 11" o:spid="_x0000_s11" o:spt="1" type="#_x0000_t1" style="position:absolute;z-index:251658242;o:allowoverlap:true;o:allowincell:true;mso-position-horizontal-relative:text;margin-left:0.0pt;mso-position-horizontal:absolute;mso-position-vertical-relative:text;margin-top:0.0pt;mso-position-vertical:absolute;width:56.7pt;height:18.4pt;mso-wrap-distance-left:0.0pt;mso-wrap-distance-top:0.0pt;mso-wrap-distance-right:0.0pt;mso-wrap-distance-bottom:0.0pt;visibility:visible;" stroked="f">
                <v:fill r:id="rId23" o:title="" type="frame"/>
              </v:shape>
            </w:pict>
          </mc:Fallback>
        </mc:AlternateContent>
      </w:r>
      <w:r>
        <w:rPr>
          <w:rFonts w:hint="eastAsia" w:ascii="宋体" w:hAnsi="宋体" w:eastAsia="宋体" w:cs="宋体"/>
          <w:highlight w:val="none"/>
        </w:rPr>
        <w:fldChar w:fldCharType="end"/>
      </w:r>
      <w:r>
        <w:rPr>
          <w:rFonts w:hint="eastAsia" w:ascii="宋体" w:hAnsi="宋体" w:eastAsia="宋体" w:cs="宋体"/>
          <w:highlight w:val="none"/>
        </w:rPr>
        <w:fldChar w:fldCharType="end"/>
      </w:r>
      <w:r>
        <w:rPr>
          <w:rFonts w:hint="eastAsia" w:ascii="宋体" w:hAnsi="宋体" w:eastAsia="宋体" w:cs="宋体"/>
          <w:sz w:val="24"/>
          <w:szCs w:val="24"/>
          <w:highlight w:val="none"/>
        </w:rPr>
        <w:t xml:space="preserve"> 月</w:t>
      </w:r>
      <w:r>
        <w:rPr>
          <w:rFonts w:hint="eastAsia" w:ascii="宋体" w:hAnsi="宋体" w:eastAsia="宋体" w:cs="宋体"/>
          <w:highlight w:val="none"/>
        </w:rPr>
        <w:fldChar w:fldCharType="begin"/>
      </w:r>
      <w:r>
        <w:rPr>
          <w:rFonts w:hint="eastAsia" w:ascii="宋体" w:hAnsi="宋体" w:eastAsia="宋体" w:cs="宋体"/>
          <w:highlight w:val="none"/>
        </w:rPr>
        <w:instrText xml:space="preserve"> SHAPE  \* MERGEFORMAT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SHAPE  \* MERGEFORMAT </w:instrText>
      </w:r>
      <w:r>
        <w:rPr>
          <w:rFonts w:hint="eastAsia" w:ascii="宋体" w:hAnsi="宋体" w:eastAsia="宋体" w:cs="宋体"/>
          <w:highlight w:val="none"/>
        </w:rPr>
        <w:fldChar w:fldCharType="separate"/>
      </w: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0</wp:posOffset>
                </wp:positionH>
                <wp:positionV relativeFrom="paragraph">
                  <wp:posOffset>0</wp:posOffset>
                </wp:positionV>
                <wp:extent cx="720090" cy="23368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720090" cy="233680"/>
                        </a:xfrm>
                        <a:prstGeom prst="rect">
                          <a:avLst/>
                        </a:prstGeom>
                        <a:blipFill>
                          <a:blip r:embed="rId24"/>
                          <a:stretch/>
                        </a:blipFill>
                        <a:ln>
                          <a:noFill/>
                        </a:ln>
                      </wps:spPr>
                      <wps:bodyPr rot="0">
                        <a:prstTxWarp prst="textNoShape">
                          <a:avLst/>
                        </a:prstTxWarp>
                        <a:noAutofit/>
                      </wps:bodyPr>
                    </wps:wsp>
                  </a:graphicData>
                </a:graphic>
              </wp:anchor>
            </w:drawing>
          </mc:Choice>
          <mc:Fallback>
            <w:pict>
              <v:shape id="shape 12" o:spid="_x0000_s12" o:spt="1" type="#_x0000_t1" style="position:absolute;z-index:251658243;o:allowoverlap:true;o:allowincell:true;mso-position-horizontal-relative:text;margin-left:0.0pt;mso-position-horizontal:absolute;mso-position-vertical-relative:text;margin-top:0.0pt;mso-position-vertical:absolute;width:56.7pt;height:18.4pt;mso-wrap-distance-left:0.0pt;mso-wrap-distance-top:0.0pt;mso-wrap-distance-right:0.0pt;mso-wrap-distance-bottom:0.0pt;visibility:visible;" stroked="f">
                <v:fill r:id="rId24" o:title="" type="frame"/>
              </v:shape>
            </w:pict>
          </mc:Fallback>
        </mc:AlternateContent>
      </w:r>
      <w:r>
        <w:rPr>
          <w:rFonts w:hint="eastAsia" w:ascii="宋体" w:hAnsi="宋体" w:eastAsia="宋体" w:cs="宋体"/>
          <w:highlight w:val="none"/>
        </w:rPr>
        <w:fldChar w:fldCharType="end"/>
      </w:r>
      <w:r>
        <w:rPr>
          <w:rFonts w:hint="eastAsia" w:ascii="宋体" w:hAnsi="宋体" w:eastAsia="宋体" w:cs="宋体"/>
          <w:highlight w:val="none"/>
        </w:rPr>
        <w:fldChar w:fldCharType="end"/>
      </w:r>
      <w:r>
        <w:rPr>
          <w:rFonts w:hint="eastAsia" w:ascii="宋体" w:hAnsi="宋体" w:eastAsia="宋体" w:cs="宋体"/>
          <w:sz w:val="24"/>
          <w:szCs w:val="24"/>
          <w:highlight w:val="none"/>
        </w:rPr>
        <w:t xml:space="preserve"> 日</w:t>
      </w:r>
      <w:r>
        <w:rPr>
          <w:rFonts w:hint="eastAsia" w:ascii="宋体" w:hAnsi="宋体" w:eastAsia="宋体" w:cs="宋体"/>
          <w:sz w:val="24"/>
          <w:szCs w:val="24"/>
          <w:highlight w:val="none"/>
        </w:rPr>
      </w:r>
      <w:r/>
    </w:p>
    <w:p>
      <w:pPr>
        <w:pStyle w:val="976"/>
        <w:ind w:firstLine="482"/>
        <w:jc w:val="center"/>
        <w:spacing w:line="500" w:lineRule="exac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76"/>
        <w:ind w:firstLine="482"/>
        <w:jc w:val="center"/>
        <w:spacing w:line="500" w:lineRule="exac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76"/>
        <w:ind w:firstLine="482"/>
        <w:jc w:val="center"/>
        <w:spacing w:line="500" w:lineRule="exac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76"/>
        <w:keepNext/>
        <w:rPr>
          <w:rFonts w:hint="eastAsia" w:ascii="宋体" w:hAnsi="宋体" w:eastAsia="宋体" w:cs="宋体"/>
          <w:sz w:val="28"/>
          <w:szCs w:val="20"/>
          <w:highlight w:val="none"/>
        </w:rPr>
        <w:outlineLvl w:val="0"/>
      </w:pPr>
      <w:r>
        <w:rPr>
          <w:rFonts w:hint="eastAsia" w:ascii="宋体" w:hAnsi="宋体" w:eastAsia="宋体" w:cs="宋体"/>
          <w:sz w:val="28"/>
          <w:szCs w:val="20"/>
          <w:highlight w:val="none"/>
        </w:rPr>
      </w:r>
      <w:r/>
    </w:p>
    <w:p>
      <w:pPr>
        <w:pStyle w:val="976"/>
        <w:rPr>
          <w:rFonts w:hint="eastAsia" w:ascii="宋体" w:hAnsi="宋体" w:eastAsia="宋体" w:cs="宋体"/>
          <w:szCs w:val="24"/>
          <w:highlight w:val="none"/>
        </w:rPr>
      </w:pPr>
      <w:r>
        <w:rPr>
          <w:rFonts w:hint="eastAsia" w:ascii="宋体" w:hAnsi="宋体" w:eastAsia="宋体" w:cs="宋体"/>
          <w:szCs w:val="24"/>
          <w:highlight w:val="none"/>
        </w:rPr>
      </w:r>
      <w:r/>
    </w:p>
    <w:p>
      <w:pPr>
        <w:pStyle w:val="976"/>
        <w:keepNext/>
        <w:rPr>
          <w:rFonts w:hint="eastAsia" w:ascii="宋体" w:hAnsi="宋体" w:eastAsia="宋体" w:cs="宋体"/>
          <w:sz w:val="28"/>
          <w:szCs w:val="20"/>
          <w:highlight w:val="none"/>
        </w:rPr>
        <w:outlineLvl w:val="0"/>
      </w:pPr>
      <w:r>
        <w:rPr>
          <w:rFonts w:hint="eastAsia" w:ascii="宋体" w:hAnsi="宋体" w:eastAsia="宋体" w:cs="宋体"/>
          <w:sz w:val="28"/>
          <w:szCs w:val="20"/>
          <w:highlight w:val="none"/>
        </w:rPr>
      </w:r>
      <w:r/>
    </w:p>
    <w:p>
      <w:pPr>
        <w:pStyle w:val="976"/>
        <w:ind w:firstLine="482"/>
        <w:jc w:val="left"/>
        <w:spacing w:line="500" w:lineRule="exact"/>
        <w:tabs>
          <w:tab w:val="left" w:pos="4225" w:leader="none"/>
          <w:tab w:val="center" w:pos="5024"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6"/>
        <w:jc w:val="left"/>
        <w:spacing w:line="500" w:lineRule="exact"/>
        <w:tabs>
          <w:tab w:val="left" w:pos="4225" w:leader="none"/>
          <w:tab w:val="center" w:pos="5024"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6"/>
        <w:ind w:firstLine="482"/>
        <w:jc w:val="left"/>
        <w:spacing w:line="500" w:lineRule="exact"/>
        <w:tabs>
          <w:tab w:val="left" w:pos="4225" w:leader="none"/>
          <w:tab w:val="center" w:pos="5024"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6"/>
        <w:rPr>
          <w:rFonts w:hint="eastAsia" w:ascii="宋体" w:hAnsi="宋体" w:eastAsia="宋体" w:cs="宋体"/>
          <w:highlight w:val="none"/>
        </w:rPr>
        <w:sectPr>
          <w:footerReference w:type="default" r:id="rId15"/>
          <w:footerReference w:type="first" r:id="rId16"/>
          <w:footnotePr/>
          <w:endnotePr/>
          <w:type w:val="nextPage"/>
          <w:pgSz w:w="11906" w:h="16838" w:orient="portrait"/>
          <w:pgMar w:top="1134" w:right="1134" w:bottom="1134" w:left="1134" w:header="794" w:footer="907" w:gutter="0"/>
          <w:cols w:num="1" w:sep="0" w:space="1701" w:equalWidth="1"/>
          <w:docGrid w:linePitch="360"/>
          <w:titlePg/>
        </w:sectPr>
      </w:pPr>
      <w:r>
        <w:rPr>
          <w:rFonts w:hint="eastAsia" w:ascii="宋体" w:hAnsi="宋体" w:eastAsia="宋体" w:cs="宋体"/>
          <w:highlight w:val="none"/>
        </w:rPr>
      </w:r>
      <w:r/>
    </w:p>
    <w:p>
      <w:pPr>
        <w:pStyle w:val="988"/>
        <w:rPr>
          <w:rFonts w:hint="eastAsia"/>
        </w:rPr>
      </w:pPr>
      <w:r>
        <w:rPr>
          <w:rFonts w:hint="eastAsia"/>
        </w:rPr>
      </w:r>
      <w:r/>
    </w:p>
    <w:p>
      <w:pPr>
        <w:pStyle w:val="976"/>
        <w:jc w:val="center"/>
        <w:spacing w:before="100" w:after="100" w:line="400" w:lineRule="exac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十五、</w:t>
      </w:r>
      <w:r>
        <w:rPr>
          <w:rFonts w:hint="eastAsia" w:ascii="宋体" w:hAnsi="宋体" w:cs="宋体"/>
          <w:color w:val="000000"/>
          <w:sz w:val="32"/>
          <w:szCs w:val="32"/>
          <w:highlight w:val="none"/>
          <w:lang w:val="en-US" w:eastAsia="zh-CN"/>
        </w:rPr>
        <w:t xml:space="preserve">服务</w:t>
      </w:r>
      <w:r>
        <w:rPr>
          <w:rFonts w:hint="eastAsia" w:ascii="宋体" w:hAnsi="宋体" w:eastAsia="宋体" w:cs="宋体"/>
          <w:color w:val="000000"/>
          <w:sz w:val="32"/>
          <w:szCs w:val="32"/>
          <w:highlight w:val="none"/>
        </w:rPr>
        <w:t xml:space="preserve">方案</w:t>
      </w:r>
      <w:r>
        <w:rPr>
          <w:rFonts w:hint="eastAsia" w:ascii="宋体" w:hAnsi="宋体" w:eastAsia="宋体" w:cs="宋体"/>
          <w:color w:val="000000"/>
          <w:sz w:val="32"/>
          <w:szCs w:val="32"/>
          <w:highlight w:val="none"/>
        </w:rPr>
      </w:r>
      <w:r/>
    </w:p>
    <w:p>
      <w:pPr>
        <w:pStyle w:val="976"/>
        <w:rPr>
          <w:rFonts w:hint="eastAsia" w:ascii="宋体" w:hAnsi="宋体" w:eastAsia="宋体" w:cs="宋体"/>
          <w:highlight w:val="none"/>
        </w:rPr>
        <w:sectPr>
          <w:footerReference w:type="default" r:id="rId17"/>
          <w:footerReference w:type="first" r:id="rId18"/>
          <w:footnotePr/>
          <w:endnotePr/>
          <w:type w:val="nextPage"/>
          <w:pgSz w:w="11906" w:h="16838" w:orient="portrait"/>
          <w:pgMar w:top="1134" w:right="1134" w:bottom="1134" w:left="1134" w:header="794" w:footer="907" w:gutter="0"/>
          <w:cols w:num="1" w:sep="0" w:space="1701" w:equalWidth="1"/>
          <w:docGrid w:linePitch="360"/>
          <w:titlePg/>
        </w:sectPr>
      </w:pPr>
      <w:r>
        <w:rPr>
          <w:rFonts w:hint="eastAsia" w:ascii="宋体" w:hAnsi="宋体" w:eastAsia="宋体" w:cs="宋体"/>
          <w:highlight w:val="none"/>
        </w:rPr>
      </w:r>
      <w:r/>
    </w:p>
    <w:p>
      <w:pPr>
        <w:pStyle w:val="988"/>
        <w:rPr>
          <w:rFonts w:hint="eastAsia"/>
        </w:rPr>
      </w:pPr>
      <w:r>
        <w:rPr>
          <w:rFonts w:hint="eastAsia"/>
        </w:rPr>
      </w:r>
      <w:r/>
    </w:p>
    <w:p>
      <w:pPr>
        <w:pStyle w:val="976"/>
        <w:jc w:val="center"/>
        <w:spacing w:before="100" w:after="100" w:line="400" w:lineRule="exac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十六、盐城市政府采购事前信用承诺书</w:t>
      </w:r>
      <w:r>
        <w:rPr>
          <w:rFonts w:hint="eastAsia" w:ascii="宋体" w:hAnsi="宋体" w:eastAsia="宋体" w:cs="宋体"/>
          <w:color w:val="000000"/>
          <w:sz w:val="32"/>
          <w:szCs w:val="32"/>
          <w:highlight w:val="none"/>
        </w:rPr>
      </w:r>
      <w:r/>
    </w:p>
    <w:p>
      <w:pPr>
        <w:pStyle w:val="976"/>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为营造我市公开、公平、公正、诚实守信的政府采购交易环境，树立诚信守法的供应商形象，本人代表本单位作出以下承诺：</w:t>
      </w:r>
      <w:r>
        <w:rPr>
          <w:rFonts w:hint="eastAsia" w:ascii="宋体" w:hAnsi="宋体" w:eastAsia="宋体" w:cs="宋体"/>
          <w:sz w:val="24"/>
          <w:szCs w:val="24"/>
          <w:highlight w:val="none"/>
        </w:rPr>
      </w:r>
      <w:r/>
    </w:p>
    <w:p>
      <w:pPr>
        <w:pStyle w:val="976"/>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eastAsia="宋体" w:cs="宋体"/>
          <w:sz w:val="24"/>
          <w:szCs w:val="24"/>
          <w:highlight w:val="none"/>
        </w:rPr>
      </w:r>
      <w:r/>
    </w:p>
    <w:p>
      <w:pPr>
        <w:pStyle w:val="976"/>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sz w:val="24"/>
          <w:szCs w:val="24"/>
          <w:highlight w:val="none"/>
        </w:rPr>
      </w:r>
      <w:r/>
    </w:p>
    <w:p>
      <w:pPr>
        <w:pStyle w:val="976"/>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（三）严格依照国家和省、市关于政府采购的法律、法规、规章、规范性文件，参加政府采购投标活动；积极履行社会责任，促进廉政建设； </w:t>
      </w:r>
      <w:r>
        <w:rPr>
          <w:rFonts w:hint="eastAsia" w:ascii="宋体" w:hAnsi="宋体" w:eastAsia="宋体" w:cs="宋体"/>
          <w:sz w:val="24"/>
          <w:szCs w:val="24"/>
          <w:highlight w:val="none"/>
        </w:rPr>
      </w:r>
      <w:r/>
    </w:p>
    <w:p>
      <w:pPr>
        <w:pStyle w:val="976"/>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（四）严格遵守即时信息公示规定，及时维护和更新“中国政府采购网”、“江苏政府采购网”、“盐城市政府采购网”中与本单位相关的信息；</w:t>
      </w:r>
      <w:r>
        <w:rPr>
          <w:rFonts w:hint="eastAsia" w:ascii="宋体" w:hAnsi="宋体" w:eastAsia="宋体" w:cs="宋体"/>
          <w:sz w:val="24"/>
          <w:szCs w:val="24"/>
          <w:highlight w:val="none"/>
        </w:rPr>
      </w:r>
      <w:r/>
    </w:p>
    <w:p>
      <w:pPr>
        <w:pStyle w:val="976"/>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sz w:val="24"/>
          <w:szCs w:val="24"/>
          <w:highlight w:val="none"/>
        </w:rPr>
      </w:r>
      <w:r/>
    </w:p>
    <w:p>
      <w:pPr>
        <w:pStyle w:val="976"/>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（六）自觉接受政府、行业组织、社会公众、新闻舆论的监督；</w:t>
      </w:r>
      <w:r>
        <w:rPr>
          <w:rFonts w:hint="eastAsia" w:ascii="宋体" w:hAnsi="宋体" w:eastAsia="宋体" w:cs="宋体"/>
          <w:sz w:val="24"/>
          <w:szCs w:val="24"/>
          <w:highlight w:val="none"/>
        </w:rPr>
      </w:r>
      <w:r/>
    </w:p>
    <w:p>
      <w:pPr>
        <w:pStyle w:val="976"/>
        <w:ind w:firstLine="480"/>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sz w:val="24"/>
          <w:szCs w:val="24"/>
          <w:highlight w:val="none"/>
        </w:rPr>
      </w:r>
      <w:r/>
    </w:p>
    <w:p>
      <w:pPr>
        <w:pStyle w:val="976"/>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（八）本人已认真阅读了上述承诺，并向本单位员工作了宣传教育。</w:t>
      </w:r>
      <w:r>
        <w:rPr>
          <w:rFonts w:hint="eastAsia" w:ascii="宋体" w:hAnsi="宋体" w:eastAsia="宋体" w:cs="宋体"/>
          <w:sz w:val="24"/>
          <w:szCs w:val="24"/>
          <w:highlight w:val="none"/>
        </w:rPr>
      </w:r>
      <w:r/>
    </w:p>
    <w:p>
      <w:pPr>
        <w:pStyle w:val="976"/>
        <w:jc w:val="left"/>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6"/>
        <w:jc w:val="center"/>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法定代表人签名：</w:t>
      </w:r>
      <w:r>
        <w:rPr>
          <w:rFonts w:hint="eastAsia" w:ascii="宋体" w:hAnsi="宋体" w:eastAsia="宋体" w:cs="宋体"/>
          <w:sz w:val="24"/>
          <w:szCs w:val="24"/>
          <w:highlight w:val="none"/>
        </w:rPr>
      </w:r>
      <w:r/>
    </w:p>
    <w:p>
      <w:pPr>
        <w:pStyle w:val="976"/>
        <w:jc w:val="center"/>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单位名称（盖章）：</w:t>
      </w:r>
      <w:r>
        <w:rPr>
          <w:rFonts w:hint="eastAsia" w:ascii="宋体" w:hAnsi="宋体" w:eastAsia="宋体" w:cs="宋体"/>
          <w:sz w:val="24"/>
          <w:szCs w:val="24"/>
          <w:highlight w:val="none"/>
        </w:rPr>
      </w:r>
      <w:r/>
    </w:p>
    <w:p>
      <w:pPr>
        <w:pStyle w:val="976"/>
        <w:jc w:val="center"/>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    日</w:t>
      </w:r>
      <w:r>
        <w:rPr>
          <w:rFonts w:hint="eastAsia" w:ascii="宋体" w:hAnsi="宋体" w:eastAsia="宋体" w:cs="宋体"/>
          <w:sz w:val="24"/>
          <w:szCs w:val="24"/>
          <w:highlight w:val="none"/>
        </w:rPr>
      </w:r>
      <w:r/>
    </w:p>
    <w:p>
      <w:pPr>
        <w:pStyle w:val="976"/>
        <w:ind w:firstLine="482"/>
        <w:jc w:val="center"/>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76"/>
        <w:spacing w:line="500" w:lineRule="exact"/>
        <w:tabs>
          <w:tab w:val="left" w:pos="9000" w:leader="none"/>
        </w:tabs>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6"/>
        <w:jc w:val="center"/>
        <w:spacing w:before="100" w:after="100"/>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976"/>
        <w:spacing w:before="29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一、质疑供应商基本信息</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二、质疑项目基本情况</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三、质疑事项具体内容</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jc w:val="left"/>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四、与质疑事项相关的质疑请求</w:t>
      </w:r>
      <w:r>
        <w:rPr>
          <w:rFonts w:hint="eastAsia" w:ascii="宋体" w:hAnsi="宋体" w:eastAsia="宋体" w:cs="宋体"/>
          <w:sz w:val="24"/>
          <w:szCs w:val="24"/>
          <w:highlight w:val="none"/>
        </w:rPr>
      </w:r>
      <w:r/>
    </w:p>
    <w:p>
      <w:pPr>
        <w:pStyle w:val="976"/>
        <w:spacing w:before="100" w:after="100"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r>
      <w:r/>
    </w:p>
    <w:p>
      <w:pPr>
        <w:pStyle w:val="976"/>
        <w:spacing w:before="100" w:after="100"/>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签字（签章）：                 公章：               日期：    </w:t>
      </w:r>
      <w:r>
        <w:rPr>
          <w:rFonts w:hint="eastAsia" w:ascii="宋体" w:hAnsi="宋体" w:eastAsia="宋体" w:cs="宋体"/>
          <w:sz w:val="24"/>
          <w:szCs w:val="24"/>
          <w:highlight w:val="none"/>
        </w:rPr>
      </w:r>
      <w:r/>
    </w:p>
    <w:p>
      <w:pPr>
        <w:pStyle w:val="976"/>
        <w:spacing w:before="100" w:after="100" w:line="0" w:lineRule="atLeast"/>
        <w:widowControl/>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sz w:val="24"/>
          <w:szCs w:val="24"/>
          <w:highlight w:val="none"/>
        </w:rPr>
      </w:r>
      <w:r/>
    </w:p>
    <w:p>
      <w:pPr>
        <w:pStyle w:val="976"/>
        <w:ind w:firstLine="482"/>
        <w:jc w:val="left"/>
        <w:spacing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sz w:val="24"/>
          <w:szCs w:val="24"/>
          <w:highlight w:val="none"/>
        </w:rPr>
      </w:r>
      <w:r/>
    </w:p>
    <w:p>
      <w:pPr>
        <w:pStyle w:val="976"/>
        <w:ind w:firstLine="482"/>
        <w:jc w:val="left"/>
        <w:spacing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sz w:val="24"/>
          <w:szCs w:val="24"/>
          <w:highlight w:val="none"/>
        </w:rPr>
      </w:r>
      <w:r/>
    </w:p>
    <w:p>
      <w:pPr>
        <w:pStyle w:val="976"/>
        <w:ind w:firstLine="482"/>
        <w:jc w:val="left"/>
        <w:spacing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sz w:val="24"/>
          <w:szCs w:val="24"/>
          <w:highlight w:val="none"/>
        </w:rPr>
      </w:r>
      <w:r/>
    </w:p>
    <w:p>
      <w:pPr>
        <w:pStyle w:val="976"/>
        <w:ind w:firstLine="482"/>
        <w:jc w:val="left"/>
        <w:spacing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sz w:val="24"/>
          <w:szCs w:val="24"/>
          <w:highlight w:val="none"/>
        </w:rPr>
      </w:r>
      <w:r/>
    </w:p>
    <w:p>
      <w:pPr>
        <w:pStyle w:val="976"/>
        <w:ind w:firstLine="482"/>
        <w:jc w:val="left"/>
        <w:spacing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sz w:val="24"/>
          <w:szCs w:val="24"/>
          <w:highlight w:val="none"/>
        </w:rPr>
      </w:r>
      <w:r/>
    </w:p>
    <w:p>
      <w:pPr>
        <w:pStyle w:val="976"/>
        <w:ind w:firstLine="482"/>
        <w:jc w:val="left"/>
        <w:spacing w:line="50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sz w:val="24"/>
          <w:szCs w:val="24"/>
          <w:highlight w:val="none"/>
        </w:rPr>
      </w:r>
      <w:r/>
    </w:p>
    <w:p>
      <w:pPr>
        <w:pStyle w:val="976"/>
        <w:ind w:firstLine="420"/>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6"/>
        <w:rPr>
          <w:rFonts w:hint="eastAsia" w:ascii="宋体" w:hAnsi="宋体" w:eastAsia="宋体" w:cs="宋体"/>
          <w:szCs w:val="24"/>
          <w:highlight w:val="none"/>
        </w:rPr>
      </w:pPr>
      <w:r>
        <w:rPr>
          <w:rFonts w:hint="eastAsia" w:ascii="宋体" w:hAnsi="宋体" w:eastAsia="宋体" w:cs="宋体"/>
          <w:szCs w:val="24"/>
          <w:highlight w:val="none"/>
        </w:rPr>
      </w:r>
      <w:r/>
    </w:p>
    <w:p>
      <w:pPr>
        <w:pStyle w:val="976"/>
        <w:ind w:firstLine="420"/>
        <w:spacing w:before="100" w:after="100"/>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6"/>
        <w:rPr>
          <w:rFonts w:hint="eastAsia" w:ascii="宋体" w:hAnsi="宋体" w:eastAsia="宋体" w:cs="宋体"/>
          <w:szCs w:val="24"/>
          <w:highlight w:val="none"/>
        </w:rPr>
      </w:pPr>
      <w:r>
        <w:rPr>
          <w:rFonts w:hint="eastAsia" w:ascii="宋体" w:hAnsi="宋体" w:eastAsia="宋体" w:cs="宋体"/>
          <w:szCs w:val="24"/>
          <w:highlight w:val="none"/>
        </w:rPr>
      </w:r>
      <w:r/>
    </w:p>
    <w:p>
      <w:pPr>
        <w:pStyle w:val="976"/>
        <w:ind w:left="420"/>
        <w:jc w:val="center"/>
        <w:spacing w:before="312" w:after="31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76"/>
        <w:jc w:val="center"/>
        <w:spacing w:line="500" w:lineRule="exact"/>
        <w:rPr>
          <w:rFonts w:hint="eastAsia" w:ascii="宋体" w:hAnsi="宋体" w:eastAsia="宋体" w:cs="宋体"/>
          <w:b/>
          <w:color w:val="000000"/>
          <w:sz w:val="30"/>
          <w:highlight w:val="none"/>
        </w:rPr>
        <w:outlineLvl w:val="0"/>
      </w:pPr>
      <w:r>
        <w:rPr>
          <w:rFonts w:hint="eastAsia" w:ascii="宋体" w:hAnsi="宋体" w:eastAsia="宋体" w:cs="宋体"/>
          <w:b/>
          <w:color w:val="000000"/>
          <w:sz w:val="30"/>
          <w:highlight w:val="none"/>
        </w:rPr>
      </w:r>
      <w:r/>
    </w:p>
    <w:sectPr>
      <w:footerReference w:type="default" r:id="rId19"/>
      <w:footerReference w:type="first" r:id="rId20"/>
      <w:footnotePr/>
      <w:endnotePr/>
      <w:type w:val="nextPage"/>
      <w:pgSz w:w="11906" w:h="16838" w:orient="portrait"/>
      <w:pgMar w:top="1134" w:right="1134" w:bottom="1134" w:left="1134" w:header="79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方正仿宋_GBK">
    <w:panose1 w:val="020B0503020202020204"/>
  </w:font>
  <w:font w:name="方正黑体_GBK">
    <w:panose1 w:val="020B0503020202020204"/>
  </w:font>
  <w:font w:name="Cambria">
    <w:panose1 w:val="02040503050406030204"/>
  </w:font>
  <w:font w:name="楷体_GB2312">
    <w:panose1 w:val="02010609060101010101"/>
  </w:font>
  <w:font w:name="Calibri">
    <w:panose1 w:val="020F05020202040302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Courier New">
    <w:panose1 w:val="020703090202050204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7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7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7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7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7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76"/>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7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76"/>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97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97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97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center" w:pos="4725"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976"/>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97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center" w:pos="4725"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976"/>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97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tabs>
        <w:tab w:val="center" w:pos="4153" w:leader="none"/>
        <w:tab w:val="center" w:pos="4725"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976"/>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9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7143" w:leader="none"/>
        <w:tab w:val="right" w:pos="14287" w:leader="none"/>
      </w:tabs>
      <w:rPr>
        <w:rFonts w:hint="eastAsia"/>
      </w:rPr>
      <w:pBdr>
        <w:bottom w:val="single" w:color="000000" w:sz="4" w:space="0"/>
      </w:pBdr>
    </w:pPr>
    <w:r>
      <w:rPr>
        <w:rFonts w:hint="eastAsia"/>
      </w:rPr>
      <w:t xml:space="preserve">盐城经济技术开发区新城街道办事处（JSZC-320991-YCLX-G2025-0016）招标文件</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6"/>
        <w:ind w:left="425" w:hanging="425"/>
        <w:tabs>
          <w:tab w:val="num" w:pos="425" w:leader="none"/>
        </w:tabs>
      </w:pPr>
      <w:rPr>
        <w:rFonts w:ascii="Arial" w:hAnsi="Arial" w:cs="Arial"/>
      </w:rPr>
    </w:lvl>
    <w:lvl w:ilvl="1">
      <w:start w:val="1"/>
      <w:numFmt w:val="decimal"/>
      <w:isLgl w:val="false"/>
      <w:suff w:val="tab"/>
      <w:lvlText w:val="%1.%2"/>
      <w:lvlJc w:val="left"/>
      <w:pPr>
        <w:pStyle w:val="976"/>
        <w:ind w:left="992" w:hanging="567"/>
        <w:tabs>
          <w:tab w:val="num" w:pos="992" w:leader="none"/>
        </w:tabs>
      </w:pPr>
      <w:rPr>
        <w:rFonts w:ascii="Arial" w:hAnsi="Arial" w:cs="Arial"/>
      </w:rPr>
    </w:lvl>
    <w:lvl w:ilvl="2">
      <w:start w:val="1"/>
      <w:numFmt w:val="decimal"/>
      <w:pStyle w:val="1231"/>
      <w:isLgl w:val="false"/>
      <w:suff w:val="tab"/>
      <w:lvlText w:val="%1.%2.%3"/>
      <w:lvlJc w:val="left"/>
      <w:pPr>
        <w:pStyle w:val="976"/>
        <w:ind w:left="1418" w:hanging="567"/>
        <w:tabs>
          <w:tab w:val="num" w:pos="1418" w:leader="none"/>
        </w:tabs>
      </w:pPr>
      <w:rPr>
        <w:rFonts w:ascii="Arial" w:hAnsi="Arial" w:cs="Arial"/>
      </w:rPr>
    </w:lvl>
    <w:lvl w:ilvl="3">
      <w:start w:val="1"/>
      <w:numFmt w:val="decimal"/>
      <w:pStyle w:val="1256"/>
      <w:isLgl w:val="false"/>
      <w:suff w:val="tab"/>
      <w:lvlText w:val="%1.%2.%3.%4"/>
      <w:lvlJc w:val="left"/>
      <w:pPr>
        <w:pStyle w:val="976"/>
        <w:ind w:left="1984" w:hanging="1984"/>
        <w:tabs>
          <w:tab w:val="num" w:pos="2356" w:leader="none"/>
        </w:tabs>
      </w:pPr>
      <w:rPr>
        <w:rFonts w:ascii="Arial" w:hAnsi="Arial" w:cs="Arial"/>
      </w:rPr>
    </w:lvl>
    <w:lvl w:ilvl="4">
      <w:start w:val="1"/>
      <w:numFmt w:val="decimal"/>
      <w:isLgl w:val="false"/>
      <w:suff w:val="tab"/>
      <w:lvlText w:val="%1.%2.%3.%4.%5"/>
      <w:lvlJc w:val="left"/>
      <w:pPr>
        <w:pStyle w:val="976"/>
        <w:ind w:left="2551" w:hanging="2551"/>
        <w:tabs>
          <w:tab w:val="num" w:pos="2781" w:leader="none"/>
        </w:tabs>
      </w:pPr>
      <w:rPr>
        <w:rFonts w:ascii="Arial" w:hAnsi="Arial" w:cs="Arial"/>
      </w:rPr>
    </w:lvl>
    <w:lvl w:ilvl="5">
      <w:start w:val="1"/>
      <w:numFmt w:val="decimal"/>
      <w:isLgl w:val="false"/>
      <w:suff w:val="tab"/>
      <w:lvlText w:val="%1.%2.%3.%4.%5.%6"/>
      <w:lvlJc w:val="left"/>
      <w:pPr>
        <w:pStyle w:val="976"/>
        <w:ind w:left="3260" w:hanging="1134"/>
        <w:tabs>
          <w:tab w:val="num" w:pos="3566" w:leader="none"/>
        </w:tabs>
      </w:pPr>
      <w:rPr>
        <w:rFonts w:hint="eastAsia"/>
      </w:rPr>
    </w:lvl>
    <w:lvl w:ilvl="6">
      <w:start w:val="1"/>
      <w:numFmt w:val="decimal"/>
      <w:isLgl w:val="false"/>
      <w:suff w:val="tab"/>
      <w:lvlText w:val="%1.%2.%3.%4.%5.%6.%7"/>
      <w:lvlJc w:val="left"/>
      <w:pPr>
        <w:pStyle w:val="976"/>
        <w:ind w:left="3827" w:hanging="1276"/>
        <w:tabs>
          <w:tab w:val="num" w:pos="3991" w:leader="none"/>
        </w:tabs>
      </w:pPr>
      <w:rPr>
        <w:rFonts w:hint="eastAsia"/>
      </w:rPr>
    </w:lvl>
    <w:lvl w:ilvl="7">
      <w:start w:val="1"/>
      <w:numFmt w:val="decimal"/>
      <w:isLgl w:val="false"/>
      <w:suff w:val="tab"/>
      <w:lvlText w:val="%1.%2.%3.%4.%5.%6.%7.%8"/>
      <w:lvlJc w:val="left"/>
      <w:pPr>
        <w:pStyle w:val="976"/>
        <w:ind w:left="4394" w:hanging="1418"/>
        <w:tabs>
          <w:tab w:val="num" w:pos="4776" w:leader="none"/>
        </w:tabs>
      </w:pPr>
      <w:rPr>
        <w:rFonts w:hint="eastAsia"/>
      </w:rPr>
    </w:lvl>
    <w:lvl w:ilvl="8">
      <w:start w:val="1"/>
      <w:numFmt w:val="decimal"/>
      <w:isLgl w:val="false"/>
      <w:suff w:val="tab"/>
      <w:lvlText w:val="%1.%2.%3.%4.%5.%6.%7.%8.%9"/>
      <w:lvlJc w:val="left"/>
      <w:pPr>
        <w:pStyle w:val="976"/>
        <w:ind w:left="5102" w:hanging="1700"/>
        <w:tabs>
          <w:tab w:val="num" w:pos="5562" w:leader="none"/>
        </w:tabs>
      </w:pPr>
      <w:rPr>
        <w:rFonts w:hint="eastAsia"/>
      </w:rPr>
    </w:lvl>
  </w:abstractNum>
  <w:abstractNum w:abstractNumId="1">
    <w:multiLevelType w:val="hybridMultilevel"/>
    <w:lvl w:ilvl="0">
      <w:start w:val="1"/>
      <w:numFmt w:val="japaneseCounting"/>
      <w:pStyle w:val="1233"/>
      <w:isLgl w:val="false"/>
      <w:suff w:val="tab"/>
      <w:lvlText w:val="第%1章"/>
      <w:lvlJc w:val="left"/>
      <w:pPr>
        <w:pStyle w:val="976"/>
        <w:ind w:left="9351" w:hanging="420"/>
      </w:pPr>
      <w:rPr>
        <w:rFonts w:hint="eastAsia" w:ascii="黑体" w:eastAsia="黑体"/>
        <w:b w:val="0"/>
        <w:sz w:val="36"/>
        <w:lang w:val="en-US"/>
      </w:rPr>
    </w:lvl>
    <w:lvl w:ilvl="1">
      <w:start w:val="1"/>
      <w:numFmt w:val="decimal"/>
      <w:pStyle w:val="1234"/>
      <w:isLgl w:val="false"/>
      <w:suff w:val="tab"/>
      <w:lvlText w:val="%1.%2"/>
      <w:lvlJc w:val="left"/>
      <w:pPr>
        <w:pStyle w:val="97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235"/>
      <w:isLgl w:val="false"/>
      <w:suff w:val="tab"/>
      <w:lvlText w:val="%1.%2.%3"/>
      <w:lvlJc w:val="left"/>
      <w:pPr>
        <w:pStyle w:val="97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226"/>
      <w:isLgl w:val="false"/>
      <w:suff w:val="tab"/>
      <w:lvlText w:val="%1.%2.%3.%4"/>
      <w:lvlJc w:val="left"/>
      <w:pPr>
        <w:pStyle w:val="976"/>
        <w:ind w:left="0" w:firstLine="0"/>
        <w:tabs>
          <w:tab w:val="num" w:pos="1134" w:leader="none"/>
        </w:tabs>
      </w:pPr>
      <w:rPr>
        <w:rFonts w:hint="eastAsia"/>
      </w:rPr>
    </w:lvl>
    <w:lvl w:ilvl="4">
      <w:start w:val="1"/>
      <w:numFmt w:val="decimal"/>
      <w:isLgl w:val="false"/>
      <w:suff w:val="tab"/>
      <w:lvlText w:val="%1.%2.%3.%4.%5"/>
      <w:lvlJc w:val="left"/>
      <w:pPr>
        <w:pStyle w:val="976"/>
        <w:ind w:left="4620" w:hanging="850"/>
        <w:tabs>
          <w:tab w:val="num" w:pos="4850" w:leader="none"/>
        </w:tabs>
      </w:pPr>
      <w:rPr>
        <w:rFonts w:hint="eastAsia"/>
      </w:rPr>
    </w:lvl>
    <w:lvl w:ilvl="5">
      <w:start w:val="1"/>
      <w:numFmt w:val="decimal"/>
      <w:isLgl w:val="false"/>
      <w:suff w:val="tab"/>
      <w:lvlText w:val="%1.%2.%3.%4.%5.%6"/>
      <w:lvlJc w:val="left"/>
      <w:pPr>
        <w:pStyle w:val="976"/>
        <w:ind w:left="5329" w:hanging="1134"/>
        <w:tabs>
          <w:tab w:val="num" w:pos="5635" w:leader="none"/>
        </w:tabs>
      </w:pPr>
      <w:rPr>
        <w:rFonts w:hint="eastAsia"/>
      </w:rPr>
    </w:lvl>
    <w:lvl w:ilvl="6">
      <w:start w:val="1"/>
      <w:numFmt w:val="decimal"/>
      <w:isLgl w:val="false"/>
      <w:suff w:val="tab"/>
      <w:lvlText w:val="%1.%2.%3.%4.%5.%6.%7"/>
      <w:lvlJc w:val="left"/>
      <w:pPr>
        <w:pStyle w:val="976"/>
        <w:ind w:left="5896" w:hanging="1276"/>
        <w:tabs>
          <w:tab w:val="num" w:pos="6420" w:leader="none"/>
        </w:tabs>
      </w:pPr>
      <w:rPr>
        <w:rFonts w:hint="eastAsia"/>
      </w:rPr>
    </w:lvl>
    <w:lvl w:ilvl="7">
      <w:start w:val="1"/>
      <w:numFmt w:val="decimal"/>
      <w:isLgl w:val="false"/>
      <w:suff w:val="tab"/>
      <w:lvlText w:val="%1.%2.%3.%4.%5.%6.%7.%8"/>
      <w:lvlJc w:val="left"/>
      <w:pPr>
        <w:pStyle w:val="976"/>
        <w:ind w:left="6463" w:hanging="1418"/>
        <w:tabs>
          <w:tab w:val="num" w:pos="6845" w:leader="none"/>
        </w:tabs>
      </w:pPr>
      <w:rPr>
        <w:rFonts w:hint="eastAsia"/>
      </w:rPr>
    </w:lvl>
    <w:lvl w:ilvl="8">
      <w:start w:val="1"/>
      <w:numFmt w:val="decimal"/>
      <w:isLgl w:val="false"/>
      <w:suff w:val="tab"/>
      <w:lvlText w:val="%1.%2.%3.%4.%5.%6.%7.%8.%9"/>
      <w:lvlJc w:val="left"/>
      <w:pPr>
        <w:pStyle w:val="976"/>
        <w:ind w:left="7171" w:hanging="1700"/>
        <w:tabs>
          <w:tab w:val="num" w:pos="7631" w:leader="none"/>
        </w:tabs>
      </w:pPr>
      <w:rPr>
        <w:rFonts w:hint="eastAsia"/>
      </w:rPr>
    </w:lvl>
  </w:abstractNum>
  <w:abstractNum w:abstractNumId="2">
    <w:multiLevelType w:val="hybridMultilevel"/>
    <w:lvl w:ilvl="0">
      <w:start w:val="1"/>
      <w:numFmt w:val="upperLetter"/>
      <w:pStyle w:val="1236"/>
      <w:isLgl w:val="false"/>
      <w:suff w:val="tab"/>
      <w:lvlText w:val="附录%1."/>
      <w:lvlJc w:val="left"/>
      <w:pPr>
        <w:pStyle w:val="976"/>
        <w:ind w:left="907" w:hanging="907"/>
        <w:tabs>
          <w:tab w:val="num" w:pos="907" w:leader="none"/>
        </w:tabs>
      </w:pPr>
      <w:rPr>
        <w:rFonts w:hint="eastAsia"/>
      </w:rPr>
    </w:lvl>
    <w:lvl w:ilvl="1">
      <w:start w:val="1"/>
      <w:numFmt w:val="bullet"/>
      <w:isLgl w:val="false"/>
      <w:suff w:val="tab"/>
      <w:lvlText w:val="o"/>
      <w:lvlJc w:val="left"/>
      <w:pPr>
        <w:pStyle w:val="976"/>
        <w:ind w:left="1440" w:hanging="360"/>
      </w:pPr>
      <w:rPr>
        <w:rFonts w:ascii="Courier New" w:hAnsi="Courier New" w:eastAsia="Courier New" w:cs="Courier New"/>
      </w:rPr>
    </w:lvl>
    <w:lvl w:ilvl="2">
      <w:start w:val="1"/>
      <w:numFmt w:val="bullet"/>
      <w:isLgl w:val="false"/>
      <w:suff w:val="tab"/>
      <w:lvlText w:val="§"/>
      <w:lvlJc w:val="left"/>
      <w:pPr>
        <w:pStyle w:val="976"/>
        <w:ind w:left="2160" w:hanging="360"/>
      </w:pPr>
      <w:rPr>
        <w:rFonts w:ascii="Wingdings" w:hAnsi="Wingdings" w:eastAsia="Wingdings" w:cs="Wingdings"/>
      </w:rPr>
    </w:lvl>
    <w:lvl w:ilvl="3">
      <w:start w:val="1"/>
      <w:numFmt w:val="bullet"/>
      <w:isLgl w:val="false"/>
      <w:suff w:val="tab"/>
      <w:lvlText w:val="·"/>
      <w:lvlJc w:val="left"/>
      <w:pPr>
        <w:pStyle w:val="976"/>
        <w:ind w:left="2880" w:hanging="360"/>
      </w:pPr>
      <w:rPr>
        <w:rFonts w:ascii="Symbol" w:hAnsi="Symbol" w:eastAsia="Symbol" w:cs="Symbol"/>
      </w:rPr>
    </w:lvl>
    <w:lvl w:ilvl="4">
      <w:start w:val="1"/>
      <w:numFmt w:val="bullet"/>
      <w:isLgl w:val="false"/>
      <w:suff w:val="tab"/>
      <w:lvlText w:val="o"/>
      <w:lvlJc w:val="left"/>
      <w:pPr>
        <w:pStyle w:val="976"/>
        <w:ind w:left="3600" w:hanging="360"/>
      </w:pPr>
      <w:rPr>
        <w:rFonts w:ascii="Courier New" w:hAnsi="Courier New" w:eastAsia="Courier New" w:cs="Courier New"/>
      </w:rPr>
    </w:lvl>
    <w:lvl w:ilvl="5">
      <w:start w:val="1"/>
      <w:numFmt w:val="bullet"/>
      <w:isLgl w:val="false"/>
      <w:suff w:val="tab"/>
      <w:lvlText w:val="§"/>
      <w:lvlJc w:val="left"/>
      <w:pPr>
        <w:pStyle w:val="976"/>
        <w:ind w:left="4320" w:hanging="360"/>
      </w:pPr>
      <w:rPr>
        <w:rFonts w:ascii="Wingdings" w:hAnsi="Wingdings" w:eastAsia="Wingdings" w:cs="Wingdings"/>
      </w:rPr>
    </w:lvl>
    <w:lvl w:ilvl="6">
      <w:start w:val="1"/>
      <w:numFmt w:val="bullet"/>
      <w:isLgl w:val="false"/>
      <w:suff w:val="tab"/>
      <w:lvlText w:val="·"/>
      <w:lvlJc w:val="left"/>
      <w:pPr>
        <w:pStyle w:val="976"/>
        <w:ind w:left="5040" w:hanging="360"/>
      </w:pPr>
      <w:rPr>
        <w:rFonts w:ascii="Symbol" w:hAnsi="Symbol" w:eastAsia="Symbol" w:cs="Symbol"/>
      </w:rPr>
    </w:lvl>
    <w:lvl w:ilvl="7">
      <w:start w:val="1"/>
      <w:numFmt w:val="bullet"/>
      <w:isLgl w:val="false"/>
      <w:suff w:val="tab"/>
      <w:lvlText w:val="o"/>
      <w:lvlJc w:val="left"/>
      <w:pPr>
        <w:pStyle w:val="976"/>
        <w:ind w:left="5760" w:hanging="360"/>
      </w:pPr>
      <w:rPr>
        <w:rFonts w:ascii="Courier New" w:hAnsi="Courier New" w:eastAsia="Courier New" w:cs="Courier New"/>
      </w:rPr>
    </w:lvl>
    <w:lvl w:ilvl="8">
      <w:start w:val="1"/>
      <w:numFmt w:val="bullet"/>
      <w:isLgl w:val="false"/>
      <w:suff w:val="tab"/>
      <w:lvlText w:val="§"/>
      <w:lvlJc w:val="left"/>
      <w:pPr>
        <w:pStyle w:val="976"/>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76"/>
    <w:next w:val="976"/>
    <w:link w:val="990"/>
    <w:uiPriority w:val="9"/>
    <w:qFormat/>
    <w:pPr>
      <w:keepLines/>
      <w:keepNext/>
      <w:spacing w:before="480" w:after="200"/>
      <w:outlineLvl w:val="0"/>
    </w:pPr>
    <w:rPr>
      <w:rFonts w:ascii="Arial" w:hAnsi="Arial" w:eastAsia="Arial" w:cs="Arial"/>
      <w:sz w:val="40"/>
      <w:szCs w:val="40"/>
    </w:rPr>
  </w:style>
  <w:style w:type="paragraph" w:styleId="14">
    <w:name w:val="Heading 2"/>
    <w:basedOn w:val="976"/>
    <w:next w:val="976"/>
    <w:link w:val="991"/>
    <w:uiPriority w:val="9"/>
    <w:unhideWhenUsed/>
    <w:qFormat/>
    <w:pPr>
      <w:keepLines/>
      <w:keepNext/>
      <w:spacing w:before="360" w:after="200"/>
      <w:outlineLvl w:val="1"/>
    </w:pPr>
    <w:rPr>
      <w:rFonts w:ascii="Arial" w:hAnsi="Arial" w:eastAsia="Arial" w:cs="Arial"/>
      <w:sz w:val="34"/>
    </w:rPr>
  </w:style>
  <w:style w:type="paragraph" w:styleId="16">
    <w:name w:val="Heading 3"/>
    <w:basedOn w:val="976"/>
    <w:next w:val="976"/>
    <w:link w:val="99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976"/>
    <w:next w:val="976"/>
    <w:link w:val="99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976"/>
    <w:next w:val="976"/>
    <w:link w:val="99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976"/>
    <w:next w:val="976"/>
    <w:link w:val="99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976"/>
    <w:next w:val="976"/>
    <w:link w:val="99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976"/>
    <w:next w:val="976"/>
    <w:link w:val="99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976"/>
    <w:next w:val="976"/>
    <w:link w:val="999"/>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976"/>
    <w:next w:val="976"/>
    <w:link w:val="1026"/>
    <w:uiPriority w:val="10"/>
    <w:qFormat/>
    <w:pPr>
      <w:contextualSpacing/>
      <w:spacing w:before="300" w:after="200"/>
    </w:pPr>
    <w:rPr>
      <w:sz w:val="48"/>
      <w:szCs w:val="48"/>
    </w:rPr>
  </w:style>
  <w:style w:type="paragraph" w:styleId="35">
    <w:name w:val="Subtitle"/>
    <w:basedOn w:val="976"/>
    <w:next w:val="976"/>
    <w:link w:val="1017"/>
    <w:uiPriority w:val="11"/>
    <w:qFormat/>
    <w:pPr>
      <w:spacing w:before="200" w:after="200"/>
    </w:pPr>
    <w:rPr>
      <w:sz w:val="24"/>
      <w:szCs w:val="24"/>
    </w:rPr>
  </w:style>
  <w:style w:type="paragraph" w:styleId="41">
    <w:name w:val="Header"/>
    <w:basedOn w:val="976"/>
    <w:link w:val="1013"/>
    <w:uiPriority w:val="99"/>
    <w:unhideWhenUsed/>
    <w:pPr>
      <w:spacing w:after="0" w:line="240" w:lineRule="auto"/>
      <w:tabs>
        <w:tab w:val="center" w:pos="7143" w:leader="none"/>
        <w:tab w:val="right" w:pos="14287" w:leader="none"/>
      </w:tabs>
    </w:pPr>
  </w:style>
  <w:style w:type="paragraph" w:styleId="43">
    <w:name w:val="Footer"/>
    <w:basedOn w:val="976"/>
    <w:link w:val="1011"/>
    <w:uiPriority w:val="99"/>
    <w:unhideWhenUsed/>
    <w:pPr>
      <w:spacing w:after="0" w:line="240" w:lineRule="auto"/>
      <w:tabs>
        <w:tab w:val="center" w:pos="7143" w:leader="none"/>
        <w:tab w:val="right" w:pos="14287" w:leader="none"/>
      </w:tabs>
    </w:pPr>
  </w:style>
  <w:style w:type="paragraph" w:styleId="45">
    <w:name w:val="Caption"/>
    <w:basedOn w:val="976"/>
    <w:next w:val="97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976"/>
    <w:link w:val="101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976"/>
    <w:link w:val="100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976"/>
    <w:next w:val="976"/>
    <w:uiPriority w:val="39"/>
    <w:unhideWhenUsed/>
    <w:pPr>
      <w:ind w:left="0" w:right="0" w:firstLine="0"/>
      <w:spacing w:after="57"/>
    </w:pPr>
  </w:style>
  <w:style w:type="paragraph" w:styleId="181">
    <w:name w:val="toc 2"/>
    <w:basedOn w:val="976"/>
    <w:next w:val="976"/>
    <w:uiPriority w:val="39"/>
    <w:unhideWhenUsed/>
    <w:pPr>
      <w:ind w:left="283" w:right="0" w:firstLine="0"/>
      <w:spacing w:after="57"/>
    </w:pPr>
  </w:style>
  <w:style w:type="paragraph" w:styleId="182">
    <w:name w:val="toc 3"/>
    <w:basedOn w:val="976"/>
    <w:next w:val="976"/>
    <w:uiPriority w:val="39"/>
    <w:unhideWhenUsed/>
    <w:pPr>
      <w:ind w:left="567" w:right="0" w:firstLine="0"/>
      <w:spacing w:after="57"/>
    </w:pPr>
  </w:style>
  <w:style w:type="paragraph" w:styleId="183">
    <w:name w:val="toc 4"/>
    <w:basedOn w:val="976"/>
    <w:next w:val="976"/>
    <w:uiPriority w:val="39"/>
    <w:unhideWhenUsed/>
    <w:pPr>
      <w:ind w:left="850" w:right="0" w:firstLine="0"/>
      <w:spacing w:after="57"/>
    </w:pPr>
  </w:style>
  <w:style w:type="paragraph" w:styleId="184">
    <w:name w:val="toc 5"/>
    <w:basedOn w:val="976"/>
    <w:next w:val="976"/>
    <w:uiPriority w:val="39"/>
    <w:unhideWhenUsed/>
    <w:pPr>
      <w:ind w:left="1134" w:right="0" w:firstLine="0"/>
      <w:spacing w:after="57"/>
    </w:pPr>
  </w:style>
  <w:style w:type="paragraph" w:styleId="185">
    <w:name w:val="toc 6"/>
    <w:basedOn w:val="976"/>
    <w:next w:val="976"/>
    <w:uiPriority w:val="39"/>
    <w:unhideWhenUsed/>
    <w:pPr>
      <w:ind w:left="1417" w:right="0" w:firstLine="0"/>
      <w:spacing w:after="57"/>
    </w:pPr>
  </w:style>
  <w:style w:type="paragraph" w:styleId="186">
    <w:name w:val="toc 7"/>
    <w:basedOn w:val="976"/>
    <w:next w:val="976"/>
    <w:uiPriority w:val="39"/>
    <w:unhideWhenUsed/>
    <w:pPr>
      <w:ind w:left="1701" w:right="0" w:firstLine="0"/>
      <w:spacing w:after="57"/>
    </w:pPr>
  </w:style>
  <w:style w:type="paragraph" w:styleId="187">
    <w:name w:val="toc 8"/>
    <w:basedOn w:val="976"/>
    <w:next w:val="976"/>
    <w:uiPriority w:val="39"/>
    <w:unhideWhenUsed/>
    <w:pPr>
      <w:ind w:left="1984" w:right="0" w:firstLine="0"/>
      <w:spacing w:after="57"/>
    </w:pPr>
  </w:style>
  <w:style w:type="paragraph" w:styleId="188">
    <w:name w:val="toc 9"/>
    <w:basedOn w:val="976"/>
    <w:next w:val="976"/>
    <w:uiPriority w:val="39"/>
    <w:unhideWhenUsed/>
    <w:pPr>
      <w:ind w:left="2268" w:right="0" w:firstLine="0"/>
      <w:spacing w:after="57"/>
    </w:pPr>
  </w:style>
  <w:style w:type="paragraph" w:styleId="190">
    <w:name w:val="table of figures"/>
    <w:basedOn w:val="976"/>
    <w:next w:val="976"/>
    <w:uiPriority w:val="99"/>
    <w:unhideWhenUsed/>
    <w:pPr>
      <w:spacing w:after="0" w:afterAutospacing="0"/>
    </w:pPr>
  </w:style>
  <w:style w:type="paragraph" w:styleId="976" w:default="1">
    <w:name w:val="Normal"/>
    <w:next w:val="988"/>
    <w:link w:val="976"/>
    <w:qFormat/>
    <w:pPr>
      <w:jc w:val="both"/>
      <w:widowControl w:val="off"/>
    </w:pPr>
    <w:rPr>
      <w:rFonts w:ascii="Times New Roman" w:hAnsi="Times New Roman" w:eastAsia="宋体" w:cs="Times New Roman"/>
      <w:sz w:val="21"/>
      <w:szCs w:val="24"/>
      <w:lang w:val="en-US" w:eastAsia="zh-CN" w:bidi="ar-SA"/>
    </w:rPr>
  </w:style>
  <w:style w:type="paragraph" w:styleId="977">
    <w:name w:val="标题 1"/>
    <w:basedOn w:val="976"/>
    <w:next w:val="976"/>
    <w:link w:val="990"/>
    <w:uiPriority w:val="9"/>
    <w:qFormat/>
    <w:pPr>
      <w:keepLines/>
      <w:keepNext/>
      <w:spacing w:before="480" w:after="200"/>
      <w:outlineLvl w:val="0"/>
    </w:pPr>
    <w:rPr>
      <w:rFonts w:ascii="Arial" w:hAnsi="Arial" w:eastAsia="Arial" w:cs="Arial"/>
      <w:sz w:val="40"/>
      <w:szCs w:val="40"/>
    </w:rPr>
  </w:style>
  <w:style w:type="paragraph" w:styleId="978">
    <w:name w:val="标题 2"/>
    <w:basedOn w:val="976"/>
    <w:next w:val="976"/>
    <w:link w:val="991"/>
    <w:uiPriority w:val="9"/>
    <w:unhideWhenUsed/>
    <w:qFormat/>
    <w:pPr>
      <w:keepLines/>
      <w:keepNext/>
      <w:spacing w:before="360" w:after="200"/>
      <w:outlineLvl w:val="1"/>
    </w:pPr>
    <w:rPr>
      <w:rFonts w:ascii="Arial" w:hAnsi="Arial" w:eastAsia="Arial" w:cs="Arial"/>
      <w:sz w:val="34"/>
    </w:rPr>
  </w:style>
  <w:style w:type="paragraph" w:styleId="979">
    <w:name w:val="标题 3"/>
    <w:basedOn w:val="976"/>
    <w:next w:val="993"/>
    <w:link w:val="992"/>
    <w:uiPriority w:val="9"/>
    <w:unhideWhenUsed/>
    <w:qFormat/>
    <w:pPr>
      <w:keepLines/>
      <w:keepNext/>
      <w:spacing w:before="320" w:after="200"/>
      <w:outlineLvl w:val="2"/>
    </w:pPr>
    <w:rPr>
      <w:rFonts w:ascii="Arial" w:hAnsi="Arial" w:eastAsia="Arial" w:cs="Arial"/>
      <w:sz w:val="30"/>
      <w:szCs w:val="30"/>
    </w:rPr>
  </w:style>
  <w:style w:type="paragraph" w:styleId="980">
    <w:name w:val="标题 4"/>
    <w:basedOn w:val="976"/>
    <w:next w:val="976"/>
    <w:link w:val="994"/>
    <w:uiPriority w:val="9"/>
    <w:unhideWhenUsed/>
    <w:qFormat/>
    <w:pPr>
      <w:keepLines/>
      <w:keepNext/>
      <w:spacing w:before="320" w:after="200"/>
      <w:outlineLvl w:val="3"/>
    </w:pPr>
    <w:rPr>
      <w:rFonts w:ascii="Arial" w:hAnsi="Arial" w:eastAsia="Arial" w:cs="Arial"/>
      <w:b/>
      <w:bCs/>
      <w:sz w:val="26"/>
      <w:szCs w:val="26"/>
    </w:rPr>
  </w:style>
  <w:style w:type="paragraph" w:styleId="981">
    <w:name w:val="标题 5"/>
    <w:basedOn w:val="976"/>
    <w:next w:val="976"/>
    <w:link w:val="995"/>
    <w:uiPriority w:val="9"/>
    <w:unhideWhenUsed/>
    <w:qFormat/>
    <w:pPr>
      <w:keepLines/>
      <w:keepNext/>
      <w:spacing w:before="320" w:after="200"/>
      <w:outlineLvl w:val="4"/>
    </w:pPr>
    <w:rPr>
      <w:rFonts w:ascii="Arial" w:hAnsi="Arial" w:eastAsia="Arial" w:cs="Arial"/>
      <w:b/>
      <w:bCs/>
      <w:sz w:val="24"/>
      <w:szCs w:val="24"/>
    </w:rPr>
  </w:style>
  <w:style w:type="paragraph" w:styleId="982">
    <w:name w:val="标题 6"/>
    <w:basedOn w:val="976"/>
    <w:next w:val="976"/>
    <w:link w:val="996"/>
    <w:uiPriority w:val="9"/>
    <w:unhideWhenUsed/>
    <w:qFormat/>
    <w:pPr>
      <w:keepLines/>
      <w:keepNext/>
      <w:spacing w:before="320" w:after="200"/>
      <w:outlineLvl w:val="5"/>
    </w:pPr>
    <w:rPr>
      <w:rFonts w:ascii="Arial" w:hAnsi="Arial" w:eastAsia="Arial" w:cs="Arial"/>
      <w:b/>
      <w:bCs/>
      <w:sz w:val="22"/>
      <w:szCs w:val="22"/>
    </w:rPr>
  </w:style>
  <w:style w:type="paragraph" w:styleId="983">
    <w:name w:val="标题 7"/>
    <w:basedOn w:val="976"/>
    <w:next w:val="976"/>
    <w:link w:val="997"/>
    <w:uiPriority w:val="9"/>
    <w:unhideWhenUsed/>
    <w:qFormat/>
    <w:pPr>
      <w:keepLines/>
      <w:keepNext/>
      <w:spacing w:before="320" w:after="200"/>
      <w:outlineLvl w:val="6"/>
    </w:pPr>
    <w:rPr>
      <w:rFonts w:ascii="Arial" w:hAnsi="Arial" w:eastAsia="Arial" w:cs="Arial"/>
      <w:b/>
      <w:bCs/>
      <w:i/>
      <w:iCs/>
      <w:sz w:val="22"/>
      <w:szCs w:val="22"/>
    </w:rPr>
  </w:style>
  <w:style w:type="paragraph" w:styleId="984">
    <w:name w:val="标题 8"/>
    <w:basedOn w:val="976"/>
    <w:next w:val="976"/>
    <w:link w:val="998"/>
    <w:uiPriority w:val="9"/>
    <w:unhideWhenUsed/>
    <w:qFormat/>
    <w:pPr>
      <w:keepLines/>
      <w:keepNext/>
      <w:spacing w:before="320" w:after="200"/>
      <w:outlineLvl w:val="7"/>
    </w:pPr>
    <w:rPr>
      <w:rFonts w:ascii="Arial" w:hAnsi="Arial" w:eastAsia="Arial" w:cs="Arial"/>
      <w:i/>
      <w:iCs/>
      <w:sz w:val="22"/>
      <w:szCs w:val="22"/>
    </w:rPr>
  </w:style>
  <w:style w:type="paragraph" w:styleId="985">
    <w:name w:val="标题 9"/>
    <w:basedOn w:val="976"/>
    <w:next w:val="976"/>
    <w:link w:val="999"/>
    <w:uiPriority w:val="9"/>
    <w:unhideWhenUsed/>
    <w:qFormat/>
    <w:pPr>
      <w:keepLines/>
      <w:keepNext/>
      <w:spacing w:before="320" w:after="200"/>
      <w:outlineLvl w:val="8"/>
    </w:pPr>
    <w:rPr>
      <w:rFonts w:ascii="Arial" w:hAnsi="Arial" w:eastAsia="Arial" w:cs="Arial"/>
      <w:i/>
      <w:iCs/>
      <w:sz w:val="21"/>
      <w:szCs w:val="21"/>
    </w:rPr>
  </w:style>
  <w:style w:type="character" w:styleId="986">
    <w:name w:val="默认段落字体"/>
    <w:next w:val="986"/>
    <w:link w:val="976"/>
    <w:uiPriority w:val="1"/>
    <w:unhideWhenUsed/>
    <w:qFormat/>
  </w:style>
  <w:style w:type="table" w:styleId="987">
    <w:name w:val="普通表格"/>
    <w:next w:val="987"/>
    <w:link w:val="976"/>
    <w:uiPriority w:val="99"/>
    <w:unhideWhenUsed/>
    <w:qFormat/>
    <w:tblPr/>
  </w:style>
  <w:style w:type="paragraph" w:styleId="988">
    <w:name w:val="正文缩进1"/>
    <w:basedOn w:val="976"/>
    <w:next w:val="988"/>
    <w:link w:val="989"/>
    <w:qFormat/>
    <w:pPr>
      <w:ind w:firstLine="420"/>
    </w:pPr>
    <w:rPr>
      <w:szCs w:val="20"/>
    </w:rPr>
  </w:style>
  <w:style w:type="character" w:styleId="989">
    <w:name w:val="正文缩进 Char"/>
    <w:next w:val="989"/>
    <w:link w:val="988"/>
    <w:qFormat/>
    <w:rPr>
      <w:rFonts w:eastAsia="宋体"/>
      <w:sz w:val="21"/>
      <w:lang w:val="en-US" w:eastAsia="zh-CN" w:bidi="ar-SA"/>
    </w:rPr>
  </w:style>
  <w:style w:type="character" w:styleId="990">
    <w:name w:val="Heading 1 Char"/>
    <w:next w:val="990"/>
    <w:link w:val="977"/>
    <w:uiPriority w:val="9"/>
    <w:qFormat/>
    <w:rPr>
      <w:rFonts w:ascii="Arial" w:hAnsi="Arial" w:eastAsia="Arial" w:cs="Arial"/>
      <w:sz w:val="40"/>
      <w:szCs w:val="40"/>
    </w:rPr>
  </w:style>
  <w:style w:type="character" w:styleId="991">
    <w:name w:val="Heading 2 Char"/>
    <w:next w:val="991"/>
    <w:link w:val="978"/>
    <w:uiPriority w:val="9"/>
    <w:qFormat/>
    <w:rPr>
      <w:rFonts w:ascii="Arial" w:hAnsi="Arial" w:eastAsia="Arial" w:cs="Arial"/>
      <w:sz w:val="34"/>
    </w:rPr>
  </w:style>
  <w:style w:type="character" w:styleId="992">
    <w:name w:val="Heading 3 Char"/>
    <w:next w:val="992"/>
    <w:link w:val="979"/>
    <w:uiPriority w:val="9"/>
    <w:rPr>
      <w:rFonts w:ascii="Arial" w:hAnsi="Arial" w:eastAsia="Arial" w:cs="Arial"/>
      <w:sz w:val="30"/>
      <w:szCs w:val="30"/>
    </w:rPr>
  </w:style>
  <w:style w:type="paragraph" w:styleId="993">
    <w:name w:val="正文缩进"/>
    <w:basedOn w:val="976"/>
    <w:next w:val="993"/>
    <w:link w:val="976"/>
    <w:qFormat/>
    <w:pPr>
      <w:ind w:firstLine="420"/>
    </w:pPr>
  </w:style>
  <w:style w:type="character" w:styleId="994">
    <w:name w:val="Heading 4 Char"/>
    <w:next w:val="994"/>
    <w:link w:val="980"/>
    <w:uiPriority w:val="9"/>
    <w:qFormat/>
    <w:rPr>
      <w:rFonts w:ascii="Arial" w:hAnsi="Arial" w:eastAsia="Arial" w:cs="Arial"/>
      <w:b/>
      <w:bCs/>
      <w:sz w:val="26"/>
      <w:szCs w:val="26"/>
    </w:rPr>
  </w:style>
  <w:style w:type="character" w:styleId="995">
    <w:name w:val="Heading 5 Char"/>
    <w:next w:val="995"/>
    <w:link w:val="981"/>
    <w:uiPriority w:val="9"/>
    <w:rPr>
      <w:rFonts w:ascii="Arial" w:hAnsi="Arial" w:eastAsia="Arial" w:cs="Arial"/>
      <w:b/>
      <w:bCs/>
      <w:sz w:val="24"/>
      <w:szCs w:val="24"/>
    </w:rPr>
  </w:style>
  <w:style w:type="character" w:styleId="996">
    <w:name w:val="Heading 6 Char"/>
    <w:next w:val="996"/>
    <w:link w:val="982"/>
    <w:uiPriority w:val="9"/>
    <w:rPr>
      <w:rFonts w:ascii="Arial" w:hAnsi="Arial" w:eastAsia="Arial" w:cs="Arial"/>
      <w:b/>
      <w:bCs/>
      <w:sz w:val="22"/>
      <w:szCs w:val="22"/>
    </w:rPr>
  </w:style>
  <w:style w:type="character" w:styleId="997">
    <w:name w:val="Heading 7 Char"/>
    <w:next w:val="997"/>
    <w:link w:val="983"/>
    <w:uiPriority w:val="9"/>
    <w:qFormat/>
    <w:rPr>
      <w:rFonts w:ascii="Arial" w:hAnsi="Arial" w:eastAsia="Arial" w:cs="Arial"/>
      <w:b/>
      <w:bCs/>
      <w:i/>
      <w:iCs/>
      <w:sz w:val="22"/>
      <w:szCs w:val="22"/>
    </w:rPr>
  </w:style>
  <w:style w:type="character" w:styleId="998">
    <w:name w:val="Heading 8 Char"/>
    <w:next w:val="998"/>
    <w:link w:val="984"/>
    <w:uiPriority w:val="9"/>
    <w:qFormat/>
    <w:rPr>
      <w:rFonts w:ascii="Arial" w:hAnsi="Arial" w:eastAsia="Arial" w:cs="Arial"/>
      <w:i/>
      <w:iCs/>
      <w:sz w:val="22"/>
      <w:szCs w:val="22"/>
    </w:rPr>
  </w:style>
  <w:style w:type="character" w:styleId="999">
    <w:name w:val="Heading 9 Char"/>
    <w:next w:val="999"/>
    <w:link w:val="985"/>
    <w:uiPriority w:val="9"/>
    <w:qFormat/>
    <w:rPr>
      <w:rFonts w:ascii="Arial" w:hAnsi="Arial" w:eastAsia="Arial" w:cs="Arial"/>
      <w:i/>
      <w:iCs/>
      <w:sz w:val="21"/>
      <w:szCs w:val="21"/>
    </w:rPr>
  </w:style>
  <w:style w:type="paragraph" w:styleId="1000">
    <w:name w:val="目录 7"/>
    <w:basedOn w:val="976"/>
    <w:next w:val="976"/>
    <w:link w:val="976"/>
    <w:uiPriority w:val="39"/>
    <w:unhideWhenUsed/>
    <w:qFormat/>
    <w:pPr>
      <w:ind w:left="1701" w:right="0" w:firstLine="0"/>
      <w:spacing w:after="57"/>
    </w:pPr>
  </w:style>
  <w:style w:type="paragraph" w:styleId="1001">
    <w:name w:val="题注"/>
    <w:basedOn w:val="976"/>
    <w:next w:val="976"/>
    <w:link w:val="976"/>
    <w:uiPriority w:val="35"/>
    <w:unhideWhenUsed/>
    <w:qFormat/>
    <w:pPr>
      <w:spacing w:line="276" w:lineRule="auto"/>
    </w:pPr>
    <w:rPr>
      <w:b/>
      <w:bCs/>
      <w:color w:val="4f81bd"/>
      <w:sz w:val="18"/>
      <w:szCs w:val="18"/>
    </w:rPr>
  </w:style>
  <w:style w:type="paragraph" w:styleId="1002">
    <w:name w:val="正文文本缩进"/>
    <w:basedOn w:val="976"/>
    <w:next w:val="1003"/>
    <w:link w:val="976"/>
    <w:qFormat/>
    <w:pPr>
      <w:ind w:left="420"/>
      <w:spacing w:after="120"/>
    </w:pPr>
  </w:style>
  <w:style w:type="paragraph" w:styleId="1003">
    <w:name w:val="寄信人地址"/>
    <w:basedOn w:val="976"/>
    <w:next w:val="1003"/>
    <w:link w:val="976"/>
    <w:qFormat/>
    <w:rPr>
      <w:rFonts w:ascii="Arial" w:hAnsi="Arial"/>
    </w:rPr>
  </w:style>
  <w:style w:type="paragraph" w:styleId="1004">
    <w:name w:val="目录 5"/>
    <w:basedOn w:val="976"/>
    <w:next w:val="976"/>
    <w:link w:val="976"/>
    <w:uiPriority w:val="39"/>
    <w:unhideWhenUsed/>
    <w:pPr>
      <w:ind w:left="1134" w:right="0" w:firstLine="0"/>
      <w:spacing w:after="57"/>
    </w:pPr>
  </w:style>
  <w:style w:type="paragraph" w:styleId="1005">
    <w:name w:val="目录 3"/>
    <w:basedOn w:val="976"/>
    <w:next w:val="976"/>
    <w:link w:val="976"/>
    <w:uiPriority w:val="39"/>
    <w:unhideWhenUsed/>
    <w:pPr>
      <w:ind w:left="567" w:right="0" w:firstLine="0"/>
      <w:spacing w:after="57"/>
    </w:pPr>
  </w:style>
  <w:style w:type="paragraph" w:styleId="1006">
    <w:name w:val="纯文本"/>
    <w:basedOn w:val="976"/>
    <w:next w:val="1006"/>
    <w:link w:val="976"/>
    <w:uiPriority w:val="99"/>
    <w:qFormat/>
    <w:rPr>
      <w:rFonts w:ascii="宋体" w:hAnsi="Courier New"/>
      <w:szCs w:val="21"/>
    </w:rPr>
  </w:style>
  <w:style w:type="paragraph" w:styleId="1007">
    <w:name w:val="目录 8"/>
    <w:basedOn w:val="976"/>
    <w:next w:val="976"/>
    <w:link w:val="976"/>
    <w:uiPriority w:val="39"/>
    <w:unhideWhenUsed/>
    <w:qFormat/>
    <w:pPr>
      <w:ind w:left="1984" w:right="0" w:firstLine="0"/>
      <w:spacing w:after="57"/>
    </w:pPr>
  </w:style>
  <w:style w:type="paragraph" w:styleId="1008">
    <w:name w:val="尾注文本"/>
    <w:basedOn w:val="976"/>
    <w:next w:val="1008"/>
    <w:link w:val="1009"/>
    <w:uiPriority w:val="99"/>
    <w:unhideWhenUsed/>
    <w:qFormat/>
    <w:pPr>
      <w:spacing w:after="0" w:line="240" w:lineRule="auto"/>
    </w:pPr>
    <w:rPr>
      <w:sz w:val="20"/>
    </w:rPr>
  </w:style>
  <w:style w:type="character" w:styleId="1009">
    <w:name w:val="Endnote Text Char"/>
    <w:next w:val="1009"/>
    <w:link w:val="1008"/>
    <w:uiPriority w:val="99"/>
    <w:qFormat/>
    <w:rPr>
      <w:sz w:val="20"/>
    </w:rPr>
  </w:style>
  <w:style w:type="paragraph" w:styleId="1010">
    <w:name w:val="页脚"/>
    <w:basedOn w:val="976"/>
    <w:next w:val="1010"/>
    <w:link w:val="1011"/>
    <w:uiPriority w:val="99"/>
    <w:unhideWhenUsed/>
    <w:qFormat/>
    <w:pPr>
      <w:spacing w:after="0" w:line="240" w:lineRule="auto"/>
      <w:tabs>
        <w:tab w:val="center" w:pos="7143" w:leader="none"/>
        <w:tab w:val="right" w:pos="14287" w:leader="none"/>
      </w:tabs>
    </w:pPr>
  </w:style>
  <w:style w:type="character" w:styleId="1011">
    <w:name w:val="Caption Char"/>
    <w:next w:val="1011"/>
    <w:link w:val="1010"/>
    <w:uiPriority w:val="99"/>
    <w:qFormat/>
  </w:style>
  <w:style w:type="paragraph" w:styleId="1012">
    <w:name w:val="页眉"/>
    <w:basedOn w:val="976"/>
    <w:next w:val="1012"/>
    <w:link w:val="1013"/>
    <w:uiPriority w:val="99"/>
    <w:unhideWhenUsed/>
    <w:qFormat/>
    <w:pPr>
      <w:spacing w:after="0" w:line="240" w:lineRule="auto"/>
      <w:tabs>
        <w:tab w:val="center" w:pos="7143" w:leader="none"/>
        <w:tab w:val="right" w:pos="14287" w:leader="none"/>
      </w:tabs>
    </w:pPr>
  </w:style>
  <w:style w:type="character" w:styleId="1013">
    <w:name w:val="Header Char"/>
    <w:next w:val="1013"/>
    <w:link w:val="1012"/>
    <w:uiPriority w:val="99"/>
    <w:qFormat/>
  </w:style>
  <w:style w:type="paragraph" w:styleId="1014">
    <w:name w:val="目录 1"/>
    <w:basedOn w:val="976"/>
    <w:next w:val="976"/>
    <w:link w:val="976"/>
    <w:uiPriority w:val="39"/>
    <w:unhideWhenUsed/>
    <w:qFormat/>
    <w:pPr>
      <w:ind w:left="0" w:right="0" w:firstLine="0"/>
      <w:spacing w:after="57"/>
    </w:pPr>
  </w:style>
  <w:style w:type="paragraph" w:styleId="1015">
    <w:name w:val="目录 4"/>
    <w:basedOn w:val="976"/>
    <w:next w:val="976"/>
    <w:link w:val="976"/>
    <w:uiPriority w:val="39"/>
    <w:unhideWhenUsed/>
    <w:qFormat/>
    <w:pPr>
      <w:ind w:left="850" w:right="0" w:firstLine="0"/>
      <w:spacing w:after="57"/>
    </w:pPr>
  </w:style>
  <w:style w:type="paragraph" w:styleId="1016">
    <w:name w:val="副标题"/>
    <w:basedOn w:val="976"/>
    <w:next w:val="976"/>
    <w:link w:val="1017"/>
    <w:uiPriority w:val="11"/>
    <w:qFormat/>
    <w:pPr>
      <w:spacing w:before="200" w:after="200"/>
    </w:pPr>
    <w:rPr>
      <w:sz w:val="24"/>
      <w:szCs w:val="24"/>
    </w:rPr>
  </w:style>
  <w:style w:type="character" w:styleId="1017">
    <w:name w:val="Subtitle Char"/>
    <w:next w:val="1017"/>
    <w:link w:val="1016"/>
    <w:uiPriority w:val="11"/>
    <w:qFormat/>
    <w:rPr>
      <w:sz w:val="24"/>
      <w:szCs w:val="24"/>
    </w:rPr>
  </w:style>
  <w:style w:type="paragraph" w:styleId="1018">
    <w:name w:val="脚注文本"/>
    <w:basedOn w:val="976"/>
    <w:next w:val="1018"/>
    <w:link w:val="1019"/>
    <w:uiPriority w:val="99"/>
    <w:unhideWhenUsed/>
    <w:pPr>
      <w:spacing w:after="40" w:line="240" w:lineRule="auto"/>
    </w:pPr>
    <w:rPr>
      <w:sz w:val="18"/>
    </w:rPr>
  </w:style>
  <w:style w:type="character" w:styleId="1019">
    <w:name w:val="Footnote Text Char"/>
    <w:next w:val="1019"/>
    <w:link w:val="1018"/>
    <w:uiPriority w:val="99"/>
    <w:qFormat/>
    <w:rPr>
      <w:sz w:val="18"/>
    </w:rPr>
  </w:style>
  <w:style w:type="paragraph" w:styleId="1020">
    <w:name w:val="目录 6"/>
    <w:basedOn w:val="976"/>
    <w:next w:val="976"/>
    <w:link w:val="976"/>
    <w:uiPriority w:val="39"/>
    <w:unhideWhenUsed/>
    <w:qFormat/>
    <w:pPr>
      <w:ind w:left="1417" w:right="0" w:firstLine="0"/>
      <w:spacing w:after="57"/>
    </w:pPr>
  </w:style>
  <w:style w:type="paragraph" w:styleId="1021">
    <w:name w:val="图表目录"/>
    <w:basedOn w:val="976"/>
    <w:next w:val="976"/>
    <w:link w:val="976"/>
    <w:uiPriority w:val="99"/>
    <w:unhideWhenUsed/>
    <w:qFormat/>
    <w:pPr>
      <w:spacing w:after="0" w:afterAutospacing="0"/>
    </w:pPr>
  </w:style>
  <w:style w:type="paragraph" w:styleId="1022">
    <w:name w:val="目录 2"/>
    <w:basedOn w:val="976"/>
    <w:next w:val="976"/>
    <w:link w:val="976"/>
    <w:uiPriority w:val="39"/>
    <w:unhideWhenUsed/>
    <w:qFormat/>
    <w:pPr>
      <w:ind w:left="283" w:right="0" w:firstLine="0"/>
      <w:spacing w:after="57"/>
    </w:pPr>
  </w:style>
  <w:style w:type="paragraph" w:styleId="1023">
    <w:name w:val="目录 9"/>
    <w:basedOn w:val="976"/>
    <w:next w:val="976"/>
    <w:link w:val="976"/>
    <w:uiPriority w:val="39"/>
    <w:unhideWhenUsed/>
    <w:qFormat/>
    <w:pPr>
      <w:ind w:left="2268" w:right="0" w:firstLine="0"/>
      <w:spacing w:after="57"/>
    </w:pPr>
  </w:style>
  <w:style w:type="paragraph" w:styleId="1024">
    <w:name w:val="普通(网站)"/>
    <w:basedOn w:val="976"/>
    <w:next w:val="1024"/>
    <w:link w:val="976"/>
    <w:uiPriority w:val="99"/>
    <w:unhideWhenUsed/>
    <w:pPr>
      <w:ind w:left="0" w:right="0"/>
      <w:jc w:val="left"/>
      <w:spacing w:before="100" w:beforeAutospacing="1" w:after="100" w:afterAutospacing="1"/>
    </w:pPr>
    <w:rPr>
      <w:sz w:val="24"/>
      <w:lang w:val="en-US" w:eastAsia="zh-CN" w:bidi="ar"/>
    </w:rPr>
  </w:style>
  <w:style w:type="paragraph" w:styleId="1025">
    <w:name w:val="标题"/>
    <w:basedOn w:val="976"/>
    <w:next w:val="976"/>
    <w:link w:val="1026"/>
    <w:uiPriority w:val="10"/>
    <w:qFormat/>
    <w:pPr>
      <w:contextualSpacing/>
      <w:spacing w:before="300" w:after="200"/>
    </w:pPr>
    <w:rPr>
      <w:sz w:val="48"/>
      <w:szCs w:val="48"/>
    </w:rPr>
  </w:style>
  <w:style w:type="character" w:styleId="1026">
    <w:name w:val="Title Char"/>
    <w:next w:val="1026"/>
    <w:link w:val="1025"/>
    <w:uiPriority w:val="10"/>
    <w:qFormat/>
    <w:rPr>
      <w:sz w:val="48"/>
      <w:szCs w:val="48"/>
    </w:rPr>
  </w:style>
  <w:style w:type="paragraph" w:styleId="1027">
    <w:name w:val="正文首行缩进"/>
    <w:basedOn w:val="976"/>
    <w:next w:val="1020"/>
    <w:link w:val="976"/>
    <w:uiPriority w:val="99"/>
    <w:qFormat/>
    <w:pPr>
      <w:ind w:firstLine="420"/>
      <w:spacing w:after="120"/>
      <w:widowControl/>
    </w:pPr>
    <w:rPr>
      <w:rFonts w:eastAsia="仿宋_GB2312"/>
      <w:szCs w:val="24"/>
    </w:rPr>
  </w:style>
  <w:style w:type="paragraph" w:styleId="1028">
    <w:name w:val="正文首行缩进 2"/>
    <w:basedOn w:val="1002"/>
    <w:next w:val="976"/>
    <w:link w:val="976"/>
    <w:qFormat/>
    <w:pPr>
      <w:ind w:firstLine="420"/>
      <w:jc w:val="left"/>
      <w:spacing w:line="276" w:lineRule="auto"/>
    </w:pPr>
    <w:rPr>
      <w:rFonts w:ascii="Calibri" w:hAnsi="Calibri"/>
      <w:sz w:val="22"/>
      <w:szCs w:val="22"/>
      <w:lang w:eastAsia="en-US"/>
    </w:rPr>
  </w:style>
  <w:style w:type="table" w:styleId="1029">
    <w:name w:val="网格型"/>
    <w:next w:val="1029"/>
    <w:link w:val="976"/>
    <w:uiPriority w:val="59"/>
    <w:qFormat/>
    <w:pPr>
      <w:spacing w:after="0" w:line="240" w:lineRule="auto"/>
    </w:pPr>
    <w:tblPr/>
  </w:style>
  <w:style w:type="character" w:styleId="1030">
    <w:name w:val="尾注引用"/>
    <w:next w:val="1030"/>
    <w:link w:val="976"/>
    <w:uiPriority w:val="99"/>
    <w:unhideWhenUsed/>
    <w:rPr>
      <w:vertAlign w:val="superscript"/>
    </w:rPr>
  </w:style>
  <w:style w:type="character" w:styleId="1031">
    <w:name w:val="超链接"/>
    <w:next w:val="1031"/>
    <w:link w:val="976"/>
    <w:uiPriority w:val="99"/>
    <w:unhideWhenUsed/>
    <w:qFormat/>
    <w:rPr>
      <w:color w:val="0000ff"/>
      <w:u w:val="single"/>
    </w:rPr>
  </w:style>
  <w:style w:type="character" w:styleId="1032">
    <w:name w:val="脚注引用"/>
    <w:next w:val="1032"/>
    <w:link w:val="976"/>
    <w:uiPriority w:val="99"/>
    <w:unhideWhenUsed/>
    <w:qFormat/>
    <w:rPr>
      <w:vertAlign w:val="superscript"/>
    </w:rPr>
  </w:style>
  <w:style w:type="character" w:styleId="1033">
    <w:name w:val="NormalCharacter11"/>
    <w:next w:val="1033"/>
    <w:link w:val="976"/>
    <w:semiHidden/>
    <w:qFormat/>
    <w:rPr>
      <w:rFonts w:ascii="Times New Roman" w:hAnsi="Times New Roman" w:eastAsia="宋体" w:cs="Times New Roman"/>
      <w:sz w:val="21"/>
      <w:szCs w:val="24"/>
      <w:lang w:val="en-US" w:eastAsia="zh-CN" w:bidi="ar-SA"/>
    </w:rPr>
  </w:style>
  <w:style w:type="paragraph" w:styleId="1034">
    <w:name w:val="List Paragraph"/>
    <w:basedOn w:val="976"/>
    <w:next w:val="1034"/>
    <w:link w:val="976"/>
    <w:uiPriority w:val="34"/>
    <w:qFormat/>
    <w:pPr>
      <w:contextualSpacing/>
      <w:ind w:left="720"/>
    </w:pPr>
  </w:style>
  <w:style w:type="paragraph" w:styleId="1035">
    <w:name w:val="No Spacing"/>
    <w:next w:val="1035"/>
    <w:link w:val="976"/>
    <w:uiPriority w:val="1"/>
    <w:qFormat/>
    <w:pPr>
      <w:spacing w:before="0" w:after="0" w:line="240" w:lineRule="auto"/>
    </w:pPr>
    <w:rPr>
      <w:rFonts w:ascii="Times New Roman" w:hAnsi="Times New Roman" w:eastAsia="宋体" w:cs="Times New Roman"/>
    </w:rPr>
  </w:style>
  <w:style w:type="paragraph" w:styleId="1036">
    <w:name w:val="Quote"/>
    <w:basedOn w:val="976"/>
    <w:next w:val="976"/>
    <w:link w:val="1037"/>
    <w:uiPriority w:val="29"/>
    <w:qFormat/>
    <w:pPr>
      <w:ind w:left="720" w:right="720"/>
    </w:pPr>
    <w:rPr>
      <w:i/>
    </w:rPr>
  </w:style>
  <w:style w:type="character" w:styleId="1037">
    <w:name w:val="Quote Char"/>
    <w:next w:val="1037"/>
    <w:link w:val="1036"/>
    <w:uiPriority w:val="29"/>
    <w:qFormat/>
    <w:rPr>
      <w:i/>
    </w:rPr>
  </w:style>
  <w:style w:type="paragraph" w:styleId="1038">
    <w:name w:val="Intense Quote"/>
    <w:basedOn w:val="976"/>
    <w:next w:val="976"/>
    <w:link w:val="10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9">
    <w:name w:val="Intense Quote Char"/>
    <w:next w:val="1039"/>
    <w:link w:val="1038"/>
    <w:uiPriority w:val="30"/>
    <w:rPr>
      <w:i/>
    </w:rPr>
  </w:style>
  <w:style w:type="table" w:styleId="1040">
    <w:name w:val="Table Grid Light"/>
    <w:next w:val="1040"/>
    <w:link w:val="976"/>
    <w:uiPriority w:val="59"/>
    <w:qFormat/>
    <w:pPr>
      <w:spacing w:after="0" w:line="240" w:lineRule="auto"/>
    </w:pPr>
    <w:tblPr/>
  </w:style>
  <w:style w:type="table" w:styleId="1041">
    <w:name w:val="Plain Table 1"/>
    <w:next w:val="1041"/>
    <w:link w:val="976"/>
    <w:uiPriority w:val="59"/>
    <w:qFormat/>
    <w:pPr>
      <w:spacing w:after="0" w:line="240" w:lineRule="auto"/>
    </w:pPr>
    <w:tblPr/>
  </w:style>
  <w:style w:type="table" w:styleId="1042">
    <w:name w:val="Plain Table 2"/>
    <w:next w:val="1042"/>
    <w:link w:val="976"/>
    <w:uiPriority w:val="59"/>
    <w:qFormat/>
    <w:pPr>
      <w:spacing w:after="0" w:line="240" w:lineRule="auto"/>
    </w:pPr>
    <w:tblPr/>
  </w:style>
  <w:style w:type="table" w:styleId="1043">
    <w:name w:val="Plain Table 3"/>
    <w:next w:val="1043"/>
    <w:link w:val="976"/>
    <w:uiPriority w:val="99"/>
    <w:qFormat/>
    <w:pPr>
      <w:spacing w:after="0" w:line="240" w:lineRule="auto"/>
    </w:pPr>
    <w:tblPr/>
  </w:style>
  <w:style w:type="table" w:styleId="1044">
    <w:name w:val="Plain Table 4"/>
    <w:next w:val="1044"/>
    <w:link w:val="976"/>
    <w:uiPriority w:val="99"/>
    <w:qFormat/>
    <w:pPr>
      <w:spacing w:after="0" w:line="240" w:lineRule="auto"/>
    </w:pPr>
    <w:tblPr/>
  </w:style>
  <w:style w:type="table" w:styleId="1045">
    <w:name w:val="Plain Table 5"/>
    <w:next w:val="1045"/>
    <w:link w:val="976"/>
    <w:uiPriority w:val="99"/>
    <w:qFormat/>
    <w:pPr>
      <w:spacing w:after="0" w:line="240" w:lineRule="auto"/>
    </w:pPr>
    <w:tblPr/>
  </w:style>
  <w:style w:type="table" w:styleId="1046">
    <w:name w:val="Grid Table 1 Light"/>
    <w:next w:val="1046"/>
    <w:link w:val="976"/>
    <w:uiPriority w:val="99"/>
    <w:qFormat/>
    <w:pPr>
      <w:spacing w:after="0" w:line="240" w:lineRule="auto"/>
    </w:pPr>
    <w:tblPr/>
  </w:style>
  <w:style w:type="table" w:styleId="1047">
    <w:name w:val="Grid Table 1 Light - Accent 1"/>
    <w:next w:val="1047"/>
    <w:link w:val="976"/>
    <w:uiPriority w:val="99"/>
    <w:pPr>
      <w:spacing w:after="0" w:line="240" w:lineRule="auto"/>
    </w:pPr>
    <w:tblPr/>
  </w:style>
  <w:style w:type="table" w:styleId="1048">
    <w:name w:val="Grid Table 1 Light - Accent 2"/>
    <w:next w:val="1048"/>
    <w:link w:val="976"/>
    <w:uiPriority w:val="99"/>
    <w:qFormat/>
    <w:pPr>
      <w:spacing w:after="0" w:line="240" w:lineRule="auto"/>
    </w:pPr>
    <w:tblPr/>
  </w:style>
  <w:style w:type="table" w:styleId="1049">
    <w:name w:val="Grid Table 1 Light - Accent 3"/>
    <w:next w:val="1049"/>
    <w:link w:val="976"/>
    <w:uiPriority w:val="99"/>
    <w:qFormat/>
    <w:pPr>
      <w:spacing w:after="0" w:line="240" w:lineRule="auto"/>
    </w:pPr>
    <w:tblPr/>
  </w:style>
  <w:style w:type="table" w:styleId="1050">
    <w:name w:val="Grid Table 1 Light - Accent 4"/>
    <w:next w:val="1050"/>
    <w:link w:val="976"/>
    <w:uiPriority w:val="99"/>
    <w:qFormat/>
    <w:pPr>
      <w:spacing w:after="0" w:line="240" w:lineRule="auto"/>
    </w:pPr>
    <w:tblPr/>
  </w:style>
  <w:style w:type="table" w:styleId="1051">
    <w:name w:val="Grid Table 1 Light - Accent 5"/>
    <w:next w:val="1051"/>
    <w:link w:val="976"/>
    <w:uiPriority w:val="99"/>
    <w:qFormat/>
    <w:pPr>
      <w:spacing w:after="0" w:line="240" w:lineRule="auto"/>
    </w:pPr>
    <w:tblPr/>
  </w:style>
  <w:style w:type="table" w:styleId="1052">
    <w:name w:val="Grid Table 1 Light - Accent 6"/>
    <w:next w:val="1052"/>
    <w:link w:val="976"/>
    <w:uiPriority w:val="99"/>
    <w:qFormat/>
    <w:pPr>
      <w:spacing w:after="0" w:line="240" w:lineRule="auto"/>
    </w:pPr>
    <w:tblPr/>
  </w:style>
  <w:style w:type="table" w:styleId="1053">
    <w:name w:val="Grid Table 2"/>
    <w:next w:val="1053"/>
    <w:link w:val="976"/>
    <w:uiPriority w:val="99"/>
    <w:qFormat/>
    <w:pPr>
      <w:spacing w:after="0" w:line="240" w:lineRule="auto"/>
    </w:pPr>
    <w:tblPr/>
  </w:style>
  <w:style w:type="table" w:styleId="1054">
    <w:name w:val="Grid Table 2 - Accent 1"/>
    <w:next w:val="1054"/>
    <w:link w:val="976"/>
    <w:uiPriority w:val="99"/>
    <w:qFormat/>
    <w:pPr>
      <w:spacing w:after="0" w:line="240" w:lineRule="auto"/>
    </w:pPr>
    <w:tblPr/>
  </w:style>
  <w:style w:type="table" w:styleId="1055">
    <w:name w:val="Grid Table 2 - Accent 2"/>
    <w:next w:val="1055"/>
    <w:link w:val="976"/>
    <w:uiPriority w:val="99"/>
    <w:qFormat/>
    <w:pPr>
      <w:spacing w:after="0" w:line="240" w:lineRule="auto"/>
    </w:pPr>
    <w:tblPr/>
  </w:style>
  <w:style w:type="table" w:styleId="1056">
    <w:name w:val="Grid Table 2 - Accent 3"/>
    <w:next w:val="1056"/>
    <w:link w:val="976"/>
    <w:uiPriority w:val="99"/>
    <w:pPr>
      <w:spacing w:after="0" w:line="240" w:lineRule="auto"/>
    </w:pPr>
    <w:tblPr/>
  </w:style>
  <w:style w:type="table" w:styleId="1057">
    <w:name w:val="Grid Table 2 - Accent 4"/>
    <w:next w:val="1057"/>
    <w:link w:val="976"/>
    <w:uiPriority w:val="99"/>
    <w:qFormat/>
    <w:pPr>
      <w:spacing w:after="0" w:line="240" w:lineRule="auto"/>
    </w:pPr>
    <w:tblPr/>
  </w:style>
  <w:style w:type="table" w:styleId="1058">
    <w:name w:val="Grid Table 2 - Accent 5"/>
    <w:next w:val="1058"/>
    <w:link w:val="976"/>
    <w:uiPriority w:val="99"/>
    <w:qFormat/>
    <w:pPr>
      <w:spacing w:after="0" w:line="240" w:lineRule="auto"/>
    </w:pPr>
    <w:tblPr/>
  </w:style>
  <w:style w:type="table" w:styleId="1059">
    <w:name w:val="Grid Table 2 - Accent 6"/>
    <w:next w:val="1059"/>
    <w:link w:val="976"/>
    <w:uiPriority w:val="99"/>
    <w:qFormat/>
    <w:pPr>
      <w:spacing w:after="0" w:line="240" w:lineRule="auto"/>
    </w:pPr>
    <w:tblPr/>
  </w:style>
  <w:style w:type="table" w:styleId="1060">
    <w:name w:val="Grid Table 3"/>
    <w:next w:val="1060"/>
    <w:link w:val="976"/>
    <w:uiPriority w:val="99"/>
    <w:qFormat/>
    <w:pPr>
      <w:spacing w:after="0" w:line="240" w:lineRule="auto"/>
    </w:pPr>
    <w:tblPr/>
  </w:style>
  <w:style w:type="table" w:styleId="1061">
    <w:name w:val="Grid Table 3 - Accent 1"/>
    <w:next w:val="1061"/>
    <w:link w:val="976"/>
    <w:uiPriority w:val="99"/>
    <w:qFormat/>
    <w:pPr>
      <w:spacing w:after="0" w:line="240" w:lineRule="auto"/>
    </w:pPr>
    <w:tblPr/>
  </w:style>
  <w:style w:type="table" w:styleId="1062">
    <w:name w:val="Grid Table 3 - Accent 2"/>
    <w:next w:val="1062"/>
    <w:link w:val="976"/>
    <w:uiPriority w:val="99"/>
    <w:qFormat/>
    <w:pPr>
      <w:spacing w:after="0" w:line="240" w:lineRule="auto"/>
    </w:pPr>
    <w:tblPr/>
  </w:style>
  <w:style w:type="table" w:styleId="1063">
    <w:name w:val="Grid Table 3 - Accent 3"/>
    <w:next w:val="1063"/>
    <w:link w:val="976"/>
    <w:uiPriority w:val="99"/>
    <w:qFormat/>
    <w:pPr>
      <w:spacing w:after="0" w:line="240" w:lineRule="auto"/>
    </w:pPr>
    <w:tblPr/>
  </w:style>
  <w:style w:type="table" w:styleId="1064">
    <w:name w:val="Grid Table 3 - Accent 4"/>
    <w:next w:val="1064"/>
    <w:link w:val="976"/>
    <w:uiPriority w:val="99"/>
    <w:qFormat/>
    <w:pPr>
      <w:spacing w:after="0" w:line="240" w:lineRule="auto"/>
    </w:pPr>
    <w:tblPr/>
  </w:style>
  <w:style w:type="table" w:styleId="1065">
    <w:name w:val="Grid Table 3 - Accent 5"/>
    <w:next w:val="1065"/>
    <w:link w:val="976"/>
    <w:uiPriority w:val="99"/>
    <w:pPr>
      <w:spacing w:after="0" w:line="240" w:lineRule="auto"/>
    </w:pPr>
    <w:tblPr/>
  </w:style>
  <w:style w:type="table" w:styleId="1066">
    <w:name w:val="Grid Table 3 - Accent 6"/>
    <w:next w:val="1066"/>
    <w:link w:val="976"/>
    <w:uiPriority w:val="99"/>
    <w:qFormat/>
    <w:pPr>
      <w:spacing w:after="0" w:line="240" w:lineRule="auto"/>
    </w:pPr>
    <w:tblPr/>
  </w:style>
  <w:style w:type="table" w:styleId="1067">
    <w:name w:val="Grid Table 4"/>
    <w:next w:val="1067"/>
    <w:link w:val="976"/>
    <w:uiPriority w:val="59"/>
    <w:qFormat/>
    <w:pPr>
      <w:spacing w:after="0" w:line="240" w:lineRule="auto"/>
    </w:pPr>
    <w:tblPr/>
  </w:style>
  <w:style w:type="table" w:styleId="1068">
    <w:name w:val="Grid Table 4 - Accent 1"/>
    <w:next w:val="1068"/>
    <w:link w:val="976"/>
    <w:uiPriority w:val="59"/>
    <w:qFormat/>
    <w:pPr>
      <w:spacing w:after="0" w:line="240" w:lineRule="auto"/>
    </w:pPr>
    <w:tblPr/>
  </w:style>
  <w:style w:type="table" w:styleId="1069">
    <w:name w:val="Grid Table 4 - Accent 2"/>
    <w:next w:val="1069"/>
    <w:link w:val="976"/>
    <w:uiPriority w:val="59"/>
    <w:qFormat/>
    <w:pPr>
      <w:spacing w:after="0" w:line="240" w:lineRule="auto"/>
    </w:pPr>
    <w:tblPr/>
  </w:style>
  <w:style w:type="table" w:styleId="1070">
    <w:name w:val="Grid Table 4 - Accent 3"/>
    <w:next w:val="1070"/>
    <w:link w:val="976"/>
    <w:uiPriority w:val="59"/>
    <w:qFormat/>
    <w:pPr>
      <w:spacing w:after="0" w:line="240" w:lineRule="auto"/>
    </w:pPr>
    <w:tblPr/>
  </w:style>
  <w:style w:type="table" w:styleId="1071">
    <w:name w:val="Grid Table 4 - Accent 4"/>
    <w:next w:val="1071"/>
    <w:link w:val="976"/>
    <w:uiPriority w:val="59"/>
    <w:qFormat/>
    <w:pPr>
      <w:spacing w:after="0" w:line="240" w:lineRule="auto"/>
    </w:pPr>
    <w:tblPr/>
  </w:style>
  <w:style w:type="table" w:styleId="1072">
    <w:name w:val="Grid Table 4 - Accent 5"/>
    <w:next w:val="1072"/>
    <w:link w:val="976"/>
    <w:uiPriority w:val="59"/>
    <w:qFormat/>
    <w:pPr>
      <w:spacing w:after="0" w:line="240" w:lineRule="auto"/>
    </w:pPr>
    <w:tblPr/>
  </w:style>
  <w:style w:type="table" w:styleId="1073">
    <w:name w:val="Grid Table 4 - Accent 6"/>
    <w:next w:val="1073"/>
    <w:link w:val="976"/>
    <w:uiPriority w:val="59"/>
    <w:qFormat/>
    <w:pPr>
      <w:spacing w:after="0" w:line="240" w:lineRule="auto"/>
    </w:pPr>
    <w:tblPr/>
  </w:style>
  <w:style w:type="table" w:styleId="1074">
    <w:name w:val="Grid Table 5 Dark"/>
    <w:next w:val="1074"/>
    <w:link w:val="976"/>
    <w:uiPriority w:val="99"/>
    <w:qFormat/>
    <w:pPr>
      <w:spacing w:after="0" w:line="240" w:lineRule="auto"/>
    </w:pPr>
    <w:tblPr/>
  </w:style>
  <w:style w:type="table" w:styleId="1075">
    <w:name w:val="Grid Table 5 Dark- Accent 1"/>
    <w:next w:val="1075"/>
    <w:link w:val="976"/>
    <w:uiPriority w:val="99"/>
    <w:qFormat/>
    <w:pPr>
      <w:spacing w:after="0" w:line="240" w:lineRule="auto"/>
    </w:pPr>
    <w:tblPr/>
  </w:style>
  <w:style w:type="table" w:styleId="1076">
    <w:name w:val="Grid Table 5 Dark - Accent 2"/>
    <w:next w:val="1076"/>
    <w:link w:val="976"/>
    <w:uiPriority w:val="99"/>
    <w:qFormat/>
    <w:pPr>
      <w:spacing w:after="0" w:line="240" w:lineRule="auto"/>
    </w:pPr>
    <w:tblPr/>
  </w:style>
  <w:style w:type="table" w:styleId="1077">
    <w:name w:val="Grid Table 5 Dark - Accent 3"/>
    <w:next w:val="1077"/>
    <w:link w:val="976"/>
    <w:uiPriority w:val="99"/>
    <w:qFormat/>
    <w:pPr>
      <w:spacing w:after="0" w:line="240" w:lineRule="auto"/>
    </w:pPr>
    <w:tblPr/>
  </w:style>
  <w:style w:type="table" w:styleId="1078">
    <w:name w:val="Grid Table 5 Dark- Accent 4"/>
    <w:next w:val="1078"/>
    <w:link w:val="976"/>
    <w:uiPriority w:val="99"/>
    <w:qFormat/>
    <w:pPr>
      <w:spacing w:after="0" w:line="240" w:lineRule="auto"/>
    </w:pPr>
    <w:tblPr/>
  </w:style>
  <w:style w:type="table" w:styleId="1079">
    <w:name w:val="Grid Table 5 Dark - Accent 5"/>
    <w:next w:val="1079"/>
    <w:link w:val="976"/>
    <w:uiPriority w:val="99"/>
    <w:qFormat/>
    <w:pPr>
      <w:spacing w:after="0" w:line="240" w:lineRule="auto"/>
    </w:pPr>
    <w:tblPr/>
  </w:style>
  <w:style w:type="table" w:styleId="1080">
    <w:name w:val="Grid Table 5 Dark - Accent 6"/>
    <w:next w:val="1080"/>
    <w:link w:val="976"/>
    <w:uiPriority w:val="99"/>
    <w:qFormat/>
    <w:pPr>
      <w:spacing w:after="0" w:line="240" w:lineRule="auto"/>
    </w:pPr>
    <w:tblPr/>
  </w:style>
  <w:style w:type="table" w:styleId="1081">
    <w:name w:val="Grid Table 6 Colorful"/>
    <w:next w:val="1081"/>
    <w:link w:val="976"/>
    <w:uiPriority w:val="99"/>
    <w:qFormat/>
    <w:pPr>
      <w:spacing w:after="0" w:line="240" w:lineRule="auto"/>
    </w:pPr>
    <w:tblPr/>
  </w:style>
  <w:style w:type="table" w:styleId="1082">
    <w:name w:val="Grid Table 6 Colorful - Accent 1"/>
    <w:next w:val="1082"/>
    <w:link w:val="976"/>
    <w:uiPriority w:val="99"/>
    <w:qFormat/>
    <w:pPr>
      <w:spacing w:after="0" w:line="240" w:lineRule="auto"/>
    </w:pPr>
    <w:tblPr/>
  </w:style>
  <w:style w:type="table" w:styleId="1083">
    <w:name w:val="Grid Table 6 Colorful - Accent 2"/>
    <w:next w:val="1083"/>
    <w:link w:val="976"/>
    <w:uiPriority w:val="99"/>
    <w:qFormat/>
    <w:pPr>
      <w:spacing w:after="0" w:line="240" w:lineRule="auto"/>
    </w:pPr>
    <w:tblPr/>
  </w:style>
  <w:style w:type="table" w:styleId="1084">
    <w:name w:val="Grid Table 6 Colorful - Accent 3"/>
    <w:next w:val="1084"/>
    <w:link w:val="976"/>
    <w:uiPriority w:val="99"/>
    <w:qFormat/>
    <w:pPr>
      <w:spacing w:after="0" w:line="240" w:lineRule="auto"/>
    </w:pPr>
    <w:tblPr/>
  </w:style>
  <w:style w:type="table" w:styleId="1085">
    <w:name w:val="Grid Table 6 Colorful - Accent 4"/>
    <w:next w:val="1085"/>
    <w:link w:val="976"/>
    <w:uiPriority w:val="99"/>
    <w:qFormat/>
    <w:pPr>
      <w:spacing w:after="0" w:line="240" w:lineRule="auto"/>
    </w:pPr>
    <w:tblPr/>
  </w:style>
  <w:style w:type="table" w:styleId="1086">
    <w:name w:val="Grid Table 6 Colorful - Accent 5"/>
    <w:next w:val="1086"/>
    <w:link w:val="976"/>
    <w:uiPriority w:val="99"/>
    <w:qFormat/>
    <w:pPr>
      <w:spacing w:after="0" w:line="240" w:lineRule="auto"/>
    </w:pPr>
    <w:tblPr/>
  </w:style>
  <w:style w:type="table" w:styleId="1087">
    <w:name w:val="Grid Table 6 Colorful - Accent 6"/>
    <w:next w:val="1087"/>
    <w:link w:val="976"/>
    <w:uiPriority w:val="99"/>
    <w:qFormat/>
    <w:pPr>
      <w:spacing w:after="0" w:line="240" w:lineRule="auto"/>
    </w:pPr>
    <w:tblPr/>
  </w:style>
  <w:style w:type="table" w:styleId="1088">
    <w:name w:val="Grid Table 7 Colorful"/>
    <w:next w:val="1088"/>
    <w:link w:val="976"/>
    <w:uiPriority w:val="99"/>
    <w:qFormat/>
    <w:pPr>
      <w:spacing w:after="0" w:line="240" w:lineRule="auto"/>
    </w:pPr>
    <w:tblPr/>
  </w:style>
  <w:style w:type="table" w:styleId="1089">
    <w:name w:val="Grid Table 7 Colorful - Accent 1"/>
    <w:next w:val="1089"/>
    <w:link w:val="976"/>
    <w:uiPriority w:val="99"/>
    <w:qFormat/>
    <w:pPr>
      <w:spacing w:after="0" w:line="240" w:lineRule="auto"/>
    </w:pPr>
    <w:tblPr/>
  </w:style>
  <w:style w:type="table" w:styleId="1090">
    <w:name w:val="Grid Table 7 Colorful - Accent 2"/>
    <w:next w:val="1090"/>
    <w:link w:val="976"/>
    <w:uiPriority w:val="99"/>
    <w:qFormat/>
    <w:pPr>
      <w:spacing w:after="0" w:line="240" w:lineRule="auto"/>
    </w:pPr>
    <w:tblPr/>
  </w:style>
  <w:style w:type="table" w:styleId="1091">
    <w:name w:val="Grid Table 7 Colorful - Accent 3"/>
    <w:next w:val="1091"/>
    <w:link w:val="976"/>
    <w:uiPriority w:val="99"/>
    <w:qFormat/>
    <w:pPr>
      <w:spacing w:after="0" w:line="240" w:lineRule="auto"/>
    </w:pPr>
    <w:tblPr/>
  </w:style>
  <w:style w:type="table" w:styleId="1092">
    <w:name w:val="Grid Table 7 Colorful - Accent 4"/>
    <w:next w:val="1092"/>
    <w:link w:val="976"/>
    <w:uiPriority w:val="99"/>
    <w:qFormat/>
    <w:pPr>
      <w:spacing w:after="0" w:line="240" w:lineRule="auto"/>
    </w:pPr>
    <w:tblPr/>
  </w:style>
  <w:style w:type="table" w:styleId="1093">
    <w:name w:val="Grid Table 7 Colorful - Accent 5"/>
    <w:next w:val="1093"/>
    <w:link w:val="976"/>
    <w:uiPriority w:val="99"/>
    <w:qFormat/>
    <w:pPr>
      <w:spacing w:after="0" w:line="240" w:lineRule="auto"/>
    </w:pPr>
    <w:tblPr/>
  </w:style>
  <w:style w:type="table" w:styleId="1094">
    <w:name w:val="Grid Table 7 Colorful - Accent 6"/>
    <w:next w:val="1094"/>
    <w:link w:val="976"/>
    <w:uiPriority w:val="99"/>
    <w:qFormat/>
    <w:pPr>
      <w:spacing w:after="0" w:line="240" w:lineRule="auto"/>
    </w:pPr>
    <w:tblPr/>
  </w:style>
  <w:style w:type="table" w:styleId="1095">
    <w:name w:val="List Table 1 Light"/>
    <w:next w:val="1095"/>
    <w:link w:val="976"/>
    <w:uiPriority w:val="99"/>
    <w:qFormat/>
    <w:pPr>
      <w:spacing w:after="0" w:line="240" w:lineRule="auto"/>
    </w:pPr>
    <w:tblPr/>
  </w:style>
  <w:style w:type="table" w:styleId="1096">
    <w:name w:val="List Table 1 Light - Accent 1"/>
    <w:next w:val="1096"/>
    <w:link w:val="976"/>
    <w:uiPriority w:val="99"/>
    <w:qFormat/>
    <w:pPr>
      <w:spacing w:after="0" w:line="240" w:lineRule="auto"/>
    </w:pPr>
    <w:tblPr/>
  </w:style>
  <w:style w:type="table" w:styleId="1097">
    <w:name w:val="List Table 1 Light - Accent 2"/>
    <w:next w:val="1097"/>
    <w:link w:val="976"/>
    <w:uiPriority w:val="99"/>
    <w:qFormat/>
    <w:pPr>
      <w:spacing w:after="0" w:line="240" w:lineRule="auto"/>
    </w:pPr>
    <w:tblPr/>
  </w:style>
  <w:style w:type="table" w:styleId="1098">
    <w:name w:val="List Table 1 Light - Accent 3"/>
    <w:next w:val="1098"/>
    <w:link w:val="976"/>
    <w:uiPriority w:val="99"/>
    <w:qFormat/>
    <w:pPr>
      <w:spacing w:after="0" w:line="240" w:lineRule="auto"/>
    </w:pPr>
    <w:tblPr/>
  </w:style>
  <w:style w:type="table" w:styleId="1099">
    <w:name w:val="List Table 1 Light - Accent 4"/>
    <w:next w:val="1099"/>
    <w:link w:val="976"/>
    <w:uiPriority w:val="99"/>
    <w:qFormat/>
    <w:pPr>
      <w:spacing w:after="0" w:line="240" w:lineRule="auto"/>
    </w:pPr>
    <w:tblPr/>
  </w:style>
  <w:style w:type="table" w:styleId="1100">
    <w:name w:val="List Table 1 Light - Accent 5"/>
    <w:next w:val="1100"/>
    <w:link w:val="976"/>
    <w:uiPriority w:val="99"/>
    <w:qFormat/>
    <w:pPr>
      <w:spacing w:after="0" w:line="240" w:lineRule="auto"/>
    </w:pPr>
    <w:tblPr/>
  </w:style>
  <w:style w:type="table" w:styleId="1101">
    <w:name w:val="List Table 1 Light - Accent 6"/>
    <w:next w:val="1101"/>
    <w:link w:val="976"/>
    <w:uiPriority w:val="99"/>
    <w:pPr>
      <w:spacing w:after="0" w:line="240" w:lineRule="auto"/>
    </w:pPr>
    <w:tblPr/>
  </w:style>
  <w:style w:type="table" w:styleId="1102">
    <w:name w:val="List Table 2"/>
    <w:next w:val="1102"/>
    <w:link w:val="976"/>
    <w:uiPriority w:val="99"/>
    <w:qFormat/>
    <w:pPr>
      <w:spacing w:after="0" w:line="240" w:lineRule="auto"/>
    </w:pPr>
    <w:tblPr/>
  </w:style>
  <w:style w:type="table" w:styleId="1103">
    <w:name w:val="List Table 2 - Accent 1"/>
    <w:next w:val="1103"/>
    <w:link w:val="976"/>
    <w:uiPriority w:val="99"/>
    <w:qFormat/>
    <w:pPr>
      <w:spacing w:after="0" w:line="240" w:lineRule="auto"/>
    </w:pPr>
    <w:tblPr/>
  </w:style>
  <w:style w:type="table" w:styleId="1104">
    <w:name w:val="List Table 2 - Accent 2"/>
    <w:next w:val="1104"/>
    <w:link w:val="976"/>
    <w:uiPriority w:val="99"/>
    <w:qFormat/>
    <w:pPr>
      <w:spacing w:after="0" w:line="240" w:lineRule="auto"/>
    </w:pPr>
    <w:tblPr/>
  </w:style>
  <w:style w:type="table" w:styleId="1105">
    <w:name w:val="List Table 2 - Accent 3"/>
    <w:next w:val="1105"/>
    <w:link w:val="976"/>
    <w:uiPriority w:val="99"/>
    <w:qFormat/>
    <w:pPr>
      <w:spacing w:after="0" w:line="240" w:lineRule="auto"/>
    </w:pPr>
    <w:tblPr/>
  </w:style>
  <w:style w:type="table" w:styleId="1106">
    <w:name w:val="List Table 2 - Accent 4"/>
    <w:next w:val="1106"/>
    <w:link w:val="976"/>
    <w:uiPriority w:val="99"/>
    <w:qFormat/>
    <w:pPr>
      <w:spacing w:after="0" w:line="240" w:lineRule="auto"/>
    </w:pPr>
    <w:tblPr/>
  </w:style>
  <w:style w:type="table" w:styleId="1107">
    <w:name w:val="List Table 2 - Accent 5"/>
    <w:next w:val="1107"/>
    <w:link w:val="976"/>
    <w:uiPriority w:val="99"/>
    <w:qFormat/>
    <w:pPr>
      <w:spacing w:after="0" w:line="240" w:lineRule="auto"/>
    </w:pPr>
    <w:tblPr/>
  </w:style>
  <w:style w:type="table" w:styleId="1108">
    <w:name w:val="List Table 2 - Accent 6"/>
    <w:next w:val="1108"/>
    <w:link w:val="976"/>
    <w:uiPriority w:val="99"/>
    <w:qFormat/>
    <w:pPr>
      <w:spacing w:after="0" w:line="240" w:lineRule="auto"/>
    </w:pPr>
    <w:tblPr/>
  </w:style>
  <w:style w:type="table" w:styleId="1109">
    <w:name w:val="List Table 3"/>
    <w:next w:val="1109"/>
    <w:link w:val="976"/>
    <w:uiPriority w:val="99"/>
    <w:qFormat/>
    <w:pPr>
      <w:spacing w:after="0" w:line="240" w:lineRule="auto"/>
    </w:pPr>
    <w:tblPr/>
  </w:style>
  <w:style w:type="table" w:styleId="1110">
    <w:name w:val="List Table 3 - Accent 1"/>
    <w:next w:val="1110"/>
    <w:link w:val="976"/>
    <w:uiPriority w:val="99"/>
    <w:qFormat/>
    <w:pPr>
      <w:spacing w:after="0" w:line="240" w:lineRule="auto"/>
    </w:pPr>
    <w:tblPr/>
  </w:style>
  <w:style w:type="table" w:styleId="1111">
    <w:name w:val="List Table 3 - Accent 2"/>
    <w:next w:val="1111"/>
    <w:link w:val="976"/>
    <w:uiPriority w:val="99"/>
    <w:qFormat/>
    <w:pPr>
      <w:spacing w:after="0" w:line="240" w:lineRule="auto"/>
    </w:pPr>
    <w:tblPr/>
  </w:style>
  <w:style w:type="table" w:styleId="1112">
    <w:name w:val="List Table 3 - Accent 3"/>
    <w:next w:val="1112"/>
    <w:link w:val="976"/>
    <w:uiPriority w:val="99"/>
    <w:qFormat/>
    <w:pPr>
      <w:spacing w:after="0" w:line="240" w:lineRule="auto"/>
    </w:pPr>
    <w:tblPr/>
  </w:style>
  <w:style w:type="table" w:styleId="1113">
    <w:name w:val="List Table 3 - Accent 4"/>
    <w:next w:val="1113"/>
    <w:link w:val="976"/>
    <w:uiPriority w:val="99"/>
    <w:qFormat/>
    <w:pPr>
      <w:spacing w:after="0" w:line="240" w:lineRule="auto"/>
    </w:pPr>
    <w:tblPr/>
  </w:style>
  <w:style w:type="table" w:styleId="1114">
    <w:name w:val="List Table 3 - Accent 5"/>
    <w:next w:val="1114"/>
    <w:link w:val="976"/>
    <w:uiPriority w:val="99"/>
    <w:qFormat/>
    <w:pPr>
      <w:spacing w:after="0" w:line="240" w:lineRule="auto"/>
    </w:pPr>
    <w:tblPr/>
  </w:style>
  <w:style w:type="table" w:styleId="1115">
    <w:name w:val="List Table 3 - Accent 6"/>
    <w:next w:val="1115"/>
    <w:link w:val="976"/>
    <w:uiPriority w:val="99"/>
    <w:qFormat/>
    <w:pPr>
      <w:spacing w:after="0" w:line="240" w:lineRule="auto"/>
    </w:pPr>
    <w:tblPr/>
  </w:style>
  <w:style w:type="table" w:styleId="1116">
    <w:name w:val="List Table 4"/>
    <w:next w:val="1116"/>
    <w:link w:val="976"/>
    <w:uiPriority w:val="99"/>
    <w:pPr>
      <w:spacing w:after="0" w:line="240" w:lineRule="auto"/>
    </w:pPr>
    <w:tblPr/>
  </w:style>
  <w:style w:type="table" w:styleId="1117">
    <w:name w:val="List Table 4 - Accent 1"/>
    <w:next w:val="1117"/>
    <w:link w:val="976"/>
    <w:uiPriority w:val="99"/>
    <w:qFormat/>
    <w:pPr>
      <w:spacing w:after="0" w:line="240" w:lineRule="auto"/>
    </w:pPr>
    <w:tblPr/>
  </w:style>
  <w:style w:type="table" w:styleId="1118">
    <w:name w:val="List Table 4 - Accent 2"/>
    <w:next w:val="1118"/>
    <w:link w:val="976"/>
    <w:uiPriority w:val="99"/>
    <w:qFormat/>
    <w:pPr>
      <w:spacing w:after="0" w:line="240" w:lineRule="auto"/>
    </w:pPr>
    <w:tblPr/>
  </w:style>
  <w:style w:type="table" w:styleId="1119">
    <w:name w:val="List Table 4 - Accent 3"/>
    <w:next w:val="1119"/>
    <w:link w:val="976"/>
    <w:uiPriority w:val="99"/>
    <w:qFormat/>
    <w:pPr>
      <w:spacing w:after="0" w:line="240" w:lineRule="auto"/>
    </w:pPr>
    <w:tblPr/>
  </w:style>
  <w:style w:type="table" w:styleId="1120">
    <w:name w:val="List Table 4 - Accent 4"/>
    <w:next w:val="1120"/>
    <w:link w:val="976"/>
    <w:uiPriority w:val="99"/>
    <w:qFormat/>
    <w:pPr>
      <w:spacing w:after="0" w:line="240" w:lineRule="auto"/>
    </w:pPr>
    <w:tblPr/>
  </w:style>
  <w:style w:type="table" w:styleId="1121">
    <w:name w:val="List Table 4 - Accent 5"/>
    <w:next w:val="1121"/>
    <w:link w:val="976"/>
    <w:uiPriority w:val="99"/>
    <w:qFormat/>
    <w:pPr>
      <w:spacing w:after="0" w:line="240" w:lineRule="auto"/>
    </w:pPr>
    <w:tblPr/>
  </w:style>
  <w:style w:type="table" w:styleId="1122">
    <w:name w:val="List Table 4 - Accent 6"/>
    <w:next w:val="1122"/>
    <w:link w:val="976"/>
    <w:uiPriority w:val="99"/>
    <w:qFormat/>
    <w:pPr>
      <w:spacing w:after="0" w:line="240" w:lineRule="auto"/>
    </w:pPr>
    <w:tblPr/>
  </w:style>
  <w:style w:type="table" w:styleId="1123">
    <w:name w:val="List Table 5 Dark"/>
    <w:next w:val="1123"/>
    <w:link w:val="976"/>
    <w:uiPriority w:val="99"/>
    <w:qFormat/>
    <w:pPr>
      <w:spacing w:after="0" w:line="240" w:lineRule="auto"/>
    </w:pPr>
    <w:tblPr/>
  </w:style>
  <w:style w:type="table" w:styleId="1124">
    <w:name w:val="List Table 5 Dark - Accent 1"/>
    <w:next w:val="1124"/>
    <w:link w:val="976"/>
    <w:uiPriority w:val="99"/>
    <w:pPr>
      <w:spacing w:after="0" w:line="240" w:lineRule="auto"/>
    </w:pPr>
    <w:tblPr/>
  </w:style>
  <w:style w:type="table" w:styleId="1125">
    <w:name w:val="List Table 5 Dark - Accent 2"/>
    <w:next w:val="1125"/>
    <w:link w:val="976"/>
    <w:uiPriority w:val="99"/>
    <w:pPr>
      <w:spacing w:after="0" w:line="240" w:lineRule="auto"/>
    </w:pPr>
    <w:tblPr/>
  </w:style>
  <w:style w:type="table" w:styleId="1126">
    <w:name w:val="List Table 5 Dark - Accent 3"/>
    <w:next w:val="1126"/>
    <w:link w:val="976"/>
    <w:uiPriority w:val="99"/>
    <w:pPr>
      <w:spacing w:after="0" w:line="240" w:lineRule="auto"/>
    </w:pPr>
    <w:tblPr/>
  </w:style>
  <w:style w:type="table" w:styleId="1127">
    <w:name w:val="List Table 5 Dark - Accent 4"/>
    <w:next w:val="1127"/>
    <w:link w:val="976"/>
    <w:uiPriority w:val="99"/>
    <w:qFormat/>
    <w:pPr>
      <w:spacing w:after="0" w:line="240" w:lineRule="auto"/>
    </w:pPr>
    <w:tblPr/>
  </w:style>
  <w:style w:type="table" w:styleId="1128">
    <w:name w:val="List Table 5 Dark - Accent 5"/>
    <w:next w:val="1128"/>
    <w:link w:val="976"/>
    <w:uiPriority w:val="99"/>
    <w:qFormat/>
    <w:pPr>
      <w:spacing w:after="0" w:line="240" w:lineRule="auto"/>
    </w:pPr>
    <w:tblPr/>
  </w:style>
  <w:style w:type="table" w:styleId="1129">
    <w:name w:val="List Table 5 Dark - Accent 6"/>
    <w:next w:val="1129"/>
    <w:link w:val="976"/>
    <w:uiPriority w:val="99"/>
    <w:pPr>
      <w:spacing w:after="0" w:line="240" w:lineRule="auto"/>
    </w:pPr>
    <w:tblPr/>
  </w:style>
  <w:style w:type="table" w:styleId="1130">
    <w:name w:val="List Table 6 Colorful"/>
    <w:next w:val="1130"/>
    <w:link w:val="976"/>
    <w:uiPriority w:val="99"/>
    <w:pPr>
      <w:spacing w:after="0" w:line="240" w:lineRule="auto"/>
    </w:pPr>
    <w:tblPr/>
  </w:style>
  <w:style w:type="table" w:styleId="1131">
    <w:name w:val="List Table 6 Colorful - Accent 1"/>
    <w:next w:val="1131"/>
    <w:link w:val="976"/>
    <w:uiPriority w:val="99"/>
    <w:pPr>
      <w:spacing w:after="0" w:line="240" w:lineRule="auto"/>
    </w:pPr>
    <w:tblPr/>
  </w:style>
  <w:style w:type="table" w:styleId="1132">
    <w:name w:val="List Table 6 Colorful - Accent 2"/>
    <w:next w:val="1132"/>
    <w:link w:val="976"/>
    <w:uiPriority w:val="99"/>
    <w:pPr>
      <w:spacing w:after="0" w:line="240" w:lineRule="auto"/>
    </w:pPr>
    <w:tblPr/>
  </w:style>
  <w:style w:type="table" w:styleId="1133">
    <w:name w:val="List Table 6 Colorful - Accent 3"/>
    <w:next w:val="1133"/>
    <w:link w:val="976"/>
    <w:uiPriority w:val="99"/>
    <w:qFormat/>
    <w:pPr>
      <w:spacing w:after="0" w:line="240" w:lineRule="auto"/>
    </w:pPr>
    <w:tblPr/>
  </w:style>
  <w:style w:type="table" w:styleId="1134">
    <w:name w:val="List Table 6 Colorful - Accent 4"/>
    <w:next w:val="1134"/>
    <w:link w:val="976"/>
    <w:uiPriority w:val="99"/>
    <w:pPr>
      <w:spacing w:after="0" w:line="240" w:lineRule="auto"/>
    </w:pPr>
    <w:tblPr/>
  </w:style>
  <w:style w:type="table" w:styleId="1135">
    <w:name w:val="List Table 6 Colorful - Accent 5"/>
    <w:next w:val="1135"/>
    <w:link w:val="976"/>
    <w:uiPriority w:val="99"/>
    <w:qFormat/>
    <w:pPr>
      <w:spacing w:after="0" w:line="240" w:lineRule="auto"/>
    </w:pPr>
    <w:tblPr/>
  </w:style>
  <w:style w:type="table" w:styleId="1136">
    <w:name w:val="List Table 6 Colorful - Accent 6"/>
    <w:next w:val="1136"/>
    <w:link w:val="976"/>
    <w:uiPriority w:val="99"/>
    <w:qFormat/>
    <w:pPr>
      <w:spacing w:after="0" w:line="240" w:lineRule="auto"/>
    </w:pPr>
    <w:tblPr/>
  </w:style>
  <w:style w:type="table" w:styleId="1137">
    <w:name w:val="List Table 7 Colorful"/>
    <w:next w:val="1137"/>
    <w:link w:val="976"/>
    <w:uiPriority w:val="99"/>
    <w:pPr>
      <w:spacing w:after="0" w:line="240" w:lineRule="auto"/>
    </w:pPr>
    <w:tblPr/>
  </w:style>
  <w:style w:type="table" w:styleId="1138">
    <w:name w:val="List Table 7 Colorful - Accent 1"/>
    <w:next w:val="1138"/>
    <w:link w:val="976"/>
    <w:uiPriority w:val="99"/>
    <w:qFormat/>
    <w:pPr>
      <w:spacing w:after="0" w:line="240" w:lineRule="auto"/>
    </w:pPr>
    <w:tblPr/>
  </w:style>
  <w:style w:type="table" w:styleId="1139">
    <w:name w:val="List Table 7 Colorful - Accent 2"/>
    <w:next w:val="1139"/>
    <w:link w:val="976"/>
    <w:uiPriority w:val="99"/>
    <w:qFormat/>
    <w:pPr>
      <w:spacing w:after="0" w:line="240" w:lineRule="auto"/>
    </w:pPr>
    <w:tblPr/>
  </w:style>
  <w:style w:type="table" w:styleId="1140">
    <w:name w:val="List Table 7 Colorful - Accent 3"/>
    <w:next w:val="1140"/>
    <w:link w:val="976"/>
    <w:uiPriority w:val="99"/>
    <w:qFormat/>
    <w:pPr>
      <w:spacing w:after="0" w:line="240" w:lineRule="auto"/>
    </w:pPr>
    <w:tblPr/>
  </w:style>
  <w:style w:type="table" w:styleId="1141">
    <w:name w:val="List Table 7 Colorful - Accent 4"/>
    <w:next w:val="1141"/>
    <w:link w:val="976"/>
    <w:uiPriority w:val="99"/>
    <w:qFormat/>
    <w:pPr>
      <w:spacing w:after="0" w:line="240" w:lineRule="auto"/>
    </w:pPr>
    <w:tblPr/>
  </w:style>
  <w:style w:type="table" w:styleId="1142">
    <w:name w:val="List Table 7 Colorful - Accent 5"/>
    <w:next w:val="1142"/>
    <w:link w:val="976"/>
    <w:uiPriority w:val="99"/>
    <w:pPr>
      <w:spacing w:after="0" w:line="240" w:lineRule="auto"/>
    </w:pPr>
    <w:tblPr/>
  </w:style>
  <w:style w:type="table" w:styleId="1143">
    <w:name w:val="List Table 7 Colorful - Accent 6"/>
    <w:next w:val="1143"/>
    <w:link w:val="976"/>
    <w:uiPriority w:val="99"/>
    <w:qFormat/>
    <w:pPr>
      <w:spacing w:after="0" w:line="240" w:lineRule="auto"/>
    </w:pPr>
    <w:tblPr/>
  </w:style>
  <w:style w:type="table" w:styleId="1144">
    <w:name w:val="Lined - Accent"/>
    <w:next w:val="1144"/>
    <w:link w:val="976"/>
    <w:uiPriority w:val="99"/>
    <w:pPr>
      <w:spacing w:after="0" w:line="240" w:lineRule="auto"/>
    </w:pPr>
    <w:rPr>
      <w:color w:val="404040"/>
    </w:rPr>
    <w:tblPr/>
  </w:style>
  <w:style w:type="table" w:styleId="1145">
    <w:name w:val="Lined - Accent 1"/>
    <w:next w:val="1145"/>
    <w:link w:val="976"/>
    <w:uiPriority w:val="99"/>
    <w:pPr>
      <w:spacing w:after="0" w:line="240" w:lineRule="auto"/>
    </w:pPr>
    <w:rPr>
      <w:color w:val="404040"/>
    </w:rPr>
    <w:tblPr/>
  </w:style>
  <w:style w:type="table" w:styleId="1146">
    <w:name w:val="Lined - Accent 2"/>
    <w:next w:val="1146"/>
    <w:link w:val="976"/>
    <w:uiPriority w:val="99"/>
    <w:pPr>
      <w:spacing w:after="0" w:line="240" w:lineRule="auto"/>
    </w:pPr>
    <w:rPr>
      <w:color w:val="404040"/>
    </w:rPr>
    <w:tblPr/>
  </w:style>
  <w:style w:type="table" w:styleId="1147">
    <w:name w:val="Lined - Accent 3"/>
    <w:next w:val="1147"/>
    <w:link w:val="976"/>
    <w:uiPriority w:val="99"/>
    <w:pPr>
      <w:spacing w:after="0" w:line="240" w:lineRule="auto"/>
    </w:pPr>
    <w:rPr>
      <w:color w:val="404040"/>
    </w:rPr>
    <w:tblPr/>
  </w:style>
  <w:style w:type="table" w:styleId="1148">
    <w:name w:val="Lined - Accent 4"/>
    <w:next w:val="1148"/>
    <w:link w:val="976"/>
    <w:uiPriority w:val="99"/>
    <w:qFormat/>
    <w:pPr>
      <w:spacing w:after="0" w:line="240" w:lineRule="auto"/>
    </w:pPr>
    <w:rPr>
      <w:color w:val="404040"/>
    </w:rPr>
    <w:tblPr/>
  </w:style>
  <w:style w:type="table" w:styleId="1149">
    <w:name w:val="Lined - Accent 5"/>
    <w:next w:val="1149"/>
    <w:link w:val="976"/>
    <w:uiPriority w:val="99"/>
    <w:pPr>
      <w:spacing w:after="0" w:line="240" w:lineRule="auto"/>
    </w:pPr>
    <w:rPr>
      <w:color w:val="404040"/>
    </w:rPr>
    <w:tblPr/>
  </w:style>
  <w:style w:type="table" w:styleId="1150">
    <w:name w:val="Lined - Accent 6"/>
    <w:next w:val="1150"/>
    <w:link w:val="976"/>
    <w:uiPriority w:val="99"/>
    <w:pPr>
      <w:spacing w:after="0" w:line="240" w:lineRule="auto"/>
    </w:pPr>
    <w:rPr>
      <w:color w:val="404040"/>
    </w:rPr>
    <w:tblPr/>
  </w:style>
  <w:style w:type="table" w:styleId="1151">
    <w:name w:val="Bordered &amp; Lined - Accent"/>
    <w:next w:val="1151"/>
    <w:link w:val="976"/>
    <w:uiPriority w:val="99"/>
    <w:pPr>
      <w:spacing w:after="0" w:line="240" w:lineRule="auto"/>
    </w:pPr>
    <w:rPr>
      <w:color w:val="404040"/>
    </w:rPr>
    <w:tblPr/>
  </w:style>
  <w:style w:type="table" w:styleId="1152">
    <w:name w:val="Bordered &amp; Lined - Accent 1"/>
    <w:next w:val="1152"/>
    <w:link w:val="976"/>
    <w:uiPriority w:val="99"/>
    <w:pPr>
      <w:spacing w:after="0" w:line="240" w:lineRule="auto"/>
    </w:pPr>
    <w:rPr>
      <w:color w:val="404040"/>
    </w:rPr>
    <w:tblPr/>
  </w:style>
  <w:style w:type="table" w:styleId="1153">
    <w:name w:val="Bordered &amp; Lined - Accent 2"/>
    <w:next w:val="1153"/>
    <w:link w:val="976"/>
    <w:uiPriority w:val="99"/>
    <w:qFormat/>
    <w:pPr>
      <w:spacing w:after="0" w:line="240" w:lineRule="auto"/>
    </w:pPr>
    <w:rPr>
      <w:color w:val="404040"/>
    </w:rPr>
    <w:tblPr/>
  </w:style>
  <w:style w:type="table" w:styleId="1154">
    <w:name w:val="Bordered &amp; Lined - Accent 3"/>
    <w:next w:val="1154"/>
    <w:link w:val="976"/>
    <w:uiPriority w:val="99"/>
    <w:qFormat/>
    <w:pPr>
      <w:spacing w:after="0" w:line="240" w:lineRule="auto"/>
    </w:pPr>
    <w:rPr>
      <w:color w:val="404040"/>
    </w:rPr>
    <w:tblPr/>
  </w:style>
  <w:style w:type="table" w:styleId="1155">
    <w:name w:val="Bordered &amp; Lined - Accent 4"/>
    <w:next w:val="1155"/>
    <w:link w:val="976"/>
    <w:uiPriority w:val="99"/>
    <w:qFormat/>
    <w:pPr>
      <w:spacing w:after="0" w:line="240" w:lineRule="auto"/>
    </w:pPr>
    <w:rPr>
      <w:color w:val="404040"/>
    </w:rPr>
    <w:tblPr/>
  </w:style>
  <w:style w:type="table" w:styleId="1156">
    <w:name w:val="Bordered &amp; Lined - Accent 5"/>
    <w:next w:val="1156"/>
    <w:link w:val="976"/>
    <w:uiPriority w:val="99"/>
    <w:qFormat/>
    <w:pPr>
      <w:spacing w:after="0" w:line="240" w:lineRule="auto"/>
    </w:pPr>
    <w:rPr>
      <w:color w:val="404040"/>
    </w:rPr>
    <w:tblPr/>
  </w:style>
  <w:style w:type="table" w:styleId="1157">
    <w:name w:val="Bordered &amp; Lined - Accent 6"/>
    <w:next w:val="1157"/>
    <w:link w:val="976"/>
    <w:uiPriority w:val="99"/>
    <w:qFormat/>
    <w:pPr>
      <w:spacing w:after="0" w:line="240" w:lineRule="auto"/>
    </w:pPr>
    <w:rPr>
      <w:color w:val="404040"/>
    </w:rPr>
    <w:tblPr/>
  </w:style>
  <w:style w:type="table" w:styleId="1158">
    <w:name w:val="Bordered"/>
    <w:next w:val="1158"/>
    <w:link w:val="976"/>
    <w:uiPriority w:val="99"/>
    <w:qFormat/>
    <w:pPr>
      <w:spacing w:after="0" w:line="240" w:lineRule="auto"/>
    </w:pPr>
    <w:tblPr/>
  </w:style>
  <w:style w:type="table" w:styleId="1159">
    <w:name w:val="Bordered - Accent 1"/>
    <w:next w:val="1159"/>
    <w:link w:val="976"/>
    <w:uiPriority w:val="99"/>
    <w:qFormat/>
    <w:pPr>
      <w:spacing w:after="0" w:line="240" w:lineRule="auto"/>
    </w:pPr>
    <w:tblPr/>
  </w:style>
  <w:style w:type="table" w:styleId="1160">
    <w:name w:val="Bordered - Accent 2"/>
    <w:next w:val="1160"/>
    <w:link w:val="976"/>
    <w:uiPriority w:val="99"/>
    <w:qFormat/>
    <w:pPr>
      <w:spacing w:after="0" w:line="240" w:lineRule="auto"/>
    </w:pPr>
    <w:tblPr/>
  </w:style>
  <w:style w:type="table" w:styleId="1161">
    <w:name w:val="Bordered - Accent 3"/>
    <w:next w:val="1161"/>
    <w:link w:val="976"/>
    <w:uiPriority w:val="99"/>
    <w:qFormat/>
    <w:pPr>
      <w:spacing w:after="0" w:line="240" w:lineRule="auto"/>
    </w:pPr>
    <w:tblPr/>
  </w:style>
  <w:style w:type="table" w:styleId="1162">
    <w:name w:val="Bordered - Accent 4"/>
    <w:next w:val="1162"/>
    <w:link w:val="976"/>
    <w:uiPriority w:val="99"/>
    <w:pPr>
      <w:spacing w:after="0" w:line="240" w:lineRule="auto"/>
    </w:pPr>
    <w:tblPr/>
  </w:style>
  <w:style w:type="table" w:styleId="1163">
    <w:name w:val="Bordered - Accent 5"/>
    <w:next w:val="1163"/>
    <w:link w:val="976"/>
    <w:uiPriority w:val="99"/>
    <w:qFormat/>
    <w:pPr>
      <w:spacing w:after="0" w:line="240" w:lineRule="auto"/>
    </w:pPr>
    <w:tblPr/>
  </w:style>
  <w:style w:type="table" w:styleId="1164">
    <w:name w:val="Bordered - Accent 6"/>
    <w:next w:val="1164"/>
    <w:link w:val="976"/>
    <w:uiPriority w:val="99"/>
    <w:qFormat/>
    <w:pPr>
      <w:spacing w:after="0" w:line="240" w:lineRule="auto"/>
    </w:pPr>
    <w:tblPr/>
  </w:style>
  <w:style w:type="paragraph" w:styleId="1165">
    <w:name w:val="TOC Heading"/>
    <w:next w:val="1165"/>
    <w:link w:val="976"/>
    <w:uiPriority w:val="39"/>
    <w:unhideWhenUsed/>
    <w:qFormat/>
    <w:rPr>
      <w:rFonts w:ascii="Times New Roman" w:hAnsi="Times New Roman" w:eastAsia="宋体" w:cs="Times New Roman"/>
    </w:rPr>
  </w:style>
  <w:style w:type="paragraph" w:styleId="1166">
    <w:name w:val="标题 11"/>
    <w:basedOn w:val="976"/>
    <w:next w:val="976"/>
    <w:link w:val="1167"/>
    <w:qFormat/>
    <w:pPr>
      <w:keepNext/>
      <w:outlineLvl w:val="0"/>
    </w:pPr>
    <w:rPr>
      <w:rFonts w:ascii="楷体_GB2312" w:eastAsia="楷体_GB2312"/>
      <w:sz w:val="28"/>
      <w:szCs w:val="20"/>
    </w:rPr>
  </w:style>
  <w:style w:type="character" w:styleId="1167">
    <w:name w:val="标题 1 Char"/>
    <w:next w:val="1167"/>
    <w:link w:val="1166"/>
    <w:qFormat/>
    <w:rPr>
      <w:rFonts w:ascii="楷体_GB2312" w:eastAsia="楷体_GB2312"/>
      <w:sz w:val="28"/>
      <w:lang w:val="en-US" w:eastAsia="zh-CN" w:bidi="ar-SA"/>
    </w:rPr>
  </w:style>
  <w:style w:type="paragraph" w:styleId="1168">
    <w:name w:val="标题 21"/>
    <w:basedOn w:val="976"/>
    <w:next w:val="976"/>
    <w:link w:val="976"/>
    <w:qFormat/>
    <w:pPr>
      <w:jc w:val="center"/>
      <w:keepLines/>
      <w:keepNext/>
      <w:spacing w:before="260" w:after="260" w:line="416" w:lineRule="auto"/>
      <w:outlineLvl w:val="1"/>
    </w:pPr>
    <w:rPr>
      <w:rFonts w:ascii="Arial" w:hAnsi="Arial" w:eastAsia="幼圆"/>
      <w:b/>
      <w:sz w:val="44"/>
      <w:szCs w:val="20"/>
    </w:rPr>
  </w:style>
  <w:style w:type="paragraph" w:styleId="1169">
    <w:name w:val="标题 31"/>
    <w:basedOn w:val="976"/>
    <w:next w:val="976"/>
    <w:link w:val="976"/>
    <w:qFormat/>
    <w:pPr>
      <w:keepLines/>
      <w:keepNext/>
      <w:spacing w:before="260" w:after="260" w:line="416" w:lineRule="auto"/>
      <w:outlineLvl w:val="2"/>
    </w:pPr>
    <w:rPr>
      <w:b/>
      <w:sz w:val="32"/>
      <w:szCs w:val="20"/>
    </w:rPr>
  </w:style>
  <w:style w:type="paragraph" w:styleId="1170">
    <w:name w:val="标题 41"/>
    <w:basedOn w:val="976"/>
    <w:next w:val="976"/>
    <w:link w:val="976"/>
    <w:qFormat/>
    <w:pPr>
      <w:keepLines/>
      <w:keepNext/>
      <w:spacing w:before="280" w:after="290" w:line="376" w:lineRule="auto"/>
      <w:outlineLvl w:val="3"/>
    </w:pPr>
    <w:rPr>
      <w:rFonts w:ascii="Arial" w:hAnsi="Arial" w:eastAsia="黑体"/>
      <w:b/>
      <w:bCs/>
      <w:sz w:val="28"/>
      <w:szCs w:val="28"/>
    </w:rPr>
  </w:style>
  <w:style w:type="paragraph" w:styleId="1171">
    <w:name w:val="标题 51"/>
    <w:basedOn w:val="976"/>
    <w:next w:val="976"/>
    <w:link w:val="976"/>
    <w:qFormat/>
    <w:pPr>
      <w:keepNext/>
      <w:outlineLvl w:val="4"/>
    </w:pPr>
    <w:rPr>
      <w:rFonts w:ascii="宋体" w:hAnsi="宋体"/>
      <w:b/>
      <w:bCs/>
    </w:rPr>
  </w:style>
  <w:style w:type="character" w:styleId="1172">
    <w:name w:val="默认段落字体1"/>
    <w:next w:val="1172"/>
    <w:link w:val="976"/>
    <w:uiPriority w:val="1"/>
    <w:unhideWhenUsed/>
    <w:qFormat/>
  </w:style>
  <w:style w:type="table" w:styleId="1173">
    <w:name w:val="普通表格1"/>
    <w:next w:val="1173"/>
    <w:link w:val="976"/>
    <w:uiPriority w:val="99"/>
    <w:unhideWhenUsed/>
    <w:qFormat/>
    <w:tblPr/>
  </w:style>
  <w:style w:type="paragraph" w:styleId="1174">
    <w:name w:val="目录 71"/>
    <w:basedOn w:val="976"/>
    <w:next w:val="976"/>
    <w:link w:val="976"/>
    <w:semiHidden/>
    <w:qFormat/>
    <w:pPr>
      <w:ind w:left="2520"/>
    </w:pPr>
  </w:style>
  <w:style w:type="paragraph" w:styleId="1175">
    <w:name w:val="题注1"/>
    <w:basedOn w:val="976"/>
    <w:next w:val="976"/>
    <w:link w:val="976"/>
    <w:qFormat/>
    <w:rPr>
      <w:rFonts w:ascii="Cambria" w:hAnsi="Cambria" w:eastAsia="黑体"/>
      <w:sz w:val="20"/>
      <w:szCs w:val="20"/>
    </w:rPr>
  </w:style>
  <w:style w:type="paragraph" w:styleId="1176">
    <w:name w:val="文档结构图1"/>
    <w:basedOn w:val="976"/>
    <w:next w:val="1176"/>
    <w:link w:val="976"/>
    <w:semiHidden/>
    <w:qFormat/>
    <w:pPr>
      <w:shd w:val="clear" w:color="auto" w:fill="000080"/>
    </w:pPr>
  </w:style>
  <w:style w:type="paragraph" w:styleId="1177">
    <w:name w:val="引文目录标题1"/>
    <w:basedOn w:val="976"/>
    <w:next w:val="976"/>
    <w:link w:val="976"/>
    <w:qFormat/>
    <w:pPr>
      <w:spacing w:before="120"/>
    </w:pPr>
    <w:rPr>
      <w:rFonts w:ascii="Arial" w:hAnsi="Arial" w:eastAsia="宋体" w:cs="Arial"/>
      <w:sz w:val="24"/>
    </w:rPr>
  </w:style>
  <w:style w:type="paragraph" w:styleId="1178">
    <w:name w:val="批注文字1"/>
    <w:basedOn w:val="976"/>
    <w:next w:val="1178"/>
    <w:link w:val="1179"/>
    <w:uiPriority w:val="99"/>
    <w:qFormat/>
    <w:pPr>
      <w:jc w:val="left"/>
    </w:pPr>
  </w:style>
  <w:style w:type="character" w:styleId="1179">
    <w:name w:val="批注文字 Char"/>
    <w:next w:val="1179"/>
    <w:link w:val="1178"/>
    <w:uiPriority w:val="99"/>
    <w:qFormat/>
    <w:rPr>
      <w:sz w:val="21"/>
      <w:szCs w:val="24"/>
    </w:rPr>
  </w:style>
  <w:style w:type="paragraph" w:styleId="1180">
    <w:name w:val="正文文本 31"/>
    <w:basedOn w:val="976"/>
    <w:next w:val="1180"/>
    <w:link w:val="976"/>
    <w:qFormat/>
    <w:rPr>
      <w:rFonts w:ascii="仿宋_GB2312" w:hAnsi="Arial" w:eastAsia="仿宋_GB2312"/>
      <w:sz w:val="32"/>
      <w:szCs w:val="20"/>
    </w:rPr>
  </w:style>
  <w:style w:type="paragraph" w:styleId="1181">
    <w:name w:val="正文文本1"/>
    <w:basedOn w:val="976"/>
    <w:next w:val="976"/>
    <w:link w:val="1182"/>
    <w:qFormat/>
    <w:rPr>
      <w:rFonts w:ascii="楷体_GB2312" w:hAnsi="Arial" w:eastAsia="楷体_GB2312"/>
      <w:sz w:val="28"/>
      <w:szCs w:val="20"/>
    </w:rPr>
  </w:style>
  <w:style w:type="character" w:styleId="1182">
    <w:name w:val="正文文本 Char"/>
    <w:next w:val="1182"/>
    <w:link w:val="1181"/>
    <w:qFormat/>
    <w:rPr>
      <w:rFonts w:ascii="楷体_GB2312" w:hAnsi="Arial" w:eastAsia="楷体_GB2312"/>
      <w:sz w:val="28"/>
    </w:rPr>
  </w:style>
  <w:style w:type="paragraph" w:styleId="1183">
    <w:name w:val="正文文本缩进1"/>
    <w:basedOn w:val="976"/>
    <w:next w:val="1184"/>
    <w:link w:val="976"/>
    <w:qFormat/>
    <w:pPr>
      <w:ind w:firstLine="645"/>
    </w:pPr>
    <w:rPr>
      <w:rFonts w:ascii="楷体_GB2312" w:eastAsia="楷体_GB2312"/>
      <w:sz w:val="32"/>
      <w:szCs w:val="20"/>
    </w:rPr>
  </w:style>
  <w:style w:type="paragraph" w:styleId="1184">
    <w:name w:val="寄信人地址1"/>
    <w:basedOn w:val="976"/>
    <w:next w:val="1184"/>
    <w:link w:val="976"/>
    <w:uiPriority w:val="99"/>
    <w:unhideWhenUsed/>
    <w:qFormat/>
    <w:rPr>
      <w:rFonts w:ascii="Arial" w:hAnsi="Arial" w:cs="Arial"/>
    </w:rPr>
  </w:style>
  <w:style w:type="paragraph" w:styleId="1185">
    <w:name w:val="文本块1"/>
    <w:basedOn w:val="976"/>
    <w:next w:val="1185"/>
    <w:link w:val="976"/>
    <w:qFormat/>
    <w:pPr>
      <w:ind w:left="-716" w:right="-874" w:hanging="2"/>
    </w:pPr>
    <w:rPr>
      <w:sz w:val="28"/>
    </w:rPr>
  </w:style>
  <w:style w:type="paragraph" w:styleId="1186">
    <w:name w:val="目录 51"/>
    <w:basedOn w:val="976"/>
    <w:next w:val="976"/>
    <w:link w:val="976"/>
    <w:semiHidden/>
    <w:qFormat/>
    <w:pPr>
      <w:ind w:left="1680"/>
    </w:pPr>
  </w:style>
  <w:style w:type="paragraph" w:styleId="1187">
    <w:name w:val="目录 31"/>
    <w:basedOn w:val="976"/>
    <w:next w:val="976"/>
    <w:link w:val="976"/>
    <w:semiHidden/>
    <w:qFormat/>
    <w:pPr>
      <w:ind w:left="539"/>
      <w:jc w:val="left"/>
      <w:spacing w:line="240" w:lineRule="exact"/>
      <w:tabs>
        <w:tab w:val="right" w:pos="9440" w:leader="dot"/>
      </w:tabs>
    </w:pPr>
    <w:rPr>
      <w:rFonts w:ascii="黑体" w:hAnsi="宋体" w:eastAsia="黑体"/>
      <w:bCs/>
      <w:iCs/>
      <w:sz w:val="18"/>
      <w:szCs w:val="32"/>
    </w:rPr>
  </w:style>
  <w:style w:type="paragraph" w:styleId="1188">
    <w:name w:val="纯文本11"/>
    <w:basedOn w:val="976"/>
    <w:next w:val="1188"/>
    <w:link w:val="1189"/>
    <w:qFormat/>
    <w:rPr>
      <w:rFonts w:hint="eastAsia" w:ascii="宋体" w:hAnsi="Courier New"/>
      <w:szCs w:val="20"/>
    </w:rPr>
  </w:style>
  <w:style w:type="character" w:styleId="1189">
    <w:name w:val="纯文本 Char"/>
    <w:next w:val="1189"/>
    <w:link w:val="1188"/>
    <w:qFormat/>
    <w:rPr>
      <w:rFonts w:ascii="宋体" w:hAnsi="Courier New"/>
      <w:sz w:val="21"/>
    </w:rPr>
  </w:style>
  <w:style w:type="paragraph" w:styleId="1190">
    <w:name w:val="目录 81"/>
    <w:basedOn w:val="976"/>
    <w:next w:val="976"/>
    <w:link w:val="976"/>
    <w:semiHidden/>
    <w:qFormat/>
    <w:pPr>
      <w:ind w:left="2940"/>
    </w:pPr>
  </w:style>
  <w:style w:type="paragraph" w:styleId="1191">
    <w:name w:val="日期1"/>
    <w:basedOn w:val="976"/>
    <w:next w:val="976"/>
    <w:link w:val="976"/>
    <w:qFormat/>
    <w:rPr>
      <w:sz w:val="24"/>
      <w:szCs w:val="20"/>
    </w:rPr>
  </w:style>
  <w:style w:type="paragraph" w:styleId="1192">
    <w:name w:val="正文文本缩进 21"/>
    <w:basedOn w:val="976"/>
    <w:next w:val="1192"/>
    <w:link w:val="976"/>
    <w:qFormat/>
    <w:pPr>
      <w:ind w:firstLine="560"/>
    </w:pPr>
    <w:rPr>
      <w:rFonts w:ascii="宋体" w:hAnsi="宋体"/>
      <w:sz w:val="28"/>
    </w:rPr>
  </w:style>
  <w:style w:type="paragraph" w:styleId="1193">
    <w:name w:val="批注框文本1"/>
    <w:basedOn w:val="976"/>
    <w:next w:val="1193"/>
    <w:link w:val="976"/>
    <w:semiHidden/>
    <w:qFormat/>
    <w:rPr>
      <w:sz w:val="18"/>
      <w:szCs w:val="18"/>
    </w:rPr>
  </w:style>
  <w:style w:type="paragraph" w:styleId="1194">
    <w:name w:val="页脚11"/>
    <w:basedOn w:val="976"/>
    <w:next w:val="1194"/>
    <w:link w:val="976"/>
    <w:qFormat/>
    <w:pPr>
      <w:jc w:val="left"/>
      <w:tabs>
        <w:tab w:val="center" w:pos="4153" w:leader="none"/>
        <w:tab w:val="right" w:pos="8306" w:leader="none"/>
      </w:tabs>
    </w:pPr>
    <w:rPr>
      <w:sz w:val="18"/>
      <w:szCs w:val="20"/>
    </w:rPr>
  </w:style>
  <w:style w:type="paragraph" w:styleId="1195">
    <w:name w:val="页眉1"/>
    <w:basedOn w:val="976"/>
    <w:next w:val="1195"/>
    <w:link w:val="976"/>
    <w:qFormat/>
    <w:pPr>
      <w:jc w:val="center"/>
      <w:tabs>
        <w:tab w:val="center" w:pos="4153" w:leader="none"/>
        <w:tab w:val="right" w:pos="8306" w:leader="none"/>
      </w:tabs>
      <w:pBdr>
        <w:bottom w:val="single" w:color="000000" w:sz="6" w:space="1"/>
      </w:pBdr>
    </w:pPr>
    <w:rPr>
      <w:sz w:val="18"/>
      <w:szCs w:val="18"/>
    </w:rPr>
  </w:style>
  <w:style w:type="paragraph" w:styleId="1196">
    <w:name w:val="目录 11"/>
    <w:basedOn w:val="976"/>
    <w:next w:val="976"/>
    <w:link w:val="976"/>
    <w:semiHidden/>
    <w:qFormat/>
    <w:pPr>
      <w:jc w:val="left"/>
      <w:spacing w:before="120" w:after="120" w:line="300" w:lineRule="exact"/>
      <w:tabs>
        <w:tab w:val="right" w:pos="9440" w:leader="dot"/>
      </w:tabs>
    </w:pPr>
    <w:rPr>
      <w:rFonts w:ascii="黑体" w:eastAsia="黑体"/>
      <w:b/>
      <w:caps/>
      <w:sz w:val="18"/>
      <w:szCs w:val="28"/>
    </w:rPr>
  </w:style>
  <w:style w:type="paragraph" w:styleId="1197">
    <w:name w:val="目录 41"/>
    <w:basedOn w:val="976"/>
    <w:next w:val="976"/>
    <w:link w:val="976"/>
    <w:semiHidden/>
    <w:qFormat/>
    <w:pPr>
      <w:ind w:left="1260"/>
    </w:pPr>
  </w:style>
  <w:style w:type="paragraph" w:styleId="1198">
    <w:name w:val="目录 61"/>
    <w:basedOn w:val="976"/>
    <w:next w:val="976"/>
    <w:link w:val="976"/>
    <w:semiHidden/>
    <w:qFormat/>
    <w:pPr>
      <w:ind w:left="2100"/>
    </w:pPr>
  </w:style>
  <w:style w:type="paragraph" w:styleId="1199">
    <w:name w:val="正文文本缩进 31"/>
    <w:basedOn w:val="976"/>
    <w:next w:val="1199"/>
    <w:link w:val="976"/>
    <w:qFormat/>
    <w:pPr>
      <w:ind w:firstLine="523"/>
    </w:pPr>
    <w:rPr>
      <w:rFonts w:ascii="仿宋_GB2312" w:hAnsi="宋体" w:eastAsia="仿宋_GB2312"/>
      <w:sz w:val="24"/>
    </w:rPr>
  </w:style>
  <w:style w:type="paragraph" w:styleId="1200">
    <w:name w:val="索引 91"/>
    <w:basedOn w:val="976"/>
    <w:next w:val="976"/>
    <w:link w:val="976"/>
    <w:qFormat/>
    <w:pPr>
      <w:ind w:left="1600"/>
    </w:pPr>
    <w:rPr>
      <w:rFonts w:ascii="Times New Roman" w:hAnsi="Times New Roman" w:eastAsia="宋体" w:cs="Times New Roman"/>
    </w:rPr>
  </w:style>
  <w:style w:type="paragraph" w:styleId="1201">
    <w:name w:val="目录 21"/>
    <w:basedOn w:val="976"/>
    <w:next w:val="976"/>
    <w:link w:val="976"/>
    <w:semiHidden/>
    <w:qFormat/>
    <w:pPr>
      <w:jc w:val="left"/>
      <w:spacing w:line="260" w:lineRule="exact"/>
      <w:tabs>
        <w:tab w:val="right" w:pos="9440" w:leader="dot"/>
      </w:tabs>
    </w:pPr>
    <w:rPr>
      <w:rFonts w:ascii="黑体" w:eastAsia="黑体"/>
      <w:b/>
      <w:bCs/>
      <w:smallCaps/>
      <w:sz w:val="18"/>
      <w:szCs w:val="44"/>
    </w:rPr>
  </w:style>
  <w:style w:type="paragraph" w:styleId="1202">
    <w:name w:val="目录 91"/>
    <w:basedOn w:val="976"/>
    <w:next w:val="976"/>
    <w:link w:val="976"/>
    <w:semiHidden/>
    <w:qFormat/>
    <w:pPr>
      <w:ind w:left="3360"/>
    </w:pPr>
  </w:style>
  <w:style w:type="paragraph" w:styleId="1203">
    <w:name w:val="正文文本 21"/>
    <w:basedOn w:val="976"/>
    <w:next w:val="1203"/>
    <w:link w:val="976"/>
    <w:qFormat/>
    <w:pPr>
      <w:jc w:val="center"/>
    </w:pPr>
    <w:rPr>
      <w:rFonts w:ascii="仿宋_GB2312" w:eastAsia="仿宋_GB2312"/>
      <w:sz w:val="44"/>
    </w:rPr>
  </w:style>
  <w:style w:type="paragraph" w:styleId="1204">
    <w:name w:val="HTML 预设格式1"/>
    <w:basedOn w:val="976"/>
    <w:next w:val="1204"/>
    <w:link w:val="12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05">
    <w:name w:val="HTML 预设格式 Char"/>
    <w:next w:val="1205"/>
    <w:link w:val="1204"/>
    <w:qFormat/>
    <w:rPr>
      <w:rFonts w:ascii="黑体" w:hAnsi="Courier New" w:eastAsia="黑体" w:cs="Courier New"/>
    </w:rPr>
  </w:style>
  <w:style w:type="paragraph" w:styleId="1206">
    <w:name w:val="普通(网站)11"/>
    <w:basedOn w:val="976"/>
    <w:next w:val="1206"/>
    <w:link w:val="976"/>
    <w:unhideWhenUsed/>
    <w:qFormat/>
    <w:pPr>
      <w:jc w:val="left"/>
      <w:spacing w:before="100" w:beforeAutospacing="1" w:after="100" w:afterAutospacing="1"/>
      <w:widowControl/>
    </w:pPr>
    <w:rPr>
      <w:rFonts w:ascii="宋体" w:hAnsi="宋体" w:cs="宋体"/>
      <w:sz w:val="24"/>
    </w:rPr>
  </w:style>
  <w:style w:type="paragraph" w:styleId="1207">
    <w:name w:val="索引 11"/>
    <w:basedOn w:val="976"/>
    <w:next w:val="976"/>
    <w:link w:val="976"/>
    <w:semiHidden/>
    <w:qFormat/>
    <w:rPr>
      <w:rFonts w:ascii="宋体" w:hAnsi="宋体"/>
      <w:szCs w:val="18"/>
    </w:rPr>
  </w:style>
  <w:style w:type="paragraph" w:styleId="1208">
    <w:name w:val="批注主题1"/>
    <w:basedOn w:val="1178"/>
    <w:next w:val="1178"/>
    <w:link w:val="1209"/>
    <w:qFormat/>
    <w:rPr>
      <w:b/>
      <w:bCs/>
    </w:rPr>
  </w:style>
  <w:style w:type="character" w:styleId="1209">
    <w:name w:val="批注主题 Char"/>
    <w:next w:val="1209"/>
    <w:link w:val="1208"/>
    <w:qFormat/>
    <w:rPr>
      <w:b/>
      <w:bCs/>
      <w:sz w:val="21"/>
      <w:szCs w:val="24"/>
    </w:rPr>
  </w:style>
  <w:style w:type="paragraph" w:styleId="1210">
    <w:name w:val="正文首行缩进1"/>
    <w:basedOn w:val="976"/>
    <w:next w:val="1210"/>
    <w:link w:val="976"/>
    <w:qFormat/>
    <w:pPr>
      <w:ind w:firstLine="200"/>
      <w:spacing w:line="360" w:lineRule="auto"/>
    </w:pPr>
    <w:rPr>
      <w:rFonts w:ascii="仿宋_GB2312" w:eastAsia="仿宋_GB2312"/>
      <w:sz w:val="30"/>
      <w:szCs w:val="30"/>
    </w:rPr>
  </w:style>
  <w:style w:type="paragraph" w:styleId="1211">
    <w:name w:val="正文首行缩进 21"/>
    <w:basedOn w:val="1183"/>
    <w:next w:val="1181"/>
    <w:link w:val="976"/>
    <w:uiPriority w:val="99"/>
    <w:unhideWhenUsed/>
    <w:qFormat/>
    <w:pPr>
      <w:ind w:firstLine="420"/>
      <w:spacing w:line="360" w:lineRule="auto"/>
    </w:pPr>
    <w:rPr>
      <w:rFonts w:ascii="Calibri" w:hAnsi="Calibri" w:eastAsia="宋体"/>
      <w:sz w:val="21"/>
    </w:rPr>
  </w:style>
  <w:style w:type="table" w:styleId="1212">
    <w:name w:val="网格型1"/>
    <w:basedOn w:val="1173"/>
    <w:next w:val="1212"/>
    <w:link w:val="976"/>
    <w:qFormat/>
    <w:pPr>
      <w:jc w:val="both"/>
      <w:widowControl w:val="off"/>
    </w:pPr>
    <w:tblPr/>
  </w:style>
  <w:style w:type="character" w:styleId="1213">
    <w:name w:val="要点1"/>
    <w:next w:val="1213"/>
    <w:link w:val="976"/>
    <w:uiPriority w:val="22"/>
    <w:qFormat/>
    <w:rPr>
      <w:b/>
      <w:bCs/>
    </w:rPr>
  </w:style>
  <w:style w:type="character" w:styleId="1214">
    <w:name w:val="页码1"/>
    <w:next w:val="1214"/>
    <w:link w:val="976"/>
    <w:qFormat/>
  </w:style>
  <w:style w:type="character" w:styleId="1215">
    <w:name w:val="已访问的超链接1"/>
    <w:next w:val="1215"/>
    <w:link w:val="976"/>
    <w:qFormat/>
    <w:rPr>
      <w:color w:val="800080"/>
      <w:u w:val="single"/>
    </w:rPr>
  </w:style>
  <w:style w:type="character" w:styleId="1216">
    <w:name w:val="超链接1"/>
    <w:next w:val="1216"/>
    <w:link w:val="976"/>
    <w:qFormat/>
    <w:rPr>
      <w:color w:val="0000ff"/>
      <w:u w:val="single"/>
    </w:rPr>
  </w:style>
  <w:style w:type="character" w:styleId="1217">
    <w:name w:val="批注引用1"/>
    <w:next w:val="1217"/>
    <w:link w:val="976"/>
    <w:uiPriority w:val="99"/>
    <w:qFormat/>
    <w:rPr>
      <w:sz w:val="21"/>
      <w:szCs w:val="21"/>
    </w:rPr>
  </w:style>
  <w:style w:type="paragraph" w:styleId="1218">
    <w:name w:val="正文1"/>
    <w:next w:val="1218"/>
    <w:link w:val="976"/>
    <w:uiPriority w:val="99"/>
    <w:qFormat/>
    <w:pPr>
      <w:ind w:firstLine="200"/>
      <w:spacing w:before="120" w:after="120" w:line="180" w:lineRule="auto"/>
    </w:pPr>
    <w:rPr>
      <w:rFonts w:ascii="Times New Roman" w:hAnsi="Times New Roman" w:eastAsia="宋体" w:cs="Calibri"/>
      <w:sz w:val="21"/>
      <w:szCs w:val="21"/>
      <w:lang w:val="en-US" w:eastAsia="zh-CN" w:bidi="ar-SA"/>
    </w:rPr>
  </w:style>
  <w:style w:type="paragraph" w:styleId="1219">
    <w:name w:val="一级条标题"/>
    <w:basedOn w:val="1220"/>
    <w:next w:val="1221"/>
    <w:link w:val="97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0">
    <w:name w:val="章标题"/>
    <w:next w:val="976"/>
    <w:link w:val="976"/>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221">
    <w:name w:val="段"/>
    <w:next w:val="976"/>
    <w:link w:val="976"/>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1222">
    <w:name w:val="Default"/>
    <w:next w:val="1222"/>
    <w:link w:val="976"/>
    <w:qFormat/>
    <w:pPr>
      <w:widowControl w:val="off"/>
    </w:pPr>
    <w:rPr>
      <w:rFonts w:ascii="宋体" w:hAnsi="Times New Roman" w:eastAsia="宋体" w:cs="宋体"/>
      <w:color w:val="000000"/>
      <w:sz w:val="24"/>
      <w:szCs w:val="24"/>
      <w:lang w:val="en-US" w:eastAsia="zh-CN" w:bidi="ar-SA"/>
    </w:rPr>
  </w:style>
  <w:style w:type="paragraph" w:styleId="1223">
    <w:name w:val="BodyText1I1"/>
    <w:basedOn w:val="1224"/>
    <w:next w:val="1223"/>
    <w:link w:val="976"/>
    <w:qFormat/>
    <w:pPr>
      <w:ind w:firstLine="420"/>
    </w:pPr>
  </w:style>
  <w:style w:type="paragraph" w:styleId="1224">
    <w:name w:val="BodyText1"/>
    <w:basedOn w:val="976"/>
    <w:next w:val="1224"/>
    <w:link w:val="976"/>
    <w:qFormat/>
    <w:pPr>
      <w:spacing w:after="120"/>
    </w:pPr>
    <w:rPr>
      <w:sz w:val="20"/>
    </w:rPr>
  </w:style>
  <w:style w:type="paragraph" w:styleId="1225">
    <w:name w:val="BioQuote Tekst"/>
    <w:basedOn w:val="976"/>
    <w:next w:val="1225"/>
    <w:link w:val="976"/>
    <w:qFormat/>
    <w:pPr>
      <w:ind w:right="-1"/>
    </w:pPr>
    <w:rPr>
      <w:rFonts w:ascii="Arial" w:hAnsi="Arial"/>
      <w:sz w:val="22"/>
      <w:szCs w:val="20"/>
      <w:lang w:eastAsia="en-US"/>
    </w:rPr>
  </w:style>
  <w:style w:type="paragraph" w:styleId="1226">
    <w:name w:val="第四级"/>
    <w:basedOn w:val="976"/>
    <w:next w:val="976"/>
    <w:link w:val="976"/>
    <w:qFormat/>
    <w:pPr>
      <w:numPr>
        <w:ilvl w:val="3"/>
        <w:numId w:val="1"/>
      </w:numPr>
      <w:spacing w:line="360" w:lineRule="auto"/>
      <w:tabs>
        <w:tab w:val="left" w:pos="1134" w:leader="none"/>
      </w:tabs>
    </w:pPr>
    <w:rPr>
      <w:rFonts w:ascii="宋体" w:hAnsi="宋体" w:eastAsia="仿宋"/>
      <w:sz w:val="28"/>
      <w:szCs w:val="21"/>
    </w:rPr>
  </w:style>
  <w:style w:type="paragraph" w:styleId="1227">
    <w:name w:val="Char"/>
    <w:basedOn w:val="976"/>
    <w:next w:val="1227"/>
    <w:link w:val="976"/>
    <w:qFormat/>
    <w:pPr>
      <w:tabs>
        <w:tab w:val="left" w:pos="360" w:leader="none"/>
      </w:tabs>
    </w:pPr>
    <w:rPr>
      <w:sz w:val="24"/>
    </w:rPr>
  </w:style>
  <w:style w:type="paragraph" w:styleId="1228">
    <w:name w:val="_Style 50"/>
    <w:next w:val="1228"/>
    <w:link w:val="976"/>
    <w:uiPriority w:val="99"/>
    <w:semiHidden/>
    <w:qFormat/>
    <w:rPr>
      <w:rFonts w:ascii="Times New Roman" w:hAnsi="Times New Roman" w:eastAsia="宋体" w:cs="Times New Roman"/>
      <w:sz w:val="21"/>
      <w:szCs w:val="24"/>
      <w:lang w:val="en-US" w:eastAsia="zh-CN" w:bidi="ar-SA"/>
    </w:rPr>
  </w:style>
  <w:style w:type="paragraph" w:styleId="1229">
    <w:name w:val="Char Char Char Char"/>
    <w:basedOn w:val="1176"/>
    <w:next w:val="1229"/>
    <w:link w:val="976"/>
    <w:qFormat/>
    <w:pPr>
      <w:spacing w:line="360" w:lineRule="auto"/>
    </w:pPr>
    <w:rPr>
      <w:rFonts w:ascii="Tahoma" w:hAnsi="Tahoma"/>
      <w:sz w:val="24"/>
    </w:rPr>
  </w:style>
  <w:style w:type="paragraph" w:styleId="1230">
    <w:name w:val="正文-首行缩进2字符"/>
    <w:basedOn w:val="976"/>
    <w:next w:val="1230"/>
    <w:link w:val="976"/>
    <w:qFormat/>
    <w:pPr>
      <w:ind w:firstLine="200"/>
    </w:pPr>
    <w:rPr>
      <w:rFonts w:ascii="仿宋_GB2312" w:hAnsi="仿宋_GB2312" w:eastAsia="仿宋_GB2312" w:cs="仿宋_GB2312"/>
    </w:rPr>
  </w:style>
  <w:style w:type="paragraph" w:styleId="1231">
    <w:name w:val="国图标题3"/>
    <w:basedOn w:val="1169"/>
    <w:next w:val="1231"/>
    <w:link w:val="976"/>
    <w:qFormat/>
    <w:pPr>
      <w:numPr>
        <w:ilvl w:val="2"/>
        <w:numId w:val="2"/>
      </w:numPr>
      <w:spacing w:before="120" w:after="120" w:line="360" w:lineRule="auto"/>
      <w:tabs>
        <w:tab w:val="left" w:pos="1418" w:leader="none"/>
      </w:tabs>
    </w:pPr>
    <w:rPr>
      <w:szCs w:val="28"/>
    </w:rPr>
  </w:style>
  <w:style w:type="paragraph" w:styleId="1232">
    <w:name w:val="国图正文小四"/>
    <w:next w:val="1232"/>
    <w:link w:val="976"/>
    <w:uiPriority w:val="99"/>
    <w:qFormat/>
    <w:pPr>
      <w:ind w:firstLine="420"/>
      <w:jc w:val="both"/>
      <w:spacing w:line="360" w:lineRule="auto"/>
      <w:widowControl w:val="off"/>
    </w:pPr>
    <w:rPr>
      <w:rFonts w:ascii="Times New Roman" w:hAnsi="Times New Roman" w:eastAsia="宋体" w:cs="Times New Roman"/>
      <w:sz w:val="24"/>
      <w:szCs w:val="24"/>
      <w:lang w:val="en-US" w:eastAsia="zh-CN" w:bidi="ar-SA"/>
    </w:rPr>
  </w:style>
  <w:style w:type="paragraph" w:styleId="1233">
    <w:name w:val="正文 第一章"/>
    <w:basedOn w:val="976"/>
    <w:next w:val="1234"/>
    <w:link w:val="976"/>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234">
    <w:name w:val="正文 1.1"/>
    <w:basedOn w:val="976"/>
    <w:next w:val="1235"/>
    <w:link w:val="976"/>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235">
    <w:name w:val="正文 1.1.1"/>
    <w:basedOn w:val="976"/>
    <w:next w:val="976"/>
    <w:link w:val="976"/>
    <w:qFormat/>
    <w:pPr>
      <w:numPr>
        <w:ilvl w:val="2"/>
        <w:numId w:val="1"/>
      </w:numPr>
      <w:spacing w:line="360" w:lineRule="auto"/>
      <w:tabs>
        <w:tab w:val="left" w:pos="851" w:leader="none"/>
      </w:tabs>
      <w:outlineLvl w:val="2"/>
    </w:pPr>
    <w:rPr>
      <w:rFonts w:ascii="宋体" w:hAnsi="宋体"/>
      <w:color w:val="000000"/>
      <w:sz w:val="28"/>
      <w:szCs w:val="21"/>
    </w:rPr>
  </w:style>
  <w:style w:type="paragraph" w:styleId="1236">
    <w:name w:val="附录1"/>
    <w:next w:val="1236"/>
    <w:link w:val="976"/>
    <w:qFormat/>
    <w:pPr>
      <w:numPr>
        <w:ilvl w:val="0"/>
        <w:numId w:val="3"/>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37">
    <w:name w:val="正文空2格  1."/>
    <w:basedOn w:val="976"/>
    <w:next w:val="1237"/>
    <w:link w:val="976"/>
    <w:qFormat/>
    <w:pPr>
      <w:ind w:firstLine="480"/>
      <w:spacing w:line="360" w:lineRule="auto"/>
    </w:pPr>
    <w:rPr>
      <w:rFonts w:ascii="宋体" w:eastAsia="仿宋" w:cs="宋体"/>
      <w:sz w:val="28"/>
      <w:szCs w:val="20"/>
    </w:rPr>
  </w:style>
  <w:style w:type="paragraph" w:styleId="1238">
    <w:name w:val="Char Char Char Char1 Char Char Char"/>
    <w:basedOn w:val="1176"/>
    <w:next w:val="1238"/>
    <w:link w:val="976"/>
    <w:qFormat/>
    <w:pPr>
      <w:spacing w:line="360" w:lineRule="auto"/>
    </w:pPr>
    <w:rPr>
      <w:rFonts w:ascii="Tahoma" w:hAnsi="Tahoma"/>
      <w:sz w:val="24"/>
    </w:rPr>
  </w:style>
  <w:style w:type="paragraph" w:styleId="1239">
    <w:name w:val="Char Char Char Char1 Char Char"/>
    <w:basedOn w:val="976"/>
    <w:next w:val="1239"/>
    <w:link w:val="976"/>
    <w:qFormat/>
    <w:pPr>
      <w:tabs>
        <w:tab w:val="left" w:pos="360" w:leader="none"/>
      </w:tabs>
    </w:pPr>
    <w:rPr>
      <w:sz w:val="24"/>
    </w:rPr>
  </w:style>
  <w:style w:type="paragraph" w:styleId="1240">
    <w:name w:val="Char1"/>
    <w:basedOn w:val="976"/>
    <w:next w:val="1240"/>
    <w:link w:val="976"/>
    <w:qFormat/>
    <w:pPr>
      <w:tabs>
        <w:tab w:val="left" w:pos="360" w:leader="none"/>
      </w:tabs>
    </w:pPr>
    <w:rPr>
      <w:sz w:val="24"/>
    </w:rPr>
  </w:style>
  <w:style w:type="paragraph" w:styleId="1241">
    <w:name w:val="标书正文格式"/>
    <w:next w:val="1241"/>
    <w:link w:val="976"/>
    <w:qFormat/>
    <w:pPr>
      <w:ind w:firstLine="200"/>
      <w:spacing w:line="360" w:lineRule="auto"/>
    </w:pPr>
    <w:rPr>
      <w:rFonts w:ascii="Times New Roman" w:hAnsi="Times New Roman" w:eastAsia="楷体_GB2312" w:cs="Times New Roman"/>
      <w:sz w:val="24"/>
      <w:szCs w:val="24"/>
      <w:lang w:val="en-US" w:eastAsia="zh-CN" w:bidi="ar-SA"/>
    </w:rPr>
  </w:style>
  <w:style w:type="paragraph" w:styleId="1242">
    <w:name w:val="HTML 预先格式化"/>
    <w:basedOn w:val="976"/>
    <w:next w:val="1242"/>
    <w:link w:val="97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43">
    <w:name w:val="列出段落1"/>
    <w:basedOn w:val="976"/>
    <w:next w:val="1243"/>
    <w:link w:val="1244"/>
    <w:qFormat/>
    <w:pPr>
      <w:contextualSpacing/>
      <w:ind w:left="720"/>
      <w:jc w:val="left"/>
      <w:widowControl/>
    </w:pPr>
    <w:rPr>
      <w:sz w:val="24"/>
      <w:lang w:eastAsia="en-US" w:bidi="en-US"/>
    </w:rPr>
  </w:style>
  <w:style w:type="character" w:styleId="1244">
    <w:name w:val="列出段落 Char"/>
    <w:next w:val="1244"/>
    <w:link w:val="1243"/>
    <w:qFormat/>
    <w:rPr>
      <w:rFonts w:ascii="Calibri" w:hAnsi="Calibri"/>
      <w:sz w:val="24"/>
      <w:szCs w:val="24"/>
      <w:lang w:eastAsia="en-US" w:bidi="en-US"/>
    </w:rPr>
  </w:style>
  <w:style w:type="paragraph" w:styleId="1245">
    <w:name w:val="Coms Alinea"/>
    <w:next w:val="1245"/>
    <w:link w:val="976"/>
    <w:qFormat/>
    <w:pPr>
      <w:widowControl w:val="off"/>
    </w:pPr>
    <w:rPr>
      <w:rFonts w:ascii="Arial" w:hAnsi="Arial" w:eastAsia="宋体" w:cs="Arial"/>
      <w:lang w:val="en-US" w:eastAsia="zh-CN" w:bidi="ar-SA"/>
    </w:rPr>
  </w:style>
  <w:style w:type="paragraph" w:styleId="1246">
    <w:name w:val="标题3"/>
    <w:basedOn w:val="976"/>
    <w:next w:val="976"/>
    <w:link w:val="976"/>
    <w:qFormat/>
    <w:rPr>
      <w:rFonts w:eastAsia="方正黑体_GBK"/>
    </w:rPr>
  </w:style>
  <w:style w:type="paragraph" w:styleId="1247">
    <w:name w:val="标题2"/>
    <w:basedOn w:val="976"/>
    <w:next w:val="976"/>
    <w:link w:val="976"/>
    <w:qFormat/>
    <w:pPr>
      <w:jc w:val="center"/>
    </w:pPr>
    <w:rPr>
      <w:rFonts w:eastAsia="方正楷体_GBK"/>
    </w:rPr>
  </w:style>
  <w:style w:type="paragraph" w:styleId="1248">
    <w:name w:val="普通正文"/>
    <w:basedOn w:val="976"/>
    <w:next w:val="1248"/>
    <w:link w:val="976"/>
    <w:qFormat/>
    <w:pPr>
      <w:ind w:firstLine="480"/>
      <w:jc w:val="left"/>
      <w:spacing w:before="120" w:after="120" w:line="360" w:lineRule="auto"/>
    </w:pPr>
    <w:rPr>
      <w:rFonts w:ascii="Arial" w:hAnsi="Arial"/>
      <w:sz w:val="24"/>
    </w:rPr>
  </w:style>
  <w:style w:type="paragraph" w:styleId="1249">
    <w:name w:val="Char2"/>
    <w:basedOn w:val="976"/>
    <w:next w:val="1249"/>
    <w:link w:val="976"/>
    <w:qFormat/>
    <w:rPr>
      <w:rFonts w:ascii="Tahoma" w:hAnsi="Tahoma"/>
      <w:sz w:val="24"/>
      <w:szCs w:val="20"/>
    </w:rPr>
  </w:style>
  <w:style w:type="paragraph" w:styleId="1250">
    <w:name w:val="xl47"/>
    <w:basedOn w:val="976"/>
    <w:next w:val="1250"/>
    <w:link w:val="976"/>
    <w:qFormat/>
    <w:pPr>
      <w:jc w:val="center"/>
      <w:spacing w:before="100" w:beforeAutospacing="1" w:after="100" w:afterAutospacing="1"/>
      <w:widowControl/>
    </w:pPr>
    <w:rPr>
      <w:rFonts w:hint="eastAsia" w:ascii="方正姚体" w:hAnsi="宋体" w:eastAsia="方正姚体"/>
      <w:b/>
      <w:bCs/>
      <w:sz w:val="36"/>
      <w:szCs w:val="36"/>
    </w:rPr>
  </w:style>
  <w:style w:type="paragraph" w:styleId="1251">
    <w:name w:val="Table Text"/>
    <w:next w:val="1251"/>
    <w:link w:val="976"/>
    <w:qFormat/>
    <w:pPr>
      <w:jc w:val="center"/>
      <w:spacing w:after="80"/>
    </w:pPr>
    <w:rPr>
      <w:rFonts w:ascii="仿宋_GB2312" w:hAnsi="宋体" w:eastAsia="仿宋_GB2312" w:cs="Times New Roman"/>
      <w:sz w:val="24"/>
      <w:lang w:val="en-US" w:eastAsia="zh-CN" w:bidi="ar-SA"/>
    </w:rPr>
  </w:style>
  <w:style w:type="paragraph" w:styleId="1252">
    <w:name w:val="标题1"/>
    <w:basedOn w:val="976"/>
    <w:next w:val="976"/>
    <w:link w:val="976"/>
    <w:qFormat/>
    <w:pPr>
      <w:jc w:val="center"/>
      <w:spacing w:line="700" w:lineRule="atLeast"/>
      <w:tabs>
        <w:tab w:val="left" w:pos="9193" w:leader="none"/>
        <w:tab w:val="left" w:pos="9827" w:leader="none"/>
      </w:tabs>
    </w:pPr>
    <w:rPr>
      <w:rFonts w:eastAsia="方正小标宋_GBK"/>
      <w:sz w:val="44"/>
    </w:rPr>
  </w:style>
  <w:style w:type="paragraph" w:styleId="1253">
    <w:name w:val="正文缩进2"/>
    <w:basedOn w:val="976"/>
    <w:next w:val="1253"/>
    <w:link w:val="976"/>
    <w:qFormat/>
    <w:pPr>
      <w:ind w:firstLine="540"/>
    </w:pPr>
    <w:rPr>
      <w:rFonts w:ascii="仿宋_GB2312" w:eastAsia="仿宋_GB2312"/>
      <w:sz w:val="28"/>
      <w:lang w:val="zh-CN"/>
    </w:rPr>
  </w:style>
  <w:style w:type="paragraph" w:styleId="1254">
    <w:name w:val="列出段落"/>
    <w:basedOn w:val="976"/>
    <w:next w:val="1254"/>
    <w:link w:val="976"/>
    <w:qFormat/>
    <w:pPr>
      <w:ind w:firstLine="420"/>
    </w:pPr>
    <w:rPr>
      <w:rFonts w:ascii="Calibri" w:hAnsi="Calibri"/>
      <w:szCs w:val="22"/>
    </w:rPr>
  </w:style>
  <w:style w:type="paragraph" w:styleId="1255">
    <w:name w:val="默认段落字体 Para Char Char Char Char Char Char Char Char Char1 Char Char Char Char Char Char Char"/>
    <w:basedOn w:val="1176"/>
    <w:next w:val="1255"/>
    <w:link w:val="976"/>
    <w:qFormat/>
    <w:rPr>
      <w:rFonts w:ascii="Tahoma" w:hAnsi="Tahoma"/>
      <w:sz w:val="24"/>
    </w:rPr>
  </w:style>
  <w:style w:type="paragraph" w:styleId="1256">
    <w:name w:val="国图标题4"/>
    <w:basedOn w:val="1170"/>
    <w:next w:val="1256"/>
    <w:link w:val="976"/>
    <w:qFormat/>
    <w:pPr>
      <w:numPr>
        <w:ilvl w:val="3"/>
        <w:numId w:val="2"/>
      </w:numPr>
      <w:spacing w:line="360" w:lineRule="auto"/>
      <w:tabs>
        <w:tab w:val="left" w:pos="900" w:leader="none"/>
        <w:tab w:val="left" w:pos="2356" w:leader="none"/>
      </w:tabs>
    </w:pPr>
    <w:rPr>
      <w:rFonts w:ascii="宋体" w:hAnsi="宋体"/>
      <w:sz w:val="24"/>
    </w:rPr>
  </w:style>
  <w:style w:type="paragraph" w:styleId="1257">
    <w:name w:val="正文2"/>
    <w:basedOn w:val="976"/>
    <w:next w:val="1257"/>
    <w:link w:val="976"/>
    <w:qFormat/>
    <w:pPr>
      <w:ind w:firstLine="420"/>
    </w:pPr>
    <w:rPr>
      <w:sz w:val="28"/>
    </w:rPr>
  </w:style>
  <w:style w:type="character" w:styleId="1258">
    <w:name w:val="jj1"/>
    <w:next w:val="1258"/>
    <w:link w:val="976"/>
    <w:qFormat/>
    <w:rPr>
      <w:sz w:val="20"/>
      <w:szCs w:val="20"/>
      <w:u w:val="none"/>
    </w:rPr>
  </w:style>
  <w:style w:type="character" w:styleId="1259">
    <w:name w:val="标题2 Char"/>
    <w:next w:val="1259"/>
    <w:link w:val="976"/>
    <w:qFormat/>
    <w:rPr>
      <w:rFonts w:ascii="方正楷体_GBK" w:hAnsi="Book Antiqua" w:eastAsia="方正楷体_GBK"/>
      <w:sz w:val="32"/>
      <w:lang w:val="en-US" w:eastAsia="zh-CN" w:bidi="ar-SA"/>
    </w:rPr>
  </w:style>
  <w:style w:type="character" w:styleId="1260">
    <w:name w:val="NormalCharacter1"/>
    <w:next w:val="1260"/>
    <w:link w:val="976"/>
    <w:qFormat/>
    <w:rPr>
      <w:sz w:val="21"/>
      <w:szCs w:val="22"/>
      <w:lang w:val="en-US" w:eastAsia="zh-CN" w:bidi="ar-SA"/>
    </w:rPr>
  </w:style>
  <w:style w:type="paragraph" w:styleId="1261">
    <w:name w:val="二级标题2"/>
    <w:basedOn w:val="1168"/>
    <w:next w:val="1181"/>
    <w:link w:val="976"/>
    <w:qFormat/>
    <w:pPr>
      <w:jc w:val="both"/>
      <w:spacing w:before="0" w:after="0" w:line="360" w:lineRule="auto"/>
    </w:pPr>
    <w:rPr>
      <w:rFonts w:ascii="华文中宋" w:hAnsi="华文中宋" w:eastAsia="华文中宋"/>
      <w:bCs/>
      <w:sz w:val="24"/>
      <w:szCs w:val="24"/>
    </w:rPr>
  </w:style>
  <w:style w:type="paragraph" w:styleId="1262">
    <w:name w:val="表格"/>
    <w:basedOn w:val="976"/>
    <w:next w:val="1262"/>
    <w:link w:val="976"/>
    <w:qFormat/>
    <w:pPr>
      <w:jc w:val="center"/>
      <w:spacing w:line="360" w:lineRule="exact"/>
    </w:pPr>
    <w:rPr>
      <w:rFonts w:ascii="Calibri" w:hAnsi="Calibri"/>
      <w:sz w:val="28"/>
      <w:szCs w:val="21"/>
    </w:rPr>
  </w:style>
  <w:style w:type="paragraph" w:styleId="1263">
    <w:name w:val="WPSOffice手动目录 1"/>
    <w:next w:val="1263"/>
    <w:link w:val="976"/>
    <w:qFormat/>
    <w:rPr>
      <w:rFonts w:ascii="Times New Roman" w:hAnsi="Times New Roman" w:eastAsia="宋体" w:cs="Times New Roman"/>
      <w:lang w:val="en-US" w:eastAsia="zh-CN" w:bidi="ar-SA"/>
    </w:rPr>
  </w:style>
  <w:style w:type="paragraph" w:styleId="1264">
    <w:name w:val="NormalIndent1"/>
    <w:basedOn w:val="976"/>
    <w:next w:val="1264"/>
    <w:link w:val="976"/>
    <w:qFormat/>
    <w:pPr>
      <w:ind w:firstLine="420"/>
    </w:pPr>
  </w:style>
  <w:style w:type="paragraph" w:styleId="1265">
    <w:name w:val="普通(网站)1"/>
    <w:basedOn w:val="976"/>
    <w:next w:val="1265"/>
    <w:link w:val="976"/>
    <w:uiPriority w:val="99"/>
    <w:qFormat/>
    <w:pPr>
      <w:jc w:val="left"/>
      <w:spacing w:before="100" w:beforeAutospacing="1" w:after="100" w:afterAutospacing="1"/>
      <w:widowControl/>
    </w:pPr>
    <w:rPr>
      <w:rFonts w:ascii="宋体" w:hAnsi="宋体" w:cs="宋体"/>
      <w:sz w:val="24"/>
    </w:rPr>
  </w:style>
  <w:style w:type="paragraph" w:styleId="1266">
    <w:name w:val="首行缩进"/>
    <w:basedOn w:val="976"/>
    <w:next w:val="1266"/>
    <w:link w:val="976"/>
    <w:qFormat/>
    <w:pPr>
      <w:ind w:firstLine="480"/>
      <w:spacing w:line="360" w:lineRule="auto"/>
    </w:pPr>
    <w:rPr>
      <w:rFonts w:ascii="宋体" w:hAnsi="宋体" w:cs="宋体"/>
      <w:sz w:val="24"/>
    </w:rPr>
  </w:style>
  <w:style w:type="paragraph" w:styleId="1267">
    <w:name w:val="页脚1"/>
    <w:basedOn w:val="976"/>
    <w:next w:val="1267"/>
    <w:link w:val="1268"/>
    <w:uiPriority w:val="99"/>
    <w:unhideWhenUsed/>
    <w:qFormat/>
    <w:pPr>
      <w:tabs>
        <w:tab w:val="center" w:pos="7143" w:leader="none"/>
        <w:tab w:val="right" w:pos="14287" w:leader="none"/>
      </w:tabs>
    </w:pPr>
  </w:style>
  <w:style w:type="character" w:styleId="1268">
    <w:name w:val="Footer Char"/>
    <w:next w:val="1268"/>
    <w:link w:val="1267"/>
    <w:uiPriority w:val="99"/>
    <w:qFormat/>
    <w:rPr>
      <w:sz w:val="21"/>
      <w:szCs w:val="24"/>
    </w:rPr>
  </w:style>
  <w:style w:type="character" w:styleId="1269">
    <w:name w:val="custom-tag-placeholder-class"/>
    <w:next w:val="1269"/>
    <w:link w:val="976"/>
    <w:qFormat/>
  </w:style>
  <w:style w:type="paragraph" w:styleId="1270">
    <w:name w:val="L1"/>
    <w:basedOn w:val="976"/>
    <w:next w:val="1270"/>
    <w:link w:val="976"/>
    <w:qFormat/>
    <w:pPr>
      <w:ind w:firstLine="632"/>
      <w:jc w:val="left"/>
      <w:spacing w:line="570" w:lineRule="exact"/>
      <w:outlineLvl w:val="0"/>
    </w:pPr>
    <w:rPr>
      <w:rFonts w:ascii="方正黑体_GBK" w:hAnsi="仿宋" w:eastAsia="方正黑体_GBK" w:cs="黑体"/>
      <w:sz w:val="32"/>
      <w:szCs w:val="36"/>
    </w:rPr>
  </w:style>
  <w:style w:type="paragraph" w:styleId="1271">
    <w:name w:val="L2"/>
    <w:basedOn w:val="976"/>
    <w:next w:val="1271"/>
    <w:link w:val="976"/>
    <w:qFormat/>
    <w:pPr>
      <w:ind w:firstLine="632"/>
      <w:jc w:val="left"/>
      <w:spacing w:line="570" w:lineRule="exact"/>
      <w:outlineLvl w:val="1"/>
    </w:pPr>
    <w:rPr>
      <w:rFonts w:ascii="方正楷体_GBK" w:hAnsi="仿宋" w:eastAsia="方正楷体_GBK" w:cs="黑体"/>
      <w:sz w:val="32"/>
      <w:szCs w:val="36"/>
    </w:rPr>
  </w:style>
  <w:style w:type="paragraph" w:styleId="1272">
    <w:name w:val="L3"/>
    <w:basedOn w:val="976"/>
    <w:next w:val="1272"/>
    <w:link w:val="976"/>
    <w:qFormat/>
    <w:pPr>
      <w:ind w:firstLine="634"/>
      <w:jc w:val="left"/>
      <w:spacing w:line="570" w:lineRule="exact"/>
      <w:outlineLvl w:val="2"/>
    </w:pPr>
    <w:rPr>
      <w:rFonts w:ascii="方正仿宋_GBK" w:hAnsi="仿宋" w:eastAsia="方正仿宋_GBK" w:cs="黑体"/>
      <w:b/>
      <w:bCs/>
      <w:sz w:val="32"/>
      <w:szCs w:val="36"/>
    </w:rPr>
  </w:style>
  <w:style w:type="paragraph" w:styleId="1273">
    <w:name w:val="L正文"/>
    <w:basedOn w:val="976"/>
    <w:next w:val="1273"/>
    <w:link w:val="976"/>
    <w:qFormat/>
    <w:pPr>
      <w:ind w:firstLine="632"/>
      <w:jc w:val="left"/>
      <w:spacing w:line="570" w:lineRule="exact"/>
    </w:pPr>
    <w:rPr>
      <w:rFonts w:ascii="方正仿宋_GBK" w:hAnsi="仿宋" w:eastAsia="方正仿宋_GBK" w:cs="黑体"/>
      <w:sz w:val="32"/>
      <w:szCs w:val="36"/>
    </w:rPr>
  </w:style>
  <w:style w:type="paragraph" w:styleId="1274">
    <w:name w:val="纯文本1"/>
    <w:basedOn w:val="976"/>
    <w:next w:val="1274"/>
    <w:link w:val="976"/>
    <w:qFormat/>
    <w:rPr>
      <w:rFonts w:hint="eastAsia" w:ascii="宋体" w:hAnsi="Courier New"/>
      <w:szCs w:val="20"/>
    </w:rPr>
  </w:style>
  <w:style w:type="paragraph" w:styleId="1275">
    <w:name w:val="_Style 7"/>
    <w:basedOn w:val="976"/>
    <w:next w:val="1254"/>
    <w:link w:val="976"/>
    <w:uiPriority w:val="34"/>
    <w:qFormat/>
    <w:pPr>
      <w:ind w:firstLine="420"/>
    </w:pPr>
  </w:style>
  <w:style w:type="paragraph" w:styleId="1276">
    <w:name w:val="Heading #2|1"/>
    <w:basedOn w:val="976"/>
    <w:next w:val="1276"/>
    <w:link w:val="976"/>
    <w:qFormat/>
    <w:pPr>
      <w:jc w:val="center"/>
      <w:spacing w:before="60" w:after="360"/>
      <w:outlineLvl w:val="1"/>
    </w:pPr>
    <w:rPr>
      <w:rFonts w:ascii="宋体" w:hAnsi="宋体" w:cs="宋体"/>
      <w:sz w:val="42"/>
      <w:szCs w:val="42"/>
    </w:rPr>
  </w:style>
  <w:style w:type="paragraph" w:styleId="1277">
    <w:name w:val="Body text|1"/>
    <w:basedOn w:val="976"/>
    <w:next w:val="1277"/>
    <w:link w:val="976"/>
    <w:qFormat/>
    <w:pPr>
      <w:ind w:firstLine="400"/>
      <w:spacing w:line="460" w:lineRule="auto"/>
    </w:pPr>
    <w:rPr>
      <w:rFonts w:ascii="宋体" w:hAnsi="宋体" w:cs="宋体"/>
      <w:sz w:val="22"/>
      <w:szCs w:val="22"/>
    </w:rPr>
  </w:style>
  <w:style w:type="paragraph" w:styleId="1278">
    <w:name w:val="Table Paragraph"/>
    <w:basedOn w:val="976"/>
    <w:next w:val="1278"/>
    <w:link w:val="976"/>
    <w:uiPriority w:val="1"/>
    <w:qFormat/>
  </w:style>
  <w:style w:type="paragraph" w:styleId="1279">
    <w:name w:val="列出段落3"/>
    <w:basedOn w:val="976"/>
    <w:next w:val="1279"/>
    <w:link w:val="976"/>
    <w:qFormat/>
    <w:pPr>
      <w:ind w:firstLine="420"/>
    </w:pPr>
    <w:rPr>
      <w:szCs w:val="20"/>
    </w:rPr>
  </w:style>
  <w:style w:type="character" w:styleId="10680" w:default="1">
    <w:name w:val="Default Paragraph Font"/>
    <w:uiPriority w:val="1"/>
    <w:semiHidden/>
    <w:unhideWhenUsed/>
  </w:style>
  <w:style w:type="numbering" w:styleId="10681" w:default="1">
    <w:name w:val="No List"/>
    <w:uiPriority w:val="99"/>
    <w:semiHidden/>
    <w:unhideWhenUsed/>
  </w:style>
  <w:style w:type="table" w:styleId="106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image" Target="media/image1.wmf"/><Relationship Id="rId22" Type="http://schemas.openxmlformats.org/officeDocument/2006/relationships/image" Target="media/image2.wmf"/><Relationship Id="rId23" Type="http://schemas.openxmlformats.org/officeDocument/2006/relationships/image" Target="media/image3.wmf"/><Relationship Id="rId24"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标准化</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顾</dc:creator>
  <cp:lastModifiedBy>韩磊</cp:lastModifiedBy>
  <cp:revision>8</cp:revision>
  <dcterms:created xsi:type="dcterms:W3CDTF">2025-06-18T00:53:00Z</dcterms:created>
  <dcterms:modified xsi:type="dcterms:W3CDTF">2025-11-18T03:18:44Z</dcterms:modified>
</cp:coreProperties>
</file>