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656"/>
        <w:spacing w:before="120" w:beforeAutospacing="0" w:after="120" w:afterAutospacing="0" w:line="360" w:lineRule="auto"/>
        <w:rPr>
          <w:color w:val="000000"/>
          <w:highlight w:val="none"/>
        </w:rPr>
      </w:pPr>
      <w:r>
        <w:rPr>
          <w:color w:val="000000"/>
          <w:highlight w:val="none"/>
        </w:rPr>
        <w:t xml:space="preserve"> </w:t>
      </w:r>
      <w:r/>
    </w:p>
    <w:p>
      <w:pPr>
        <w:pStyle w:val="1656"/>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1656"/>
        <w:jc w:val="center"/>
        <w:spacing w:before="120" w:beforeAutospacing="0" w:after="120" w:afterAutospacing="0" w:line="360" w:lineRule="auto"/>
        <w:rPr>
          <w:color w:val="000000"/>
          <w:highlight w:val="none"/>
        </w:rPr>
      </w:pPr>
      <w:r>
        <w:rPr>
          <w:rFonts w:ascii="Arial" w:hAnsi="Arial" w:cs="Arial"/>
          <w:b/>
          <w:color w:val="000000"/>
          <w:sz w:val="84"/>
          <w:szCs w:val="84"/>
          <w:highlight w:val="none"/>
        </w:rPr>
        <w:t xml:space="preserve">招 标 文 件</w:t>
      </w:r>
      <w:r/>
    </w:p>
    <w:p>
      <w:pPr>
        <w:pStyle w:val="1656"/>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656"/>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1656"/>
        <w:jc w:val="center"/>
        <w:spacing w:before="120" w:beforeAutospacing="0" w:after="120" w:afterAutospacing="0" w:line="360" w:lineRule="auto"/>
        <w:rPr>
          <w:rFonts w:hint="eastAsia" w:ascii="Arial" w:hAnsi="Arial" w:cs="Arial"/>
          <w:b/>
          <w:color w:val="000000"/>
          <w:sz w:val="32"/>
          <w:szCs w:val="32"/>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rPr>
        <w:t xml:space="preserve">盐城市公安局大数据交通指挥中心后厨设备</w:t>
      </w:r>
      <w:r/>
    </w:p>
    <w:p>
      <w:pPr>
        <w:pStyle w:val="1656"/>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采购项目</w:t>
      </w:r>
      <w:r/>
    </w:p>
    <w:p>
      <w:pPr>
        <w:pStyle w:val="1656"/>
        <w:ind w:firstLine="321"/>
        <w:spacing w:before="120" w:beforeAutospacing="0" w:after="120" w:afterAutospacing="0" w:line="360" w:lineRule="auto"/>
        <w:rPr>
          <w:rFonts w:hint="eastAsia" w:ascii="Arial" w:hAnsi="Arial" w:cs="Arial"/>
          <w:b/>
          <w:color w:val="000000"/>
          <w:sz w:val="32"/>
          <w:szCs w:val="32"/>
          <w:highlight w:val="none"/>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rPr>
        <w:t xml:space="preserve">JSZC-320900-YCZH-G2026-0002</w:t>
      </w:r>
      <w:r/>
    </w:p>
    <w:p>
      <w:pPr>
        <w:pStyle w:val="1656"/>
        <w:spacing w:beforeAutospacing="0" w:afterAutospacing="0" w:line="360" w:lineRule="auto"/>
        <w:rPr>
          <w:rFonts w:hint="eastAsia" w:eastAsia="宋体"/>
          <w:color w:val="000000"/>
          <w:highlight w:val="none"/>
          <w:lang w:val="en-US" w:eastAsia="zh-CN"/>
        </w:rPr>
      </w:pPr>
      <w:r>
        <w:rPr>
          <w:color w:val="000000"/>
          <w:highlight w:val="none"/>
        </w:rPr>
        <w:t xml:space="preserve"> </w:t>
      </w:r>
      <w:r>
        <w:rPr>
          <w:rFonts w:hint="eastAsia"/>
          <w:color w:val="000000"/>
          <w:highlight w:val="none"/>
          <w:lang w:val="en-US" w:eastAsia="zh-CN"/>
        </w:rPr>
        <w:t xml:space="preserve"> </w:t>
      </w:r>
      <w:r/>
    </w:p>
    <w:p>
      <w:pPr>
        <w:pStyle w:val="1656"/>
        <w:spacing w:beforeAutospacing="0" w:afterAutospacing="0" w:line="360" w:lineRule="auto"/>
        <w:rPr>
          <w:color w:val="000000"/>
          <w:highlight w:val="none"/>
        </w:rPr>
      </w:pPr>
      <w:r>
        <w:rPr>
          <w:color w:val="000000"/>
          <w:highlight w:val="none"/>
        </w:rPr>
        <w:t xml:space="preserve"> </w:t>
      </w:r>
      <w:r/>
    </w:p>
    <w:p>
      <w:pPr>
        <w:pStyle w:val="1656"/>
        <w:spacing w:beforeAutospacing="0" w:afterAutospacing="0" w:line="360" w:lineRule="auto"/>
        <w:rPr>
          <w:color w:val="000000"/>
          <w:highlight w:val="none"/>
        </w:rPr>
      </w:pPr>
      <w:r>
        <w:rPr>
          <w:color w:val="000000"/>
          <w:highlight w:val="none"/>
        </w:rPr>
        <w:t xml:space="preserve"> </w:t>
      </w:r>
      <w:r/>
    </w:p>
    <w:p>
      <w:pPr>
        <w:pStyle w:val="1656"/>
        <w:spacing w:beforeAutospacing="0" w:afterAutospacing="0" w:line="360" w:lineRule="auto"/>
        <w:rPr>
          <w:color w:val="000000"/>
          <w:highlight w:val="none"/>
        </w:rPr>
      </w:pPr>
      <w:r>
        <w:rPr>
          <w:color w:val="000000"/>
          <w:highlight w:val="none"/>
        </w:rPr>
        <w:t xml:space="preserve"> </w:t>
      </w:r>
      <w:r/>
    </w:p>
    <w:p>
      <w:pPr>
        <w:pStyle w:val="1656"/>
        <w:spacing w:beforeAutospacing="0" w:afterAutospacing="0" w:line="360" w:lineRule="auto"/>
        <w:rPr>
          <w:color w:val="000000"/>
          <w:highlight w:val="none"/>
        </w:rPr>
      </w:pPr>
      <w:r>
        <w:rPr>
          <w:color w:val="000000"/>
          <w:highlight w:val="none"/>
        </w:rPr>
        <w:t xml:space="preserve"> </w:t>
      </w:r>
      <w:r/>
    </w:p>
    <w:p>
      <w:pPr>
        <w:pStyle w:val="1656"/>
        <w:spacing w:beforeAutospacing="0" w:afterAutospacing="0" w:line="360" w:lineRule="auto"/>
        <w:rPr>
          <w:color w:val="000000"/>
          <w:highlight w:val="none"/>
        </w:rPr>
      </w:pPr>
      <w:r>
        <w:rPr>
          <w:color w:val="000000"/>
          <w:highlight w:val="none"/>
        </w:rPr>
        <w:t xml:space="preserve"> </w:t>
      </w:r>
      <w:r/>
    </w:p>
    <w:p>
      <w:pPr>
        <w:pStyle w:val="1656"/>
        <w:jc w:val="center"/>
        <w:spacing w:before="120" w:beforeAutospacing="0" w:after="120" w:afterAutospacing="0" w:line="360" w:lineRule="auto"/>
        <w:rPr>
          <w:rFonts w:hint="eastAsia" w:ascii="Arial" w:hAnsi="Arial" w:cs="Arial"/>
          <w:b/>
          <w:color w:val="000000"/>
          <w:sz w:val="32"/>
          <w:szCs w:val="32"/>
          <w:highlight w:val="none"/>
        </w:rPr>
      </w:pPr>
      <w:r>
        <w:rPr>
          <w:rFonts w:hint="eastAsia" w:ascii="Arial" w:hAnsi="Arial" w:cs="Arial"/>
          <w:b/>
          <w:color w:val="000000"/>
          <w:sz w:val="32"/>
          <w:szCs w:val="32"/>
          <w:highlight w:val="none"/>
        </w:rPr>
        <w:t xml:space="preserve">盐城市公安局</w:t>
      </w:r>
      <w:r/>
    </w:p>
    <w:p>
      <w:pPr>
        <w:pStyle w:val="1656"/>
        <w:jc w:val="center"/>
        <w:spacing w:before="120" w:beforeAutospacing="0" w:after="120" w:afterAutospacing="0" w:line="360" w:lineRule="auto"/>
        <w:rPr>
          <w:rFonts w:hint="eastAsia" w:ascii="Arial" w:hAnsi="Arial" w:eastAsia="宋体" w:cs="Arial"/>
          <w:b/>
          <w:color w:val="000000"/>
          <w:sz w:val="32"/>
          <w:szCs w:val="32"/>
          <w:highlight w:val="none"/>
        </w:rPr>
      </w:pPr>
      <w:r>
        <w:rPr>
          <w:rFonts w:hint="eastAsia" w:ascii="Arial" w:hAnsi="Arial" w:eastAsia="宋体" w:cs="Arial"/>
          <w:b/>
          <w:color w:val="000000"/>
          <w:sz w:val="32"/>
          <w:szCs w:val="32"/>
          <w:highlight w:val="none"/>
        </w:rPr>
        <w:t xml:space="preserve">盐城市智禾项目管理有限公司</w:t>
      </w:r>
      <w:r/>
    </w:p>
    <w:p>
      <w:pPr>
        <w:pStyle w:val="1656"/>
        <w:jc w:val="center"/>
        <w:spacing w:before="120" w:beforeAutospacing="0" w:after="120" w:afterAutospacing="0" w:line="360" w:lineRule="auto"/>
        <w:rPr>
          <w:color w:val="000000"/>
          <w:highlight w:val="none"/>
        </w:rPr>
      </w:pPr>
      <w:r>
        <w:rPr>
          <w:rFonts w:hint="eastAsia" w:ascii="Arial" w:hAnsi="Arial" w:cs="Arial"/>
          <w:b/>
          <w:color w:val="000000"/>
          <w:sz w:val="32"/>
          <w:szCs w:val="32"/>
          <w:highlight w:val="none"/>
        </w:rPr>
        <w:t xml:space="preserve">202</w:t>
      </w:r>
      <w:r>
        <w:rPr>
          <w:rFonts w:hint="eastAsia" w:ascii="Arial" w:hAnsi="Arial" w:cs="Arial"/>
          <w:b/>
          <w:color w:val="000000"/>
          <w:sz w:val="32"/>
          <w:szCs w:val="32"/>
          <w:highlight w:val="none"/>
          <w:lang w:val="en-US" w:eastAsia="zh-CN"/>
        </w:rPr>
        <w:t xml:space="preserve">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4</w:t>
      </w:r>
      <w:r>
        <w:rPr>
          <w:rFonts w:ascii="Arial" w:hAnsi="Arial" w:cs="Arial"/>
          <w:b/>
          <w:color w:val="000000"/>
          <w:sz w:val="32"/>
          <w:szCs w:val="32"/>
          <w:highlight w:val="none"/>
        </w:rPr>
        <w:t xml:space="preserve">月</w:t>
      </w:r>
      <w:r/>
    </w:p>
    <w:p>
      <w:pPr>
        <w:pStyle w:val="1656"/>
        <w:spacing w:before="120" w:beforeAutospacing="0" w:after="120" w:afterAutospacing="0" w:line="360" w:lineRule="auto"/>
        <w:rPr>
          <w:rFonts w:hint="eastAsia" w:eastAsia="宋体"/>
          <w:color w:val="000000"/>
          <w:highlight w:val="none"/>
          <w:lang w:val="en-US" w:eastAsia="zh-CN"/>
        </w:rPr>
      </w:pPr>
      <w:r>
        <w:rPr>
          <w:rFonts w:ascii="Arial" w:hAnsi="Arial" w:cs="Arial"/>
          <w:color w:val="000000"/>
          <w:highlight w:val="none"/>
        </w:rPr>
        <w:t xml:space="preserve">                       </w:t>
      </w:r>
      <w:r/>
    </w:p>
    <w:p>
      <w:pPr>
        <w:pStyle w:val="1656"/>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513029200"/>
      <w:r/>
      <w:bookmarkStart w:id="1" w:name="_Toc20823272"/>
      <w:r/>
      <w:bookmarkStart w:id="2" w:name="_Toc523127445"/>
      <w:r/>
      <w:bookmarkStart w:id="3" w:name="_Toc479757206"/>
      <w:r/>
      <w:bookmarkStart w:id="4" w:name="_Toc120614210"/>
      <w:r/>
      <w:bookmarkStart w:id="5" w:name="_Toc16938516"/>
      <w:r/>
      <w:r/>
    </w:p>
    <w:p>
      <w:pPr>
        <w:pStyle w:val="1656"/>
        <w:jc w:val="center"/>
        <w:spacing w:beforeAutospacing="0" w:afterAutospacing="0" w:line="480" w:lineRule="auto"/>
        <w:rPr>
          <w:rFonts w:ascii="Times New Roman" w:hAnsi="Times New Roman"/>
          <w:color w:val="000000"/>
          <w:sz w:val="21"/>
          <w:szCs w:val="21"/>
          <w:highlight w:val="none"/>
        </w:rPr>
      </w:pPr>
      <w:r>
        <w:rPr>
          <w:rFonts w:ascii="Times New Roman" w:hAnsi="Times New Roman"/>
          <w:color w:val="000000"/>
          <w:sz w:val="21"/>
          <w:szCs w:val="21"/>
          <w:highlight w:val="none"/>
        </w:rPr>
      </w:r>
      <w:r/>
    </w:p>
    <w:p>
      <w:pPr>
        <w:pStyle w:val="1656"/>
        <w:jc w:val="center"/>
        <w:spacing w:beforeAutospacing="0" w:afterAutospacing="0" w:line="480" w:lineRule="auto"/>
        <w:rPr>
          <w:color w:val="000000"/>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1656"/>
        <w:jc w:val="both"/>
        <w:spacing w:beforeAutospacing="0" w:afterAutospacing="0" w:line="480" w:lineRule="auto"/>
        <w:rPr>
          <w:color w:val="000000"/>
          <w:highlight w:val="none"/>
        </w:rPr>
      </w:pPr>
      <w:r>
        <w:rPr>
          <w:color w:val="000000"/>
          <w:highlight w:val="none"/>
        </w:rPr>
        <w:t xml:space="preserve"> </w:t>
      </w:r>
      <w:r/>
    </w:p>
    <w:p>
      <w:pPr>
        <w:pStyle w:val="1656"/>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招标公告……………………………………3</w:t>
      </w:r>
      <w:r/>
    </w:p>
    <w:p>
      <w:pPr>
        <w:pStyle w:val="1656"/>
        <w:ind w:left="2160" w:hanging="1440"/>
        <w:jc w:val="both"/>
        <w:spacing w:beforeAutospacing="0" w:afterAutospacing="0" w:line="480" w:lineRule="auto"/>
        <w:tabs>
          <w:tab w:val="left" w:pos="1441" w:leader="none"/>
        </w:tabs>
        <w:rPr>
          <w:color w:val="000000"/>
          <w:highlight w:val="none"/>
        </w:rPr>
      </w:pPr>
      <w:r>
        <w:rPr>
          <w:rFonts w:hint="eastAsia" w:ascii="黑体" w:hAnsi="宋体" w:eastAsia="黑体" w:cs="黑体"/>
          <w:color w:val="000000"/>
          <w:sz w:val="36"/>
          <w:szCs w:val="36"/>
          <w:highlight w:val="none"/>
        </w:rPr>
        <w:t xml:space="preserve">投标人须知…………………………………6 </w:t>
      </w:r>
      <w:r/>
    </w:p>
    <w:p>
      <w:pPr>
        <w:pStyle w:val="1656"/>
        <w:ind w:left="2160" w:hanging="1440"/>
        <w:jc w:val="both"/>
        <w:spacing w:beforeAutospacing="0" w:afterAutospacing="0" w:line="480" w:lineRule="auto"/>
        <w:tabs>
          <w:tab w:val="left" w:pos="1441" w:leader="none"/>
        </w:tabs>
        <w:rPr>
          <w:rFonts w:eastAsia="黑体"/>
          <w:color w:val="000000"/>
          <w:highlight w:val="none"/>
        </w:rPr>
      </w:pPr>
      <w:r>
        <w:rPr>
          <w:rFonts w:hint="eastAsia" w:ascii="黑体" w:hAnsi="宋体" w:eastAsia="黑体" w:cs="黑体"/>
          <w:color w:val="000000"/>
          <w:sz w:val="36"/>
          <w:szCs w:val="36"/>
          <w:highlight w:val="none"/>
        </w:rPr>
        <w:t xml:space="preserve">合同条款……………………………………19</w:t>
      </w:r>
      <w:r/>
    </w:p>
    <w:p>
      <w:pPr>
        <w:pStyle w:val="1656"/>
        <w:ind w:left="2160" w:hanging="1440"/>
        <w:jc w:val="both"/>
        <w:spacing w:beforeAutospacing="0" w:afterAutospacing="0" w:line="480" w:lineRule="auto"/>
        <w:tabs>
          <w:tab w:val="left" w:pos="1441" w:leader="none"/>
        </w:tabs>
        <w:rPr>
          <w:rFonts w:hint="eastAsia" w:eastAsia="黑体"/>
          <w:color w:val="000000"/>
          <w:highlight w:val="none"/>
        </w:rPr>
      </w:pPr>
      <w:r>
        <w:rPr>
          <w:rFonts w:hint="eastAsia" w:ascii="黑体" w:hAnsi="宋体" w:eastAsia="黑体" w:cs="黑体"/>
          <w:color w:val="000000"/>
          <w:sz w:val="36"/>
          <w:szCs w:val="36"/>
          <w:highlight w:val="none"/>
        </w:rPr>
        <w:t xml:space="preserve">采购需求……………………………………25</w:t>
      </w:r>
      <w:r/>
    </w:p>
    <w:p>
      <w:pPr>
        <w:pStyle w:val="1656"/>
        <w:ind w:left="2160" w:hanging="1440"/>
        <w:jc w:val="both"/>
        <w:spacing w:beforeAutospacing="0" w:afterAutospacing="0" w:line="480" w:lineRule="auto"/>
        <w:tabs>
          <w:tab w:val="left" w:pos="1441" w:leader="none"/>
        </w:tabs>
        <w:rPr>
          <w:rFonts w:hint="default" w:eastAsia="黑体"/>
          <w:color w:val="000000"/>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102</w:t>
      </w:r>
      <w:r/>
    </w:p>
    <w:p>
      <w:pPr>
        <w:pStyle w:val="1656"/>
        <w:ind w:left="2160" w:hanging="1440"/>
        <w:jc w:val="both"/>
        <w:spacing w:beforeAutospacing="0" w:afterAutospacing="0" w:line="480" w:lineRule="auto"/>
        <w:tabs>
          <w:tab w:val="left" w:pos="1441" w:leader="none"/>
        </w:tabs>
        <w:rPr>
          <w:rFonts w:hint="default" w:eastAsia="黑体"/>
          <w:color w:val="000000"/>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107</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center"/>
        <w:spacing w:beforeAutospacing="0" w:afterAutospacing="0"/>
        <w:rPr>
          <w:rFonts w:eastAsia="黑体"/>
          <w:color w:val="000000"/>
          <w:highlight w:val="none"/>
        </w:rPr>
      </w:pPr>
      <w:r>
        <w:rPr>
          <w:color w:val="000000"/>
          <w:highlight w:val="none"/>
        </w:rPr>
        <w:t xml:space="preserve"> </w:t>
      </w:r>
      <w:bookmarkStart w:id="6" w:name="_Toc28359086"/>
      <w:r>
        <w:rPr>
          <w:rFonts w:hint="eastAsia" w:ascii="黑体" w:hAnsi="宋体" w:eastAsia="黑体" w:cs="黑体"/>
          <w:color w:val="000000"/>
          <w:sz w:val="44"/>
          <w:szCs w:val="44"/>
          <w:highlight w:val="none"/>
        </w:rPr>
        <w:t xml:space="preserve">第一章 招标公告</w:t>
      </w:r>
      <w:r/>
    </w:p>
    <w:p>
      <w:pPr>
        <w:pStyle w:val="1656"/>
        <w:ind w:firstLine="482"/>
        <w:jc w:val="both"/>
        <w:spacing w:beforeAutospacing="0" w:afterAutospacing="0" w:line="312" w:lineRule="auto"/>
        <w:rPr>
          <w:rFonts w:hint="eastAsia" w:ascii="宋体" w:hAnsi="宋体" w:cs="宋体"/>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highlight w:val="none"/>
        </w:rPr>
        <w:t xml:space="preserve">项目概况</w:t>
      </w:r>
      <w:r/>
    </w:p>
    <w:p>
      <w:pPr>
        <w:pStyle w:val="1656"/>
        <w:ind w:firstLine="482"/>
        <w:jc w:val="both"/>
        <w:spacing w:beforeAutospacing="0" w:afterAutospacing="0" w:line="312" w:lineRule="auto"/>
        <w:rPr>
          <w:rFonts w:hint="eastAsia" w:ascii="宋体" w:hAnsi="宋体" w:cs="宋体"/>
          <w:color w:val="000000"/>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1"/>
          <w:szCs w:val="21"/>
          <w:highlight w:val="none"/>
          <w:u w:val="single"/>
        </w:rPr>
        <w:t xml:space="preserve">盐城市公安局大数据交通指挥中心后厨设备采购项目</w:t>
      </w:r>
      <w:r>
        <w:rPr>
          <w:rFonts w:hint="eastAsia" w:ascii="宋体" w:hAnsi="宋体" w:cs="宋体"/>
          <w:color w:val="000000"/>
          <w:sz w:val="21"/>
          <w:szCs w:val="21"/>
          <w:highlight w:val="none"/>
        </w:rPr>
        <w:t xml:space="preserve">招标项目的潜在投标人可在</w:t>
      </w:r>
      <w:r>
        <w:rPr>
          <w:rFonts w:hint="eastAsia" w:ascii="宋体" w:hAnsi="宋体" w:cs="宋体"/>
          <w:color w:val="000000"/>
          <w:sz w:val="21"/>
          <w:szCs w:val="21"/>
          <w:highlight w:val="none"/>
          <w:shd w:val="clear" w:color="auto" w:fill="ffffff"/>
        </w:rPr>
        <w:t xml:space="preserve">“苏采云”系统内免费下载（投标人必须在苏采云系统中获取采购文件，方能参与政府采购项目）</w:t>
      </w:r>
      <w:r>
        <w:rPr>
          <w:rFonts w:hint="eastAsia" w:ascii="宋体" w:hAnsi="宋体" w:cs="宋体"/>
          <w:color w:val="000000"/>
          <w:sz w:val="21"/>
          <w:szCs w:val="21"/>
          <w:highlight w:val="none"/>
        </w:rPr>
        <w:t xml:space="preserve">，并于</w:t>
      </w:r>
      <w:r>
        <w:rPr>
          <w:rFonts w:hint="eastAsia" w:ascii="宋体" w:hAnsi="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5</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18</w:t>
      </w:r>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09</w:t>
      </w:r>
      <w:r>
        <w:rPr>
          <w:rFonts w:hint="eastAsia" w:ascii="宋体" w:hAnsi="宋体" w:cs="宋体"/>
          <w:color w:val="auto"/>
          <w:sz w:val="21"/>
          <w:szCs w:val="21"/>
          <w:highlight w:val="none"/>
          <w:u w:val="single"/>
        </w:rPr>
        <w:t xml:space="preserve">点</w:t>
      </w:r>
      <w:r>
        <w:rPr>
          <w:rFonts w:hint="eastAsia" w:ascii="宋体" w:hAnsi="宋体" w:cs="宋体"/>
          <w:color w:val="auto"/>
          <w:sz w:val="21"/>
          <w:szCs w:val="21"/>
          <w:highlight w:val="none"/>
          <w:u w:val="single"/>
          <w:lang w:val="en-US" w:eastAsia="zh-CN"/>
        </w:rPr>
        <w:t xml:space="preserve">00</w:t>
      </w:r>
      <w:r>
        <w:rPr>
          <w:rFonts w:hint="eastAsia" w:ascii="宋体" w:hAnsi="宋体" w:cs="宋体"/>
          <w:color w:val="auto"/>
          <w:sz w:val="21"/>
          <w:szCs w:val="21"/>
          <w:highlight w:val="none"/>
          <w:u w:val="single"/>
        </w:rPr>
        <w:t xml:space="preserve">分</w:t>
      </w:r>
      <w:r>
        <w:rPr>
          <w:rFonts w:hint="eastAsia" w:ascii="宋体" w:hAnsi="宋体" w:cs="宋体"/>
          <w:color w:val="000000"/>
          <w:sz w:val="21"/>
          <w:szCs w:val="21"/>
          <w:highlight w:val="none"/>
          <w:u w:val="single"/>
        </w:rPr>
        <w:t xml:space="preserve">（</w:t>
      </w:r>
      <w:r>
        <w:rPr>
          <w:rFonts w:hint="eastAsia" w:ascii="宋体" w:hAnsi="宋体" w:cs="宋体"/>
          <w:color w:val="000000"/>
          <w:sz w:val="21"/>
          <w:szCs w:val="21"/>
          <w:highlight w:val="none"/>
        </w:rPr>
        <w:t xml:space="preserve">北京时间）前递交投标文件。</w:t>
      </w:r>
      <w:r/>
    </w:p>
    <w:p>
      <w:pPr>
        <w:pStyle w:val="1656"/>
        <w:ind w:firstLine="422"/>
        <w:jc w:val="both"/>
        <w:spacing w:beforeAutospacing="0" w:afterAutospacing="0" w:line="360" w:lineRule="auto"/>
        <w:rPr>
          <w:rFonts w:hint="eastAsia" w:ascii="宋体" w:hAnsi="宋体" w:cs="宋体"/>
          <w:color w:val="000000"/>
          <w:sz w:val="21"/>
          <w:szCs w:val="21"/>
          <w:highlight w:val="none"/>
        </w:rPr>
      </w:pPr>
      <w:r/>
      <w:bookmarkStart w:id="7" w:name="_Toc28359002"/>
      <w:r/>
      <w:bookmarkStart w:id="8" w:name="_Hlk24379207"/>
      <w:r/>
      <w:bookmarkStart w:id="9" w:name="_Toc35393790"/>
      <w:r/>
      <w:bookmarkStart w:id="10" w:name="_Toc28359079"/>
      <w:r/>
      <w:bookmarkStart w:id="11" w:name="_Toc35393621"/>
      <w:r/>
      <w:bookmarkStart w:id="12" w:name="_Toc38985263"/>
      <w:r>
        <w:rPr>
          <w:rFonts w:hint="eastAsia" w:ascii="宋体" w:hAnsi="宋体" w:cs="宋体"/>
          <w:b/>
          <w:color w:val="000000"/>
          <w:sz w:val="21"/>
          <w:szCs w:val="21"/>
          <w:highlight w:val="none"/>
        </w:rPr>
        <w:t xml:space="preserve">一、项目基本情况</w:t>
      </w:r>
      <w:bookmarkEnd w:id="7"/>
      <w:r/>
      <w:bookmarkEnd w:id="8"/>
      <w:r/>
      <w:bookmarkEnd w:id="9"/>
      <w:r/>
      <w:bookmarkEnd w:id="10"/>
      <w:r/>
      <w:bookmarkEnd w:id="11"/>
      <w:r/>
      <w:bookmarkEnd w:id="12"/>
      <w:r/>
      <w:r/>
    </w:p>
    <w:p>
      <w:pPr>
        <w:pStyle w:val="1656"/>
        <w:ind w:firstLine="420"/>
        <w:jc w:val="both"/>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shd w:val="clear" w:color="auto" w:fill="ffffff"/>
        </w:rPr>
        <w:t xml:space="preserve">1.项目编号：</w:t>
      </w:r>
      <w:r>
        <w:rPr>
          <w:rFonts w:hint="eastAsia" w:ascii="宋体" w:hAnsi="宋体" w:cs="宋体"/>
          <w:color w:val="000000"/>
          <w:sz w:val="21"/>
          <w:szCs w:val="21"/>
          <w:highlight w:val="none"/>
        </w:rPr>
        <w:t xml:space="preserve">JSZC-320900-YCZH-G2026-0002</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2.项目名称：盐城市公安局大数据交通指挥中心后厨设备采购项目</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shd w:val="clear" w:color="auto" w:fill="ffffff"/>
        </w:rPr>
        <w:t xml:space="preserve">3.采购方式：公开招标</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4.预算金额：214.97万元</w:t>
      </w:r>
      <w:r/>
    </w:p>
    <w:p>
      <w:pPr>
        <w:pStyle w:val="1656"/>
        <w:ind w:firstLine="420"/>
        <w:jc w:val="both"/>
        <w:spacing w:beforeAutospacing="0" w:afterAutospacing="0" w:line="360" w:lineRule="auto"/>
        <w:rPr>
          <w:rFonts w:hint="eastAsia" w:ascii="宋体" w:hAnsi="宋体" w:cs="宋体"/>
          <w:color w:val="000000"/>
          <w:sz w:val="21"/>
          <w:szCs w:val="21"/>
          <w:highlight w:val="none"/>
          <w:shd w:val="clear" w:color="ffffff" w:fill="d9d9d9"/>
        </w:rPr>
      </w:pPr>
      <w:r>
        <w:rPr>
          <w:rFonts w:hint="eastAsia" w:ascii="宋体" w:hAnsi="宋体" w:cs="宋体"/>
          <w:color w:val="000000"/>
          <w:sz w:val="21"/>
          <w:szCs w:val="21"/>
          <w:highlight w:val="none"/>
          <w:shd w:val="clear" w:color="auto" w:fill="ffffff"/>
        </w:rPr>
        <w:t xml:space="preserve">5.最高限价：</w:t>
      </w:r>
      <w:bookmarkStart w:id="13" w:name="OLE_LINK30"/>
      <w:r>
        <w:rPr>
          <w:rFonts w:hint="eastAsia" w:ascii="宋体" w:hAnsi="宋体" w:cs="宋体"/>
          <w:color w:val="000000"/>
          <w:sz w:val="21"/>
          <w:szCs w:val="21"/>
          <w:highlight w:val="none"/>
        </w:rPr>
        <w:t xml:space="preserve">214.97万元</w:t>
      </w:r>
      <w:bookmarkEnd w:id="13"/>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6.采购需求（简介）：</w:t>
      </w:r>
      <w:bookmarkStart w:id="14" w:name="OLE_LINK1"/>
      <w:r>
        <w:rPr>
          <w:rFonts w:hint="eastAsia" w:ascii="宋体" w:hAnsi="宋体" w:cs="宋体"/>
          <w:color w:val="000000"/>
          <w:sz w:val="21"/>
          <w:szCs w:val="21"/>
          <w:highlight w:val="none"/>
        </w:rPr>
        <w:t xml:space="preserve">详见附件本招标文件</w:t>
      </w:r>
      <w:bookmarkEnd w:id="14"/>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7.合同履行期限：</w:t>
      </w:r>
      <w:bookmarkStart w:id="15" w:name="OLE_LINK31"/>
      <w:r>
        <w:rPr>
          <w:rFonts w:hint="eastAsia" w:ascii="宋体" w:hAnsi="宋体" w:cs="宋体"/>
          <w:color w:val="000000"/>
          <w:sz w:val="21"/>
          <w:szCs w:val="21"/>
          <w:highlight w:val="none"/>
        </w:rPr>
        <w:t xml:space="preserve">同免费质保期</w:t>
      </w:r>
      <w:bookmarkEnd w:id="15"/>
      <w:r/>
      <w:r/>
    </w:p>
    <w:p>
      <w:pPr>
        <w:pStyle w:val="1656"/>
        <w:ind w:firstLine="420"/>
        <w:jc w:val="both"/>
        <w:spacing w:beforeAutospacing="0" w:afterAutospacing="0" w:line="360" w:lineRule="auto"/>
        <w:rPr>
          <w:rFonts w:hint="eastAsia" w:ascii="宋体" w:hAnsi="宋体" w:cs="宋体"/>
          <w:color w:val="000000"/>
          <w:sz w:val="21"/>
          <w:szCs w:val="21"/>
          <w:highlight w:val="none"/>
          <w:shd w:val="clear" w:color="auto" w:fill="ffff00"/>
        </w:rPr>
      </w:pPr>
      <w:r>
        <w:rPr>
          <w:rFonts w:hint="eastAsia" w:ascii="宋体" w:hAnsi="宋体" w:cs="宋体"/>
          <w:color w:val="000000"/>
          <w:sz w:val="21"/>
          <w:szCs w:val="21"/>
          <w:highlight w:val="none"/>
          <w:shd w:val="clear" w:color="auto" w:fill="ffffff"/>
        </w:rPr>
        <w:t xml:space="preserve">8.本项目（</w:t>
      </w:r>
      <w:r>
        <w:rPr>
          <w:rFonts w:hint="eastAsia" w:ascii="宋体" w:hAnsi="宋体" w:cs="宋体"/>
          <w:i/>
          <w:iCs/>
          <w:color w:val="000000"/>
          <w:sz w:val="21"/>
          <w:szCs w:val="21"/>
          <w:highlight w:val="none"/>
          <w:shd w:val="clear" w:color="auto" w:fill="ffffff"/>
        </w:rPr>
        <w:t xml:space="preserve">是/否</w:t>
      </w:r>
      <w:r>
        <w:rPr>
          <w:rFonts w:hint="eastAsia" w:ascii="宋体" w:hAnsi="宋体" w:cs="宋体"/>
          <w:color w:val="000000"/>
          <w:sz w:val="21"/>
          <w:szCs w:val="21"/>
          <w:highlight w:val="none"/>
          <w:shd w:val="clear" w:color="auto" w:fill="ffffff"/>
        </w:rPr>
        <w:t xml:space="preserve">）接受联合体</w:t>
      </w:r>
      <w:r>
        <w:rPr>
          <w:rFonts w:hint="eastAsia" w:ascii="宋体" w:hAnsi="宋体" w:cs="宋体"/>
          <w:color w:val="000000"/>
          <w:sz w:val="21"/>
          <w:szCs w:val="21"/>
          <w:highlight w:val="none"/>
        </w:rPr>
        <w:t xml:space="preserve">参与招标：否</w:t>
      </w:r>
      <w:r/>
    </w:p>
    <w:p>
      <w:pPr>
        <w:pStyle w:val="1656"/>
        <w:ind w:firstLine="422"/>
        <w:jc w:val="both"/>
        <w:spacing w:beforeAutospacing="0" w:afterAutospacing="0" w:line="360" w:lineRule="auto"/>
        <w:rPr>
          <w:rFonts w:hint="eastAsia" w:ascii="宋体" w:hAnsi="宋体" w:cs="宋体"/>
          <w:color w:val="000000"/>
          <w:sz w:val="21"/>
          <w:szCs w:val="21"/>
          <w:highlight w:val="none"/>
        </w:rPr>
      </w:pPr>
      <w:r/>
      <w:bookmarkStart w:id="16" w:name="_Toc28359003"/>
      <w:r/>
      <w:bookmarkStart w:id="17" w:name="_Toc35393791"/>
      <w:r/>
      <w:bookmarkStart w:id="18" w:name="_Toc28359080"/>
      <w:r/>
      <w:bookmarkStart w:id="19" w:name="_Toc38985264"/>
      <w:r/>
      <w:bookmarkStart w:id="20" w:name="_Toc35393622"/>
      <w:r>
        <w:rPr>
          <w:rFonts w:hint="eastAsia" w:ascii="宋体" w:hAnsi="宋体" w:cs="宋体"/>
          <w:b/>
          <w:color w:val="000000"/>
          <w:sz w:val="21"/>
          <w:szCs w:val="21"/>
          <w:highlight w:val="none"/>
        </w:rPr>
        <w:t xml:space="preserve">二、申请人的资格要求：</w:t>
      </w:r>
      <w:bookmarkEnd w:id="16"/>
      <w:r/>
      <w:bookmarkEnd w:id="17"/>
      <w:r/>
      <w:bookmarkEnd w:id="18"/>
      <w:r/>
      <w:bookmarkEnd w:id="19"/>
      <w:r/>
      <w:bookmarkEnd w:id="20"/>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1.满足《中华人民共和国政府采购法》第二十二条规定，并提供下列材料：</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1.1法人或者其他组织的营业执照等证明文件，自然人的身份证明；</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w:t>
      </w:r>
      <w:r>
        <w:rPr>
          <w:rFonts w:hint="eastAsia" w:ascii="宋体" w:hAnsi="宋体" w:eastAsia="宋体" w:cs="宋体"/>
          <w:color w:val="000000"/>
          <w:sz w:val="21"/>
          <w:szCs w:val="21"/>
          <w:highlight w:val="none"/>
        </w:rPr>
        <w:t xml:space="preserve">上一年度的财务状况报</w:t>
      </w:r>
      <w:r>
        <w:rPr>
          <w:rFonts w:hint="eastAsia" w:ascii="宋体" w:hAnsi="宋体" w:eastAsia="宋体" w:cs="宋体"/>
          <w:color w:val="000000"/>
          <w:sz w:val="21"/>
          <w:szCs w:val="21"/>
          <w:highlight w:val="none"/>
          <w:lang w:eastAsia="zh-CN"/>
        </w:rPr>
        <w:t xml:space="preserve">表</w:t>
      </w:r>
      <w:r>
        <w:rPr>
          <w:rFonts w:hint="eastAsia" w:ascii="宋体" w:hAnsi="宋体" w:eastAsia="宋体" w:cs="宋体"/>
          <w:color w:val="000000"/>
          <w:sz w:val="21"/>
          <w:szCs w:val="21"/>
          <w:highlight w:val="none"/>
        </w:rPr>
        <w:t xml:space="preserve">（2025年财务状况表未出的，可使用2024年度报表，成立不满一年无需提供）；</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1.3具备履行合同所必需的设备和专业技术能力的书面声明；</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w:t>
      </w:r>
      <w:bookmarkStart w:id="21" w:name="OLE_LINK16"/>
      <w:r>
        <w:rPr>
          <w:rFonts w:hint="eastAsia" w:ascii="宋体" w:hAnsi="宋体" w:cs="宋体"/>
          <w:color w:val="000000"/>
          <w:sz w:val="21"/>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1"/>
      <w:r>
        <w:rPr>
          <w:rFonts w:hint="eastAsia" w:ascii="宋体" w:hAnsi="宋体" w:cs="宋体"/>
          <w:color w:val="000000"/>
          <w:sz w:val="21"/>
          <w:szCs w:val="21"/>
          <w:highlight w:val="none"/>
        </w:rPr>
        <w:t xml:space="preserve">；</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1.5参加政府采购活动前3年内在经营活动中没有重大违法记录的书面声明。</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1.6法律、行政法规规定的其他条件。</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1656"/>
        <w:ind w:firstLine="420"/>
        <w:jc w:val="both"/>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1.8</w:t>
      </w:r>
      <w:bookmarkStart w:id="22" w:name="OLE_LINK17"/>
      <w:r>
        <w:rPr>
          <w:rFonts w:hint="eastAsia" w:ascii="宋体" w:hAnsi="宋体" w:cs="宋体"/>
          <w:color w:val="000000"/>
          <w:sz w:val="21"/>
          <w:szCs w:val="21"/>
          <w:highlight w:val="none"/>
        </w:rPr>
        <w:t xml:space="preserve">单位负责人为同一人或者存在直接控股、管理关系的不同供应商，不得参加同一合同项下的政府采购活动。</w:t>
      </w:r>
      <w:r>
        <w:rPr>
          <w:rFonts w:hint="eastAsia" w:ascii="宋体" w:hAnsi="宋体" w:cs="宋体"/>
          <w:color w:val="000000"/>
          <w:sz w:val="21"/>
          <w:szCs w:val="21"/>
          <w:highlight w:val="none"/>
          <w:lang w:eastAsia="zh-CN"/>
        </w:rPr>
        <w:t xml:space="preserve">（自行提供，格式自拟）</w:t>
      </w:r>
      <w:bookmarkEnd w:id="22"/>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2.落实政府采购政策需满足的资格要求：无</w:t>
      </w:r>
      <w:r>
        <w:rPr>
          <w:rFonts w:hint="eastAsia" w:ascii="宋体" w:hAnsi="宋体" w:cs="宋体"/>
          <w:b/>
          <w:bCs/>
          <w:color w:val="000000"/>
          <w:sz w:val="21"/>
          <w:szCs w:val="21"/>
          <w:highlight w:val="none"/>
        </w:rPr>
        <w:t xml:space="preserve">。</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3.本项目的特定资格要求：</w:t>
      </w:r>
      <w:bookmarkStart w:id="23" w:name="OLE_LINK28"/>
      <w:r>
        <w:rPr>
          <w:rFonts w:hint="eastAsia" w:ascii="宋体" w:hAnsi="宋体" w:cs="宋体"/>
          <w:color w:val="000000"/>
          <w:sz w:val="21"/>
          <w:szCs w:val="21"/>
          <w:highlight w:val="none"/>
        </w:rPr>
        <w:t xml:space="preserve">无</w:t>
      </w:r>
      <w:bookmarkEnd w:id="23"/>
      <w:r>
        <w:rPr>
          <w:rFonts w:hint="eastAsia" w:ascii="宋体" w:hAnsi="宋体" w:cs="宋体"/>
          <w:color w:val="000000"/>
          <w:sz w:val="21"/>
          <w:szCs w:val="21"/>
          <w:highlight w:val="none"/>
        </w:rPr>
        <w:t xml:space="preserve">。</w:t>
      </w:r>
      <w:r/>
    </w:p>
    <w:p>
      <w:pPr>
        <w:pStyle w:val="1656"/>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三、获取招标文件</w:t>
      </w:r>
      <w:r/>
    </w:p>
    <w:p>
      <w:pPr>
        <w:pStyle w:val="1656"/>
        <w:ind w:firstLine="420"/>
        <w:jc w:val="both"/>
        <w:spacing w:beforeAutospacing="0" w:afterAutospacing="0" w:line="360" w:lineRule="auto"/>
        <w:rPr>
          <w:rFonts w:hint="eastAsia" w:ascii="宋体" w:hAnsi="宋体" w:cs="宋体"/>
          <w:color w:val="000000"/>
          <w:sz w:val="21"/>
          <w:szCs w:val="21"/>
          <w:highlight w:val="none"/>
        </w:rPr>
      </w:pPr>
      <w:r/>
      <w:bookmarkStart w:id="24" w:name="_Toc35393624"/>
      <w:r/>
      <w:bookmarkStart w:id="25" w:name="_Toc28359082"/>
      <w:r/>
      <w:bookmarkStart w:id="26" w:name="_Toc28359005"/>
      <w:r/>
      <w:bookmarkStart w:id="27" w:name="_Toc38985266"/>
      <w:r/>
      <w:bookmarkStart w:id="28" w:name="_Toc35393793"/>
      <w:r>
        <w:rPr>
          <w:rFonts w:hint="eastAsia" w:ascii="宋体" w:hAnsi="宋体" w:cs="宋体"/>
          <w:color w:val="000000"/>
          <w:sz w:val="21"/>
          <w:szCs w:val="21"/>
          <w:highlight w:val="none"/>
        </w:rPr>
        <w:t xml:space="preserve">1.时间：</w:t>
      </w:r>
      <w:bookmarkEnd w:id="24"/>
      <w:r/>
      <w:bookmarkEnd w:id="25"/>
      <w:r/>
      <w:bookmarkEnd w:id="26"/>
      <w:r/>
      <w:bookmarkEnd w:id="27"/>
      <w:r/>
      <w:bookmarkEnd w:id="28"/>
      <w:r>
        <w:rPr>
          <w:rFonts w:hint="eastAsia" w:ascii="宋体" w:hAnsi="宋体" w:cs="宋体"/>
          <w:color w:val="000000"/>
          <w:sz w:val="21"/>
          <w:szCs w:val="21"/>
          <w:highlight w:val="none"/>
        </w:rPr>
        <w:t xml:space="preserve">自招标文件公告发布之日起5个工作日 。</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2.地点：“苏采云”系统内免费下载（投标人必须在苏采云系统中获取采购文件，方能参与政府采购项目）；</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3.方式：本项目采用网上注册登记方式。</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4.售价：0元</w:t>
      </w:r>
      <w:r/>
    </w:p>
    <w:p>
      <w:pPr>
        <w:pStyle w:val="1656"/>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四、提交投标文件截止时间、开标时间和地点</w:t>
      </w:r>
      <w:r/>
    </w:p>
    <w:p>
      <w:pPr>
        <w:pStyle w:val="1656"/>
        <w:ind w:firstLine="420"/>
        <w:jc w:val="both"/>
        <w:spacing w:beforeAutospacing="0" w:afterAutospacing="0" w:line="360" w:lineRule="auto"/>
        <w:pBdr>
          <w:top w:val="none" w:color="auto" w:sz="0" w:space="0"/>
          <w:left w:val="none" w:color="auto" w:sz="0" w:space="0"/>
          <w:bottom w:val="none" w:color="auto" w:sz="0" w:space="0"/>
          <w:right w:val="none" w:color="auto" w:sz="0" w:space="0"/>
        </w:pBdr>
      </w:pPr>
      <w:r>
        <w:rPr>
          <w:rFonts w:hint="eastAsia" w:ascii="宋体" w:hAnsi="宋体" w:cs="宋体"/>
          <w:color w:val="000000"/>
          <w:sz w:val="21"/>
          <w:szCs w:val="21"/>
          <w:highlight w:val="none"/>
        </w:rPr>
        <w:t xml:space="preserve">1.时间：</w:t>
      </w:r>
      <w:r>
        <w:rPr>
          <w:rFonts w:hint="eastAsia" w:ascii="宋体" w:hAnsi="宋体" w:cs="宋体"/>
          <w:color w:val="auto"/>
          <w:sz w:val="21"/>
          <w:szCs w:val="21"/>
          <w:highlight w:val="none"/>
          <w:u w:val="single"/>
        </w:rPr>
        <w:t xml:space="preserve">202</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rPr>
        <w:t xml:space="preserve">年</w:t>
      </w:r>
      <w:r>
        <w:rPr>
          <w:rFonts w:hint="eastAsia" w:ascii="宋体" w:hAnsi="宋体" w:cs="宋体"/>
          <w:color w:val="auto"/>
          <w:sz w:val="21"/>
          <w:szCs w:val="21"/>
          <w:highlight w:val="none"/>
          <w:u w:val="single"/>
          <w:lang w:val="en-US" w:eastAsia="zh-CN"/>
        </w:rPr>
        <w:t xml:space="preserve">5</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18</w:t>
      </w:r>
      <w:bookmarkStart w:id="214" w:name="_GoBack"/>
      <w:r/>
      <w:bookmarkEnd w:id="214"/>
      <w:r>
        <w:rPr>
          <w:rFonts w:hint="eastAsia" w:ascii="宋体" w:hAnsi="宋体" w:cs="宋体"/>
          <w:color w:val="auto"/>
          <w:sz w:val="21"/>
          <w:szCs w:val="21"/>
          <w:highlight w:val="none"/>
          <w:u w:val="single"/>
        </w:rPr>
        <w:t xml:space="preserve">日</w:t>
      </w:r>
      <w:r>
        <w:rPr>
          <w:rFonts w:hint="eastAsia" w:ascii="宋体" w:hAnsi="宋体" w:cs="宋体"/>
          <w:color w:val="auto"/>
          <w:sz w:val="21"/>
          <w:szCs w:val="21"/>
          <w:highlight w:val="none"/>
          <w:u w:val="single"/>
          <w:lang w:val="en-US" w:eastAsia="zh-CN"/>
        </w:rPr>
        <w:t xml:space="preserve">09</w:t>
      </w:r>
      <w:r>
        <w:rPr>
          <w:rFonts w:ascii="宋体" w:hAnsi="宋体" w:eastAsia="宋体" w:cs="宋体"/>
          <w:color w:val="auto"/>
          <w:sz w:val="21"/>
          <w:u w:val="single"/>
        </w:rPr>
        <w:t xml:space="preserve">点00分</w:t>
      </w:r>
      <w:r>
        <w:rPr>
          <w:rFonts w:ascii="宋体" w:hAnsi="宋体" w:eastAsia="宋体" w:cs="宋体"/>
          <w:color w:val="000000"/>
          <w:sz w:val="21"/>
        </w:rPr>
        <w:t xml:space="preserve">（</w:t>
      </w:r>
      <w:r>
        <w:rPr>
          <w:rFonts w:hint="eastAsia" w:ascii="宋体" w:hAnsi="宋体" w:cs="宋体"/>
          <w:color w:val="000000"/>
          <w:sz w:val="21"/>
          <w:szCs w:val="21"/>
          <w:highlight w:val="none"/>
        </w:rPr>
        <w:t xml:space="preserve">（北京时间）</w:t>
      </w:r>
      <w:r/>
    </w:p>
    <w:p>
      <w:pPr>
        <w:pStyle w:val="1656"/>
        <w:ind w:firstLine="420"/>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2.地点：苏采云“不见面”开标大厅。</w:t>
      </w:r>
      <w:r/>
    </w:p>
    <w:p>
      <w:pPr>
        <w:pStyle w:val="1656"/>
        <w:ind w:firstLine="422"/>
        <w:jc w:val="both"/>
        <w:spacing w:beforeAutospacing="0" w:afterAutospacing="0" w:line="360" w:lineRule="auto"/>
        <w:rPr>
          <w:rFonts w:hint="eastAsia" w:ascii="宋体" w:hAnsi="宋体" w:cs="宋体"/>
          <w:color w:val="000000"/>
          <w:sz w:val="21"/>
          <w:szCs w:val="21"/>
          <w:highlight w:val="none"/>
        </w:rPr>
      </w:pPr>
      <w:r/>
      <w:bookmarkStart w:id="29" w:name="_Toc35393625"/>
      <w:r/>
      <w:bookmarkStart w:id="30" w:name="_Toc28359084"/>
      <w:r/>
      <w:bookmarkStart w:id="31" w:name="_Toc28359007"/>
      <w:r/>
      <w:bookmarkStart w:id="32" w:name="_Toc38985267"/>
      <w:r/>
      <w:bookmarkStart w:id="33" w:name="_Toc35393794"/>
      <w:r>
        <w:rPr>
          <w:rFonts w:hint="eastAsia" w:ascii="宋体" w:hAnsi="宋体" w:cs="宋体"/>
          <w:b/>
          <w:color w:val="000000"/>
          <w:sz w:val="21"/>
          <w:szCs w:val="21"/>
          <w:highlight w:val="none"/>
        </w:rPr>
        <w:t xml:space="preserve">五、公告期限</w:t>
      </w:r>
      <w:bookmarkEnd w:id="29"/>
      <w:r/>
      <w:bookmarkEnd w:id="30"/>
      <w:r/>
      <w:bookmarkEnd w:id="31"/>
      <w:r/>
      <w:bookmarkEnd w:id="32"/>
      <w:r/>
      <w:bookmarkEnd w:id="33"/>
      <w:r/>
      <w:r/>
    </w:p>
    <w:p>
      <w:pPr>
        <w:pStyle w:val="1656"/>
        <w:ind w:firstLine="420"/>
        <w:jc w:val="both"/>
        <w:spacing w:beforeAutospacing="0" w:afterAutospacing="0" w:line="360" w:lineRule="auto"/>
        <w:rPr>
          <w:rFonts w:hint="eastAsia" w:ascii="宋体" w:hAnsi="宋体" w:cs="宋体"/>
          <w:color w:val="000000"/>
          <w:sz w:val="21"/>
          <w:szCs w:val="21"/>
          <w:highlight w:val="none"/>
          <w:shd w:val="clear" w:color="auto" w:fill="ffffff"/>
        </w:rPr>
      </w:pPr>
      <w:r/>
      <w:bookmarkStart w:id="34" w:name="_Toc35393795"/>
      <w:r/>
      <w:bookmarkStart w:id="35" w:name="_Toc35393626"/>
      <w:r/>
      <w:bookmarkStart w:id="36" w:name="_Toc38985268"/>
      <w:r>
        <w:rPr>
          <w:rFonts w:hint="eastAsia" w:ascii="宋体" w:hAnsi="宋体" w:cs="宋体"/>
          <w:color w:val="000000"/>
          <w:sz w:val="21"/>
          <w:szCs w:val="21"/>
          <w:highlight w:val="none"/>
          <w:shd w:val="clear" w:color="auto" w:fill="ffffff"/>
        </w:rPr>
        <w:t xml:space="preserve">自本公告发布之日起5个工作日。</w:t>
      </w:r>
      <w:bookmarkEnd w:id="34"/>
      <w:r/>
      <w:bookmarkEnd w:id="35"/>
      <w:r/>
      <w:bookmarkEnd w:id="36"/>
      <w:r/>
      <w:r/>
    </w:p>
    <w:p>
      <w:pPr>
        <w:pStyle w:val="1656"/>
        <w:ind w:firstLine="422"/>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六、其他补充事宜</w:t>
      </w:r>
      <w:r/>
    </w:p>
    <w:p>
      <w:pPr>
        <w:pStyle w:val="1656"/>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bookmarkStart w:id="37" w:name="_Toc28359018"/>
      <w:r>
        <w:rPr>
          <w:rFonts w:hint="eastAsia" w:ascii="宋体" w:hAnsi="宋体" w:eastAsia="宋体" w:cs="宋体"/>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1656"/>
        <w:ind w:firstLine="420"/>
        <w:jc w:val="both"/>
        <w:spacing w:beforeAutospacing="0" w:afterAutospacing="0" w:line="360" w:lineRule="auto"/>
        <w:rPr>
          <w:rFonts w:hint="eastAsia" w:ascii="宋体" w:hAnsi="宋体" w:eastAsia="宋体" w:cs="宋体"/>
          <w:sz w:val="21"/>
          <w:szCs w:val="21"/>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领取CA和办理电子签章（</w:t>
      </w:r>
      <w:r>
        <w:rPr>
          <w:rFonts w:hint="eastAsia" w:ascii="宋体" w:hAnsi="宋体" w:eastAsia="宋体" w:cs="宋体"/>
          <w:color w:val="auto"/>
          <w:sz w:val="21"/>
          <w:szCs w:val="21"/>
          <w:highlight w:val="none"/>
          <w:lang w:val="en-US" w:eastAsia="zh-CN"/>
        </w:rPr>
        <w:t xml:space="preserve">请至盐城市府西路1号盐城市公共资源交易中心四楼大厅10号，11号窗口办理，</w:t>
      </w:r>
      <w:r>
        <w:rPr>
          <w:rFonts w:hint="eastAsia" w:ascii="宋体" w:hAnsi="宋体" w:eastAsia="宋体" w:cs="宋体"/>
          <w:color w:val="auto"/>
          <w:sz w:val="21"/>
          <w:szCs w:val="21"/>
          <w:highlight w:val="none"/>
        </w:rPr>
        <w:t xml:space="preserve">联系电话：15051556883，办理邮箱：yancheng@ideabank.net.cn，</w:t>
      </w:r>
      <w:r>
        <w:rPr>
          <w:rFonts w:hint="eastAsia" w:ascii="宋体" w:hAnsi="宋体" w:eastAsia="宋体" w:cs="宋体"/>
          <w:color w:val="auto"/>
          <w:sz w:val="21"/>
          <w:szCs w:val="21"/>
          <w:highlight w:val="none"/>
          <w:lang w:val="en-US" w:eastAsia="zh-CN"/>
        </w:rPr>
        <w:t xml:space="preserve">具体系统操作见《苏采云系统供应商操作手册》（以下简称《操作手册》））、进行注册并按《操作手册》要求制作、上传电子投标文件,《苏采云系统供应商操作手册》，手册下载地址：苏采云系统-右侧消息通知栏。</w:t>
      </w:r>
      <w:r/>
    </w:p>
    <w:p>
      <w:pPr>
        <w:pStyle w:val="1656"/>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2.潜在供应商访问电子招标响应交易平台的网络地址和方法： </w:t>
      </w:r>
      <w:r/>
    </w:p>
    <w:p>
      <w:pPr>
        <w:pStyle w:val="1656"/>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r/>
    </w:p>
    <w:p>
      <w:pPr>
        <w:pStyle w:val="1656"/>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2.2潜在投标人访问“苏采云”系统方法：江苏省政府采购网首页-“苏采云”链接。 </w:t>
      </w:r>
      <w:r/>
    </w:p>
    <w:p>
      <w:pPr>
        <w:pStyle w:val="1656"/>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2.3采购文件（后缀名为“.kedt”）、供应商操作手册及政府采购客户端工具可通过“苏采云”系统相应链接进行下载。</w:t>
      </w:r>
      <w:r/>
    </w:p>
    <w:p>
      <w:pPr>
        <w:pStyle w:val="1656"/>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2.4采购代理机构将数据电文形式的采购文件加载至“苏采云”系统，供潜在供应商下载或者查阅。</w:t>
      </w:r>
      <w:r/>
    </w:p>
    <w:p>
      <w:pPr>
        <w:pStyle w:val="1656"/>
        <w:ind w:firstLine="420"/>
        <w:jc w:val="both"/>
        <w:spacing w:beforeAutospacing="0" w:afterAutospacing="0" w:line="360" w:lineRule="auto"/>
        <w:rPr>
          <w:rFonts w:hint="eastAsia" w:ascii="宋体" w:hAnsi="宋体" w:eastAsia="宋体" w:cs="宋体"/>
          <w:i w:val="0"/>
          <w:iCs w:val="0"/>
          <w:caps w:val="0"/>
          <w:color w:val="333333"/>
          <w:spacing w:val="0"/>
          <w:sz w:val="27"/>
          <w:szCs w:val="27"/>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2.5请潜在投标单位提前安装相应的控件（详见《“苏采云”系统供应商操作手册》）并使用谷歌浏览器登录“苏采云”系统参与不见面开评标。</w:t>
      </w:r>
      <w:r/>
    </w:p>
    <w:p>
      <w:pPr>
        <w:pStyle w:val="1656"/>
        <w:ind w:firstLine="420"/>
        <w:jc w:val="both"/>
        <w:spacing w:beforeAutospacing="0" w:afterAutospacing="0" w:line="360" w:lineRule="auto"/>
        <w:rPr>
          <w:rFonts w:hint="eastAsia" w:ascii="宋体" w:hAnsi="宋体" w:eastAsia="宋体" w:cs="宋体"/>
          <w:b/>
          <w:bCs/>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如潜在投标人未按上述要求操作，将自行承担所产生的风险。</w:t>
      </w:r>
      <w:r/>
    </w:p>
    <w:p>
      <w:pPr>
        <w:pStyle w:val="1656"/>
        <w:ind w:firstLine="420"/>
        <w:jc w:val="both"/>
        <w:spacing w:beforeAutospacing="0" w:afterAutospacing="0" w:line="360" w:lineRule="auto"/>
        <w:rPr>
          <w:rFonts w:hint="eastAsia" w:ascii="宋体" w:hAnsi="宋体" w:eastAsia="宋体" w:cs="宋体"/>
          <w:color w:val="auto"/>
          <w:sz w:val="21"/>
          <w:szCs w:val="21"/>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3.有关本次招标的事项若存在变动或修改，敬请及时关注在“中国政府采购网”、“江苏政府采购网”、“盐城市政府采购网”发布的更正公告。</w:t>
      </w:r>
      <w:r/>
    </w:p>
    <w:p>
      <w:pPr>
        <w:pStyle w:val="1656"/>
        <w:ind w:firstLine="420"/>
        <w:jc w:val="both"/>
        <w:spacing w:beforeAutospacing="0" w:afterAutospacing="0" w:line="360" w:lineRule="auto"/>
        <w:rPr>
          <w:rFonts w:hint="eastAsia" w:ascii="宋体" w:hAnsi="宋体" w:eastAsia="宋体" w:cs="宋体"/>
          <w:color w:val="000000"/>
          <w:sz w:val="21"/>
          <w:szCs w:val="21"/>
          <w:highlight w:val="none"/>
          <w:shd w:val="clear" w:color="auto" w:fill="ffffff"/>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1"/>
          <w:szCs w:val="21"/>
          <w:highlight w:val="none"/>
        </w:rPr>
        <w:t xml:space="preserve">4.本次招标不收取投标保证金，不收取质量保证金。</w:t>
      </w:r>
      <w:r/>
    </w:p>
    <w:p>
      <w:pPr>
        <w:pStyle w:val="1656"/>
        <w:ind w:firstLine="422"/>
        <w:jc w:val="both"/>
        <w:spacing w:beforeAutospacing="0" w:afterAutospacing="0" w:line="360" w:lineRule="auto"/>
        <w:rPr>
          <w:rFonts w:hint="eastAsia" w:ascii="宋体" w:hAnsi="宋体" w:cs="宋体"/>
          <w:b/>
          <w:bCs/>
          <w:color w:val="000000"/>
          <w:sz w:val="21"/>
          <w:szCs w:val="21"/>
          <w:highlight w:val="none"/>
        </w:rPr>
      </w:pPr>
      <w:r>
        <w:rPr>
          <w:rFonts w:hint="eastAsia" w:ascii="宋体" w:hAnsi="宋体" w:cs="宋体"/>
          <w:b/>
          <w:bCs/>
          <w:color w:val="000000"/>
          <w:sz w:val="21"/>
          <w:szCs w:val="21"/>
          <w:highlight w:val="none"/>
        </w:rPr>
        <w:t xml:space="preserve">七、对本次招标提出询问，请按以下方式联系。</w:t>
      </w:r>
      <w:bookmarkEnd w:id="37"/>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1.采购人信息</w:t>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名 称：盐城市公安局  </w:t>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地 址：</w:t>
      </w:r>
      <w:r>
        <w:rPr>
          <w:rFonts w:hint="eastAsia" w:ascii="宋体" w:hAnsi="宋体" w:cs="宋体"/>
          <w:color w:val="000000"/>
          <w:sz w:val="21"/>
          <w:szCs w:val="21"/>
          <w:highlight w:val="none"/>
          <w:shd w:val="clear" w:color="auto" w:fill="ffffff"/>
          <w:lang w:val="zh-TW"/>
        </w:rPr>
        <w:t xml:space="preserve">盐城市平安路</w:t>
      </w:r>
      <w:r>
        <w:rPr>
          <w:rFonts w:hint="eastAsia" w:ascii="宋体" w:hAnsi="宋体" w:cs="宋体"/>
          <w:color w:val="000000"/>
          <w:sz w:val="21"/>
          <w:szCs w:val="21"/>
          <w:highlight w:val="none"/>
          <w:shd w:val="clear" w:color="auto" w:fill="ffffff"/>
        </w:rPr>
        <w:t xml:space="preserve">9</w:t>
      </w:r>
      <w:r>
        <w:rPr>
          <w:rFonts w:hint="eastAsia" w:ascii="宋体" w:hAnsi="宋体" w:cs="宋体"/>
          <w:color w:val="000000"/>
          <w:sz w:val="21"/>
          <w:szCs w:val="21"/>
          <w:highlight w:val="none"/>
          <w:shd w:val="clear" w:color="auto" w:fill="ffffff"/>
          <w:lang w:val="zh-TW"/>
        </w:rPr>
        <w:t xml:space="preserve">号（邮编</w:t>
      </w:r>
      <w:r>
        <w:rPr>
          <w:rFonts w:hint="eastAsia" w:ascii="宋体" w:hAnsi="宋体" w:cs="宋体"/>
          <w:color w:val="000000"/>
          <w:sz w:val="21"/>
          <w:szCs w:val="21"/>
          <w:highlight w:val="none"/>
          <w:shd w:val="clear" w:color="auto" w:fill="ffffff"/>
        </w:rPr>
        <w:t xml:space="preserve">224000</w:t>
      </w:r>
      <w:r>
        <w:rPr>
          <w:rFonts w:hint="eastAsia" w:ascii="宋体" w:hAnsi="宋体" w:cs="宋体"/>
          <w:color w:val="000000"/>
          <w:sz w:val="21"/>
          <w:szCs w:val="21"/>
          <w:highlight w:val="none"/>
          <w:shd w:val="clear" w:color="auto" w:fill="ffffff"/>
          <w:lang w:val="zh-TW"/>
        </w:rPr>
        <w:t xml:space="preserve">）</w:t>
      </w:r>
      <w:r>
        <w:rPr>
          <w:rFonts w:hint="eastAsia" w:ascii="宋体" w:hAnsi="宋体" w:cs="宋体"/>
          <w:color w:val="000000"/>
          <w:sz w:val="21"/>
          <w:szCs w:val="21"/>
          <w:highlight w:val="none"/>
          <w:shd w:val="clear" w:color="auto" w:fill="ffffff"/>
        </w:rPr>
        <w:t xml:space="preserve"> </w:t>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lang w:val="zh-TW"/>
        </w:rPr>
      </w:pPr>
      <w:r>
        <w:rPr>
          <w:rFonts w:hint="eastAsia" w:ascii="宋体" w:hAnsi="宋体" w:cs="宋体"/>
          <w:color w:val="000000"/>
          <w:sz w:val="21"/>
          <w:szCs w:val="21"/>
          <w:highlight w:val="none"/>
          <w:shd w:val="clear" w:color="auto" w:fill="ffffff"/>
        </w:rPr>
        <w:t xml:space="preserve">联系</w:t>
      </w:r>
      <w:r>
        <w:rPr>
          <w:rFonts w:hint="eastAsia" w:ascii="宋体" w:hAnsi="宋体" w:cs="宋体"/>
          <w:color w:val="000000"/>
          <w:sz w:val="21"/>
          <w:szCs w:val="21"/>
          <w:highlight w:val="none"/>
          <w:shd w:val="clear" w:color="auto" w:fill="ffffff"/>
          <w:lang w:val="zh-TW"/>
        </w:rPr>
        <w:t xml:space="preserve">人：</w:t>
      </w:r>
      <w:bookmarkStart w:id="38" w:name="OLE_LINK12"/>
      <w:r>
        <w:rPr>
          <w:rFonts w:hint="eastAsia" w:ascii="宋体" w:hAnsi="宋体" w:cs="宋体"/>
          <w:color w:val="000000"/>
          <w:sz w:val="21"/>
          <w:szCs w:val="21"/>
          <w:highlight w:val="none"/>
          <w:shd w:val="clear" w:color="auto" w:fill="ffffff"/>
          <w:lang w:val="zh-TW"/>
        </w:rPr>
        <w:t xml:space="preserve">江警官</w:t>
      </w:r>
      <w:bookmarkEnd w:id="38"/>
      <w:r>
        <w:rPr>
          <w:rFonts w:hint="eastAsia" w:ascii="宋体" w:hAnsi="宋体" w:cs="宋体"/>
          <w:color w:val="000000"/>
          <w:sz w:val="21"/>
          <w:szCs w:val="21"/>
          <w:highlight w:val="none"/>
          <w:shd w:val="clear" w:color="auto" w:fill="ffffff"/>
          <w:lang w:val="zh-TW"/>
        </w:rPr>
        <w:t xml:space="preserve">        </w:t>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lang w:val="zh-TW"/>
        </w:rPr>
        <w:t xml:space="preserve">联系方式：</w:t>
      </w:r>
      <w:bookmarkStart w:id="39" w:name="OLE_LINK13"/>
      <w:r>
        <w:rPr>
          <w:rFonts w:hint="eastAsia" w:ascii="宋体" w:hAnsi="宋体" w:cs="宋体"/>
          <w:color w:val="000000"/>
          <w:sz w:val="21"/>
          <w:szCs w:val="21"/>
          <w:highlight w:val="none"/>
          <w:shd w:val="clear" w:color="auto" w:fill="ffffff"/>
          <w:lang w:val="zh-TW"/>
        </w:rPr>
        <w:t xml:space="preserve">0515-83220095</w:t>
      </w:r>
      <w:bookmarkEnd w:id="39"/>
      <w:r>
        <w:rPr>
          <w:rFonts w:hint="eastAsia" w:ascii="宋体" w:hAnsi="宋体" w:cs="宋体"/>
          <w:color w:val="000000"/>
          <w:sz w:val="21"/>
          <w:szCs w:val="21"/>
          <w:highlight w:val="none"/>
          <w:shd w:val="clear" w:color="auto" w:fill="ffffff"/>
        </w:rPr>
        <w:t xml:space="preserve">       </w:t>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2.采购代理机构信息</w:t>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名 称：盐城市智禾项目管理有限公司</w:t>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地 址：</w:t>
      </w:r>
      <w:bookmarkStart w:id="40" w:name="OLE_LINK15"/>
      <w:r>
        <w:rPr>
          <w:rFonts w:hint="eastAsia" w:ascii="宋体" w:hAnsi="宋体" w:cs="宋体"/>
          <w:color w:val="000000"/>
          <w:sz w:val="21"/>
          <w:szCs w:val="21"/>
          <w:highlight w:val="none"/>
          <w:shd w:val="clear" w:color="auto" w:fill="ffffff"/>
        </w:rPr>
        <w:t xml:space="preserve">盐城市盐都区宏都路华邦国际西厦 603室</w:t>
      </w:r>
      <w:bookmarkEnd w:id="40"/>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联系人：</w:t>
      </w:r>
      <w:r>
        <w:rPr>
          <w:rFonts w:hint="eastAsia" w:ascii="宋体" w:hAnsi="宋体" w:cs="宋体"/>
          <w:color w:val="000000"/>
          <w:sz w:val="21"/>
          <w:szCs w:val="21"/>
          <w:highlight w:val="none"/>
          <w:shd w:val="clear" w:color="auto" w:fill="ffffff"/>
          <w:lang w:val="en-US" w:eastAsia="zh-CN"/>
        </w:rPr>
        <w:t xml:space="preserve">杨</w:t>
      </w:r>
      <w:r>
        <w:rPr>
          <w:rFonts w:hint="eastAsia" w:ascii="宋体" w:hAnsi="宋体" w:cs="宋体"/>
          <w:color w:val="000000"/>
          <w:sz w:val="21"/>
          <w:szCs w:val="21"/>
          <w:highlight w:val="none"/>
          <w:shd w:val="clear" w:color="auto" w:fill="ffffff"/>
        </w:rPr>
        <w:t xml:space="preserve">女士</w:t>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联系电话：</w:t>
      </w:r>
      <w:bookmarkStart w:id="41" w:name="OLE_LINK14"/>
      <w:r>
        <w:rPr>
          <w:rFonts w:hint="eastAsia" w:ascii="宋体" w:hAnsi="宋体" w:cs="宋体"/>
          <w:color w:val="000000"/>
          <w:sz w:val="21"/>
          <w:szCs w:val="21"/>
          <w:highlight w:val="none"/>
          <w:shd w:val="clear" w:color="auto" w:fill="ffffff"/>
          <w:lang w:val="en-US" w:eastAsia="zh-CN"/>
        </w:rPr>
        <w:t xml:space="preserve">13092197196</w:t>
      </w:r>
      <w:bookmarkEnd w:id="41"/>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3.项目联系方式</w:t>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项目联系人：</w:t>
      </w:r>
      <w:r>
        <w:rPr>
          <w:rFonts w:hint="eastAsia" w:ascii="宋体" w:hAnsi="宋体" w:cs="宋体"/>
          <w:color w:val="000000"/>
          <w:sz w:val="21"/>
          <w:szCs w:val="21"/>
          <w:highlight w:val="none"/>
          <w:shd w:val="clear" w:color="auto" w:fill="ffffff"/>
          <w:lang w:val="en-US" w:eastAsia="zh-CN"/>
        </w:rPr>
        <w:t xml:space="preserve">杨</w:t>
      </w:r>
      <w:r>
        <w:rPr>
          <w:rFonts w:hint="eastAsia" w:ascii="宋体" w:hAnsi="宋体" w:cs="宋体"/>
          <w:color w:val="000000"/>
          <w:sz w:val="21"/>
          <w:szCs w:val="21"/>
          <w:highlight w:val="none"/>
          <w:shd w:val="clear" w:color="auto" w:fill="ffffff"/>
        </w:rPr>
        <w:t xml:space="preserve">女士</w:t>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rPr>
          <w:rFonts w:hint="eastAsia" w:ascii="宋体" w:hAnsi="宋体" w:cs="宋体"/>
          <w:color w:val="000000"/>
          <w:sz w:val="21"/>
          <w:szCs w:val="21"/>
          <w:highlight w:val="none"/>
          <w:shd w:val="clear" w:color="auto" w:fill="ffffff"/>
        </w:rPr>
        <w:t xml:space="preserve">电　　 话：</w:t>
      </w:r>
      <w:bookmarkStart w:id="42" w:name="OLE_LINK34"/>
      <w:r>
        <w:rPr>
          <w:rFonts w:hint="eastAsia" w:ascii="宋体" w:hAnsi="宋体" w:cs="宋体"/>
          <w:color w:val="000000"/>
          <w:sz w:val="21"/>
          <w:szCs w:val="21"/>
          <w:highlight w:val="none"/>
          <w:shd w:val="clear" w:color="auto" w:fill="ffffff"/>
          <w:lang w:val="en-US" w:eastAsia="zh-CN"/>
        </w:rPr>
        <w:t xml:space="preserve">13092197196</w:t>
      </w:r>
      <w:bookmarkEnd w:id="42"/>
      <w:r/>
      <w:r/>
    </w:p>
    <w:p>
      <w:pPr>
        <w:pStyle w:val="1656"/>
        <w:ind w:firstLine="560"/>
        <w:jc w:val="both"/>
        <w:spacing w:beforeAutospacing="0" w:afterAutospacing="0" w:line="360" w:lineRule="auto"/>
        <w:shd w:val="clear" w:color="auto" w:fill="ffffff"/>
        <w:widowControl/>
        <w:rPr>
          <w:rFonts w:hint="eastAsia" w:ascii="宋体" w:hAnsi="宋体" w:cs="宋体"/>
          <w:color w:val="000000"/>
          <w:sz w:val="21"/>
          <w:szCs w:val="21"/>
          <w:highlight w:val="none"/>
          <w:shd w:val="clear" w:color="auto" w:fill="ffffff"/>
        </w:rPr>
      </w:pPr>
      <w:r/>
      <w:bookmarkStart w:id="43" w:name="_Toc120614211"/>
      <w:r/>
      <w:r/>
    </w:p>
    <w:p>
      <w:pPr>
        <w:rPr>
          <w:rFonts w:hint="eastAsia" w:ascii="宋体" w:hAnsi="宋体" w:cs="宋体"/>
          <w:color w:val="000000"/>
          <w:szCs w:val="21"/>
          <w:highlight w:val="none"/>
        </w:rPr>
      </w:pPr>
      <w:r>
        <w:rPr>
          <w:rFonts w:hint="eastAsia" w:ascii="宋体" w:hAnsi="宋体" w:cs="宋体"/>
          <w:color w:val="000000"/>
          <w:szCs w:val="21"/>
          <w:highlight w:val="none"/>
        </w:rPr>
        <w:br w:type="page" w:clear="all"/>
      </w:r>
      <w:r/>
    </w:p>
    <w:p>
      <w:pPr>
        <w:pStyle w:val="1656"/>
        <w:ind w:firstLine="2429"/>
        <w:jc w:val="both"/>
        <w:keepLines/>
        <w:keepNext/>
        <w:spacing w:before="260" w:beforeAutospacing="0" w:after="260" w:afterAutospacing="0" w:line="415" w:lineRule="auto"/>
        <w:rPr>
          <w:rFonts w:hint="eastAsia" w:ascii="黑体" w:hAnsi="宋体" w:eastAsia="黑体" w:cs="黑体"/>
          <w:b/>
          <w:color w:val="000000"/>
          <w:sz w:val="44"/>
          <w:szCs w:val="44"/>
          <w:highlight w:val="none"/>
        </w:rPr>
      </w:pPr>
      <w:r>
        <w:rPr>
          <w:rFonts w:hint="eastAsia" w:ascii="黑体" w:hAnsi="宋体" w:eastAsia="黑体" w:cs="黑体"/>
          <w:b/>
          <w:color w:val="000000"/>
          <w:sz w:val="44"/>
          <w:szCs w:val="44"/>
          <w:highlight w:val="none"/>
        </w:rPr>
        <w:t xml:space="preserve">第二章  </w:t>
      </w:r>
      <w:bookmarkEnd w:id="43"/>
      <w:r/>
      <w:bookmarkStart w:id="44" w:name="_Toc120614213"/>
      <w:r/>
      <w:bookmarkStart w:id="45" w:name="_Toc16938518"/>
      <w:r/>
      <w:bookmarkStart w:id="46" w:name="_Toc20823274"/>
      <w:r/>
      <w:bookmarkStart w:id="47" w:name="_Toc513029202"/>
      <w:r>
        <w:rPr>
          <w:rFonts w:hint="eastAsia" w:ascii="黑体" w:hAnsi="宋体" w:eastAsia="黑体" w:cs="黑体"/>
          <w:b/>
          <w:color w:val="000000"/>
          <w:sz w:val="44"/>
          <w:szCs w:val="44"/>
          <w:highlight w:val="none"/>
        </w:rPr>
        <w:t xml:space="preserve">投标人须知</w:t>
      </w:r>
      <w:bookmarkEnd w:id="44"/>
      <w:r/>
      <w:bookmarkEnd w:id="45"/>
      <w:r/>
      <w:bookmarkEnd w:id="46"/>
      <w:r/>
      <w:bookmarkEnd w:id="47"/>
      <w:r/>
      <w:bookmarkStart w:id="48" w:name="_Toc120614214"/>
      <w:r/>
      <w:bookmarkStart w:id="49" w:name="_Toc20823275"/>
      <w:r/>
      <w:bookmarkStart w:id="50" w:name="_Toc513029203"/>
      <w:r/>
      <w:bookmarkStart w:id="51" w:name="_Toc16938519"/>
      <w:r/>
      <w:r/>
    </w:p>
    <w:p>
      <w:pPr>
        <w:pStyle w:val="1656"/>
        <w:numPr>
          <w:ilvl w:val="0"/>
          <w:numId w:val="1"/>
        </w:numPr>
        <w:ind w:firstLine="420"/>
        <w:jc w:val="both"/>
        <w:spacing w:beforeAutospacing="0" w:afterAutospacing="0" w:line="348"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总则</w:t>
      </w:r>
      <w:bookmarkEnd w:id="48"/>
      <w:r/>
      <w:bookmarkEnd w:id="49"/>
      <w:r/>
      <w:bookmarkEnd w:id="50"/>
      <w:r/>
      <w:bookmarkEnd w:id="51"/>
      <w:r/>
      <w:bookmarkStart w:id="52" w:name="_Toc20823276"/>
      <w:r/>
      <w:bookmarkStart w:id="53" w:name="_Toc458694821"/>
      <w:r/>
      <w:bookmarkStart w:id="54" w:name="_Toc513029204"/>
      <w:r/>
      <w:bookmarkStart w:id="55" w:name="_Toc16938520"/>
      <w:r/>
      <w:bookmarkStart w:id="56" w:name="_Hlt16619475"/>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w:t>
      </w:r>
      <w:bookmarkEnd w:id="52"/>
      <w:r>
        <w:rPr>
          <w:rFonts w:hint="eastAsia" w:ascii="宋体" w:hAnsi="宋体" w:cs="宋体"/>
          <w:color w:val="000000"/>
          <w:sz w:val="21"/>
          <w:szCs w:val="21"/>
          <w:highlight w:val="none"/>
        </w:rPr>
        <w:t xml:space="preserve">、招标方式</w:t>
      </w:r>
      <w:bookmarkEnd w:id="53"/>
      <w:r/>
      <w:bookmarkEnd w:id="54"/>
      <w:r/>
      <w:bookmarkEnd w:id="55"/>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1.1本次招标采取公开招标方式，本招标文件仅适用于招标公告中所述项目。</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57" w:name="_Toc16938521"/>
      <w:r/>
      <w:bookmarkStart w:id="58" w:name="_Toc20823277"/>
      <w:r/>
      <w:bookmarkStart w:id="59" w:name="_Toc513029205"/>
      <w:r>
        <w:rPr>
          <w:rFonts w:hint="eastAsia" w:ascii="宋体" w:hAnsi="宋体" w:cs="宋体"/>
          <w:color w:val="000000"/>
          <w:sz w:val="21"/>
          <w:szCs w:val="21"/>
          <w:highlight w:val="none"/>
        </w:rPr>
        <w:t xml:space="preserve">2、合格的投标人</w:t>
      </w:r>
      <w:bookmarkEnd w:id="57"/>
      <w:r/>
      <w:bookmarkEnd w:id="58"/>
      <w:r/>
      <w:bookmarkEnd w:id="59"/>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2.1满足招标公告中供应商的资格要求的规定。</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2.2满足本文件实质性要求和条件的规定。</w:t>
      </w:r>
      <w:r/>
    </w:p>
    <w:p>
      <w:pPr>
        <w:pStyle w:val="1656"/>
        <w:ind w:firstLine="420"/>
        <w:jc w:val="both"/>
        <w:spacing w:beforeAutospacing="0" w:afterAutospacing="0" w:line="348" w:lineRule="auto"/>
        <w:rPr>
          <w:rFonts w:hint="eastAsia" w:ascii="宋体" w:hAnsi="宋体" w:eastAsia="宋体" w:cs="宋体"/>
          <w:color w:val="000000"/>
          <w:sz w:val="21"/>
          <w:szCs w:val="21"/>
          <w:highlight w:val="none"/>
        </w:rPr>
      </w:pPr>
      <w:r/>
      <w:bookmarkStart w:id="60" w:name="_Toc20823278"/>
      <w:r/>
      <w:bookmarkStart w:id="61" w:name="_Toc513029206"/>
      <w:r/>
      <w:bookmarkStart w:id="62" w:name="_Toc16938522"/>
      <w:r>
        <w:rPr>
          <w:rFonts w:hint="eastAsia" w:ascii="宋体" w:hAnsi="宋体" w:eastAsia="宋体" w:cs="宋体"/>
          <w:color w:val="000000"/>
          <w:sz w:val="21"/>
          <w:szCs w:val="21"/>
          <w:highlight w:val="none"/>
        </w:rPr>
        <w:t xml:space="preserve">3、</w:t>
      </w:r>
      <w:bookmarkEnd w:id="60"/>
      <w:r/>
      <w:bookmarkEnd w:id="61"/>
      <w:r/>
      <w:bookmarkEnd w:id="62"/>
      <w:r>
        <w:rPr>
          <w:rFonts w:hint="eastAsia" w:ascii="宋体" w:hAnsi="宋体" w:eastAsia="宋体" w:cs="宋体"/>
          <w:color w:val="000000"/>
          <w:sz w:val="21"/>
          <w:szCs w:val="21"/>
          <w:highlight w:val="none"/>
        </w:rPr>
        <w:t xml:space="preserve">适用法律和标准</w:t>
      </w:r>
      <w:r/>
    </w:p>
    <w:p>
      <w:pPr>
        <w:pStyle w:val="1656"/>
        <w:ind w:firstLine="420"/>
        <w:jc w:val="both"/>
        <w:spacing w:beforeAutospacing="0" w:afterAutospacing="0" w:line="34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3.1本次招标及由此产生的合同受中华人民共和国有关的法律法规制约和保护。</w:t>
      </w:r>
      <w:r/>
    </w:p>
    <w:p>
      <w:pPr>
        <w:pStyle w:val="1656"/>
        <w:ind w:firstLine="420"/>
        <w:jc w:val="both"/>
        <w:spacing w:beforeAutospacing="0" w:afterAutospacing="0" w:line="348"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3.2在本项目政府采购活动过程中，如果所执行的标准有更新的，按照最新标准执行。</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63" w:name="_Toc16938523"/>
      <w:r/>
      <w:bookmarkStart w:id="64" w:name="_Toc462564067"/>
      <w:r/>
      <w:bookmarkStart w:id="65" w:name="_Toc513029207"/>
      <w:r/>
      <w:bookmarkStart w:id="66" w:name="_Toc20823279"/>
      <w:r>
        <w:rPr>
          <w:rFonts w:hint="eastAsia" w:ascii="宋体" w:hAnsi="宋体" w:cs="宋体"/>
          <w:color w:val="000000"/>
          <w:sz w:val="21"/>
          <w:szCs w:val="21"/>
          <w:highlight w:val="none"/>
        </w:rPr>
        <w:t xml:space="preserve">4、投标费用</w:t>
      </w:r>
      <w:bookmarkEnd w:id="63"/>
      <w:r/>
      <w:bookmarkEnd w:id="64"/>
      <w:r/>
      <w:bookmarkEnd w:id="65"/>
      <w:r/>
      <w:bookmarkEnd w:id="66"/>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4.1投标人应自行承担所有与参加投标有关的费用，无论投标过程中的做法和结果如何，采购人和采购代理机构在任何情况下均无义务和责任承担这些费用。</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4.2本次招标采购人和采购代理机构不收取标书工本费。</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4.3本项目代理服务费由项目中标单位支付，代理服务费收费标准按照《江苏省政府采购代理服务收费指导意见》的通知（苏政采协【2024】20号）收费标准的43.5%计取（说明：扣除本项目专家评审费用），由中标人领取中标通知书前，向代理公司支付，请投标人考虑在投标报价中。</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bCs/>
          <w:color w:val="000000"/>
          <w:sz w:val="21"/>
          <w:szCs w:val="21"/>
          <w:highlight w:val="none"/>
        </w:rPr>
        <w:t xml:space="preserve">5、</w:t>
      </w:r>
      <w:r>
        <w:rPr>
          <w:rFonts w:hint="eastAsia" w:ascii="宋体" w:hAnsi="宋体" w:cs="宋体"/>
          <w:color w:val="000000"/>
          <w:sz w:val="21"/>
          <w:szCs w:val="21"/>
          <w:highlight w:val="none"/>
        </w:rPr>
        <w:t xml:space="preserve">招标文件的约束力</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5.1投标人一旦参加本项目采购活动，即被认为接受了本招标文件的规定和约束。</w:t>
      </w:r>
      <w:r/>
    </w:p>
    <w:p>
      <w:pPr>
        <w:pStyle w:val="1656"/>
        <w:ind w:firstLine="321"/>
        <w:jc w:val="both"/>
        <w:keepLines/>
        <w:keepNext/>
        <w:spacing w:before="145" w:beforeAutospacing="0" w:after="145" w:afterAutospacing="0" w:line="348" w:lineRule="auto"/>
        <w:rPr>
          <w:rFonts w:hint="eastAsia" w:ascii="宋体" w:hAnsi="宋体" w:cs="宋体"/>
          <w:color w:val="000000"/>
          <w:sz w:val="21"/>
          <w:szCs w:val="21"/>
          <w:highlight w:val="none"/>
        </w:rPr>
      </w:pPr>
      <w:r/>
      <w:bookmarkStart w:id="67" w:name="_Toc20823281"/>
      <w:r/>
      <w:bookmarkStart w:id="68" w:name="_Toc513029209"/>
      <w:r/>
      <w:bookmarkStart w:id="69" w:name="_Toc120614215"/>
      <w:r/>
      <w:bookmarkStart w:id="70" w:name="_Toc16938525"/>
      <w:r>
        <w:rPr>
          <w:rFonts w:hint="eastAsia" w:ascii="宋体" w:hAnsi="宋体" w:cs="宋体"/>
          <w:b/>
          <w:color w:val="000000"/>
          <w:sz w:val="21"/>
          <w:szCs w:val="21"/>
          <w:highlight w:val="none"/>
        </w:rPr>
        <w:t xml:space="preserve">二、招标文件</w:t>
      </w:r>
      <w:bookmarkEnd w:id="67"/>
      <w:r/>
      <w:bookmarkEnd w:id="68"/>
      <w:r/>
      <w:bookmarkEnd w:id="69"/>
      <w:r/>
      <w:bookmarkEnd w:id="70"/>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71" w:name="_Toc20823282"/>
      <w:r/>
      <w:bookmarkStart w:id="72" w:name="_Toc16938526"/>
      <w:r/>
      <w:bookmarkStart w:id="73" w:name="_Toc513029210"/>
      <w:r>
        <w:rPr>
          <w:rFonts w:hint="eastAsia" w:ascii="宋体" w:hAnsi="宋体" w:cs="宋体"/>
          <w:color w:val="000000"/>
          <w:sz w:val="21"/>
          <w:szCs w:val="21"/>
          <w:highlight w:val="none"/>
        </w:rPr>
        <w:t xml:space="preserve">6、招标文件构成</w:t>
      </w:r>
      <w:bookmarkEnd w:id="71"/>
      <w:r/>
      <w:bookmarkEnd w:id="72"/>
      <w:r/>
      <w:bookmarkEnd w:id="73"/>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6.1招标文件由以下部分组成：</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（1）招标公告</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（2）投标人须知</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（3）合同文本</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（4）采购需求</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（5）评标方法与评标标准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（6）投标文件格式</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请仔细检查招标文件是否齐全，如有缺漏请立即与采购代理机构联系解决。</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74" w:name="_Toc513029211"/>
      <w:r/>
      <w:bookmarkStart w:id="75" w:name="_Toc20823283"/>
      <w:r/>
      <w:bookmarkStart w:id="76" w:name="_Toc462564070"/>
      <w:r/>
      <w:bookmarkStart w:id="77" w:name="_Toc16938527"/>
      <w:r>
        <w:rPr>
          <w:rFonts w:hint="eastAsia" w:ascii="宋体" w:hAnsi="宋体" w:cs="宋体"/>
          <w:color w:val="000000"/>
          <w:sz w:val="21"/>
          <w:szCs w:val="21"/>
          <w:highlight w:val="none"/>
        </w:rPr>
        <w:t xml:space="preserve">7、招标文件的澄清</w:t>
      </w:r>
      <w:bookmarkEnd w:id="74"/>
      <w:r/>
      <w:bookmarkEnd w:id="75"/>
      <w:r/>
      <w:bookmarkEnd w:id="76"/>
      <w:r/>
      <w:bookmarkEnd w:id="77"/>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7.1任何要求对招标文件进行澄清的投标人，应在投标截止期</w:t>
      </w:r>
      <w:r>
        <w:rPr>
          <w:rFonts w:hint="eastAsia" w:ascii="宋体" w:hAnsi="宋体" w:cs="宋体"/>
          <w:b/>
          <w:color w:val="000000"/>
          <w:sz w:val="21"/>
          <w:szCs w:val="21"/>
          <w:highlight w:val="none"/>
        </w:rPr>
        <w:t xml:space="preserve">十日</w:t>
      </w:r>
      <w:r>
        <w:rPr>
          <w:rFonts w:hint="eastAsia" w:ascii="宋体" w:hAnsi="宋体" w:cs="宋体"/>
          <w:color w:val="000000"/>
          <w:sz w:val="21"/>
          <w:szCs w:val="21"/>
          <w:highlight w:val="none"/>
        </w:rPr>
        <w:t xml:space="preserve">前按招标公告中的通讯地址，以书面形式通知采购代理机构。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78" w:name="_Toc16938528"/>
      <w:r/>
      <w:bookmarkStart w:id="79" w:name="_Toc513029212"/>
      <w:r/>
      <w:bookmarkStart w:id="80" w:name="_Toc462564071"/>
      <w:r/>
      <w:bookmarkStart w:id="81" w:name="_Toc20823284"/>
      <w:r>
        <w:rPr>
          <w:rFonts w:hint="eastAsia" w:ascii="宋体" w:hAnsi="宋体" w:cs="宋体"/>
          <w:color w:val="000000"/>
          <w:sz w:val="21"/>
          <w:szCs w:val="21"/>
          <w:highlight w:val="none"/>
        </w:rPr>
        <w:t xml:space="preserve">8、招标文件的修改</w:t>
      </w:r>
      <w:bookmarkEnd w:id="78"/>
      <w:r/>
      <w:bookmarkEnd w:id="79"/>
      <w:r/>
      <w:bookmarkEnd w:id="80"/>
      <w:r/>
      <w:bookmarkEnd w:id="81"/>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8.1在投标截止时间前，采购代理机构可以对招标文件进行修改。</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8.2采购代理机构有权按照法定的要求推迟投标截止日期和开标日期。</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8.3招标文件的修改将在中国政府采购网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江苏政府采购网、盐城市政府采购网公布，补充文件将作为招标文件的组成部分，并对投标人具有约束力。</w:t>
      </w:r>
      <w:r/>
    </w:p>
    <w:p>
      <w:pPr>
        <w:pStyle w:val="1656"/>
        <w:ind w:firstLine="422"/>
        <w:jc w:val="both"/>
        <w:spacing w:beforeAutospacing="0" w:afterAutospacing="0" w:line="348" w:lineRule="auto"/>
        <w:rPr>
          <w:rFonts w:hint="eastAsia" w:ascii="宋体" w:hAnsi="宋体" w:cs="宋体"/>
          <w:color w:val="000000"/>
          <w:sz w:val="21"/>
          <w:szCs w:val="21"/>
          <w:highlight w:val="none"/>
        </w:rPr>
      </w:pPr>
      <w:r/>
      <w:bookmarkStart w:id="82" w:name="_Toc20823285"/>
      <w:r/>
      <w:bookmarkStart w:id="83" w:name="_Toc120614216"/>
      <w:r/>
      <w:bookmarkStart w:id="84" w:name="_Toc16938529"/>
      <w:r/>
      <w:bookmarkStart w:id="85" w:name="_Toc462564072"/>
      <w:r/>
      <w:bookmarkStart w:id="86" w:name="_Toc513029213"/>
      <w:r>
        <w:rPr>
          <w:rFonts w:hint="eastAsia" w:ascii="宋体" w:hAnsi="宋体" w:cs="宋体"/>
          <w:b/>
          <w:color w:val="000000"/>
          <w:sz w:val="21"/>
          <w:szCs w:val="21"/>
          <w:highlight w:val="none"/>
        </w:rPr>
        <w:t xml:space="preserve">三、投标文件的编制</w:t>
      </w:r>
      <w:bookmarkEnd w:id="82"/>
      <w:r/>
      <w:bookmarkEnd w:id="83"/>
      <w:r/>
      <w:bookmarkEnd w:id="84"/>
      <w:r/>
      <w:bookmarkEnd w:id="85"/>
      <w:r/>
      <w:bookmarkEnd w:id="86"/>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87" w:name="_Toc513029214"/>
      <w:r/>
      <w:bookmarkStart w:id="88" w:name="_Toc20823286"/>
      <w:r/>
      <w:bookmarkStart w:id="89" w:name="_Toc462564073"/>
      <w:r/>
      <w:bookmarkStart w:id="90" w:name="_Toc16938530"/>
      <w:r>
        <w:rPr>
          <w:rFonts w:hint="eastAsia" w:ascii="宋体" w:hAnsi="宋体" w:cs="宋体"/>
          <w:color w:val="000000"/>
          <w:sz w:val="21"/>
          <w:szCs w:val="21"/>
          <w:highlight w:val="none"/>
        </w:rPr>
        <w:t xml:space="preserve">9、投标文件的语言及度量衡单位</w:t>
      </w:r>
      <w:bookmarkEnd w:id="87"/>
      <w:r/>
      <w:bookmarkEnd w:id="88"/>
      <w:r/>
      <w:bookmarkEnd w:id="89"/>
      <w:r/>
      <w:bookmarkEnd w:id="90"/>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9.1投标人提交的投标文件以及投标人与采购代理机构就有关投标的所有来往通知、函件和文件均应使用</w:t>
      </w:r>
      <w:r>
        <w:rPr>
          <w:rFonts w:hint="eastAsia" w:ascii="宋体" w:hAnsi="宋体" w:cs="宋体"/>
          <w:b/>
          <w:color w:val="000000"/>
          <w:sz w:val="21"/>
          <w:szCs w:val="21"/>
          <w:highlight w:val="none"/>
        </w:rPr>
        <w:t xml:space="preserve">简体中文</w:t>
      </w:r>
      <w:r>
        <w:rPr>
          <w:rFonts w:hint="eastAsia" w:ascii="宋体" w:hAnsi="宋体" w:cs="宋体"/>
          <w:color w:val="000000"/>
          <w:sz w:val="21"/>
          <w:szCs w:val="21"/>
          <w:highlight w:val="none"/>
        </w:rPr>
        <w:t xml:space="preserve">。</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9.2除技术性能另有规定外，投标文件所使用的度量衡单位，均须采用国家法定计量单位。</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91" w:name="_Toc462564074"/>
      <w:r/>
      <w:bookmarkStart w:id="92" w:name="_Toc16938531"/>
      <w:r/>
      <w:bookmarkStart w:id="93" w:name="_Toc513029215"/>
      <w:r/>
      <w:bookmarkStart w:id="94" w:name="_Toc20823287"/>
      <w:r>
        <w:rPr>
          <w:rFonts w:hint="eastAsia" w:ascii="宋体" w:hAnsi="宋体" w:cs="宋体"/>
          <w:color w:val="000000"/>
          <w:sz w:val="21"/>
          <w:szCs w:val="21"/>
          <w:highlight w:val="none"/>
        </w:rPr>
        <w:t xml:space="preserve">10、投标文件构成</w:t>
      </w:r>
      <w:bookmarkEnd w:id="91"/>
      <w:r/>
      <w:bookmarkEnd w:id="92"/>
      <w:r/>
      <w:bookmarkEnd w:id="93"/>
      <w:r/>
      <w:bookmarkEnd w:id="94"/>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10.2如标书制作工具中格式和内容与</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发布的招标文件不一致，请以中国政府采购网”“江苏政府采购网”“盐城市政府采购网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发布的招标文件为准。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95" w:name="_Toc49090507"/>
      <w:r/>
      <w:bookmarkStart w:id="96" w:name="_Toc49090508"/>
      <w:r/>
      <w:bookmarkStart w:id="97" w:name="_Toc14577354"/>
      <w:r/>
      <w:bookmarkStart w:id="98" w:name="_Toc14577355"/>
      <w:r/>
      <w:bookmarkStart w:id="99" w:name="_Toc513029219"/>
      <w:r/>
      <w:bookmarkStart w:id="100" w:name="_Toc14577357"/>
      <w:r/>
      <w:bookmarkStart w:id="101" w:name="_Toc513029216"/>
      <w:r/>
      <w:bookmarkStart w:id="102" w:name="_Toc49090509"/>
      <w:r/>
      <w:bookmarkStart w:id="103" w:name="_Hlt26954838"/>
      <w:r/>
      <w:bookmarkStart w:id="104" w:name="_Hlt26670360"/>
      <w:r/>
      <w:bookmarkStart w:id="105" w:name="_Hlt26668975"/>
      <w:r>
        <w:rPr>
          <w:rFonts w:hint="eastAsia" w:ascii="宋体" w:hAnsi="宋体" w:cs="宋体"/>
          <w:color w:val="000000"/>
          <w:sz w:val="21"/>
          <w:szCs w:val="21"/>
          <w:highlight w:val="none"/>
        </w:rPr>
        <w:t xml:space="preserve">11、证明投标人及投标标的符合招标文件规定的文件</w:t>
      </w:r>
      <w:bookmarkEnd w:id="95"/>
      <w:r/>
      <w:bookmarkEnd w:id="96"/>
      <w:r/>
      <w:bookmarkEnd w:id="97"/>
      <w:r/>
      <w:bookmarkEnd w:id="98"/>
      <w:r/>
      <w:bookmarkEnd w:id="99"/>
      <w:r/>
      <w:bookmarkEnd w:id="100"/>
      <w:r/>
      <w:bookmarkEnd w:id="101"/>
      <w:r/>
      <w:bookmarkEnd w:id="102"/>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11.1投标人应按照招标文件要求提交证明文件，证明其及投标标的符合招标文件规定。</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11.2招标文件对证明文件无明确形式要求的，证明文件可以以文字资料、图纸和数据等形式提交。</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12、投标分项报价表</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12.1投标人应按照招标文件规定格式填报投标分项报价表。</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12.2投标货币。投标文件中的单价和总价无特殊规定的采用人民币报价，以元为单位标注。招标文件中另有规定的按规定执行。</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06" w:name="_Hlt26954731"/>
      <w:r/>
      <w:bookmarkStart w:id="107" w:name="_Hlt26954846"/>
      <w:r/>
      <w:bookmarkStart w:id="108" w:name="_Hlt26670486"/>
      <w:r/>
      <w:bookmarkStart w:id="109" w:name="_Hlt26670482"/>
      <w:r/>
      <w:bookmarkStart w:id="110" w:name="_Hlt26954848"/>
      <w:r>
        <w:rPr>
          <w:rFonts w:hint="eastAsia" w:ascii="宋体" w:hAnsi="宋体" w:cs="宋体"/>
          <w:color w:val="000000"/>
          <w:sz w:val="21"/>
          <w:szCs w:val="21"/>
          <w:highlight w:val="none"/>
        </w:rPr>
        <w:t xml:space="preserve">13、技术要求响应及偏离表、商务要求响应及偏离表</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13.1投标人需对招标文件中的技术要求与商务要求逐项作出响应或偏离，并说明原因。</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13.2投标人可在投标文件中提供认为需要的其他技术文件或说明。</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14、服务承诺、培训计划、人员安排及其他</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14.1投标人需根据招标文件要求提供有关售后服务的管理制度，售后服务机构的分布情况，售后服务人员的数量、素质、技术水平及售后服务的反应能力等。</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14.2投标人需根据招标文件要求提供培训计划。</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14.3投标人需根据招标文件要求提供所投标的的主要组成部分、功能设计、实现思路及关键技术等。</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11" w:name="_Toc14577359"/>
      <w:r/>
      <w:bookmarkStart w:id="112" w:name="_Toc49090510"/>
      <w:r>
        <w:rPr>
          <w:rFonts w:hint="eastAsia" w:ascii="宋体" w:hAnsi="宋体" w:cs="宋体"/>
          <w:color w:val="000000"/>
          <w:sz w:val="21"/>
          <w:szCs w:val="21"/>
          <w:highlight w:val="none"/>
        </w:rPr>
        <w:t xml:space="preserve">15、投标函和开标一览表</w:t>
      </w:r>
      <w:bookmarkEnd w:id="111"/>
      <w:r/>
      <w:bookmarkEnd w:id="112"/>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15.1投标人应按照招标文件中提供的格式完整、正确填写投标函、开标一览表。</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13" w:name="_Toc49090511"/>
      <w:r/>
      <w:bookmarkStart w:id="114" w:name="_Toc14577360"/>
      <w:r>
        <w:rPr>
          <w:rFonts w:hint="eastAsia" w:ascii="宋体" w:hAnsi="宋体" w:cs="宋体"/>
          <w:color w:val="000000"/>
          <w:sz w:val="21"/>
          <w:szCs w:val="21"/>
          <w:highlight w:val="none"/>
        </w:rPr>
        <w:t xml:space="preserve">16、投标有效期</w:t>
      </w:r>
      <w:bookmarkEnd w:id="113"/>
      <w:r/>
      <w:bookmarkEnd w:id="114"/>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16.1投标有效期为采购代理机构规定的开标之日后</w:t>
      </w:r>
      <w:r>
        <w:rPr>
          <w:rFonts w:hint="eastAsia" w:ascii="宋体" w:hAnsi="宋体" w:cs="宋体"/>
          <w:b/>
          <w:color w:val="000000"/>
          <w:sz w:val="21"/>
          <w:szCs w:val="21"/>
          <w:highlight w:val="none"/>
          <w:u w:val="single"/>
        </w:rPr>
        <w:t xml:space="preserve">九十（90）天</w:t>
      </w:r>
      <w:r>
        <w:rPr>
          <w:rFonts w:hint="eastAsia" w:ascii="宋体" w:hAnsi="宋体" w:cs="宋体"/>
          <w:color w:val="000000"/>
          <w:sz w:val="21"/>
          <w:szCs w:val="21"/>
          <w:highlight w:val="none"/>
        </w:rPr>
        <w:t xml:space="preserve">。投标有效期比规定短的将被视为未实质性响应招标文件而予以拒绝。</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17、投标有效期的延长</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1656"/>
        <w:ind w:firstLine="422"/>
        <w:jc w:val="both"/>
        <w:keepLines/>
        <w:keepNext/>
        <w:spacing w:before="145" w:beforeAutospacing="0" w:after="145" w:afterAutospacing="0" w:line="348" w:lineRule="auto"/>
        <w:rPr>
          <w:rFonts w:hint="eastAsia" w:ascii="宋体" w:hAnsi="宋体" w:cs="宋体"/>
          <w:color w:val="000000"/>
          <w:sz w:val="21"/>
          <w:szCs w:val="21"/>
          <w:highlight w:val="none"/>
        </w:rPr>
      </w:pPr>
      <w:r/>
      <w:bookmarkStart w:id="115" w:name="_Toc16938540"/>
      <w:r/>
      <w:bookmarkStart w:id="116" w:name="_Toc20823296"/>
      <w:r/>
      <w:bookmarkStart w:id="117" w:name="_Toc120614217"/>
      <w:r/>
      <w:bookmarkStart w:id="118" w:name="_Toc513029224"/>
      <w:r/>
      <w:bookmarkStart w:id="119" w:name="_Hlt26954739"/>
      <w:r/>
      <w:bookmarkStart w:id="120" w:name="_Hlt26954852"/>
      <w:r>
        <w:rPr>
          <w:rFonts w:hint="eastAsia" w:ascii="宋体" w:hAnsi="宋体" w:cs="宋体"/>
          <w:b/>
          <w:color w:val="000000"/>
          <w:sz w:val="21"/>
          <w:szCs w:val="21"/>
          <w:highlight w:val="none"/>
        </w:rPr>
        <w:t xml:space="preserve">四、投标文件的递交</w:t>
      </w:r>
      <w:bookmarkEnd w:id="115"/>
      <w:r/>
      <w:bookmarkEnd w:id="116"/>
      <w:r/>
      <w:bookmarkEnd w:id="117"/>
      <w:r/>
      <w:bookmarkEnd w:id="118"/>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21" w:name="_Toc513029225"/>
      <w:r/>
      <w:bookmarkStart w:id="122" w:name="_Toc20823297"/>
      <w:r/>
      <w:bookmarkStart w:id="123" w:name="_Toc462564084"/>
      <w:r/>
      <w:bookmarkStart w:id="124" w:name="_Toc16938541"/>
      <w:r>
        <w:rPr>
          <w:rFonts w:hint="eastAsia" w:ascii="宋体" w:hAnsi="宋体" w:cs="宋体"/>
          <w:color w:val="000000"/>
          <w:sz w:val="21"/>
          <w:szCs w:val="21"/>
          <w:highlight w:val="none"/>
        </w:rPr>
        <w:t xml:space="preserve">18、电子投标文件</w:t>
      </w:r>
      <w:bookmarkEnd w:id="121"/>
      <w:r/>
      <w:bookmarkEnd w:id="122"/>
      <w:r/>
      <w:bookmarkEnd w:id="123"/>
      <w:r/>
      <w:bookmarkEnd w:id="124"/>
      <w:r>
        <w:rPr>
          <w:rFonts w:hint="eastAsia" w:ascii="宋体" w:hAnsi="宋体" w:cs="宋体"/>
          <w:color w:val="000000"/>
          <w:sz w:val="21"/>
          <w:szCs w:val="21"/>
          <w:highlight w:val="none"/>
        </w:rPr>
        <w:t xml:space="preserve">的递交</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18.1投标人应当按照《操作手册》规定，在投标截止时间前制作并上传电子投标</w:t>
      </w:r>
      <w:r/>
    </w:p>
    <w:p>
      <w:pPr>
        <w:pStyle w:val="1656"/>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文件。</w:t>
      </w:r>
      <w:bookmarkStart w:id="125" w:name="_Toc16938542"/>
      <w:r/>
      <w:bookmarkEnd w:id="125"/>
      <w:r/>
      <w:bookmarkStart w:id="126" w:name="_Toc20823298"/>
      <w:r/>
      <w:bookmarkEnd w:id="126"/>
      <w:r/>
      <w:bookmarkStart w:id="127" w:name="_Toc513029226"/>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19、投标截止日期</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i/>
          <w:color w:val="000000"/>
          <w:sz w:val="21"/>
          <w:szCs w:val="21"/>
          <w:highlight w:val="none"/>
          <w:u w:val="single"/>
        </w:rPr>
        <w:t xml:space="preserve">19.1投标人上传电子投标文件的时间不得迟于招标公告中规定的投标截止时间。</w:t>
      </w:r>
      <w:r/>
    </w:p>
    <w:p>
      <w:pPr>
        <w:pStyle w:val="165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19.2采购代理机构可以按照规定，通过修改招标文件酌情延长投标截止日期，在此情况下，投标人的所有权利和义务以及投标人受制的截止日期均应以延长后新的截止日期为准。</w:t>
      </w:r>
      <w:r/>
    </w:p>
    <w:p>
      <w:pPr>
        <w:pStyle w:val="1656"/>
        <w:ind w:firstLine="420"/>
        <w:jc w:val="both"/>
        <w:keepLines/>
        <w:keepNext/>
        <w:spacing w:beforeAutospacing="0" w:afterAutospacing="0" w:line="348" w:lineRule="auto"/>
        <w:rPr>
          <w:rFonts w:hint="eastAsia" w:ascii="宋体" w:hAnsi="宋体" w:cs="宋体"/>
          <w:color w:val="000000"/>
          <w:sz w:val="21"/>
          <w:szCs w:val="21"/>
          <w:highlight w:val="none"/>
        </w:rPr>
      </w:pPr>
      <w:r/>
      <w:bookmarkStart w:id="128" w:name="_Toc513029227"/>
      <w:r/>
      <w:bookmarkStart w:id="129" w:name="_Toc16938543"/>
      <w:r/>
      <w:bookmarkStart w:id="130" w:name="_Toc20823299"/>
      <w:r>
        <w:rPr>
          <w:rFonts w:hint="eastAsia" w:ascii="宋体" w:hAnsi="宋体" w:cs="宋体"/>
          <w:color w:val="000000"/>
          <w:sz w:val="21"/>
          <w:szCs w:val="21"/>
          <w:highlight w:val="none"/>
        </w:rPr>
        <w:t xml:space="preserve">20、投标文件</w:t>
      </w:r>
      <w:bookmarkEnd w:id="128"/>
      <w:r/>
      <w:bookmarkEnd w:id="129"/>
      <w:r/>
      <w:bookmarkEnd w:id="130"/>
      <w:r>
        <w:rPr>
          <w:rFonts w:hint="eastAsia" w:ascii="宋体" w:hAnsi="宋体" w:cs="宋体"/>
          <w:color w:val="000000"/>
          <w:sz w:val="21"/>
          <w:szCs w:val="21"/>
          <w:highlight w:val="none"/>
        </w:rPr>
        <w:t xml:space="preserve">的拒收</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20.1采购代理机构拒绝接收在其规定的投标截止时间后上传的任何投标文件。</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31" w:name="_Toc16938544"/>
      <w:r/>
      <w:bookmarkStart w:id="132" w:name="_Toc20823300"/>
      <w:r/>
      <w:bookmarkStart w:id="133" w:name="_Toc513029228"/>
      <w:r>
        <w:rPr>
          <w:rFonts w:hint="eastAsia" w:ascii="宋体" w:hAnsi="宋体" w:cs="宋体"/>
          <w:color w:val="000000"/>
          <w:sz w:val="21"/>
          <w:szCs w:val="21"/>
          <w:highlight w:val="none"/>
        </w:rPr>
        <w:t xml:space="preserve">21、投标文件的撤回和修改</w:t>
      </w:r>
      <w:bookmarkEnd w:id="131"/>
      <w:r/>
      <w:bookmarkEnd w:id="132"/>
      <w:r/>
      <w:bookmarkEnd w:id="133"/>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21.1投标文件的撤回</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21.1.1电子投标文件的撤回</w:t>
      </w:r>
      <w:r/>
    </w:p>
    <w:p>
      <w:pPr>
        <w:pStyle w:val="165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投标人可在投标截止时间前，撤回其电子投标文件，具体操作方法见《操作手册》。</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21.1.2投标人撤回电子投标文件，则认为其不再参与本项目投标活动。</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21.2投标文件的修改</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21.2.1投标人可在投标截止时间前，对其电子投标文件进行修改，具体操作方法见《操作手册》。</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21.2.2在投标截止时间之后，投标人不得对其电子投标文件作任何修改。</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21.3在投标截止时间至招标文件中规定的投标有效期满之间的这段时间内，投标人不得撤回其投标。</w:t>
      </w:r>
      <w:r/>
    </w:p>
    <w:p>
      <w:pPr>
        <w:pStyle w:val="1656"/>
        <w:ind w:firstLine="422"/>
        <w:jc w:val="both"/>
        <w:spacing w:beforeAutospacing="0" w:afterAutospacing="0" w:line="348" w:lineRule="auto"/>
        <w:rPr>
          <w:rFonts w:hint="eastAsia" w:ascii="宋体" w:hAnsi="宋体" w:cs="宋体"/>
          <w:color w:val="000000"/>
          <w:sz w:val="21"/>
          <w:szCs w:val="21"/>
          <w:highlight w:val="none"/>
        </w:rPr>
      </w:pPr>
      <w:r/>
      <w:bookmarkStart w:id="134" w:name="_Toc120614218"/>
      <w:r/>
      <w:bookmarkStart w:id="135" w:name="_Toc16938545"/>
      <w:r/>
      <w:bookmarkStart w:id="136" w:name="_Toc20823301"/>
      <w:r/>
      <w:bookmarkStart w:id="137" w:name="_Toc513029229"/>
      <w:r>
        <w:rPr>
          <w:rFonts w:hint="eastAsia" w:ascii="宋体" w:hAnsi="宋体" w:cs="宋体"/>
          <w:b/>
          <w:color w:val="000000"/>
          <w:sz w:val="21"/>
          <w:szCs w:val="21"/>
          <w:highlight w:val="none"/>
        </w:rPr>
        <w:t xml:space="preserve">五、开标与评标</w:t>
      </w:r>
      <w:bookmarkEnd w:id="134"/>
      <w:r/>
      <w:bookmarkEnd w:id="135"/>
      <w:r/>
      <w:bookmarkEnd w:id="136"/>
      <w:r/>
      <w:bookmarkEnd w:id="137"/>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38" w:name="_Toc16938546"/>
      <w:r/>
      <w:bookmarkStart w:id="139" w:name="_Toc20823302"/>
      <w:r/>
      <w:bookmarkStart w:id="140" w:name="_Toc513029230"/>
      <w:r>
        <w:rPr>
          <w:rFonts w:hint="eastAsia" w:ascii="宋体" w:hAnsi="宋体" w:cs="宋体"/>
          <w:color w:val="000000"/>
          <w:sz w:val="21"/>
          <w:szCs w:val="21"/>
          <w:highlight w:val="none"/>
        </w:rPr>
        <w:t xml:space="preserve">22、开标</w:t>
      </w:r>
      <w:bookmarkEnd w:id="138"/>
      <w:r/>
      <w:bookmarkEnd w:id="139"/>
      <w:r/>
      <w:bookmarkEnd w:id="140"/>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22.1采购代理机构将在招标公告中规定的时间和地点组织公开开标。投标人应当按照《操作手册》规定，参加开标活动和在苏采云系统规定的时间内对投标文件进行解密。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22.2开标仪式由采购代理机构组织。苏采云系统将自动对项目进行开标，并宣布各投标人名称和投标价格。</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22.3投标人在开标过程中涉及到的投标文件解密、开标结果确认等工作，应按照《操作手册》规定执行。</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22.4投标人如果对开标过程和开标记录有疑义，应当根据《操作手册》规定提出，如 苏采云系统中《开标记录表》宣布后5分钟内未提出的，视同认可开标结果。</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41" w:name="_Toc16938547"/>
      <w:r/>
      <w:bookmarkStart w:id="142" w:name="_Toc20823303"/>
      <w:r/>
      <w:bookmarkStart w:id="143" w:name="_Toc513029231"/>
      <w:r>
        <w:rPr>
          <w:rFonts w:hint="eastAsia" w:ascii="宋体" w:hAnsi="宋体" w:cs="宋体"/>
          <w:color w:val="000000"/>
          <w:sz w:val="21"/>
          <w:szCs w:val="21"/>
          <w:highlight w:val="none"/>
        </w:rPr>
        <w:t xml:space="preserve">23、评标委员会</w:t>
      </w:r>
      <w:bookmarkEnd w:id="141"/>
      <w:r/>
      <w:bookmarkEnd w:id="142"/>
      <w:r/>
      <w:bookmarkEnd w:id="143"/>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23.1开标后，采购代理机构将立即组织评标委员会（以下简称评委会）进行评标。</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23.2评委会由采购人代表和有关技术、经济等方面的专家组成，且人员构成符合政府采购有关规定。</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23.3评委会独立工作，负责评审所有投标文件并确定中标候选人。</w:t>
      </w:r>
      <w:r/>
    </w:p>
    <w:p>
      <w:pPr>
        <w:pStyle w:val="1656"/>
        <w:ind w:firstLine="420"/>
        <w:jc w:val="both"/>
        <w:keepLines/>
        <w:keepNext/>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24．评标过程的保密与公正</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24.1凡是与审查、澄清、评价和比较投标的有关资料以及授标建议等，采购人、评委、采购代理机构均不得向投标人或与评标无关的其他人员透露。</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24.2在评标过程中，投标人不得以任何行为影响评标过程，否则其投标文件将被作为无效投标文件。</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24.3采购代理机构和评标委员会不向未中标的投标人解释未中标原因，也不公布评标过程中的相关细节。</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24.4采用综合评分法的项目，未中标的投标人可于中标结果公告期限届满之日起通过苏采云系统查看自己的评审得分及排序情况。（提醒：经办人在苏采云系统查询到中标结果公告后，再点击推送。招标文件定稿后该提醒删除）</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44" w:name="_Toc16938548"/>
      <w:r/>
      <w:bookmarkStart w:id="145" w:name="_Toc20823304"/>
      <w:r/>
      <w:bookmarkStart w:id="146" w:name="_Toc513029232"/>
      <w:r>
        <w:rPr>
          <w:rFonts w:hint="eastAsia" w:ascii="宋体" w:hAnsi="宋体" w:cs="宋体"/>
          <w:color w:val="000000"/>
          <w:sz w:val="21"/>
          <w:szCs w:val="21"/>
          <w:highlight w:val="none"/>
        </w:rPr>
        <w:t xml:space="preserve">25．投标文件的澄清</w:t>
      </w:r>
      <w:bookmarkEnd w:id="144"/>
      <w:r/>
      <w:bookmarkEnd w:id="145"/>
      <w:r/>
      <w:bookmarkEnd w:id="146"/>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47" w:name="_Toc513029233"/>
      <w:r/>
      <w:bookmarkStart w:id="148" w:name="_Toc16938549"/>
      <w:r/>
      <w:bookmarkStart w:id="149" w:name="_Toc20823305"/>
      <w:r>
        <w:rPr>
          <w:rFonts w:hint="eastAsia" w:ascii="宋体" w:hAnsi="宋体" w:cs="宋体"/>
          <w:color w:val="000000"/>
          <w:sz w:val="21"/>
          <w:szCs w:val="21"/>
          <w:highlight w:val="none"/>
        </w:rPr>
        <w:t xml:space="preserve">25.1评标期间，评委会对投标文件中含义不明确、同类问题表述不一致或者有明显文字和计算错误的内容，有权要求投标人作出必要的澄清、说明或者补正。</w:t>
      </w:r>
      <w:bookmarkEnd w:id="147"/>
      <w:r/>
      <w:bookmarkEnd w:id="148"/>
      <w:r/>
      <w:bookmarkEnd w:id="149"/>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投标人的澄清、说明或者补正不得超出投标文件的范围或者改变投标文件的实质性内容。</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评标委员会并非对每个投标人都做澄清要求。</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25.3接到评委会澄清、说明和补正要求的投标人如未按规定作出澄清、说明和补正，其风险由投标人自行承担。</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26、对投标文件的初审</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26.1投标文件初审分为资格审查和符合性审查。</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26.1.1资格审查：依据法律法规和招标文件的规定，由采购人对投标文件中的资格证明文件进行审查。资格审查的结论，采购人以书面形式向评委会进行反馈。</w:t>
      </w:r>
      <w:r/>
    </w:p>
    <w:p>
      <w:pPr>
        <w:pStyle w:val="165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采购人在进行资格性审查的同时，将在“信用中国”网站（www.creditchina.gov.cn）查询投标人的信用记录，以确定投标人是否具备投标资格,查询结果留存并归档。</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26.1.2符合性审查：依据招标文件的规定，由评委会从投标文件的有效性、完整性和对招标文件的响应程度进行审查，以确定是否对招标文件的实质性要求作出响应。</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pStyle w:val="165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26.3如果投标文件实质上没有响应招标文件的要求，评委会将予以拒绝，投标人不得通过修改或撤销不符合要求的偏离或保留而使其投标成为实质性响应的投标。</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26.4评委会将对确定为实质性响应的投标进行进一步审核，看其是否有计算上或累加上的算术错误，修正错误的原则如下：</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（1）投标文件中开标一览表内容与投标文件中相应内容不一致的，以开标一览表为准。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（2）大写金额和小写金额不一致的，以大写金额为准。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（3）单价金额小数点或者百分比有明显错位的，以开标一览表的总价为准，并修改单价。</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（4）总价金额与按单价汇总金额不一致的，以单价金额计算结果为准。</w:t>
      </w:r>
      <w:r/>
    </w:p>
    <w:p>
      <w:pPr>
        <w:pStyle w:val="165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同时出现两种以上错误的，按照前款规定的顺序修正。</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50" w:name="_Toc20823306"/>
      <w:r/>
      <w:bookmarkStart w:id="151" w:name="_Toc16938550"/>
      <w:r/>
      <w:bookmarkStart w:id="152" w:name="_Toc513029234"/>
      <w:r>
        <w:rPr>
          <w:rFonts w:hint="eastAsia" w:ascii="宋体" w:hAnsi="宋体" w:cs="宋体"/>
          <w:color w:val="000000"/>
          <w:sz w:val="21"/>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0"/>
      <w:r/>
      <w:bookmarkEnd w:id="151"/>
      <w:r/>
      <w:bookmarkEnd w:id="152"/>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非单一产品采购项目，招标文件中将载明其中的核心产品。多家投标人提供的核心产品品牌相同的，按前两款规定处理。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26.7投标人在开、评标全过程中应保持通信畅通，及时登录苏采云系统查阅、答复相关信息，并安排专人与采购代理机构及评标委员会联系。</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27、无效投标条款和废标条款</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53" w:name="_Toc16938551"/>
      <w:r/>
      <w:bookmarkStart w:id="154" w:name="_Toc20823307"/>
      <w:r/>
      <w:bookmarkStart w:id="155" w:name="_Toc513029235"/>
      <w:r>
        <w:rPr>
          <w:rFonts w:hint="eastAsia" w:ascii="宋体" w:hAnsi="宋体" w:cs="宋体"/>
          <w:color w:val="000000"/>
          <w:sz w:val="21"/>
          <w:szCs w:val="21"/>
          <w:highlight w:val="none"/>
        </w:rPr>
        <w:t xml:space="preserve">27.1无效投标条款</w:t>
      </w:r>
      <w:bookmarkEnd w:id="153"/>
      <w:r/>
      <w:bookmarkEnd w:id="154"/>
      <w:r/>
      <w:bookmarkEnd w:id="155"/>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27.1.1投标人在苏采云系统规定的时间内未成功解密电子投标文件的。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27.1.2投标人未按照招标文件要求上传电子投标文件的。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27.1.3同一投标人提交两个（含两个）以上不同的投标报价的。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27.1.4投标人不具备招标文件中规定资格要求的。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27.1.5投标人的报价超过了采购预算或最高限价的。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27.1.6未通过符合性审查的。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27.1.7不符合招标文件中规定的实质性要求和条件的（</w:t>
      </w:r>
      <w:r>
        <w:rPr>
          <w:rFonts w:hint="eastAsia" w:ascii="宋体" w:hAnsi="宋体" w:cs="宋体"/>
          <w:i/>
          <w:color w:val="000000"/>
          <w:sz w:val="21"/>
          <w:szCs w:val="21"/>
          <w:highlight w:val="none"/>
          <w:u w:val="single"/>
        </w:rPr>
        <w:t xml:space="preserve">本招标文件中斜体且有下划线部分为实质性要求和条件）。</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27.1.9投标文件含有采购人不能接受的附加条件的。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27.1.10投标人不能证明其报价合理性的，评标委员会应当将其作为无效投标处理。</w:t>
      </w:r>
      <w:r/>
    </w:p>
    <w:p>
      <w:pPr>
        <w:pStyle w:val="1656"/>
        <w:ind w:firstLine="420"/>
        <w:jc w:val="both"/>
        <w:spacing w:beforeAutospacing="0" w:afterAutospacing="0" w:line="348"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（一）评审过程中出现下列情形之一的，评标委员会应当启动异常低价投标审查程序：</w:t>
      </w:r>
      <w:r/>
    </w:p>
    <w:p>
      <w:pPr>
        <w:pStyle w:val="165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165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165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3.投标（响应）报价低于采购项目最高限价45%的，即投标（响应）报价&lt;采购项目最高限价×45%；</w:t>
      </w:r>
      <w:r/>
    </w:p>
    <w:p>
      <w:pPr>
        <w:pStyle w:val="165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4.评审委员会基于专业判断，认为供应商报价过低，有可能影响产品质量或者不能诚信履约的其他情形。</w:t>
      </w:r>
      <w:r/>
    </w:p>
    <w:p>
      <w:pPr>
        <w:pStyle w:val="165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u w:val="single"/>
          <w:lang w:val="en-US" w:eastAsia="zh-CN"/>
        </w:rPr>
        <w:t xml:space="preserve">提醒：采购人可以结合具体项目实际情况，提高上述第1项至第3项中启动异常低价投标（响应）审查的数值标准，但是最高不得超过65%。</w:t>
      </w:r>
      <w:r/>
    </w:p>
    <w:p>
      <w:pPr>
        <w:pStyle w:val="165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相关法律法规对供应商报价有规定的，从其规定。</w:t>
      </w:r>
      <w:r/>
    </w:p>
    <w:p>
      <w:pPr>
        <w:pStyle w:val="165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65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656"/>
        <w:ind w:firstLine="420"/>
        <w:jc w:val="both"/>
        <w:spacing w:beforeAutospacing="0" w:afterAutospacing="0" w:line="348" w:lineRule="auto"/>
        <w:rPr>
          <w:rFonts w:hint="eastAsia" w:ascii="宋体" w:hAnsi="宋体" w:cs="宋体"/>
          <w:b/>
          <w:bCs/>
          <w:color w:val="ff0000"/>
          <w:sz w:val="21"/>
          <w:szCs w:val="21"/>
          <w:highlight w:val="none"/>
          <w:lang w:val="en-US" w:eastAsia="zh-CN"/>
        </w:rPr>
      </w:pPr>
      <w:r>
        <w:rPr>
          <w:rFonts w:hint="eastAsia" w:ascii="宋体" w:hAnsi="宋体" w:cs="宋体"/>
          <w:b/>
          <w:bCs/>
          <w:color w:val="ff0000"/>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656"/>
        <w:ind w:firstLine="420"/>
        <w:jc w:val="both"/>
        <w:spacing w:beforeAutospacing="0" w:afterAutospacing="0" w:line="348"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27.1.12投标文件未按照招标文件要求加盖CA电子公章的。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27.1.13其他法律、法规及本招标文件规定的属无效投标的情形。</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27.2废标条款</w:t>
      </w:r>
      <w:r/>
    </w:p>
    <w:p>
      <w:pPr>
        <w:pStyle w:val="1656"/>
        <w:ind w:left="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27.2.1符合专业条件的供应商或者对招标文件作实质响应的供应商不足三家的。27.2.2出现影响采购公正的违法、违规行为的。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27.2.3因重大变故，采购任务取消的。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27.2.4评标委员会认定招标文件存在歧义、重大缺陷导致评审工作无法进行。</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27.2.5因苏采云系统故障原因造成开标不成功的。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27.3投标截止时间结束后参加投标的供应商不足三家的处理：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27.3.1如出现投标截止时间结束后参加投标的供应商或者在评标期间对招标文件做出实质响应的供应商不足三家情况，按政府采购相关规定执行。</w:t>
      </w:r>
      <w:r/>
    </w:p>
    <w:p>
      <w:pPr>
        <w:pStyle w:val="1656"/>
        <w:ind w:firstLine="422"/>
        <w:jc w:val="both"/>
        <w:spacing w:beforeAutospacing="0" w:afterAutospacing="0" w:line="348" w:lineRule="auto"/>
        <w:rPr>
          <w:rFonts w:hint="eastAsia" w:ascii="宋体" w:hAnsi="宋体" w:cs="宋体"/>
          <w:color w:val="000000"/>
          <w:sz w:val="21"/>
          <w:szCs w:val="21"/>
          <w:highlight w:val="none"/>
        </w:rPr>
      </w:pPr>
      <w:r/>
      <w:bookmarkStart w:id="156" w:name="_Toc120614219"/>
      <w:r>
        <w:rPr>
          <w:rFonts w:hint="eastAsia" w:ascii="宋体" w:hAnsi="宋体" w:cs="宋体"/>
          <w:b/>
          <w:color w:val="000000"/>
          <w:sz w:val="21"/>
          <w:szCs w:val="21"/>
          <w:highlight w:val="none"/>
        </w:rPr>
        <w:t xml:space="preserve">六、定标</w:t>
      </w:r>
      <w:bookmarkEnd w:id="156"/>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57" w:name="_Toc20823310"/>
      <w:r/>
      <w:bookmarkStart w:id="158" w:name="_Toc16938554"/>
      <w:r/>
      <w:bookmarkStart w:id="159" w:name="_Toc513029238"/>
      <w:r>
        <w:rPr>
          <w:rFonts w:hint="eastAsia" w:ascii="宋体" w:hAnsi="宋体" w:cs="宋体"/>
          <w:color w:val="000000"/>
          <w:sz w:val="21"/>
          <w:szCs w:val="21"/>
          <w:highlight w:val="none"/>
        </w:rPr>
        <w:t xml:space="preserve">28、</w:t>
      </w:r>
      <w:bookmarkEnd w:id="157"/>
      <w:r>
        <w:rPr>
          <w:rFonts w:hint="eastAsia" w:ascii="宋体" w:hAnsi="宋体" w:cs="宋体"/>
          <w:color w:val="000000"/>
          <w:sz w:val="21"/>
          <w:szCs w:val="21"/>
          <w:highlight w:val="none"/>
        </w:rPr>
        <w:t xml:space="preserve">确定</w:t>
      </w:r>
      <w:bookmarkEnd w:id="158"/>
      <w:r/>
      <w:bookmarkEnd w:id="159"/>
      <w:r>
        <w:rPr>
          <w:rFonts w:hint="eastAsia" w:ascii="宋体" w:hAnsi="宋体" w:cs="宋体"/>
          <w:color w:val="000000"/>
          <w:sz w:val="21"/>
          <w:szCs w:val="21"/>
          <w:highlight w:val="none"/>
        </w:rPr>
        <w:t xml:space="preserve">中标单位</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28.1中标候选人的选取原则和数量见招标文件第五章规定。 </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28.2采购人应根据评委会推荐的中标候选人确定中标人。</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28.3采购代理机构将在中国政府采购网”“江苏政府采购网”“盐城市政府采购网</w:t>
      </w:r>
      <w:r>
        <w:rPr>
          <w:rFonts w:hint="eastAsia" w:ascii="宋体" w:hAnsi="宋体" w:cs="宋体"/>
          <w:color w:val="000000"/>
          <w:sz w:val="21"/>
          <w:szCs w:val="21"/>
          <w:highlight w:val="none"/>
          <w:shd w:val="clear" w:color="auto" w:fill="ffffff"/>
        </w:rPr>
        <w:t xml:space="preserve">”</w:t>
      </w:r>
      <w:r>
        <w:rPr>
          <w:rFonts w:hint="eastAsia" w:ascii="宋体" w:hAnsi="宋体" w:cs="宋体"/>
          <w:color w:val="000000"/>
          <w:sz w:val="21"/>
          <w:szCs w:val="21"/>
          <w:highlight w:val="none"/>
        </w:rPr>
        <w:t xml:space="preserve">发布中标公告，公告期限为1个工作日。</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28.4若有充分证据证明，中标人出现下列情况之一的，一经查实，将被取消中标资格：</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28.4.1提供虚假材料谋取中标的。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28.4.2向采购人、采购代理机构行贿或者提供其他不正当利益的。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28.4.3属于本文件规定的无效条件，但在评标过程中又未被评委会发现的。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28.4.4与采购人或者其他供应商恶意串通的。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28.4.5采取不正当手段诋毁、排挤其他供应商的。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60" w:name="_Toc200451960"/>
      <w:r>
        <w:rPr>
          <w:rFonts w:hint="eastAsia" w:ascii="宋体" w:hAnsi="宋体" w:cs="宋体"/>
          <w:color w:val="000000"/>
          <w:sz w:val="21"/>
          <w:szCs w:val="21"/>
          <w:highlight w:val="none"/>
        </w:rPr>
        <w:t xml:space="preserve">28.5有下列情形之一的，视为投标人串通投标，投标无效：</w:t>
      </w:r>
      <w:bookmarkEnd w:id="160"/>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28.5.1不同投标人的投标文件由同一单位或者个人编制；</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28.5.2不同投标人委托同一单位或者个人办理投标事宜；</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28.5.3不同投标人的投标文件载明的项目管理成员或者联系人员为同一人；</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28.5.4不同投标人的投标文件异常一致或者投标报价呈规律性差异；</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29、质疑处理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29.1提出质疑的供应商应当是参与所质疑项目采购活动的供应商。潜在供应商依法获取其可质疑的采购文件的，可以对采购文件提出质疑。</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29.2.1对可以质疑的采购文件提出质疑的，为收到采购文件之日或者采购文件公告期限届满之日；</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29.2.2对采购过程提出质疑的，为各采购程序环节结束之日；  </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29.2.3对中标或者成交结果提出质疑的，为中标或者成交结果公告期限届满之日。</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采购人及代理机构只接收以纸质原件形式送达的质疑,采购人和代理机构不接受未填写快递运单的快件。</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29.5以下情形的质疑不予受理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29.5.1内容不符合《政府采购质疑和投诉办法》第十二条规定的质疑。</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29.5.2超出政府采购法定期限的质疑。</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29.5.3以传真、电子邮件等方式递交的非原件形式的质疑。</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29.5.4未参加投标活动的供应商或在投标活动中自身权益未受到损害的供应商所提出的质疑。</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29.5.5供应商组成联合体参加投标，联合体中任何一方或多方未按要求签字、盖章、加盖公章的质疑。</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30、中标通知书</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1656"/>
        <w:ind w:firstLine="422"/>
        <w:jc w:val="both"/>
        <w:spacing w:beforeAutospacing="0" w:afterAutospacing="0" w:line="348" w:lineRule="auto"/>
        <w:rPr>
          <w:rFonts w:hint="eastAsia" w:ascii="宋体" w:hAnsi="宋体" w:cs="宋体"/>
          <w:color w:val="000000"/>
          <w:sz w:val="21"/>
          <w:szCs w:val="21"/>
          <w:highlight w:val="none"/>
        </w:rPr>
      </w:pPr>
      <w:r/>
      <w:bookmarkStart w:id="161" w:name="_Toc513029236"/>
      <w:r/>
      <w:bookmarkStart w:id="162" w:name="_Toc16938552"/>
      <w:r/>
      <w:bookmarkStart w:id="163" w:name="_Toc20823308"/>
      <w:r/>
      <w:bookmarkStart w:id="164" w:name="_Toc120614220"/>
      <w:r>
        <w:rPr>
          <w:rFonts w:hint="eastAsia" w:ascii="宋体" w:hAnsi="宋体" w:cs="宋体"/>
          <w:b/>
          <w:color w:val="000000"/>
          <w:sz w:val="21"/>
          <w:szCs w:val="21"/>
          <w:highlight w:val="none"/>
        </w:rPr>
        <w:t xml:space="preserve">七、授予合同</w:t>
      </w:r>
      <w:bookmarkEnd w:id="161"/>
      <w:r/>
      <w:bookmarkEnd w:id="162"/>
      <w:r/>
      <w:bookmarkEnd w:id="163"/>
      <w:r/>
      <w:bookmarkEnd w:id="164"/>
      <w:r/>
      <w:r/>
    </w:p>
    <w:p>
      <w:pPr>
        <w:pStyle w:val="1656"/>
        <w:ind w:firstLine="420"/>
        <w:jc w:val="both"/>
        <w:spacing w:beforeAutospacing="0" w:afterAutospacing="0" w:line="348" w:lineRule="auto"/>
        <w:rPr>
          <w:rFonts w:hint="eastAsia" w:ascii="宋体" w:hAnsi="宋体" w:cs="宋体"/>
          <w:color w:val="000000"/>
          <w:sz w:val="21"/>
          <w:szCs w:val="21"/>
          <w:highlight w:val="none"/>
        </w:rPr>
      </w:pPr>
      <w:r/>
      <w:bookmarkStart w:id="165" w:name="_Toc513029237"/>
      <w:r/>
      <w:bookmarkStart w:id="166" w:name="_Toc20823309"/>
      <w:r/>
      <w:bookmarkStart w:id="167" w:name="_Toc16938553"/>
      <w:r>
        <w:rPr>
          <w:rFonts w:hint="eastAsia" w:ascii="宋体" w:hAnsi="宋体" w:cs="宋体"/>
          <w:color w:val="000000"/>
          <w:sz w:val="21"/>
          <w:szCs w:val="21"/>
          <w:highlight w:val="none"/>
        </w:rPr>
        <w:t xml:space="preserve">31.签订合同</w:t>
      </w:r>
      <w:bookmarkEnd w:id="165"/>
      <w:r/>
      <w:bookmarkEnd w:id="166"/>
      <w:r/>
      <w:bookmarkEnd w:id="167"/>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31.l中标人应当在中标通知书发出之日起三十日内，按照招标文件确定的事项与采购人签订政府采购合同。</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31.2招标文件、中标人的投标文件及招标过程中有关澄清、承诺文件均应作为合同附件。</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31.3签订合同后，</w:t>
      </w:r>
      <w:r>
        <w:rPr>
          <w:rFonts w:hint="eastAsia" w:ascii="宋体" w:hAnsi="宋体" w:cs="宋体"/>
          <w:i/>
          <w:color w:val="000000"/>
          <w:sz w:val="21"/>
          <w:szCs w:val="21"/>
          <w:highlight w:val="none"/>
          <w:u w:val="single"/>
        </w:rPr>
        <w:t xml:space="preserve">中标人不得将合同标的进行转包</w:t>
      </w:r>
      <w:r>
        <w:rPr>
          <w:rFonts w:hint="eastAsia" w:ascii="宋体" w:hAnsi="宋体" w:cs="宋体"/>
          <w:color w:val="000000"/>
          <w:sz w:val="21"/>
          <w:szCs w:val="21"/>
          <w:highlight w:val="none"/>
        </w:rPr>
        <w:t xml:space="preserve">。未经采购人同意，中标人也不得采用分包的形式履行合同，否则采购人有权终止合同。转包或分包造成采购人损失的，中标人应承担相应赔偿责任。</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32、货物（包含与货物相关的服务）的追加</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33.政府采购政策功能落实</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33.1政府采购线上合同信用融资政策</w:t>
      </w:r>
      <w:r/>
    </w:p>
    <w:p>
      <w:pPr>
        <w:pStyle w:val="1656"/>
        <w:ind w:firstLine="48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33.2进口产品</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33.3中小企业、监狱企业及残疾人福利性单位</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33.3.1中小企业定义：</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中小</w:t>
      </w:r>
      <w:r>
        <w:rPr>
          <w:rFonts w:hint="eastAsia" w:ascii="宋体" w:hAnsi="宋体" w:cs="宋体"/>
          <w:color w:val="000000"/>
          <w:sz w:val="21"/>
          <w:szCs w:val="21"/>
          <w:highlight w:val="none"/>
        </w:rPr>
        <w:t xml:space="preserve">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33.3.2供应商提供的货物、工程或者服务符合下列情形的，享受中小企业扶持政策：</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33.3.2.1在货物采购项目中，货物由中小企业制造，即货物由中小企业生产且使用该中小企业商号或者注册商标；</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33.3.2.2在工程采购项目中，工程由中小企业承建，即工程施工单位为中小企业；</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33.3.2.3在服务采购项目中，服务由中小企业承接，即提供服务的人员为中小企业依照《中华人民共和国劳动合同法》订立劳动合同的从业人员。</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33.3.3在货物采购项目中，供应商提供的货物既有中小企业制造货物，也有大型企业制造货物的，不享受中小企业扶持政策。</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33.3.4以联合体形式参加政府采购活动，联合体各方均为中小企业的，联合体视同中小企业。其中，联合体各方均为小微企业的，联合体视同小微企业。</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33.3.6残疾人福利单位定义：享受政府采购支持政策的残疾人福利性单位应当同时满足以下条件：</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33.3.6.1安置的残疾人占本单位在职职工人数的比例不低于25%（含25%），并且安置的残疾人人数不少于10 人（含10人）；</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33.3.6.2依法与安置的每位残疾人签订了一年以上（含一年）的劳动合同或服务协议；</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33.3.6.3为安置的每位残疾人按月足额缴纳了基本养老保险、基本医疗保险、失业保险、工伤保险和生育保险等社会保险费；</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33.3.6.4通过银行等金融机构向安置的每位残疾人，按月支付了不低于单位所在区县适用的经省级人民政府批准的月最低工资标准的工资；</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33.3.6.5提供本单位制造的货物、承担的工程或者服务（以下简称产品），或者提供其他残疾人福利性单位制造的货物（不包括使用非残疾人福利性单位注册商标的货物）；</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33.3.7本项目是否专门面向中小企业预留采购份额见第一章《招标公告》。</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33.3.8采购标的对应的中小企业划分标准所属行业见第四章《采购需求》。</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33.3.9小微企业价格评审优惠的政策：见第五章《评标方法和评标标准》。</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33.4政府采购节能产品、环境标志产品</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000000"/>
          <w:sz w:val="21"/>
          <w:szCs w:val="21"/>
          <w:highlight w:val="none"/>
        </w:rPr>
        <w:t xml:space="preserve">如属政府强制采购产品未提供认证证书的或认证证书提供不全的将视为未实质性响应采购要求</w:t>
      </w:r>
      <w:r>
        <w:rPr>
          <w:rFonts w:hint="eastAsia" w:ascii="宋体" w:hAnsi="宋体" w:cs="宋体"/>
          <w:i/>
          <w:color w:val="000000"/>
          <w:sz w:val="21"/>
          <w:szCs w:val="21"/>
          <w:highlight w:val="none"/>
        </w:rPr>
        <w:t xml:space="preserve">。</w:t>
      </w:r>
      <w:r>
        <w:rPr>
          <w:rFonts w:hint="eastAsia" w:ascii="宋体" w:hAnsi="宋体" w:cs="宋体"/>
          <w:color w:val="000000"/>
          <w:sz w:val="21"/>
          <w:szCs w:val="21"/>
          <w:highlight w:val="none"/>
        </w:rPr>
        <w:t xml:space="preserve">其他条件相同情况下，应当优先采购节能产品、环境标志产品。</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33.5绿色包装</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33.6政府采购创新产品</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采购人优先采购各级政府部门公开发布的有效期内的创新产品、创新服务、首台套、首购首用等《目录》的创新产品。</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33.7绿色数据中心政策 </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本文件中若涉及到数据中心采购，采购人应依据《绿色数据中心政府采购需求标准（试行）》（财办库〔2023〕7号）文件精神</w:t>
      </w:r>
      <w:r>
        <w:rPr>
          <w:rFonts w:hint="eastAsia" w:ascii="宋体" w:hAnsi="宋体" w:cs="宋体"/>
          <w:color w:val="000000"/>
          <w:sz w:val="21"/>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656"/>
        <w:ind w:firstLine="420"/>
        <w:jc w:val="both"/>
        <w:spacing w:beforeAutospacing="0" w:afterAutospacing="0" w:line="348" w:lineRule="auto"/>
        <w:rPr>
          <w:rFonts w:hint="eastAsia" w:ascii="宋体" w:hAnsi="宋体" w:eastAsia="宋体" w:cs="宋体"/>
          <w:b/>
          <w:bCs/>
          <w:color w:val="ff0000"/>
          <w:sz w:val="21"/>
          <w:szCs w:val="21"/>
          <w:highlight w:val="none"/>
          <w:lang w:val="en-US" w:eastAsia="zh-CN" w:bidi="ar-SA"/>
        </w:rPr>
      </w:pPr>
      <w:r/>
      <w:bookmarkStart w:id="168" w:name="OLE_LINK27"/>
      <w:r>
        <w:rPr>
          <w:rFonts w:hint="eastAsia" w:ascii="宋体" w:hAnsi="宋体" w:eastAsia="宋体" w:cs="宋体"/>
          <w:b/>
          <w:bCs/>
          <w:color w:val="ff0000"/>
          <w:sz w:val="21"/>
          <w:szCs w:val="21"/>
          <w:highlight w:val="none"/>
          <w:lang w:val="en-US" w:eastAsia="zh-CN" w:bidi="ar-SA"/>
        </w:rPr>
        <w:t xml:space="preserve">33.8实施本国产品标准及相关政策</w:t>
      </w:r>
      <w:r/>
    </w:p>
    <w:p>
      <w:pPr>
        <w:pStyle w:val="1656"/>
        <w:ind w:firstLine="420"/>
        <w:jc w:val="both"/>
        <w:spacing w:beforeAutospacing="0" w:afterAutospacing="0" w:line="348" w:lineRule="auto"/>
        <w:rPr>
          <w:rFonts w:hint="eastAsia" w:ascii="宋体" w:hAnsi="宋体" w:eastAsia="宋体" w:cs="宋体"/>
          <w:b/>
          <w:bCs/>
          <w:color w:val="ff0000"/>
          <w:sz w:val="21"/>
          <w:szCs w:val="21"/>
          <w:highlight w:val="none"/>
          <w:lang w:val="en-US" w:eastAsia="zh-CN" w:bidi="ar-SA"/>
        </w:rPr>
      </w:pPr>
      <w:r>
        <w:rPr>
          <w:rFonts w:hint="eastAsia" w:ascii="宋体" w:hAnsi="宋体" w:eastAsia="宋体" w:cs="宋体"/>
          <w:b/>
          <w:bCs/>
          <w:color w:val="ff0000"/>
          <w:sz w:val="21"/>
          <w:szCs w:val="21"/>
          <w:highlight w:val="none"/>
          <w:lang w:val="en-US" w:eastAsia="zh-CN" w:bidi="ar-SA"/>
        </w:rPr>
        <w:t xml:space="preserve">1.本项目对采购本国产品给予政策支持，具体内容见招标文件“第五章 评标方法与评标标准”。</w:t>
      </w:r>
      <w:r/>
    </w:p>
    <w:p>
      <w:pPr>
        <w:pStyle w:val="1656"/>
        <w:ind w:firstLine="420"/>
        <w:jc w:val="both"/>
        <w:spacing w:beforeAutospacing="0" w:afterAutospacing="0" w:line="348" w:lineRule="auto"/>
        <w:rPr>
          <w:rFonts w:hint="eastAsia" w:ascii="宋体" w:hAnsi="宋体" w:eastAsia="宋体" w:cs="宋体"/>
          <w:b/>
          <w:bCs/>
          <w:color w:val="ff0000"/>
          <w:sz w:val="21"/>
          <w:szCs w:val="21"/>
          <w:highlight w:val="none"/>
          <w:lang w:val="en-US" w:eastAsia="zh-CN" w:bidi="ar-SA"/>
        </w:rPr>
      </w:pPr>
      <w:r>
        <w:rPr>
          <w:rFonts w:hint="eastAsia" w:ascii="宋体" w:hAnsi="宋体" w:eastAsia="宋体" w:cs="宋体"/>
          <w:b/>
          <w:bCs/>
          <w:color w:val="ff0000"/>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656"/>
        <w:ind w:firstLine="420"/>
        <w:jc w:val="both"/>
        <w:spacing w:beforeAutospacing="0" w:afterAutospacing="0" w:line="348" w:lineRule="auto"/>
        <w:rPr>
          <w:rFonts w:hint="eastAsia" w:ascii="宋体" w:hAnsi="宋体" w:eastAsia="宋体" w:cs="宋体"/>
          <w:b/>
          <w:bCs/>
          <w:color w:val="ff0000"/>
          <w:sz w:val="21"/>
          <w:szCs w:val="21"/>
          <w:highlight w:val="none"/>
          <w:lang w:val="en-US" w:eastAsia="zh-CN" w:bidi="ar-SA"/>
        </w:rPr>
      </w:pPr>
      <w:r>
        <w:rPr>
          <w:rFonts w:hint="eastAsia" w:ascii="宋体" w:hAnsi="宋体" w:eastAsia="宋体" w:cs="宋体"/>
          <w:b/>
          <w:bCs/>
          <w:color w:val="ff0000"/>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656"/>
        <w:ind w:firstLine="420"/>
        <w:jc w:val="both"/>
        <w:spacing w:beforeAutospacing="0" w:afterAutospacing="0" w:line="348"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ff0000"/>
          <w:sz w:val="21"/>
          <w:szCs w:val="21"/>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bookmarkEnd w:id="168"/>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33.</w:t>
      </w:r>
      <w:r>
        <w:rPr>
          <w:rFonts w:hint="eastAsia" w:ascii="宋体" w:hAnsi="宋体" w:cs="宋体"/>
          <w:color w:val="000000"/>
          <w:sz w:val="21"/>
          <w:szCs w:val="21"/>
          <w:highlight w:val="none"/>
          <w:lang w:val="en-US" w:eastAsia="zh-CN"/>
        </w:rPr>
        <w:t xml:space="preserve">9</w:t>
      </w:r>
      <w:r>
        <w:rPr>
          <w:rFonts w:hint="eastAsia" w:ascii="宋体" w:hAnsi="宋体" w:cs="宋体"/>
          <w:color w:val="000000"/>
          <w:sz w:val="21"/>
          <w:szCs w:val="21"/>
          <w:highlight w:val="none"/>
        </w:rPr>
        <w:t xml:space="preserve">履约保证金政策</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确需收取履约保证金的，履约保证金的缴纳形式：</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如以履约保函（保险）形式缴纳履约保证金，供应商可通过政府采购电子履约保函（保险）平台（www.jsdzbh.com）在线申请履约保函（保险）。</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履约保证金金额合同金额的</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%，采购人对第三方信用服务机构依据标准规范评定为 AA 级及以上的政府采购供应商（需在签订采购合同前提供信用管理 部门备案的第三方信用报告，且信用报告通过“信用盐城网”可查实），免收履约保证金。</w:t>
      </w:r>
      <w:r/>
    </w:p>
    <w:p>
      <w:pPr>
        <w:pStyle w:val="1656"/>
        <w:ind w:firstLine="420"/>
        <w:jc w:val="both"/>
        <w:spacing w:beforeAutospacing="0" w:afterAutospacing="0" w:line="348"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34.预付款制度</w:t>
      </w:r>
      <w:r/>
    </w:p>
    <w:p>
      <w:pPr>
        <w:ind w:firstLine="420"/>
        <w:spacing w:line="348" w:lineRule="auto"/>
        <w:rPr>
          <w:color w:val="000000"/>
          <w:sz w:val="36"/>
          <w:szCs w:val="44"/>
          <w:highlight w:val="none"/>
        </w:rPr>
      </w:pPr>
      <w:r>
        <w:rPr>
          <w:rFonts w:hint="eastAsia" w:ascii="宋体" w:hAnsi="宋体" w:cs="宋体"/>
          <w:color w:val="000000"/>
          <w:szCs w:val="21"/>
          <w:highlight w:val="none"/>
        </w:rPr>
        <w:t xml:space="preserve">本项目落实预付款制度，预付款比例为</w:t>
      </w:r>
      <w:r>
        <w:rPr>
          <w:rFonts w:hint="eastAsia" w:ascii="宋体" w:hAnsi="宋体" w:cs="宋体"/>
          <w:color w:val="000000"/>
          <w:szCs w:val="21"/>
          <w:highlight w:val="none"/>
          <w:u w:val="single"/>
        </w:rPr>
        <w:t xml:space="preserve">30</w:t>
      </w:r>
      <w:r>
        <w:rPr>
          <w:rFonts w:hint="eastAsia" w:ascii="宋体" w:hAnsi="宋体" w:cs="宋体"/>
          <w:color w:val="000000"/>
          <w:szCs w:val="21"/>
          <w:highlight w:val="none"/>
        </w:rPr>
        <w:t xml:space="preserve">%（原则上不低于合同金额的30%）。在签订合同时，中标、成交供应商明确书面表示无需预付款或者主动要求降低预付款比例的，采购人可就预付款比例作相应调整。</w:t>
      </w:r>
      <w:bookmarkStart w:id="169" w:name="_Toc479757211"/>
      <w:r/>
      <w:bookmarkStart w:id="170" w:name="_Toc16938590"/>
      <w:r/>
      <w:bookmarkStart w:id="171" w:name="_Toc462564139"/>
      <w:r/>
      <w:bookmarkStart w:id="172" w:name="_Toc120614244"/>
      <w:r/>
      <w:bookmarkStart w:id="173" w:name="_Toc20823346"/>
      <w:r/>
      <w:bookmarkStart w:id="174" w:name="_Hlt16619350"/>
      <w:r/>
      <w:bookmarkStart w:id="175" w:name="_Hlt16619369"/>
      <w:r/>
      <w:r/>
    </w:p>
    <w:p>
      <w:pPr>
        <w:jc w:val="center"/>
        <w:spacing w:line="360" w:lineRule="auto"/>
        <w:widowControl/>
        <w:rPr>
          <w:color w:val="000000"/>
          <w:sz w:val="36"/>
          <w:szCs w:val="44"/>
          <w:highlight w:val="none"/>
        </w:rPr>
      </w:pPr>
      <w:r>
        <w:rPr>
          <w:color w:val="000000"/>
          <w:sz w:val="36"/>
          <w:szCs w:val="44"/>
          <w:highlight w:val="none"/>
        </w:rPr>
      </w:r>
      <w:r/>
    </w:p>
    <w:p>
      <w:pPr>
        <w:jc w:val="center"/>
        <w:spacing w:line="360" w:lineRule="auto"/>
        <w:widowControl/>
        <w:rPr>
          <w:color w:val="000000"/>
          <w:sz w:val="36"/>
          <w:szCs w:val="44"/>
          <w:highlight w:val="none"/>
        </w:rPr>
      </w:pPr>
      <w:r>
        <w:rPr>
          <w:color w:val="000000"/>
          <w:sz w:val="36"/>
          <w:szCs w:val="44"/>
          <w:highlight w:val="none"/>
        </w:rPr>
      </w:r>
      <w:r/>
    </w:p>
    <w:p>
      <w:pPr>
        <w:jc w:val="center"/>
        <w:spacing w:line="360" w:lineRule="auto"/>
        <w:widowControl/>
        <w:rPr>
          <w:color w:val="000000"/>
          <w:sz w:val="36"/>
          <w:szCs w:val="44"/>
          <w:highlight w:val="none"/>
        </w:rPr>
      </w:pPr>
      <w:r>
        <w:rPr>
          <w:color w:val="000000"/>
          <w:sz w:val="36"/>
          <w:szCs w:val="44"/>
          <w:highlight w:val="none"/>
        </w:rPr>
      </w:r>
      <w:r/>
    </w:p>
    <w:p>
      <w:pPr>
        <w:rPr>
          <w:rFonts w:hint="eastAsia" w:ascii="宋体" w:hAnsi="宋体" w:cs="宋体"/>
          <w:b/>
          <w:color w:val="auto"/>
          <w:sz w:val="48"/>
          <w:szCs w:val="44"/>
          <w:highlight w:val="none"/>
        </w:rPr>
      </w:pPr>
      <w:r>
        <w:rPr>
          <w:rFonts w:hint="eastAsia" w:ascii="宋体" w:hAnsi="宋体" w:cs="宋体"/>
          <w:b/>
          <w:color w:val="auto"/>
          <w:sz w:val="48"/>
          <w:szCs w:val="44"/>
          <w:highlight w:val="none"/>
        </w:rPr>
        <w:br w:type="page" w:clear="all"/>
      </w:r>
      <w:r/>
    </w:p>
    <w:p>
      <w:p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r>
      <w:r/>
    </w:p>
    <w:p>
      <w:pPr>
        <w:jc w:val="center"/>
        <w:spacing w:line="360" w:lineRule="auto"/>
        <w:widowControl/>
        <w:rPr>
          <w:rFonts w:hint="eastAsia" w:ascii="宋体" w:hAnsi="宋体" w:cs="宋体"/>
          <w:b/>
          <w:color w:val="auto"/>
          <w:sz w:val="48"/>
          <w:szCs w:val="44"/>
          <w:highlight w:val="none"/>
        </w:rPr>
      </w:pPr>
      <w:r>
        <w:rPr>
          <w:rFonts w:hint="eastAsia" w:ascii="宋体" w:hAnsi="宋体" w:cs="宋体"/>
          <w:b/>
          <w:color w:val="auto"/>
          <w:sz w:val="48"/>
          <w:szCs w:val="44"/>
          <w:highlight w:val="none"/>
        </w:rPr>
        <w:t xml:space="preserve">第三章  合同条款</w:t>
      </w:r>
      <w:r/>
    </w:p>
    <w:p>
      <w:pPr>
        <w:rPr>
          <w:rFonts w:hint="eastAsia" w:ascii="宋体" w:hAnsi="宋体" w:cs="宋体"/>
          <w:color w:val="auto"/>
          <w:highlight w:val="none"/>
        </w:rPr>
      </w:pPr>
      <w:r/>
      <w:bookmarkStart w:id="176" w:name="EB6d2006462e294de090c16e672cecc3bd"/>
      <w:r/>
      <w:bookmarkEnd w:id="176"/>
      <w:r/>
    </w:p>
    <w:p>
      <w:pPr>
        <w:jc w:val="center"/>
        <w:rPr>
          <w:rFonts w:hint="eastAsia" w:ascii="宋体" w:hAnsi="宋体" w:cs="宋体"/>
          <w:b/>
          <w:bCs/>
          <w:color w:val="auto"/>
          <w:spacing w:val="-20"/>
          <w:sz w:val="48"/>
          <w:szCs w:val="48"/>
          <w:highlight w:val="none"/>
        </w:rPr>
      </w:pPr>
      <w:r/>
      <w:bookmarkStart w:id="177" w:name="_Toc3995"/>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jc w:val="center"/>
        <w:rPr>
          <w:rFonts w:hint="eastAsia" w:ascii="宋体" w:hAnsi="宋体" w:cs="宋体"/>
          <w:color w:val="auto"/>
          <w:sz w:val="30"/>
          <w:highlight w:val="none"/>
        </w:rPr>
      </w:pPr>
      <w:r>
        <w:rPr>
          <w:rFonts w:hint="eastAsia" w:ascii="宋体" w:hAnsi="宋体" w:cs="宋体"/>
          <w:color w:val="auto"/>
          <w:sz w:val="30"/>
          <w:highlight w:val="none"/>
        </w:rPr>
      </w:r>
      <w:r/>
    </w:p>
    <w:p>
      <w:pPr>
        <w:jc w:val="center"/>
        <w:rPr>
          <w:rFonts w:hint="eastAsia" w:ascii="宋体" w:hAnsi="宋体" w:cs="宋体"/>
          <w:color w:val="auto"/>
          <w:sz w:val="30"/>
          <w:highlight w:val="none"/>
        </w:rPr>
      </w:pPr>
      <w:r>
        <w:rPr>
          <w:rFonts w:hint="eastAsia" w:ascii="宋体" w:hAnsi="宋体" w:cs="宋体"/>
          <w:color w:val="auto"/>
          <w:sz w:val="30"/>
          <w:highlight w:val="none"/>
        </w:rPr>
        <w:t xml:space="preserve">政府采购货物买卖合同</w:t>
      </w:r>
      <w:r/>
    </w:p>
    <w:p>
      <w:pPr>
        <w:jc w:val="cente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rPr>
          <w:rFonts w:hint="eastAsia" w:ascii="宋体" w:hAnsi="宋体" w:cs="宋体"/>
          <w:color w:val="auto"/>
          <w:sz w:val="30"/>
          <w:highlight w:val="none"/>
        </w:rPr>
      </w:pPr>
      <w:r>
        <w:rPr>
          <w:rFonts w:hint="eastAsia" w:ascii="宋体" w:hAnsi="宋体" w:cs="宋体"/>
          <w:color w:val="auto"/>
          <w:sz w:val="30"/>
          <w:highlight w:val="none"/>
        </w:rPr>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项目名称：盐城市公安局大数据交通指挥中心后厨设备采购项目</w:t>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甲    方：盐城市公安局</w:t>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乙    方：</w:t>
      </w:r>
      <w:r/>
    </w:p>
    <w:p>
      <w:pPr>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签订时间：</w:t>
      </w:r>
      <w:r/>
    </w:p>
    <w:p>
      <w:pPr>
        <w:rPr>
          <w:color w:val="auto"/>
          <w:highlight w:val="none"/>
        </w:rPr>
      </w:pPr>
      <w:r>
        <w:rPr>
          <w:color w:val="auto"/>
          <w:highlight w:val="none"/>
        </w:rPr>
      </w:r>
      <w:bookmarkEnd w:id="177"/>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487"/>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pStyle w:val="1487"/>
        <w:rPr>
          <w:rFonts w:hint="eastAsia"/>
          <w:color w:val="auto"/>
        </w:rPr>
      </w:pPr>
      <w:r>
        <w:rPr>
          <w:rFonts w:hint="eastAsia"/>
          <w:color w:val="auto"/>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jc w:val="center"/>
        <w:spacing w:line="440" w:lineRule="exact"/>
        <w:rPr>
          <w:rFonts w:hint="eastAsia" w:ascii="宋体" w:hAnsi="宋体" w:cs="宋体"/>
          <w:color w:val="auto"/>
          <w:szCs w:val="21"/>
          <w:highlight w:val="none"/>
          <w:lang w:val="zh-CN"/>
        </w:rPr>
      </w:pPr>
      <w:r>
        <w:rPr>
          <w:rFonts w:hint="eastAsia" w:ascii="宋体" w:hAnsi="宋体" w:cs="宋体"/>
          <w:b/>
          <w:bCs/>
          <w:color w:val="auto"/>
          <w:sz w:val="24"/>
          <w:highlight w:val="none"/>
          <w:lang w:val="zh-CN"/>
        </w:rPr>
        <w:t xml:space="preserve">合同书</w:t>
      </w:r>
      <w:r/>
    </w:p>
    <w:p>
      <w:pPr>
        <w:pStyle w:val="1656"/>
        <w:ind w:firstLine="420"/>
        <w:spacing w:beforeAutospacing="0" w:afterAutospacing="0"/>
        <w:widowControl/>
        <w:rPr>
          <w:rFonts w:hint="eastAsia" w:ascii="宋体" w:hAnsi="宋体" w:cs="宋体"/>
          <w:b/>
          <w:bCs/>
          <w:color w:val="auto"/>
          <w:szCs w:val="21"/>
          <w:highlight w:val="none"/>
          <w:lang w:val="zh-CN"/>
        </w:rPr>
      </w:pPr>
      <w:r>
        <w:rPr>
          <w:rFonts w:hint="eastAsia" w:ascii="宋体" w:hAnsi="宋体" w:cs="宋体"/>
          <w:color w:val="auto"/>
          <w:sz w:val="21"/>
          <w:szCs w:val="21"/>
          <w:highlight w:val="none"/>
          <w:lang w:val="zh-CN"/>
        </w:rPr>
        <w:t xml:space="preserve">项目名称</w:t>
      </w:r>
      <w:r>
        <w:rPr>
          <w:rFonts w:hint="eastAsia" w:ascii="宋体" w:hAnsi="宋体" w:cs="宋体"/>
          <w:color w:val="auto"/>
          <w:szCs w:val="21"/>
          <w:highlight w:val="none"/>
          <w:lang w:val="zh-CN"/>
        </w:rPr>
        <w:t xml:space="preserve">：</w:t>
      </w:r>
      <w:r>
        <w:rPr>
          <w:rFonts w:hint="eastAsia" w:ascii="宋体" w:hAnsi="宋体" w:cs="宋体"/>
          <w:color w:val="auto"/>
          <w:sz w:val="21"/>
          <w:szCs w:val="21"/>
          <w:highlight w:val="none"/>
          <w:u w:val="single"/>
          <w:lang w:val="zh-CN"/>
        </w:rPr>
        <w:t xml:space="preserve">盐城市公安局大数据交通指挥中心后厨设备采购项目</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甲方：（买方）</w:t>
      </w:r>
      <w:r>
        <w:rPr>
          <w:rFonts w:hint="eastAsia" w:ascii="宋体" w:hAnsi="宋体" w:cs="宋体"/>
          <w:color w:val="auto"/>
          <w:szCs w:val="21"/>
          <w:highlight w:val="none"/>
          <w:u w:val="single"/>
          <w:lang w:val="zh-CN"/>
        </w:rPr>
        <w:t xml:space="preserve">盐城市公安局</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乙方：（卖方）_________</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甲、乙双方根据</w:t>
      </w:r>
      <w:r>
        <w:rPr>
          <w:rFonts w:hint="eastAsia" w:ascii="宋体" w:hAnsi="宋体" w:cs="宋体"/>
          <w:color w:val="auto"/>
          <w:szCs w:val="21"/>
          <w:highlight w:val="none"/>
          <w:u w:val="single"/>
          <w:lang w:val="zh-CN"/>
        </w:rPr>
        <w:t xml:space="preserve">盐城市公安局大数据交通指挥中心后厨设备采购项目</w:t>
      </w:r>
      <w:r>
        <w:rPr>
          <w:rFonts w:hint="eastAsia" w:ascii="宋体" w:hAnsi="宋体" w:cs="宋体"/>
          <w:color w:val="auto"/>
          <w:szCs w:val="21"/>
          <w:highlight w:val="none"/>
          <w:lang w:val="zh-CN"/>
        </w:rPr>
        <w:t xml:space="preserve">公开招标的结果，签署本合同。</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一、货物内容</w:t>
      </w:r>
      <w:r/>
    </w:p>
    <w:p>
      <w:pPr>
        <w:ind w:firstLine="38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详见附件《分项报价表》</w:t>
      </w:r>
      <w:r/>
    </w:p>
    <w:p>
      <w:pPr>
        <w:ind w:firstLine="382"/>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二、合同金额</w:t>
      </w:r>
      <w:r/>
    </w:p>
    <w:p>
      <w:pPr>
        <w:ind w:left="41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 本合同金额为（大写）：</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元整（____________元）人民币。</w:t>
      </w:r>
      <w:r/>
    </w:p>
    <w:p>
      <w:pPr>
        <w:ind w:left="410"/>
        <w:spacing w:line="440" w:lineRule="exact"/>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三、技术资料</w:t>
      </w:r>
      <w:r/>
    </w:p>
    <w:p>
      <w:pPr>
        <w:ind w:left="41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3.1</w:t>
      </w:r>
      <w:r>
        <w:rPr>
          <w:rFonts w:hint="eastAsia" w:ascii="宋体" w:hAnsi="宋体" w:cs="宋体"/>
          <w:color w:val="auto"/>
          <w:szCs w:val="21"/>
          <w:highlight w:val="none"/>
          <w:lang w:val="zh-CN"/>
        </w:rPr>
        <w:t xml:space="preserve">乙方应按招标文件规定的时间向甲方提供使用货物的有关技术资料。</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 </w:t>
      </w:r>
      <w:r>
        <w:rPr>
          <w:rFonts w:hint="eastAsia" w:ascii="宋体" w:hAnsi="宋体" w:cs="宋体"/>
          <w:color w:val="auto"/>
          <w:szCs w:val="21"/>
          <w:highlight w:val="none"/>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四、知识产权</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w:t>
      </w:r>
      <w:r>
        <w:rPr>
          <w:rFonts w:hint="eastAsia" w:ascii="宋体" w:hAnsi="宋体" w:cs="宋体"/>
          <w:color w:val="auto"/>
          <w:szCs w:val="21"/>
          <w:highlight w:val="none"/>
          <w:lang w:val="zh-CN"/>
        </w:rPr>
        <w:t xml:space="preserve">乙方应保证甲方在使用、接受本合同货物和服务或其任何一部分时不受第三方提出侵犯其专利权、版权、商标权和工业设计权等知识产权的起诉。一旦出现侵权，由乙方负全部责任。</w:t>
      </w:r>
      <w:r/>
    </w:p>
    <w:p>
      <w:pPr>
        <w:ind w:firstLine="379"/>
        <w:spacing w:line="440" w:lineRule="exact"/>
        <w:rPr>
          <w:rFonts w:hint="eastAsia" w:ascii="宋体" w:hAnsi="宋体" w:cs="宋体"/>
          <w:color w:val="auto"/>
          <w:szCs w:val="21"/>
          <w:highlight w:val="none"/>
          <w:u w:val="single"/>
          <w:lang w:val="zh-CN"/>
        </w:rPr>
      </w:pPr>
      <w:r>
        <w:rPr>
          <w:rFonts w:hint="eastAsia" w:ascii="宋体" w:hAnsi="宋体" w:cs="宋体"/>
          <w:b/>
          <w:bCs/>
          <w:color w:val="auto"/>
          <w:szCs w:val="21"/>
          <w:highlight w:val="none"/>
          <w:lang w:val="zh-CN"/>
        </w:rPr>
        <w:t xml:space="preserve">五、产权担保</w:t>
      </w:r>
      <w:r/>
    </w:p>
    <w:p>
      <w:pPr>
        <w:ind w:firstLine="420"/>
        <w:spacing w:line="440" w:lineRule="exact"/>
        <w:rPr>
          <w:rFonts w:hint="eastAsia" w:ascii="宋体" w:hAnsi="宋体" w:cs="宋体"/>
          <w:color w:val="auto"/>
          <w:szCs w:val="21"/>
          <w:highlight w:val="none"/>
          <w:u w:val="single"/>
          <w:lang w:val="zh-CN"/>
        </w:rPr>
      </w:pPr>
      <w:r>
        <w:rPr>
          <w:rFonts w:hint="eastAsia" w:ascii="宋体" w:hAnsi="宋体" w:cs="宋体"/>
          <w:color w:val="auto"/>
          <w:szCs w:val="21"/>
          <w:highlight w:val="none"/>
          <w:lang w:val="zh-CN"/>
        </w:rPr>
        <w:t xml:space="preserve">5.1 乙方保证所交付的货物的所有权完全属于乙方且无任何抵押、查封等产权瑕疵。</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六、履约保证金</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6.1乙方交纳人民币_________元作为本合同的履约保证金（合同金额的5%）。</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乙方提供AA评级及以上政府采购信用管理部门备案的第三方信用报告，免收履约保证金。</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6.2确需收取履约保证金的，履约保证金的缴纳形式：</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6.2.2 如以履约保函（保险）形式缴纳履约保证金，供应商可通过政府采购电子履约保函（保险）平台（www.jsdzbh.com）在线申请履约保函（保险）。</w:t>
      </w:r>
      <w:r/>
    </w:p>
    <w:p>
      <w:pPr>
        <w:ind w:firstLine="420"/>
        <w:spacing w:line="440" w:lineRule="exact"/>
        <w:rPr>
          <w:color w:val="auto"/>
          <w:szCs w:val="21"/>
          <w:highlight w:val="none"/>
        </w:rPr>
      </w:pPr>
      <w:r>
        <w:rPr>
          <w:rFonts w:hint="eastAsia" w:ascii="宋体" w:hAnsi="宋体" w:cs="宋体"/>
          <w:color w:val="auto"/>
          <w:szCs w:val="21"/>
          <w:highlight w:val="none"/>
        </w:rPr>
        <w:t xml:space="preserve">6.3合同履行结束后，甲方应及时退还交纳的履约保证金。</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6.4履约保证金的退还：</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6.4.1方式：退还至投标人缴纳履约保证金的账户。如为保函，在到期时自行失效。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6.4.2时间：验收合格且采购人收到发票后30日内。</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6.4.3条件：按合同要求全部履约完成并经采购人验收合格，且采购人收到中标人出具的发票。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6.4.4不予退还情形：</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除不可抗力情况外，投标人出现下列情形之一的，其履约保证金，招标人将视情节决定不予退还或部分不予退还。</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（1）中标人无正当理由拒绝签订合同的，或者在签订合同时向采购人提出附加条件或者更改合同实质性内容要求的；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（2）中标人不履行与采购人订立的合同的；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（3）中标人所供货物或服务不符合招标文件规定要求的；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（4）中标人采取欺骗、弄虚作假方式投标的或与其他投标人串通投标的；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（5）中标人将合同内容转包、违法分包的；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（6）中标人故意捏造事实或伪造证明材料，进行虚假恶意投诉或反映的。</w:t>
      </w:r>
      <w:r/>
    </w:p>
    <w:p>
      <w:pPr>
        <w:ind w:firstLine="420"/>
        <w:spacing w:line="440" w:lineRule="exact"/>
        <w:rPr>
          <w:rFonts w:hint="eastAsia" w:ascii="宋体" w:hAnsi="宋体" w:cs="宋体"/>
          <w:b/>
          <w:bCs/>
          <w:color w:val="auto"/>
          <w:szCs w:val="21"/>
          <w:highlight w:val="none"/>
          <w:lang w:val="zh-CN"/>
        </w:rPr>
      </w:pPr>
      <w:r>
        <w:rPr>
          <w:rFonts w:hint="eastAsia" w:ascii="宋体" w:hAnsi="宋体" w:cs="宋体"/>
          <w:color w:val="auto"/>
          <w:szCs w:val="21"/>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22"/>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七、转包或分包</w:t>
      </w:r>
      <w:r/>
    </w:p>
    <w:p>
      <w:pPr>
        <w:ind w:firstLine="382"/>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7.1本合同范围的货物，应由乙方直接供应，不得转让他人供应；</w:t>
      </w:r>
      <w:r/>
    </w:p>
    <w:p>
      <w:pPr>
        <w:ind w:firstLine="382"/>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7.2 除非得到甲方的书面同意，乙方不得部分分包给他人供应。</w:t>
      </w:r>
      <w:r/>
    </w:p>
    <w:p>
      <w:pPr>
        <w:ind w:firstLine="382"/>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7.3如有转让和未经甲方同意的分包行为，甲方有权给予终止合同。</w:t>
      </w:r>
      <w:r/>
    </w:p>
    <w:p>
      <w:pPr>
        <w:ind w:firstLine="413"/>
        <w:spacing w:line="440" w:lineRule="exact"/>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八、质保期</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8.1质保期</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年。（自交货验收合格之日起计）</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九、交货期、交货方式及交货地点</w:t>
      </w:r>
      <w:r/>
    </w:p>
    <w:p>
      <w:pPr>
        <w:ind w:firstLine="420"/>
        <w:spacing w:line="440" w:lineRule="exact"/>
        <w:tabs>
          <w:tab w:val="left" w:pos="900" w:leader="none"/>
        </w:tabs>
        <w:rPr>
          <w:rFonts w:hint="eastAsia" w:ascii="宋体" w:hAnsi="宋体" w:cs="宋体"/>
          <w:color w:val="auto"/>
          <w:szCs w:val="21"/>
          <w:highlight w:val="none"/>
        </w:rPr>
      </w:pPr>
      <w:r>
        <w:rPr>
          <w:rFonts w:hint="eastAsia" w:ascii="宋体" w:hAnsi="宋体" w:cs="宋体"/>
          <w:color w:val="auto"/>
          <w:szCs w:val="21"/>
          <w:highlight w:val="none"/>
          <w:lang w:val="zh-CN"/>
        </w:rPr>
        <w:t xml:space="preserve">9.1交货期：</w:t>
      </w:r>
      <w:r>
        <w:rPr>
          <w:rFonts w:hint="eastAsia" w:ascii="宋体" w:hAnsi="宋体" w:cs="宋体"/>
          <w:color w:val="auto"/>
          <w:szCs w:val="21"/>
          <w:highlight w:val="none"/>
        </w:rPr>
        <w:t xml:space="preserve">中标通知书签发后</w:t>
      </w:r>
      <w:r>
        <w:rPr>
          <w:rFonts w:hint="eastAsia" w:ascii="宋体" w:hAnsi="宋体" w:cs="宋体"/>
          <w:color w:val="auto"/>
          <w:szCs w:val="21"/>
          <w:highlight w:val="none"/>
          <w:u w:val="single"/>
        </w:rPr>
        <w:t xml:space="preserve">65</w:t>
      </w:r>
      <w:r>
        <w:rPr>
          <w:rFonts w:hint="eastAsia" w:ascii="宋体" w:hAnsi="宋体" w:cs="宋体"/>
          <w:color w:val="auto"/>
          <w:szCs w:val="21"/>
          <w:highlight w:val="none"/>
        </w:rPr>
        <w:t xml:space="preserve">日历天内完成所有货物的采购、制作、供货、安装并验收合格交付采购人使用。</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9.2交货方式：甲方要求为准。</w:t>
      </w:r>
      <w:r/>
    </w:p>
    <w:p>
      <w:pPr>
        <w:ind w:firstLine="382"/>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9.3交货地点：甲方指定地点。</w:t>
      </w:r>
      <w:r/>
    </w:p>
    <w:p>
      <w:pPr>
        <w:ind w:firstLine="382"/>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十、货款支付</w:t>
      </w:r>
      <w:r/>
    </w:p>
    <w:p>
      <w:pPr>
        <w:ind w:firstLine="482"/>
        <w:spacing w:line="500" w:lineRule="exact"/>
        <w:rPr>
          <w:color w:val="auto"/>
          <w:szCs w:val="21"/>
          <w:highlight w:val="none"/>
        </w:rPr>
      </w:pPr>
      <w:r>
        <w:rPr>
          <w:rFonts w:hint="eastAsia" w:ascii="宋体" w:hAnsi="宋体" w:cs="宋体"/>
          <w:color w:val="auto"/>
          <w:szCs w:val="21"/>
          <w:highlight w:val="none"/>
          <w:lang w:val="zh-CN"/>
        </w:rPr>
        <w:t xml:space="preserve">10.1付款方式：合同签订，收到乙方发票十个工作日内甲方支付合同价的30%作为预付款</w:t>
      </w:r>
      <w:r>
        <w:rPr>
          <w:rFonts w:hint="eastAsia" w:ascii="宋体" w:hAnsi="宋体" w:cs="宋体"/>
          <w:color w:val="auto"/>
          <w:szCs w:val="21"/>
          <w:highlight w:val="none"/>
        </w:rPr>
        <w:t xml:space="preserve">；设备经安装调试验收合格后付至合同金额的90%，余款于设备验收合格之日起满</w:t>
      </w:r>
      <w:r>
        <w:rPr>
          <w:rFonts w:hint="eastAsia" w:ascii="宋体" w:hAnsi="宋体" w:cs="宋体"/>
          <w:color w:val="auto"/>
          <w:szCs w:val="21"/>
          <w:highlight w:val="none"/>
          <w:u w:val="single"/>
        </w:rPr>
        <w:t xml:space="preserve">三</w:t>
      </w:r>
      <w:r>
        <w:rPr>
          <w:rFonts w:hint="eastAsia" w:ascii="宋体" w:hAnsi="宋体" w:cs="宋体"/>
          <w:color w:val="auto"/>
          <w:szCs w:val="21"/>
          <w:highlight w:val="none"/>
        </w:rPr>
        <w:t xml:space="preserve">年后付清。</w:t>
      </w:r>
      <w:r/>
    </w:p>
    <w:p>
      <w:pPr>
        <w:ind w:firstLine="420"/>
        <w:spacing w:line="312" w:lineRule="auto"/>
        <w:rPr>
          <w:rFonts w:hint="eastAsia" w:ascii="宋体" w:hAnsi="宋体"/>
          <w:color w:val="auto"/>
          <w:szCs w:val="21"/>
          <w:highlight w:val="none"/>
        </w:rPr>
      </w:pPr>
      <w:r>
        <w:rPr>
          <w:rFonts w:hint="eastAsia" w:ascii="宋体" w:hAnsi="宋体"/>
          <w:color w:val="auto"/>
          <w:szCs w:val="21"/>
          <w:highlight w:val="none"/>
        </w:rPr>
        <w:t xml:space="preserve">10.2当采购数量与实际使用数量不一致时，乙方根据实际使用量提供产品和服务，合同的最终结算金额按实际使用量乘以成交单价进行计算。</w:t>
      </w:r>
      <w:r/>
    </w:p>
    <w:p>
      <w:pPr>
        <w:ind w:firstLine="420"/>
        <w:spacing w:line="312" w:lineRule="auto"/>
        <w:rPr>
          <w:rFonts w:hint="eastAsia" w:ascii="宋体" w:hAnsi="宋体"/>
          <w:color w:val="auto"/>
          <w:szCs w:val="21"/>
          <w:highlight w:val="none"/>
        </w:rPr>
      </w:pPr>
      <w:r>
        <w:rPr>
          <w:rFonts w:hint="eastAsia" w:ascii="宋体" w:hAnsi="宋体"/>
          <w:color w:val="auto"/>
          <w:szCs w:val="21"/>
          <w:highlight w:val="none"/>
        </w:rPr>
        <w:t xml:space="preserve">10.3如需向与财政部门签署融资合作协议的银行办理授信申请的,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20"/>
        <w:spacing w:line="312" w:lineRule="auto"/>
        <w:rPr>
          <w:rFonts w:hint="eastAsia" w:ascii="宋体" w:hAnsi="宋体"/>
          <w:color w:val="auto"/>
          <w:szCs w:val="21"/>
          <w:highlight w:val="none"/>
        </w:rPr>
      </w:pPr>
      <w:r>
        <w:rPr>
          <w:rFonts w:hint="eastAsia" w:ascii="宋体" w:hAnsi="宋体"/>
          <w:color w:val="auto"/>
          <w:szCs w:val="21"/>
          <w:highlight w:val="none"/>
        </w:rPr>
        <w:t xml:space="preserve">10.4建立资金预付制度，预付款原则上不低于合同金额的30%。 采购项目实施以人工投入为主的，可适当降低预付款比例，但不得低于10%。</w:t>
      </w:r>
      <w:r/>
    </w:p>
    <w:p>
      <w:pPr>
        <w:ind w:firstLine="420"/>
        <w:spacing w:line="360" w:lineRule="auto"/>
        <w:rPr>
          <w:rFonts w:hint="eastAsia" w:ascii="宋体" w:hAnsi="宋体" w:cs="宋体"/>
          <w:color w:val="auto"/>
          <w:szCs w:val="21"/>
          <w:highlight w:val="none"/>
        </w:rPr>
        <w:outlineLvl w:val="0"/>
      </w:pPr>
      <w:r>
        <w:rPr>
          <w:rFonts w:hint="eastAsia" w:ascii="宋体" w:hAnsi="宋体"/>
          <w:color w:val="auto"/>
          <w:szCs w:val="21"/>
          <w:highlight w:val="none"/>
        </w:rPr>
        <w:t xml:space="preserve">10.5对于满足合同约定支付条件的，采购人应当自收到发票后15内将资金支付到合同约定的供应商账户。</w:t>
      </w:r>
      <w:r/>
    </w:p>
    <w:p>
      <w:pPr>
        <w:ind w:firstLine="420"/>
        <w:spacing w:line="360" w:lineRule="auto"/>
        <w:rPr>
          <w:rFonts w:hint="eastAsia" w:ascii="宋体" w:hAnsi="宋体" w:cs="宋体"/>
          <w:color w:val="auto"/>
          <w:szCs w:val="21"/>
          <w:highlight w:val="none"/>
        </w:rPr>
        <w:outlineLvl w:val="0"/>
      </w:pPr>
      <w:r>
        <w:rPr>
          <w:rFonts w:hint="eastAsia" w:ascii="宋体" w:hAnsi="宋体" w:cs="宋体"/>
          <w:color w:val="auto"/>
          <w:szCs w:val="21"/>
          <w:highlight w:val="none"/>
        </w:rPr>
        <w:t xml:space="preserve">说明：（1）如需向与财政部门签署融资合作协议的银行办理授信申请的, 需在协作银行开立结算户作为回款专用户,作为该笔合同唯一的收款账户，供货结束货款结算时，财政部门将政府采购款项直接支付到该账户。</w:t>
      </w:r>
      <w:r/>
    </w:p>
    <w:p>
      <w:pPr>
        <w:ind w:firstLine="420"/>
        <w:spacing w:line="360" w:lineRule="auto"/>
        <w:rPr>
          <w:rFonts w:hint="eastAsia" w:ascii="宋体" w:hAnsi="宋体" w:cs="宋体"/>
          <w:b/>
          <w:bCs/>
          <w:color w:val="auto"/>
          <w:szCs w:val="21"/>
          <w:highlight w:val="none"/>
          <w:lang w:val="zh-CN"/>
        </w:rPr>
        <w:outlineLvl w:val="0"/>
      </w:pPr>
      <w:r>
        <w:rPr>
          <w:rFonts w:hint="eastAsia" w:ascii="宋体" w:hAnsi="宋体" w:cs="宋体"/>
          <w:color w:val="auto"/>
          <w:szCs w:val="21"/>
          <w:highlight w:val="none"/>
        </w:rPr>
        <w:t xml:space="preserve">（2）对于满足合同约定支付条件的，甲方应当自收到发票后十个工作日内将资金支付到合同约定的供应商账户。</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十一、税费</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11.1本合同执行中相关的一切税费均由乙方负担。</w:t>
      </w:r>
      <w:r/>
    </w:p>
    <w:p>
      <w:pPr>
        <w:ind w:firstLine="413"/>
        <w:spacing w:line="440" w:lineRule="exact"/>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十二、质量保证及售后服务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12.1</w:t>
      </w:r>
      <w:r>
        <w:rPr>
          <w:rFonts w:hint="eastAsia" w:ascii="宋体" w:hAnsi="宋体" w:cs="宋体"/>
          <w:color w:val="auto"/>
          <w:szCs w:val="21"/>
          <w:highlight w:val="none"/>
          <w:lang w:val="zh-CN"/>
        </w:rPr>
        <w:t xml:space="preserve">乙方应按招标文件规定的货物性能、技术要求、质量标准向甲方提供未经使用的全新产品。</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12.2</w:t>
      </w:r>
      <w:r>
        <w:rPr>
          <w:rFonts w:hint="eastAsia" w:ascii="宋体" w:hAnsi="宋体" w:cs="宋体"/>
          <w:color w:val="auto"/>
          <w:szCs w:val="21"/>
          <w:highlight w:val="none"/>
          <w:lang w:val="zh-CN"/>
        </w:rPr>
        <w:t xml:space="preserve">乙方提供的货物在质量期内因货物本身的质量问题发生故障，乙方应负责免费更换。对达不到技术要求者，根据实际情况，经双方协商，可按以下办法处理：</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⑴更换：由乙方承担所发生的全部费用。</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⑵贬值处理：由甲乙双方合议定价。</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⑶退货处理：乙方应退还甲方支付的合同款，同时应承担该货物的直接费用（运输、保险、检验、货款利息及银行手续费等）。</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12.3</w:t>
      </w:r>
      <w:r>
        <w:rPr>
          <w:rFonts w:hint="eastAsia" w:ascii="宋体" w:hAnsi="宋体" w:cs="宋体"/>
          <w:color w:val="auto"/>
          <w:szCs w:val="21"/>
          <w:highlight w:val="none"/>
          <w:lang w:val="zh-CN"/>
        </w:rPr>
        <w:t xml:space="preserve">如在使用过程中发生质量问题，乙方在接到甲方通知后在</w:t>
      </w:r>
      <w:r>
        <w:rPr>
          <w:rFonts w:hint="eastAsia" w:ascii="宋体" w:hAnsi="宋体" w:cs="宋体"/>
          <w:color w:val="auto"/>
          <w:szCs w:val="21"/>
          <w:highlight w:val="none"/>
        </w:rPr>
        <w:t xml:space="preserve">__</w:t>
      </w:r>
      <w:r>
        <w:rPr>
          <w:rFonts w:hint="eastAsia" w:ascii="宋体" w:hAnsi="宋体" w:cs="宋体"/>
          <w:color w:val="auto"/>
          <w:szCs w:val="21"/>
          <w:highlight w:val="none"/>
          <w:lang w:val="zh-CN"/>
        </w:rPr>
        <w:t xml:space="preserve">小时内到达甲方现场。</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12.4</w:t>
      </w:r>
      <w:r>
        <w:rPr>
          <w:rFonts w:hint="eastAsia" w:ascii="宋体" w:hAnsi="宋体" w:cs="宋体"/>
          <w:color w:val="auto"/>
          <w:szCs w:val="21"/>
          <w:highlight w:val="none"/>
          <w:lang w:val="zh-CN"/>
        </w:rPr>
        <w:t xml:space="preserve">在质保期内，乙方应对货物出现的质量及安全问题负责处理解决并承担一切费用。</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12.5</w:t>
      </w:r>
      <w:r>
        <w:rPr>
          <w:rFonts w:hint="eastAsia" w:ascii="宋体" w:hAnsi="宋体" w:cs="宋体"/>
          <w:color w:val="auto"/>
          <w:szCs w:val="21"/>
          <w:highlight w:val="none"/>
          <w:lang w:val="zh-CN"/>
        </w:rPr>
        <w:t xml:space="preserve">上述的货物免费保修期为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年，因人为因素出现的故障不在免费保修范围内。超过保修期的机器设备，终生维修，维修时只收部件成本费。</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十三、调试和验收</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13.1</w:t>
      </w:r>
      <w:r>
        <w:rPr>
          <w:rFonts w:hint="eastAsia" w:ascii="宋体" w:hAnsi="宋体" w:cs="宋体"/>
          <w:color w:val="auto"/>
          <w:szCs w:val="21"/>
          <w:highlight w:val="none"/>
          <w:lang w:val="zh-CN"/>
        </w:rPr>
        <w:t xml:space="preserve">甲方对乙方提交的货物依据招标文件上的技术规格要求和国家有关质量标准进行现场初步验收，外观、说明书符合招标文件技术要求的，给予签收，初步验收不合格的不予签收。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13.2</w:t>
      </w:r>
      <w:r>
        <w:rPr>
          <w:rFonts w:hint="eastAsia" w:ascii="宋体" w:hAnsi="宋体" w:cs="宋体"/>
          <w:color w:val="auto"/>
          <w:szCs w:val="21"/>
          <w:highlight w:val="none"/>
          <w:lang w:val="zh-CN"/>
        </w:rPr>
        <w:t xml:space="preserve">乙方交货前应对产品作出全面检查和对验收文件进行整理，并列出清单，作为甲方收货验收和使用的技术条件依据，检验的结果应随货物交甲方。</w:t>
      </w:r>
      <w:r>
        <w:rPr>
          <w:rFonts w:hint="eastAsia" w:ascii="宋体" w:hAnsi="宋体" w:cs="宋体"/>
          <w:color w:val="auto"/>
          <w:szCs w:val="21"/>
          <w:highlight w:val="none"/>
          <w:lang w:val="en-US" w:eastAsia="zh-CN"/>
        </w:rPr>
        <w:t xml:space="preserve">如乙方未按约定时间完成验收，</w:t>
      </w:r>
      <w:r>
        <w:rPr>
          <w:rFonts w:hint="eastAsia" w:ascii="宋体" w:hAnsi="宋体" w:cs="宋体"/>
          <w:color w:val="auto"/>
          <w:szCs w:val="21"/>
          <w:highlight w:val="none"/>
          <w:lang w:val="zh-CN" w:eastAsia="zh-CN"/>
        </w:rPr>
        <w:t xml:space="preserve">每逾期一日，应向甲方支付</w:t>
      </w:r>
      <w:r>
        <w:rPr>
          <w:rFonts w:hint="eastAsia" w:ascii="宋体" w:hAnsi="宋体" w:cs="宋体"/>
          <w:color w:val="auto"/>
          <w:szCs w:val="21"/>
          <w:highlight w:val="none"/>
          <w:lang w:val="en-US" w:eastAsia="zh-CN"/>
        </w:rPr>
        <w:t xml:space="preserve">500元/日</w:t>
      </w:r>
      <w:r>
        <w:rPr>
          <w:rFonts w:hint="eastAsia" w:ascii="宋体" w:hAnsi="宋体" w:cs="宋体"/>
          <w:color w:val="auto"/>
          <w:szCs w:val="21"/>
          <w:highlight w:val="none"/>
          <w:lang w:val="zh-CN" w:eastAsia="zh-CN"/>
        </w:rPr>
        <w:t xml:space="preserve">的违约金，</w:t>
      </w:r>
      <w:r>
        <w:rPr>
          <w:rFonts w:hint="eastAsia" w:ascii="宋体" w:hAnsi="宋体" w:cs="宋体"/>
          <w:color w:val="auto"/>
          <w:szCs w:val="21"/>
          <w:highlight w:val="none"/>
          <w:lang w:val="zh-CN"/>
        </w:rPr>
        <w:t xml:space="preserve">由甲方从待付</w:t>
      </w:r>
      <w:r>
        <w:rPr>
          <w:rFonts w:hint="eastAsia" w:ascii="宋体" w:hAnsi="宋体" w:cs="宋体"/>
          <w:color w:val="auto"/>
          <w:szCs w:val="21"/>
          <w:highlight w:val="none"/>
          <w:lang w:val="en-US" w:eastAsia="zh-CN"/>
        </w:rPr>
        <w:t xml:space="preserve">合同款项</w:t>
      </w:r>
      <w:r>
        <w:rPr>
          <w:rFonts w:hint="eastAsia" w:ascii="宋体" w:hAnsi="宋体" w:cs="宋体"/>
          <w:color w:val="auto"/>
          <w:szCs w:val="21"/>
          <w:highlight w:val="none"/>
          <w:lang w:val="zh-CN"/>
        </w:rPr>
        <w:t xml:space="preserve">中扣除</w:t>
      </w:r>
      <w:r>
        <w:rPr>
          <w:rFonts w:hint="eastAsia" w:ascii="宋体" w:hAnsi="宋体" w:cs="宋体"/>
          <w:color w:val="auto"/>
          <w:szCs w:val="21"/>
          <w:highlight w:val="none"/>
          <w:lang w:val="zh-CN" w:eastAsia="zh-CN"/>
        </w:rPr>
        <w:t xml:space="preserve">。</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13.3</w:t>
      </w:r>
      <w:r>
        <w:rPr>
          <w:rFonts w:hint="eastAsia" w:ascii="宋体" w:hAnsi="宋体" w:cs="宋体"/>
          <w:color w:val="auto"/>
          <w:szCs w:val="21"/>
          <w:highlight w:val="none"/>
          <w:lang w:val="zh-CN"/>
        </w:rPr>
        <w:t xml:space="preserve">甲方对乙方提供的货物在使用前进行调试时，乙方需负责安装并培训甲方的使用操作人员，并协助甲方一起调试，直到符合技术要求，甲方才做最终验收。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13.4 </w:t>
      </w:r>
      <w:r>
        <w:rPr>
          <w:rFonts w:hint="eastAsia" w:ascii="宋体" w:hAnsi="宋体" w:cs="宋体"/>
          <w:color w:val="auto"/>
          <w:szCs w:val="21"/>
          <w:highlight w:val="none"/>
          <w:lang w:val="zh-CN"/>
        </w:rPr>
        <w:t xml:space="preserve">对技术复杂的货物，甲方可请国家认可的专业检测机构参与初步验收及最终验收，并由其出具质量检测报告。</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13.5</w:t>
      </w:r>
      <w:r>
        <w:rPr>
          <w:rFonts w:hint="eastAsia" w:ascii="宋体" w:hAnsi="宋体" w:cs="宋体"/>
          <w:color w:val="auto"/>
          <w:szCs w:val="21"/>
          <w:highlight w:val="none"/>
          <w:lang w:val="zh-CN"/>
        </w:rPr>
        <w:t xml:space="preserve">验收时乙方必须在现场，验收完毕后作出验收结果报告。</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十四、货物包装、发运及运输</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14.1</w:t>
      </w:r>
      <w:r>
        <w:rPr>
          <w:rFonts w:hint="eastAsia" w:ascii="宋体" w:hAnsi="宋体" w:cs="宋体"/>
          <w:color w:val="auto"/>
          <w:szCs w:val="21"/>
          <w:highlight w:val="none"/>
          <w:lang w:val="zh-CN"/>
        </w:rPr>
        <w:t xml:space="preserve">乙方应在货物发运前对其进行满足运输距离、防潮、防震、防锈和防破损装卸等要求包装，以保证货物安全运达甲方指定地点。</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14.2</w:t>
      </w:r>
      <w:r>
        <w:rPr>
          <w:rFonts w:hint="eastAsia" w:ascii="宋体" w:hAnsi="宋体" w:cs="宋体"/>
          <w:color w:val="auto"/>
          <w:szCs w:val="21"/>
          <w:highlight w:val="none"/>
          <w:lang w:val="zh-CN"/>
        </w:rPr>
        <w:t xml:space="preserve">使用说明书、质量检验证明书、随配附件和工具以及清单一并附于货物内。</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14.3</w:t>
      </w:r>
      <w:r>
        <w:rPr>
          <w:rFonts w:hint="eastAsia" w:ascii="宋体" w:hAnsi="宋体" w:cs="宋体"/>
          <w:color w:val="auto"/>
          <w:szCs w:val="21"/>
          <w:highlight w:val="none"/>
          <w:lang w:val="zh-CN"/>
        </w:rPr>
        <w:t xml:space="preserve">乙方在货物发运手续办理完毕后</w:t>
      </w:r>
      <w:r>
        <w:rPr>
          <w:rFonts w:hint="eastAsia" w:ascii="宋体" w:hAnsi="宋体" w:cs="宋体"/>
          <w:color w:val="auto"/>
          <w:szCs w:val="21"/>
          <w:highlight w:val="none"/>
        </w:rPr>
        <w:t xml:space="preserve">24</w:t>
      </w:r>
      <w:r>
        <w:rPr>
          <w:rFonts w:hint="eastAsia" w:ascii="宋体" w:hAnsi="宋体" w:cs="宋体"/>
          <w:color w:val="auto"/>
          <w:szCs w:val="21"/>
          <w:highlight w:val="none"/>
          <w:lang w:val="zh-CN"/>
        </w:rPr>
        <w:t xml:space="preserve">小时内或货到甲方</w:t>
      </w:r>
      <w:r>
        <w:rPr>
          <w:rFonts w:hint="eastAsia" w:ascii="宋体" w:hAnsi="宋体" w:cs="宋体"/>
          <w:color w:val="auto"/>
          <w:szCs w:val="21"/>
          <w:highlight w:val="none"/>
        </w:rPr>
        <w:t xml:space="preserve">48</w:t>
      </w:r>
      <w:r>
        <w:rPr>
          <w:rFonts w:hint="eastAsia" w:ascii="宋体" w:hAnsi="宋体" w:cs="宋体"/>
          <w:color w:val="auto"/>
          <w:szCs w:val="21"/>
          <w:highlight w:val="none"/>
          <w:lang w:val="zh-CN"/>
        </w:rPr>
        <w:t xml:space="preserve">小时前通知甲方，以准备接货。</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14.4</w:t>
      </w:r>
      <w:r>
        <w:rPr>
          <w:rFonts w:hint="eastAsia" w:ascii="宋体" w:hAnsi="宋体" w:cs="宋体"/>
          <w:color w:val="auto"/>
          <w:szCs w:val="21"/>
          <w:highlight w:val="none"/>
          <w:lang w:val="zh-CN"/>
        </w:rPr>
        <w:t xml:space="preserve">货物在交付甲方前发生的风险均由乙方负责。</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14.5</w:t>
      </w:r>
      <w:r>
        <w:rPr>
          <w:rFonts w:hint="eastAsia" w:ascii="宋体" w:hAnsi="宋体" w:cs="宋体"/>
          <w:color w:val="auto"/>
          <w:szCs w:val="21"/>
          <w:highlight w:val="none"/>
          <w:lang w:val="zh-CN"/>
        </w:rPr>
        <w:t xml:space="preserve">货物在规定的交付期限内由乙方送达甲方指定的地点视为交付，乙方同时需通知甲方货物已送达。</w:t>
      </w:r>
      <w:r/>
    </w:p>
    <w:p>
      <w:pPr>
        <w:ind w:firstLine="413"/>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十五、违约责任</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color w:val="auto"/>
          <w:szCs w:val="21"/>
          <w:highlight w:val="none"/>
          <w:lang w:val="zh-CN"/>
        </w:rPr>
        <w:t xml:space="preserve">甲方无正当理由拒收货物的，甲方向乙方偿付拒收货款总值的百分之五违约金。</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15.2</w:t>
      </w:r>
      <w:r>
        <w:rPr>
          <w:rFonts w:hint="eastAsia" w:ascii="宋体" w:hAnsi="宋体" w:cs="宋体"/>
          <w:color w:val="auto"/>
          <w:szCs w:val="21"/>
          <w:highlight w:val="none"/>
          <w:lang w:val="zh-CN"/>
        </w:rPr>
        <w:t xml:space="preserve">甲方无故逾期验收和办理货款支付手续的</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甲方应按逾期付款总额每日万分之五向乙方支付违约金。</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15.3</w:t>
      </w:r>
      <w:r>
        <w:rPr>
          <w:rFonts w:hint="eastAsia" w:ascii="宋体" w:hAnsi="宋体" w:cs="宋体"/>
          <w:color w:val="auto"/>
          <w:szCs w:val="21"/>
          <w:highlight w:val="none"/>
          <w:lang w:val="zh-CN"/>
        </w:rPr>
        <w:t xml:space="preserve">乙方逾期交付货物的，乙方应按逾期交货总额每日千分之六向甲方支付违约金，由甲方从待付货款中扣除。逾期超过约定日期</w:t>
      </w:r>
      <w:r>
        <w:rPr>
          <w:rFonts w:hint="eastAsia" w:ascii="宋体" w:hAnsi="宋体" w:cs="宋体"/>
          <w:color w:val="auto"/>
          <w:szCs w:val="21"/>
          <w:highlight w:val="none"/>
        </w:rPr>
        <w:t xml:space="preserve">10</w:t>
      </w:r>
      <w:r>
        <w:rPr>
          <w:rFonts w:hint="eastAsia" w:ascii="宋体" w:hAnsi="宋体" w:cs="宋体"/>
          <w:color w:val="auto"/>
          <w:szCs w:val="21"/>
          <w:highlight w:val="none"/>
          <w:lang w:val="zh-CN"/>
        </w:rPr>
        <w:t xml:space="preserve">个工作日不能交货的，甲方可解除本合同。乙方因逾期交货或因其他违约行为导致甲方解除合同的，乙方应向甲方支付合同总值</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的违约金，如造成甲方损失超过违约金的，超出部分由乙方继续承担赔偿责任。</w:t>
      </w:r>
      <w:r>
        <w:rPr>
          <w:rFonts w:hint="eastAsia" w:ascii="宋体" w:hAnsi="宋体" w:cs="宋体"/>
          <w:color w:val="auto"/>
          <w:szCs w:val="21"/>
          <w:highlight w:val="none"/>
        </w:rPr>
        <w:t xml:space="preserve"> </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15.4</w:t>
      </w:r>
      <w:r>
        <w:rPr>
          <w:rFonts w:hint="eastAsia" w:ascii="宋体" w:hAnsi="宋体" w:cs="宋体"/>
          <w:color w:val="auto"/>
          <w:szCs w:val="21"/>
          <w:highlight w:val="none"/>
          <w:lang w:val="zh-CN"/>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382"/>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十六、不可抗力事件处理</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16.1</w:t>
      </w:r>
      <w:r>
        <w:rPr>
          <w:rFonts w:hint="eastAsia" w:ascii="宋体" w:hAnsi="宋体" w:cs="宋体"/>
          <w:color w:val="auto"/>
          <w:szCs w:val="21"/>
          <w:highlight w:val="none"/>
          <w:lang w:val="zh-CN"/>
        </w:rPr>
        <w:t xml:space="preserve">在合同有效期内，任何一方因不可抗力事件导致不能履行合同，则合同履行期可延长，其延长期与不可抗力影响期相同。</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16.2</w:t>
      </w:r>
      <w:r>
        <w:rPr>
          <w:rFonts w:hint="eastAsia" w:ascii="宋体" w:hAnsi="宋体" w:cs="宋体"/>
          <w:color w:val="auto"/>
          <w:szCs w:val="21"/>
          <w:highlight w:val="none"/>
          <w:lang w:val="zh-CN"/>
        </w:rPr>
        <w:t xml:space="preserve">不可抗力事件发生后，应立即通知对方，并寄送有关权威机构出具的证明。</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16.3</w:t>
      </w:r>
      <w:r>
        <w:rPr>
          <w:rFonts w:hint="eastAsia" w:ascii="宋体" w:hAnsi="宋体" w:cs="宋体"/>
          <w:color w:val="auto"/>
          <w:szCs w:val="21"/>
          <w:highlight w:val="none"/>
          <w:lang w:val="zh-CN"/>
        </w:rPr>
        <w:t xml:space="preserve">不可抗力事件延续</w:t>
      </w:r>
      <w:r>
        <w:rPr>
          <w:rFonts w:hint="eastAsia" w:ascii="宋体" w:hAnsi="宋体" w:cs="宋体"/>
          <w:color w:val="auto"/>
          <w:szCs w:val="21"/>
          <w:highlight w:val="none"/>
        </w:rPr>
        <w:t xml:space="preserve">120</w:t>
      </w:r>
      <w:r>
        <w:rPr>
          <w:rFonts w:hint="eastAsia" w:ascii="宋体" w:hAnsi="宋体" w:cs="宋体"/>
          <w:color w:val="auto"/>
          <w:szCs w:val="21"/>
          <w:highlight w:val="none"/>
          <w:lang w:val="zh-CN"/>
        </w:rPr>
        <w:t xml:space="preserve">天以上，双方应通过友好协商，确定是否继续履行合同。</w:t>
      </w:r>
      <w:r/>
    </w:p>
    <w:p>
      <w:pPr>
        <w:ind w:firstLine="382"/>
        <w:spacing w:line="44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十七、诉讼</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17.1</w:t>
      </w:r>
      <w:r>
        <w:rPr>
          <w:rFonts w:hint="eastAsia" w:ascii="宋体" w:hAnsi="宋体" w:cs="宋体"/>
          <w:color w:val="auto"/>
          <w:szCs w:val="21"/>
          <w:highlight w:val="none"/>
          <w:lang w:val="zh-CN"/>
        </w:rPr>
        <w:t xml:space="preserve">双方在执行合同中所发生的一切争议，应通过协商解决。如协商不成，可向合同签订地法院起诉，合同签订地在此约定为盐城市。</w:t>
      </w:r>
      <w:r/>
    </w:p>
    <w:p>
      <w:pPr>
        <w:ind w:firstLine="38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十八、合同生效及其它</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18.1</w:t>
      </w:r>
      <w:r>
        <w:rPr>
          <w:rFonts w:hint="eastAsia" w:ascii="宋体" w:hAnsi="宋体" w:cs="宋体"/>
          <w:color w:val="auto"/>
          <w:szCs w:val="21"/>
          <w:highlight w:val="none"/>
          <w:lang w:val="zh-CN"/>
        </w:rPr>
        <w:t xml:space="preserve">合同经双方法定代表人或授权委托代表人签字并加盖单位公章后生效。</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18.2</w:t>
      </w:r>
      <w:r>
        <w:rPr>
          <w:rFonts w:hint="eastAsia" w:ascii="宋体" w:hAnsi="宋体" w:cs="宋体"/>
          <w:color w:val="auto"/>
          <w:szCs w:val="21"/>
          <w:highlight w:val="none"/>
          <w:lang w:val="zh-CN"/>
        </w:rPr>
        <w:t xml:space="preserve">本合同未尽事宜，遵照《中华人民共和国民法典》有关条文执行。</w:t>
      </w:r>
      <w:r/>
    </w:p>
    <w:p>
      <w:pPr>
        <w:ind w:firstLine="3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18.3</w:t>
      </w:r>
      <w:r>
        <w:rPr>
          <w:rFonts w:hint="eastAsia" w:ascii="宋体" w:hAnsi="宋体" w:cs="宋体"/>
          <w:color w:val="auto"/>
          <w:szCs w:val="21"/>
          <w:highlight w:val="none"/>
          <w:lang w:val="zh-CN"/>
        </w:rPr>
        <w:t xml:space="preserve">本合同正本一式陆份，具有同等法律效力，甲方、乙方各执叁份。</w:t>
      </w:r>
      <w:r/>
    </w:p>
    <w:p>
      <w:pPr>
        <w:pStyle w:val="1650"/>
        <w:ind w:left="420" w:firstLine="210"/>
        <w:spacing w:before="120" w:after="120" w:line="360" w:lineRule="atLeast"/>
        <w:rPr>
          <w:rFonts w:hint="eastAsia" w:hAnsi="宋体"/>
          <w:color w:val="auto"/>
          <w:highlight w:val="none"/>
        </w:rPr>
      </w:pPr>
      <w:r>
        <w:rPr>
          <w:rFonts w:hAnsi="宋体"/>
          <w:color w:val="auto"/>
          <w:highlight w:val="none"/>
        </w:rPr>
        <w:t xml:space="preserve">甲方：                                   乙方： </w:t>
      </w:r>
      <w:r/>
    </w:p>
    <w:p>
      <w:pPr>
        <w:pStyle w:val="1650"/>
        <w:spacing w:before="120" w:after="120" w:line="360" w:lineRule="atLeast"/>
        <w:rPr>
          <w:rFonts w:hint="eastAsia" w:hAnsi="宋体"/>
          <w:color w:val="auto"/>
          <w:highlight w:val="none"/>
        </w:rPr>
      </w:pPr>
      <w:r>
        <w:rPr>
          <w:rFonts w:hAnsi="宋体"/>
          <w:color w:val="auto"/>
          <w:highlight w:val="none"/>
        </w:rPr>
        <w:t xml:space="preserve">      地址：                                   地址： </w:t>
      </w:r>
      <w:r/>
    </w:p>
    <w:p>
      <w:pPr>
        <w:pStyle w:val="1650"/>
        <w:spacing w:before="120" w:after="120" w:line="360" w:lineRule="atLeast"/>
        <w:rPr>
          <w:rFonts w:hint="eastAsia" w:hAnsi="宋体"/>
          <w:color w:val="auto"/>
          <w:highlight w:val="none"/>
        </w:rPr>
      </w:pPr>
      <w:r>
        <w:rPr>
          <w:rFonts w:hAnsi="宋体"/>
          <w:color w:val="auto"/>
          <w:highlight w:val="none"/>
        </w:rPr>
        <w:t xml:space="preserve">      法定代表人或授权代表：                   法定代表人或授权代表：</w:t>
      </w:r>
      <w:r/>
    </w:p>
    <w:p>
      <w:pPr>
        <w:pStyle w:val="1650"/>
        <w:spacing w:before="120" w:after="120" w:line="360" w:lineRule="atLeast"/>
        <w:rPr>
          <w:rFonts w:hint="eastAsia" w:hAnsi="宋体" w:cs="宋体"/>
          <w:color w:val="auto"/>
          <w:highlight w:val="none"/>
          <w:lang w:val="zh-CN"/>
        </w:rPr>
      </w:pPr>
      <w:r>
        <w:rPr>
          <w:rFonts w:hAnsi="宋体"/>
          <w:color w:val="auto"/>
          <w:highlight w:val="none"/>
        </w:rPr>
        <w:t xml:space="preserve">      联系电话：                               联系电话:</w:t>
      </w:r>
      <w:r/>
    </w:p>
    <w:p>
      <w:pPr>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                                              签订日期：      年  月  日</w:t>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1656"/>
        <w:jc w:val="center"/>
        <w:spacing w:before="120" w:beforeAutospacing="0" w:after="120" w:afterAutospacing="0" w:line="0" w:lineRule="atLeast"/>
        <w:rPr>
          <w:color w:val="auto"/>
          <w:highlight w:val="none"/>
        </w:rPr>
      </w:pPr>
      <w:r>
        <w:rPr>
          <w:rFonts w:hint="eastAsia" w:ascii="黑体" w:hAnsi="宋体" w:eastAsia="黑体" w:cs="黑体"/>
          <w:color w:val="auto"/>
          <w:sz w:val="44"/>
          <w:szCs w:val="44"/>
          <w:highlight w:val="none"/>
        </w:rPr>
        <w:t xml:space="preserve">第</w:t>
      </w:r>
      <w:bookmarkEnd w:id="169"/>
      <w:r>
        <w:rPr>
          <w:rFonts w:hint="eastAsia" w:ascii="黑体" w:hAnsi="宋体" w:eastAsia="黑体" w:cs="黑体"/>
          <w:color w:val="auto"/>
          <w:sz w:val="44"/>
          <w:szCs w:val="44"/>
          <w:highlight w:val="none"/>
        </w:rPr>
        <w:t xml:space="preserve">四章 采购需求</w:t>
      </w:r>
      <w:bookmarkEnd w:id="170"/>
      <w:r/>
      <w:bookmarkEnd w:id="171"/>
      <w:r/>
      <w:bookmarkEnd w:id="172"/>
      <w:r/>
      <w:bookmarkEnd w:id="173"/>
      <w:r/>
      <w:bookmarkEnd w:id="174"/>
      <w:r/>
      <w:r/>
    </w:p>
    <w:p>
      <w:pPr>
        <w:pStyle w:val="1656"/>
        <w:ind w:firstLine="420"/>
        <w:jc w:val="both"/>
        <w:spacing w:beforeAutospacing="0" w:afterAutospacing="0" w:line="360" w:lineRule="auto"/>
        <w:rPr>
          <w:rFonts w:hint="eastAsia" w:ascii="宋体" w:hAnsi="宋体" w:cs="宋体"/>
          <w:color w:val="auto"/>
          <w:sz w:val="21"/>
          <w:szCs w:val="21"/>
          <w:highlight w:val="none"/>
        </w:rPr>
      </w:pPr>
      <w:r/>
      <w:bookmarkStart w:id="178" w:name="_Toc49090575"/>
      <w:r/>
      <w:bookmarkStart w:id="179" w:name="_Toc26554093"/>
      <w:r>
        <w:rPr>
          <w:rFonts w:hint="eastAsia" w:ascii="宋体" w:hAnsi="宋体" w:cs="宋体"/>
          <w:color w:val="auto"/>
          <w:sz w:val="21"/>
          <w:szCs w:val="21"/>
          <w:highlight w:val="none"/>
        </w:rPr>
        <w:t xml:space="preserve">项目属性:货物类项目</w:t>
      </w:r>
      <w:bookmarkEnd w:id="178"/>
      <w:r/>
      <w:bookmarkEnd w:id="179"/>
      <w:r/>
      <w:r/>
    </w:p>
    <w:p>
      <w:pPr>
        <w:ind w:firstLine="420"/>
        <w:jc w:val="left"/>
        <w:spacing w:line="480" w:lineRule="exact"/>
        <w:widowControl/>
        <w:rPr>
          <w:rFonts w:ascii="宋体" w:hAnsi="宋体" w:cs="宋体"/>
          <w:color w:val="auto"/>
          <w:szCs w:val="21"/>
          <w:highlight w:val="none"/>
          <w:u w:val="single"/>
        </w:rPr>
      </w:pPr>
      <w:r>
        <w:rPr>
          <w:rFonts w:hint="eastAsia" w:ascii="宋体" w:hAnsi="宋体" w:cs="宋体"/>
          <w:color w:val="auto"/>
          <w:szCs w:val="21"/>
          <w:highlight w:val="none"/>
        </w:rPr>
        <w:t xml:space="preserve">本项目核心产品为：燃气环保双头大炒炉、燃气环保双头双尾炒炉</w:t>
      </w:r>
      <w:r>
        <w:rPr>
          <w:rFonts w:hint="eastAsia" w:ascii="宋体" w:hAnsi="宋体" w:cs="宋体"/>
          <w:color w:val="auto"/>
          <w:szCs w:val="21"/>
          <w:highlight w:val="none"/>
          <w:lang w:eastAsia="zh-CN"/>
        </w:rPr>
        <w:t xml:space="preserve">、高温冷库、低温冷库</w:t>
      </w:r>
      <w:r/>
    </w:p>
    <w:p>
      <w:pPr>
        <w:pStyle w:val="1656"/>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一、项目基本情况</w:t>
      </w:r>
      <w:r/>
    </w:p>
    <w:p>
      <w:pPr>
        <w:pStyle w:val="1656"/>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数据交通指挥中心后厨区域共计约600m²,一层约450m²,二层约150m²。一层设计分为初加工、切配区、热厨区、冷菜间、发售间、洗碗洗碟间、原材检验室、库房以及冷库。二楼设计分为面点间、洗碗间、备餐间以及冷库间，能够满足1500人就餐需求。本次采购内容为配套以上后厨区域日常作业的专用设备。</w:t>
      </w:r>
      <w:r/>
    </w:p>
    <w:p>
      <w:pPr>
        <w:pStyle w:val="1656"/>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二、项目明细</w:t>
      </w:r>
      <w:r/>
    </w:p>
    <w:tbl>
      <w:tblPr>
        <w:tblStyle w:val="1462"/>
        <w:tblW w:w="91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1"/>
        <w:gridCol w:w="893"/>
        <w:gridCol w:w="471"/>
        <w:gridCol w:w="4300"/>
        <w:gridCol w:w="60"/>
        <w:gridCol w:w="1620"/>
        <w:gridCol w:w="1335"/>
      </w:tblGrid>
      <w:tr>
        <w:trPr>
          <w:trHeight w:val="583"/>
        </w:trPr>
        <w:tc>
          <w:tcPr>
            <w:gridSpan w:val="7"/>
            <w:shd w:val="clear" w:color="auto" w:fill="auto"/>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大数据交通指挥中心一层厨房设备清单</w:t>
            </w:r>
            <w:r/>
          </w:p>
        </w:tc>
      </w:tr>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设备规格说明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参考尺寸（正负偏差不大于5%）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cs="宋体"/>
                <w:b/>
                <w:bCs/>
                <w:color w:val="auto"/>
                <w:szCs w:val="21"/>
                <w:highlight w:val="none"/>
                <w:lang w:val="en-US" w:eastAsia="zh-CN" w:bidi="ar"/>
              </w:rPr>
              <w:t xml:space="preserve">对应中小企业划分标准所属行业</w:t>
            </w:r>
            <w:r/>
          </w:p>
        </w:tc>
      </w:tr>
      <w:tr>
        <w:trPr>
          <w:trHeight w:val="90"/>
        </w:trPr>
        <w:tc>
          <w:tcPr>
            <w:gridSpan w:val="7"/>
            <w:shd w:val="clear" w:color="auto" w:fill="auto"/>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一、食品检验室/仓库</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1220*530*1800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19"/>
        </w:trPr>
        <w:tc>
          <w:tcPr>
            <w:gridSpan w:val="7"/>
            <w:shd w:val="clear" w:color="auto" w:fill="auto"/>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二、荤菜，蔬菜粗加工</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无线门控风幕机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1.电源：220v/0.12kw，风量：3500/4200m³/h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2.噪音：＜52db，使用环境：-10°C~+40°C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3.具有杀菌消毒净化功能，无菌整机；风幕机内置净化模块满足：依据</w:t>
            </w:r>
            <w:r>
              <w:rPr>
                <w:rFonts w:hint="eastAsia" w:ascii="宋体" w:hAnsi="宋体" w:eastAsia="宋体" w:cs="宋体"/>
                <w:i w:val="0"/>
                <w:iCs w:val="0"/>
                <w:color w:val="ff0000"/>
                <w:sz w:val="21"/>
                <w:szCs w:val="21"/>
                <w:u w:val="none"/>
                <w:lang w:val="en-US" w:eastAsia="zh-CN" w:bidi="ar"/>
              </w:rPr>
              <w:t xml:space="preserve">GB/T</w:t>
            </w:r>
            <w:r>
              <w:rPr>
                <w:rFonts w:hint="eastAsia" w:ascii="宋体" w:hAnsi="宋体" w:eastAsia="宋体" w:cs="宋体"/>
                <w:i w:val="0"/>
                <w:iCs w:val="0"/>
                <w:color w:val="auto"/>
                <w:sz w:val="21"/>
                <w:szCs w:val="21"/>
                <w:u w:val="none"/>
                <w:lang w:val="en-US" w:eastAsia="zh-CN" w:bidi="ar"/>
              </w:rPr>
              <w:t xml:space="preserve">34012-2017《通风系统用空气净化装置》、GB 10891-1989《空气处理机组 安全要求》检测时，空气中大肠杆菌祛除率≥99%，白葡萄球菌祛除率≥99%，自然菌祛除率≥99%</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4.具有手动和自动工作模式，无线联动自动控制装置；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5.产品安全方面：满足国标GB4706.1-2005家用电器安全检测要求,在工作温度下的电气强度测试中，对L/N与易触及部件之间在3000V试验电压下测试时，未被击穿；</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.产品具有《中国环保节能产品》证书。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75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不锈钢洗手星盆台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1个3"隔筛去水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455*455*235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64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81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产品有一级水效节能证书，一级水效标识。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2.产品有中国质量认证中心GMA的检测报告。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.机身外壳为304，进水主件及水枪连接件304材料。</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.胶管长度10米(±5%），黑色重工液压钢丝耐磨管，耐温85度(±5%）极限耐压78mpa。</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.水枪可360度活动便捷冲洗。前扳机水枪，进水部件黄铜，ABS蓝色外壳防撞击，水嘴旋转可调花洒或水柱形状冲洗。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.胶管拉伸有止回定位功能。</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标配有水枪可挂置墙体的ABS挂钩及四颗M10不锈钢膨胀螺丝。</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.安装高度建议1.3-1.6米，进水接口正对产品左边，G1/2外螺纹连接进水管。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17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清洗去皮机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整机不锈钢材质，所有与食品接触部件均符合GB 4806 系列国家标准，无重金属析出、无卫生死角，易拆洗、易消毒，满足餐饮服务食品安全操作规范要求。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用于红薯、土豆、山药、胡萝卜等多种食材的清洗去泥及去皮，适配食堂、中央厨房、食品加工厂等商用场景，符合食品加工行业标准。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整机坚固耐用、运转平稳，适配商用连续作业； 国标电机+减速机，噪音低、寿命长；国标轴承、工业链轮链条，耐磨易维护；食品级尼龙毛刷辊，经久耐用、符合安全标准；清洗量大、洁净度高，食材处理后光滑无损耗；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电压：220/380V/50Hz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1.1KW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毛辊长：</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1100mm</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1.具有满足国标GB4806.7-2023、GB4806.9-2023 的《食品接触产品安全认证证书》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1270*740*1150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32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用于根茎类切片、切丝、切丁，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叶菜类切条、切丝、切片等；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机台骨架为304不锈钢，经久耐用；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变频器控制速度，控制精准；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适用于中央厨房、罐头加工厂、急速冷冻工厂、干燥食品加工、便当即学校餐厅。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电压：220/380V/50Hz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功率：2.2KW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生产效率：300-1000kg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1.具有满足国标GB4806.7-2023、GB4806.9-2023 的《食品接触产品安全认证证书》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2.具有符合GB 4706.38-2008的检测报告。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1180*550*1260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1.采用优质紫外线灯管，使用寿命长达8000小时，经久耐用；灯管具有双重消毒设计：紫外线和臭氧双重消毒杀菌；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2.紫外线波长为253.7nm，可有效破坏细菌病毒中的DNA或RNA，达到杀菌消毒效果；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3.带锁茶色玻璃门板，可有效防止紫外线外泄；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4.机械旋钮控制系统，每次开启后自动设定刀具消毒时间，简便操作；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5.刀箱门内连接保护开关，开门时紫外线灯管停止工作，以防止紫外线伤人；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6.亚克力透光刀架，方便抽取刀具，360°全方位杀菌，无卫生死角，消毒更彻底，更安全卫生；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7.配备保险阻燃材质便携插头，刀箱内有防脱落设置，放置刀具时刀刃向内刀背向外，确保操作人员取放刀时安全无忧；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8.箱内可放置</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10把刀，中餐刀面最大尺寸:</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130*320mm；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9.具有</w:t>
            </w:r>
            <w:r>
              <w:rPr>
                <w:rFonts w:hint="eastAsia" w:ascii="宋体" w:hAnsi="宋体" w:cs="宋体"/>
                <w:i w:val="0"/>
                <w:iCs w:val="0"/>
                <w:color w:val="auto"/>
                <w:sz w:val="21"/>
                <w:szCs w:val="21"/>
                <w:u w:val="none"/>
                <w:lang w:val="en-US" w:eastAsia="zh-CN" w:bidi="ar"/>
              </w:rPr>
              <w:t xml:space="preserve">省级</w:t>
            </w:r>
            <w:r>
              <w:rPr>
                <w:rFonts w:hint="eastAsia" w:ascii="宋体" w:hAnsi="宋体" w:eastAsia="宋体" w:cs="宋体"/>
                <w:i w:val="0"/>
                <w:iCs w:val="0"/>
                <w:color w:val="auto"/>
                <w:sz w:val="21"/>
                <w:szCs w:val="21"/>
                <w:u w:val="none"/>
                <w:lang w:val="en-US" w:eastAsia="zh-CN" w:bidi="ar"/>
              </w:rPr>
              <w:t xml:space="preserve">微生物分析检测中心对大肠杆菌8099、金黄色葡萄球菌ATCC6538、白色念珠菌ATCC10231分析检测报告；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10.电压功率：220V/15W，50HZ，10A三孔电源插头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545*138*660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0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1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79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采用304#不锈钢材料，沟体厚度1.5mm,盖板边框厚度3.0mm,内格厚度3.0mm，内格规格47*16mm，地沟内部圆角，易清洁，带有不锈钢隔渣蓝，表面具有防滑齿设计，符合卫生标准，且带防臭功能防止异味溢出，经久耐用。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1500*300*300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18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不锈钢大双星盆台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星盆规格：750x550x300mmH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2个3"隔筛去水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32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9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26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物理性能：冷库墙板密度：≥45 kg / 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冷库地台密度：≥46 kg / 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导热系数：≤0.02W/m•K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抗压强度：≥220kPa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抗折强度：≥370kPa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吸水率：≤0.5g/100cm²•冷库板的表面金属材料及厚度：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墙板和天花板：直角冷库，双面0.8mm彩钢板，库板安装完毕，加水泥沙浆贴防滑地砖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保温材料：厚度为100mmPIR保温板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库门：尺寸1000*2500，内/外0.8mm彩钢板，金属板间发泡100mm厚聚氨基甲酸作绝缘材料，带自动闭门及锁死警报系统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冷库板保温层必须符合GB8624-12《建筑材料及制品燃烧性能分级》至少B1等级标准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锌合金冷库平门拉手、内部安全锁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门边镶嵌PVC磁性密封条确保密封良好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电子显示温度表及冷库LED三防灯等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冷库温度：</w:t>
            </w:r>
            <w:r>
              <w:rPr>
                <w:rStyle w:val="1674"/>
                <w:rFonts w:hint="eastAsia" w:ascii="宋体" w:hAnsi="宋体" w:eastAsia="宋体" w:cs="宋体"/>
                <w:color w:val="auto"/>
                <w:sz w:val="21"/>
                <w:szCs w:val="21"/>
                <w:lang w:val="en-US" w:eastAsia="zh-CN" w:bidi="ar"/>
              </w:rPr>
              <w:t xml:space="preserve">0~5℃</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冷库进门区域底板需加固</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冷库板为插口式拼接，板内无法预埋锁钩，拼接后外部需插销固定，再打玻璃胶进行处理缝隙</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冷库板边缘预置橡胶密封垫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3900*6000*2600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6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高温冷库制冷压缩机组</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制冷量：4904W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功率:380V/2275W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预留散热排风量：2896m^3/h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压缩机采用世界名牌优质压缩机配置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冷凝器配置优质的内螺纹管和超银焊接工艺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优质品牌风扇电机。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低噪音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包含控制系统的多种可选方案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含油分、供液组件、木包装、大号冷凝器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710*720*553</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39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高温冷库冷风机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功率:220V/216W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铝镁合金面板（防腐防氧化），标准铜管铝翅片。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中温有8个型号，1~4个风扇，冷量范围在2.1~10.5KW；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低温有7个型号，1~4个风扇，冷量范围在1.9~10.3KW；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采用300mm风扇结构紧凑，增加冷库储存高度接水盘可180度反方向安装，并接有32mm螺纹接头。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标配针阀，外壳顶端装有抓脚吊耳；安装有牢固的绳索，用于修时固定接水盘。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1785*500*535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97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1220*530*1800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43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物理性能：冷库墙板密度：≥45kg/M3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冷库地台密度：≥46kg/M3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导热系数：≤0.02W/m•K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抗压强度：≥220kPa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抗折强度：≥370kPa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吸水率：≤0.5g/100cm²•冷库板的表面金属材料及厚度：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墙板和天花板：直角冷库，双面0.8mm彩钢板，库板安装完毕，加水泥沙浆贴防滑地砖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保温材料：厚度为100mmPIR保温板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库门：尺寸1000*2500，内/外0.8mm彩钢板，金属板间发泡100mm厚聚氨基甲酸作绝缘材料，带自动闭门及锁死警报系统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冷库板保温层必须符合GB8624-12《建筑材料及制品燃烧性能分级》至少B1等级标准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锌合金冷库平门拉手、内部安全锁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门边镶嵌PVC磁性密封条确保密封良好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电子显示温度表及冷库LED三防灯等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冷库温度：</w:t>
            </w:r>
            <w:r>
              <w:rPr>
                <w:rStyle w:val="1674"/>
                <w:rFonts w:hint="eastAsia" w:ascii="宋体" w:hAnsi="宋体" w:eastAsia="宋体" w:cs="宋体"/>
                <w:color w:val="auto"/>
                <w:sz w:val="21"/>
                <w:szCs w:val="21"/>
                <w:lang w:val="en-US" w:eastAsia="zh-CN" w:bidi="ar"/>
              </w:rPr>
              <w:t xml:space="preserve">-18℃</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冷库进门区域底板需加固</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冷库板为插口式拼接，板内无法预埋锁钩，拼接后外部需插销固定，再打玻璃胶进行处理缝隙</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冷库板边缘预置橡胶密封垫</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3350*2500*2600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6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低温冷库制冷压缩机组</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制冷量：4904W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功率:380V/2275W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预留散热排风量：2896m^3/h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压缩机采用世界名牌优质压缩机配置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冷凝器配置优质的内螺纹管和超银焊接工艺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优质品牌风扇电机。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低噪音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包含控制系统的多种可选方案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含油分、供液组件、木包装、大号冷凝器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710*720*553</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81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低温冷库冷风机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功率:220V/216W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铝镁合金面板（防腐防氧化），标准铜管铝翅片。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中温有8个型号，1~4个风扇，冷量范围在2.1~10.5KW；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低温有7个型号，1~4个风扇，冷量范围在1.9~10.3KW；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采用300mm风扇结构紧凑，增加冷库储存高度接水盘可180度反方向安装，并接有32mm螺纹接头。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标配针阀，外壳顶端装有抓脚吊耳；安装有牢固的绳索，用于修时固定接水盘。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1155*500*430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5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48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大型切肉片机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绞肉切肉一体，全不锈钢结构，绞龙是201不锈钢材质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结构紧凑，性能可靠，操作方便，美观大方；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切肉厚度适中、厚薄均匀，切片效率高；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具有外形美观大方、操作便捷；</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用于切片、切丝。</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功率：1.1KW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切肉厚度3.5/5.5mm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切肉效率：360kg/h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具有满足国标GB4806.7-2023、GB4806.9-2023的《食品接触产品安全认证证书》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400*480*850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67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台式绞肉机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1.台式绞肉机主要通过电机带动刀片高速旋转来切割肉类。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2.机身包括外壳和底座，外壳是不锈钢材质，起到保护内部结构和美观的作用。底座一般有防滑设计，采用橡胶脚垫使绞肉机在工作时能够稳定地放置在桌面上，减少震动和位移。</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3.方便快捷，功能多样，易于清洗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4.电压：220V/50Hz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5.功率：0.75KW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6.机身尺寸：445*250*450MM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7.净重：37KG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8.绞肉效率：220kg/h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9.转速：175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10.标配：十字刀*1、8#孔板、灌肠嘴、肉塞</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11.具有满足国标GB4806.7-2023、GB4806.9-2023的《食品接触产品安全认证证书》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445*250*450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08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不锈钢单星杀鱼盆台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150mm高挡水及台面R10mm圆角位，根据现场情况增加侧背板</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台面用不锈钢码槽加硬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星盆规格：500x500x300mmH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1个波棍去水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配20mm厚蓝色尼龙砧板，四角固定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前设有水槽及活动隔渣篮</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后设喷水管连活动盖板</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53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71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花洒龙头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2.黄铜铸造主体，锌合金手柄，表面铜镍铬处理。</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3.钢丝编织软管具有304#弯形弹簧保护。</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4.单孔双柄冷热冲洗，不带摇摆龙头取水功能。</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5.固定墙杆长度280mm,产品距离台面990mm(±5%）</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.黄铜主体喷头，多孔出水冲洗力更强，ABS塑料把手，按压回弹阀芯控制开启止水。</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.台面开孔35mm安装主体，防止松动导致软管爆裂漏水务必紧固墙体安装的防松固定墙杆。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5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壁挂式灭蝇灯</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静音沾捕，无声保护；</w:t>
            </w:r>
            <w:r>
              <w:rPr>
                <w:rFonts w:hint="eastAsia" w:ascii="宋体" w:hAnsi="宋体" w:cs="宋体"/>
                <w:i w:val="0"/>
                <w:iCs w:val="0"/>
                <w:color w:val="auto"/>
                <w:sz w:val="21"/>
                <w:szCs w:val="21"/>
                <w:u w:val="none"/>
                <w:lang w:val="en-US" w:eastAsia="zh-CN" w:bidi="ar"/>
              </w:rPr>
              <w:t xml:space="preserve">优质</w:t>
            </w:r>
            <w:r>
              <w:rPr>
                <w:rFonts w:hint="eastAsia" w:ascii="宋体" w:hAnsi="宋体" w:eastAsia="宋体" w:cs="宋体"/>
                <w:i w:val="0"/>
                <w:iCs w:val="0"/>
                <w:color w:val="auto"/>
                <w:sz w:val="21"/>
                <w:szCs w:val="21"/>
                <w:u w:val="none"/>
                <w:lang w:val="en-US" w:eastAsia="zh-CN" w:bidi="ar"/>
              </w:rPr>
              <w:t xml:space="preserve">灯管，保证食品安全；超大沾纸，降低成本；无残骸飞溅；不产生异味；噪音小；功率：220V/30W；覆盖面积：80m²。灯管：2*15W灯管；</w:t>
            </w:r>
            <w:r/>
          </w:p>
          <w:p>
            <w:pPr>
              <w:jc w:val="left"/>
              <w:keepLines w:val="0"/>
              <w:keepNext w:val="0"/>
              <w:widowControl/>
              <w:rPr>
                <w:rFonts w:hint="eastAsia" w:ascii="宋体" w:hAnsi="宋体" w:eastAsia="宋体" w:cs="宋体"/>
                <w:i w:val="0"/>
                <w:iCs w:val="0"/>
                <w:color w:val="auto"/>
                <w:sz w:val="21"/>
                <w:szCs w:val="21"/>
                <w:u w:val="none"/>
              </w:rPr>
              <w:suppressLineNumbers w:val="0"/>
            </w:pPr>
            <w:r>
              <w:rPr>
                <w:rStyle w:val="1675"/>
                <w:rFonts w:hint="eastAsia" w:ascii="宋体" w:hAnsi="宋体" w:eastAsia="宋体" w:cs="宋体"/>
                <w:color w:val="auto"/>
                <w:sz w:val="21"/>
                <w:szCs w:val="21"/>
                <w:lang w:val="en-US" w:eastAsia="zh-CN" w:bidi="ar"/>
              </w:rPr>
              <w:t xml:space="preserve">产品符合标准GB4706.1-2005《家用和类似用途电器的安全第1部分：通用要求》，对设备工作温度下的泄露电流检测满足电源的任一极与金属箔的易触及金属部件之间的泄露电流≤3.5mA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500*120*290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51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16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不锈钢三星盆台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星盆规格：500x500x300mmH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3个3"隔筛去水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11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11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217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1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1450*750*850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0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1350*350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74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立式厨房风冷冷藏柜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1.门体及功能配置：四门发泡门冷藏柜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3.容积：990L(±5%）；电压：AC220v/50Hz；功率：400W；插头：国标10A；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p>
          <w:p>
            <w:pPr>
              <w:numPr>
                <w:ilvl w:val="0"/>
                <w:numId w:val="0"/>
              </w:numPr>
              <w:jc w:val="left"/>
              <w:keepLines w:val="0"/>
              <w:keepNext w:val="0"/>
              <w:widowControl/>
              <w:rPr>
                <w:color w:val="auto"/>
              </w:rPr>
              <w:suppressLineNumbers w:val="0"/>
            </w:pPr>
            <w:r>
              <w:rPr>
                <w:rFonts w:hint="eastAsia" w:ascii="宋体" w:hAnsi="宋体" w:eastAsia="宋体" w:cs="宋体"/>
                <w:i w:val="0"/>
                <w:iCs w:val="0"/>
                <w:color w:val="auto"/>
                <w:sz w:val="21"/>
                <w:szCs w:val="21"/>
                <w:u w:val="none"/>
                <w:lang w:val="en-US" w:eastAsia="zh-CN" w:bidi="ar"/>
              </w:rPr>
              <w:t xml:space="preserve">10.风冷冷凝器采用内螺纹铜管；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11.压缩机选用活塞式制冷压缩机；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12.蒸发器使用内螺纹铜管和叉排式排管；13.使用场景分类:商用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▲、所投产品具有：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①一级能效标识，产品对应型号在中国能效标识网已完成备案，并且获得《中国节能产品认证证书》；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②满足试验依据标准（包含但不限于）: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SB/T10794.1-2012《商用冷柜第1部分：术语》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SB/T10794.2-2012《商用冷柜第2部分：分类、要求和试验条件》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具体检验项目技术参数要求包含如下：总有效容积（m3）≥990L；试验期间所有M-包平均温度tcm或tdm（℃）≤5；能效指数（%）实测值≤65。；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③满足技术要求：GB/T26572-2011电子电气产品中限用物质的限量要求，检测方法（包含但不限于）：GB/T39560.1-2020;GB/T39560.2-2024;GB/T39560.301-2020;GB/T39560.5-2021;GB/T39560.6-2020;GB/T39560.701-2020;GB/T39560.702-2021。实验结论：合格；</w:t>
            </w:r>
            <w:r/>
          </w:p>
          <w:p>
            <w:pPr>
              <w:numPr>
                <w:ilvl w:val="0"/>
                <w:numId w:val="0"/>
              </w:numPr>
              <w:jc w:val="left"/>
              <w:keepLines w:val="0"/>
              <w:keepNext w:val="0"/>
              <w:widowControl/>
              <w:rPr>
                <w:rFonts w:hint="eastAsia"/>
                <w:color w:val="auto"/>
              </w:rPr>
              <w:suppressLineNumbers w:val="0"/>
            </w:pPr>
            <w:r>
              <w:rPr>
                <w:rFonts w:hint="eastAsia"/>
                <w:color w:val="auto"/>
              </w:rPr>
              <w:t xml:space="preserve">投标人同时提供:①有效期内的认证证书扫描件和</w:t>
            </w:r>
            <w:r>
              <w:rPr>
                <w:rFonts w:hint="eastAsia"/>
                <w:color w:val="auto"/>
                <w:lang w:val="en-US" w:eastAsia="zh-CN"/>
              </w:rPr>
              <w:t xml:space="preserve">以上三项具有</w:t>
            </w:r>
            <w:r>
              <w:rPr>
                <w:rFonts w:hint="eastAsia"/>
                <w:color w:val="auto"/>
              </w:rPr>
              <w:t xml:space="preserve">第三方检验检测机构出</w:t>
            </w:r>
            <w:r>
              <w:rPr>
                <w:rFonts w:hint="eastAsia"/>
                <w:color w:val="auto"/>
                <w:lang w:eastAsia="zh-CN"/>
              </w:rPr>
              <w:t xml:space="preserve">具</w:t>
            </w:r>
            <w:r>
              <w:rPr>
                <w:rFonts w:hint="eastAsia"/>
                <w:color w:val="auto"/>
              </w:rPr>
              <w:t xml:space="preserve">的检验检测报告关键页(对应参数检验检测项需在检验检测报告中标注)扫描件；②上述认证证书在全国认证认可信息公共服务平台(认e云)(http://cx.cnca.cn/)的信息查询记录截图，③能效备案的查询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1220*815*1950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4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1850*350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22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2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1525*530*1800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45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无线门控风幕机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1.电源：220v/0.12kw，风量：3500/4200m³/h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2.噪音：＜52db，使用环境：-10°C~+40°C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3.具有杀菌消毒净化功能，无菌整机；风幕机内置净化模块满足：依据GB/T 34012-2017《通风系统用空气净化装置》、GB 10891-1989《空气处理机组 安全要求》检测时，空气中大肠杆菌祛除率≥99%，白葡萄球菌祛除率≥99%，自然菌祛除率≥99%</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4.具有手动和自动工作模式，无线联动自动控制装置；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5.产品安全方面：满足国标GB4706.1-2005家用电器安全检测要求,在工作温度下的电气强度测试中，对L/N与易触及部件之间在3000V试验电压下测试时，未被击穿；</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.产品具有《中国环保节能产品》证书。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L=1500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0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4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5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r>
            <w:r/>
          </w:p>
        </w:tc>
      </w:tr>
      <w:tr>
        <w:trPr>
          <w:trHeight w:val="448"/>
        </w:trPr>
        <w:tc>
          <w:tcPr>
            <w:gridSpan w:val="7"/>
            <w:shd w:val="clear" w:color="auto" w:fill="auto"/>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三、热厨区</w:t>
            </w:r>
            <w:r/>
          </w:p>
        </w:tc>
      </w:tr>
      <w:tr>
        <w:trPr>
          <w:trHeight w:val="220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1400*700*850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8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立式厨房风冷冷藏柜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1.门体及功能配置：四门发泡门冷藏柜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3.容积：990L(±5%）；电压：AC220v/50Hz；功率：400W；插头：国标10A；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p>
          <w:p>
            <w:pPr>
              <w:numPr>
                <w:ilvl w:val="0"/>
                <w:numId w:val="0"/>
              </w:numPr>
              <w:jc w:val="left"/>
              <w:keepLines w:val="0"/>
              <w:keepNext w:val="0"/>
              <w:widowControl/>
              <w:rPr>
                <w:color w:val="auto"/>
              </w:rPr>
              <w:suppressLineNumbers w:val="0"/>
            </w:pPr>
            <w:r>
              <w:rPr>
                <w:rFonts w:hint="eastAsia" w:ascii="宋体" w:hAnsi="宋体" w:eastAsia="宋体" w:cs="宋体"/>
                <w:i w:val="0"/>
                <w:iCs w:val="0"/>
                <w:color w:val="auto"/>
                <w:sz w:val="21"/>
                <w:szCs w:val="21"/>
                <w:u w:val="none"/>
                <w:lang w:val="en-US" w:eastAsia="zh-CN" w:bidi="ar"/>
              </w:rPr>
              <w:t xml:space="preserve">10.风冷冷凝器采用内螺纹铜管；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11.压缩机选用活塞式制冷压缩机；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12.蒸发器使用内螺纹铜管和叉排式排管；13.使用场景分类:商用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▲、所投产品具有：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①一级能效标识，产品对应型号在中国能效标识网已完成备案，并且获得《中国节能产品认证证书》；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②满足试验依据标准（包含但不限于）: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SB/T10794.1-2012《商用冷柜第1部分：术语》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SB/T10794.2-2012《商用冷柜第2部分：分类、要求和试验条件》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具体检验项目技术参数要求包含如下：总有效容积（m3）≥990L；试验期间所有M-包平均温度tcm或tdm（℃）≤5；能效指数（%）实测值≤65。；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③满足技术要求：GB/T26572-2011电子电气产品中限用物质的限量要求，检测方法（包含但不限于）：GB/T39560.1-2020;GB/T39560.2-2024;GB/T39560.301-2020;GB/T39560.5-2021;GB/T39560.6-2020;GB/T39560.701-2020;GB/T39560.702-2021。实验结论：合格；</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color w:val="auto"/>
              </w:rPr>
              <w:t xml:space="preserve">投标人同时提供</w:t>
            </w:r>
            <w:r>
              <w:rPr>
                <w:rFonts w:hint="eastAsia"/>
                <w:color w:val="auto"/>
                <w:lang w:val="en-US" w:eastAsia="zh-CN"/>
              </w:rPr>
              <w:t xml:space="preserve">以上三项</w:t>
            </w:r>
            <w:r>
              <w:rPr>
                <w:rFonts w:hint="eastAsia"/>
                <w:color w:val="auto"/>
              </w:rPr>
              <w:t xml:space="preserve">:①有效期内的认证证书扫描件和</w:t>
            </w:r>
            <w:r>
              <w:rPr>
                <w:rFonts w:hint="eastAsia"/>
                <w:color w:val="auto"/>
                <w:lang w:eastAsia="zh-CN"/>
              </w:rPr>
              <w:t xml:space="preserve">具有</w:t>
            </w:r>
            <w:r>
              <w:rPr>
                <w:rFonts w:hint="eastAsia"/>
                <w:color w:val="auto"/>
              </w:rPr>
              <w:t xml:space="preserve">第三方检验检测机构出</w:t>
            </w:r>
            <w:r>
              <w:rPr>
                <w:rFonts w:hint="eastAsia"/>
                <w:color w:val="auto"/>
                <w:lang w:eastAsia="zh-CN"/>
              </w:rPr>
              <w:t xml:space="preserve">具</w:t>
            </w:r>
            <w:r>
              <w:rPr>
                <w:rFonts w:hint="eastAsia"/>
                <w:color w:val="auto"/>
              </w:rPr>
              <w:t xml:space="preserve">的检验检测报告关键页(对应参数检验检测项需在检验检测报告中标注)扫描件；②上述认证证书在全国认证认可信息公共服务平台(认e云)(http://cx.cnca.cn/)的信息查询记录截图，③能效备案的查询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1220*815*1950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51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蒸汽烘干消毒柜(立式双门）</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容量：900L;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消毒温度：20-130℃；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电压：220V/50HZ;蒸汽功率：6.5KW,烘干功率：3KW;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本机采用加厚全不锈钢板内外箱体、一体满焊接内胆、承压强又防漏；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高温加热系统蒸汽温度可达120度以上；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三重控压、超压、泄压、断电等安全保护;不挑餐具材质;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触屏控制温度、时间、实时状态显示;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蒸汽消毒、热风循环可独立使用，也可自动转换，支持定时、定温，自带记忆功能;</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设备</w:t>
            </w:r>
            <w:r>
              <w:rPr>
                <w:rFonts w:hint="eastAsia" w:ascii="宋体" w:hAnsi="宋体" w:eastAsia="宋体" w:cs="宋体"/>
                <w:i w:val="0"/>
                <w:iCs w:val="0"/>
                <w:color w:val="auto"/>
                <w:sz w:val="21"/>
                <w:szCs w:val="21"/>
                <w:u w:val="none"/>
                <w:lang w:val="en-US" w:eastAsia="zh-CN" w:bidi="ar"/>
              </w:rPr>
              <w:t xml:space="preserve">采用自动进水，</w:t>
            </w:r>
            <w:r>
              <w:rPr>
                <w:rFonts w:hint="eastAsia" w:ascii="宋体" w:hAnsi="宋体" w:cs="宋体"/>
                <w:i w:val="0"/>
                <w:iCs w:val="0"/>
                <w:color w:val="auto"/>
                <w:sz w:val="21"/>
                <w:szCs w:val="21"/>
                <w:u w:val="none"/>
                <w:lang w:val="en-US" w:eastAsia="zh-CN" w:bidi="ar"/>
              </w:rPr>
              <w:t xml:space="preserve">配置</w:t>
            </w:r>
            <w:r>
              <w:rPr>
                <w:rFonts w:hint="eastAsia" w:ascii="宋体" w:hAnsi="宋体" w:eastAsia="宋体" w:cs="宋体"/>
                <w:i w:val="0"/>
                <w:iCs w:val="0"/>
                <w:color w:val="auto"/>
                <w:sz w:val="21"/>
                <w:szCs w:val="21"/>
                <w:u w:val="none"/>
                <w:lang w:val="en-US" w:eastAsia="zh-CN" w:bidi="ar"/>
              </w:rPr>
              <w:t xml:space="preserve">专用不锈钢网格消毒篮，脚为重力型万向带刹车;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1310*680*1980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7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壁挂式灭蝇灯</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静音沾捕，无声保护；</w:t>
            </w:r>
            <w:r>
              <w:rPr>
                <w:rFonts w:hint="eastAsia" w:ascii="宋体" w:hAnsi="宋体" w:cs="宋体"/>
                <w:i w:val="0"/>
                <w:iCs w:val="0"/>
                <w:color w:val="auto"/>
                <w:sz w:val="21"/>
                <w:szCs w:val="21"/>
                <w:u w:val="none"/>
                <w:lang w:val="en-US" w:eastAsia="zh-CN" w:bidi="ar"/>
              </w:rPr>
              <w:t xml:space="preserve">优质</w:t>
            </w:r>
            <w:r>
              <w:rPr>
                <w:rFonts w:hint="eastAsia" w:ascii="宋体" w:hAnsi="宋体" w:eastAsia="宋体" w:cs="宋体"/>
                <w:i w:val="0"/>
                <w:iCs w:val="0"/>
                <w:color w:val="auto"/>
                <w:sz w:val="21"/>
                <w:szCs w:val="21"/>
                <w:u w:val="none"/>
                <w:lang w:val="en-US" w:eastAsia="zh-CN" w:bidi="ar"/>
              </w:rPr>
              <w:t xml:space="preserve">灯管，保证食品安全；超大沾纸，降低成本；无残骸飞溅；不产生异味；噪音小；功率：220V/30W；覆盖面积：80m²。灯管：2*15W灯管；</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产品符合标准GB4706.1-2005《家用和类似用途电器的安全第1部分：通用要求》，对设备工作温度下的泄露电流检测满足电源的任一极与金属箔的易触及金属部件之间的泄露电流≤3.5mA</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500*120*290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18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星盆规格：500x500x300mmH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2个3"隔筛去水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35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20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4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主体围板：SUS304 1.2mm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油网支架：SUS304 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配不锈钢隔油网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带法兰抽风口（300*300mm）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配可抽式集油盒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3500*1500*600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2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封墙钢（天花至地面）</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面板：使用1.5mm厚SUS304不锈钢板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5000*2600*20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91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燃气环保双门对开蒸柜    (电磁安全掣)</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燃气总功率：56.0kW;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 220V~ 50Hz,0.025kW;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入气口:DN25；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入水口:DN15；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排水口:DN40；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脉冲电子点火;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熄火保护: 离子检测熄火保护;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压力平衡式自动补水;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设置缺水保护，防止干烧损坏水胆;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全SUS304不锈钢机身结构、底架均采用SUS304不锈钢拉钉连接方式;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采用预混喷射式火管、不需鼓风机，噪音低于60分贝;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水胆采用1.5mm耐热不锈钢加工，4条S形火管结构，表面隔热处理，排污口使内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配20对挂码，可放可放20个400*600*65mm饭盘；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硬水地区使用该设备必须装配软化水设置.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1150*900*1800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4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9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不锈钢双通工作柜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柜门内封板：SUS304 2B 0.7mm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台面用码槽加硬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活动中层板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前后不锈钢轴承吊顶式双趟门，双通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趟门路轨设闭门式沉坑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106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紫外线烟罩带新风</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全AISI304不锈钢板制造，厚度为1.2mm表面拉丝处理；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▲2.机械光解复合式集烟罩餐饮业油烟净化一体设备，油烟净化效率95%以上，具有第三方检测机构依据GB18483-2001饮食业油烟排放标准（试行）；DB11/1488-2018餐饮业大气污染物排放标准；HJ/T 62-2001饮食业油烟净化设备技术要求及检测技术规范（试行）出具的合格检测报告；</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▲3.具有机械光解复合式集烟罩餐饮业油烟净化一体设备通过认证依据《饮食业油烟净化设备技术要求及检测技术规范（试行）》(HJ/T62-2001)的中国环境保护产品CCEP认证证书；</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▲4.特别设计的油脂过滤器能完全遮挡紫外光，确保紫外光不对员工造成伤害，UV烟罩油脂过滤器具有通过国检资质机构的漏光检测报告，符合《灯和灯系统的光生物安全性》GB/T 20145-2006检测；</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▲5.机械光解复合式集烟罩餐饮业油烟净化一体设备,具有通过第三方检测机构依据GB/T2423.17-2008,GB/T6461-2002盐雾试验生锈腐蚀现象检测120小时，保护评级为10级；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6.烟罩内部手动风量调节设计（可在烟罩内部出风口处调节风量）；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7.烟罩两侧为双壁结构，活动前补鲜风盖板配备鲜风供风室，可对厨房及厨师岗位进行鲜风补给；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8.独立风帘舱室（带调速风机，含侧边风帘）油烟管制系统，产生立方环吸效应；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9.烟罩内部的前方两侧设有油脂、冷凝水收集槽；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10.配置风压传感器检测到风机启动后，检测油脂过滤器及紫外线检修门是否在位，确认紫外线不会泄漏后，启动紫外线灯管；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11.选用耐高温紫外线汞齐灯管，使用寿命长达10000～12000H；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12.采用双管6500K高效能LED照明灯，不锈钢嵌入式灯盘，6mm钢化玻璃防尘罩；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9100*3100*600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703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UV烟罩控制箱</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1.全AISI304不锈钢箱体，厚度为1.2mm表面拉丝处理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2.一键开启电源，LCD触摸显示屏控制，全自动进入工作状态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3.每节照明灯、UV灯、风帘机可独立开关功能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4.全自动扫描每支紫外线灯管、镇流器工作状态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5.全自动计算每支紫外线光管工作时间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6.每支紫外线光管使用寿命提示功能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7.每节烟罩紫外线光管独立开关功能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8.防漏光功能(油网、挡光板、紫外线光管检修门任何一个打开后紫外线光管自动熄灭)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9.防臭氧泄漏功能(抽风机关闭后或风压值过底时紫外线光管自动熄灭功能)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10.故障报警及提示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11.采用 TFT 真彩液晶屏、50000 小时使用寿命以上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12.高速 32 位RISC 处理器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13.系统记录整套系统的运行情况，并有USB端口下载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14.电压：220V/50Hz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▲15.所提供UV烟罩控制箱接地电阻、绝缘电阻及电气强度、泄露电流均需符合《GB4706.1-2005家用和类似用途电器的安全》检测。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425*180*500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69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灭火系统</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1.灭火装置具备自动和手动两种操作模式；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2.灭火装置需与消防水（或者自来水）管路相连，系统启动后，自控机械水流阀等灭火剂喷洒完全后，再自动喷水；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系统装置包括：控制箱（纯机械式）、不锈钢管路、喷嘴、探测器、易熔连接片、金属拉索、滑轮三通、滑轮弯头等组成。其中控制箱由自动释放机构、驱动用高压氮气瓶、水流控制阀、液体药剂罐以及连接软管、单向阀、减压阀等构成；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4.灭火装置箱体内配有水流控制阀，灭火装置启动方式和水流控制阀启动方式，为纯机械式启动，（不能使用电磁阀，避免因电路故障造成装置无法运转的可能性）；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5.灭火装置配置远程控制模块，能同时兼容消控中心信号反馈、切断燃气电磁阀、关闭排风风机等功能；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6.灭火药剂无毒，无污染，无腐蚀性，并有灭火剂试验报告和毒性试验报告 ，灭火剂有效期大于8年；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7.厨房设备灭火装置生产企业具有中国国家强制性产品认证证书；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8.连接喷嘴的安装管路全部使用SUS304不锈钢管，全部使用螺纹套丝连接（可以采用低配卡压的连接方式），可长久使用，无需更换；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9.所有管路安装都必须用专用支架固定，不能紧贴烟罩表面安装；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10.烟罩内所有管道连接处，锁紧件或密封件不得使用塑料或橡胶制品，避免受高温长时间使用后腐化或松动；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11.箱体采用304不锈钢板材制造，厚度为1.2mm。连接主箱至烟罩的主药剂管路采用DN15(4分)SUS304的不锈钢管，壁厚为2.0mm。连接喷嘴的药剂支管路采用DN10(3分)SUS304的不锈钢管，壁厚为1.5mm。钢丝绳直径为1.5mm。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喷头材质为304不锈钢，性能参数a工作温度：4-55℃，b.装置的最大工作压力0.9MPa贮存压力：13Mpa，c.喷射时间：13-15s；喷射延迟时间：2.0s；喷嘴工作压力：双瓶组0.16MPa；冷却水喷嘴工作压力：双瓶组0.08MPa.d.灭火剂保质期：8年 灭火剂24L 驱动气瓶标有：驱动气体名称：氮气（N2）；充装压力：13MPa(20°C)。e药剂喷洒时间：≥15秒。灭火时间：3-5秒。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所投厨房设备灭火装置具有国家固定灭火系统和耐火构件质量监督检验中心出具的灭火系统型式检验报告，检验依据GA498-2012，CNCA-C18-03：2014，CCCF-MHSB-02，检验项目均符合标准要求，灭火药剂的有效期能达到8年或以上，实测结果喷射时间不小于15s，喷射延迟时间不大于2.0s，灭火剂喷射过程中油点飞溅最大直径不大于2.5mm。</w:t>
            </w:r>
            <w:r>
              <w:rPr>
                <w:rFonts w:hint="eastAsia" w:ascii="宋体" w:hAnsi="宋体" w:eastAsia="宋体" w:cs="宋体"/>
                <w:i w:val="0"/>
                <w:iCs w:val="0"/>
                <w:color w:val="auto"/>
                <w:sz w:val="21"/>
                <w:szCs w:val="21"/>
                <w:u w:val="none"/>
                <w:lang w:val="en-US" w:eastAsia="zh-CN" w:bidi="ar"/>
              </w:rPr>
              <w:br/>
            </w:r>
            <w:r>
              <w:rPr>
                <w:rStyle w:val="1674"/>
                <w:rFonts w:hint="eastAsia" w:ascii="宋体" w:hAnsi="宋体" w:eastAsia="宋体" w:cs="宋体"/>
                <w:color w:val="auto"/>
                <w:sz w:val="21"/>
                <w:szCs w:val="21"/>
                <w:lang w:val="en-US" w:eastAsia="zh-CN" w:bidi="ar"/>
              </w:rPr>
              <w:t xml:space="preserve">14.厨房灭火装置通过高温贮存试验(检验依据:GB/T2423.2-2008)和低温贮存试验(检验依据:GB/T2423.-2008),具有一体式声光报警功能(自带启动时间记录功能)</w:t>
            </w:r>
            <w:r>
              <w:rPr>
                <w:rStyle w:val="1674"/>
                <w:rFonts w:hint="eastAsia" w:ascii="宋体" w:hAnsi="宋体" w:eastAsia="宋体" w:cs="宋体"/>
                <w:color w:val="auto"/>
                <w:sz w:val="21"/>
                <w:szCs w:val="21"/>
                <w:lang w:val="en-US" w:eastAsia="zh-CN" w:bidi="ar"/>
              </w:rPr>
              <w:br/>
            </w:r>
            <w:r>
              <w:rPr>
                <w:rStyle w:val="1674"/>
                <w:rFonts w:hint="eastAsia" w:ascii="宋体" w:hAnsi="宋体" w:eastAsia="宋体" w:cs="宋体"/>
                <w:color w:val="auto"/>
                <w:sz w:val="21"/>
                <w:szCs w:val="21"/>
                <w:lang w:val="en-US" w:eastAsia="zh-CN" w:bidi="ar"/>
              </w:rPr>
              <w:t xml:space="preserve">15.控制箱体依照测试标准：GB/T2423.22-2012《环境实验第2部分:试验方法试验N：温度变化》，对控制箱温湿度进行实验检测，并获得厨房灭火装置温湿度试验检测报告</w:t>
            </w:r>
            <w:r>
              <w:rPr>
                <w:rStyle w:val="1674"/>
                <w:rFonts w:hint="eastAsia" w:ascii="宋体" w:hAnsi="宋体" w:eastAsia="宋体" w:cs="宋体"/>
                <w:color w:val="auto"/>
                <w:sz w:val="21"/>
                <w:szCs w:val="21"/>
                <w:lang w:val="en-US" w:eastAsia="zh-CN" w:bidi="ar"/>
              </w:rPr>
              <w:br/>
            </w:r>
            <w:r>
              <w:rPr>
                <w:rStyle w:val="1674"/>
                <w:rFonts w:hint="eastAsia" w:ascii="宋体" w:hAnsi="宋体" w:eastAsia="宋体" w:cs="宋体"/>
                <w:color w:val="auto"/>
                <w:sz w:val="21"/>
                <w:szCs w:val="21"/>
                <w:lang w:val="en-US" w:eastAsia="zh-CN" w:bidi="ar"/>
              </w:rPr>
              <w:t xml:space="preserve">16.产品使用的重要配件灭火装置药剂瓶，依据GB/T2423.1-2008标准对高低温湿度试验箱进行实验检测，并获得厨房灭火装置药剂瓶高低温试验检测报告</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工业</w:t>
            </w:r>
            <w:r/>
          </w:p>
        </w:tc>
      </w:tr>
      <w:tr>
        <w:trPr>
          <w:trHeight w:val="35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8300*300*300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745"/>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燃气双头单圈矮汤炉(安全掣)</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1.热负荷: 14kWx2=28kW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2.全不锈钢机身结构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3.炉头:8"强力炉头，多方聚能，充分燃烧，燃烧噪音小﹐环保节能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4.每个炉头独立控制，轻松调节火力大小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5.加热速度快﹐能保持食物的原色原味，保证食物营养不受破坏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6.内置高效能热电偶熄火安全装置，设置长明火种，确保设备运行安全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7.设置安全制﹐安全可靠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8.铸铁炉花,底部设有抽拉式盛油盆，收集残水残油，方便清洁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1100*650*500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147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燃气环保大三门蒸柜    (电磁安全掣)</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9.热负荷: 56kW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10.电源: 220V/50Hz/0.025kW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11.炉头: 环保炉头;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12.点火: 脉冲电子点火;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13.熄火保护: 离子检测熄火保护;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14.蒸柜水胆使用不锈钢加工，与水及蒸汽接触部分全采用不锈钢材质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15.S型火管结构水胆，受热面积大、热效率高，热效率大于85%，燃气用量节约20%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16.专门设计的炉头与水胆火管结构相适应，火力均匀分散，提高使用寿命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17.炉头燃烧完全，烟气中一氧化碳及氮氧化物等有害物含量少，烟气中CO（一氧化碳）含量≦0.05﹪(ą=1), 燃烧噪音小于65dB ( 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18.两个主火阀门控制多个炉头，可根据需要通过主火阀门开关选择不同蒸汽出量，有快蒸、慢蒸和保温三种功效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19.每个蒸层单独控制蒸汽，能有效提高蒸汽利用率。设有蒸汽排出口，安全方便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20.蒸柜胶边使用硬度小于65的硅胶材质﹐门面四周不漏蒸汽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21.层网可装拆且防拉脱，设计人性化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22.蒸层排水U型管水封结构，正常使用时，防止蒸汽由下部外溢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23.水胆使用Φ1-1/2”球阀作放水阀，且手柄设置在前部，放水操作方便；每日放水可大大减少水垢生成，有效提高水胆使用寿命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24.适用供水压力﹕0.05~0.4MPa，压力平衡式自动补水箱，保证水胆水位平衡，入水可靠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25.蒸柜柜门可承重20Kg﹐柜门可水平打开﹐非水平位置可自动回弹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26.电子点火，一键式操作，燃烧无需风机鼓风，节约用电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27.设置缺水保护，防止干烧损坏水胆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28.设置常明火种，配置电磁安全制﹐意外熄火等故障，1秒钟关闭燃气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29.零部件设置在前部维修，两侧不必预留维修空间，提高空间利用率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30.配层网4个，盘客户自备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31.所有环保蒸柜需要接驳220V/50Hz/0.025kW的用电</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32.硬水地区使用该设备必须装配软化水设置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1200*900*1900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845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燃气环保双头大炒炉(电磁安全掣)配炒锅</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33.热负荷: 48kW*2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34.电功率：220V, 50Hz, 130W*2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35.炉头: 特别设置的向内火环保预混炉头，不易变形，耐高温腐蚀，导热速度快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36.点火: 脉冲电子点火，一键式操作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37.熄火保护: 离子检测熄火保护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38.设备整体框架采用SUS304不锈钢制作，框架采用拉钉固定连接设计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39.台面整件成型、没有焊接、没有卫生死角、方便清洁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40.隔热台面，底部设计30mm厚的玻璃棉和不锈钢封板加强台面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41.设备前臂底沿设计有挡水V型槽、面板与侧板连接处有防水胶条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42.二台设备之间的连接采用卡条连接方式，侧臂设计有防水胶条，防止水流入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43.设备底部用设计有不锈钢封板、起防水防虫作用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44.电磁阀控制，火种未点燃时，主气阀不会打开；风机供风不正常，供气不正常，意外熄火等故障，1秒钟关闭燃气，不会出现炸锅的事故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45.静音风机（220V, 50Hz, 130W），每个炉头独立配置，使用行链风制实现风气联动，可调节供风大小，体积小、风量大、噪音低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46.鼓风预混燃烧，噪音小于65分贝，燃烧充分，烟气中有毒气体CO（一氧化碳）和NOx(氮氧化物)低于一般沟风炉头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47.火力猛劲，热效率高﹐与一般沟风炉头相比可节能30％以上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48.炉头内冷的气体吸收炉头外壳热量，降低炉头温度，提高炉头的使用寿命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49.感应针使用温度超过1200度，不易烧坏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50.标配：水龙头2个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2000*1200*810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1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不锈钢炉间工作台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挡水按照炉具高度及台面R10mm圆角位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400*1200*810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24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燃气环保双头双尾炒炉   (电磁安全掣)</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热负荷:42kW*2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电源:220V,50Hz,130W*2；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入气口:DN40；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入水口:DN15；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排水口:DN40；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炉头:向内火环保预混炉头；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点火:脉冲电子点火；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熄火保护:离子检测熄火保护;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设备整体框架采用SUS304不锈钢制作、整体框架采用拉钉固定连接设计；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台面整件成型，侧臂与台面整体成型、没有焊接、没有卫生死角、方便清洁；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隔热台面，底部设计30mm厚的玻璃棉和不锈钢封板加强台面；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设备前臂底沿设计有挡水V型槽、面板与侧板连接处有防水胶条；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二台设备之前的连接采用卡条连接方式，侧臂设计有防水胶条，防止水流入；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设备底部用设计有不锈钢封板、起防水防虫作用；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采用燃烧控制器分步控制双电磁阀，火种未点燃时，主气阀不会打开；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风机供风不正常，供气不正常，意外熄火等故障，1秒钟关闭燃气；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每个炉头独立配置风机，使用行链风制实现风气联动，可调节供风大小；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整体炉砖﹐防止漏火损坏炉膛；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鼓风预混燃烧，燃气和空气混合燃烧充分、噪音小于65分贝，燃烧充分；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一氧化碳排放量小于0.01%；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2100*1200*810+440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3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不锈钢双通工作柜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柜门内封板：SUS304 2B 0.7mm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台面用码槽加硬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活动中层板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前后不锈钢轴承吊顶式双趟门，双通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趟门路轨设闭门式沉坑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1200*900*850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7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不锈钢双通工作柜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柜门内封板：SUS304 2B 0.7mm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台面用码槽加硬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活动中层板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前后不锈钢轴承吊顶式双趟门，双通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趟门路轨设闭门式沉坑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1800*900*850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59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主体围板：SUS304 1.2mm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油网支架：SUS304 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配不锈钢隔油网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带法兰抽风口（300*300mm）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配可抽式集油盒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2100*1000*600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728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燃气六头煲仔炉   (电磁安全掣)</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热负荷: 42kW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 220V, 50Hz, 130W；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入气口:DN20；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入水口:DN15；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排水口:DN40；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炉头: 向内火环保预混炉头；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点火: 脉冲电子点火；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熄火保护: 离子检测熄火保护;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设备整体框架采用SUS304不锈钢制作、整体框架采用拉钉固定连接设计；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台面整件成型，侧臂与台面整体成型、没有焊接、没有卫生死角、方便清洁；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隔热台面，底部设计30mm厚的玻璃棉和不锈钢封板加强台面；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设备前臂底沿设计有挡水V型槽、面板与侧板连接处有防水胶条；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二台设备之前的连接采用卡条连接方式，侧臂设计有防水胶条，防止水流入；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设备底部用设计有不锈钢封板、起防水防虫作用；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采用燃烧控制器分步控制双电磁阀，火种未点燃时，主气阀不会打开；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风机供风不正常，供气不正常，意外熄火等故障，1秒钟关闭燃气；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每个炉头独立配置风机，使用行链风制实现风气联动，可调节供风大小；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整体炉砖﹐防止漏火损坏炉膛；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鼓风预混燃烧，燃气和空气混合燃烧充分、噪音小于65分贝，燃烧充分；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一氧化碳排放量小于0.01%；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1050*700*810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83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星盆规格：500x500x300mmH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2个3"隔筛去水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1380*750*850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79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2270*700*850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8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1000*300*300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11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卧式风冷冷藏柜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1.门体及功能配置：双门发泡门冷藏柜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3.容积：400L(±5%）；电压：AC220v/50Hz；功率：290W；插头：国标10A；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10.制冷系统采用小机组28cm(±5%），侧吹制冷机组11、使用场景分类:商用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1500*760*850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71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吊天花层架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8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卧式风冷冷藏柜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1.门体及功能配置：三门发泡门冷藏柜；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3.容积：420L(±5%）；电压：AC220v/50Hz；功率：300W；插头：国标10A；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10.制冷系统采用小机组28cm(±5%），侧吹制冷机组11、使用场景分类:商用；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▲、所有产品具有：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①一级能效标识，产品对应型号在中国能效标识网已完成备案，并且获得《中国节能产品认证证书》；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②满足试验依据标准（包含但不限于）: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SB/T10794.1-2012《商用冷柜第1部分：术语》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SB/T10794.2-2012《商用冷柜第2部分：分类、要求和试验条件》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具体检验项目技术参数要求包含如下：总有效容积（m3）≥420L；试验期间所有M-包平均温度tcm或tdm（℃）≤5；能效指数（%）实测值≤65。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③满足检测方法:GB/T39560.1-2020、GB/T39560.2-2024、GB</w:t>
            </w:r>
            <w:r>
              <w:rPr>
                <w:rFonts w:hint="eastAsia" w:ascii="宋体" w:hAnsi="宋体" w:eastAsia="宋体" w:cs="宋体"/>
                <w:i w:val="0"/>
                <w:iCs w:val="0"/>
                <w:color w:val="auto"/>
                <w:sz w:val="21"/>
                <w:szCs w:val="21"/>
                <w:u w:val="none"/>
                <w:lang w:val="en-US" w:eastAsia="zh-CN" w:bidi="ar"/>
              </w:rPr>
              <w:t xml:space="preserve">/T39560.301-2020、GB/T39560.6-2020、GB/T39560.701-2020、GB/T39560.702-2021技术要求:GBIT26572-2011、《电器电子产品有害物质限制使用自愿性认证实施规则》、《国家认监委关于调整电器电子产品有害物质限制使用合格评定制度检测方法适用标准的公告》、《达标管理目录限用物质应用例外清单》。检测结论:所检项目的结果符合GB/T26572-2011及《达标管理目录限用物质应用例外清单》中的限值要求，并且获得《电器电子产品国推ROHS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④满足检测依据：GB/T4343.2-2020、GB/T17626.2-2018、GB/T17626.3-2023、GB/T17626.4-2018、GB/T17626.5-2019、GB/T17626.6-2017、GB/T17626.11-2023、GB/T17626.12-2023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检测项目：静电放电抗扰度试验、射频电磁场辐射抗扰度试验、电快速瞬变脉冲群抗扰度试验、浪涌抗扰度试验、射频场感应的传导骚扰抗扰度试验、电压暂降和短时中断抗扰度试验、振铃波抗扰度试验。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检测结论：所检项目符合标准要求。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以上三项</w:t>
            </w:r>
            <w:r>
              <w:rPr>
                <w:rFonts w:hint="eastAsia" w:ascii="宋体" w:hAnsi="宋体" w:eastAsia="宋体" w:cs="宋体"/>
                <w:i w:val="0"/>
                <w:iCs w:val="0"/>
                <w:color w:val="auto"/>
                <w:sz w:val="21"/>
                <w:szCs w:val="21"/>
                <w:u w:val="none"/>
                <w:lang w:val="en-US" w:eastAsia="zh-CN" w:bidi="ar"/>
              </w:rPr>
              <w:t xml:space="preserve">:①提供能效标识和中国能效标识网备案信息；②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1800*760*850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3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吊天花层架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68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2030*350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12"/>
        </w:trPr>
        <w:tc>
          <w:tcPr>
            <w:gridSpan w:val="7"/>
            <w:shd w:val="clear" w:color="auto" w:fill="auto"/>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四、冷菜间/水果间</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不锈钢双星洗手星盆台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2个3"隔筛去水</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850*455*235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36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23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立式厨房风冷冷藏柜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门体及功能配置：四门发泡门冷藏柜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3.容积：990L(±5%）；电压：AC220v/50Hz；功率：400W；插头：国标10A；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p>
          <w:p>
            <w:pPr>
              <w:numPr>
                <w:ilvl w:val="0"/>
                <w:numId w:val="4"/>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风冷冷凝器采用内螺纹铜管；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11.压缩机选用活塞式制冷压缩机；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12.蒸发器使用内螺纹铜管和叉排式排管；</w:t>
            </w:r>
            <w:r/>
          </w:p>
          <w:p>
            <w:pPr>
              <w:numPr>
                <w:ilvl w:val="0"/>
                <w:numId w:val="0"/>
              </w:numPr>
              <w:jc w:val="left"/>
              <w:keepLines w:val="0"/>
              <w:keepNext w:val="0"/>
              <w:widowControl/>
              <w:rPr>
                <w:color w:val="auto"/>
              </w:rPr>
              <w:suppressLineNumbers w:val="0"/>
            </w:pPr>
            <w:r>
              <w:rPr>
                <w:rFonts w:hint="eastAsia" w:ascii="宋体" w:hAnsi="宋体" w:eastAsia="宋体" w:cs="宋体"/>
                <w:i w:val="0"/>
                <w:iCs w:val="0"/>
                <w:color w:val="auto"/>
                <w:sz w:val="21"/>
                <w:szCs w:val="21"/>
                <w:u w:val="none"/>
                <w:lang w:val="en-US" w:eastAsia="zh-CN" w:bidi="ar"/>
              </w:rPr>
              <w:t xml:space="preserve">13.使用场景分类:商用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▲、所投产品具有：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①一级能效标识，产品对应型号在中国能效标识网已完成备案，并且获得《中国节能产品认证证书》；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②满足试验依据标准（包含但不限于）: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SB/T10794.1-2012《商用冷柜第1部分：术语》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SB/T10794.2-2012《商用冷柜第2部分：分类、要求和试验条件》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具体检验项目技术参数要求包含如下：总有效容积（m3）≥990L；试验期间所有M-包平均温度tcm或tdm（℃）≤5；能效指数（%）实测值≤65。；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③满足技术要求：GB/T26572-2011电子电气产品中限用物质的限量要求，检测方法（包含但不限于）：GB/T39560.1-2020;GB/T39560.2-2024;GB/T39560.301-2020;GB/T39560.5-2021;GB/T39560.6-2020;GB/T39560.701-2020;GB/T39560.702-2021。实验结论：合格；</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color w:val="auto"/>
              </w:rPr>
              <w:t xml:space="preserve">投标人同时提供</w:t>
            </w:r>
            <w:r>
              <w:rPr>
                <w:rFonts w:hint="eastAsia"/>
                <w:color w:val="auto"/>
                <w:lang w:val="en-US" w:eastAsia="zh-CN"/>
              </w:rPr>
              <w:t xml:space="preserve">以上三项</w:t>
            </w:r>
            <w:r>
              <w:rPr>
                <w:rFonts w:hint="eastAsia"/>
                <w:color w:val="auto"/>
              </w:rPr>
              <w:t xml:space="preserve">:①有效期内的认证证书扫描件和</w:t>
            </w:r>
            <w:r>
              <w:rPr>
                <w:rFonts w:hint="eastAsia"/>
                <w:color w:val="auto"/>
                <w:lang w:eastAsia="zh-CN"/>
              </w:rPr>
              <w:t xml:space="preserve">具有</w:t>
            </w:r>
            <w:r>
              <w:rPr>
                <w:rFonts w:hint="eastAsia"/>
                <w:color w:val="auto"/>
              </w:rPr>
              <w:t xml:space="preserve">第三方检验检测机构出</w:t>
            </w:r>
            <w:r>
              <w:rPr>
                <w:rFonts w:hint="eastAsia"/>
                <w:color w:val="auto"/>
                <w:lang w:eastAsia="zh-CN"/>
              </w:rPr>
              <w:t xml:space="preserve">具</w:t>
            </w:r>
            <w:r>
              <w:rPr>
                <w:rFonts w:hint="eastAsia"/>
                <w:color w:val="auto"/>
              </w:rPr>
              <w:t xml:space="preserve">的检验检测报告关键页(对应参数检验检测项需在检验检测报告中标注)扫描件；②上述认证证书在全国认证认可信息公共服务平台(认e云)(http://cx.cnca.cn/)的信息查询记录截图，③能效备案的查询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1220*815*1950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4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星盆规格：500x500x300mmH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2个3"隔筛去水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23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9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60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卧式风冷冷藏柜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1.门体及功能配置：双门发泡门冷藏柜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3.容积：400L(±5%）；电压：AC220v/50Hz；功率：290W；插头：国标10A；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10.制冷系统采用小机组28cm(±5%），侧吹制冷机组11、使用场景分类:商用</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1500*760*850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49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刀具消毒柜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1.采用优质紫外线灯管，使用寿命长达8000小时，经久耐用；灯管具有双重消毒设计：紫外线和臭氧双重消毒杀菌；</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2.紫外线波长为253.7nm，可有效破坏细菌病毒中的DNA或RNA，达到杀菌消毒效果；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3.带锁茶色玻璃门板，可有效防止紫外线外泄；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4.机械旋钮控制系统，每次开启后自动设定刀具消毒时间，简便操作；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5.刀箱门内连接保护开关，开门时紫外线灯管停止工作，以防止紫外线伤人；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6.亚克力透光刀架，方便抽取刀具，360°全方位杀菌，无卫生死角，消毒更彻底，更安全卫生；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7.配备保险阻燃材质便携插头，刀箱内有防脱落设置，放置刀具时刀刃向内刀背向外，确保操作人员取放刀时安全无忧；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8.箱内可放置</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10把刀，中餐刀面最大尺寸:</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130*320mm；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9.具有省级微生物分析检测中心对大肠杆菌8099、金黄色葡萄球菌ATCC6538、白色念珠菌ATCC10231分析检测报告；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10.电压功率：220V/15W，50HZ，10A三孔电源插头    </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545*138*660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7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1950*650*850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7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2250*350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41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卧式风冷冷藏柜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1.门体及功能配置：双门发泡门冷藏柜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3.容积：400L(±5%）；电压：AC220v/50Hz；功率：290W；插头：国标10A；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10.制冷系统采用小机组28cm(±5%），侧吹制冷机组11、使用场景分类:商用</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1500*760*850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1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950*350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29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2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2000*350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5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6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23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1325*750*850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2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1325*350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70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68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卧式风冷冷藏柜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1.门体及功能配置：双门发泡门冷藏柜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3.容积：400L(±5%）；电压：AC220v/50Hz；功率：290W；插头：国标10A；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10.制冷系统采用小机组28cm(±5%），侧吹制冷机组11、使用场景分类:商用</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1500*760*850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75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星盆规格：500x500x300mmH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2个3"隔筛去水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86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7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1800*700*850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6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杀菌灯的辐射波长在200nm至300nm间，其辐射能量90%集中在253.7nm，它与杀菌效率曲线的峰值波长（265nm）非常接近，所以当253.7nm辐射达到一定值时，可对肠道病菌，黄曲霉菌和HBsAg（乙型肝炎表面抗原）等病菌在较短时间内杀灭。功率：220V/50W；</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L=915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1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1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1250*350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台下式制冰机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产量：56KG，储冰量：18KG.电压/功率：220v/420w。优质不锈钢材质，SGS食品接触认证，质量管理体系认证，R290环保制冷剂</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500*600*710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9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制冰机专用净水器</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包含前置PP和活性炭主滤芯及相关配件；额定总净水量：34m³；流速：6.3L/M；进水压力：0.14-0.35MPa，禁水锤；工作温度：4-38℃</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300*130*540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6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冰沙机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功率：2.4马力</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转速：低/高速&amp;脉冲</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制作时间：12秒（16oz./0. 5L)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容器：48oz./1. 4L聚碳酸酯容器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离合器：金属</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备注：设有定时器，杯垫传感器和顶盖传感器</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205*195*400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8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商用微波炉</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容积:25L;电子操控;</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510*430*310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79"/>
        </w:trPr>
        <w:tc>
          <w:tcPr>
            <w:gridSpan w:val="7"/>
            <w:shd w:val="clear" w:color="auto" w:fill="auto"/>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五、发售间</w:t>
            </w:r>
            <w:r/>
          </w:p>
        </w:tc>
      </w:tr>
      <w:tr>
        <w:trPr>
          <w:trHeight w:val="282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星盆规格：500x500x300mmH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2个3"隔筛去水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1500*650*850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8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1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蒸汽烘干消毒柜(立式双门）</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容量：900L;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消毒温度：20-130℃；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电压：220V/50HZ;蒸汽功率：6.5KW,烘干功率：3KW;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本机采用加厚全不锈钢板内外箱体、一体满焊接内胆、承压强又防漏；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高温加热系统蒸汽温度可达120度以上；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三重控压、超压、泄压、断电等安全保护;不挑餐具材质;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触屏控制温度、时间、实时状态显示;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蒸汽消毒、热风循环可独立使用，也可自动转换，支持定时、定温，自带记忆功能;</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设备</w:t>
            </w:r>
            <w:r>
              <w:rPr>
                <w:rFonts w:hint="eastAsia" w:ascii="宋体" w:hAnsi="宋体" w:eastAsia="宋体" w:cs="宋体"/>
                <w:i w:val="0"/>
                <w:iCs w:val="0"/>
                <w:color w:val="auto"/>
                <w:sz w:val="21"/>
                <w:szCs w:val="21"/>
                <w:u w:val="none"/>
                <w:lang w:val="en-US" w:eastAsia="zh-CN" w:bidi="ar"/>
              </w:rPr>
              <w:t xml:space="preserve">采用自动进水，</w:t>
            </w:r>
            <w:r>
              <w:rPr>
                <w:rFonts w:hint="eastAsia" w:ascii="宋体" w:hAnsi="宋体" w:cs="宋体"/>
                <w:i w:val="0"/>
                <w:iCs w:val="0"/>
                <w:color w:val="auto"/>
                <w:sz w:val="21"/>
                <w:szCs w:val="21"/>
                <w:u w:val="none"/>
                <w:lang w:val="en-US" w:eastAsia="zh-CN" w:bidi="ar"/>
              </w:rPr>
              <w:t xml:space="preserve">配置</w:t>
            </w:r>
            <w:r>
              <w:rPr>
                <w:rFonts w:hint="eastAsia" w:ascii="宋体" w:hAnsi="宋体" w:eastAsia="宋体" w:cs="宋体"/>
                <w:i w:val="0"/>
                <w:iCs w:val="0"/>
                <w:color w:val="auto"/>
                <w:sz w:val="21"/>
                <w:szCs w:val="21"/>
                <w:u w:val="none"/>
                <w:lang w:val="en-US" w:eastAsia="zh-CN" w:bidi="ar"/>
              </w:rPr>
              <w:t xml:space="preserve">专用不锈钢网格消毒篮，脚为重力型万向带刹车;</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1310*680*1980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9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1600*650*850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5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星盆规格：500x500x300mmH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2个3"隔筛去水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2165*650*850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16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3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紫外线消毒灯</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杀菌灯的辐射波长在200nm至300nm间，其辐射能量90%集中在253.7nm，它与杀菌效率曲线的峰值波长（265nm）非常接近，所以当253.7nm辐射达到一定值时，可对肠道病菌，黄曲霉菌和HBsAg（乙型肝炎表面抗原）等病菌在较短时间内杀灭。功率：220V/50W；</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L=915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15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主体围板：SUS304 1.2mm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油网支架：SUS304 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配不锈钢隔油网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带法兰抽风口（300*300mm）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配可抽式集油盒</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1200*1000*600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49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六孔煮面炉</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1.炉面板采用厚度δ=1.45mmSUS304不锈钢；侧板、背板、底板厚度δ=1.0mm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2.电功率/电压：12KW/380V</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3.方便的9档磁控旋纽火力调节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4.有5个快捷菜单键，用以储存时间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5.带有自动升降功能，协助出品标准化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6.显示屏带有中文故障原因，方便维修处理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7.DSP数字机芯，30种功能保护，精巧防护设计，有效防水、防虫、防油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8.采用IPX7级防水风机，有效防水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9.外壳采用椅式互嵌式结构有效防水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10.选配面捞，规格Ø130mm</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23"/>
        </w:trPr>
        <w:tc>
          <w:tcPr>
            <w:gridSpan w:val="7"/>
            <w:shd w:val="clear" w:color="auto" w:fill="auto"/>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六、洗碗间/碗碟库</w:t>
            </w:r>
            <w:r/>
          </w:p>
        </w:tc>
      </w:tr>
      <w:tr>
        <w:trPr>
          <w:trHeight w:val="441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碗碟传送带柜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外形尺寸 ：(L)×580×950 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链板宽度 ：305 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传送速度 ：20m/min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电源要求 ：220V/50Hz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功率：0.5kw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1.适合各种类型餐具使用，操作方便。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2.采用优质304不锈钢材质、耐腐蚀、强度高、韧性好。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3.采用食品级POM链片，确保食品卫生。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4.配置柔性启动和停止设计，采用变频调速。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5.主动轴和被动轴为不锈钢材质，方便拆卸。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6.配置链板自动清洗功能，在传送中可保持链板卫生。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7.内置抽屉，易于清洗。</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8.可根据客户要求定做长度、高度。</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L=3400+2600+800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0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小件投递柜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参数</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外形尺寸：Lx300xH mm  （外形规格根据所配套的输送带而改变）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投料口直径：θ 200mm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特点</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1.可以集中回收筷子，勺子，刀叉等小件餐具。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2.采用优质不锈钢制作，坚固耐用。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3.可应用于链片式或皮筋式等各种输送带。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4.可拓展使用，如用于投放餐后废弃纸巾或者饮料盒等废弃物。</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L=7000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56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7000*300*300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91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不锈钢单星浸泡池</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星盆规格：800x550x300mmH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850*800*850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0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不锈钢大单星盆台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星盆规格：750x550x300mmH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900*800*850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44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12"/>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不锈钢双星污碟台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星盆规格：800*500x300mmH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2个3"隔筛去水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1800*800*850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73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w:t>
            </w:r>
            <w:r>
              <w:rPr>
                <w:rFonts w:hint="eastAsia" w:ascii="宋体" w:hAnsi="宋体" w:cs="宋体"/>
                <w:i w:val="0"/>
                <w:iCs w:val="0"/>
                <w:color w:val="auto"/>
                <w:sz w:val="21"/>
                <w:szCs w:val="21"/>
                <w:u w:val="none"/>
                <w:lang w:val="en-US" w:eastAsia="zh-CN" w:bidi="ar"/>
              </w:rPr>
              <w:t xml:space="preserve">提供以上1、2、3项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36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花洒龙头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2.黄铜铸造主体，锌合金手柄，表面铜镍铬处理。</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3.钢丝编织软管具有304#弯形弹簧保护。</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4.单孔双柄冷热冲洗，不带摇摆龙头取水功能。</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5.固定墙杆长度280mm,产品距离台面990mm(±5%）</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.黄铜主体喷头，多孔出水冲洗力更强，ABS塑料把手，按压回弹阀芯控制开启止水。</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.台面开孔35mm安装主体，防止松动导致软管爆裂漏水务必紧固墙体安装的防松固定墙杆。</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218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通道式洗碗机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1.洗涤筐尺寸：500×500×100 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2.最大洗涤高度：420 mm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3.最大洗涤量：220筐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4.洗涤温度：55-60℃</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5.漂洗温度：82℃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6.电源要求：380V/50Hz/3N（三相五线制）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7.加热方式：电加热型/蒸汽加热型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8.电加热型功率：50kw   </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9.蒸汽加热总功率：2kw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10.超低的漂洗用水量300/350升/小时,大大节省电力、催干剂和洗涤剂用量。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11.内置式漂洗加热器和漂洗泵,并设有保护装置,从而保证水压的稳定。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12.自动清洗功能,最大程度的保证卫生与清洁。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13.倾斜式内顶盖,可防止洗涤液滴到干净洗涤品上。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14.前门双层壁式结构隔热、隔音、节省能源且操作舒适。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15.安全保护装置,无人收取时会自动停机。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16.智能控制,温度可自行设定。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17.420mm净通高度,洗涤大碗碟更方便。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18.双道喷淋,内凹式防堵清洗喷管。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.所投洗碗机依据  GB/T 17626.2-2018、GB/T 17626.5-2019、GB/T 4208-2017等标准对静电放电抗扰度、浪涌 (冲击)抗扰度、 控制柜外壳/水泵/加热桶防护等级（IP69）等进行检测，提供</w:t>
            </w:r>
            <w:r>
              <w:rPr>
                <w:rFonts w:hint="eastAsia" w:ascii="宋体" w:hAnsi="宋体" w:cs="宋体"/>
                <w:i w:val="0"/>
                <w:iCs w:val="0"/>
                <w:color w:val="auto"/>
                <w:sz w:val="21"/>
                <w:szCs w:val="21"/>
                <w:u w:val="none"/>
                <w:lang w:val="en-US" w:eastAsia="zh-CN" w:bidi="ar"/>
              </w:rPr>
              <w:t xml:space="preserve">第三方检测机构出具的</w:t>
            </w:r>
            <w:r>
              <w:rPr>
                <w:rFonts w:hint="eastAsia" w:ascii="宋体" w:hAnsi="宋体" w:eastAsia="宋体" w:cs="宋体"/>
                <w:i w:val="0"/>
                <w:iCs w:val="0"/>
                <w:color w:val="auto"/>
                <w:sz w:val="21"/>
                <w:szCs w:val="21"/>
                <w:u w:val="none"/>
                <w:lang w:val="en-US" w:eastAsia="zh-CN" w:bidi="ar"/>
              </w:rPr>
              <w:t xml:space="preserve">检测报告，报告可在国家认证认可监督管理委员会官网（www.cnca.gov.cn）查询。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.所投洗碗机用不锈钢板，对</w:t>
            </w:r>
            <w:r>
              <w:rPr>
                <w:rFonts w:hint="eastAsia" w:ascii="宋体" w:hAnsi="宋体" w:eastAsia="宋体" w:cs="宋体"/>
                <w:i w:val="0"/>
                <w:iCs w:val="0"/>
                <w:color w:val="auto"/>
                <w:sz w:val="21"/>
                <w:szCs w:val="21"/>
                <w:u w:val="none"/>
                <w:lang w:val="en-US" w:eastAsia="zh-CN" w:bidi="ar"/>
              </w:rPr>
              <w:t xml:space="preserve">不锈钢板材的覆层及覆层焊缝分别进行检测，依据 GB/T 17899-2023、 GB/T 40393-2021、 GB/T 39534-2020、GB/T 4334-2020、 GB/T 2423.18-2021标准，对不锈钢板材进行中性交变盐雾氯化纳试验，试验时间为360小时，试验后样品无锈蚀、穿孔、裂纹、点蚀腐蚀现象，锈蚀等级参照 GB/T6461-2002标准，结论为保护评级达到10级。提供由中国质量认证中心出具的检测报告，报告可在国家认证认可监督管理委员会官网（www.cnca.gov.cn）查询。</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1550*860*1423</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46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主体围板：SUS304 1.2mm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油网支架：SUS304 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配不锈钢隔油网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带法兰抽风口（300*300mm）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配可抽式集油盒</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1800*1000*600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99"/>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洁碟台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台面无靠背，台面R10mm圆角位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1600*800*850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80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挂墙茜架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1300*400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87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蒸汽烘干消毒柜(立式双门）</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容量：900L;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消毒温度：20-130℃；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电压：220V/50HZ;蒸汽功率：6.5KW,烘干功率：3KW;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本机采用加厚全不锈钢板内外箱体、一体满焊接内胆、承压强又防漏；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高温加热系统蒸汽温度可达120度以上；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三重控压、超压、泄压、断电等安全保护;不挑餐具材质;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触屏控制温度、时间、实时状态显示;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蒸汽消毒、热风循环可独立使用，也可自动转换，支持定时、定温，自带记忆功能;</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设备</w:t>
            </w:r>
            <w:r>
              <w:rPr>
                <w:rFonts w:hint="eastAsia" w:ascii="宋体" w:hAnsi="宋体" w:eastAsia="宋体" w:cs="宋体"/>
                <w:i w:val="0"/>
                <w:iCs w:val="0"/>
                <w:color w:val="auto"/>
                <w:sz w:val="21"/>
                <w:szCs w:val="21"/>
                <w:u w:val="none"/>
                <w:lang w:val="en-US" w:eastAsia="zh-CN" w:bidi="ar"/>
              </w:rPr>
              <w:t xml:space="preserve">采用自动进水，</w:t>
            </w:r>
            <w:r>
              <w:rPr>
                <w:rFonts w:hint="eastAsia" w:ascii="宋体" w:hAnsi="宋体" w:cs="宋体"/>
                <w:i w:val="0"/>
                <w:iCs w:val="0"/>
                <w:color w:val="auto"/>
                <w:sz w:val="21"/>
                <w:szCs w:val="21"/>
                <w:u w:val="none"/>
                <w:lang w:val="en-US" w:eastAsia="zh-CN" w:bidi="ar"/>
              </w:rPr>
              <w:t xml:space="preserve">配置</w:t>
            </w:r>
            <w:r>
              <w:rPr>
                <w:rFonts w:hint="eastAsia" w:ascii="宋体" w:hAnsi="宋体" w:eastAsia="宋体" w:cs="宋体"/>
                <w:i w:val="0"/>
                <w:iCs w:val="0"/>
                <w:color w:val="auto"/>
                <w:sz w:val="21"/>
                <w:szCs w:val="21"/>
                <w:u w:val="none"/>
                <w:lang w:val="en-US" w:eastAsia="zh-CN" w:bidi="ar"/>
              </w:rPr>
              <w:t xml:space="preserve">专用不锈钢网格消毒篮，脚为重力型万向带刹车;</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1310*680*1980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7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壁挂式灭蝇灯</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静音沾捕，无声保护；</w:t>
            </w:r>
            <w:r>
              <w:rPr>
                <w:rFonts w:hint="eastAsia" w:ascii="宋体" w:hAnsi="宋体" w:cs="宋体"/>
                <w:i w:val="0"/>
                <w:iCs w:val="0"/>
                <w:color w:val="auto"/>
                <w:sz w:val="21"/>
                <w:szCs w:val="21"/>
                <w:u w:val="none"/>
                <w:lang w:val="en-US" w:eastAsia="zh-CN" w:bidi="ar"/>
              </w:rPr>
              <w:t xml:space="preserve">优质</w:t>
            </w:r>
            <w:r>
              <w:rPr>
                <w:rFonts w:hint="eastAsia" w:ascii="宋体" w:hAnsi="宋体" w:eastAsia="宋体" w:cs="宋体"/>
                <w:i w:val="0"/>
                <w:iCs w:val="0"/>
                <w:color w:val="auto"/>
                <w:sz w:val="21"/>
                <w:szCs w:val="21"/>
                <w:u w:val="none"/>
                <w:lang w:val="en-US" w:eastAsia="zh-CN" w:bidi="ar"/>
              </w:rPr>
              <w:t xml:space="preserve">灯管，保证食品安全；超大沾纸，降低成本；无残骸飞溅；不产生异味；噪音小；功率：220V/30W；覆盖面积：80m²。灯管：2*15W灯管；</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产品符合标准GB4706.1-2005《家用和类似用途电器的安全第1部分：通用要求》，对设备工作温度下的泄露电流检测满足电源的任一极与金属箔的易触及金属部件之间的泄露电流≤3.5mA，并提供带有检测机构检测专用章的检测报告佐证并加盖制造商公章和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500*120*290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07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1060*530*1800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16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不锈钢洗手星盆台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1个3"隔筛去水</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455*455*235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6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w:t>
            </w:r>
            <w:r>
              <w:rPr>
                <w:rFonts w:hint="eastAsia" w:ascii="宋体" w:hAnsi="宋体" w:cs="宋体"/>
                <w:i w:val="0"/>
                <w:iCs w:val="0"/>
                <w:color w:val="auto"/>
                <w:sz w:val="21"/>
                <w:szCs w:val="21"/>
                <w:u w:val="none"/>
                <w:lang w:val="en-US" w:eastAsia="zh-CN" w:bidi="ar"/>
              </w:rPr>
              <w:t xml:space="preserve">及以上</w:t>
            </w:r>
            <w:r>
              <w:rPr>
                <w:rFonts w:hint="eastAsia" w:ascii="宋体" w:hAnsi="宋体" w:eastAsia="宋体" w:cs="宋体"/>
                <w:i w:val="0"/>
                <w:iCs w:val="0"/>
                <w:color w:val="auto"/>
                <w:sz w:val="21"/>
                <w:szCs w:val="21"/>
                <w:u w:val="none"/>
                <w:lang w:val="en-US" w:eastAsia="zh-CN" w:bidi="ar"/>
              </w:rPr>
              <w:t xml:space="preserve">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60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冲地龙头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产品有一级水效节能证书，一级水效标识。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2.产品有中国质量认证中心GMA的检测报告。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.机身外壳为304，进水主件及水枪连接件304材料。</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.胶管长度10米(±5%），黑色重工液压钢丝耐磨管，耐温85度(±5%）极限耐压78mpa。</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.水枪可360度活动便捷冲洗。前扳机水枪，进水部件黄铜，ABS蓝色外壳防撞击，水嘴旋转可调花洒或水柱形状冲洗。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.胶管拉伸有止回定位功能。</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标配有水枪可挂置墙体的ABS挂钩及四颗M10不锈钢膨胀螺丝。</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.安装高度建议1.3-1.6米，进水接口正对产品左边，G1/2外螺纹连接进水管。</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2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不锈钢四星盆台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星盆规格：500x500x300mmH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4个3"隔筛去水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2250*750*850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891"/>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w:t>
            </w:r>
            <w:r>
              <w:rPr>
                <w:rFonts w:hint="eastAsia" w:ascii="宋体" w:hAnsi="宋体" w:cs="宋体"/>
                <w:i w:val="0"/>
                <w:iCs w:val="0"/>
                <w:color w:val="auto"/>
                <w:sz w:val="21"/>
                <w:szCs w:val="21"/>
                <w:u w:val="none"/>
                <w:lang w:val="en-US" w:eastAsia="zh-CN" w:bidi="ar"/>
              </w:rPr>
              <w:t xml:space="preserve">及以上</w:t>
            </w:r>
            <w:r>
              <w:rPr>
                <w:rFonts w:hint="eastAsia" w:ascii="宋体" w:hAnsi="宋体" w:eastAsia="宋体" w:cs="宋体"/>
                <w:i w:val="0"/>
                <w:iCs w:val="0"/>
                <w:color w:val="auto"/>
                <w:sz w:val="21"/>
                <w:szCs w:val="21"/>
                <w:u w:val="none"/>
                <w:lang w:val="en-US" w:eastAsia="zh-CN" w:bidi="ar"/>
              </w:rPr>
              <w:t xml:space="preserve">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06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1220*530*1800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77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1000*300*300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50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不锈钢拖把单星盆台</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25x1.2mm圆通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台面40mm厚，带围水边，用码槽加硬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星盆规格：500*500*300mmH</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1个3"隔筛去水</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￠38圆通，下横通采用SUS304 ￠25圆通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1250*650*600+300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4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双温拖把龙头</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具有食品接触安全认证证书。 主体黄铜，铜螺杆阀芯，不锈钢管直径24，厚</w:t>
            </w:r>
            <w:r>
              <w:rPr>
                <w:rFonts w:hint="eastAsia" w:ascii="宋体" w:hAnsi="宋体" w:eastAsia="宋体" w:cs="宋体"/>
                <w:i w:val="0"/>
                <w:iCs w:val="0"/>
                <w:color w:val="auto"/>
                <w:sz w:val="21"/>
                <w:szCs w:val="21"/>
                <w:highlight w:val="none"/>
                <w:u w:val="none"/>
                <w:lang w:val="en-US" w:eastAsia="zh-CN" w:bidi="ar"/>
              </w:rPr>
              <w:t xml:space="preserve">≥1.0mm，水嘴顶部有挂钩，两孔中心203mm（允许±1mm 偏差），安装入墙距离出水口中心总长度为250mm（允许±1mm 偏差）</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trHeight w:val="247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w:t>
            </w:r>
            <w:r>
              <w:rPr>
                <w:rStyle w:val="1672"/>
                <w:rFonts w:hint="eastAsia" w:ascii="宋体" w:hAnsi="宋体" w:eastAsia="宋体" w:cs="宋体"/>
                <w:color w:val="auto"/>
                <w:sz w:val="21"/>
                <w:szCs w:val="21"/>
                <w:lang w:val="en-US" w:eastAsia="zh-CN" w:bidi="ar"/>
              </w:rPr>
              <w:t xml:space="preserve">∅</w:t>
            </w:r>
            <w:r>
              <w:rPr>
                <w:rStyle w:val="1673"/>
                <w:rFonts w:hint="eastAsia" w:ascii="宋体" w:hAnsi="宋体" w:eastAsia="宋体" w:cs="宋体"/>
                <w:color w:val="auto"/>
                <w:sz w:val="21"/>
                <w:szCs w:val="21"/>
                <w:lang w:val="en-US" w:eastAsia="zh-CN" w:bidi="ar"/>
              </w:rPr>
              <w:t xml:space="preserve">38x1.2mm圆通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150mm高挡水及台面R10mm圆角位</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台面采用码槽加硬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下一层板，采用码槽加硬</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脚通采用SUS304 ￠38圆通</w:t>
            </w:r>
            <w:r>
              <w:rPr>
                <w:rStyle w:val="1673"/>
                <w:rFonts w:hint="eastAsia" w:ascii="宋体" w:hAnsi="宋体" w:eastAsia="宋体" w:cs="宋体"/>
                <w:color w:val="auto"/>
                <w:sz w:val="21"/>
                <w:szCs w:val="21"/>
                <w:lang w:val="en-US" w:eastAsia="zh-CN" w:bidi="ar"/>
              </w:rPr>
              <w:br/>
            </w:r>
            <w:r>
              <w:rPr>
                <w:rStyle w:val="1673"/>
                <w:rFonts w:hint="eastAsia" w:ascii="宋体" w:hAnsi="宋体" w:eastAsia="宋体" w:cs="宋体"/>
                <w:color w:val="auto"/>
                <w:sz w:val="21"/>
                <w:szCs w:val="21"/>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250*650*600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73"/>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不锈钢高身储物柜</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后背：SUS304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中底板：SUS304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柜门内封板：SUS304 2B 0.7mm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不锈钢轴承吊顶式上下双趟门，配锁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趟门路轨设闭门式沉坑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2层活动中层板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1200*500*1800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无线门控风幕机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1.电源：220v/0.12kw，风量：3500/4200m³/h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2.噪音：＜52db，使用环境：-10°C~+40°C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3.具有杀菌消毒净化功能，无菌整机；风幕机内置净化模块满足：依据GB/T 34012-2017《通风系统用空气净化装置》、GB 10891-1989《空气处理机组 安全要求》检测时，空气中大肠杆菌祛除率≥99%，白葡萄球菌祛除率≥99%，自然菌祛除率≥99%；</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4.具有手动和自动工作模式，无线联动自动控制装置；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5.产品安全方面：满足国标GB4706.1-2005家用电器安全检测要求,在工作温度下的电气强度测试中，对L/N与易触及部件之间在3000V试验电压下测试时，未被击穿；</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.产品具有《中国环保节能产品》证书。</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L=1200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17"/>
        </w:trPr>
        <w:tc>
          <w:tcPr>
            <w:gridSpan w:val="7"/>
            <w:shd w:val="clear" w:color="auto" w:fill="auto"/>
            <w:tcBorders>
              <w:top w:val="single" w:color="000000" w:sz="4" w:space="0"/>
              <w:left w:val="single" w:color="000000" w:sz="4" w:space="0"/>
              <w:bottom w:val="single" w:color="000000" w:sz="4" w:space="0"/>
              <w:right w:val="single" w:color="000000" w:sz="4" w:space="0"/>
            </w:tcBorders>
            <w:tcW w:w="91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七、后厨空调</w:t>
            </w:r>
            <w:r/>
          </w:p>
        </w:tc>
      </w:tr>
      <w:tr>
        <w:trPr>
          <w:trHeight w:val="2598"/>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变频多联式空调室内机(环绕气流式)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制冷量：</w:t>
            </w:r>
            <w:r>
              <w:rPr>
                <w:rFonts w:hint="eastAsia" w:ascii="宋体" w:hAnsi="宋体" w:eastAsia="宋体" w:cs="宋体"/>
                <w:i w:val="0"/>
                <w:iCs w:val="0"/>
                <w:color w:val="auto"/>
                <w:sz w:val="21"/>
                <w:szCs w:val="21"/>
                <w:highlight w:val="none"/>
                <w:u w:val="none"/>
                <w:lang w:val="en-US" w:eastAsia="zh-CN" w:bidi="ar"/>
              </w:rPr>
              <w:t xml:space="preserve">≥11.2KW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制热量：≥12.5KW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高档风量：≥1518CMH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高档噪声：≤41dB(A)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电压/相/频率：220V-1Φ-50HZ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配电功率：≤156W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空气净化装置</w:t>
            </w:r>
            <w:r>
              <w:rPr>
                <w:rFonts w:hint="eastAsia" w:ascii="宋体" w:hAnsi="宋体" w:eastAsia="宋体" w:cs="宋体"/>
                <w:i w:val="0"/>
                <w:iCs w:val="0"/>
                <w:color w:val="auto"/>
                <w:sz w:val="21"/>
                <w:szCs w:val="21"/>
                <w:u w:val="none"/>
                <w:lang w:val="en-US" w:eastAsia="zh-CN" w:bidi="ar"/>
              </w:rPr>
              <w:t xml:space="preserve">型号：NC-ID-2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减振方式：弹簧隔振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备注：机组自带冷凝水提升泵</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840(长)*840(宽)*246(高)</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56"/>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变频多联式空调室内机(自由静压风管式)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制冷量：≥5.6KW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制热量：≥6.3KW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高档风量：≥1206CMH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机外静压：50~200Pa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高档噪声：≤41dB(A)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电压/相/频率：220V-1Φ-50HZ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配电功率：≤188W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空气净化装置型号：NC-ID-2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减振方式：弹簧隔振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备注：机组自带冷凝水提升泵</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1000(长)*700(宽)*300(高)</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534"/>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变频多联式空调室内机(自由静压风管式)</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制冷量：≥9.0KW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制热量：≥10.0KW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高档风量：≥1410CMH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机外静压：50~200Pa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高档噪声：≤41dB(A)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电压/相/频率：220V-1Φ-50HZ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配电功率：≤292W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空气净化装置型号：NC-ID-3</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减振方式：弹簧隔振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备注：机组自带冷凝水提升泵</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1400(长)*700(宽)*300(高)</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3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变频多联式空调室外机</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室外机类型：风冷热泵变冷媒流量型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制冷量：≥33.5KW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制热量：≥37.5KW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风扇静压：≥50Pa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噪声：≤59dB(A)</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电压/相/频率：380V-3Φ-50HZ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配电功率：≤9.0kW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减振方式：橡胶隔振</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930(长)*765(宽)*1657(高)</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48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全新风机组</w:t>
            </w:r>
            <w:r/>
          </w:p>
        </w:tc>
        <w:tc>
          <w:tcPr>
            <w:shd w:val="clear" w:color="auto" w:fill="auto"/>
            <w:tcBorders>
              <w:top w:val="single" w:color="000000" w:sz="4" w:space="0"/>
              <w:left w:val="single" w:color="000000" w:sz="4" w:space="0"/>
              <w:bottom w:val="single" w:color="000000" w:sz="4" w:space="0"/>
              <w:right w:val="single" w:color="000000" w:sz="4" w:space="0"/>
            </w:tcBorders>
            <w:tcW w:w="4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风量：≥6000CMH</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制冷量：≥63KW</w:t>
            </w:r>
            <w:r/>
          </w:p>
        </w:tc>
        <w:tc>
          <w:tcPr>
            <w:shd w:val="clear" w:color="auto" w:fill="auto"/>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bl>
    <w:p>
      <w:pPr>
        <w:pStyle w:val="1656"/>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bl>
      <w:tblPr>
        <w:tblStyle w:val="1462"/>
        <w:tblW w:w="918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96"/>
        <w:gridCol w:w="61"/>
        <w:gridCol w:w="727"/>
        <w:gridCol w:w="22"/>
        <w:gridCol w:w="291"/>
        <w:gridCol w:w="279"/>
        <w:gridCol w:w="4395"/>
        <w:gridCol w:w="1575"/>
        <w:gridCol w:w="1335"/>
      </w:tblGrid>
      <w:tr>
        <w:trPr>
          <w:trHeight w:val="554"/>
        </w:trPr>
        <w:tc>
          <w:tcPr>
            <w:gridSpan w:val="9"/>
            <w:shd w:val="clear" w:color="auto" w:fill="auto"/>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eastAsia="宋体" w:cs="宋体"/>
                <w:b/>
                <w:bCs/>
                <w:i w:val="0"/>
                <w:iCs w:val="0"/>
                <w:color w:val="auto"/>
                <w:sz w:val="21"/>
                <w:szCs w:val="21"/>
                <w:u w:val="none"/>
                <w:lang w:val="en-US" w:eastAsia="zh-CN" w:bidi="ar"/>
              </w:rPr>
              <w:t xml:space="preserve">大数据交通指挥中心二层厨房设备清单</w:t>
            </w:r>
            <w:r/>
          </w:p>
        </w:tc>
      </w:tr>
      <w:tr>
        <w:trPr>
          <w:trHeight w:val="1033"/>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编号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设备规格说明</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参考尺寸（正负偏差不大于5%）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u w:val="none"/>
                <w:lang w:val="en-US" w:eastAsia="zh-CN" w:bidi="ar"/>
              </w:rPr>
              <w:suppressLineNumbers w:val="0"/>
            </w:pPr>
            <w:r>
              <w:rPr>
                <w:rFonts w:hint="eastAsia" w:ascii="宋体" w:hAnsi="宋体" w:cs="宋体"/>
                <w:b/>
                <w:bCs/>
                <w:color w:val="auto"/>
                <w:szCs w:val="21"/>
                <w:highlight w:val="none"/>
                <w:lang w:val="en-US" w:eastAsia="zh-CN" w:bidi="ar"/>
              </w:rPr>
              <w:t xml:space="preserve">对应中小企业划分标准所属行业</w:t>
            </w:r>
            <w:r/>
          </w:p>
        </w:tc>
      </w:tr>
      <w:tr>
        <w:trPr>
          <w:trHeight w:val="538"/>
        </w:trPr>
        <w:tc>
          <w:tcPr>
            <w:gridSpan w:val="9"/>
            <w:shd w:val="clear" w:color="auto" w:fill="auto"/>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一、备餐</w:t>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壁挂式灭蝇灯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静音沾捕，无声保护；</w:t>
            </w:r>
            <w:r>
              <w:rPr>
                <w:rFonts w:hint="eastAsia" w:ascii="宋体" w:hAnsi="宋体" w:cs="宋体"/>
                <w:i w:val="0"/>
                <w:iCs w:val="0"/>
                <w:color w:val="auto"/>
                <w:sz w:val="21"/>
                <w:szCs w:val="21"/>
                <w:u w:val="none"/>
                <w:lang w:val="en-US" w:eastAsia="zh-CN" w:bidi="ar"/>
              </w:rPr>
              <w:t xml:space="preserve">优质</w:t>
            </w:r>
            <w:r>
              <w:rPr>
                <w:rFonts w:hint="eastAsia" w:ascii="宋体" w:hAnsi="宋体" w:eastAsia="宋体" w:cs="宋体"/>
                <w:i w:val="0"/>
                <w:iCs w:val="0"/>
                <w:color w:val="auto"/>
                <w:sz w:val="21"/>
                <w:szCs w:val="21"/>
                <w:u w:val="none"/>
                <w:lang w:val="en-US" w:eastAsia="zh-CN" w:bidi="ar"/>
              </w:rPr>
              <w:t xml:space="preserve">灯管，保证食品安全；超大沾纸，降低成本；无残骸飞溅；不产生异味；噪音小；功率：220V/30W；覆盖面积：80m²。灯管：2*15W灯管；</w:t>
            </w:r>
            <w:r/>
          </w:p>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产品符合标准GB4706.1-2005《家用和类似用途电器的安全第1部分：通用要求》，对设备工作温度下的泄露电流检测满足电源的任一极与金属箔的易触及金属部件之间的泄露电流≤3.5mA</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500*120*290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8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不锈钢活动工作台一下层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竖通：SUS304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台面不带靠背，采用码槽加硬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下一层板，采用码槽加硬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4个5"平底轮，其中2个带刹车制</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48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不锈钢洗手星盆台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1个3"隔筛去水</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455*455*235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523"/>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4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∅25x1.2mm圆通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150mm高挡水及台面R10mm圆角位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台面40mm厚，带围水边，用码槽加硬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星盆规格：500x500x300mmH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2个3"隔筛去水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￠38圆通，下横通采用SUS304 ￠25圆通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39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368"/>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挂墙开水器连架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SUS304不锈钢内胆。30mm高密度聚氨酯保温。微电脑控制，步进式加热。无二次沸腾。PT100铂金温感。双龙头。电子信号控制进水，超温断电。缺水断电。温度恒定88~95度。最大出水量125L/hr。功率：380V/9KW。</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500*275*925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5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150mm高挡水及台面R10mm圆角位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下一层板，采用码槽加硬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550*750*850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28"/>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制冰机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产量：70KG，储冰量：45KG.电压/功率：220V/530W. 优质不锈钢材质，SGS食品接触认证，质量管理体系认证，R290环保制冷剂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700*700*800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9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制冰机专用净水器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包含前置PP和活性炭主滤芯及相关配件；额定总净水量：34m³；流速：6.3L/M；进水压力：0.14-0.35MPa，禁水锤；工作温度：4-38℃</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300*130*540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20"/>
        </w:trPr>
        <w:tc>
          <w:tcPr>
            <w:gridSpan w:val="9"/>
            <w:shd w:val="clear" w:color="auto" w:fill="auto"/>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rPr>
                <w:rFonts w:hint="eastAsia" w:ascii="宋体" w:hAnsi="宋体" w:eastAsia="宋体" w:cs="宋体"/>
                <w:i w:val="0"/>
                <w:iCs w:val="0"/>
                <w:color w:val="auto"/>
                <w:sz w:val="21"/>
                <w:szCs w:val="21"/>
                <w:u w:val="none"/>
                <w:lang w:val="en-US" w:eastAsia="zh-CN" w:bidi="ar"/>
              </w:rPr>
            </w:pPr>
            <w:r>
              <w:rPr>
                <w:rFonts w:hint="eastAsia" w:ascii="宋体" w:hAnsi="宋体" w:eastAsia="宋体" w:cs="宋体"/>
                <w:i w:val="0"/>
                <w:iCs w:val="0"/>
                <w:color w:val="auto"/>
                <w:sz w:val="21"/>
                <w:szCs w:val="21"/>
                <w:u w:val="none"/>
                <w:lang w:val="en-US" w:eastAsia="zh-CN" w:bidi="ar"/>
              </w:rPr>
              <w:t xml:space="preserve">二、面点间</w:t>
            </w:r>
            <w:r/>
          </w:p>
        </w:tc>
      </w:tr>
      <w:tr>
        <w:trPr>
          <w:trHeight w:val="1429"/>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不锈钢洗手星盆台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1个3"隔筛去水</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455*455*235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28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9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立式厨房风冷冷藏柜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1.门体及功能配置：四门发泡门冷藏柜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3.容积：990L(±5%）；电压：AC220v/50Hz；功率：400W；插头：国标10A；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p>
          <w:p>
            <w:pPr>
              <w:numPr>
                <w:ilvl w:val="0"/>
                <w:numId w:val="0"/>
              </w:numPr>
              <w:jc w:val="left"/>
              <w:keepLines w:val="0"/>
              <w:keepNext w:val="0"/>
              <w:widowControl/>
              <w:rPr>
                <w:color w:val="auto"/>
              </w:rPr>
              <w:suppressLineNumbers w:val="0"/>
            </w:pPr>
            <w:r>
              <w:rPr>
                <w:rFonts w:hint="eastAsia" w:ascii="宋体" w:hAnsi="宋体" w:eastAsia="宋体" w:cs="宋体"/>
                <w:i w:val="0"/>
                <w:iCs w:val="0"/>
                <w:color w:val="auto"/>
                <w:sz w:val="21"/>
                <w:szCs w:val="21"/>
                <w:u w:val="none"/>
                <w:lang w:val="en-US" w:eastAsia="zh-CN" w:bidi="ar"/>
              </w:rPr>
              <w:t xml:space="preserve">10.风冷冷凝器采用内螺纹铜管；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11.压缩机选用活塞式制冷压缩机；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12.蒸发器使用内螺纹铜管和叉排式排管；13.使用场景分类:商用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▲、所投产品具有：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①一级能效标识，产品对应型号在中国能效标识网已完成备案，并且获得《中国节能产品认证证书》；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②满足试验依据标准（包含但不限于）: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SB/T10794.1-2012《商用冷柜第1部分：术语》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SB/T10794.2-2012《商用冷柜第2部分：分类、要求和试验条件》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具体检验项目技术参数要求包含如下：总有效容积（m3）≥990L；试验期间所有M-包平均温度tcm或tdm（℃）≤5；能效指数（%）实测值≤65。；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③满足技术要求：GB/T26572-2011电子电气产品中限用物质的限量要求，检测方法（包含但不限于）：GB/T39560.1-2020;GB/T39560.2-2024;GB/T39560.301-2020;GB/T39560.5-2021;GB/T39560.6-2020;GB/T39560.701-2020;GB/T39560.702-2021。实验结论：合格；</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color w:val="auto"/>
              </w:rPr>
              <w:t xml:space="preserve">投标人同时提供</w:t>
            </w:r>
            <w:r>
              <w:rPr>
                <w:rFonts w:hint="eastAsia"/>
                <w:color w:val="auto"/>
                <w:lang w:val="en-US" w:eastAsia="zh-CN"/>
              </w:rPr>
              <w:t xml:space="preserve">以上三项</w:t>
            </w:r>
            <w:r>
              <w:rPr>
                <w:rFonts w:hint="eastAsia"/>
                <w:color w:val="auto"/>
              </w:rPr>
              <w:t xml:space="preserve">:①有效期内的认证证书扫描件和</w:t>
            </w:r>
            <w:r>
              <w:rPr>
                <w:rFonts w:hint="eastAsia"/>
                <w:color w:val="auto"/>
                <w:lang w:eastAsia="zh-CN"/>
              </w:rPr>
              <w:t xml:space="preserve">具有</w:t>
            </w:r>
            <w:r>
              <w:rPr>
                <w:rFonts w:hint="eastAsia"/>
                <w:color w:val="auto"/>
              </w:rPr>
              <w:t xml:space="preserve">第三方检验检测机构出</w:t>
            </w:r>
            <w:r>
              <w:rPr>
                <w:rFonts w:hint="eastAsia"/>
                <w:color w:val="auto"/>
                <w:lang w:eastAsia="zh-CN"/>
              </w:rPr>
              <w:t xml:space="preserve">具</w:t>
            </w:r>
            <w:r>
              <w:rPr>
                <w:rFonts w:hint="eastAsia"/>
                <w:color w:val="auto"/>
              </w:rPr>
              <w:t xml:space="preserve">的检验检测报告关键页(对应参数检验检测项需在检验检测报告中标注)扫描件；②上述认证证书在全国认证认可信息公共服务平台(认e云)(http://cx.cnca.cn/)的信息查询记录截图，③能效备案的查询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1220*815*1950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33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∅25x1.2mm圆通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150mm高挡水及台面R10mm圆角位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台面40mm厚，带围水边，用码槽加硬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星盆规格：500x500x300mmH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2个3"隔筛去水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￠38圆通，下横通采用SUS304 ￠25圆通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39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707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搅拌机（40L)</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1.电压:220/380V,额定输入功率/电机功率：1.3/1.1KW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2.最大和面量：6kg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3.搅拌速度：</w:t>
            </w:r>
            <w:r>
              <w:rPr>
                <w:rFonts w:hint="eastAsia" w:ascii="宋体" w:hAnsi="宋体" w:cs="宋体"/>
                <w:i w:val="0"/>
                <w:iCs w:val="0"/>
                <w:color w:val="auto"/>
                <w:sz w:val="21"/>
                <w:szCs w:val="21"/>
                <w:u w:val="none"/>
                <w:lang w:val="en-US" w:eastAsia="zh-CN" w:bidi="ar"/>
              </w:rPr>
              <w:t xml:space="preserve">三档可调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4.配有三种搅拌器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标配：含球、钩，拍（不锈钢材质）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料桶（不锈钢材质）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料桶参数：容积40L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5.三档变速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低速-和面钩 ：2分钟成团，5分钟出筋，10分钟出膜（不同的面团出膜时间由配方与面粉吸水性决定，每个人的出膜时间不一。）</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中速-搅拌拍：用于馅料，曲奇，蔬菜，土豆泥..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高速-打蛋球（打发发酵）：用于奶油，鸡蛋，冰淇淋..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6.70分贝以内低噪音转速，符合国家的环保部门或相关机构制定的标准；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7.机器标配自带防护网（不锈钢材质），防护电器以及过载保护加黑色橡胶底脚。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▲具有满足国标GB4806.7-2023、GB4806.9-2023的《食品接触产品安全认证证书》；机内凡接触食物的零部件，均采用优质不锈钢(或经特殊表面处理的其他材料)制造，卫生耐用且符合国家食品卫生标准；</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640*530*1000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32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和面机（25kg面粉）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电压/功率：380V3.37KW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容量：面粉25kg/面团50kg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料桶容积：80L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钩转速:</w:t>
            </w:r>
            <w:r>
              <w:rPr>
                <w:rFonts w:hint="eastAsia" w:ascii="宋体" w:hAnsi="宋体" w:cs="宋体"/>
                <w:i w:val="0"/>
                <w:iCs w:val="0"/>
                <w:color w:val="auto"/>
                <w:sz w:val="21"/>
                <w:szCs w:val="21"/>
                <w:u w:val="none"/>
                <w:lang w:val="en-US" w:eastAsia="zh-CN" w:bidi="ar"/>
              </w:rPr>
              <w:t xml:space="preserve">快慢2档可调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缸转速:</w:t>
            </w:r>
            <w:r>
              <w:rPr>
                <w:rFonts w:hint="eastAsia" w:ascii="宋体" w:hAnsi="宋体" w:cs="宋体"/>
                <w:i w:val="0"/>
                <w:iCs w:val="0"/>
                <w:color w:val="auto"/>
                <w:sz w:val="21"/>
                <w:szCs w:val="21"/>
                <w:u w:val="none"/>
                <w:lang w:val="en-US" w:eastAsia="zh-CN" w:bidi="ar"/>
              </w:rPr>
              <w:t xml:space="preserve">快慢2档可调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功率:搅拌钩3kw/搅拌缸0.75kw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和面器与料桶可同时转动。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装有安全防护罩。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机内凡接触食物的零部件，均采用优质不锈钢（或经特殊表面处理的其他材料）制造，卫生耐用且符合国家食品卫生标准。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▲具有符合中国质量认证中心的产品认证证书，食品接触产品安全证书满足GB4806.7-2023、GB4806.9-2023；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640*1080*1220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27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和面机（50kg面粉）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机器材质：采用铁质机身，外覆喷塑涂层，可防止机器生锈。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和面器与料桶可同时转动。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装有安全防护罩，操作安全方便。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机内凡接触食物的零部件，均采用优质不锈钢（或经特殊表面处理的其他材料）制造，卫生耐用且符合国家食品卫生标准。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外形美观，易于清洗。适用于西饼屋烘焙面包，宾馆、餐馆、单位食堂等揉制面团。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料桶容量：130L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电压：380V/50Hz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容量:面粉50kg/面团80kg</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钩转速:</w:t>
            </w:r>
            <w:r>
              <w:rPr>
                <w:rFonts w:hint="eastAsia" w:ascii="宋体" w:hAnsi="宋体" w:cs="宋体"/>
                <w:i w:val="0"/>
                <w:iCs w:val="0"/>
                <w:color w:val="auto"/>
                <w:sz w:val="21"/>
                <w:szCs w:val="21"/>
                <w:u w:val="none"/>
                <w:lang w:val="en-US" w:eastAsia="zh-CN" w:bidi="ar"/>
              </w:rPr>
              <w:t xml:space="preserve">快慢2档可调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缸转速:</w:t>
            </w:r>
            <w:r>
              <w:rPr>
                <w:rFonts w:hint="eastAsia" w:ascii="宋体" w:hAnsi="宋体" w:cs="宋体"/>
                <w:i w:val="0"/>
                <w:iCs w:val="0"/>
                <w:color w:val="auto"/>
                <w:sz w:val="21"/>
                <w:szCs w:val="21"/>
                <w:u w:val="none"/>
                <w:lang w:val="en-US" w:eastAsia="zh-CN" w:bidi="ar"/>
              </w:rPr>
              <w:t xml:space="preserve">快慢2档可调</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功率:搅拌钩4.5kw/搅拌缸0.75kw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电压:三相</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▲具有符合中国质量认证中心的产品认证证书，食品接触产品安全证书满足GB4806.7-2023、GB4806.9-2023；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765*1280*1330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41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中式压面机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电压功率：220V/2.2KW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压辊直径*长度：₵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w:t>
            </w:r>
            <w:r>
              <w:rPr>
                <w:rFonts w:hint="eastAsia" w:ascii="宋体" w:hAnsi="宋体" w:cs="宋体"/>
                <w:i w:val="0"/>
                <w:iCs w:val="0"/>
                <w:color w:val="auto"/>
                <w:sz w:val="21"/>
                <w:szCs w:val="21"/>
                <w:u w:val="none"/>
                <w:lang w:val="en-US" w:eastAsia="zh-CN" w:bidi="ar"/>
              </w:rPr>
              <w:t xml:space="preserve">00mm</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L≥</w:t>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压辊转速:</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7</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rpm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压辊范围：5-25</w:t>
            </w:r>
            <w:r>
              <w:rPr>
                <w:rFonts w:hint="eastAsia" w:ascii="宋体" w:hAnsi="宋体" w:cs="宋体"/>
                <w:i w:val="0"/>
                <w:iCs w:val="0"/>
                <w:color w:val="auto"/>
                <w:sz w:val="21"/>
                <w:szCs w:val="21"/>
                <w:u w:val="none"/>
                <w:lang w:val="en-US" w:eastAsia="zh-CN" w:bidi="ar"/>
              </w:rPr>
              <w:t xml:space="preserve">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机器材质:压铸铝、碳钢板、不锈钢、尼龙、黄铜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采用链轮传动；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机内凡接触食物的零部件，均采用优质不锈钢（或经过特殊表面处理其他材料）制造，卫生耐用且符合国家卫生标准。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▲具有符合中国质量认证中心的产品认证证书 ，食品接触产品安全证书满足GB4806.7-2023、GB4806.9-2023。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1035*650*1065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338"/>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立式酥皮机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电压功率：220/380V/0.75KW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压辊直径*长度：₵</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8</w:t>
            </w:r>
            <w:r>
              <w:rPr>
                <w:rFonts w:hint="eastAsia" w:ascii="宋体" w:hAnsi="宋体" w:cs="宋体"/>
                <w:i w:val="0"/>
                <w:iCs w:val="0"/>
                <w:color w:val="auto"/>
                <w:sz w:val="21"/>
                <w:szCs w:val="21"/>
                <w:u w:val="none"/>
                <w:lang w:val="en-US" w:eastAsia="zh-CN" w:bidi="ar"/>
              </w:rPr>
              <w:t xml:space="preserve">0mm</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L≥</w:t>
            </w:r>
            <w:r>
              <w:rPr>
                <w:rFonts w:hint="eastAsia" w:ascii="宋体" w:hAnsi="宋体" w:eastAsia="宋体" w:cs="宋体"/>
                <w:i w:val="0"/>
                <w:iCs w:val="0"/>
                <w:color w:val="auto"/>
                <w:sz w:val="21"/>
                <w:szCs w:val="21"/>
                <w:u w:val="none"/>
                <w:lang w:val="en-US" w:eastAsia="zh-CN" w:bidi="ar"/>
              </w:rPr>
              <w:t xml:space="preserve">5</w:t>
            </w:r>
            <w:r>
              <w:rPr>
                <w:rFonts w:hint="eastAsia" w:ascii="宋体" w:hAnsi="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压辊转速:133rpm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压辊范围:0-35mm；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机器材质：碳钢板Q235、铝、不锈钢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采用优质电机驱动，双向压片，设有防护罩。</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机内凡接触食物的零部件均采用不锈钢制造或经过特殊表面处理，符合国家卫生标准。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▲具有符合中国质量认证中心的产品认证证书，食品接触产品安全证书满足GB4806.7-2023、GB4806.9-2023。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展开2050*870*1225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折叠670*870*1565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9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挂墙层架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L=2400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35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木面工作台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∅50x1.2mm圆通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75mm厚枫木板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台面用2mm钢板加固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￠50圆通，横通采用SUS304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脚配法兰和防震胶垫  </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糖粉车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盖板：SUS304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活动两件式盖，中间用不锈钢排铰连接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4个3"平底轮，其中2个带刹车制</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675*450*600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72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饼盘车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方通：SUS304 30x30x1.2mm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角尺：SUS304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顶封板：SUS304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方通制作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12×25mm扁通固定后挡条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￠10mm圆枝活动前挡条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带顶、底板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4个角带防撞胶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4个5"平底轮，其中2个带刹车制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适合放置15个400x600mm饼盆</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470*610*1650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543"/>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不锈钢移门工作柜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底板：SUS304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柜门内封板：SUS304 2B 0.7mm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台面用码槽加硬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活动中层板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不锈钢轴承吊顶式双趟门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趟门路轨设闭门式沉坑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1500*750*850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629"/>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卧式风冷冷藏柜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1.门体及功能配置：双门发泡门冷藏柜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2、制冷方式：风冷；温度范围：2~+8℃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3.容积：400L(±5%）；电压：AC220v/50Hz；功率：290W；插头：国标10A；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4.采用电子温控器，柜内温度一目了然；；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5.外部材质：0.6mm(±5%）304#不锈钢内部材质：0.4mm(±5%）304#不锈钢；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6.冷柜保温夹芯板芯材采用环戊烷聚胺脂隔热保温材料；保温层厚度50mm(±5%）；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7.采用无CFC的环保雪种；（冷凝器蒸发器）制冷系统全铜管制造；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8.蒸发器冷凝水自动蒸发，无需排水管，冷凝器配有易清洗更换防尘网；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9.门体自动回归；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10.制冷系统采用小机组28cm(±5%），侧吹制冷机组11、使用场景分类:商用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1500*760*850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18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不锈钢活动工作台一下层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竖通：SUS304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台面不带靠背，采用码槽加硬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下一层板，采用码槽加硬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4个5"平底轮，其中2个带刹车制</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1500*800*850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543"/>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紫外线烟罩带新风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全AISI304不锈钢板制造，厚度为1.2mm表面拉丝处理；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▲2.机械光解复合式集烟罩餐饮业油烟净化一体设备，油烟净化效率95%以上，具有第三方检测机构依据GB18483-2001饮食业油烟排放标准（试行）；DB11/1488-2018餐饮业大气污染物排放标准；HJ/T 62-2001饮食业油烟净化设备技术要求及检测技术规范（试行）出具的合格检测报告；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▲3.具有机械光解复合式集烟罩餐饮业油烟净化一体设备通过认证依据《饮食业油烟净化设备技术要求及检测技术规范（试行）》(HJ/T62-2001)的中国环境保护产品CCEP认证证书；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▲4.特别设计的油脂过滤器能完全遮挡紫外光，确保紫外光不对员工造成伤害，UV烟罩油脂过滤器具有通过国检资质机构的漏光检测报告，符合《灯和灯系统的光生物安全性》GB/T 20145-2006检测；</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▲5.机械光解复合式集烟罩餐饮业油烟净化一体设备,具有通过第三方检测机构依据GB/T2423.17-2008,GB/T6461-2002盐雾试验生锈腐蚀现象检测120小时，保护评级为10级；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6.烟罩内部手动风量调节设计（可在烟罩内部出风口处调节风量）；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7.烟罩两侧为双壁结构，活动前补鲜风盖板配备鲜风供风室，可对厨房及厨师岗位进行鲜风补给；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8.独立风帘舱室（带调速风机，含侧边风帘）油烟管制系统，产生立方环吸效应；</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9.烟罩内部的前方两侧设有油脂、冷凝水收集槽；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10.配置风压传感器检测到风机启动后，检测油脂过滤器及紫外线检修门是否在位，确认紫外线不会泄漏后，启动紫外线灯管；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11.选用耐高温紫外线汞齐灯管，使用寿命长达10000～12000H；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12.采用双管6500K高效能LED照明灯，不锈钢嵌入式灯盘，6mm钢化玻璃防尘罩；</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6600*1450*600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4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燃气环保双头蒸炉(电磁安全掣)配炒锅</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热负荷: 48kW*2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电功率：220V, 50Hz, 130W*2</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炉头:特别设置的向内火环保预混炉头，不易变形，耐高温腐蚀，导热速度快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点火:脉冲电子点火，一键式操作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熄火保护:离子检测熄火保护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设备整体框架采用SUS304不锈钢制作，框架采用拉钉固定连接设计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台面整件成型、没有焊接、没有卫生死角、方便清洁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隔热台面，底部设计30mm厚的玻璃棉和不锈钢封板加强台面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设备前臂底沿设计有挡水V型槽、面板与侧板连接处有防水胶条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二台设备之间的连接采用卡条连接方式，侧臂设计有防水胶条，防止水流入</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设备底部用设计有不锈钢封板、起防水防虫作用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电磁阀控制，火种未点燃时，主气阀不会打开；风机供风不正常，供气不正常，意外熄火等故障，1秒钟关闭燃气，不会出现炸锅的事故</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静音风机（220V, 50Hz, 130W），每个炉头独立配置，使用行链风制实现风气联动，可调节供风大小，体积小、风量大、噪音低</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鼓风预混燃烧，噪音小于65分贝，燃烧充分，烟气中有毒气体CO（一氧化碳）和NOx(氮氧化物)低于一般沟风炉头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火力猛劲，热效率高﹐与一般沟风炉头相比可节能30％以上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炉头内冷的气体吸收炉头外壳热量，降低炉头温度，提高炉头的使用寿命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感应针使用温度超过1200度，不易烧坏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标配：水龙头2个</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1700*1050*810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843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燃气环保车仔蒸柜   (电子板控制)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燃气总功率：56.0kW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电功率：220~50Hz  3.0kW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入气口:DN25；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入水口:DN15；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排水口:DN40；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水胆采用1.5mm耐热不锈钢加工，4条S形火管结构，表面隔热处理；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4只自引射环保炉头，热负荷:56kW；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两组独立的燃气燃烧控制系统，脉冲电子点火，离子熄火保护,φ3/4"电磁阀，设置长明火种，超温缺水保护﹐防止干烧；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柜体面板使用1.2mm304不锈钢, 内胆围身0.9mm,外表面隔热处理；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设置时间控制, 选择开关控制，选择时间控制，可根据需要设定工作时间（0-60分钟）,时间到自动关火；</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设置超温蒸功能(电加热3kW)，加热产生过热不饱和蒸汽，柜内温度可以达130℃，提高加热速度，可供特殊用途使用;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可通过温度设置保温功能(85℃ )，一柜多用；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设置柜内照明功能；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特别结构的硅胶门胶边，加上扣紧门锁，柜门不漏蒸汽；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设置补水箱,φ1/2"全不锈钢浮球自动补水；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设置专门设计的排水盒子集中蒸层排水和水胆排水，并防止水胆水倒流入柜内和防止柜内蒸汽由下部外溢；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标配1台18层规格盘推车，每层可放置1个GN2/1盆；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硬水地区使用该设备必须装配软化水设置。</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1250*900*1900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609"/>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电力三层九盘烤箱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电压功率：380V/24KW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烤盘规格：400*600mm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有效温度：室温-300度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外表材质：不锈钢板材+镀铝锌板材</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开门方式：向下向外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温度范围：室温~</w:t>
            </w:r>
            <w:r>
              <w:rPr>
                <w:rFonts w:hint="eastAsia" w:ascii="宋体" w:hAnsi="宋体" w:cs="宋体"/>
                <w:i w:val="0"/>
                <w:iCs w:val="0"/>
                <w:color w:val="auto"/>
                <w:sz w:val="21"/>
                <w:szCs w:val="21"/>
                <w:u w:val="none"/>
                <w:lang w:val="en-US" w:eastAsia="zh-CN" w:bidi="ar"/>
              </w:rPr>
              <w:t xml:space="preserve">28</w:t>
            </w:r>
            <w:r>
              <w:rPr>
                <w:rFonts w:hint="eastAsia" w:ascii="宋体" w:hAnsi="宋体" w:eastAsia="宋体" w:cs="宋体"/>
                <w:i w:val="0"/>
                <w:iCs w:val="0"/>
                <w:color w:val="auto"/>
                <w:sz w:val="21"/>
                <w:szCs w:val="21"/>
                <w:u w:val="none"/>
                <w:lang w:val="en-US" w:eastAsia="zh-CN" w:bidi="ar"/>
              </w:rPr>
              <w:t xml:space="preserve">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3层9盘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每层三个烤盘竖放</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烤盘尺寸：400*600mm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不带烤盘。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▲具有符合中国质量认证中心的产品认证证书，食品接触产品安全证书满足GB4806.7-2023、GB4806.9-2023；</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▲具有全国工业产品生产许可证；</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▲具有符合GB 4706.1-2005《家用和类似用途电器的安全第1部分：通用要求》：GB 4706.52-2008《家用和类似用途电器的安全 商用电炉灶、烤箱、灶和灶单位的特殊要求》</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1770*1090*1750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82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电饼铛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设备不锈钢材质。工作温度：250℃，具有高温保护装置。功率380V/5KW。上下独立温控。</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840*660*760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88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32盘双系统冷冻醒发箱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电压功率：220V/3KW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烤盘数量：2盘*16层=32盘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托盘规格：400*600mm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有效温度：-10度~42度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双系统控制，每层独立控制，24小时程序设置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优质制冷压缩机；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聚氨发泡箱体，内外不锈钢;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智能控制面板。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单门双系统32盘，冷藏醒发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不带烤盘</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▲具有符合中国质量认证中心的产品认证证书，食品接触产品安全证书满足GB4806.7-2023、GB4806.9-2023。</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755*1200*2120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1.物理性能：冷库墙板密度：≥45kg/M3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冷库地台密度：≥46kg/M3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导热系数：≤0.02W/m•K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抗压强度：≥220kPa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抗折强度：≥370kPa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吸水率：≤0.5g/100cm²•冷库板的表面金属材料及厚度：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墙板和天花板：直角冷库，双面0.8mm彩钢板，库板安装完毕，加水泥沙浆贴防滑地砖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2.保温材料：厚度为100mmPIR保温板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库门：尺寸1000*2500，内/外0.8mm彩钢板，金属板间发泡100mm厚聚氨基甲酸作绝缘材料，带自动闭门及锁死警报系统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3冷库板保温层必须符合GB8624-12《建筑材料及制品燃烧性能分级》至少B1等级标准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4.锌合金冷库平门拉手、内部安全锁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5.门边镶嵌PVC磁性密封条确保密封良好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6.电子显示温度表及冷库LED三防灯等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7.冷库温度：</w:t>
            </w:r>
            <w:r>
              <w:rPr>
                <w:rStyle w:val="1675"/>
                <w:rFonts w:hint="eastAsia" w:ascii="宋体" w:hAnsi="宋体" w:eastAsia="宋体" w:cs="宋体"/>
                <w:color w:val="auto"/>
                <w:sz w:val="21"/>
                <w:szCs w:val="21"/>
                <w:lang w:val="en-US" w:eastAsia="zh-CN" w:bidi="ar"/>
              </w:rPr>
              <w:t xml:space="preserve">0~5℃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8.冷库进门区域底板需加固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9.冷库板为插口式拼接，板内无法预埋锁钩，拼接后外部需插销固定，再打玻璃胶进行处理缝隙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10.冷库板边缘预置橡胶密封垫</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3000*4000*2600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43"/>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高温冷库制冷压缩机组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1.制冷量：3448W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2.功率:380V/1736W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3.预留散热排风量：2091m^3/h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4.压缩机采用优质压缩机配置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5.冷凝器配置优质的内螺纹管和超银焊接工艺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6.优质品牌风扇电机。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7.低噪音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8.包含控制系统的多种可选方案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9.含油分、供液组件、木包装、大号冷凝器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610*720*553</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7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高温冷库冷风机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10.功率:220V/144W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11.铝镁合金面板（防腐防氧化），标准铜管铝翅片。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12.中温有8个型号，1~4个风扇，冷量范围在2.1~10.5KW；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13.低温有7个型号，1~4个风扇，冷量范围在1.9~10.3KW；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14.采用300mm风扇结构紧凑，增加冷库储存高度接水盘可180度反方向安装，并接有32mm螺纹接头。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15.标配针阀，外壳顶端装有抓脚吊耳；安装有牢固的绳索，用于修时固定接水盘。</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1155*500*430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1.物理性能：冷库墙板密度：≥45 kg / 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冷库地台密度：≥46 kg / M3</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导热系数：≤0.02W/m•K</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抗压强度：≥220kPa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抗折强度：≥370kPa</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吸水率：≤0.5g/100cm²•冷库板的表面金属材料及厚度：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墙板和天花板：直角冷库，双面0.8mm彩钢板，库板安装完毕，加水泥沙浆贴防滑地砖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2.保温材料：厚度为100mmPIR保温板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库门：尺寸1000*2500，内/外0.8mm彩钢板，金属板间发泡100mm厚聚氨基甲酸作绝缘材料，带自动闭门及锁死警报系统</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3.冷库板保温层必须符合GB8624-12《建筑材料及制品燃烧性能分级》至少B1等级标准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4.锌合金冷库平门拉手、内部安全锁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5.门边镶嵌PVC磁性密封条确保密封良好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6.电子显示温度表及冷库LED三防灯等</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7.冷库温度：</w:t>
            </w:r>
            <w:r>
              <w:rPr>
                <w:rStyle w:val="1675"/>
                <w:rFonts w:hint="eastAsia" w:ascii="宋体" w:hAnsi="宋体" w:eastAsia="宋体" w:cs="宋体"/>
                <w:color w:val="auto"/>
                <w:sz w:val="21"/>
                <w:szCs w:val="21"/>
                <w:highlight w:val="none"/>
                <w:lang w:val="en-US" w:eastAsia="zh-CN" w:bidi="ar"/>
              </w:rPr>
              <w:t xml:space="preserve">-18℃</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8.冷库进门区域底板需加固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9.冷库板为插口式拼接，板内无法预埋锁钩，拼接后外部需插销固定，再打玻璃胶进行处理缝隙</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10.冷库板边缘预置橡胶密封垫</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3000*4200*2600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45"/>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低温冷库制冷压缩机组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1.制冷量：3750W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2.功率:380V/3130W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3.预留散热排风量：2775m^3/h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4.压缩机采用世界名牌优质压缩机配置</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5.冷凝器配置优质的内螺纹管和超银焊接工艺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6.优质品牌风扇电机。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7.低噪音</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8.包含控制系统的多种可选方案</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9.含油分、供液组件、木包装、大号冷凝器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1070*765*562</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7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低温冷库冷风机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1.功率:220V/144W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2.铝镁合金面板（防腐防氧化），标准铜管铝翅片。</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3.中温有8个型号，1~4个风扇，冷量范围在2.1~10.5KW；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4.低温有7个型号，1~4个风扇，冷量范围在1.9~10.3KW；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5.采用300mm风扇结构紧凑，增加冷库储存高度接水盘可180度反方向安装，并接有32mm螺纹接头。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6.标配针阀，外壳顶端装有抓脚吊耳；安装有牢固的绳索，用于修时固定接水盘。</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1485*500*460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727"/>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饼盘车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方通：SUS304 30x30x1.2mm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角尺：SUS304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顶封板：SUS304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方通制作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12×25mm扁通固定后挡条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￠10mm圆枝活动前挡条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带顶、底板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4个角带防撞胶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4个5"平底轮，其中2个带刹车制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适合放置15个400x600mm饼盆</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470*610*1650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66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高身四层货架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default" w:ascii="宋体" w:hAnsi="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1.产品有食品接触产品安全认证</w:t>
            </w:r>
            <w:r>
              <w:rPr>
                <w:rFonts w:hint="eastAsia" w:ascii="宋体" w:hAnsi="宋体" w:eastAsia="宋体" w:cs="宋体"/>
                <w:i w:val="0"/>
                <w:iCs w:val="0"/>
                <w:color w:val="auto"/>
                <w:sz w:val="21"/>
                <w:szCs w:val="21"/>
                <w:u w:val="none"/>
                <w:lang w:val="en-US" w:eastAsia="zh-CN" w:bidi="ar"/>
              </w:rPr>
              <w:t xml:space="preserve">。</w:t>
            </w:r>
            <w:r/>
          </w:p>
          <w:p>
            <w:pPr>
              <w:numPr>
                <w:ilvl w:val="0"/>
                <w:numId w:val="0"/>
              </w:num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.塑料圆形支柱直径30.5mm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，安装ABS锥形夹片固定框架。每层可调节三个50mm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高度，支柱及横梁有1.0mm</w:t>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金属管。</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.环保塑料层架适用潮湿易霉，冷库，厨房的环境使用，聚丙烯PP材料格栅架，摆放每层潮湿物品可上下沥水，可进入洗碗机清洗。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.最顶层可以安装到接近立柱最高位，充分利用空间，每层框架结构，每层均匀载重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230KG。</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1220*530*1800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683"/>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灭火系统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1.灭火装置具备自动和手动两种操作模式；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2.灭火装置需与消防水（或者自来水）管路相连，系统启动后，自控机械水流阀等灭火剂喷洒完全后，再自动喷水；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系统装置包括：控制箱（纯机械式）、不锈钢管路、喷嘴、探测器、易熔连接片、金属拉索、滑轮三通、滑轮弯头等组成。其中控制箱由自动释放机构、驱动用高压氮气瓶、水流控制阀、液体药剂罐以及连接软管、单向阀、减压阀等构成；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4.灭火装置箱体内配有水流控制阀，灭火装置启动方式和水流控制阀启动方式，为纯机械式启动，（不能使用电磁阀，避免因电路故障造成装置无法运转的可能性）；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5.灭火装置配置远程控制模块，能同时兼容消控中心信号反馈、切断燃气电磁阀、关闭排风风机等功能；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6.灭火药剂无毒，无污染，无腐蚀性，并有灭火剂试验报告和毒性试验报告 ，灭火剂有效期大于8年；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7.厨房设备灭火装置生产企业具有中国国家强制性产品认证证书；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8.连接喷嘴的安装管路全部使用SUS304不锈钢管，全部使用螺纹套丝连接（可以采用低配卡压的连接方式），可长久使用，无需更换；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9.所有管路安装都必须用专用支架固定，不能紧贴烟罩表面安装；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10.烟罩内所有管道连接处，锁紧件或密封件不得使用塑料或橡胶制品，避免受高温长时间使用后腐化或松动；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11.箱体采用304不锈钢板材制造，厚度为1.2mm。连接主箱至烟罩的主药剂管路采用DN15(4分)SUS304的不锈钢管，壁厚为2.0mm。连接喷嘴的药剂支管路采用DN10(3分)SUS304的不锈钢管，壁厚为1.5mm。钢丝绳直径为1.5mm。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喷头材质为304不锈钢，性能参数a工作温度：4-55℃，b.装置的最大工作压力0.9MPa贮存压力：13Mpa，c.喷射时间：13-15s；喷射延迟时间：2.0s；喷嘴工作压力：双瓶组0.16MPa；冷却水喷嘴工作压力：双瓶组0.08MPa.d.灭火剂保质期：8年 灭火剂24L 驱动气瓶标有：驱动气体名称：氮气（N2）；充装压力：13MPa(20°C)。e药剂喷洒时间：≥15秒。灭火时间：3-5秒。</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所投厨房设备灭火装置具有国家固定灭火系统和耐火构件质量监督检验中心出具的灭火系统型式检验报告，检验依据GA498-2012，CNCA-C18-03：2014，CCCF-MHSB-02，检验项目均符合标准要求，灭火药剂的有效期能达到8年或以上，实测结果喷射时间不小于15s，喷射延迟时间不大于2.0s，灭火剂喷射过程中油点飞溅最大直径不大于2.5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14.厨房灭火装置通过高温贮存试验(检验依据:GB/T2423.2-2008)和低温贮存试验(检验依据:GB/T2423.-2008),具有一体式声光报警功能(自带启动时间记录功能)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15.控制箱体依照测试标准：GB/T2423.22-2012《环境实验第2部分:试验方法试验N：温度变化》，对控制箱温湿度进行实验检测，并获得厨房灭火装置温湿度试验检测报告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16.产品使用的重要配件灭火装置药剂瓶，依据GB/T2423.1-2008标准对高低温湿度试验箱进行实验检测，并获得厨房灭火装置药剂瓶高低温试验检测报告</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lang w:val="en-US" w:eastAsia="zh-CN" w:bidi="ar"/>
              </w:rPr>
              <w:t xml:space="preserve">工业</w:t>
            </w:r>
            <w:r/>
          </w:p>
        </w:tc>
      </w:tr>
      <w:tr>
        <w:trPr>
          <w:trHeight w:val="707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UV烟罩控制箱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1.全AISI304不锈钢箱体，厚度为1.2mm表面拉丝处理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2.一键开启电源，LCD触摸显示屏控制，全自动进入工作状态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3.每节照明灯、UV灯、风帘机可独立开关功能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4.全自动扫描每支紫外线灯管、镇流器工作状态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5.全自动计算每支紫外线光管工作时间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6.每支紫外线光管使用寿命提示功能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7.每节烟罩紫外线光管独立开关功能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8.防漏光功能(油网、挡光板、紫外线光管检修门任何一个打开后紫外线光管自动熄灭)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9.防臭氧泄漏功能(抽风机关闭后或风压值过底时紫外线光管自动熄灭功能)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10.故障报警及提示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11.采用TFT真彩液晶屏、50000 小时使用寿命以上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12.高速32位RISC处理器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13.系统记录整套系统的运行情况，并有USB端口下载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14.电压：220V/50Hz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▲15.所提供UV烟罩控制箱接地电阻、绝缘电阻及电气强度、泄露电流均需符合《GB4706.1-2005家用和类似用途电器的安全》检测。</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425*180*500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598"/>
        </w:trPr>
        <w:tc>
          <w:tcPr>
            <w:gridSpan w:val="9"/>
            <w:shd w:val="clear" w:color="auto" w:fill="auto"/>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三、自助取餐</w:t>
            </w:r>
            <w:r/>
          </w:p>
        </w:tc>
      </w:tr>
      <w:tr>
        <w:trPr>
          <w:trHeight w:val="3543"/>
        </w:trPr>
        <w:tc>
          <w:tcPr>
            <w:gridSpan w:val="2"/>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不锈钢饭汤保温车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67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面板：1.2mm SUS 304不锈钢板;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桶盖：SUS304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水胆：SUS304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前封板：SUS304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全自动温度控制，带指示灯</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汤桶四周有保温棉隔热</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最高设定温度：85℃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安装不锈钢饭桶及盖</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4个4"平底轮，其中2个带刹车制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电功率：2.5KW/220V/1PH/50Hz</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600*700*850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81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不锈钢保温热汤池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水胆：SUS304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水胆两侧板：SUS304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侧板：SUS304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前后封板：SUS304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φ38x1.2mm圆通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橫通：SUS304 φ25x1.2mm圆通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左边水、电装置结构</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汤池设定温度90℃，工作温差5℃</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装有缺水保护</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电功率：3kW/220V/1PH/50Hz</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适合放置1/1GN盆4个</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1750*700*850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5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不锈钢工作台一下层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150mm高挡水及台面R10mm圆角位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下一层板，采用码槽加硬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1400*900*850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57"/>
        </w:trPr>
        <w:tc>
          <w:tcPr>
            <w:gridSpan w:val="9"/>
            <w:shd w:val="clear" w:color="auto" w:fill="auto"/>
            <w:tcBorders>
              <w:top w:val="single" w:color="000000" w:sz="4" w:space="0"/>
              <w:left w:val="single" w:color="000000" w:sz="4" w:space="0"/>
              <w:bottom w:val="single" w:color="000000" w:sz="4" w:space="0"/>
              <w:right w:val="single" w:color="000000" w:sz="4" w:space="0"/>
            </w:tcBorders>
            <w:tcW w:w="918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四、洗碗间</w:t>
            </w:r>
            <w:r/>
          </w:p>
        </w:tc>
      </w:tr>
      <w:tr>
        <w:trPr>
          <w:trHeight w:val="138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不锈钢洗手星盆台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台面/星盆（一体冲压）：SUS304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围身：SUS304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25mm高利口挡水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200mm围身板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星盆规格：380x320x150Hmm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1个3"隔筛去水</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455*455*235</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冷热水感应龙头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w:t>
            </w:r>
            <w:r>
              <w:rPr>
                <w:rFonts w:hint="eastAsia" w:ascii="宋体" w:hAnsi="宋体" w:cs="宋体"/>
                <w:i w:val="0"/>
                <w:iCs w:val="0"/>
                <w:color w:val="auto"/>
                <w:sz w:val="21"/>
                <w:szCs w:val="21"/>
                <w:u w:val="none"/>
                <w:lang w:val="en-US" w:eastAsia="zh-CN" w:bidi="ar"/>
              </w:rPr>
              <w:t xml:space="preserve">中国</w:t>
            </w:r>
            <w:r>
              <w:rPr>
                <w:rFonts w:hint="eastAsia" w:ascii="宋体" w:hAnsi="宋体" w:eastAsia="宋体" w:cs="宋体"/>
                <w:i w:val="0"/>
                <w:iCs w:val="0"/>
                <w:color w:val="auto"/>
                <w:sz w:val="21"/>
                <w:szCs w:val="21"/>
                <w:u w:val="none"/>
                <w:lang w:val="en-US" w:eastAsia="zh-CN" w:bidi="ar"/>
              </w:rPr>
              <w:t xml:space="preserve">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3.产品有一级水效标识。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5.感应开启时间1s,关闭止水时间1s,工作能耗</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2.88W，直流供电</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0.148W。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6.抗干扰性能符合检测标准，具有断电2s断水环保节水功能。</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7.黄铜H59-1铸造主体，表面抛光铜镍铬处理。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8.使用DC/AC混合电源控制模块，电池必须采用1.5V*4的全新AA碱性。</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9.感应仓红外线感应范围13cm(±5%），可调至30cm范围工作。</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10.混水需附加双温止回调节阀，使用热水调节好合适的温度，开孔32mm安装。</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以上1、2、4项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358"/>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冲地龙头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产品有一级水效节能证书，一级水效标识。</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2.产品有中国质量认证中心GMA的检测报告。</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.机身外壳为304，进水主件及水枪连接件304材料。</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.胶管长度10米(±5%），黑色重工液压钢丝耐磨管，耐温85度(±5%）极限耐压78mpa。</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.水枪可360度活动便捷冲洗。前扳机水枪，进水部件黄铜，ABS蓝色外壳防撞击，水嘴旋转可调花洒或水柱形状冲洗。</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.胶管拉伸有止回定位功能。</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标配有水枪可挂置墙体的ABS挂钩及四颗M10不锈钢膨胀螺丝。</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.安装高度建议1.3-1.6米，进水接口正对产品左边，G1/2外螺纹连接进水管。</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4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不锈钢平板推车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圆通：SUS304 φ25x1.2mm圆通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圆通拉手用φ25mm弯制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4个5"平底轮，其中2个带刹车制</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600*900*900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27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不锈钢双星污碟台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横通：SUS304 ∅25x1.2mm圆通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150mm高挡水及台面R10mm圆角位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台面40mm厚，带围水边，用码槽加硬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星盆规格：800*500x300mmH</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2个3"隔筛去水</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￠38圆通，下横通采用SUS304 ￠25圆通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带不锈钢可调子弹脚</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（3000+2500）*800*850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4259"/>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冷热水混合龙头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2.产品有中国CQC节水证书。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3.</w:t>
            </w:r>
            <w:r>
              <w:rPr>
                <w:rFonts w:hint="eastAsia" w:ascii="宋体" w:hAnsi="宋体" w:cs="宋体"/>
                <w:i w:val="0"/>
                <w:iCs w:val="0"/>
                <w:color w:val="auto"/>
                <w:sz w:val="21"/>
                <w:szCs w:val="21"/>
                <w:u w:val="none"/>
                <w:lang w:val="en-US" w:eastAsia="zh-CN" w:bidi="ar"/>
              </w:rPr>
              <w:t xml:space="preserve">具有中国环境标志认证证书</w:t>
            </w:r>
            <w:r>
              <w:rPr>
                <w:rFonts w:hint="default" w:ascii="宋体" w:hAnsi="宋体" w:eastAsia="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 </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.双柄双开控制出水、主体黄铜H59-1铸造，锌合金把手，黄铜陶瓷阀芯，黄铜水嘴，304钢丝节能起泡器两侧留有钳口位，堵塞便捷更换。</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.不锈钢水管，长度10"254,管径18，厚1.0(±0.1mm）, 水管距台面总高200mm(±5%）出水嘴距台面136mm(±5%）360度全方位取水</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.开孔25,两孔中心8"203mm(±5%),冷热水接口可移动调节6mm,单个接口可移动3mm的开孔误差调节。进水接口为G1/2外螺纹。</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.加厚黄铜螺母紧固主体防松动，采用优质丁晴胶耐磨防漏。</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【投标人同时提供</w:t>
            </w:r>
            <w:r>
              <w:rPr>
                <w:rFonts w:hint="eastAsia" w:ascii="宋体" w:hAnsi="宋体" w:cs="宋体"/>
                <w:i w:val="0"/>
                <w:iCs w:val="0"/>
                <w:color w:val="auto"/>
                <w:sz w:val="21"/>
                <w:szCs w:val="21"/>
                <w:u w:val="none"/>
                <w:lang w:val="en-US" w:eastAsia="zh-CN" w:bidi="ar"/>
              </w:rPr>
              <w:t xml:space="preserve">以上1、2、3项</w:t>
            </w:r>
            <w:r>
              <w:rPr>
                <w:rFonts w:hint="eastAsia" w:ascii="宋体" w:hAnsi="宋体" w:eastAsia="宋体" w:cs="宋体"/>
                <w:i w:val="0"/>
                <w:iCs w:val="0"/>
                <w:color w:val="auto"/>
                <w:sz w:val="21"/>
                <w:szCs w:val="21"/>
                <w:u w:val="none"/>
                <w:lang w:val="en-US" w:eastAsia="zh-CN" w:bidi="ar"/>
              </w:rPr>
              <w:t xml:space="preserve">:上述检验检测报告及认证证书在全国认证认可信息公共服务平台（认e云）（http://cx.cnca.cn/）的信息查询记录截图。因该平台升级等原因导致无法查询的，则需提供通过检测机构官网、邮箱等可途径查询所提交检测报告具体内容的真实性的证明材料或者检测机构盖章的证明材料，证明该报告真实有效】</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654"/>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花洒龙头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1.具有食品接触安全认证证书。</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2.黄铜铸造主体，锌合金手柄，表面铜镍铬处理。</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3.钢丝编织软管具有304#弯形弹簧保护。</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4.单孔双柄冷热冲洗，不带摇摆龙头取水功能。</w:t>
            </w:r>
            <w:r/>
          </w:p>
          <w:p>
            <w:pPr>
              <w:numPr>
                <w:ilvl w:val="0"/>
                <w:numId w:val="0"/>
              </w:num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5.固定墙杆长度280mm,产品距离台面990mm(±5%）</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w:t>
            </w:r>
            <w:r>
              <w:rPr>
                <w:rFonts w:hint="eastAsia" w:ascii="宋体" w:hAnsi="宋体" w:eastAsia="宋体" w:cs="宋体"/>
                <w:i w:val="0"/>
                <w:iCs w:val="0"/>
                <w:color w:val="auto"/>
                <w:sz w:val="21"/>
                <w:szCs w:val="21"/>
                <w:u w:val="none"/>
                <w:lang w:val="en-US" w:eastAsia="zh-CN" w:bidi="ar"/>
              </w:rPr>
              <w:t xml:space="preserve">.黄铜主体喷头，多孔出水冲洗力更强，ABS塑料把手，按压回弹阀芯控制开启止水。</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.台面开孔35mm安装主体，防止松动导致软管爆裂漏水务必紧固墙体安装的防松固定墙杆。</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5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壁挂式灭蝇灯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静音沾捕，无声保护；</w:t>
            </w:r>
            <w:r>
              <w:rPr>
                <w:rFonts w:hint="eastAsia" w:ascii="宋体" w:hAnsi="宋体" w:cs="宋体"/>
                <w:i w:val="0"/>
                <w:iCs w:val="0"/>
                <w:color w:val="auto"/>
                <w:sz w:val="21"/>
                <w:szCs w:val="21"/>
                <w:u w:val="none"/>
                <w:lang w:val="en-US" w:eastAsia="zh-CN" w:bidi="ar"/>
              </w:rPr>
              <w:t xml:space="preserve">优质</w:t>
            </w:r>
            <w:r>
              <w:rPr>
                <w:rFonts w:hint="eastAsia" w:ascii="宋体" w:hAnsi="宋体" w:eastAsia="宋体" w:cs="宋体"/>
                <w:i w:val="0"/>
                <w:iCs w:val="0"/>
                <w:color w:val="auto"/>
                <w:sz w:val="21"/>
                <w:szCs w:val="21"/>
                <w:u w:val="none"/>
                <w:lang w:val="en-US" w:eastAsia="zh-CN" w:bidi="ar"/>
              </w:rPr>
              <w:t xml:space="preserve">灯管，保证食品安全；超大沾纸，降低成本；无残骸飞溅；不产生异味；噪音小；功率：220V/30W；覆盖面积：80m²。灯管：2*15W灯管；</w:t>
            </w:r>
            <w:r/>
          </w:p>
          <w:p>
            <w:pPr>
              <w:jc w:val="left"/>
              <w:keepLines w:val="0"/>
              <w:keepNext w:val="0"/>
              <w:widowControl/>
              <w:rPr>
                <w:rFonts w:hint="eastAsia" w:ascii="宋体" w:hAnsi="宋体" w:eastAsia="宋体" w:cs="宋体"/>
                <w:i w:val="0"/>
                <w:iCs w:val="0"/>
                <w:color w:val="auto"/>
                <w:sz w:val="21"/>
                <w:szCs w:val="21"/>
                <w:u w:val="none"/>
              </w:rPr>
              <w:suppressLineNumbers w:val="0"/>
            </w:pPr>
            <w:r>
              <w:rPr>
                <w:rStyle w:val="1675"/>
                <w:rFonts w:hint="eastAsia" w:ascii="宋体" w:hAnsi="宋体" w:eastAsia="宋体" w:cs="宋体"/>
                <w:color w:val="auto"/>
                <w:sz w:val="21"/>
                <w:szCs w:val="21"/>
                <w:lang w:val="en-US" w:eastAsia="zh-CN" w:bidi="ar"/>
              </w:rPr>
              <w:t xml:space="preserve">产品符合标准GB4706.1-2005《家用和类似用途电器的安全第1部分：通用要求》，对设备工作温度下的泄露电流检测满足电源的任一极与金属箔的易触及金属部件之间的泄露电流≤3.5mA</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500*120*290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0188"/>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台下式洗杯机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最大洗涤高度 ：320 mm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最大洗涤量  ：50筐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洗涤温度 ：55-60℃</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漂洗温度 ：82℃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电源要求 ：220V/50Hz/-----/380V/50Hz/3N（三相五线制）         </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电加热功率   4.6kw/9.6kw</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特点</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微电脑控制面板，数码温度显示。</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每小时最大清洗50筐餐具。</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整机采用不锈钢304材质</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超低的耗水量，3升/筐,大大的节省电力、催干剂、洗涤剂。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双层结构，隔热、隔音、节约能源且操作舒适。</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上下旋转式清洗系统，全方位覆盖餐具，清洗更合理，高温消毒。</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根据不同餐具，选择洗涤周期72秒和180秒</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自清洗功能，最大程度的保证卫生与清洁。</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.所投洗碗机依据GB/T17626.2-2018、GB/T17626.5-2019、GB/T4208-2017等标准对静电放电抗扰度、浪涌 (冲击)抗扰度、 控制柜外壳/水泵/加热桶防护等级（IP69）等进行检测，提供</w:t>
            </w:r>
            <w:r>
              <w:rPr>
                <w:rFonts w:hint="eastAsia" w:ascii="宋体" w:hAnsi="宋体" w:cs="宋体"/>
                <w:i w:val="0"/>
                <w:iCs w:val="0"/>
                <w:color w:val="auto"/>
                <w:sz w:val="21"/>
                <w:szCs w:val="21"/>
                <w:u w:val="none"/>
                <w:lang w:val="en-US" w:eastAsia="zh-CN" w:bidi="ar"/>
              </w:rPr>
              <w:t xml:space="preserve">第三方检测机构出具的</w:t>
            </w:r>
            <w:r>
              <w:rPr>
                <w:rFonts w:hint="eastAsia" w:ascii="宋体" w:hAnsi="宋体" w:eastAsia="宋体" w:cs="宋体"/>
                <w:i w:val="0"/>
                <w:iCs w:val="0"/>
                <w:color w:val="auto"/>
                <w:sz w:val="21"/>
                <w:szCs w:val="21"/>
                <w:u w:val="none"/>
                <w:lang w:val="en-US" w:eastAsia="zh-CN" w:bidi="ar"/>
              </w:rPr>
              <w:t xml:space="preserve">检测报告，报告可在国家认证认可监督管理委员会官网（www.cnca.gov.cn）查询。</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所投洗碗机依据GB/T2423.1-2008进行低温试验，依据GB/T2423.2-2008进行高温试验，试验后样品外观无异常，电气设备无异常，通电运行正常。依据GB/T2423.10-2019进行振动试验，试验后，样品外观无异常，电气设备无异常，通电运行正常，</w:t>
            </w:r>
            <w:r>
              <w:rPr>
                <w:rFonts w:hint="eastAsia" w:ascii="宋体" w:hAnsi="宋体" w:eastAsia="宋体" w:cs="宋体"/>
                <w:i w:val="0"/>
                <w:iCs w:val="0"/>
                <w:color w:val="auto"/>
                <w:sz w:val="21"/>
                <w:szCs w:val="21"/>
                <w:u w:val="none"/>
                <w:lang w:val="en-US" w:eastAsia="zh-CN" w:bidi="ar"/>
              </w:rPr>
              <w:t xml:space="preserve">提供</w:t>
            </w:r>
            <w:r>
              <w:rPr>
                <w:rFonts w:hint="eastAsia" w:ascii="宋体" w:hAnsi="宋体" w:cs="宋体"/>
                <w:i w:val="0"/>
                <w:iCs w:val="0"/>
                <w:color w:val="auto"/>
                <w:sz w:val="21"/>
                <w:szCs w:val="21"/>
                <w:u w:val="none"/>
                <w:lang w:val="en-US" w:eastAsia="zh-CN" w:bidi="ar"/>
              </w:rPr>
              <w:t xml:space="preserve">第三方检测机构出具的</w:t>
            </w:r>
            <w:r>
              <w:rPr>
                <w:rFonts w:hint="eastAsia" w:ascii="宋体" w:hAnsi="宋体" w:eastAsia="宋体" w:cs="宋体"/>
                <w:i w:val="0"/>
                <w:iCs w:val="0"/>
                <w:color w:val="auto"/>
                <w:sz w:val="21"/>
                <w:szCs w:val="21"/>
                <w:u w:val="none"/>
                <w:lang w:val="en-US" w:eastAsia="zh-CN" w:bidi="ar"/>
              </w:rPr>
              <w:t xml:space="preserve">检测报告，</w:t>
            </w:r>
            <w:r>
              <w:rPr>
                <w:rFonts w:hint="eastAsia" w:ascii="宋体" w:hAnsi="宋体" w:cs="宋体"/>
                <w:i w:val="0"/>
                <w:iCs w:val="0"/>
                <w:color w:val="auto"/>
                <w:sz w:val="21"/>
                <w:szCs w:val="21"/>
                <w:u w:val="none"/>
                <w:lang w:val="en-US" w:eastAsia="zh-CN" w:bidi="ar"/>
              </w:rPr>
              <w:t xml:space="preserve">报告可在国家认证认可监督管理委员会官网（www.cnca.gov.cn）查询。</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600*600*820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4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不锈钢地沟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采用304#不锈钢材料，沟体厚度1.5mm,盖板边框厚度3.0mm,内格厚度3.0mm，内格规格 47*16mm，地沟内部圆角，易清洁，带有不锈钢隔渣蓝，表面具有防滑齿设计，符合卫生标准，且带防臭功能防止异味溢出，经久耐用。</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3000*300*300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641"/>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集气罩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主体围板：SUS304 1.2mm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油网支架：SUS304 1.2mm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全不锈钢制造</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配不锈钢隔油网</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带法兰抽风口（300*300mm）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配可抽式集油盒</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1800*1000*600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153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通道式洗碗机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洗涤筐尺寸：500×500×100mm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最大洗涤高度：420mm</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最大洗涤量：220筐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洗涤温度：55-60℃</w:t>
            </w:r>
            <w:r/>
          </w:p>
          <w:p>
            <w:pPr>
              <w:jc w:val="left"/>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漂洗温度：82℃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电源要求：380V/50Hz/3N（三相五线制）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加热方式：电加热型/蒸汽加热型</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电加热型功率：50kw</w:t>
            </w:r>
            <w:r/>
          </w:p>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蒸汽加热总功率：2kw </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超低的漂洗用水量300/350升/小时,大大节省电力、催干剂和洗涤剂用量。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内置式漂洗加热器和漂洗泵,并设有保护装置,从而保证水压的稳定。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自动清洗功能,最大程度的保证卫生与清洁。</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倾斜式内顶盖,可防止洗涤液滴到干净洗涤品上。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前门双层壁式结构隔热、隔音、节省能源且操作舒适。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安全保护装置,无人收取时会自动停机。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智能控制,温度可自行设定。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420mm净通高度,洗涤大碗碟更方便。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双道喷淋,内凹式防堵清洗喷管。</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.所投洗碗机依据GB/T17626.2-2018、GB/T17626.5-2019、GB/T4208-2017等标准对静电放电抗扰度、浪涌 (冲击)抗扰度、 控制柜外壳/水泵/加热桶防护等级（IP69）等进行检测，提供提供</w:t>
            </w:r>
            <w:r>
              <w:rPr>
                <w:rFonts w:hint="eastAsia" w:ascii="宋体" w:hAnsi="宋体" w:cs="宋体"/>
                <w:i w:val="0"/>
                <w:iCs w:val="0"/>
                <w:color w:val="auto"/>
                <w:sz w:val="21"/>
                <w:szCs w:val="21"/>
                <w:u w:val="none"/>
                <w:lang w:val="en-US" w:eastAsia="zh-CN" w:bidi="ar"/>
              </w:rPr>
              <w:t xml:space="preserve">第三方检测机构出具的</w:t>
            </w:r>
            <w:r>
              <w:rPr>
                <w:rFonts w:hint="eastAsia" w:ascii="宋体" w:hAnsi="宋体" w:eastAsia="宋体" w:cs="宋体"/>
                <w:i w:val="0"/>
                <w:iCs w:val="0"/>
                <w:color w:val="auto"/>
                <w:sz w:val="21"/>
                <w:szCs w:val="21"/>
                <w:u w:val="none"/>
                <w:lang w:val="en-US" w:eastAsia="zh-CN" w:bidi="ar"/>
              </w:rPr>
              <w:t xml:space="preserve">检测报告，报告可在国家认证认可监督管理委员会官网（www.cnca.gov.cn）查询。</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2</w:t>
            </w:r>
            <w:r>
              <w:rPr>
                <w:rFonts w:hint="eastAsia" w:ascii="宋体" w:hAnsi="宋体" w:eastAsia="宋体" w:cs="宋体"/>
                <w:i w:val="0"/>
                <w:iCs w:val="0"/>
                <w:color w:val="auto"/>
                <w:sz w:val="21"/>
                <w:szCs w:val="21"/>
                <w:u w:val="none"/>
                <w:lang w:val="en-US" w:eastAsia="zh-CN" w:bidi="ar"/>
              </w:rPr>
              <w:t xml:space="preserve">.所投洗碗机</w:t>
            </w:r>
            <w:r>
              <w:rPr>
                <w:rFonts w:hint="eastAsia" w:ascii="宋体" w:hAnsi="宋体" w:eastAsia="宋体" w:cs="宋体"/>
                <w:i w:val="0"/>
                <w:iCs w:val="0"/>
                <w:color w:val="auto"/>
                <w:sz w:val="21"/>
                <w:szCs w:val="21"/>
                <w:u w:val="none"/>
                <w:lang w:val="en-US" w:eastAsia="zh-CN" w:bidi="ar"/>
              </w:rPr>
              <w:t xml:space="preserve">用不锈钢板，对不锈钢板材的覆层及覆层焊缝分别进行检测，依据GB/T 17899-2023、GB/T 40393-2021、GB/T39534-2020、GB/T4334-2020、GB/T2423.18-2021标准，对不锈钢板材进行中性交变盐雾氯化纳试验，试验时间为360小时，试验后样品无锈蚀、穿孔、裂纹、点蚀腐蚀现象，锈蚀等级参照 GB/T6461-2002标准，结论为保护评级达到10级。提供由中国质量认证中心出具的检测报告，报告可在国家认证认可监督管理委员会官网（www.cnca.gov.cn）查询。</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1550*860*1423</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456"/>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洁碟台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台面：SUS304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加硬码槽：SUS304 2B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层板：SUS304 1.0mm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脚通：SUS304 ∅38x1.2mm圆通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台面无靠背，台面R10mm圆角位</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台面采用码槽加硬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下一层板，采用码槽加硬</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脚通采用SUS304 ￠38圆通</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带可调不锈钢子弹脚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1700*800*850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挂墙茜架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层板：SUS304 1.5mm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支架轨道：SUS304 2.0mm</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单层板</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层板能以100mm的增减量进行上下调节</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不锈钢天梯及支架</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层板底离台面安装高度550mm</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1300*400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trHeight w:val="3812"/>
        </w:trPr>
        <w:tc>
          <w:tcPr>
            <w:shd w:val="clear" w:color="auto" w:fill="auto"/>
            <w:tcBorders>
              <w:top w:val="single" w:color="000000" w:sz="4" w:space="0"/>
              <w:left w:val="single" w:color="000000" w:sz="4" w:space="0"/>
              <w:bottom w:val="single" w:color="000000" w:sz="4" w:space="0"/>
              <w:right w:val="single" w:color="000000" w:sz="4" w:space="0"/>
            </w:tcBorders>
            <w:tcW w:w="49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蒸汽烘干消毒柜(立式双门）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9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容量：900L;</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消毒温度：20-130℃；</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电压：220V/50HZ;蒸汽功率：6.5KW,烘干功率：3KW;</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本机采用加厚全不锈钢板内外箱体、一体满焊接内胆、承压强又防漏；</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高温加热系统蒸汽温度可达120度以上；</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三重控压、超压、泄压、断电等安全保护;不挑餐具材质;</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触屏控制温度、时间、实时状态显示;</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蒸汽消毒、热风循环可独立使用，也可自动转换，支持定时、定温，自带记忆功能;</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设备</w:t>
            </w:r>
            <w:r>
              <w:rPr>
                <w:rFonts w:hint="eastAsia" w:ascii="宋体" w:hAnsi="宋体" w:eastAsia="宋体" w:cs="宋体"/>
                <w:i w:val="0"/>
                <w:iCs w:val="0"/>
                <w:color w:val="auto"/>
                <w:sz w:val="21"/>
                <w:szCs w:val="21"/>
                <w:u w:val="none"/>
                <w:lang w:val="en-US" w:eastAsia="zh-CN" w:bidi="ar"/>
              </w:rPr>
              <w:t xml:space="preserve">采用自动进水，</w:t>
            </w:r>
            <w:r>
              <w:rPr>
                <w:rFonts w:hint="eastAsia" w:ascii="宋体" w:hAnsi="宋体" w:cs="宋体"/>
                <w:i w:val="0"/>
                <w:iCs w:val="0"/>
                <w:color w:val="auto"/>
                <w:sz w:val="21"/>
                <w:szCs w:val="21"/>
                <w:u w:val="none"/>
                <w:lang w:val="en-US" w:eastAsia="zh-CN" w:bidi="ar"/>
              </w:rPr>
              <w:t xml:space="preserve">配置</w:t>
            </w:r>
            <w:r>
              <w:rPr>
                <w:rFonts w:hint="eastAsia" w:ascii="宋体" w:hAnsi="宋体" w:eastAsia="宋体" w:cs="宋体"/>
                <w:i w:val="0"/>
                <w:iCs w:val="0"/>
                <w:color w:val="auto"/>
                <w:sz w:val="21"/>
                <w:szCs w:val="21"/>
                <w:u w:val="none"/>
                <w:lang w:val="en-US" w:eastAsia="zh-CN" w:bidi="ar"/>
              </w:rPr>
              <w:t xml:space="preserve">专用不锈钢网格消毒篮，脚为重力型万向带刹车;</w:t>
            </w:r>
            <w:r/>
          </w:p>
        </w:tc>
        <w:tc>
          <w:tcPr>
            <w:shd w:val="clear" w:color="auto" w:fill="auto"/>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1310*680*1980</w:t>
            </w:r>
            <w:r/>
          </w:p>
        </w:tc>
        <w:tc>
          <w:tcPr>
            <w:shd w:val="clear" w:color="auto" w:fill="auto"/>
            <w:tcBorders>
              <w:top w:val="single" w:color="000000" w:sz="4" w:space="0"/>
              <w:left w:val="single" w:color="000000" w:sz="4" w:space="0"/>
              <w:bottom w:val="single" w:color="000000" w:sz="4" w:space="0"/>
              <w:right w:val="single" w:color="000000" w:sz="4" w:space="0"/>
            </w:tcBorders>
            <w:tcW w:w="13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bl>
    <w:p>
      <w:pPr>
        <w:ind w:firstLine="422"/>
        <w:jc w:val="left"/>
        <w:spacing w:line="480" w:lineRule="exact"/>
        <w:widowControl/>
        <w:rPr>
          <w:rFonts w:hint="eastAsia" w:ascii="宋体" w:hAnsi="宋体" w:eastAsia="宋体" w:cs="宋体"/>
          <w:b/>
          <w:bCs/>
          <w:i/>
          <w:iCs/>
          <w:color w:val="auto"/>
          <w:szCs w:val="21"/>
          <w:highlight w:val="yellow"/>
          <w:u w:val="single"/>
          <w:lang w:val="en-US" w:eastAsia="zh-CN"/>
        </w:rPr>
      </w:pPr>
      <w:r>
        <w:rPr>
          <w:rFonts w:hint="eastAsia" w:ascii="宋体" w:hAnsi="宋体" w:cs="宋体"/>
          <w:b/>
          <w:bCs/>
          <w:color w:val="auto"/>
          <w:szCs w:val="21"/>
          <w:highlight w:val="none"/>
        </w:rPr>
        <w:t xml:space="preserve">注：</w:t>
      </w:r>
      <w:r>
        <w:rPr>
          <w:rFonts w:hint="eastAsia" w:ascii="宋体" w:hAnsi="宋体" w:cs="宋体"/>
          <w:b/>
          <w:bCs/>
          <w:color w:val="auto"/>
          <w:szCs w:val="21"/>
          <w:highlight w:val="none"/>
          <w:lang w:val="en-US" w:eastAsia="zh-CN"/>
        </w:rPr>
        <w:t xml:space="preserve">1.</w:t>
      </w:r>
      <w:r>
        <w:rPr>
          <w:rFonts w:hint="eastAsia" w:ascii="宋体" w:hAnsi="宋体" w:cs="宋体"/>
          <w:b/>
          <w:bCs/>
          <w:i/>
          <w:iCs/>
          <w:color w:val="auto"/>
          <w:szCs w:val="21"/>
          <w:highlight w:val="none"/>
          <w:u w:val="single"/>
        </w:rPr>
        <w:t xml:space="preserve">上述清单中厨燃气灶具与制冷设备需达到一级能耗标准</w:t>
      </w:r>
      <w:r>
        <w:rPr>
          <w:rFonts w:hint="eastAsia" w:ascii="宋体" w:hAnsi="宋体" w:cs="宋体"/>
          <w:b/>
          <w:bCs/>
          <w:i/>
          <w:iCs/>
          <w:color w:val="auto"/>
          <w:szCs w:val="21"/>
          <w:highlight w:val="none"/>
          <w:u w:val="single"/>
          <w:lang w:eastAsia="zh-CN"/>
        </w:rPr>
        <w:t xml:space="preserve">、</w:t>
      </w:r>
      <w:bookmarkStart w:id="180" w:name="OLE_LINK4"/>
      <w:r>
        <w:rPr>
          <w:rFonts w:hint="eastAsia" w:ascii="宋体" w:hAnsi="宋体" w:cs="宋体"/>
          <w:b/>
          <w:bCs/>
          <w:i/>
          <w:iCs/>
          <w:color w:val="auto"/>
          <w:szCs w:val="21"/>
          <w:highlight w:val="none"/>
          <w:u w:val="single"/>
          <w:lang w:val="en-US" w:eastAsia="zh-CN"/>
        </w:rPr>
        <w:t xml:space="preserve">所有涉及sus304不锈钢及标准铜、所有柜子双层门板结构及天梯可调节中层板结构</w:t>
      </w:r>
      <w:r>
        <w:rPr>
          <w:rFonts w:hint="eastAsia" w:ascii="宋体" w:hAnsi="宋体" w:eastAsia="宋体" w:cs="宋体"/>
          <w:b/>
          <w:bCs/>
          <w:i/>
          <w:iCs/>
          <w:color w:val="auto"/>
          <w:szCs w:val="21"/>
          <w:highlight w:val="none"/>
          <w:u w:val="single"/>
          <w:lang w:eastAsia="zh-CN"/>
        </w:rPr>
        <w:t xml:space="preserve">、</w:t>
      </w:r>
      <w:r>
        <w:rPr>
          <w:rFonts w:hint="eastAsia" w:ascii="宋体" w:hAnsi="宋体" w:eastAsia="宋体" w:cs="宋体"/>
          <w:b/>
          <w:bCs/>
          <w:i/>
          <w:iCs/>
          <w:color w:val="auto"/>
          <w:szCs w:val="21"/>
          <w:highlight w:val="none"/>
          <w:u w:val="single"/>
          <w:lang w:val="en-US" w:eastAsia="zh-CN"/>
        </w:rPr>
        <w:t xml:space="preserve">台盆水斗深度</w:t>
      </w:r>
      <w:bookmarkEnd w:id="180"/>
      <w:r>
        <w:rPr>
          <w:rFonts w:hint="eastAsia" w:ascii="宋体" w:hAnsi="宋体" w:eastAsia="宋体" w:cs="宋体"/>
          <w:b/>
          <w:bCs/>
          <w:i/>
          <w:iCs/>
          <w:color w:val="auto"/>
          <w:szCs w:val="21"/>
          <w:highlight w:val="none"/>
          <w:u w:val="single"/>
          <w:lang w:val="en-US" w:eastAsia="zh-CN"/>
        </w:rPr>
        <w:t xml:space="preserve">及其</w:t>
      </w:r>
      <w:r>
        <w:rPr>
          <w:rFonts w:hint="eastAsia" w:ascii="宋体" w:hAnsi="宋体" w:cs="宋体"/>
          <w:b/>
          <w:bCs/>
          <w:i/>
          <w:iCs/>
          <w:color w:val="auto"/>
          <w:szCs w:val="21"/>
          <w:highlight w:val="none"/>
          <w:u w:val="single"/>
          <w:lang w:val="en-US" w:eastAsia="zh-CN"/>
        </w:rPr>
        <w:t xml:space="preserve">他所有未标</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cs="宋体"/>
          <w:b/>
          <w:bCs/>
          <w:i/>
          <w:iCs/>
          <w:color w:val="auto"/>
          <w:szCs w:val="21"/>
          <w:highlight w:val="none"/>
          <w:u w:val="single"/>
          <w:lang w:val="en-US" w:eastAsia="zh-CN"/>
        </w:rPr>
        <w:t xml:space="preserve">项以及</w:t>
      </w:r>
      <w:r>
        <w:rPr>
          <w:rFonts w:hint="eastAsia" w:ascii="宋体" w:hAnsi="宋体" w:cs="宋体"/>
          <w:b/>
          <w:bCs/>
          <w:i/>
          <w:iCs/>
          <w:color w:val="auto"/>
          <w:szCs w:val="21"/>
          <w:highlight w:val="none"/>
          <w:u w:val="single"/>
        </w:rPr>
        <w:t xml:space="preserve">厨燃气灶具</w:t>
      </w:r>
      <w:r>
        <w:rPr>
          <w:rFonts w:hint="eastAsia" w:ascii="宋体" w:hAnsi="宋体" w:cs="宋体"/>
          <w:b/>
          <w:bCs/>
          <w:i/>
          <w:iCs/>
          <w:color w:val="auto"/>
          <w:szCs w:val="21"/>
          <w:highlight w:val="none"/>
          <w:u w:val="single"/>
          <w:lang w:val="en-US" w:eastAsia="zh-CN"/>
        </w:rPr>
        <w:t xml:space="preserve">具有3C认证均为实质性要求</w:t>
      </w:r>
      <w:r>
        <w:rPr>
          <w:rFonts w:hint="eastAsia" w:ascii="宋体" w:hAnsi="宋体" w:cs="宋体"/>
          <w:b/>
          <w:bCs/>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不允许负偏离，</w:t>
      </w:r>
      <w:r>
        <w:rPr>
          <w:rFonts w:hint="eastAsia" w:ascii="宋体" w:hAnsi="宋体" w:cs="宋体"/>
          <w:b/>
          <w:bCs/>
          <w:i/>
          <w:iCs/>
          <w:color w:val="auto"/>
          <w:szCs w:val="21"/>
          <w:highlight w:val="none"/>
          <w:u w:val="single"/>
          <w:lang w:val="en-US" w:eastAsia="zh-CN"/>
        </w:rPr>
        <w:t xml:space="preserve">投标时提供承诺函（格式自拟）及相对应的《技术要求响应及偏离表》，</w:t>
      </w:r>
      <w:r>
        <w:rPr>
          <w:rFonts w:hint="eastAsia" w:ascii="宋体" w:hAnsi="宋体" w:cs="宋体"/>
          <w:b/>
          <w:bCs/>
          <w:i/>
          <w:iCs/>
          <w:color w:val="auto"/>
          <w:szCs w:val="21"/>
          <w:highlight w:val="none"/>
          <w:u w:val="single"/>
        </w:rPr>
        <w:t xml:space="preserve">否则作为不实质响应招标文件处理。</w:t>
      </w:r>
      <w:r>
        <w:rPr>
          <w:rFonts w:hint="eastAsia" w:ascii="宋体" w:hAnsi="宋体" w:cs="宋体"/>
          <w:b/>
          <w:bCs/>
          <w:i/>
          <w:iCs/>
          <w:color w:val="auto"/>
          <w:szCs w:val="21"/>
          <w:highlight w:val="none"/>
          <w:u w:val="single"/>
          <w:lang w:eastAsia="zh-CN"/>
        </w:rPr>
        <w:t xml:space="preserve">中标后签订合同前中标人须提供相关检测报告供招标人审核。</w:t>
      </w:r>
      <w:r/>
    </w:p>
    <w:p>
      <w:pPr>
        <w:ind w:left="0" w:firstLine="420"/>
        <w:spacing w:line="360" w:lineRule="auto"/>
        <w:tabs>
          <w:tab w:val="left" w:pos="0" w:leader="none"/>
        </w:tabs>
        <w:rPr>
          <w:rFonts w:ascii="宋体" w:hAnsi="宋体" w:eastAsia="宋体" w:cs="宋体"/>
          <w:b/>
          <w:bCs/>
          <w:i/>
          <w:iCs/>
          <w:color w:val="auto"/>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投标所投产品必须明确所投产品的品牌、型号，否则其响应文件将被评标委员会拒绝。</w:t>
      </w:r>
      <w:r/>
    </w:p>
    <w:p>
      <w:pPr>
        <w:ind w:left="0" w:firstLine="420"/>
        <w:spacing w:line="360" w:lineRule="auto"/>
        <w:tabs>
          <w:tab w:val="left" w:pos="4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eastAsia="zh-CN"/>
        </w:rPr>
        <w:t xml:space="preserve">中标后因根据本项目的特点以及需要与建筑要求匹配，台盆水斗尺寸需要根据现场情况，按照采购人要求调至相配应的尺寸。</w:t>
      </w:r>
      <w:r/>
    </w:p>
    <w:p>
      <w:pPr>
        <w:ind w:left="0" w:firstLine="420"/>
        <w:spacing w:line="360" w:lineRule="auto"/>
        <w:tabs>
          <w:tab w:val="left" w:pos="42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i w:val="0"/>
          <w:iCs w:val="0"/>
          <w:color w:val="auto"/>
          <w:sz w:val="21"/>
          <w:szCs w:val="21"/>
          <w:u w:val="none"/>
          <w:lang w:val="en-US" w:eastAsia="zh-CN" w:bidi="ar"/>
        </w:rPr>
        <w:t xml:space="preserve">▲</w:t>
      </w:r>
      <w:r>
        <w:rPr>
          <w:rFonts w:hint="eastAsia" w:ascii="宋体" w:hAnsi="宋体" w:eastAsia="宋体" w:cs="宋体"/>
          <w:color w:val="auto"/>
          <w:sz w:val="21"/>
          <w:szCs w:val="21"/>
          <w:highlight w:val="none"/>
          <w:lang w:val="en-US" w:eastAsia="zh-CN"/>
        </w:rPr>
        <w:t xml:space="preserve">为重要技术参数指标。</w:t>
      </w:r>
      <w:r/>
    </w:p>
    <w:p>
      <w:pPr>
        <w:ind w:left="0" w:firstLine="420"/>
        <w:spacing w:line="360" w:lineRule="auto"/>
        <w:tabs>
          <w:tab w:val="left" w:pos="0" w:leader="none"/>
        </w:tabs>
        <w:rPr>
          <w:rFonts w:hint="eastAsia" w:ascii="宋体" w:hAnsi="宋体" w:cs="宋体"/>
          <w:b/>
          <w:bCs/>
          <w:i/>
          <w:iCs/>
          <w:color w:val="auto"/>
          <w:szCs w:val="21"/>
          <w:highlight w:val="none"/>
          <w:u w:val="single"/>
          <w:lang w:val="zh-CN" w:eastAsia="zh-CN"/>
        </w:rPr>
      </w:pPr>
      <w:r>
        <w:rPr>
          <w:rFonts w:hint="eastAsia" w:ascii="宋体" w:hAnsi="宋体" w:cs="宋体"/>
          <w:b/>
          <w:bCs/>
          <w:color w:val="auto"/>
          <w:szCs w:val="21"/>
          <w:highlight w:val="none"/>
          <w:u w:val="single"/>
          <w:lang w:val="en-US" w:eastAsia="zh-CN"/>
        </w:rPr>
        <w:t xml:space="preserve">5.</w:t>
      </w:r>
      <w:r>
        <w:rPr>
          <w:rFonts w:hint="eastAsia" w:ascii="宋体" w:hAnsi="宋体" w:cs="宋体"/>
          <w:b/>
          <w:bCs/>
          <w:i/>
          <w:iCs/>
          <w:color w:val="auto"/>
          <w:szCs w:val="21"/>
          <w:highlight w:val="none"/>
          <w:u w:val="single"/>
        </w:rPr>
        <w:t xml:space="preserve">上述清单</w:t>
      </w:r>
      <w:r>
        <w:rPr>
          <w:rFonts w:hint="eastAsia" w:ascii="宋体" w:hAnsi="宋体" w:cs="宋体"/>
          <w:b/>
          <w:bCs/>
          <w:i/>
          <w:iCs/>
          <w:color w:val="auto"/>
          <w:szCs w:val="21"/>
          <w:highlight w:val="none"/>
          <w:u w:val="single"/>
          <w:lang w:eastAsia="zh-CN"/>
        </w:rPr>
        <w:t xml:space="preserve">中“水嘴”属于</w:t>
      </w:r>
      <w:r>
        <w:rPr>
          <w:rFonts w:hint="eastAsia" w:ascii="宋体" w:hAnsi="宋体" w:cs="宋体"/>
          <w:b/>
          <w:bCs/>
          <w:i/>
          <w:iCs/>
          <w:color w:val="auto"/>
          <w:szCs w:val="21"/>
          <w:highlight w:val="none"/>
          <w:u w:val="single"/>
          <w:lang w:val="zh-CN" w:eastAsia="zh-CN"/>
        </w:rPr>
        <w:t xml:space="preserve">财政部、生态环境部公布的“节能产品政府采购品目清单”范围内</w:t>
      </w:r>
      <w:r>
        <w:rPr>
          <w:rFonts w:hint="eastAsia" w:ascii="宋体" w:hAnsi="宋体" w:cs="宋体"/>
          <w:b/>
          <w:bCs/>
          <w:i/>
          <w:iCs/>
          <w:color w:val="auto"/>
          <w:szCs w:val="21"/>
          <w:highlight w:val="none"/>
          <w:u w:val="single"/>
          <w:lang w:val="en-US" w:eastAsia="zh-CN"/>
        </w:rPr>
        <w:t xml:space="preserve">的政府强制采购产品。投标时需提供国家确定的认证机构出具的、处于有效期内的节能产品认证证书，否则投标无效。</w:t>
      </w:r>
      <w:r/>
    </w:p>
    <w:p>
      <w:pPr>
        <w:ind w:firstLine="422"/>
        <w:jc w:val="left"/>
        <w:spacing w:line="4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三、供货日期及质保</w:t>
      </w:r>
      <w:r>
        <w:rPr>
          <w:rFonts w:hint="eastAsia" w:ascii="宋体" w:hAnsi="宋体" w:cs="宋体"/>
          <w:b/>
          <w:bCs/>
          <w:color w:val="auto"/>
          <w:szCs w:val="21"/>
          <w:highlight w:val="none"/>
          <w:lang w:val="en-US" w:eastAsia="zh-CN"/>
        </w:rPr>
        <w:t xml:space="preserve">服务等要求</w:t>
      </w:r>
      <w:r>
        <w:rPr>
          <w:rFonts w:hint="eastAsia" w:ascii="宋体" w:hAnsi="宋体" w:cs="宋体"/>
          <w:b/>
          <w:bCs/>
          <w:color w:val="auto"/>
          <w:szCs w:val="21"/>
          <w:highlight w:val="none"/>
        </w:rPr>
        <w:t xml:space="preserve">：</w:t>
      </w:r>
      <w:r/>
    </w:p>
    <w:p>
      <w:pPr>
        <w:ind w:firstLine="420"/>
        <w:jc w:val="left"/>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1.供货日期：中标通知书签发后</w:t>
      </w:r>
      <w:r>
        <w:rPr>
          <w:rFonts w:hint="eastAsia" w:ascii="宋体" w:hAnsi="宋体" w:cs="宋体"/>
          <w:color w:val="auto"/>
          <w:szCs w:val="21"/>
          <w:highlight w:val="none"/>
          <w:u w:val="single"/>
        </w:rPr>
        <w:t xml:space="preserve">65</w:t>
      </w:r>
      <w:r>
        <w:rPr>
          <w:rFonts w:hint="eastAsia" w:ascii="宋体" w:hAnsi="宋体" w:cs="宋体"/>
          <w:color w:val="auto"/>
          <w:szCs w:val="21"/>
          <w:highlight w:val="none"/>
        </w:rPr>
        <w:t xml:space="preserve">日历天内完成所有货物的采购、制作、供货、安装并验收合格交付采购人使用；</w:t>
      </w:r>
      <w:r/>
    </w:p>
    <w:p>
      <w:pPr>
        <w:ind w:firstLine="420"/>
        <w:jc w:val="left"/>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2.供货地点：采购人指定地点。</w:t>
      </w:r>
      <w:r/>
    </w:p>
    <w:p>
      <w:pPr>
        <w:ind w:firstLine="420"/>
        <w:jc w:val="left"/>
        <w:spacing w:line="48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3.质保期限：不少于</w:t>
      </w:r>
      <w:r>
        <w:rPr>
          <w:rFonts w:hint="eastAsia" w:ascii="宋体" w:hAnsi="宋体" w:cs="宋体"/>
          <w:color w:val="auto"/>
          <w:szCs w:val="21"/>
          <w:highlight w:val="none"/>
          <w:u w:val="single"/>
        </w:rPr>
        <w:t xml:space="preserve">三</w:t>
      </w:r>
      <w:r>
        <w:rPr>
          <w:rFonts w:hint="eastAsia" w:ascii="宋体" w:hAnsi="宋体" w:cs="宋体"/>
          <w:color w:val="auto"/>
          <w:szCs w:val="21"/>
          <w:highlight w:val="none"/>
        </w:rPr>
        <w:t xml:space="preserve">年；</w:t>
      </w:r>
      <w:r/>
    </w:p>
    <w:p>
      <w:pPr>
        <w:ind w:firstLine="420"/>
        <w:jc w:val="left"/>
        <w:spacing w:line="480" w:lineRule="exact"/>
        <w:widowControl/>
        <w:rPr>
          <w:rFonts w:eastAsia="仿宋_GB2312"/>
          <w:color w:val="auto"/>
          <w:highlight w:val="none"/>
        </w:rPr>
      </w:pPr>
      <w:r>
        <w:rPr>
          <w:rFonts w:hint="eastAsia" w:ascii="宋体" w:hAnsi="宋体" w:cs="宋体"/>
          <w:color w:val="auto"/>
          <w:szCs w:val="21"/>
          <w:highlight w:val="none"/>
        </w:rPr>
        <w:t xml:space="preserve">4.质量标准：货物质量等级为“合格”，并符合招标文件中技术需求、国家现行的相关规范标准及有关部门最新颁布的相应的最新标准；项目确保按规范和标准验收，且达国家合格标准。</w:t>
      </w:r>
      <w:r/>
    </w:p>
    <w:p>
      <w:pPr>
        <w:ind w:firstLine="422"/>
        <w:jc w:val="left"/>
        <w:spacing w:line="48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四、付款方式：</w:t>
      </w:r>
      <w:r/>
    </w:p>
    <w:p>
      <w:pPr>
        <w:ind w:firstLine="420"/>
        <w:spacing w:line="500" w:lineRule="exact"/>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合同签订，收到乙方发票十个工作日内甲方支付合同价的30%作为预付款</w:t>
      </w:r>
      <w:r>
        <w:rPr>
          <w:rFonts w:hint="eastAsia" w:ascii="宋体" w:hAnsi="宋体" w:cs="宋体"/>
          <w:color w:val="auto"/>
          <w:szCs w:val="21"/>
          <w:highlight w:val="none"/>
        </w:rPr>
        <w:t xml:space="preserve">；设备经安装调试验收合格后付至合同金额的90%，余款于设备验收合格之日起满三年后付清。</w:t>
      </w:r>
      <w:r/>
    </w:p>
    <w:p>
      <w:pPr>
        <w:ind w:firstLine="422"/>
        <w:spacing w:line="440" w:lineRule="exact"/>
        <w:tabs>
          <w:tab w:val="left" w:pos="900" w:leader="none"/>
        </w:tabs>
        <w:rPr>
          <w:rFonts w:hint="eastAsia" w:ascii="宋体" w:hAnsi="宋体"/>
          <w:b/>
          <w:color w:val="auto"/>
          <w:szCs w:val="21"/>
          <w:highlight w:val="none"/>
        </w:rPr>
      </w:pPr>
      <w:r>
        <w:rPr>
          <w:rFonts w:hint="eastAsia" w:ascii="宋体" w:hAnsi="宋体" w:cs="宋体"/>
          <w:b/>
          <w:bCs/>
          <w:color w:val="auto"/>
          <w:szCs w:val="21"/>
          <w:highlight w:val="none"/>
        </w:rPr>
        <w:t xml:space="preserve">五</w:t>
      </w:r>
      <w:r>
        <w:rPr>
          <w:rFonts w:hint="eastAsia" w:ascii="宋体" w:hAnsi="宋体"/>
          <w:b/>
          <w:color w:val="auto"/>
          <w:szCs w:val="21"/>
          <w:highlight w:val="none"/>
        </w:rPr>
        <w:t xml:space="preserve">、质量保证</w:t>
      </w:r>
      <w:r/>
    </w:p>
    <w:p>
      <w:pPr>
        <w:ind w:firstLine="420"/>
        <w:spacing w:line="5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乙方在交货时，货物的品牌型号必须与投标报价单保持一致，必须保证品牌正宗，原始包装并附有合格证、产品安装使用说明书等相关资料。特殊情况需要调整品牌型号数量的，需要经过甲方确认同意后方可调整。</w:t>
      </w:r>
      <w:r/>
    </w:p>
    <w:p>
      <w:pPr>
        <w:ind w:firstLine="420"/>
        <w:spacing w:line="500" w:lineRule="exact"/>
        <w:rPr>
          <w:rFonts w:hint="default" w:ascii="宋体" w:hAnsi="宋体" w:eastAsia="宋体"/>
          <w:b w:val="0"/>
          <w:bCs/>
          <w:color w:val="auto"/>
          <w:szCs w:val="21"/>
          <w:highlight w:val="none"/>
          <w:lang w:val="en-US" w:eastAsia="zh-CN"/>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rPr>
        <w:t xml:space="preserve">投标人在满足项目需求最低质量保修期三年基础上，增加免费质量保修期的优先。</w:t>
      </w:r>
      <w:r>
        <w:rPr>
          <w:rFonts w:hint="eastAsia" w:ascii="宋体" w:hAnsi="宋体" w:eastAsia="宋体" w:cs="宋体"/>
          <w:color w:val="auto"/>
          <w:szCs w:val="21"/>
          <w:highlight w:val="none"/>
        </w:rPr>
        <w:t xml:space="preserve">供应商提供的售后服务标准应不低于同型号设备的出厂市场服务标准。</w:t>
      </w:r>
      <w:r>
        <w:rPr>
          <w:rFonts w:hint="eastAsia" w:ascii="宋体" w:hAnsi="宋体" w:cs="宋体"/>
          <w:color w:val="auto"/>
          <w:szCs w:val="21"/>
          <w:highlight w:val="none"/>
        </w:rPr>
        <w:t xml:space="preserve">免费质量保修期间产生的所有保修相关费用（包含人工费、备品备件、耗材、服务费、税金以及保修期</w:t>
      </w:r>
      <w:r>
        <w:rPr>
          <w:rFonts w:hint="eastAsia" w:ascii="宋体" w:hAnsi="宋体" w:eastAsia="宋体" w:cs="宋体"/>
          <w:color w:val="auto"/>
          <w:szCs w:val="21"/>
          <w:highlight w:val="none"/>
        </w:rPr>
        <w:t xml:space="preserve">间涉及到的其他一切费用）应全部由投标人承担。</w:t>
      </w:r>
      <w:r/>
    </w:p>
    <w:p>
      <w:pPr>
        <w:ind w:firstLine="422"/>
        <w:jc w:val="left"/>
        <w:spacing w:line="480" w:lineRule="exact"/>
        <w:widowControl/>
        <w:rPr>
          <w:rFonts w:hint="eastAsia" w:ascii="宋体" w:hAnsi="宋体" w:cs="宋体"/>
          <w:color w:val="auto"/>
          <w:szCs w:val="21"/>
          <w:highlight w:val="none"/>
        </w:rPr>
      </w:pPr>
      <w:r>
        <w:rPr>
          <w:rFonts w:hint="eastAsia" w:ascii="宋体" w:hAnsi="宋体"/>
          <w:b/>
          <w:color w:val="auto"/>
          <w:szCs w:val="21"/>
          <w:highlight w:val="none"/>
        </w:rPr>
        <w:t xml:space="preserve">六、</w:t>
      </w:r>
      <w:r>
        <w:rPr>
          <w:rFonts w:hint="eastAsia" w:ascii="宋体" w:hAnsi="宋体"/>
          <w:b/>
          <w:color w:val="auto"/>
          <w:szCs w:val="21"/>
          <w:highlight w:val="none"/>
          <w:lang w:eastAsia="zh-CN"/>
        </w:rPr>
        <w:t xml:space="preserve">人员配备</w:t>
      </w:r>
      <w:r/>
    </w:p>
    <w:p>
      <w:pPr>
        <w:ind w:firstLine="420"/>
        <w:spacing w:line="500" w:lineRule="exact"/>
        <w:rPr>
          <w:rFonts w:hint="eastAsia" w:ascii="宋体" w:hAnsi="宋体" w:cs="宋体"/>
          <w:b/>
          <w:bCs/>
          <w:color w:val="auto"/>
          <w:szCs w:val="21"/>
          <w:highlight w:val="none"/>
        </w:rPr>
      </w:pPr>
      <w:r>
        <w:rPr>
          <w:rFonts w:hint="eastAsia" w:ascii="宋体" w:hAnsi="宋体" w:eastAsia="宋体" w:cs="宋体"/>
          <w:color w:val="auto"/>
          <w:szCs w:val="21"/>
          <w:highlight w:val="none"/>
          <w:lang w:val="en-US" w:eastAsia="zh-CN"/>
        </w:rPr>
        <w:t xml:space="preserve">为了确保项目的顺利实施，在项目实施过程中，投标人应高度重视专业人员的配备工作，确保各个环节都有相应的专业人才进行精准对接和高效执行。投标人为本项目配备丰富的服务团队，</w:t>
      </w:r>
      <w:r>
        <w:rPr>
          <w:rFonts w:hint="eastAsia" w:ascii="宋体" w:hAnsi="宋体" w:eastAsia="宋体" w:cs="宋体"/>
          <w:color w:val="auto"/>
          <w:szCs w:val="21"/>
          <w:highlight w:val="none"/>
          <w:lang w:val="zh-CN" w:eastAsia="zh-CN"/>
        </w:rPr>
        <w:t xml:space="preserve">投标人拟派本项目安装人员持有应急管理部门颁发且在有效期内的特种作业操作证（作业类别：焊接与热切割作业或电工作业）的优先。</w:t>
      </w:r>
      <w:r/>
    </w:p>
    <w:p>
      <w:pPr>
        <w:ind w:right="-105" w:firstLine="422"/>
        <w:spacing w:line="48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七、企业业绩</w:t>
      </w:r>
      <w:r/>
    </w:p>
    <w:p>
      <w:pPr>
        <w:pStyle w:val="1662"/>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为了确保项目的顺利实施，投标人需具备丰富的所投产品设备承接经验，确保本项目的顺利实施，投标人提供自2022年1月1日以来承担过类似项目（采购内容至少包</w:t>
      </w:r>
      <w:r>
        <w:rPr>
          <w:rFonts w:hint="eastAsia" w:ascii="宋体" w:hAnsi="宋体" w:eastAsia="宋体" w:cs="宋体"/>
          <w:color w:val="auto"/>
          <w:sz w:val="21"/>
          <w:szCs w:val="21"/>
          <w:highlight w:val="none"/>
          <w:lang w:eastAsia="zh-CN"/>
        </w:rPr>
        <w:t xml:space="preserve">含</w:t>
      </w:r>
      <w:r>
        <w:rPr>
          <w:rFonts w:hint="default" w:ascii="宋体" w:hAnsi="宋体" w:eastAsia="宋体" w:cs="宋体"/>
          <w:color w:val="auto"/>
          <w:sz w:val="21"/>
          <w:szCs w:val="21"/>
          <w:highlight w:val="none"/>
          <w:lang w:val="en-US" w:eastAsia="zh-CN" w:bidi="ar"/>
        </w:rPr>
        <w:t xml:space="preserve">高低温冷库（含压缩机组）、商用</w:t>
      </w:r>
      <w:r>
        <w:rPr>
          <w:rFonts w:hint="eastAsia" w:ascii="宋体" w:hAnsi="宋体" w:eastAsia="宋体" w:cs="宋体"/>
          <w:color w:val="auto"/>
          <w:sz w:val="21"/>
          <w:szCs w:val="21"/>
          <w:highlight w:val="none"/>
          <w:lang w:val="en-US" w:eastAsia="zh-CN" w:bidi="ar"/>
        </w:rPr>
        <w:t xml:space="preserve">级</w:t>
      </w:r>
      <w:r>
        <w:rPr>
          <w:rFonts w:hint="default" w:ascii="宋体" w:hAnsi="宋体" w:eastAsia="宋体" w:cs="宋体"/>
          <w:color w:val="auto"/>
          <w:sz w:val="21"/>
          <w:szCs w:val="21"/>
          <w:highlight w:val="none"/>
          <w:lang w:val="en-US" w:eastAsia="zh-CN" w:bidi="ar"/>
        </w:rPr>
        <w:t xml:space="preserve">烤箱、</w:t>
      </w:r>
      <w:r>
        <w:rPr>
          <w:rFonts w:hint="eastAsia" w:ascii="宋体" w:hAnsi="宋体" w:eastAsia="宋体" w:cs="宋体"/>
          <w:color w:val="auto"/>
          <w:sz w:val="21"/>
          <w:szCs w:val="21"/>
          <w:highlight w:val="none"/>
          <w:lang w:val="en-US" w:eastAsia="zh-CN" w:bidi="ar"/>
        </w:rPr>
        <w:t xml:space="preserve">四</w:t>
      </w:r>
      <w:r>
        <w:rPr>
          <w:rFonts w:hint="default" w:ascii="宋体" w:hAnsi="宋体" w:eastAsia="宋体" w:cs="宋体"/>
          <w:color w:val="auto"/>
          <w:sz w:val="21"/>
          <w:szCs w:val="21"/>
          <w:highlight w:val="none"/>
          <w:lang w:val="en-US" w:eastAsia="zh-CN" w:bidi="ar"/>
        </w:rPr>
        <w:t xml:space="preserve">头及以上灶具、四门及以上冷藏柜四类设备</w:t>
      </w:r>
      <w:r>
        <w:rPr>
          <w:rFonts w:hint="eastAsia" w:ascii="宋体" w:hAnsi="宋体" w:eastAsia="宋体" w:cs="宋体"/>
          <w:color w:val="auto"/>
          <w:sz w:val="21"/>
          <w:szCs w:val="21"/>
          <w:highlight w:val="none"/>
        </w:rPr>
        <w:t xml:space="preserve">）采购业绩的优先。</w:t>
      </w:r>
      <w:r/>
    </w:p>
    <w:p>
      <w:pPr>
        <w:ind w:firstLine="422"/>
        <w:spacing w:line="360" w:lineRule="auto"/>
        <w:rPr>
          <w:rFonts w:hint="eastAsia" w:ascii="宋体" w:hAnsi="宋体" w:cs="宋体"/>
          <w:b/>
          <w:bCs/>
          <w:color w:val="auto"/>
          <w:highlight w:val="none"/>
          <w:lang w:bidi="ar"/>
        </w:rPr>
      </w:pPr>
      <w:r>
        <w:rPr>
          <w:rFonts w:hint="eastAsia" w:ascii="宋体" w:hAnsi="宋体" w:cs="宋体"/>
          <w:b/>
          <w:bCs/>
          <w:color w:val="auto"/>
          <w:highlight w:val="none"/>
          <w:lang w:bidi="ar"/>
        </w:rPr>
        <w:t xml:space="preserve">八、企业实力</w:t>
      </w:r>
      <w:r/>
    </w:p>
    <w:p>
      <w:pPr>
        <w:ind w:firstLine="420"/>
        <w:spacing w:line="360" w:lineRule="auto"/>
        <w:rPr>
          <w:rFonts w:hint="eastAsia" w:ascii="宋体" w:hAnsi="宋体" w:eastAsia="宋体" w:cs="宋体"/>
          <w:color w:val="auto"/>
          <w:highlight w:val="none"/>
          <w:lang w:eastAsia="zh-CN" w:bidi="ar"/>
        </w:rPr>
      </w:pPr>
      <w:r>
        <w:rPr>
          <w:rFonts w:hint="eastAsia" w:ascii="宋体" w:hAnsi="宋体" w:cs="宋体"/>
          <w:color w:val="auto"/>
          <w:highlight w:val="none"/>
          <w:lang w:bidi="ar"/>
        </w:rPr>
        <w:t xml:space="preserve">为了择优选择中标人，体现企业实力，投标人或</w:t>
      </w:r>
      <w:r>
        <w:rPr>
          <w:rFonts w:hint="eastAsia" w:ascii="宋体" w:hAnsi="宋体" w:cs="宋体"/>
          <w:color w:val="auto"/>
          <w:highlight w:val="none"/>
          <w:lang w:val="en-US" w:eastAsia="zh-CN" w:bidi="ar"/>
        </w:rPr>
        <w:t xml:space="preserve">投标产品的生产厂家</w:t>
      </w:r>
      <w:r>
        <w:rPr>
          <w:rFonts w:hint="eastAsia" w:ascii="宋体" w:hAnsi="宋体" w:cs="宋体"/>
          <w:color w:val="auto"/>
          <w:highlight w:val="none"/>
          <w:lang w:bidi="ar"/>
        </w:rPr>
        <w:t xml:space="preserve">具备质量管理体系认证证书、环境管理体系认证证书、职业健康安全管理体系认证证书的优先。</w:t>
      </w:r>
      <w:r/>
    </w:p>
    <w:p>
      <w:pPr>
        <w:ind w:firstLine="420"/>
        <w:spacing w:line="360" w:lineRule="auto"/>
        <w:rPr>
          <w:rFonts w:hint="eastAsia" w:ascii="宋体" w:hAnsi="宋体" w:eastAsia="宋体" w:cs="宋体"/>
          <w:bCs/>
          <w:color w:val="ff0000"/>
          <w:szCs w:val="21"/>
          <w:highlight w:val="none"/>
          <w:lang w:val="en-US" w:eastAsia="zh-CN"/>
        </w:rPr>
      </w:pPr>
      <w:r>
        <w:rPr>
          <w:rFonts w:hint="eastAsia" w:ascii="宋体" w:hAnsi="宋体" w:eastAsia="宋体" w:cs="宋体"/>
          <w:b/>
          <w:bCs/>
          <w:color w:val="auto"/>
          <w:highlight w:val="none"/>
          <w:lang w:eastAsia="zh-CN" w:bidi="ar"/>
        </w:rPr>
        <w:t xml:space="preserve">九、</w:t>
      </w:r>
      <w:r>
        <w:rPr>
          <w:rFonts w:hint="eastAsia" w:ascii="宋体" w:hAnsi="宋体" w:eastAsia="宋体" w:cs="宋体"/>
          <w:b/>
          <w:bCs/>
          <w:color w:val="auto"/>
          <w:highlight w:val="none"/>
          <w:lang w:bidi="ar"/>
        </w:rPr>
        <w:t xml:space="preserve">节能环保</w:t>
      </w:r>
      <w:r/>
    </w:p>
    <w:p>
      <w:pPr>
        <w:ind w:firstLine="482"/>
        <w:spacing w:line="360" w:lineRule="auto"/>
        <w:rPr>
          <w:rFonts w:hint="eastAsia" w:ascii="宋体" w:hAnsi="宋体" w:cs="宋体"/>
          <w:b/>
          <w:color w:val="auto"/>
          <w:szCs w:val="21"/>
          <w:highlight w:val="none"/>
          <w:lang w:eastAsia="zh-CN"/>
        </w:rPr>
      </w:pPr>
      <w:r>
        <w:rPr>
          <w:rFonts w:hint="eastAsia" w:ascii="宋体" w:hAnsi="宋体" w:eastAsia="宋体" w:cs="宋体"/>
          <w:bCs/>
          <w:color w:val="auto"/>
          <w:szCs w:val="21"/>
          <w:highlight w:val="none"/>
          <w:lang w:val="en-US" w:eastAsia="zh-CN"/>
        </w:rPr>
        <w:t xml:space="preserve">投标产品为节能产品的优先，投标产品为环境标志产品的优先。</w:t>
      </w:r>
      <w:r/>
    </w:p>
    <w:p>
      <w:pPr>
        <w:ind w:firstLine="482"/>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eastAsia="zh-CN"/>
        </w:rPr>
        <w:t xml:space="preserve">十</w:t>
      </w:r>
      <w:r>
        <w:rPr>
          <w:rFonts w:hint="eastAsia" w:ascii="宋体" w:hAnsi="宋体" w:cs="宋体"/>
          <w:b/>
          <w:color w:val="auto"/>
          <w:szCs w:val="21"/>
          <w:highlight w:val="none"/>
        </w:rPr>
        <w:t xml:space="preserve">、技术方案</w:t>
      </w:r>
      <w:r/>
    </w:p>
    <w:p>
      <w:pPr>
        <w:ind w:firstLine="48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投标人应根据采购需求和本项目实际，制订相应的方案：</w:t>
      </w:r>
      <w:r/>
    </w:p>
    <w:p>
      <w:pPr>
        <w:ind w:firstLine="480"/>
        <w:spacing w:line="360" w:lineRule="auto"/>
        <w:rPr>
          <w:rFonts w:hint="eastAsia" w:ascii="宋体" w:hAnsi="宋体" w:cs="宋体"/>
          <w:color w:val="auto"/>
          <w:szCs w:val="21"/>
          <w:highlight w:val="none"/>
          <w:lang w:val="en-US" w:eastAsia="zh-CN"/>
        </w:rPr>
      </w:pPr>
      <w:r>
        <w:rPr>
          <w:rFonts w:hint="eastAsia" w:ascii="宋体" w:hAnsi="宋体" w:cs="宋体"/>
          <w:color w:val="auto"/>
          <w:spacing w:val="-2"/>
          <w:lang w:val="en-US" w:eastAsia="zh-CN"/>
        </w:rPr>
        <w:t xml:space="preserve">10</w:t>
      </w:r>
      <w:r>
        <w:rPr>
          <w:rFonts w:hint="eastAsia" w:ascii="宋体" w:hAnsi="宋体" w:eastAsia="宋体" w:cs="宋体"/>
          <w:color w:val="auto"/>
          <w:spacing w:val="-2"/>
          <w:lang w:val="en-US" w:eastAsia="zh-CN"/>
        </w:rPr>
        <w:t xml:space="preserve">.1深化设计方案</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投标人应根据采购需求和本项目实际，制订相应的项目实施方案至少包含以下内容：</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①厨房平面图</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功能分区细化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明确划分：粗加工区、切配区、烹饪区、面点区、洗消区、备餐区、冷藏冷冻区、主食库/副食库、保洁区、员工通道、污物通道等。遵循生进、熟出、洁污分流、人流物流分开原则，避免交叉污染。</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设备布局细化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按工艺流程顺序排布设备，标注每台设备名称、尺寸、数量、定位坐标。预留操作通道宽度（主通道≥1.2m，操作位≥0.9m），满足消防疏散与人员操作。</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空间利用与合规性</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结合建筑梁、柱、门窗位置优化布局，不影响疏散门开启与消防设施。明确灶台、蒸箱、冰柜、货架、工作台等固定位置，标注与墙距、间距。</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标识体系</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平面图标注区域名称、设备编号、地面标高、开门方向、人流方向箭头。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②厨房隔墙地沟平面图</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隔墙设计细化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明确隔墙材质、厚度、高度、防火等级（厨房常用防火轻质隔墙/红砖砌体）。标注隔墙定位轴线、转角位置、门洞尺寸与位置，区分操作隔墙与防火分隔墙。明确与吊顶、地面、门窗收口做法，满足防水、防火、易清洁要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地沟（排水沟）设计细化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地沟走向、坡度、宽度、深度，按“高湿区优先、就近排水”布置。地沟盖板材质（不锈钢防滑盖板）、间距、承重力，地沟内壁防水防腐做法。设沉渣隔油池、过滤网、排水口位置，明确地沟与设备、墙体安全距离。标注地沟起点、终点标高，保证排水坡度≥1%～2%，无积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地面整体细化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地面材质、防滑等级、防水做法、阴阳角圆弧处理，满足食品卫生要求。</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③厨房设备给排水点位平面图</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给水系统细化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按设备逐一标注给水点位置、管径（DN15/DN20/DN25）、给水压力要求。明确冷水、热水点位，标注水龙头、角阀、软管连接位置。水池、洗碗机、蒸箱、开水器、解冻池等给水点独立标注。</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排水系统细化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每台涉水产品下方设排水点，标注排水管径、排水接口高度。明确隔油池位置、管径、接驳方式，烹饪区、洗消区集中排水。标注地漏位置、数量、防水节点，防止返味、返水。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系统说明</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给排水立管、支管走向，阀门位置，管道材质（不锈钢/PPR等）。防水设防高度、试水要求、防鼠防虫措施。</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④厨房设备供电点位平面图</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用电负荷统计</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按设备功率逐一统计：灶台、蒸柜、冰箱、消毒柜、风机、照明、备用插座等。划分回路：动力回路、照明回路、备用回路，明确总配电箱/分配电箱位置。</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点位标注细化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标注每台设备插座/接线盒位置、相数（单相/三相）、电压、电流、线径。明确定位坐标、离地高度、防护等级（厨房宜IP54及以上）。</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安全与规范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电气线路避开燃气、蒸汽、高温区域，穿管保护，防水防爆。设漏电保护、接地保护、等电位联结，标注开关、断路器容量。</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照明与辅助用电</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操作面照明、应急照明、紫外线消毒灯位置与控制回路。</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⑤厨房设备燃气点位平面图</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燃气点位布置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标注燃气灶、矮仔炉、蒸饭柜、汤炉等燃气用具接口位置、管径（DN15/DN20等）。明确燃气立管、水平管走向、阀门位置、燃气表间/燃气阀组位置。</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安全措施细化</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燃气管道避开电气箱、高温区，设置防碰撞保护、固定支架。设燃气泄漏报警探头、紧急切断阀、排风联动控制点位。</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施工与验收要求</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管道材质、焊接/丝接要求、气密性试验压力、检漏点位。燃气点与墙面、电器安全距离，符合城镇燃气设计规范。</w:t>
      </w:r>
      <w:r/>
    </w:p>
    <w:p>
      <w:pPr>
        <w:ind w:firstLine="48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highlight w:val="none"/>
        </w:rPr>
        <w:t xml:space="preserve">⑥厨房排油烟</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排油烟系统。灶台上方集烟罩尺寸、长度、投影覆盖范围，风管走向、变径、支干管管径。油烟净化器、风机、消声器、止回阀位置，标注风量、风压、功率。排烟出口位置、高度、防雨防虫措施，油烟达标排放设计。</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补风/新风系统。厨房负压控制，设置机械补风或自然补风口，保证燃烧充分、无倒烟。</w:t>
      </w:r>
      <w:r/>
    </w:p>
    <w:p>
      <w:pPr>
        <w:ind w:firstLine="48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通风空调细化。操作区降温通风、面点区通风、库房通风、卫生间排风。风管保温、防火阀、排烟阀位置，满足消防验收要求。</w:t>
      </w:r>
      <w:r/>
    </w:p>
    <w:p>
      <w:pPr>
        <w:ind w:firstLine="480"/>
        <w:spacing w:line="360" w:lineRule="auto"/>
        <w:rPr>
          <w:rFonts w:hint="eastAsia" w:ascii="宋体" w:hAnsi="宋体" w:cs="宋体"/>
          <w:color w:val="auto"/>
          <w:szCs w:val="21"/>
          <w:highlight w:val="none"/>
          <w:lang w:val="en-US" w:eastAsia="zh-CN"/>
        </w:rPr>
      </w:pPr>
      <w:r>
        <w:rPr>
          <w:rFonts w:hint="eastAsia" w:ascii="宋体" w:hAnsi="宋体" w:eastAsia="宋体" w:cs="宋体"/>
          <w:color w:val="auto"/>
          <w:highlight w:val="none"/>
          <w:lang w:val="en-US" w:eastAsia="zh-CN"/>
        </w:rPr>
        <w:t xml:space="preserve">降噪与节能。风机减震、消声设计，风管阻力优化，能耗与运行策略</w:t>
      </w:r>
      <w:r>
        <w:rPr>
          <w:rFonts w:hint="eastAsia" w:ascii="宋体" w:hAnsi="宋体" w:cs="宋体"/>
          <w:color w:val="auto"/>
          <w:szCs w:val="21"/>
          <w:highlight w:val="none"/>
          <w:lang w:val="en-US" w:eastAsia="zh-CN"/>
        </w:rPr>
        <w:t xml:space="preserve">。</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项目实施方案</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投标人应根据采购需求和本项目实际，制订相应的项目实施方案至少包含以下内容：</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①进度保障措施：</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投标人需制定详细的项目实施时间表，进度计划分解到各阶段时间点，明确各阶段工作内容及时间节点。项目整体周期不超过</w:t>
      </w:r>
      <w:r>
        <w:rPr>
          <w:rFonts w:hint="eastAsia" w:ascii="宋体" w:hAnsi="宋体" w:cs="宋体"/>
          <w:color w:val="000000"/>
          <w:szCs w:val="21"/>
          <w:highlight w:val="none"/>
          <w:u w:val="single"/>
        </w:rPr>
        <w:t xml:space="preserve">65</w:t>
      </w:r>
      <w:r>
        <w:rPr>
          <w:rFonts w:hint="eastAsia" w:ascii="宋体" w:hAnsi="宋体" w:cs="宋体"/>
          <w:color w:val="000000"/>
          <w:szCs w:val="21"/>
          <w:highlight w:val="none"/>
        </w:rPr>
        <w:t xml:space="preserve">日，从合同签订之日起计算。</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②供货方案：</w:t>
      </w:r>
      <w:r/>
    </w:p>
    <w:p>
      <w:pPr>
        <w:pStyle w:val="1652"/>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shd w:val="clear" w:color="auto" w:fill="ffffff"/>
        </w:rPr>
        <w:t xml:space="preserve">在发货前3天，通知采购人，明确该设备品牌、型号、数量、预计到货时间、运输车辆信息（车牌号、司机联系方式）。同时提供交付核对清单（格式自拟），包含设备名称、规格型号、参考图片、数量等，与招标文件采购需求一致，协助采购人提前协调场地（如卸货区、临时仓储区、安装区）及接货人员。</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③运输方案：</w:t>
      </w:r>
      <w:r/>
    </w:p>
    <w:p>
      <w:pPr>
        <w:pStyle w:val="1652"/>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rPr>
        <w:t xml:space="preserve">需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④设备验收：</w:t>
      </w:r>
      <w:r/>
    </w:p>
    <w:p>
      <w:pPr>
        <w:pStyle w:val="1652"/>
        <w:ind w:firstLine="480"/>
        <w:spacing w:before="0" w:line="360" w:lineRule="auto"/>
        <w:rPr>
          <w:rFonts w:hint="eastAsia" w:ascii="宋体" w:hAnsi="宋体" w:cs="宋体"/>
          <w:color w:val="000000"/>
          <w:sz w:val="21"/>
          <w:highlight w:val="none"/>
        </w:rPr>
      </w:pPr>
      <w:r>
        <w:rPr>
          <w:rFonts w:hint="eastAsia" w:ascii="宋体" w:hAnsi="宋体" w:cs="宋体"/>
          <w:color w:val="000000"/>
          <w:sz w:val="21"/>
          <w:highlight w:val="none"/>
        </w:rPr>
        <w:t xml:space="preserve">协助采购人核对“设备品牌、型号、规格、质量、数量、外观”，对不符项立即记录并提出整改方案，内容应包括以下方面：操作手册，维护手册（包括维修卡），安装手册，主要部件清单等。</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售后服务方案</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投标人应根据采购需求和本项目实际，制订相应的售后服务方案至少包含以下内容：</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①售后服务体系：</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需明确售后服务的组织架构、人员配置及服务渠道，在设备出现故障或问题时，售后服务团队能够迅速行动，承诺在四个小时内提供远程或现场服务，确保采购人能快速对接、高效解决问题。</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②退换货与更换服务</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针对“设备验收不合格”，根据产品质量问题的严重程度，需明确退换货/更换的条件、流程及时效，并承诺赔偿因此造成的损失。</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③</w:t>
      </w:r>
      <w:r>
        <w:rPr>
          <w:rFonts w:hint="eastAsia" w:ascii="宋体" w:hAnsi="宋体" w:cs="宋体"/>
          <w:color w:val="000000"/>
          <w:szCs w:val="21"/>
          <w:highlight w:val="none"/>
          <w:lang w:bidi="ar"/>
        </w:rPr>
        <w:t xml:space="preserve">定期巡检与预防性维护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需在设备安装验收后至少每季度至少电话回访1次，了解设备使用情况并记录；每半年至少上门定期维护1次，对设备进行全面巡检，包括设备运行检查、安全隐患排查等，重点关注设备核心部件损耗情况。</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④售后保障承诺：</w:t>
      </w:r>
      <w:r/>
    </w:p>
    <w:p>
      <w:pPr>
        <w:ind w:firstLine="480"/>
        <w:spacing w:line="360"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需明确质保期服务、正品保障、损失赔偿等承诺，严格遵循招标文件“不低于三年免费质保”等条款</w:t>
      </w:r>
      <w:r>
        <w:rPr>
          <w:rFonts w:hint="eastAsia" w:ascii="宋体" w:hAnsi="宋体" w:cs="宋体"/>
          <w:bCs/>
          <w:color w:val="000000"/>
          <w:szCs w:val="21"/>
          <w:highlight w:val="none"/>
        </w:rPr>
        <w:t xml:space="preserve">，保修期自甲方验收合格之日算起，保修范围包括所有配置。</w:t>
      </w:r>
      <w:r/>
    </w:p>
    <w:p>
      <w:pPr>
        <w:ind w:firstLine="480"/>
        <w:spacing w:line="360" w:lineRule="auto"/>
        <w:rPr>
          <w:rFonts w:hint="eastAsia" w:ascii="宋体" w:hAnsi="宋体" w:cs="宋体"/>
          <w:b/>
          <w:bCs w:val="0"/>
          <w:color w:val="auto"/>
          <w:szCs w:val="21"/>
          <w:highlight w:val="none"/>
          <w:lang w:eastAsia="zh-CN"/>
        </w:rPr>
      </w:pPr>
      <w:r>
        <w:rPr>
          <w:rFonts w:hint="eastAsia" w:ascii="宋体" w:hAnsi="宋体" w:cs="宋体"/>
          <w:b/>
          <w:bCs w:val="0"/>
          <w:color w:val="auto"/>
          <w:szCs w:val="21"/>
          <w:highlight w:val="none"/>
          <w:lang w:eastAsia="zh-CN"/>
        </w:rPr>
        <w:t xml:space="preserve">十一、样品要求</w:t>
      </w:r>
      <w:r/>
    </w:p>
    <w:p>
      <w:pPr>
        <w:numPr>
          <w:ilvl w:val="0"/>
          <w:numId w:val="0"/>
        </w:numPr>
        <w:ind w:firstLine="420"/>
        <w:spacing w:line="360" w:lineRule="auto"/>
        <w:rPr>
          <w:rFonts w:hint="eastAsia" w:ascii="宋体" w:hAnsi="宋体" w:eastAsia="宋体" w:cs="宋体"/>
          <w:color w:val="auto"/>
          <w:szCs w:val="21"/>
          <w:highlight w:val="yellow"/>
          <w:lang w:val="en-US" w:eastAsia="zh-CN"/>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lang w:val="zh-CN"/>
        </w:rPr>
        <w:t xml:space="preserve">投标人提供所投</w:t>
      </w:r>
      <w:r>
        <w:rPr>
          <w:rFonts w:hint="eastAsia" w:ascii="宋体" w:hAnsi="宋体" w:eastAsia="宋体" w:cs="宋体"/>
          <w:color w:val="auto"/>
          <w:szCs w:val="21"/>
          <w:highlight w:val="none"/>
          <w:lang w:val="en-US" w:eastAsia="zh-CN"/>
        </w:rPr>
        <w:t xml:space="preserve">不锈钢盆台、工作台</w:t>
      </w:r>
      <w:r>
        <w:rPr>
          <w:rFonts w:hint="eastAsia" w:ascii="宋体" w:hAnsi="宋体" w:eastAsia="宋体" w:cs="宋体"/>
          <w:color w:val="auto"/>
          <w:szCs w:val="21"/>
          <w:highlight w:val="none"/>
          <w:lang w:val="zh-CN"/>
        </w:rPr>
        <w:t xml:space="preserve">样品</w:t>
      </w:r>
      <w:r>
        <w:rPr>
          <w:rFonts w:hint="eastAsia" w:ascii="宋体" w:hAnsi="宋体" w:eastAsia="宋体" w:cs="宋体"/>
          <w:color w:val="auto"/>
          <w:szCs w:val="21"/>
          <w:highlight w:val="none"/>
          <w:lang w:val="en-US" w:eastAsia="zh-CN"/>
        </w:rPr>
        <w:t xml:space="preserve">各</w:t>
      </w:r>
      <w:r>
        <w:rPr>
          <w:rFonts w:hint="eastAsia" w:ascii="宋体" w:hAnsi="宋体" w:eastAsia="宋体" w:cs="宋体"/>
          <w:color w:val="auto"/>
          <w:szCs w:val="21"/>
          <w:highlight w:val="none"/>
          <w:lang w:val="zh-CN"/>
        </w:rPr>
        <w:t xml:space="preserve">一件；要求尺寸：不锈钢三星盆台</w:t>
      </w:r>
      <w:r>
        <w:rPr>
          <w:rFonts w:hint="eastAsia" w:ascii="宋体" w:hAnsi="宋体" w:cs="宋体"/>
          <w:color w:val="auto"/>
          <w:szCs w:val="21"/>
          <w:highlight w:val="none"/>
          <w:lang w:val="en-US" w:eastAsia="zh-CN"/>
        </w:rPr>
        <w:t xml:space="preserve">:1700*750*850(cm)、不锈钢工作台下一层：1500*750*850（cm）。</w:t>
      </w:r>
      <w:r/>
    </w:p>
    <w:p>
      <w:pPr>
        <w:numPr>
          <w:ilvl w:val="0"/>
          <w:numId w:val="0"/>
        </w:numPr>
        <w:ind w:firstLine="420"/>
        <w:spacing w:line="360" w:lineRule="auto"/>
        <w:rPr>
          <w:rFonts w:hint="eastAsia" w:ascii="宋体" w:hAnsi="宋体" w:eastAsia="宋体" w:cs="宋体"/>
          <w:color w:val="auto"/>
          <w:szCs w:val="21"/>
          <w:highlight w:val="none"/>
          <w:lang w:val="en" w:eastAsia="zh-CN"/>
        </w:rPr>
      </w:pPr>
      <w:r>
        <w:rPr>
          <w:rFonts w:hint="eastAsia" w:ascii="宋体" w:hAnsi="宋体" w:eastAsia="宋体" w:cs="宋体"/>
          <w:color w:val="auto"/>
          <w:szCs w:val="21"/>
          <w:highlight w:val="none"/>
          <w:lang w:val="en" w:eastAsia="zh-CN"/>
        </w:rPr>
        <w:t xml:space="preserve">2.样品包装：采用密封良好的包装材料，确保样品在运输、储存过程中不受损坏。投标人均要在实物样品上粘贴约10cm×5cm的标签。</w:t>
      </w:r>
      <w:r/>
    </w:p>
    <w:p>
      <w:pPr>
        <w:numPr>
          <w:ilvl w:val="0"/>
          <w:numId w:val="0"/>
        </w:numPr>
        <w:ind w:firstLine="420"/>
        <w:spacing w:line="360" w:lineRule="auto"/>
        <w:rPr>
          <w:rFonts w:hint="eastAsia" w:ascii="宋体" w:hAnsi="宋体" w:eastAsia="宋体" w:cs="宋体"/>
          <w:color w:val="auto"/>
          <w:szCs w:val="21"/>
          <w:highlight w:val="none"/>
          <w:lang w:val="en" w:eastAsia="zh-CN"/>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en" w:eastAsia="zh-CN"/>
        </w:rPr>
        <w:t xml:space="preserve">.投标样品送放时间和地点。采购人和代理机构在投标截止时间前1小时开始接受投标人的样品。投标人将样品在投标截止时间前送达指定地点，地点：盐城市智禾项目管理有限公司（盐城市盐都区宏都路华邦国际西厦603室）。</w:t>
      </w:r>
      <w:r/>
    </w:p>
    <w:p>
      <w:pPr>
        <w:numPr>
          <w:ilvl w:val="0"/>
          <w:numId w:val="0"/>
        </w:numPr>
        <w:ind w:firstLine="420"/>
        <w:spacing w:line="360" w:lineRule="auto"/>
        <w:rPr>
          <w:rFonts w:hint="eastAsia" w:ascii="宋体" w:hAnsi="宋体" w:eastAsia="宋体" w:cs="宋体"/>
          <w:color w:val="auto"/>
          <w:szCs w:val="21"/>
          <w:highlight w:val="none"/>
          <w:lang w:val="en" w:eastAsia="zh-CN"/>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lang w:val="en" w:eastAsia="zh-CN"/>
        </w:rPr>
        <w:t xml:space="preserve">本项目建议样品采取现场递交的方式，若因邮寄导致其递交的样品不符合招标文件要求或未于投标截止时间前送达而造成的损失及风险，由投标人自行承担。</w:t>
      </w:r>
      <w:r/>
    </w:p>
    <w:p>
      <w:pPr>
        <w:numPr>
          <w:ilvl w:val="0"/>
          <w:numId w:val="0"/>
        </w:numPr>
        <w:ind w:firstLine="422"/>
        <w:spacing w:line="360" w:lineRule="auto"/>
        <w:rPr>
          <w:rFonts w:hint="eastAsia" w:ascii="宋体" w:hAnsi="宋体" w:eastAsia="宋体" w:cs="宋体"/>
          <w:b/>
          <w:bCs/>
          <w:i/>
          <w:iCs/>
          <w:color w:val="ff0000"/>
          <w:szCs w:val="21"/>
          <w:highlight w:val="none"/>
          <w:u w:val="single"/>
          <w:lang w:val="en-US" w:eastAsia="zh-CN"/>
        </w:rPr>
      </w:pPr>
      <w:r>
        <w:rPr>
          <w:rFonts w:hint="eastAsia" w:ascii="宋体" w:hAnsi="宋体" w:eastAsia="宋体" w:cs="宋体"/>
          <w:b/>
          <w:bCs/>
          <w:i/>
          <w:iCs/>
          <w:color w:val="ff0000"/>
          <w:szCs w:val="21"/>
          <w:highlight w:val="none"/>
          <w:u w:val="single"/>
          <w:lang w:val="en-US" w:eastAsia="zh-CN"/>
        </w:rPr>
        <w:t xml:space="preserve">十二、本项目</w:t>
      </w:r>
      <w:r>
        <w:rPr>
          <w:rFonts w:hint="eastAsia" w:ascii="宋体" w:hAnsi="宋体" w:cs="宋体"/>
          <w:b/>
          <w:bCs/>
          <w:i/>
          <w:iCs/>
          <w:color w:val="ff0000"/>
          <w:szCs w:val="21"/>
          <w:highlight w:val="none"/>
          <w:u w:val="single"/>
          <w:lang w:val="en-US" w:eastAsia="zh-CN"/>
        </w:rPr>
        <w:t xml:space="preserve">不</w:t>
      </w:r>
      <w:r>
        <w:rPr>
          <w:rFonts w:hint="eastAsia" w:ascii="宋体" w:hAnsi="宋体" w:eastAsia="宋体" w:cs="宋体"/>
          <w:b/>
          <w:bCs/>
          <w:i/>
          <w:iCs/>
          <w:color w:val="ff0000"/>
          <w:szCs w:val="21"/>
          <w:highlight w:val="none"/>
          <w:u w:val="single"/>
          <w:lang w:val="en-US" w:eastAsia="zh-CN"/>
        </w:rPr>
        <w:t xml:space="preserve">接受进口产品投标</w:t>
      </w:r>
      <w:r>
        <w:rPr>
          <w:rFonts w:hint="eastAsia"/>
          <w:lang w:eastAsia="zh-CN"/>
        </w:rPr>
        <w:t xml:space="preserve">。</w:t>
      </w:r>
      <w:r/>
    </w:p>
    <w:p>
      <w:pPr>
        <w:numPr>
          <w:ilvl w:val="0"/>
          <w:numId w:val="0"/>
        </w:numPr>
        <w:ind w:firstLine="420"/>
        <w:spacing w:line="360" w:lineRule="auto"/>
        <w:rPr>
          <w:rFonts w:hint="eastAsia" w:ascii="宋体" w:hAnsi="宋体" w:eastAsia="宋体" w:cs="宋体"/>
          <w:color w:val="ff0000"/>
          <w:szCs w:val="21"/>
          <w:highlight w:val="none"/>
          <w:lang w:val="en-US" w:eastAsia="zh-CN"/>
        </w:rPr>
      </w:pPr>
      <w:r/>
      <w:bookmarkStart w:id="181" w:name="_Toc120614281"/>
      <w:r>
        <w:rPr>
          <w:rFonts w:hint="eastAsia" w:ascii="宋体" w:hAnsi="宋体" w:eastAsia="宋体" w:cs="宋体"/>
          <w:color w:val="ff0000"/>
          <w:szCs w:val="21"/>
          <w:highlight w:val="none"/>
          <w:lang w:val="en-US" w:eastAsia="zh-CN"/>
        </w:rPr>
        <w:br w:type="page" w:clear="all"/>
      </w:r>
      <w:r/>
    </w:p>
    <w:p>
      <w:pPr>
        <w:jc w:val="center"/>
        <w:rPr>
          <w:color w:val="000000"/>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一、定标原则</w:t>
      </w:r>
      <w:r/>
    </w:p>
    <w:p>
      <w:pPr>
        <w:ind w:firstLine="420"/>
        <w:spacing w:line="360"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本项目采用</w:t>
      </w:r>
      <w:r>
        <w:rPr>
          <w:rFonts w:hint="eastAsia" w:ascii="宋体" w:hAnsi="宋体" w:cs="宋体"/>
          <w:bCs/>
          <w:color w:val="000000"/>
          <w:szCs w:val="21"/>
          <w:highlight w:val="none"/>
          <w:u w:val="single"/>
        </w:rPr>
        <w:t xml:space="preserve">综合评分</w:t>
      </w:r>
      <w:r>
        <w:rPr>
          <w:rFonts w:hint="eastAsia" w:ascii="宋体" w:hAnsi="宋体" w:cs="宋体"/>
          <w:bCs/>
          <w:color w:val="000000"/>
          <w:szCs w:val="21"/>
          <w:highlight w:val="none"/>
        </w:rPr>
        <w:t xml:space="preserve">法。</w:t>
      </w:r>
      <w:r>
        <w:rPr>
          <w:rFonts w:hint="eastAsia" w:ascii="宋体" w:hAnsi="宋体" w:cs="宋体"/>
          <w:color w:val="000000"/>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政府采购政策功能落实</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1、小微型企业价格扣除</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eastAsia="宋体" w:cs="宋体"/>
          <w:color w:val="auto"/>
          <w:sz w:val="21"/>
          <w:szCs w:val="21"/>
          <w:highlight w:val="none"/>
        </w:rPr>
        <w:t xml:space="preserve">本项目不专门面向中小企业采购，对符合规定的小型和微型企业报价给予20%的扣除价格，用扣除后的价格参与评审</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（2）供应商需按照采购文件的要求提供相应的《中小企业声明函》。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（3）企业标准请参照《关于印发中小企业划型标准规定的通知》（工信部联企业〔2011〕300号）文件规定自行填写。</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2、残疾人福利单位价格扣除</w:t>
      </w:r>
      <w:r>
        <w:rPr>
          <w:rFonts w:hint="eastAsia" w:ascii="宋体" w:hAnsi="宋体" w:eastAsia="宋体" w:cs="宋体"/>
          <w:color w:val="auto"/>
          <w:sz w:val="21"/>
          <w:szCs w:val="21"/>
          <w:highlight w:val="none"/>
        </w:rPr>
        <w:t xml:space="preserve">，给予20%的价格扣除，用扣除后的价格参与评审</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（1）本项目对残疾人福利性单位视同小型、微型企业。</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（2）残疾人福利单位需按照采购文件的要求提供《残疾人福利性单位声明函》。</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3、监狱和戒毒企业价格扣除</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（1）本项目对监狱和戒毒企业（简称监狱企业）视同小型、微型企业</w:t>
      </w:r>
      <w:r>
        <w:rPr>
          <w:rFonts w:hint="eastAsia" w:ascii="宋体" w:hAnsi="宋体" w:eastAsia="宋体" w:cs="宋体"/>
          <w:color w:val="auto"/>
          <w:sz w:val="21"/>
          <w:szCs w:val="21"/>
          <w:highlight w:val="none"/>
        </w:rPr>
        <w:t xml:space="preserve">，给予20%的价格扣除，用扣除后的价格参与评审</w:t>
      </w:r>
      <w:r>
        <w:rPr>
          <w:rFonts w:hint="eastAsia" w:ascii="宋体" w:hAnsi="宋体" w:cs="宋体"/>
          <w:color w:val="000000"/>
          <w:szCs w:val="21"/>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（3）监狱企业标准请参照《关于政府采购支持监狱企业发展有关问题的通知》（财库〔2014〕68号）。</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4、残疾人福利单位、监狱企业属于小型、微型企业的，不重复享受政策。</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Cs w:val="21"/>
          <w:highlight w:val="none"/>
          <w:u w:val="single"/>
        </w:rPr>
        <w:t xml:space="preserve">6%</w:t>
      </w:r>
      <w:r>
        <w:rPr>
          <w:rFonts w:hint="eastAsia" w:ascii="宋体" w:hAnsi="宋体" w:cs="宋体"/>
          <w:color w:val="000000"/>
          <w:szCs w:val="21"/>
          <w:highlight w:val="none"/>
        </w:rPr>
        <w:t xml:space="preserve">的价格扣除，用扣除后的价格参与评审。</w:t>
      </w:r>
      <w:r/>
    </w:p>
    <w:p>
      <w:pPr>
        <w:ind w:firstLine="420"/>
        <w:spacing w:line="360" w:lineRule="auto"/>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6、联合体各方均为小型、微型企业（残疾人福利单位、监狱企业）的，联合体享受</w:t>
      </w:r>
      <w:r>
        <w:rPr>
          <w:rFonts w:hint="eastAsia" w:ascii="宋体" w:hAnsi="宋体" w:cs="宋体"/>
          <w:color w:val="000000"/>
          <w:szCs w:val="21"/>
          <w:highlight w:val="none"/>
          <w:u w:val="single"/>
        </w:rPr>
        <w:t xml:space="preserve">20%</w:t>
      </w:r>
      <w:r>
        <w:rPr>
          <w:rFonts w:hint="eastAsia" w:ascii="宋体" w:hAnsi="宋体" w:cs="宋体"/>
          <w:color w:val="000000"/>
          <w:szCs w:val="21"/>
          <w:highlight w:val="none"/>
        </w:rPr>
        <w:t xml:space="preserve">的价格扣除。</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7、采购本国产品的支持政策</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7.1本项目政府采购活动中既有本国产品又有非本国产品参与竞争的，依法对本国产品给予价格评审优惠，对本国产品的报价给予</w:t>
      </w:r>
      <w:r>
        <w:rPr>
          <w:rFonts w:hint="eastAsia" w:ascii="宋体" w:hAnsi="宋体" w:eastAsia="宋体" w:cs="宋体"/>
          <w:b/>
          <w:bCs/>
          <w:color w:val="ff0000"/>
          <w:sz w:val="21"/>
          <w:szCs w:val="21"/>
          <w:u w:val="single"/>
        </w:rPr>
        <w:t xml:space="preserve">20%</w:t>
      </w:r>
      <w:r>
        <w:rPr>
          <w:rFonts w:hint="eastAsia" w:ascii="宋体" w:hAnsi="宋体" w:eastAsia="宋体" w:cs="宋体"/>
          <w:b/>
          <w:bCs/>
          <w:color w:val="ff0000"/>
          <w:sz w:val="21"/>
          <w:szCs w:val="21"/>
        </w:rPr>
        <w:t xml:space="preserve">的价格扣除，用扣除后的价格参与评审。</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7.2当采购项目或者采购包中含有多种产品，供应商为该采购项目或者采购包提供的符合本国产品标准的产品成本之和占该供应商提供的全部产品成本之和的比例达到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1"/>
          <w:szCs w:val="21"/>
          <w:u w:val="single"/>
        </w:rPr>
        <w:t xml:space="preserve">80%</w:t>
      </w:r>
      <w:r>
        <w:rPr>
          <w:rFonts w:hint="eastAsia" w:ascii="宋体" w:hAnsi="宋体" w:eastAsia="宋体" w:cs="宋体"/>
          <w:b/>
          <w:bCs/>
          <w:color w:val="ff0000"/>
          <w:sz w:val="21"/>
          <w:szCs w:val="21"/>
        </w:rPr>
        <w:t xml:space="preserve">以上时（供应商需在“第六章投标文件格式”的“投标分项报价表”中填写比例数值），依法对该供应商提供的全部产品给予价格评审优惠，即对该供应商提供的全部产品的总报价给予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1"/>
          <w:szCs w:val="21"/>
          <w:u w:val="single"/>
        </w:rPr>
        <w:t xml:space="preserve">20%</w:t>
      </w:r>
      <w:r>
        <w:rPr>
          <w:rFonts w:hint="eastAsia" w:ascii="宋体" w:hAnsi="宋体" w:eastAsia="宋体" w:cs="宋体"/>
          <w:b/>
          <w:bCs/>
          <w:color w:val="ff0000"/>
          <w:sz w:val="21"/>
          <w:szCs w:val="21"/>
        </w:rPr>
        <w:t xml:space="preserve">的价格扣除，用扣除后的价格参与评审。供应商未填写比例数值，或比例数值</w:t>
      </w:r>
      <w:r>
        <w:rPr>
          <w:rFonts w:hint="eastAsia" w:ascii="宋体" w:hAnsi="宋体" w:eastAsia="宋体" w:cs="宋体"/>
          <w:b/>
          <w:bCs/>
          <w:color w:val="ff0000"/>
          <w:sz w:val="21"/>
          <w:szCs w:val="21"/>
          <w:highlight w:val="yellow"/>
        </w:rPr>
        <w:t xml:space="preserve">未达到</w:t>
      </w:r>
      <w:r>
        <w:rPr>
          <w:rFonts w:hint="eastAsia" w:ascii="宋体" w:hAnsi="宋体" w:eastAsia="宋体" w:cs="宋体"/>
          <w:b/>
          <w:bCs/>
          <w:color w:val="ff0000"/>
          <w:sz w:val="21"/>
          <w:szCs w:val="21"/>
        </w:rPr>
        <w:t xml:space="preserve">80%的，将不享受本国产品价格评审优惠。</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7.3供应商需按照招标文件的要求提供《关于符合本国产品标准的声明函》（以下简称《声明函》），如不提供将不享受本国产品价格评审优惠。</w:t>
      </w:r>
      <w:r/>
    </w:p>
    <w:p>
      <w:pPr>
        <w:ind w:firstLine="422"/>
        <w:jc w:val="left"/>
        <w:spacing w:line="400" w:lineRule="exact"/>
        <w:rPr>
          <w:rFonts w:hint="eastAsia" w:ascii="宋体" w:hAnsi="宋体" w:eastAsia="宋体" w:cs="宋体"/>
          <w:b/>
          <w:bCs/>
          <w:color w:val="ff0000"/>
          <w:sz w:val="21"/>
          <w:szCs w:val="21"/>
        </w:rPr>
      </w:pPr>
      <w:r>
        <w:rPr>
          <w:rFonts w:hint="eastAsia" w:ascii="宋体" w:hAnsi="宋体" w:eastAsia="宋体" w:cs="宋体"/>
          <w:b/>
          <w:bCs/>
          <w:color w:val="ff0000"/>
          <w:sz w:val="21"/>
          <w:szCs w:val="21"/>
        </w:rPr>
        <w:t xml:space="preserve">7.4供应商需在《声明函》中逐一、准确填写产品名称、厂名、生产厂址三项信息（</w:t>
      </w:r>
      <w:r>
        <w:rPr>
          <w:rFonts w:hint="eastAsia" w:ascii="宋体" w:hAnsi="宋体" w:eastAsia="宋体" w:cs="宋体"/>
          <w:b/>
          <w:bCs/>
          <w:color w:val="ff0000"/>
          <w:sz w:val="21"/>
          <w:szCs w:val="21"/>
          <w:highlight w:val="yellow"/>
        </w:rPr>
        <w:t xml:space="preserve">《声明函》中用</w:t>
      </w:r>
      <w:r>
        <w:rPr>
          <w:rFonts w:hint="eastAsia" w:ascii="宋体" w:hAnsi="宋体" w:eastAsia="宋体" w:cs="宋体"/>
          <w:b/>
          <w:bCs/>
          <w:color w:val="ff0000"/>
          <w:sz w:val="21"/>
          <w:szCs w:val="21"/>
          <w:highlight w:val="yellow"/>
          <w:lang w:val="en-US" w:eastAsia="zh-CN"/>
        </w:rPr>
        <w:t xml:space="preserve">横</w:t>
      </w:r>
      <w:r>
        <w:rPr>
          <w:rFonts w:hint="eastAsia" w:ascii="宋体" w:hAnsi="宋体" w:eastAsia="宋体" w:cs="宋体"/>
          <w:b/>
          <w:bCs/>
          <w:color w:val="ff0000"/>
          <w:sz w:val="21"/>
          <w:szCs w:val="21"/>
          <w:highlight w:val="yellow"/>
        </w:rPr>
        <w:t xml:space="preserve">线划除的地方无需填写</w:t>
      </w:r>
      <w:r>
        <w:rPr>
          <w:rFonts w:hint="eastAsia" w:ascii="宋体" w:hAnsi="宋体" w:eastAsia="宋体" w:cs="宋体"/>
          <w:b/>
          <w:bCs/>
          <w:color w:val="ff0000"/>
          <w:sz w:val="21"/>
          <w:szCs w:val="21"/>
        </w:rPr>
        <w:t xml:space="preserve">），三项信息中任意一项未填写的视为该项产品不符合本国产品标准，不享受本国产品价格评审优惠。</w:t>
      </w:r>
      <w:r/>
    </w:p>
    <w:p>
      <w:pPr>
        <w:ind w:firstLine="420"/>
        <w:spacing w:line="360" w:lineRule="auto"/>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rPr>
        <w:t xml:space="preserve">7.5评标过程中，如发现供应商在《声明函》内容含义不明确、同类事项与投标（响应）文件表述不一致或者有明显文字错误等情况的，评标委员会应当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1"/>
          <w:szCs w:val="21"/>
          <w:lang w:val="en-US" w:eastAsia="zh-CN"/>
        </w:rPr>
        <w:t xml:space="preserve">在苏采云系统</w:t>
      </w:r>
      <w:r>
        <w:rPr>
          <w:rFonts w:hint="eastAsia" w:ascii="宋体" w:hAnsi="宋体" w:eastAsia="宋体" w:cs="宋体"/>
          <w:b/>
          <w:bCs/>
          <w:color w:val="ff0000"/>
          <w:sz w:val="21"/>
          <w:szCs w:val="21"/>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、严格执行政府采购关于支持</w:t>
      </w:r>
      <w:r>
        <w:rPr>
          <w:rFonts w:hint="eastAsia" w:ascii="宋体" w:hAnsi="宋体" w:eastAsia="宋体" w:cs="宋体"/>
          <w:color w:val="000000"/>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ascii="宋体" w:hAnsi="宋体" w:cs="宋体"/>
          <w:color w:val="000000"/>
          <w:szCs w:val="21"/>
          <w:highlight w:val="none"/>
        </w:rPr>
      </w:pPr>
      <w:r>
        <w:rPr>
          <w:rFonts w:hint="eastAsia" w:ascii="宋体" w:hAnsi="宋体" w:cs="宋体"/>
          <w:b/>
          <w:color w:val="000000"/>
          <w:szCs w:val="21"/>
          <w:highlight w:val="none"/>
        </w:rPr>
        <w:t xml:space="preserve">评标方法与评标标准</w:t>
      </w:r>
      <w:r/>
    </w:p>
    <w:p>
      <w:pPr>
        <w:rPr>
          <w:rFonts w:hint="eastAsia" w:ascii="宋体" w:hAnsi="宋体" w:cs="宋体"/>
          <w:color w:val="000000"/>
          <w:szCs w:val="21"/>
          <w:highlight w:val="none"/>
        </w:rPr>
      </w:pPr>
      <w:r>
        <w:rPr>
          <w:rFonts w:hint="eastAsia"/>
          <w:color w:val="000000"/>
          <w:highlight w:val="none"/>
        </w:rPr>
        <w:t xml:space="preserve"> </w:t>
      </w:r>
      <w:r/>
    </w:p>
    <w:tbl>
      <w:tblPr>
        <w:tblStyle w:val="1462"/>
        <w:tblW w:w="8690" w:type="dxa"/>
        <w:tblInd w:w="1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2"/>
        <w:gridCol w:w="1080"/>
        <w:gridCol w:w="5941"/>
        <w:gridCol w:w="997"/>
      </w:tblGrid>
      <w:tr>
        <w:trPr>
          <w:trHeight w:val="673"/>
        </w:trPr>
        <w:tc>
          <w:tcPr>
            <w:tcW w:w="672"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序号</w:t>
            </w:r>
            <w:r/>
          </w:p>
        </w:tc>
        <w:tc>
          <w:tcPr>
            <w:tcW w:w="1080"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评分要素</w:t>
            </w:r>
            <w:r/>
          </w:p>
        </w:tc>
        <w:tc>
          <w:tcPr>
            <w:tcW w:w="5941"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评分标准</w:t>
            </w:r>
            <w:r/>
          </w:p>
        </w:tc>
        <w:tc>
          <w:tcPr>
            <w:tcW w:w="997" w:type="dxa"/>
            <w:vAlign w:val="center"/>
            <w:textDirection w:val="lrTb"/>
            <w:noWrap w:val="false"/>
          </w:tcPr>
          <w:p>
            <w:pPr>
              <w:jc w:val="center"/>
              <w:widowControl/>
              <w:rPr>
                <w:rFonts w:hint="eastAsia" w:ascii="宋体" w:hAnsi="宋体" w:cs="宋体"/>
                <w:b/>
                <w:bCs/>
                <w:color w:val="auto"/>
                <w:highlight w:val="none"/>
              </w:rPr>
            </w:pPr>
            <w:r>
              <w:rPr>
                <w:rFonts w:hint="eastAsia" w:ascii="宋体" w:hAnsi="宋体" w:cs="宋体"/>
                <w:b/>
                <w:bCs/>
                <w:color w:val="auto"/>
                <w:highlight w:val="none"/>
              </w:rPr>
              <w:t xml:space="preserve">分值</w:t>
            </w:r>
            <w:r/>
          </w:p>
        </w:tc>
      </w:tr>
      <w:tr>
        <w:trPr>
          <w:trHeight w:val="1370"/>
        </w:trPr>
        <w:tc>
          <w:tcPr>
            <w:tcW w:w="67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1</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价格</w:t>
            </w:r>
            <w:r/>
          </w:p>
        </w:tc>
        <w:tc>
          <w:tcPr>
            <w:tcW w:w="5941" w:type="dxa"/>
            <w:vAlign w:val="center"/>
            <w:textDirection w:val="lrTb"/>
            <w:noWrap w:val="false"/>
          </w:tcPr>
          <w:p>
            <w:pPr>
              <w:ind w:firstLine="420"/>
              <w:jc w:val="left"/>
              <w:widowControl/>
              <w:rPr>
                <w:rFonts w:hint="eastAsia" w:ascii="宋体" w:hAnsi="宋体" w:cs="宋体"/>
                <w:color w:val="auto"/>
                <w:highlight w:val="none"/>
              </w:rPr>
            </w:pPr>
            <w:r>
              <w:rPr>
                <w:rFonts w:hint="eastAsia" w:ascii="宋体" w:hAnsi="宋体" w:cs="宋体"/>
                <w:color w:val="auto"/>
                <w:highlight w:val="none"/>
                <w:lang w:bidi="ar"/>
              </w:rPr>
              <w:t xml:space="preserve">满足招标文件要求且投标价格最低的投标报价为评标基准价，其价格分为满分。其他投标人的价格分统一按照下列公式计算：投标报价得分=(评标基准价／投标报价)×</w:t>
            </w:r>
            <w:r>
              <w:rPr>
                <w:rFonts w:hint="eastAsia" w:ascii="宋体" w:hAnsi="宋体" w:cs="宋体"/>
                <w:color w:val="auto"/>
                <w:highlight w:val="none"/>
                <w:lang w:val="en-US" w:eastAsia="zh-CN" w:bidi="ar"/>
              </w:rPr>
              <w:t xml:space="preserve">30</w:t>
            </w:r>
            <w:r>
              <w:rPr>
                <w:rFonts w:hint="eastAsia" w:ascii="宋体" w:hAnsi="宋体" w:cs="宋体"/>
                <w:color w:val="auto"/>
                <w:highlight w:val="none"/>
                <w:lang w:bidi="ar"/>
              </w:rPr>
              <w:t xml:space="preserve">（该结果四舍五入，保留两位小数）</w:t>
            </w:r>
            <w:r/>
          </w:p>
        </w:tc>
        <w:tc>
          <w:tcPr>
            <w:tcW w:w="99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val="en-US" w:eastAsia="zh-CN"/>
              </w:rPr>
              <w:t xml:space="preserve">30</w:t>
            </w:r>
            <w:r>
              <w:rPr>
                <w:rFonts w:hint="eastAsia" w:ascii="宋体" w:hAnsi="宋体" w:cs="宋体"/>
                <w:color w:val="auto"/>
                <w:highlight w:val="none"/>
              </w:rPr>
              <w:t xml:space="preserve">分</w:t>
            </w:r>
            <w:r/>
          </w:p>
        </w:tc>
      </w:tr>
      <w:tr>
        <w:trPr>
          <w:trHeight w:val="1580"/>
        </w:trPr>
        <w:tc>
          <w:tcPr>
            <w:tcW w:w="67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2</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技术参数</w:t>
            </w:r>
            <w:r/>
          </w:p>
        </w:tc>
        <w:tc>
          <w:tcPr>
            <w:tcW w:w="5941" w:type="dxa"/>
            <w:vAlign w:val="center"/>
            <w:textDirection w:val="lrTb"/>
            <w:noWrap w:val="false"/>
          </w:tcPr>
          <w:p>
            <w:pPr>
              <w:ind w:firstLine="420"/>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投标文件采购需求中标</w:t>
            </w:r>
            <w:r>
              <w:rPr>
                <w:rFonts w:hint="eastAsia" w:ascii="宋体" w:hAnsi="宋体" w:cs="宋体"/>
                <w:color w:val="auto"/>
                <w:highlight w:val="none"/>
                <w:lang w:val="en-US" w:eastAsia="zh-CN" w:bidi="ar"/>
              </w:rPr>
              <w:t xml:space="preserve">▲</w:t>
            </w:r>
            <w:r>
              <w:rPr>
                <w:rFonts w:hint="eastAsia" w:ascii="宋体" w:hAnsi="宋体" w:cs="宋体"/>
                <w:color w:val="auto"/>
                <w:highlight w:val="none"/>
                <w:lang w:bidi="ar"/>
              </w:rPr>
              <w:t xml:space="preserve">项为重要技术指标（共30项），有一项满足的得1分，全部满足的得30分。</w:t>
            </w:r>
            <w:r/>
          </w:p>
          <w:p>
            <w:pPr>
              <w:ind w:firstLine="420"/>
              <w:jc w:val="left"/>
              <w:widowControl/>
              <w:rPr>
                <w:rFonts w:hint="eastAsia" w:eastAsia="宋体"/>
                <w:color w:val="auto"/>
                <w:lang w:val="en-US" w:eastAsia="zh-CN"/>
              </w:rPr>
            </w:pPr>
            <w:r>
              <w:rPr>
                <w:rFonts w:hint="eastAsia" w:ascii="宋体" w:hAnsi="宋体" w:cs="宋体"/>
                <w:color w:val="auto"/>
                <w:highlight w:val="none"/>
                <w:lang w:bidi="ar"/>
              </w:rPr>
              <w:t xml:space="preserve">注：根据招标文件要求提供证明材料，未能提供的视为负偏离，没有要求的技术参数性能指标根据</w:t>
            </w:r>
            <w:r>
              <w:rPr>
                <w:rFonts w:hint="eastAsia" w:ascii="宋体" w:hAnsi="宋体" w:cs="宋体"/>
                <w:color w:val="auto"/>
                <w:highlight w:val="none"/>
                <w:lang w:eastAsia="zh-CN" w:bidi="ar"/>
              </w:rPr>
              <w:t xml:space="preserve">《</w:t>
            </w:r>
            <w:r>
              <w:rPr>
                <w:rFonts w:hint="eastAsia" w:ascii="宋体" w:hAnsi="宋体" w:cs="宋体"/>
                <w:color w:val="auto"/>
                <w:highlight w:val="none"/>
                <w:lang w:bidi="ar"/>
              </w:rPr>
              <w:t xml:space="preserve">技术要求响应及偏离表</w:t>
            </w:r>
            <w:r>
              <w:rPr>
                <w:rFonts w:hint="eastAsia" w:ascii="宋体" w:hAnsi="宋体" w:cs="宋体"/>
                <w:color w:val="auto"/>
                <w:highlight w:val="none"/>
                <w:lang w:eastAsia="zh-CN" w:bidi="ar"/>
              </w:rPr>
              <w:t xml:space="preserve">》</w:t>
            </w:r>
            <w:r>
              <w:rPr>
                <w:rFonts w:hint="eastAsia" w:ascii="宋体" w:hAnsi="宋体" w:cs="宋体"/>
                <w:color w:val="auto"/>
                <w:highlight w:val="none"/>
                <w:lang w:val="en-US" w:eastAsia="zh-CN" w:bidi="ar"/>
              </w:rPr>
              <w:t xml:space="preserve">进</w:t>
            </w:r>
            <w:r>
              <w:rPr>
                <w:rFonts w:hint="eastAsia" w:ascii="宋体" w:hAnsi="宋体" w:cs="宋体"/>
                <w:color w:val="auto"/>
                <w:highlight w:val="none"/>
                <w:lang w:bidi="ar"/>
              </w:rPr>
              <w:t xml:space="preserve">行评审。</w:t>
            </w:r>
            <w:r>
              <w:rPr>
                <w:rFonts w:hint="eastAsia" w:ascii="宋体" w:hAnsi="宋体" w:cs="宋体"/>
                <w:color w:val="auto"/>
                <w:highlight w:val="none"/>
                <w:lang w:eastAsia="zh-CN" w:bidi="ar"/>
              </w:rPr>
              <w:t xml:space="preserve">中标后签订合同前中标人须提供相</w:t>
            </w:r>
            <w:r>
              <w:rPr>
                <w:rFonts w:hint="eastAsia" w:ascii="宋体" w:hAnsi="宋体" w:cs="宋体"/>
                <w:color w:val="auto"/>
                <w:highlight w:val="none"/>
                <w:lang w:val="en-US" w:eastAsia="zh-CN" w:bidi="ar"/>
              </w:rPr>
              <w:t xml:space="preserve">对应要求</w:t>
            </w:r>
            <w:r>
              <w:rPr>
                <w:rFonts w:hint="eastAsia" w:ascii="宋体" w:hAnsi="宋体" w:cs="宋体"/>
                <w:color w:val="auto"/>
                <w:highlight w:val="none"/>
                <w:lang w:eastAsia="zh-CN" w:bidi="ar"/>
              </w:rPr>
              <w:t xml:space="preserve">关检测报告</w:t>
            </w:r>
            <w:r>
              <w:rPr>
                <w:rFonts w:hint="eastAsia" w:ascii="宋体" w:hAnsi="宋体" w:cs="宋体"/>
                <w:color w:val="auto"/>
                <w:highlight w:val="none"/>
                <w:lang w:val="en-US" w:eastAsia="zh-CN" w:bidi="ar"/>
              </w:rPr>
              <w:t xml:space="preserve">及证书</w:t>
            </w:r>
            <w:r>
              <w:rPr>
                <w:rFonts w:hint="eastAsia" w:ascii="宋体" w:hAnsi="宋体" w:cs="宋体"/>
                <w:color w:val="auto"/>
                <w:highlight w:val="none"/>
                <w:lang w:eastAsia="zh-CN" w:bidi="ar"/>
              </w:rPr>
              <w:t xml:space="preserve">供招标人审核。</w:t>
            </w:r>
            <w:r/>
          </w:p>
        </w:tc>
        <w:tc>
          <w:tcPr>
            <w:tcW w:w="99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30分</w:t>
            </w:r>
            <w:r/>
          </w:p>
        </w:tc>
      </w:tr>
      <w:tr>
        <w:trPr>
          <w:trHeight w:val="4340"/>
        </w:trPr>
        <w:tc>
          <w:tcPr>
            <w:tcW w:w="67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3</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业绩</w:t>
            </w:r>
            <w:r/>
          </w:p>
        </w:tc>
        <w:tc>
          <w:tcPr>
            <w:tcW w:w="5941" w:type="dxa"/>
            <w:vAlign w:val="center"/>
            <w:textDirection w:val="lrTb"/>
            <w:noWrap w:val="false"/>
          </w:tcPr>
          <w:p>
            <w:pPr>
              <w:ind w:firstLine="420"/>
              <w:jc w:val="left"/>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投标人提供自202</w:t>
            </w:r>
            <w:r>
              <w:rPr>
                <w:rFonts w:hint="eastAsia" w:ascii="宋体" w:hAnsi="宋体" w:cs="宋体"/>
                <w:color w:val="auto"/>
                <w:sz w:val="21"/>
                <w:szCs w:val="21"/>
                <w:highlight w:val="none"/>
                <w:lang w:val="en-US" w:eastAsia="zh-CN" w:bidi="ar"/>
              </w:rPr>
              <w:t xml:space="preserve">0</w:t>
            </w:r>
            <w:r>
              <w:rPr>
                <w:rFonts w:hint="default" w:ascii="宋体" w:hAnsi="宋体" w:eastAsia="宋体" w:cs="宋体"/>
                <w:color w:val="auto"/>
                <w:sz w:val="21"/>
                <w:szCs w:val="21"/>
                <w:highlight w:val="none"/>
                <w:lang w:val="en-US" w:eastAsia="zh-CN" w:bidi="ar"/>
              </w:rPr>
              <w:t xml:space="preserve">年1月1日以来承担过的类似项目业绩（采购内容需至少同时包含高低温冷库（含压缩机组）、商用</w:t>
            </w:r>
            <w:r>
              <w:rPr>
                <w:rFonts w:hint="eastAsia" w:ascii="宋体" w:hAnsi="宋体" w:eastAsia="宋体" w:cs="宋体"/>
                <w:color w:val="auto"/>
                <w:sz w:val="21"/>
                <w:szCs w:val="21"/>
                <w:highlight w:val="none"/>
                <w:lang w:val="en-US" w:eastAsia="zh-CN" w:bidi="ar"/>
              </w:rPr>
              <w:t xml:space="preserve">级</w:t>
            </w:r>
            <w:r>
              <w:rPr>
                <w:rFonts w:hint="default" w:ascii="宋体" w:hAnsi="宋体" w:eastAsia="宋体" w:cs="宋体"/>
                <w:color w:val="auto"/>
                <w:sz w:val="21"/>
                <w:szCs w:val="21"/>
                <w:highlight w:val="none"/>
                <w:lang w:val="en-US" w:eastAsia="zh-CN" w:bidi="ar"/>
              </w:rPr>
              <w:t xml:space="preserve">烤箱、</w:t>
            </w:r>
            <w:r>
              <w:rPr>
                <w:rFonts w:hint="eastAsia" w:ascii="宋体" w:hAnsi="宋体" w:cs="宋体"/>
                <w:color w:val="auto"/>
                <w:sz w:val="21"/>
                <w:szCs w:val="21"/>
                <w:highlight w:val="none"/>
                <w:lang w:val="en-US" w:eastAsia="zh-CN" w:bidi="ar"/>
              </w:rPr>
              <w:t xml:space="preserve">四</w:t>
            </w:r>
            <w:r>
              <w:rPr>
                <w:rFonts w:hint="default" w:ascii="宋体" w:hAnsi="宋体" w:eastAsia="宋体" w:cs="宋体"/>
                <w:color w:val="auto"/>
                <w:sz w:val="21"/>
                <w:szCs w:val="21"/>
                <w:highlight w:val="none"/>
                <w:lang w:val="en-US" w:eastAsia="zh-CN" w:bidi="ar"/>
              </w:rPr>
              <w:t xml:space="preserve">头及以上灶具、四门及以上冷藏柜四类设备），每提供1个有效业绩得2.5分，本项最高得10分（最多可提供4个有效业绩，超出部分不额外计分）。</w:t>
            </w:r>
            <w:r/>
          </w:p>
          <w:p>
            <w:pPr>
              <w:ind w:firstLine="420"/>
              <w:jc w:val="left"/>
              <w:keepLines w:val="0"/>
              <w:keepNext w:val="0"/>
              <w:widowControl/>
              <w:rPr>
                <w:rFonts w:hint="default" w:ascii="宋体" w:hAnsi="宋体" w:eastAsia="宋体" w:cs="宋体"/>
                <w:color w:val="auto"/>
                <w:sz w:val="21"/>
                <w:szCs w:val="21"/>
                <w:highlight w:val="none"/>
                <w:lang w:val="en-US" w:eastAsia="zh-CN" w:bidi="ar"/>
              </w:rPr>
              <w:suppressLineNumbers w:val="0"/>
            </w:pPr>
            <w:r>
              <w:rPr>
                <w:rFonts w:hint="default" w:ascii="宋体" w:hAnsi="宋体" w:eastAsia="宋体" w:cs="宋体"/>
                <w:color w:val="auto"/>
                <w:sz w:val="21"/>
                <w:szCs w:val="21"/>
                <w:highlight w:val="none"/>
                <w:lang w:val="en-US" w:eastAsia="zh-CN" w:bidi="ar"/>
              </w:rPr>
              <w:t xml:space="preserve">业绩证明材料要求：投标时需提供对应业绩</w:t>
            </w:r>
            <w:r>
              <w:rPr>
                <w:rFonts w:hint="eastAsia" w:ascii="宋体" w:hAnsi="宋体" w:eastAsia="宋体" w:cs="宋体"/>
                <w:color w:val="auto"/>
                <w:sz w:val="21"/>
                <w:szCs w:val="21"/>
                <w:highlight w:val="none"/>
                <w:lang w:val="en-US" w:eastAsia="zh-CN" w:bidi="ar"/>
              </w:rPr>
              <w:t xml:space="preserve">证明材料（含</w:t>
            </w:r>
            <w:r>
              <w:rPr>
                <w:rFonts w:hint="default" w:ascii="宋体" w:hAnsi="宋体" w:eastAsia="宋体" w:cs="宋体"/>
                <w:color w:val="auto"/>
                <w:sz w:val="21"/>
                <w:szCs w:val="21"/>
                <w:highlight w:val="none"/>
                <w:lang w:val="en-US" w:eastAsia="zh-CN" w:bidi="ar"/>
              </w:rPr>
              <w:t xml:space="preserve">合同、</w:t>
            </w:r>
            <w:r>
              <w:rPr>
                <w:rFonts w:hint="eastAsia" w:ascii="宋体" w:hAnsi="宋体" w:cs="宋体"/>
                <w:color w:val="auto"/>
                <w:sz w:val="21"/>
                <w:szCs w:val="21"/>
                <w:highlight w:val="none"/>
                <w:lang w:val="en-US" w:eastAsia="zh-CN" w:bidi="ar"/>
              </w:rPr>
              <w:t xml:space="preserve">发票</w:t>
            </w:r>
            <w:r>
              <w:rPr>
                <w:rFonts w:hint="default" w:ascii="宋体" w:hAnsi="宋体" w:eastAsia="宋体" w:cs="宋体"/>
                <w:color w:val="auto"/>
                <w:sz w:val="21"/>
                <w:szCs w:val="21"/>
                <w:highlight w:val="none"/>
                <w:lang w:val="en-US" w:eastAsia="zh-CN" w:bidi="ar"/>
              </w:rPr>
              <w:t xml:space="preserve">、验收证明等</w:t>
            </w:r>
            <w:r>
              <w:rPr>
                <w:rFonts w:hint="eastAsia" w:ascii="宋体" w:hAnsi="宋体" w:eastAsia="宋体" w:cs="宋体"/>
                <w:color w:val="auto"/>
                <w:sz w:val="21"/>
                <w:szCs w:val="21"/>
                <w:highlight w:val="none"/>
                <w:lang w:val="en-US" w:eastAsia="zh-CN" w:bidi="ar"/>
              </w:rPr>
              <w:t xml:space="preserve">）</w:t>
            </w:r>
            <w:r>
              <w:rPr>
                <w:rFonts w:hint="default" w:ascii="宋体" w:hAnsi="宋体" w:eastAsia="宋体" w:cs="宋体"/>
                <w:color w:val="auto"/>
                <w:sz w:val="21"/>
                <w:szCs w:val="21"/>
                <w:highlight w:val="none"/>
                <w:lang w:val="en-US" w:eastAsia="zh-CN" w:bidi="ar"/>
              </w:rPr>
              <w:t xml:space="preserve">并加盖投标人公章；合同内容需明确体现后厨设备采购相关内容、合同签订时间，并清晰标记出高低温冷库（含压缩机组）、商用烤箱、</w:t>
            </w:r>
            <w:r>
              <w:rPr>
                <w:rFonts w:hint="eastAsia" w:ascii="宋体" w:hAnsi="宋体" w:cs="宋体"/>
                <w:color w:val="auto"/>
                <w:sz w:val="21"/>
                <w:szCs w:val="21"/>
                <w:highlight w:val="none"/>
                <w:lang w:val="en-US" w:eastAsia="zh-CN" w:bidi="ar"/>
              </w:rPr>
              <w:t xml:space="preserve">四</w:t>
            </w:r>
            <w:r>
              <w:rPr>
                <w:rFonts w:hint="default" w:ascii="宋体" w:hAnsi="宋体" w:eastAsia="宋体" w:cs="宋体"/>
                <w:color w:val="auto"/>
                <w:sz w:val="21"/>
                <w:szCs w:val="21"/>
                <w:highlight w:val="none"/>
                <w:lang w:val="en-US" w:eastAsia="zh-CN" w:bidi="ar"/>
              </w:rPr>
              <w:t xml:space="preserve">头及以上灶具、四门及以上冷藏柜四类核心设备，未标记体现上述内容、合同关键信息缺失的，该业绩不计分，不得分。</w:t>
            </w:r>
            <w:r/>
          </w:p>
          <w:p>
            <w:pPr>
              <w:ind w:firstLine="420"/>
              <w:jc w:val="left"/>
              <w:keepLines w:val="0"/>
              <w:keepNext w:val="0"/>
              <w:widowControl/>
              <w:rPr>
                <w:rFonts w:hint="eastAsia" w:ascii="宋体" w:hAnsi="宋体" w:cs="宋体"/>
                <w:color w:val="auto"/>
                <w:highlight w:val="none"/>
                <w:lang w:bidi="ar"/>
              </w:rPr>
              <w:suppressLineNumbers w:val="0"/>
            </w:pPr>
            <w:r>
              <w:rPr>
                <w:rFonts w:hint="default" w:ascii="宋体" w:hAnsi="宋体" w:eastAsia="宋体" w:cs="宋体"/>
                <w:color w:val="auto"/>
                <w:sz w:val="21"/>
                <w:szCs w:val="21"/>
                <w:highlight w:val="none"/>
                <w:lang w:val="en-US" w:eastAsia="zh-CN" w:bidi="ar"/>
              </w:rPr>
              <w:t xml:space="preserve">投标人提供的业绩证明材料(含合同、</w:t>
            </w:r>
            <w:r>
              <w:rPr>
                <w:rFonts w:hint="eastAsia" w:ascii="宋体" w:hAnsi="宋体" w:cs="宋体"/>
                <w:color w:val="auto"/>
                <w:sz w:val="21"/>
                <w:szCs w:val="21"/>
                <w:highlight w:val="none"/>
                <w:lang w:val="en-US" w:eastAsia="zh-CN" w:bidi="ar"/>
              </w:rPr>
              <w:t xml:space="preserve">发票</w:t>
            </w:r>
            <w:r>
              <w:rPr>
                <w:rFonts w:hint="default" w:ascii="宋体" w:hAnsi="宋体" w:eastAsia="宋体" w:cs="宋体"/>
                <w:color w:val="auto"/>
                <w:sz w:val="21"/>
                <w:szCs w:val="21"/>
                <w:highlight w:val="none"/>
                <w:lang w:val="en-US" w:eastAsia="zh-CN" w:bidi="ar"/>
              </w:rPr>
              <w:t xml:space="preserve">、验收证明等)若存在虚假、伪造、篡改等情况，一经查实，报同级政府采购监管部门，取消该投标人投标资格(若已中标则取消中标资格)，并记入不良行为记录名单，限制参与本单位后续相关采购项目</w:t>
            </w:r>
            <w:r>
              <w:rPr>
                <w:rFonts w:hint="eastAsia" w:ascii="宋体" w:hAnsi="宋体" w:eastAsia="宋体" w:cs="宋体"/>
                <w:color w:val="auto"/>
                <w:sz w:val="21"/>
                <w:szCs w:val="21"/>
                <w:highlight w:val="none"/>
                <w:lang w:val="en-US" w:eastAsia="zh-CN" w:bidi="ar"/>
              </w:rPr>
              <w:t xml:space="preserve">。</w:t>
            </w:r>
            <w:r/>
          </w:p>
        </w:tc>
        <w:tc>
          <w:tcPr>
            <w:tcW w:w="99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w:t>
            </w:r>
            <w:r/>
          </w:p>
        </w:tc>
      </w:tr>
      <w:tr>
        <w:trPr>
          <w:trHeight w:val="1400"/>
        </w:trPr>
        <w:tc>
          <w:tcPr>
            <w:tcW w:w="672"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4</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免费质量保修期</w:t>
            </w:r>
            <w:r/>
          </w:p>
        </w:tc>
        <w:tc>
          <w:tcPr>
            <w:tcW w:w="5941" w:type="dxa"/>
            <w:vAlign w:val="center"/>
            <w:textDirection w:val="lrTb"/>
            <w:noWrap w:val="false"/>
          </w:tcPr>
          <w:p>
            <w:pPr>
              <w:ind w:firstLine="420"/>
              <w:jc w:val="left"/>
              <w:widowControl/>
              <w:rPr>
                <w:rFonts w:hint="eastAsia" w:ascii="宋体" w:hAnsi="宋体" w:cs="宋体"/>
                <w:color w:val="auto"/>
                <w:highlight w:val="none"/>
                <w:lang w:bidi="ar"/>
              </w:rPr>
            </w:pPr>
            <w:r>
              <w:rPr>
                <w:rFonts w:hint="eastAsia" w:ascii="宋体" w:hAnsi="宋体" w:cs="宋体"/>
                <w:color w:val="auto"/>
                <w:highlight w:val="none"/>
                <w:lang w:bidi="ar"/>
              </w:rPr>
              <w:t xml:space="preserve">在项目需求最低质量保修期三年基础上，每增加1年免费质量保修期的加1分，本项最高得3分。免费质量保修期间产生的所有保修相关费用（包含人工费、备品备件、耗材、服务费、税金以及保修期间涉及到的其他一切费用等）全部由投标人承担。【以投标人投标时提供的承诺函（格式自拟）为准，未提供的不得分】</w:t>
            </w:r>
            <w:r/>
          </w:p>
        </w:tc>
        <w:tc>
          <w:tcPr>
            <w:tcW w:w="99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3分</w:t>
            </w:r>
            <w:r/>
          </w:p>
        </w:tc>
      </w:tr>
      <w:tr>
        <w:trPr>
          <w:trHeight w:val="445"/>
        </w:trPr>
        <w:tc>
          <w:tcPr>
            <w:tcW w:w="672"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5</w:t>
            </w:r>
            <w:r/>
          </w:p>
        </w:tc>
        <w:tc>
          <w:tcPr>
            <w:tcW w:w="1080"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企业实力</w:t>
            </w:r>
            <w:r/>
          </w:p>
        </w:tc>
        <w:tc>
          <w:tcPr>
            <w:tcW w:w="5941" w:type="dxa"/>
            <w:vAlign w:val="center"/>
            <w:textDirection w:val="lrTb"/>
            <w:noWrap w:val="false"/>
          </w:tcPr>
          <w:p>
            <w:pPr>
              <w:ind w:firstLine="420"/>
              <w:jc w:val="left"/>
              <w:widowControl/>
              <w:rPr>
                <w:rFonts w:hint="eastAsia" w:ascii="宋体" w:hAnsi="宋体" w:cs="宋体"/>
                <w:color w:val="auto"/>
                <w:highlight w:val="none"/>
                <w:lang w:bidi="ar"/>
              </w:rPr>
            </w:pPr>
            <w:r/>
            <w:bookmarkStart w:id="182" w:name="OLE_LINK19"/>
            <w:r>
              <w:rPr>
                <w:rFonts w:hint="eastAsia" w:ascii="宋体" w:hAnsi="宋体" w:cs="宋体"/>
                <w:color w:val="auto"/>
                <w:highlight w:val="none"/>
                <w:lang w:bidi="ar"/>
              </w:rPr>
              <w:t xml:space="preserve">投标人或</w:t>
            </w:r>
            <w:bookmarkStart w:id="183" w:name="OLE_LINK2"/>
            <w:r>
              <w:rPr>
                <w:rFonts w:hint="eastAsia" w:ascii="宋体" w:hAnsi="宋体" w:cs="宋体"/>
                <w:color w:val="auto"/>
                <w:highlight w:val="none"/>
                <w:lang w:val="en-US" w:eastAsia="zh-CN" w:bidi="ar"/>
              </w:rPr>
              <w:t xml:space="preserve">投标产品的生产厂家</w:t>
            </w:r>
            <w:bookmarkEnd w:id="183"/>
            <w:r>
              <w:rPr>
                <w:rFonts w:hint="eastAsia" w:ascii="宋体" w:hAnsi="宋体" w:cs="宋体"/>
                <w:color w:val="auto"/>
                <w:highlight w:val="none"/>
                <w:lang w:bidi="ar"/>
              </w:rPr>
              <w:t xml:space="preserve">具备质量管理体系认证证书、环境管理体系认证证书、职业健康安全管理体系认证证书的，且能在全国认证认可信息公共服务平台网站查询，每提供一项得2分，最多得6分。</w:t>
            </w:r>
            <w:bookmarkEnd w:id="182"/>
            <w:r/>
            <w:r/>
          </w:p>
          <w:p>
            <w:pPr>
              <w:ind w:firstLine="420"/>
              <w:jc w:val="left"/>
              <w:widowControl/>
              <w:rPr>
                <w:rFonts w:hint="eastAsia"/>
                <w:color w:val="auto"/>
                <w:highlight w:val="none"/>
              </w:rPr>
            </w:pPr>
            <w:r>
              <w:rPr>
                <w:rFonts w:hint="eastAsia" w:ascii="宋体" w:hAnsi="宋体" w:cs="宋体"/>
                <w:color w:val="auto"/>
                <w:highlight w:val="none"/>
                <w:lang w:bidi="ar"/>
              </w:rPr>
              <w:t xml:space="preserve">注：投标时需提供相关证明材料</w:t>
            </w:r>
            <w:r/>
          </w:p>
        </w:tc>
        <w:tc>
          <w:tcPr>
            <w:tcW w:w="997"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分</w:t>
            </w:r>
            <w:r/>
          </w:p>
        </w:tc>
      </w:tr>
      <w:tr>
        <w:trPr>
          <w:trHeight w:val="445"/>
        </w:trPr>
        <w:tc>
          <w:tcPr>
            <w:tcW w:w="672"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eastAsia="宋体" w:cs="宋体"/>
                <w:color w:val="auto"/>
                <w:spacing w:val="-2"/>
                <w:lang w:val="en-US" w:eastAsia="zh-CN"/>
              </w:rPr>
              <w:t xml:space="preserve">深化设计方案</w:t>
            </w:r>
            <w:r/>
          </w:p>
        </w:tc>
        <w:tc>
          <w:tcPr>
            <w:tcW w:w="5941" w:type="dxa"/>
            <w:vAlign w:val="center"/>
            <w:textDirection w:val="lrTb"/>
            <w:noWrap w:val="false"/>
          </w:tcPr>
          <w:p>
            <w:pPr>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根据投标人提供深化</w:t>
            </w:r>
            <w:r>
              <w:rPr>
                <w:rFonts w:hint="eastAsia" w:ascii="宋体" w:hAnsi="宋体" w:eastAsia="宋体" w:cs="宋体"/>
                <w:color w:val="auto"/>
                <w:highlight w:val="none"/>
                <w:lang w:val="en-US" w:eastAsia="zh-CN"/>
              </w:rPr>
              <w:t xml:space="preserve">方案：</w:t>
            </w:r>
            <w:r/>
          </w:p>
          <w:p>
            <w:pPr>
              <w:numPr>
                <w:ilvl w:val="0"/>
                <w:numId w:val="0"/>
              </w:numPr>
              <w:ind w:firstLine="420"/>
              <w:jc w:val="left"/>
              <w:widowControl w:val="off"/>
              <w:rPr>
                <w:rFonts w:hint="eastAsia" w:ascii="宋体" w:hAnsi="宋体" w:cs="宋体"/>
                <w:color w:val="auto"/>
                <w:highlight w:val="none"/>
                <w:lang w:bidi="ar"/>
              </w:rPr>
            </w:pPr>
            <w:r>
              <w:rPr>
                <w:rFonts w:hint="eastAsia" w:ascii="宋体" w:hAnsi="宋体" w:eastAsia="宋体" w:cs="宋体"/>
                <w:color w:val="auto"/>
                <w:highlight w:val="none"/>
              </w:rPr>
              <w:t xml:space="preserve">厨房设备图纸至少包括①厨房平面图②厨房隔墙地沟平面图③厨房设备给排水点位平面图④厨房设备供电点位平面图⑤厨房设备燃气点位平面图⑥厨房排油烟</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深化的图纸内容</w:t>
            </w:r>
            <w:r>
              <w:rPr>
                <w:rFonts w:hint="eastAsia" w:ascii="宋体" w:hAnsi="宋体" w:eastAsia="宋体" w:cs="宋体"/>
                <w:color w:val="auto"/>
                <w:highlight w:val="none"/>
              </w:rPr>
              <w:t xml:space="preserve">满足以上全部要求且符合本项目实际需求的得</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分，每有一项内容缺失的扣</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分，每有一处内容存在缺陷或不满足要求的扣</w:t>
            </w:r>
            <w:r>
              <w:rPr>
                <w:rFonts w:hint="eastAsia" w:ascii="宋体" w:hAnsi="宋体" w:eastAsia="宋体" w:cs="宋体"/>
                <w:color w:val="auto"/>
                <w:highlight w:val="none"/>
                <w:lang w:val="en-US" w:eastAsia="zh-CN"/>
              </w:rPr>
              <w:t xml:space="preserve">0.5</w:t>
            </w:r>
            <w:r>
              <w:rPr>
                <w:rFonts w:hint="eastAsia" w:ascii="宋体" w:hAnsi="宋体" w:eastAsia="宋体" w:cs="宋体"/>
                <w:color w:val="auto"/>
                <w:highlight w:val="none"/>
              </w:rPr>
              <w:t xml:space="preserve">分，扣完为止。（缺陷或不满足指：与实际需求不符、套用其他项目方案、有规范性或常识性错误、存在无关的事项等任意一种情形）</w:t>
            </w:r>
            <w:r/>
          </w:p>
        </w:tc>
        <w:tc>
          <w:tcPr>
            <w:tcW w:w="997" w:type="dxa"/>
            <w:vAlign w:val="center"/>
            <w:textDirection w:val="lrTb"/>
            <w:noWrap w:val="false"/>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6分</w:t>
            </w:r>
            <w:r/>
          </w:p>
        </w:tc>
      </w:tr>
      <w:tr>
        <w:trPr>
          <w:trHeight w:val="90"/>
        </w:trPr>
        <w:tc>
          <w:tcPr>
            <w:tcW w:w="672"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项目实施方案</w:t>
            </w:r>
            <w:r/>
          </w:p>
        </w:tc>
        <w:tc>
          <w:tcPr>
            <w:tcW w:w="5941" w:type="dxa"/>
            <w:vAlign w:val="center"/>
            <w:textDirection w:val="lrTb"/>
            <w:noWrap w:val="false"/>
          </w:tcPr>
          <w:p>
            <w:pPr>
              <w:pStyle w:val="1651"/>
              <w:ind w:firstLine="420"/>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投标人根据本项目第四部分中“项目实施方案”要求，提供科学合理的项目实施方案，至少包含：①进度保障措施；②供货方案；③运输方案；④设备验收方案等方面内容。</w:t>
            </w:r>
            <w:r/>
          </w:p>
          <w:p>
            <w:pPr>
              <w:pStyle w:val="1651"/>
              <w:ind w:firstLine="420"/>
              <w:rPr>
                <w:color w:val="auto"/>
                <w:highlight w:val="none"/>
              </w:rPr>
            </w:pPr>
            <w:r>
              <w:rPr>
                <w:rFonts w:hint="eastAsia" w:ascii="宋体" w:hAnsi="宋体" w:cs="宋体"/>
                <w:color w:val="auto"/>
                <w:szCs w:val="21"/>
                <w:highlight w:val="none"/>
                <w:lang w:bidi="ar"/>
              </w:rPr>
              <w:t xml:space="preserve">方案内容满足以上全部要求且符合本项目实际需求的，得</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分，每有一项内容缺失的扣</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分，每有一处内容存在缺陷或不满足要求的扣</w:t>
            </w:r>
            <w:r>
              <w:rPr>
                <w:rFonts w:hint="eastAsia" w:ascii="宋体" w:hAnsi="宋体" w:cs="宋体"/>
                <w:color w:val="auto"/>
                <w:szCs w:val="21"/>
                <w:highlight w:val="none"/>
                <w:lang w:val="en-US" w:eastAsia="zh-CN" w:bidi="ar"/>
              </w:rPr>
              <w:t xml:space="preserve">0.5</w:t>
            </w:r>
            <w:r>
              <w:rPr>
                <w:rFonts w:hint="eastAsia" w:ascii="宋体" w:hAnsi="宋体" w:cs="宋体"/>
                <w:color w:val="auto"/>
                <w:szCs w:val="21"/>
                <w:highlight w:val="none"/>
                <w:lang w:bidi="ar"/>
              </w:rPr>
              <w:t xml:space="preserve">分，扣完为止。（缺陷或不满足指：与实际需求不符、套用其他项目方案、有规范性或常识性错误、存在无关的事项等任意一种情形）</w:t>
            </w:r>
            <w:r/>
          </w:p>
        </w:tc>
        <w:tc>
          <w:tcPr>
            <w:tcW w:w="99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tc>
      </w:tr>
      <w:tr>
        <w:trPr>
          <w:trHeight w:val="296"/>
        </w:trPr>
        <w:tc>
          <w:tcPr>
            <w:tcW w:w="672"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1080"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售后服务方案</w:t>
            </w:r>
            <w:r/>
          </w:p>
        </w:tc>
        <w:tc>
          <w:tcPr>
            <w:tcW w:w="5941" w:type="dxa"/>
            <w:vAlign w:val="center"/>
            <w:textDirection w:val="lrTb"/>
            <w:noWrap w:val="false"/>
          </w:tcPr>
          <w:p>
            <w:pPr>
              <w:pStyle w:val="1651"/>
              <w:ind w:firstLine="420"/>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投标人根据本项目第四部分中“售后服务方案”要求，提供科学合理的售后服务方案，至少包含：①售后服务体系；②退换货与更换服务；③定期巡检与预防性维护；④售后保障承诺等方面内容。</w:t>
            </w:r>
            <w:r/>
          </w:p>
          <w:p>
            <w:pPr>
              <w:pStyle w:val="1651"/>
              <w:ind w:firstLine="420"/>
              <w:rPr>
                <w:rFonts w:hint="eastAsia" w:ascii="宋体" w:hAnsi="宋体" w:cs="宋体"/>
                <w:color w:val="auto"/>
                <w:szCs w:val="21"/>
                <w:highlight w:val="none"/>
              </w:rPr>
            </w:pPr>
            <w:r>
              <w:rPr>
                <w:rFonts w:hint="eastAsia" w:ascii="宋体" w:hAnsi="宋体" w:cs="宋体"/>
                <w:color w:val="auto"/>
                <w:szCs w:val="21"/>
                <w:highlight w:val="none"/>
                <w:lang w:bidi="ar"/>
              </w:rPr>
              <w:t xml:space="preserve">方案内容满足以上全部要求且符合本项目实际需求的，得</w:t>
            </w:r>
            <w:r>
              <w:rPr>
                <w:rFonts w:hint="eastAsia" w:ascii="宋体" w:hAnsi="宋体" w:cs="宋体"/>
                <w:color w:val="auto"/>
                <w:szCs w:val="21"/>
                <w:highlight w:val="none"/>
                <w:lang w:val="en-US" w:eastAsia="zh-CN" w:bidi="ar"/>
              </w:rPr>
              <w:t xml:space="preserve">4</w:t>
            </w:r>
            <w:r>
              <w:rPr>
                <w:rFonts w:hint="eastAsia" w:ascii="宋体" w:hAnsi="宋体" w:cs="宋体"/>
                <w:color w:val="auto"/>
                <w:szCs w:val="21"/>
                <w:highlight w:val="none"/>
                <w:lang w:bidi="ar"/>
              </w:rPr>
              <w:t xml:space="preserve">分，每有一项内容缺失的扣</w:t>
            </w:r>
            <w:r>
              <w:rPr>
                <w:rFonts w:hint="eastAsia" w:ascii="宋体" w:hAnsi="宋体" w:cs="宋体"/>
                <w:color w:val="auto"/>
                <w:szCs w:val="21"/>
                <w:highlight w:val="none"/>
                <w:lang w:val="en-US" w:eastAsia="zh-CN" w:bidi="ar"/>
              </w:rPr>
              <w:t xml:space="preserve">1</w:t>
            </w:r>
            <w:r>
              <w:rPr>
                <w:rFonts w:hint="eastAsia" w:ascii="宋体" w:hAnsi="宋体" w:cs="宋体"/>
                <w:color w:val="auto"/>
                <w:szCs w:val="21"/>
                <w:highlight w:val="none"/>
                <w:lang w:bidi="ar"/>
              </w:rPr>
              <w:t xml:space="preserve">分，每有一处内容存在缺陷或不满足要求的扣</w:t>
            </w:r>
            <w:r>
              <w:rPr>
                <w:rFonts w:hint="eastAsia" w:ascii="宋体" w:hAnsi="宋体" w:cs="宋体"/>
                <w:color w:val="auto"/>
                <w:szCs w:val="21"/>
                <w:highlight w:val="none"/>
                <w:lang w:val="en-US" w:eastAsia="zh-CN" w:bidi="ar"/>
              </w:rPr>
              <w:t xml:space="preserve">0.5</w:t>
            </w:r>
            <w:r>
              <w:rPr>
                <w:rFonts w:hint="eastAsia" w:ascii="宋体" w:hAnsi="宋体" w:cs="宋体"/>
                <w:color w:val="auto"/>
                <w:szCs w:val="21"/>
                <w:highlight w:val="none"/>
                <w:lang w:bidi="ar"/>
              </w:rPr>
              <w:t xml:space="preserve">分，扣完为止。（缺陷或不满足指：与实际需求不符、套用其他项目方案、有规范性或常识性错误、存在无关的事项等任意一种情形）</w:t>
            </w:r>
            <w:r/>
          </w:p>
        </w:tc>
        <w:tc>
          <w:tcPr>
            <w:tcW w:w="997"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tc>
      </w:tr>
      <w:tr>
        <w:trPr>
          <w:trHeight w:val="296"/>
        </w:trPr>
        <w:tc>
          <w:tcPr>
            <w:tcW w:w="672" w:type="dxa"/>
            <w:vAlign w:val="center"/>
            <w:textDirection w:val="lrTb"/>
            <w:noWrap w:val="false"/>
          </w:tcPr>
          <w:p>
            <w:pPr>
              <w:jc w:val="center"/>
              <w:widowControl/>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9</w:t>
            </w:r>
            <w:r/>
          </w:p>
        </w:tc>
        <w:tc>
          <w:tcPr>
            <w:tcW w:w="1080" w:type="dxa"/>
            <w:vAlign w:val="center"/>
            <w:textDirection w:val="lrTb"/>
            <w:noWrap w:val="false"/>
          </w:tcPr>
          <w:p>
            <w:pPr>
              <w:jc w:val="center"/>
              <w:spacing w:line="360" w:lineRule="exact"/>
              <w:rPr>
                <w:rFonts w:hint="eastAsia" w:ascii="宋体" w:hAnsi="宋体" w:cs="宋体"/>
                <w:color w:val="auto"/>
                <w:highlight w:val="none"/>
              </w:rPr>
            </w:pPr>
            <w:r/>
            <w:bookmarkStart w:id="184" w:name="OLE_LINK20"/>
            <w:r>
              <w:rPr>
                <w:rFonts w:hint="eastAsia" w:ascii="宋体" w:hAnsi="宋体" w:cs="宋体"/>
                <w:color w:val="auto"/>
                <w:szCs w:val="21"/>
                <w:highlight w:val="none"/>
              </w:rPr>
              <w:t xml:space="preserve">节能环保</w:t>
            </w:r>
            <w:bookmarkEnd w:id="184"/>
            <w:r>
              <w:rPr>
                <w:rFonts w:hint="eastAsia" w:ascii="宋体" w:hAnsi="宋体" w:cs="宋体"/>
                <w:color w:val="auto"/>
                <w:szCs w:val="21"/>
                <w:highlight w:val="none"/>
              </w:rPr>
              <w:t xml:space="preserve">  </w:t>
            </w:r>
            <w:r/>
          </w:p>
        </w:tc>
        <w:tc>
          <w:tcPr>
            <w:tcW w:w="5941" w:type="dxa"/>
            <w:vAlign w:val="center"/>
            <w:textDirection w:val="lrTb"/>
            <w:noWrap w:val="false"/>
          </w:tcPr>
          <w:p>
            <w:pPr>
              <w:pStyle w:val="1670"/>
              <w:ind w:firstLine="420"/>
              <w:spacing w:line="320" w:lineRule="exact"/>
              <w:widowControl/>
              <w:rPr>
                <w:rFonts w:hint="eastAsia"/>
                <w:color w:val="auto"/>
                <w:sz w:val="21"/>
                <w:szCs w:val="21"/>
                <w:highlight w:val="none"/>
                <w:lang w:val="zh-CN"/>
              </w:rPr>
            </w:pPr>
            <w:r>
              <w:rPr>
                <w:rFonts w:hint="eastAsia"/>
                <w:color w:val="auto"/>
                <w:sz w:val="21"/>
                <w:szCs w:val="21"/>
                <w:highlight w:val="none"/>
                <w:lang w:val="en-US" w:eastAsia="zh-CN"/>
              </w:rPr>
              <w:t xml:space="preserve">1.</w:t>
            </w:r>
            <w:r>
              <w:rPr>
                <w:rFonts w:hint="eastAsia"/>
                <w:color w:val="auto"/>
                <w:sz w:val="21"/>
                <w:szCs w:val="21"/>
                <w:highlight w:val="none"/>
                <w:lang w:val="zh-CN"/>
              </w:rPr>
              <w:t xml:space="preserve">投标产品属于财政部、国家发展改革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ind w:firstLine="420"/>
              <w:jc w:val="left"/>
              <w:spacing w:line="360" w:lineRule="exact"/>
              <w:rPr>
                <w:rFonts w:hint="eastAsia" w:ascii="宋体" w:hAnsi="宋体" w:eastAsia="宋体" w:cs="宋体"/>
                <w:color w:val="auto"/>
                <w:szCs w:val="21"/>
                <w:highlight w:val="none"/>
                <w:lang w:bidi="ar"/>
              </w:rPr>
            </w:pPr>
            <w:r>
              <w:rPr>
                <w:rFonts w:hint="eastAsia" w:ascii="宋体" w:hAnsi="宋体" w:cs="宋体"/>
                <w:color w:val="auto"/>
                <w:szCs w:val="21"/>
                <w:highlight w:val="none"/>
                <w:lang w:val="zh-CN"/>
              </w:rPr>
              <w:t xml:space="preserve">2.投标产品属于财政部、生态环境部公布的“环境标志产品品目清单”范围内的，投标人提供国家确定的认证机构出具的、处于有效期内的该环保产品认证证书的，有1个得0.5分，最多得1分。</w:t>
            </w:r>
            <w:r/>
          </w:p>
        </w:tc>
        <w:tc>
          <w:tcPr>
            <w:tcW w:w="997"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2分</w:t>
            </w:r>
            <w:r/>
          </w:p>
        </w:tc>
      </w:tr>
      <w:tr>
        <w:trPr>
          <w:trHeight w:val="296"/>
        </w:trPr>
        <w:tc>
          <w:tcPr>
            <w:tcW w:w="672" w:type="dxa"/>
            <w:vAlign w:val="center"/>
            <w:textDirection w:val="lrTb"/>
            <w:noWrap w:val="false"/>
          </w:tcPr>
          <w:p>
            <w:pPr>
              <w:jc w:val="center"/>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10</w:t>
            </w:r>
            <w:r/>
          </w:p>
        </w:tc>
        <w:tc>
          <w:tcPr>
            <w:tcW w:w="1080"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样品</w:t>
            </w:r>
            <w:r/>
          </w:p>
        </w:tc>
        <w:tc>
          <w:tcPr>
            <w:tcW w:w="5941" w:type="dxa"/>
            <w:vAlign w:val="center"/>
            <w:textDirection w:val="lrTb"/>
            <w:noWrap w:val="false"/>
          </w:tcPr>
          <w:p>
            <w:pPr>
              <w:ind w:firstLine="420"/>
              <w:jc w:val="left"/>
              <w:spacing w:line="36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投标人提供所投</w:t>
            </w:r>
            <w:r>
              <w:rPr>
                <w:rFonts w:hint="eastAsia" w:ascii="宋体" w:hAnsi="宋体" w:eastAsia="宋体" w:cs="宋体"/>
                <w:color w:val="auto"/>
                <w:szCs w:val="21"/>
                <w:highlight w:val="none"/>
                <w:lang w:val="en-US" w:eastAsia="zh-CN"/>
              </w:rPr>
              <w:t xml:space="preserve">不锈钢盆台、工作台</w:t>
            </w:r>
            <w:r>
              <w:rPr>
                <w:rFonts w:hint="eastAsia" w:ascii="宋体" w:hAnsi="宋体" w:eastAsia="宋体" w:cs="宋体"/>
                <w:color w:val="auto"/>
                <w:szCs w:val="21"/>
                <w:highlight w:val="none"/>
                <w:lang w:val="zh-CN"/>
              </w:rPr>
              <w:t xml:space="preserve">样品</w:t>
            </w:r>
            <w:r>
              <w:rPr>
                <w:rFonts w:hint="eastAsia" w:ascii="宋体" w:hAnsi="宋体" w:eastAsia="宋体" w:cs="宋体"/>
                <w:color w:val="auto"/>
                <w:szCs w:val="21"/>
                <w:highlight w:val="none"/>
                <w:lang w:val="en-US" w:eastAsia="zh-CN"/>
              </w:rPr>
              <w:t xml:space="preserve">各</w:t>
            </w:r>
            <w:r>
              <w:rPr>
                <w:rFonts w:hint="eastAsia" w:ascii="宋体" w:hAnsi="宋体" w:eastAsia="宋体" w:cs="宋体"/>
                <w:color w:val="auto"/>
                <w:szCs w:val="21"/>
                <w:highlight w:val="none"/>
                <w:lang w:val="zh-CN"/>
              </w:rPr>
              <w:t xml:space="preserve">一件；根据所提供样品的质量、结构、焊接、做工</w:t>
            </w:r>
            <w:r>
              <w:rPr>
                <w:rFonts w:hint="eastAsia" w:ascii="宋体" w:hAnsi="宋体" w:eastAsia="宋体" w:cs="宋体"/>
                <w:color w:val="auto"/>
                <w:szCs w:val="21"/>
                <w:highlight w:val="none"/>
                <w:lang w:val="en-US" w:eastAsia="zh-CN"/>
              </w:rPr>
              <w:t xml:space="preserve">等方面进行打分</w:t>
            </w:r>
            <w:r>
              <w:rPr>
                <w:rFonts w:hint="eastAsia" w:ascii="宋体" w:hAnsi="宋体" w:eastAsia="宋体" w:cs="宋体"/>
                <w:color w:val="auto"/>
                <w:szCs w:val="21"/>
                <w:highlight w:val="none"/>
                <w:lang w:val="zh-CN"/>
              </w:rPr>
              <w:t xml:space="preserve">。</w:t>
            </w:r>
            <w:r/>
          </w:p>
          <w:p>
            <w:pPr>
              <w:ind w:firstLine="420"/>
              <w:jc w:val="left"/>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质量：</w:t>
            </w:r>
            <w:r>
              <w:rPr>
                <w:rFonts w:hint="eastAsia" w:ascii="宋体" w:hAnsi="宋体" w:eastAsia="宋体" w:cs="宋体"/>
                <w:color w:val="auto"/>
                <w:szCs w:val="21"/>
                <w:highlight w:val="none"/>
                <w:lang w:val="zh-CN"/>
              </w:rPr>
              <w:t xml:space="preserve">材质</w:t>
            </w:r>
            <w:r>
              <w:rPr>
                <w:rFonts w:hint="eastAsia" w:ascii="宋体" w:hAnsi="宋体" w:cs="宋体"/>
                <w:color w:val="auto"/>
                <w:szCs w:val="21"/>
                <w:highlight w:val="none"/>
                <w:lang w:val="zh-CN"/>
              </w:rPr>
              <w:t xml:space="preserve">质感细腻、无杂色、</w:t>
            </w:r>
            <w:r>
              <w:rPr>
                <w:rFonts w:hint="eastAsia" w:ascii="宋体" w:hAnsi="宋体" w:eastAsia="宋体" w:cs="宋体"/>
                <w:color w:val="auto"/>
                <w:szCs w:val="21"/>
                <w:highlight w:val="none"/>
                <w:lang w:val="zh-CN"/>
              </w:rPr>
              <w:t xml:space="preserve">无变形、无裂纹、无明显损伤，表面无锈蚀、无磕碰，整体完好，满足使用要求</w:t>
            </w:r>
            <w:r>
              <w:rPr>
                <w:rFonts w:hint="eastAsia" w:ascii="宋体" w:hAnsi="宋体" w:eastAsia="宋体" w:cs="宋体"/>
                <w:color w:val="auto"/>
                <w:szCs w:val="21"/>
                <w:highlight w:val="none"/>
                <w:lang w:val="en-US" w:eastAsia="zh-CN"/>
              </w:rPr>
              <w:t xml:space="preserve">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lang w:val="zh-CN"/>
              </w:rPr>
              <w:t xml:space="preserve">材质</w:t>
            </w:r>
            <w:r>
              <w:rPr>
                <w:rFonts w:hint="eastAsia" w:ascii="宋体" w:hAnsi="宋体" w:cs="宋体"/>
                <w:color w:val="auto"/>
                <w:szCs w:val="21"/>
                <w:highlight w:val="none"/>
                <w:lang w:val="zh-CN"/>
              </w:rPr>
              <w:t xml:space="preserve">色差大、质感差、</w:t>
            </w:r>
            <w:r>
              <w:rPr>
                <w:rFonts w:hint="eastAsia" w:ascii="宋体" w:hAnsi="宋体" w:eastAsia="宋体" w:cs="宋体"/>
                <w:color w:val="auto"/>
                <w:szCs w:val="21"/>
                <w:highlight w:val="none"/>
                <w:lang w:val="zh-CN"/>
              </w:rPr>
              <w:t xml:space="preserve">有变形、裂纹、锈蚀、严重磕碰等影响使用</w:t>
            </w:r>
            <w:r>
              <w:rPr>
                <w:rFonts w:hint="eastAsia" w:ascii="宋体" w:hAnsi="宋体" w:eastAsia="宋体" w:cs="宋体"/>
                <w:color w:val="auto"/>
                <w:szCs w:val="21"/>
                <w:highlight w:val="none"/>
                <w:lang w:val="en-US" w:eastAsia="zh-CN"/>
              </w:rPr>
              <w:t xml:space="preserve">的得</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lang w:val="en-US" w:eastAsia="zh-CN"/>
              </w:rPr>
              <w:t xml:space="preserve">分；没有提供样品的不得分。</w:t>
            </w:r>
            <w:r/>
          </w:p>
          <w:p>
            <w:pPr>
              <w:ind w:firstLine="420"/>
              <w:jc w:val="left"/>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结构：</w:t>
            </w:r>
            <w:r>
              <w:rPr>
                <w:rFonts w:hint="eastAsia" w:ascii="宋体" w:hAnsi="宋体" w:cs="宋体"/>
                <w:color w:val="auto"/>
                <w:szCs w:val="21"/>
                <w:highlight w:val="none"/>
                <w:lang w:val="en-US" w:eastAsia="zh-CN"/>
              </w:rPr>
              <w:t xml:space="preserve">框架</w:t>
            </w:r>
            <w:r>
              <w:rPr>
                <w:rFonts w:hint="eastAsia" w:ascii="宋体" w:hAnsi="宋体" w:eastAsia="宋体" w:cs="宋体"/>
                <w:color w:val="auto"/>
                <w:szCs w:val="21"/>
                <w:highlight w:val="none"/>
                <w:lang w:val="en-US" w:eastAsia="zh-CN"/>
              </w:rPr>
              <w:t xml:space="preserve">结构</w:t>
            </w:r>
            <w:r>
              <w:rPr>
                <w:rFonts w:hint="eastAsia" w:ascii="宋体" w:hAnsi="宋体" w:cs="宋体"/>
                <w:color w:val="auto"/>
                <w:szCs w:val="21"/>
                <w:highlight w:val="none"/>
                <w:lang w:val="en-US" w:eastAsia="zh-CN"/>
              </w:rPr>
              <w:t xml:space="preserve">与</w:t>
            </w:r>
            <w:r>
              <w:rPr>
                <w:rFonts w:hint="eastAsia" w:ascii="宋体" w:hAnsi="宋体" w:eastAsia="宋体" w:cs="宋体"/>
                <w:color w:val="auto"/>
                <w:szCs w:val="21"/>
                <w:highlight w:val="none"/>
                <w:lang w:val="en-US" w:eastAsia="zh-CN"/>
              </w:rPr>
              <w:t xml:space="preserve">设计</w:t>
            </w:r>
            <w:r>
              <w:rPr>
                <w:rFonts w:hint="eastAsia" w:ascii="宋体" w:hAnsi="宋体" w:cs="宋体"/>
                <w:color w:val="auto"/>
                <w:szCs w:val="21"/>
                <w:highlight w:val="none"/>
                <w:lang w:val="en-US" w:eastAsia="zh-CN"/>
              </w:rPr>
              <w:t xml:space="preserve">布局</w:t>
            </w:r>
            <w:r>
              <w:rPr>
                <w:rFonts w:hint="eastAsia" w:ascii="宋体" w:hAnsi="宋体" w:eastAsia="宋体" w:cs="宋体"/>
                <w:color w:val="auto"/>
                <w:szCs w:val="21"/>
                <w:highlight w:val="none"/>
                <w:lang w:val="en-US" w:eastAsia="zh-CN"/>
              </w:rPr>
              <w:t xml:space="preserve">合理，连接牢固可靠，无松动、无错位，整体稳定性好，符合图纸或技术要求的得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w:t>
            </w:r>
            <w:r>
              <w:rPr>
                <w:rFonts w:hint="eastAsia" w:ascii="宋体" w:hAnsi="宋体" w:cs="宋体"/>
                <w:color w:val="auto"/>
                <w:szCs w:val="21"/>
                <w:highlight w:val="none"/>
                <w:lang w:val="en-US" w:eastAsia="zh-CN"/>
              </w:rPr>
              <w:t xml:space="preserve">框架简单、结构单薄、</w:t>
            </w:r>
            <w:r>
              <w:rPr>
                <w:rFonts w:hint="eastAsia" w:ascii="宋体" w:hAnsi="宋体" w:eastAsia="宋体" w:cs="宋体"/>
                <w:color w:val="auto"/>
                <w:szCs w:val="21"/>
                <w:highlight w:val="none"/>
                <w:lang w:val="en-US" w:eastAsia="zh-CN"/>
              </w:rPr>
              <w:t xml:space="preserve">存在松动、错位、歪斜，稳定性差，达不到技术及使用要求的得</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lang w:val="en-US" w:eastAsia="zh-CN"/>
              </w:rPr>
              <w:t xml:space="preserve">分；没有提供样品的不得分。</w:t>
            </w:r>
            <w:r/>
          </w:p>
          <w:p>
            <w:pPr>
              <w:ind w:firstLine="420"/>
              <w:jc w:val="left"/>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焊接：</w:t>
            </w:r>
            <w:r>
              <w:rPr>
                <w:rFonts w:hint="eastAsia" w:ascii="宋体" w:hAnsi="宋体" w:eastAsia="宋体" w:cs="宋体"/>
                <w:color w:val="auto"/>
                <w:szCs w:val="21"/>
                <w:highlight w:val="none"/>
                <w:lang w:val="en-US" w:eastAsia="zh-CN"/>
              </w:rPr>
              <w:t xml:space="preserve">焊缝均匀饱满，无虚焊、漏焊、夹渣、气孔，无明显焊瘤、咬边，焊接牢固，外观规整的得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分；存在虚焊、漏焊、严重气孔、夹渣、咬边、焊瘤过大等缺陷以及焊接不牢固，存在安全隐患的得</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lang w:val="en-US" w:eastAsia="zh-CN"/>
              </w:rPr>
              <w:t xml:space="preserve">分；没有提供样品的不得分。</w:t>
            </w:r>
            <w:r/>
          </w:p>
          <w:p>
            <w:pPr>
              <w:ind w:firstLine="420"/>
              <w:jc w:val="left"/>
              <w:spacing w:line="360" w:lineRule="exact"/>
              <w:rPr>
                <w:rFonts w:hint="default" w:ascii="宋体" w:hAnsi="宋体" w:eastAsia="宋体" w:cs="宋体"/>
                <w:color w:val="auto"/>
                <w:szCs w:val="21"/>
                <w:highlight w:val="none"/>
                <w:lang w:val="en-US"/>
              </w:rPr>
            </w:pPr>
            <w:r>
              <w:rPr>
                <w:rFonts w:hint="eastAsia" w:ascii="宋体" w:hAnsi="宋体" w:eastAsia="宋体" w:cs="宋体"/>
                <w:color w:val="auto"/>
                <w:szCs w:val="21"/>
                <w:highlight w:val="none"/>
                <w:lang w:val="zh-CN" w:eastAsia="zh-CN"/>
              </w:rPr>
              <w:t xml:space="preserve">做工：</w:t>
            </w:r>
            <w:r>
              <w:rPr>
                <w:rFonts w:hint="eastAsia" w:ascii="宋体" w:hAnsi="宋体" w:eastAsia="宋体" w:cs="宋体"/>
                <w:color w:val="auto"/>
                <w:szCs w:val="21"/>
                <w:highlight w:val="none"/>
                <w:lang w:val="en-US" w:eastAsia="zh-CN"/>
              </w:rPr>
              <w:t xml:space="preserve">整体工艺精细，边角处理平整顺滑，无毛刺、无飞边，装配间隙均匀，表面处理整洁美观的得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分；工艺粗糙，有明显毛刺、飞边、刮手，装配间隙不均，表面处理</w:t>
            </w:r>
            <w:r>
              <w:rPr>
                <w:rFonts w:hint="eastAsia" w:ascii="宋体" w:hAnsi="宋体" w:cs="宋体"/>
                <w:color w:val="auto"/>
                <w:szCs w:val="21"/>
                <w:highlight w:val="none"/>
                <w:lang w:val="en-US" w:eastAsia="zh-CN"/>
              </w:rPr>
              <w:t xml:space="preserve">粗糙</w:t>
            </w:r>
            <w:r>
              <w:rPr>
                <w:rFonts w:hint="eastAsia" w:ascii="宋体" w:hAnsi="宋体" w:eastAsia="宋体" w:cs="宋体"/>
                <w:color w:val="auto"/>
                <w:szCs w:val="21"/>
                <w:highlight w:val="none"/>
                <w:lang w:val="en-US" w:eastAsia="zh-CN"/>
              </w:rPr>
              <w:t xml:space="preserve">的得</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lang w:val="en-US" w:eastAsia="zh-CN"/>
              </w:rPr>
              <w:t xml:space="preserve">分；没有提供样品的不得分。</w:t>
            </w:r>
            <w:r/>
          </w:p>
        </w:tc>
        <w:tc>
          <w:tcPr>
            <w:tcW w:w="997" w:type="dxa"/>
            <w:vAlign w:val="center"/>
            <w:textDirection w:val="lrTb"/>
            <w:noWrap w:val="false"/>
          </w:tcPr>
          <w:p>
            <w:pPr>
              <w:jc w:val="center"/>
              <w:widowControl/>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4分</w:t>
            </w:r>
            <w:r/>
          </w:p>
        </w:tc>
      </w:tr>
      <w:tr>
        <w:trPr>
          <w:trHeight w:val="2706"/>
        </w:trPr>
        <w:tc>
          <w:tcPr>
            <w:tcW w:w="672" w:type="dxa"/>
            <w:vAlign w:val="center"/>
            <w:textDirection w:val="lrTb"/>
            <w:noWrap w:val="false"/>
          </w:tcPr>
          <w:p>
            <w:pPr>
              <w:jc w:val="center"/>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11</w:t>
            </w:r>
            <w:r/>
          </w:p>
        </w:tc>
        <w:tc>
          <w:tcPr>
            <w:tcW w:w="1080" w:type="dxa"/>
            <w:vAlign w:val="center"/>
            <w:textDirection w:val="lrTb"/>
            <w:noWrap w:val="false"/>
          </w:tcPr>
          <w:p>
            <w:pPr>
              <w:jc w:val="cente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人员</w:t>
            </w:r>
            <w:r/>
          </w:p>
        </w:tc>
        <w:tc>
          <w:tcPr>
            <w:tcW w:w="5941" w:type="dxa"/>
            <w:vAlign w:val="center"/>
            <w:textDirection w:val="lrTb"/>
            <w:noWrap w:val="false"/>
          </w:tcPr>
          <w:p>
            <w:pPr>
              <w:ind w:firstLine="420"/>
              <w:jc w:val="left"/>
              <w:keepLines w:val="0"/>
              <w:keepNext w:val="0"/>
              <w:widowControl/>
              <w:rPr>
                <w:rFonts w:hint="eastAsia" w:ascii="宋体" w:hAnsi="宋体" w:eastAsia="宋体" w:cs="宋体"/>
                <w:color w:val="auto"/>
                <w:szCs w:val="21"/>
                <w:highlight w:val="none"/>
                <w:lang w:val="zh-CN"/>
              </w:rPr>
              <w:suppressLineNumbers w:val="0"/>
            </w:pPr>
            <w:r>
              <w:rPr>
                <w:rFonts w:hint="eastAsia" w:ascii="宋体" w:hAnsi="宋体" w:eastAsia="宋体" w:cs="宋体"/>
                <w:color w:val="auto"/>
                <w:szCs w:val="21"/>
                <w:highlight w:val="none"/>
                <w:lang w:val="zh-CN"/>
              </w:rPr>
              <w:t xml:space="preserve">在满足招标文件资格条件的前提下，投标人拟派本项目安装人员持有应急管理部门颁发且在有效期内的特种作业操作证（作业类别：焊接与热切割作业）的，</w:t>
            </w:r>
            <w:r>
              <w:rPr>
                <w:rFonts w:hint="default" w:ascii="宋体" w:hAnsi="宋体" w:eastAsia="宋体" w:cs="宋体"/>
                <w:color w:val="auto"/>
                <w:szCs w:val="21"/>
                <w:highlight w:val="none"/>
                <w:lang w:val="en-US" w:eastAsia="zh-CN"/>
              </w:rPr>
              <w:t xml:space="preserve">且该人员由投标人依法缴纳社保（需提供投标截止日前近1个月社保缴纳证明，退休返聘人员需提供退休证及返聘合同）</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每有1人得0.</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5分，本项最高得</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lang w:val="zh-CN"/>
              </w:rPr>
              <w:t xml:space="preserve">分。</w:t>
            </w:r>
            <w:r/>
          </w:p>
          <w:p>
            <w:pPr>
              <w:ind w:firstLine="420"/>
              <w:jc w:val="left"/>
              <w:spacing w:line="36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在满足招标文件资格条件的前提下，投标人拟派本项目安装人员持有应急管理部门颁发且在有效期内的特种作业操作证（作业类别：电工作业）的，</w:t>
            </w:r>
            <w:r>
              <w:rPr>
                <w:rFonts w:hint="default" w:ascii="宋体" w:hAnsi="宋体" w:eastAsia="宋体" w:cs="宋体"/>
                <w:color w:val="auto"/>
                <w:szCs w:val="21"/>
                <w:highlight w:val="none"/>
                <w:lang w:val="en-US" w:eastAsia="zh-CN"/>
              </w:rPr>
              <w:t xml:space="preserve">且该人员由投标人依法缴纳社保（需提供投标截止日前近1个月社保缴纳证明，退休返聘人员需提供退休证及返聘合同）</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lang w:val="zh-CN"/>
              </w:rPr>
              <w:t xml:space="preserve">每有1人得0.</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5分，本项最高得</w:t>
            </w:r>
            <w:r>
              <w:rPr>
                <w:rFonts w:hint="eastAsia" w:ascii="宋体" w:hAnsi="宋体" w:cs="宋体"/>
                <w:color w:val="auto"/>
                <w:szCs w:val="21"/>
                <w:highlight w:val="none"/>
                <w:lang w:val="en-US" w:eastAsia="zh-CN"/>
              </w:rPr>
              <w:t xml:space="preserve">0.5</w:t>
            </w:r>
            <w:r>
              <w:rPr>
                <w:rFonts w:hint="eastAsia" w:ascii="宋体" w:hAnsi="宋体" w:eastAsia="宋体" w:cs="宋体"/>
                <w:color w:val="auto"/>
                <w:szCs w:val="21"/>
                <w:highlight w:val="none"/>
                <w:lang w:val="zh-CN"/>
              </w:rPr>
              <w:t xml:space="preserve">分。</w:t>
            </w:r>
            <w:r/>
          </w:p>
          <w:p>
            <w:pPr>
              <w:ind w:firstLine="420"/>
              <w:jc w:val="left"/>
              <w:spacing w:line="360" w:lineRule="exact"/>
              <w:rPr>
                <w:rFonts w:hint="eastAsia" w:ascii="宋体" w:hAnsi="宋体" w:eastAsia="宋体" w:cs="宋体"/>
                <w:color w:val="auto"/>
                <w:szCs w:val="21"/>
                <w:highlight w:val="none"/>
                <w:lang w:val="zh-CN"/>
              </w:rPr>
            </w:pPr>
            <w:r>
              <w:rPr>
                <w:rFonts w:hint="default" w:ascii="宋体" w:hAnsi="宋体" w:eastAsia="宋体" w:cs="宋体"/>
                <w:color w:val="auto"/>
                <w:szCs w:val="21"/>
                <w:highlight w:val="none"/>
                <w:lang w:val="en-US" w:eastAsia="zh-CN"/>
              </w:rPr>
              <w:t xml:space="preserve">社保缴纳证明需为社保部门出具的有效凭证（含电子签章），缴纳单位需与投标人全称一致，若为人力资源公司代缴，需额外提供用工合同及隶属关系证明；新入职人员可提供至少1个月社保缴纳证明及聘用合同，否则该人员资质不计分。</w:t>
            </w:r>
            <w:r/>
          </w:p>
        </w:tc>
        <w:tc>
          <w:tcPr>
            <w:tcW w:w="997" w:type="dxa"/>
            <w:vAlign w:val="center"/>
            <w:textDirection w:val="lrTb"/>
            <w:noWrap w:val="false"/>
          </w:tcPr>
          <w:p>
            <w:pPr>
              <w:jc w:val="center"/>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1分</w:t>
            </w:r>
            <w:r/>
          </w:p>
        </w:tc>
      </w:tr>
    </w:tbl>
    <w:p>
      <w:pPr>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br w:type="page" w:clear="all"/>
      </w:r>
      <w:r/>
    </w:p>
    <w:p>
      <w:pPr>
        <w:pStyle w:val="1487"/>
        <w:rPr>
          <w:rFonts w:hint="eastAsia"/>
        </w:rPr>
      </w:pPr>
      <w:r>
        <w:rPr>
          <w:rFonts w:hint="eastAsia"/>
        </w:rPr>
      </w:r>
      <w:r/>
    </w:p>
    <w:p>
      <w:pPr>
        <w:pStyle w:val="1656"/>
        <w:jc w:val="center"/>
        <w:keepNext/>
        <w:spacing w:beforeAutospacing="0" w:afterAutospacing="0"/>
        <w:rPr>
          <w:color w:val="000000"/>
          <w:highlight w:val="none"/>
        </w:rPr>
      </w:pPr>
      <w:r>
        <w:rPr>
          <w:rFonts w:hint="eastAsia" w:ascii="黑体" w:hAnsi="宋体" w:eastAsia="黑体" w:cs="黑体"/>
          <w:color w:val="000000"/>
          <w:sz w:val="44"/>
          <w:szCs w:val="44"/>
          <w:highlight w:val="none"/>
        </w:rPr>
        <w:t xml:space="preserve">第六章  投标文件格式 </w:t>
      </w:r>
      <w:r/>
    </w:p>
    <w:p>
      <w:pPr>
        <w:pStyle w:val="1656"/>
        <w:jc w:val="center"/>
        <w:spacing w:beforeAutospacing="0" w:afterAutospacing="0"/>
        <w:rPr>
          <w:rFonts w:hint="eastAsia" w:ascii="宋体" w:hAnsi="宋体" w:cs="宋体"/>
          <w:b/>
          <w:color w:val="000000"/>
          <w:sz w:val="72"/>
          <w:szCs w:val="72"/>
          <w:highlight w:val="none"/>
        </w:rPr>
      </w:pPr>
      <w:r/>
      <w:bookmarkStart w:id="185" w:name="_Toc120614282"/>
      <w:r/>
      <w:bookmarkEnd w:id="185"/>
      <w:r/>
      <w:bookmarkStart w:id="186" w:name="_Toc49090576"/>
      <w:r/>
      <w:bookmarkEnd w:id="186"/>
      <w:r/>
      <w:bookmarkStart w:id="187" w:name="_Toc26554094"/>
      <w:r/>
      <w:bookmarkStart w:id="188" w:name="_Hlt26671244"/>
      <w:r/>
      <w:bookmarkStart w:id="189" w:name="_Hlt26955039"/>
      <w:r/>
      <w:r/>
    </w:p>
    <w:p>
      <w:pPr>
        <w:pStyle w:val="1656"/>
        <w:jc w:val="center"/>
        <w:spacing w:beforeAutospacing="0" w:afterAutospacing="0"/>
        <w:rPr>
          <w:color w:val="000000"/>
          <w:highlight w:val="none"/>
        </w:rPr>
      </w:pPr>
      <w:r>
        <w:rPr>
          <w:rFonts w:hint="eastAsia" w:ascii="宋体" w:hAnsi="宋体" w:cs="宋体"/>
          <w:b/>
          <w:color w:val="000000"/>
          <w:sz w:val="72"/>
          <w:szCs w:val="72"/>
          <w:highlight w:val="none"/>
        </w:rPr>
        <w:t xml:space="preserve">投  标  文  件</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p>
    <w:p>
      <w:pPr>
        <w:pStyle w:val="1656"/>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p>
    <w:p>
      <w:pPr>
        <w:pStyle w:val="1656"/>
        <w:jc w:val="both"/>
        <w:spacing w:beforeAutospacing="0" w:afterAutospacing="0"/>
        <w:rPr>
          <w:color w:val="000000"/>
          <w:highlight w:val="none"/>
        </w:rPr>
      </w:pPr>
      <w:r>
        <w:rPr>
          <w:rFonts w:hint="eastAsia" w:ascii="宋体" w:hAnsi="宋体" w:cs="宋体"/>
          <w:b/>
          <w:color w:val="000000"/>
          <w:sz w:val="36"/>
          <w:szCs w:val="36"/>
          <w:highlight w:val="none"/>
        </w:rPr>
        <w:t xml:space="preserve">   投标人名称 ：</w:t>
      </w:r>
      <w:r>
        <w:rPr>
          <w:rFonts w:hint="eastAsia" w:ascii="宋体" w:hAnsi="宋体" w:cs="宋体"/>
          <w:b/>
          <w:color w:val="000000"/>
          <w:sz w:val="36"/>
          <w:szCs w:val="36"/>
          <w:highlight w:val="none"/>
          <w:u w:val="single"/>
        </w:rPr>
        <w:t xml:space="preserve">（加盖CA电子公章）</w:t>
      </w:r>
      <w:r/>
    </w:p>
    <w:p>
      <w:pPr>
        <w:pStyle w:val="1656"/>
        <w:jc w:val="both"/>
        <w:spacing w:beforeAutospacing="0" w:afterAutospacing="0"/>
        <w:rPr>
          <w:color w:val="000000"/>
          <w:highlight w:val="none"/>
        </w:rPr>
      </w:pPr>
      <w:r>
        <w:rPr>
          <w:rFonts w:hint="eastAsia" w:ascii="宋体" w:hAnsi="宋体" w:cs="宋体"/>
          <w:b/>
          <w:color w:val="000000"/>
          <w:sz w:val="36"/>
          <w:szCs w:val="36"/>
          <w:highlight w:val="none"/>
        </w:rPr>
        <w:t xml:space="preserve">   日   期 ：</w:t>
      </w:r>
      <w:r>
        <w:rPr>
          <w:rFonts w:hint="eastAsia" w:ascii="宋体" w:hAnsi="宋体" w:cs="宋体"/>
          <w:b/>
          <w:color w:val="000000"/>
          <w:sz w:val="36"/>
          <w:szCs w:val="36"/>
          <w:highlight w:val="none"/>
          <w:u w:val="single"/>
        </w:rPr>
        <w:t xml:space="preserve">             </w:t>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both"/>
        <w:spacing w:beforeAutospacing="0" w:afterAutospacing="0" w:line="0" w:lineRule="atLeast"/>
        <w:rPr>
          <w:color w:val="000000"/>
          <w:highlight w:val="none"/>
        </w:rPr>
      </w:pPr>
      <w:r>
        <w:rPr>
          <w:color w:val="000000"/>
          <w:highlight w:val="none"/>
        </w:rPr>
      </w:r>
      <w:r/>
    </w:p>
    <w:p>
      <w:pPr>
        <w:pStyle w:val="1656"/>
        <w:jc w:val="both"/>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rFonts w:hint="eastAsia" w:ascii="宋体" w:hAnsi="宋体" w:cs="宋体"/>
          <w:b/>
          <w:color w:val="000000"/>
          <w:sz w:val="32"/>
          <w:szCs w:val="32"/>
          <w:highlight w:val="none"/>
        </w:rPr>
        <w:t xml:space="preserve">投标文件目录</w:t>
      </w:r>
      <w:r/>
    </w:p>
    <w:p>
      <w:pPr>
        <w:pStyle w:val="1656"/>
        <w:jc w:val="center"/>
        <w:spacing w:beforeAutospacing="0" w:afterAutospacing="0" w:line="0" w:lineRule="atLeast"/>
        <w:rPr>
          <w:color w:val="000000"/>
          <w:highlight w:val="none"/>
        </w:rPr>
      </w:pPr>
      <w:r>
        <w:rPr>
          <w:color w:val="000000"/>
          <w:highlight w:val="none"/>
        </w:rPr>
        <w:t xml:space="preserve"> </w:t>
      </w:r>
      <w:r/>
    </w:p>
    <w:p>
      <w:pPr>
        <w:pStyle w:val="1656"/>
        <w:ind w:left="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Cs/>
          <w:color w:val="000000"/>
          <w:sz w:val="21"/>
          <w:szCs w:val="21"/>
          <w:highlight w:val="none"/>
          <w:lang w:val="en-US" w:eastAsia="zh-CN" w:bidi="ar-SA"/>
        </w:rPr>
      </w:pPr>
      <w:r>
        <w:rPr>
          <w:rFonts w:hint="eastAsia" w:ascii="宋体" w:hAnsi="宋体" w:cs="宋体"/>
          <w:iCs/>
          <w:color w:val="000000"/>
          <w:szCs w:val="21"/>
          <w:highlight w:val="none"/>
        </w:rPr>
        <w:t xml:space="preserve">二、</w:t>
      </w:r>
      <w:r>
        <w:rPr>
          <w:rFonts w:hint="eastAsia" w:ascii="宋体" w:hAnsi="宋体" w:eastAsia="宋体" w:cs="宋体"/>
          <w:iCs/>
          <w:color w:val="000000"/>
          <w:sz w:val="21"/>
          <w:szCs w:val="21"/>
          <w:highlight w:val="none"/>
          <w:lang w:val="en-US" w:eastAsia="zh-CN" w:bidi="ar-SA"/>
        </w:rPr>
        <w:t xml:space="preserve">上一年度的财务状况报</w:t>
      </w:r>
      <w:r>
        <w:rPr>
          <w:rFonts w:hint="eastAsia" w:ascii="宋体" w:hAnsi="宋体" w:eastAsia="宋体" w:cs="宋体"/>
          <w:color w:val="000000"/>
          <w:sz w:val="21"/>
          <w:szCs w:val="21"/>
          <w:highlight w:val="none"/>
          <w:lang w:eastAsia="zh-CN"/>
        </w:rPr>
        <w:t xml:space="preserve">表</w:t>
      </w:r>
      <w:r>
        <w:rPr>
          <w:rFonts w:hint="eastAsia" w:ascii="宋体" w:hAnsi="宋体" w:eastAsia="宋体" w:cs="宋体"/>
          <w:color w:val="000000"/>
          <w:sz w:val="21"/>
          <w:szCs w:val="21"/>
          <w:highlight w:val="none"/>
        </w:rPr>
        <w:t xml:space="preserve">（2025年财务状况表未出的，可使用2024年度报表，成立不满一年无需提供）</w:t>
      </w:r>
      <w:r/>
    </w:p>
    <w:p>
      <w:pPr>
        <w:pStyle w:val="1656"/>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三、具备履行合同所必需的设备和专业技术能力的书面声明</w:t>
      </w:r>
      <w:r/>
    </w:p>
    <w:p>
      <w:pPr>
        <w:pStyle w:val="1656"/>
        <w:ind w:left="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1656"/>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rPr>
        <w:t xml:space="preserve">五、参加政府采购活动前3年内在经营活动中没有重大违法记录的书面声明</w:t>
      </w:r>
      <w:r/>
    </w:p>
    <w:p>
      <w:pPr>
        <w:pStyle w:val="1656"/>
        <w:ind w:firstLine="480"/>
        <w:jc w:val="both"/>
        <w:spacing w:beforeAutospacing="0" w:afterAutospacing="0" w:line="36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eastAsia="zh-CN"/>
        </w:rPr>
        <w:t xml:space="preserve">六、</w:t>
      </w:r>
      <w:r>
        <w:rPr>
          <w:rFonts w:hint="eastAsia" w:ascii="宋体" w:hAnsi="宋体" w:eastAsia="宋体" w:cs="宋体"/>
          <w:iCs/>
          <w:color w:val="000000"/>
          <w:sz w:val="21"/>
          <w:szCs w:val="21"/>
          <w:highlight w:val="none"/>
        </w:rPr>
        <w:t xml:space="preserve">单位负责人为同一人或者存在直接控股、管理关系的不同供应商，不得参加同一合同项下的政府采购活动。</w:t>
      </w:r>
      <w:r>
        <w:rPr>
          <w:rFonts w:hint="eastAsia" w:ascii="宋体" w:hAnsi="宋体" w:eastAsia="宋体" w:cs="宋体"/>
          <w:iCs/>
          <w:color w:val="000000"/>
          <w:sz w:val="21"/>
          <w:szCs w:val="21"/>
          <w:highlight w:val="none"/>
          <w:lang w:eastAsia="zh-CN"/>
        </w:rPr>
        <w:t xml:space="preserve">（自行提供，格式自拟）</w:t>
      </w:r>
      <w:r/>
    </w:p>
    <w:p>
      <w:pPr>
        <w:pStyle w:val="1656"/>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lang w:eastAsia="zh-CN"/>
        </w:rPr>
        <w:t xml:space="preserve">七</w:t>
      </w:r>
      <w:r>
        <w:rPr>
          <w:rFonts w:hint="eastAsia" w:ascii="宋体" w:hAnsi="宋体" w:cs="宋体"/>
          <w:iCs/>
          <w:color w:val="000000"/>
          <w:sz w:val="21"/>
          <w:szCs w:val="21"/>
          <w:highlight w:val="none"/>
        </w:rPr>
        <w:t xml:space="preserve">、特定资格要求的证明文件（如果本项目设置特定资格要求，则需要提供）</w:t>
      </w:r>
      <w:r/>
    </w:p>
    <w:p>
      <w:pPr>
        <w:pStyle w:val="1656"/>
        <w:ind w:firstLine="480"/>
        <w:jc w:val="both"/>
        <w:spacing w:beforeAutospacing="0" w:afterAutospacing="0" w:line="360" w:lineRule="auto"/>
        <w:rPr>
          <w:iCs/>
          <w:color w:val="000000"/>
          <w:sz w:val="21"/>
          <w:szCs w:val="21"/>
          <w:highlight w:val="none"/>
        </w:rPr>
      </w:pPr>
      <w:r>
        <w:rPr>
          <w:rFonts w:hint="eastAsia" w:ascii="宋体" w:hAnsi="宋体" w:cs="宋体"/>
          <w:iCs/>
          <w:color w:val="000000"/>
          <w:sz w:val="21"/>
          <w:szCs w:val="21"/>
          <w:highlight w:val="none"/>
          <w:lang w:eastAsia="zh-CN"/>
        </w:rPr>
        <w:t xml:space="preserve">八</w:t>
      </w:r>
      <w:r>
        <w:rPr>
          <w:rFonts w:hint="eastAsia" w:ascii="宋体" w:hAnsi="宋体" w:cs="宋体"/>
          <w:iCs/>
          <w:color w:val="000000"/>
          <w:sz w:val="21"/>
          <w:szCs w:val="21"/>
          <w:highlight w:val="none"/>
        </w:rPr>
        <w:t xml:space="preserve">、法人授权书</w:t>
      </w:r>
      <w:r/>
    </w:p>
    <w:p>
      <w:pPr>
        <w:pStyle w:val="165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lang w:eastAsia="zh-CN"/>
        </w:rPr>
        <w:t xml:space="preserve">九</w:t>
      </w:r>
      <w:r>
        <w:rPr>
          <w:rFonts w:hint="eastAsia" w:ascii="宋体" w:hAnsi="宋体" w:cs="宋体"/>
          <w:iCs/>
          <w:color w:val="000000"/>
          <w:sz w:val="21"/>
          <w:szCs w:val="21"/>
          <w:highlight w:val="none"/>
        </w:rPr>
        <w:t xml:space="preserve">、投标函</w:t>
      </w:r>
      <w:r/>
    </w:p>
    <w:p>
      <w:pPr>
        <w:pStyle w:val="165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lang w:eastAsia="zh-CN"/>
        </w:rPr>
        <w:t xml:space="preserve">十</w:t>
      </w:r>
      <w:r>
        <w:rPr>
          <w:rFonts w:hint="eastAsia" w:ascii="宋体" w:hAnsi="宋体" w:cs="宋体"/>
          <w:iCs/>
          <w:color w:val="000000"/>
          <w:sz w:val="21"/>
          <w:szCs w:val="21"/>
          <w:highlight w:val="none"/>
        </w:rPr>
        <w:t xml:space="preserve">、中小企业声明函</w:t>
      </w:r>
      <w:r/>
    </w:p>
    <w:p>
      <w:pPr>
        <w:pStyle w:val="165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eastAsia="zh-CN"/>
        </w:rPr>
        <w:t xml:space="preserve">一</w:t>
      </w:r>
      <w:r>
        <w:rPr>
          <w:rFonts w:hint="eastAsia" w:ascii="宋体" w:hAnsi="宋体" w:cs="宋体"/>
          <w:iCs/>
          <w:color w:val="000000"/>
          <w:sz w:val="21"/>
          <w:szCs w:val="21"/>
          <w:highlight w:val="none"/>
        </w:rPr>
        <w:t xml:space="preserve">、残疾人福利性单位声明函</w:t>
      </w:r>
      <w:r/>
    </w:p>
    <w:p>
      <w:pPr>
        <w:pStyle w:val="1656"/>
        <w:ind w:firstLine="480"/>
        <w:jc w:val="both"/>
        <w:spacing w:beforeAutospacing="0" w:afterAutospacing="0" w:line="36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lang w:val="en-US" w:eastAsia="zh-CN"/>
        </w:rPr>
        <w:t xml:space="preserve">十</w:t>
      </w:r>
      <w:r>
        <w:rPr>
          <w:rFonts w:hint="eastAsia" w:ascii="宋体" w:hAnsi="宋体" w:cs="宋体"/>
          <w:iCs/>
          <w:color w:val="000000"/>
          <w:sz w:val="21"/>
          <w:szCs w:val="21"/>
          <w:highlight w:val="none"/>
          <w:lang w:val="en-US" w:eastAsia="zh-CN"/>
        </w:rPr>
        <w:t xml:space="preserve">二</w:t>
      </w:r>
      <w:r>
        <w:rPr>
          <w:rFonts w:hint="eastAsia" w:ascii="宋体" w:hAnsi="宋体" w:eastAsia="宋体" w:cs="宋体"/>
          <w:iCs/>
          <w:color w:val="000000"/>
          <w:sz w:val="21"/>
          <w:szCs w:val="21"/>
          <w:highlight w:val="none"/>
          <w:lang w:val="en-US" w:eastAsia="zh-CN"/>
        </w:rPr>
        <w:t xml:space="preserve">、</w:t>
      </w:r>
      <w:r>
        <w:rPr>
          <w:rFonts w:hint="eastAsia" w:ascii="宋体" w:hAnsi="宋体" w:eastAsia="宋体" w:cs="宋体"/>
          <w:iCs/>
          <w:color w:val="000000"/>
          <w:sz w:val="21"/>
          <w:szCs w:val="21"/>
          <w:highlight w:val="none"/>
        </w:rPr>
        <w:t xml:space="preserve">关于符合本国产品标准的声明函</w:t>
      </w:r>
      <w:r/>
    </w:p>
    <w:p>
      <w:pPr>
        <w:pStyle w:val="165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三</w:t>
      </w:r>
      <w:r>
        <w:rPr>
          <w:rFonts w:hint="eastAsia" w:ascii="宋体" w:hAnsi="宋体" w:cs="宋体"/>
          <w:iCs/>
          <w:color w:val="000000"/>
          <w:sz w:val="21"/>
          <w:szCs w:val="21"/>
          <w:highlight w:val="none"/>
        </w:rPr>
        <w:t xml:space="preserve">、投标分项报价表</w:t>
      </w:r>
      <w:r/>
    </w:p>
    <w:p>
      <w:pPr>
        <w:pStyle w:val="1656"/>
        <w:ind w:firstLine="480"/>
        <w:jc w:val="both"/>
        <w:spacing w:beforeAutospacing="0" w:afterAutospacing="0" w:line="360" w:lineRule="auto"/>
        <w:rPr>
          <w:rFonts w:hint="eastAsia" w:ascii="宋体" w:hAnsi="宋体" w:eastAsia="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四</w:t>
      </w:r>
      <w:r>
        <w:rPr>
          <w:rFonts w:hint="eastAsia" w:ascii="宋体" w:hAnsi="宋体" w:cs="宋体"/>
          <w:iCs/>
          <w:color w:val="000000"/>
          <w:sz w:val="21"/>
          <w:szCs w:val="21"/>
          <w:highlight w:val="none"/>
        </w:rPr>
        <w:t xml:space="preserve">、技术要求响应及偏离表</w:t>
      </w:r>
      <w:r/>
    </w:p>
    <w:p>
      <w:pPr>
        <w:pStyle w:val="1656"/>
        <w:ind w:firstLine="480"/>
        <w:jc w:val="both"/>
        <w:spacing w:beforeAutospacing="0" w:afterAutospacing="0" w:line="360" w:lineRule="auto"/>
        <w:rPr>
          <w:rFonts w:hint="eastAsia" w:ascii="宋体" w:hAnsi="宋体" w:eastAsia="宋体" w:cs="宋体"/>
          <w:iCs/>
          <w:color w:val="000000"/>
          <w:sz w:val="21"/>
          <w:szCs w:val="21"/>
          <w:highlight w:val="none"/>
        </w:rPr>
      </w:pPr>
      <w:r>
        <w:rPr>
          <w:rFonts w:hint="eastAsia" w:ascii="宋体" w:hAnsi="宋体" w:eastAsia="宋体" w:cs="宋体"/>
          <w:iCs/>
          <w:color w:val="000000"/>
          <w:sz w:val="21"/>
          <w:szCs w:val="21"/>
          <w:highlight w:val="none"/>
        </w:rPr>
        <w:t xml:space="preserve">十</w:t>
      </w:r>
      <w:r>
        <w:rPr>
          <w:rFonts w:hint="eastAsia" w:ascii="宋体" w:hAnsi="宋体" w:eastAsia="宋体" w:cs="宋体"/>
          <w:iCs/>
          <w:color w:val="000000"/>
          <w:sz w:val="21"/>
          <w:szCs w:val="21"/>
          <w:highlight w:val="none"/>
          <w:lang w:val="en-US" w:eastAsia="zh-CN"/>
        </w:rPr>
        <w:t xml:space="preserve">五</w:t>
      </w:r>
      <w:r>
        <w:rPr>
          <w:rFonts w:hint="eastAsia" w:ascii="宋体" w:hAnsi="宋体" w:eastAsia="宋体" w:cs="宋体"/>
          <w:iCs/>
          <w:color w:val="000000"/>
          <w:sz w:val="21"/>
          <w:szCs w:val="21"/>
          <w:highlight w:val="none"/>
        </w:rPr>
        <w:t xml:space="preserve">、商务要求响应及偏离表</w:t>
      </w:r>
      <w:r/>
    </w:p>
    <w:p>
      <w:pPr>
        <w:pStyle w:val="165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六</w:t>
      </w:r>
      <w:r>
        <w:rPr>
          <w:rFonts w:hint="eastAsia" w:ascii="宋体" w:hAnsi="宋体" w:cs="宋体"/>
          <w:iCs/>
          <w:color w:val="000000"/>
          <w:sz w:val="21"/>
          <w:szCs w:val="21"/>
          <w:highlight w:val="none"/>
        </w:rPr>
        <w:t xml:space="preserve">、开标一览表</w:t>
      </w:r>
      <w:r/>
    </w:p>
    <w:p>
      <w:pPr>
        <w:pStyle w:val="165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eastAsia="zh-CN"/>
        </w:rPr>
        <w:t xml:space="preserve">七</w:t>
      </w:r>
      <w:r>
        <w:rPr>
          <w:rFonts w:hint="eastAsia" w:ascii="宋体" w:hAnsi="宋体" w:cs="宋体"/>
          <w:iCs/>
          <w:color w:val="000000"/>
          <w:sz w:val="21"/>
          <w:szCs w:val="21"/>
          <w:highlight w:val="none"/>
        </w:rPr>
        <w:t xml:space="preserve">、技术方案、服务承诺、培训承诺等</w:t>
      </w:r>
      <w:r/>
    </w:p>
    <w:p>
      <w:pPr>
        <w:pStyle w:val="1656"/>
        <w:ind w:firstLine="480"/>
        <w:jc w:val="both"/>
        <w:spacing w:beforeAutospacing="0" w:afterAutospacing="0" w:line="360" w:lineRule="auto"/>
        <w:rPr>
          <w:rFonts w:hint="eastAsia" w:ascii="宋体" w:hAnsi="宋体" w:cs="宋体"/>
          <w:iCs/>
          <w:color w:val="000000"/>
          <w:sz w:val="21"/>
          <w:szCs w:val="21"/>
          <w:highlight w:val="none"/>
        </w:rPr>
      </w:pPr>
      <w:r>
        <w:rPr>
          <w:rFonts w:hint="eastAsia" w:ascii="宋体" w:hAnsi="宋体" w:cs="宋体"/>
          <w:iCs/>
          <w:color w:val="000000"/>
          <w:sz w:val="21"/>
          <w:szCs w:val="21"/>
          <w:highlight w:val="none"/>
        </w:rPr>
        <w:t xml:space="preserve">十</w:t>
      </w:r>
      <w:r>
        <w:rPr>
          <w:rFonts w:hint="eastAsia" w:ascii="宋体" w:hAnsi="宋体" w:cs="宋体"/>
          <w:iCs/>
          <w:color w:val="000000"/>
          <w:sz w:val="21"/>
          <w:szCs w:val="21"/>
          <w:highlight w:val="none"/>
          <w:lang w:val="en-US" w:eastAsia="zh-CN"/>
        </w:rPr>
        <w:t xml:space="preserve">八</w:t>
      </w:r>
      <w:r>
        <w:rPr>
          <w:rFonts w:hint="eastAsia" w:ascii="宋体" w:hAnsi="宋体" w:cs="宋体"/>
          <w:iCs/>
          <w:color w:val="000000"/>
          <w:sz w:val="21"/>
          <w:szCs w:val="21"/>
          <w:highlight w:val="none"/>
        </w:rPr>
        <w:t xml:space="preserve">、盐城市政府采购事前信用承诺书</w:t>
      </w:r>
      <w:r/>
    </w:p>
    <w:p>
      <w:pPr>
        <w:pStyle w:val="1656"/>
        <w:ind w:firstLine="480"/>
        <w:jc w:val="both"/>
        <w:spacing w:beforeAutospacing="0" w:afterAutospacing="0" w:line="0" w:lineRule="atLeast"/>
        <w:rPr>
          <w:rFonts w:hint="eastAsia" w:eastAsia="宋体"/>
          <w:color w:val="000000"/>
          <w:sz w:val="21"/>
          <w:szCs w:val="21"/>
          <w:highlight w:val="none"/>
          <w:lang w:val="en-US" w:eastAsia="zh-CN"/>
        </w:rPr>
      </w:pPr>
      <w:r>
        <w:rPr>
          <w:color w:val="000000"/>
          <w:sz w:val="21"/>
          <w:szCs w:val="21"/>
          <w:highlight w:val="none"/>
        </w:rPr>
        <w:t xml:space="preserve"> </w:t>
      </w:r>
      <w:r>
        <w:rPr>
          <w:rFonts w:hint="eastAsia"/>
          <w:color w:val="000000"/>
          <w:sz w:val="21"/>
          <w:szCs w:val="21"/>
          <w:highlight w:val="none"/>
          <w:lang w:val="en-US" w:eastAsia="zh-CN"/>
        </w:rPr>
        <w:t xml:space="preserve">十九、项目建设供应商承诺函</w:t>
      </w:r>
      <w:r/>
    </w:p>
    <w:p>
      <w:pPr>
        <w:pStyle w:val="1656"/>
        <w:ind w:firstLine="480"/>
        <w:jc w:val="both"/>
        <w:spacing w:beforeAutospacing="0" w:afterAutospacing="0" w:line="0" w:lineRule="atLeast"/>
        <w:rPr>
          <w:color w:val="000000"/>
          <w:sz w:val="21"/>
          <w:szCs w:val="21"/>
          <w:highlight w:val="none"/>
        </w:rPr>
      </w:pPr>
      <w:r>
        <w:rPr>
          <w:color w:val="000000"/>
          <w:sz w:val="21"/>
          <w:szCs w:val="21"/>
          <w:highlight w:val="none"/>
        </w:rPr>
        <w:t xml:space="preserve"> </w:t>
      </w:r>
      <w:r/>
    </w:p>
    <w:p>
      <w:pPr>
        <w:pStyle w:val="1656"/>
        <w:ind w:firstLine="480"/>
        <w:jc w:val="both"/>
        <w:spacing w:beforeAutospacing="0" w:afterAutospacing="0" w:line="0" w:lineRule="atLeast"/>
        <w:rPr>
          <w:color w:val="000000"/>
          <w:sz w:val="21"/>
          <w:szCs w:val="21"/>
          <w:highlight w:val="none"/>
        </w:rPr>
      </w:pPr>
      <w:r>
        <w:rPr>
          <w:color w:val="000000"/>
          <w:sz w:val="21"/>
          <w:szCs w:val="21"/>
          <w:highlight w:val="none"/>
        </w:rPr>
        <w:t xml:space="preserve"> </w:t>
      </w:r>
      <w:r/>
    </w:p>
    <w:p>
      <w:pPr>
        <w:pStyle w:val="1656"/>
        <w:ind w:firstLine="480"/>
        <w:jc w:val="both"/>
        <w:spacing w:beforeAutospacing="0" w:afterAutospacing="0" w:line="0" w:lineRule="atLeast"/>
        <w:rPr>
          <w:color w:val="000000"/>
          <w:highlight w:val="none"/>
        </w:rPr>
      </w:pPr>
      <w:r>
        <w:rPr>
          <w:color w:val="000000"/>
          <w:highlight w:val="none"/>
        </w:rPr>
        <w:t xml:space="preserve"> </w:t>
      </w:r>
      <w:r/>
    </w:p>
    <w:p>
      <w:pPr>
        <w:pStyle w:val="1656"/>
        <w:ind w:firstLine="480"/>
        <w:jc w:val="both"/>
        <w:spacing w:beforeAutospacing="0" w:afterAutospacing="0" w:line="0" w:lineRule="atLeast"/>
        <w:rPr>
          <w:color w:val="000000"/>
          <w:highlight w:val="none"/>
        </w:rPr>
      </w:pPr>
      <w:r>
        <w:rPr>
          <w:color w:val="000000"/>
          <w:highlight w:val="none"/>
        </w:rPr>
        <w:t xml:space="preserve"> </w:t>
      </w:r>
      <w:r/>
    </w:p>
    <w:p>
      <w:pPr>
        <w:pStyle w:val="1656"/>
        <w:ind w:firstLine="480"/>
        <w:jc w:val="both"/>
        <w:spacing w:beforeAutospacing="0" w:afterAutospacing="0" w:line="0" w:lineRule="atLeast"/>
        <w:rPr>
          <w:color w:val="000000"/>
          <w:highlight w:val="none"/>
        </w:rPr>
      </w:pPr>
      <w:r>
        <w:rPr>
          <w:color w:val="000000"/>
          <w:highlight w:val="none"/>
        </w:rPr>
        <w:t xml:space="preserve"> </w:t>
      </w:r>
      <w:r/>
    </w:p>
    <w:p>
      <w:pPr>
        <w:pStyle w:val="1656"/>
        <w:ind w:firstLine="480"/>
        <w:jc w:val="both"/>
        <w:spacing w:beforeAutospacing="0" w:afterAutospacing="0" w:line="0" w:lineRule="atLeast"/>
        <w:rPr>
          <w:color w:val="000000"/>
          <w:highlight w:val="none"/>
        </w:rPr>
      </w:pPr>
      <w:r>
        <w:rPr>
          <w:color w:val="000000"/>
          <w:highlight w:val="none"/>
        </w:rPr>
        <w:t xml:space="preserve"> </w:t>
      </w:r>
      <w:r/>
    </w:p>
    <w:p>
      <w:pPr>
        <w:pStyle w:val="1656"/>
        <w:ind w:firstLine="480"/>
        <w:jc w:val="both"/>
        <w:spacing w:beforeAutospacing="0" w:afterAutospacing="0" w:line="0" w:lineRule="atLeast"/>
        <w:rPr>
          <w:color w:val="000000"/>
          <w:highlight w:val="none"/>
        </w:rPr>
      </w:pPr>
      <w:r>
        <w:rPr>
          <w:color w:val="000000"/>
          <w:highlight w:val="none"/>
        </w:rPr>
        <w:t xml:space="preserve"> </w:t>
      </w:r>
      <w:r/>
    </w:p>
    <w:p>
      <w:pPr>
        <w:pStyle w:val="1656"/>
        <w:ind w:firstLine="480"/>
        <w:jc w:val="both"/>
        <w:spacing w:beforeAutospacing="0" w:afterAutospacing="0" w:line="0" w:lineRule="atLeast"/>
        <w:rPr>
          <w:color w:val="000000"/>
          <w:highlight w:val="none"/>
        </w:rPr>
      </w:pPr>
      <w:r>
        <w:rPr>
          <w:color w:val="000000"/>
          <w:highlight w:val="none"/>
        </w:rPr>
      </w:r>
      <w:r/>
    </w:p>
    <w:p>
      <w:pPr>
        <w:pStyle w:val="1656"/>
        <w:ind w:firstLine="480"/>
        <w:jc w:val="both"/>
        <w:spacing w:beforeAutospacing="0" w:afterAutospacing="0" w:line="0" w:lineRule="atLeast"/>
        <w:rPr>
          <w:color w:val="000000"/>
          <w:highlight w:val="none"/>
        </w:rPr>
      </w:pPr>
      <w:r>
        <w:rPr>
          <w:color w:val="000000"/>
          <w:highlight w:val="none"/>
        </w:rPr>
      </w:r>
      <w:r/>
    </w:p>
    <w:p>
      <w:pPr>
        <w:pStyle w:val="1656"/>
        <w:ind w:firstLine="480"/>
        <w:jc w:val="both"/>
        <w:spacing w:beforeAutospacing="0" w:afterAutospacing="0" w:line="0" w:lineRule="atLeast"/>
        <w:rPr>
          <w:color w:val="000000"/>
          <w:highlight w:val="none"/>
        </w:rPr>
      </w:pPr>
      <w:r>
        <w:rPr>
          <w:color w:val="000000"/>
          <w:highlight w:val="none"/>
        </w:rPr>
      </w:r>
      <w:r/>
    </w:p>
    <w:p>
      <w:pPr>
        <w:pStyle w:val="1656"/>
        <w:ind w:firstLine="480"/>
        <w:jc w:val="both"/>
        <w:spacing w:beforeAutospacing="0" w:afterAutospacing="0" w:line="0" w:lineRule="atLeast"/>
        <w:rPr>
          <w:color w:val="000000"/>
          <w:highlight w:val="none"/>
        </w:rPr>
      </w:pPr>
      <w:r>
        <w:rPr>
          <w:color w:val="000000"/>
          <w:highlight w:val="none"/>
        </w:rPr>
      </w:r>
      <w:r/>
    </w:p>
    <w:p>
      <w:pPr>
        <w:pStyle w:val="1656"/>
        <w:ind w:firstLine="480"/>
        <w:jc w:val="both"/>
        <w:spacing w:beforeAutospacing="0" w:afterAutospacing="0" w:line="0" w:lineRule="atLeast"/>
        <w:rPr>
          <w:color w:val="000000"/>
          <w:highlight w:val="none"/>
        </w:rPr>
      </w:pPr>
      <w:r>
        <w:rPr>
          <w:color w:val="000000"/>
          <w:highlight w:val="none"/>
        </w:rPr>
      </w:r>
      <w:r/>
    </w:p>
    <w:p>
      <w:pPr>
        <w:pStyle w:val="1656"/>
        <w:ind w:firstLine="480"/>
        <w:jc w:val="both"/>
        <w:spacing w:beforeAutospacing="0" w:afterAutospacing="0" w:line="0" w:lineRule="atLeast"/>
        <w:rPr>
          <w:color w:val="000000"/>
          <w:highlight w:val="none"/>
        </w:rPr>
      </w:pPr>
      <w:r>
        <w:rPr>
          <w:color w:val="000000"/>
          <w:highlight w:val="none"/>
        </w:rPr>
      </w:r>
      <w:r/>
    </w:p>
    <w:p>
      <w:pPr>
        <w:pStyle w:val="1656"/>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1656"/>
        <w:ind w:firstLine="480"/>
        <w:jc w:val="both"/>
        <w:spacing w:beforeAutospacing="0" w:afterAutospacing="0" w:line="360" w:lineRule="auto"/>
        <w:rPr>
          <w:color w:val="000000"/>
          <w:sz w:val="21"/>
          <w:szCs w:val="21"/>
          <w:highlight w:val="none"/>
        </w:rPr>
      </w:pPr>
      <w:r>
        <w:rPr>
          <w:color w:val="000000"/>
          <w:sz w:val="21"/>
          <w:szCs w:val="21"/>
          <w:highlight w:val="none"/>
        </w:rPr>
        <w:t xml:space="preserve"> </w:t>
      </w:r>
      <w:r/>
    </w:p>
    <w:p>
      <w:pPr>
        <w:ind w:firstLine="420"/>
        <w:jc w:val="left"/>
        <w:spacing w:line="360" w:lineRule="auto"/>
        <w:tabs>
          <w:tab w:val="left" w:pos="1331" w:leader="none"/>
        </w:tabs>
        <w:rPr>
          <w:color w:val="000000"/>
          <w:sz w:val="21"/>
          <w:szCs w:val="21"/>
          <w:highlight w:val="none"/>
        </w:rPr>
      </w:pPr>
      <w:r>
        <w:rPr>
          <w:rFonts w:hint="eastAsia" w:ascii="黑体" w:hAnsi="宋体" w:eastAsia="黑体" w:cs="黑体"/>
          <w:i/>
          <w:color w:val="000000"/>
          <w:sz w:val="32"/>
          <w:szCs w:val="32"/>
          <w:highlight w:val="none"/>
          <w:u w:val="single"/>
        </w:rPr>
        <w:t xml:space="preserve">二、</w:t>
      </w:r>
      <w:r>
        <w:rPr>
          <w:rFonts w:hint="eastAsia" w:ascii="黑体" w:hAnsi="宋体" w:eastAsia="黑体" w:cs="黑体"/>
          <w:i/>
          <w:color w:val="000000"/>
          <w:sz w:val="32"/>
          <w:szCs w:val="32"/>
          <w:highlight w:val="none"/>
          <w:u w:val="single"/>
          <w:lang w:val="en-US" w:eastAsia="zh-CN" w:bidi="ar-SA"/>
        </w:rPr>
        <w:t xml:space="preserve">上一年度的财务状况报告（上一年度的财务状况报表2025年度报表未出的，可使用2024年度报表，财务状况报表至少包含利润表、资产负债表、现金流量表，成立不满一年无需提供）。</w:t>
      </w:r>
      <w:r/>
    </w:p>
    <w:p>
      <w:pPr>
        <w:pStyle w:val="1656"/>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三、具备履行合同所必需的设备和专业技术能力的书面声明</w:t>
      </w:r>
      <w:r/>
    </w:p>
    <w:p>
      <w:pPr>
        <w:pStyle w:val="1656"/>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我单位郑重声明：我单位具备履行本项采购合同所必需的设备和专业技术能力，为履行本项采购合同我公司具备如下主要设备和主要专业技术能力：</w:t>
      </w:r>
      <w:r/>
    </w:p>
    <w:p>
      <w:pPr>
        <w:pStyle w:val="1656"/>
        <w:ind w:firstLine="492"/>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主要设备有：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主要专业技术能力有：</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w:t>
      </w:r>
      <w:r/>
    </w:p>
    <w:p>
      <w:pPr>
        <w:pStyle w:val="1656"/>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四、依法缴纳税收和社会保障资金的相关材料</w:t>
      </w:r>
      <w:r/>
    </w:p>
    <w:p>
      <w:pPr>
        <w:pStyle w:val="1656"/>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pStyle w:val="1656"/>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6"/>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1656"/>
        <w:jc w:val="both"/>
        <w:spacing w:beforeAutospacing="0" w:afterAutospacing="0"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                </w:t>
      </w:r>
      <w:r/>
    </w:p>
    <w:p>
      <w:pPr>
        <w:pStyle w:val="1656"/>
        <w:jc w:val="center"/>
        <w:spacing w:beforeAutospacing="0" w:afterAutospacing="0"/>
        <w:rPr>
          <w:rFonts w:hint="eastAsia" w:ascii="黑体" w:hAnsi="宋体" w:eastAsia="黑体" w:cs="黑体"/>
          <w:iCs/>
          <w:color w:val="000000"/>
          <w:sz w:val="32"/>
          <w:szCs w:val="32"/>
          <w:highlight w:val="none"/>
        </w:rPr>
      </w:pPr>
      <w:r>
        <w:rPr>
          <w:rFonts w:hint="eastAsia" w:ascii="黑体" w:hAnsi="宋体" w:eastAsia="黑体" w:cs="黑体"/>
          <w:iCs/>
          <w:color w:val="000000"/>
          <w:sz w:val="32"/>
          <w:szCs w:val="32"/>
          <w:highlight w:val="none"/>
        </w:rPr>
        <w:t xml:space="preserve"> 声  明</w:t>
      </w:r>
      <w:r/>
    </w:p>
    <w:p>
      <w:pPr>
        <w:pStyle w:val="1656"/>
        <w:jc w:val="both"/>
        <w:spacing w:beforeAutospacing="0" w:afterAutospacing="0" w:line="360" w:lineRule="auto"/>
        <w:rPr>
          <w:color w:val="000000"/>
          <w:sz w:val="21"/>
          <w:szCs w:val="21"/>
          <w:highlight w:val="none"/>
        </w:rPr>
      </w:pPr>
      <w:r>
        <w:rPr>
          <w:rFonts w:hint="eastAsia" w:ascii="宋体" w:hAnsi="宋体" w:cs="宋体"/>
          <w:b/>
          <w:color w:val="000000"/>
          <w:sz w:val="21"/>
          <w:szCs w:val="21"/>
          <w:highlight w:val="none"/>
        </w:rPr>
        <w:t xml:space="preserve">    </w:t>
      </w:r>
      <w:r>
        <w:rPr>
          <w:rFonts w:hint="eastAsia" w:ascii="宋体" w:hAnsi="宋体" w:cs="宋体"/>
          <w:color w:val="000000"/>
          <w:sz w:val="21"/>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656"/>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6"/>
        <w:numPr>
          <w:ilvl w:val="0"/>
          <w:numId w:val="6"/>
        </w:numP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t xml:space="preserve">单位负责人为同一人或者存在直接控股、管理关系的不同供应商，不得参加同一合同项下的政府采购活动。</w:t>
      </w:r>
      <w:r/>
    </w:p>
    <w:p>
      <w:pPr>
        <w:pStyle w:val="1656"/>
        <w:numPr>
          <w:ilvl w:val="0"/>
          <w:numId w:val="0"/>
        </w:numPr>
        <w:jc w:val="center"/>
        <w:spacing w:beforeAutospacing="0" w:afterAutospacing="0"/>
        <w:rPr>
          <w:rFonts w:hint="eastAsia" w:ascii="黑体" w:hAnsi="宋体" w:eastAsia="黑体" w:cs="黑体"/>
          <w:i/>
          <w:color w:val="000000"/>
          <w:sz w:val="32"/>
          <w:szCs w:val="32"/>
          <w:highlight w:val="none"/>
          <w:u w:val="single"/>
        </w:rPr>
      </w:pPr>
      <w:r>
        <w:rPr>
          <w:rFonts w:hint="eastAsia" w:ascii="宋体" w:hAnsi="宋体" w:eastAsia="宋体" w:cs="宋体"/>
          <w:iCs/>
          <w:color w:val="000000"/>
          <w:sz w:val="21"/>
          <w:szCs w:val="21"/>
          <w:highlight w:val="none"/>
          <w:lang w:eastAsia="zh-CN"/>
        </w:rPr>
        <w:t xml:space="preserve">（自行提供，格式自拟）</w:t>
      </w:r>
      <w:r/>
    </w:p>
    <w:p>
      <w:pPr>
        <w:pStyle w:val="1656"/>
        <w:spacing w:beforeAutospacing="0" w:afterAutospacing="0"/>
        <w:rPr>
          <w:rFonts w:hint="eastAsia" w:ascii="黑体" w:hAnsi="宋体" w:eastAsia="黑体" w:cs="黑体"/>
          <w:i/>
          <w:color w:val="000000"/>
          <w:sz w:val="32"/>
          <w:szCs w:val="32"/>
          <w:highlight w:val="none"/>
          <w:u w:val="single"/>
          <w:lang w:eastAsia="zh-CN"/>
        </w:rPr>
      </w:pPr>
      <w:r>
        <w:rPr>
          <w:rFonts w:hint="eastAsia" w:ascii="黑体" w:hAnsi="宋体" w:eastAsia="黑体" w:cs="黑体"/>
          <w:i/>
          <w:color w:val="000000"/>
          <w:sz w:val="32"/>
          <w:szCs w:val="32"/>
          <w:highlight w:val="none"/>
          <w:u w:val="single"/>
          <w:lang w:eastAsia="zh-CN"/>
        </w:rPr>
      </w:r>
      <w:r/>
    </w:p>
    <w:p>
      <w:pPr>
        <w:pStyle w:val="1656"/>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lang w:eastAsia="zh-CN"/>
        </w:rPr>
        <w:t xml:space="preserve">七</w:t>
      </w:r>
      <w:r>
        <w:rPr>
          <w:rFonts w:hint="eastAsia" w:ascii="黑体" w:hAnsi="宋体" w:eastAsia="黑体" w:cs="黑体"/>
          <w:i/>
          <w:color w:val="000000"/>
          <w:sz w:val="32"/>
          <w:szCs w:val="32"/>
          <w:highlight w:val="none"/>
          <w:u w:val="single"/>
        </w:rPr>
        <w:t xml:space="preserve">、特定资格要求的证明文件</w:t>
      </w:r>
      <w:r/>
    </w:p>
    <w:p>
      <w:pPr>
        <w:pStyle w:val="1656"/>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   如果本项目申请人的特定资格要求中要求提供的，必须提供。</w:t>
      </w:r>
      <w:r/>
    </w:p>
    <w:p>
      <w:pPr>
        <w:pStyle w:val="1656"/>
        <w:jc w:val="center"/>
        <w:spacing w:beforeAutospacing="0" w:afterAutospacing="0" w:line="360" w:lineRule="auto"/>
        <w:rPr>
          <w:rFonts w:hint="eastAsia" w:ascii="黑体" w:hAnsi="宋体" w:eastAsia="黑体" w:cs="黑体"/>
          <w:i/>
          <w:color w:val="000000"/>
          <w:sz w:val="21"/>
          <w:szCs w:val="21"/>
          <w:highlight w:val="none"/>
          <w:u w:val="single"/>
        </w:rPr>
      </w:pPr>
      <w:r/>
      <w:bookmarkStart w:id="190" w:name="_Toc120614284"/>
      <w:r/>
      <w:r/>
    </w:p>
    <w:p>
      <w:pPr>
        <w:pStyle w:val="1656"/>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1656"/>
        <w:jc w:val="center"/>
        <w:spacing w:beforeAutospacing="0" w:afterAutospacing="0"/>
        <w:rPr>
          <w:color w:val="000000"/>
          <w:highlight w:val="none"/>
        </w:rPr>
      </w:pPr>
      <w:r>
        <w:rPr>
          <w:rFonts w:hint="eastAsia" w:ascii="黑体" w:hAnsi="宋体" w:eastAsia="黑体" w:cs="黑体"/>
          <w:i/>
          <w:color w:val="000000"/>
          <w:sz w:val="32"/>
          <w:szCs w:val="32"/>
          <w:highlight w:val="none"/>
          <w:u w:val="single"/>
          <w:lang w:eastAsia="zh-CN"/>
        </w:rPr>
        <w:t xml:space="preserve">八</w:t>
      </w:r>
      <w:r>
        <w:rPr>
          <w:rFonts w:hint="eastAsia" w:ascii="黑体" w:hAnsi="宋体" w:eastAsia="黑体" w:cs="黑体"/>
          <w:i/>
          <w:color w:val="000000"/>
          <w:sz w:val="32"/>
          <w:szCs w:val="32"/>
          <w:highlight w:val="none"/>
          <w:u w:val="single"/>
        </w:rPr>
        <w:t xml:space="preserve">、法人授权书</w:t>
      </w:r>
      <w:r/>
    </w:p>
    <w:p>
      <w:pPr>
        <w:pStyle w:val="1656"/>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本授权书声明：____________（投标人名称）授权________________（被授权人的姓名）为我方就JSZC-</w:t>
      </w:r>
      <w:r>
        <w:rPr>
          <w:rFonts w:ascii="Times New Roman" w:hAnsi="Times New Roman"/>
          <w:color w:val="000000"/>
          <w:sz w:val="21"/>
          <w:szCs w:val="21"/>
          <w:highlight w:val="none"/>
          <w:u w:val="single"/>
        </w:rPr>
        <w:t xml:space="preserve">        </w:t>
      </w:r>
      <w:r>
        <w:rPr>
          <w:rFonts w:ascii="Times New Roman" w:hAnsi="Times New Roman"/>
          <w:color w:val="000000"/>
          <w:sz w:val="21"/>
          <w:szCs w:val="21"/>
          <w:highlight w:val="none"/>
        </w:rPr>
        <w:t xml:space="preserve">号项目采购活动的合法代理人，以本单位名义全权处理一切与该项目采购有关的事务。</w:t>
      </w:r>
      <w:r/>
    </w:p>
    <w:p>
      <w:pPr>
        <w:pStyle w:val="1656"/>
        <w:ind w:firstLine="688"/>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本授权书于______年____月____日起生效，特此声明。</w:t>
      </w:r>
      <w:r/>
    </w:p>
    <w:p>
      <w:pPr>
        <w:pStyle w:val="1656"/>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被授权人身份证号码：</w:t>
      </w:r>
      <w:r>
        <w:rPr>
          <w:rFonts w:ascii="Times New Roman" w:hAnsi="Times New Roman"/>
          <w:color w:val="000000"/>
          <w:sz w:val="21"/>
          <w:szCs w:val="21"/>
          <w:highlight w:val="none"/>
          <w:u w:val="single"/>
        </w:rPr>
        <w:t xml:space="preserve">                              </w:t>
      </w:r>
      <w:r/>
    </w:p>
    <w:p>
      <w:pPr>
        <w:pStyle w:val="1656"/>
        <w:jc w:val="both"/>
        <w:spacing w:beforeAutospacing="0" w:afterAutospacing="0" w:line="360" w:lineRule="auto"/>
        <w:tabs>
          <w:tab w:val="left" w:pos="360" w:leader="none"/>
        </w:tabs>
        <w:rPr>
          <w:rFonts w:ascii="Times New Roman" w:hAnsi="Times New Roman"/>
          <w:color w:val="000000"/>
          <w:sz w:val="21"/>
          <w:szCs w:val="21"/>
          <w:highlight w:val="none"/>
        </w:rPr>
      </w:pPr>
      <w:r>
        <w:rPr>
          <w:rFonts w:ascii="Times New Roman" w:hAnsi="Times New Roman"/>
          <w:color w:val="000000"/>
          <w:sz w:val="21"/>
          <w:szCs w:val="21"/>
          <w:highlight w:val="none"/>
        </w:rPr>
        <w:t xml:space="preserve">          被授权人联系电话：（手机）</w:t>
      </w:r>
      <w:r>
        <w:rPr>
          <w:rFonts w:ascii="Times New Roman" w:hAnsi="Times New Roman"/>
          <w:color w:val="000000"/>
          <w:sz w:val="21"/>
          <w:szCs w:val="21"/>
          <w:highlight w:val="none"/>
          <w:u w:val="single"/>
        </w:rPr>
        <w:t xml:space="preserve">                          </w:t>
      </w:r>
      <w:r/>
    </w:p>
    <w:p>
      <w:pPr>
        <w:pStyle w:val="1656"/>
        <w:ind w:firstLine="63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授权单位名称：</w:t>
      </w:r>
      <w:r>
        <w:rPr>
          <w:rFonts w:ascii="Times New Roman" w:hAnsi="Times New Roman"/>
          <w:color w:val="000000"/>
          <w:sz w:val="21"/>
          <w:szCs w:val="21"/>
          <w:highlight w:val="none"/>
          <w:u w:val="single"/>
        </w:rPr>
        <w:t xml:space="preserve">（加盖CA电子公章）</w:t>
      </w:r>
      <w:r/>
    </w:p>
    <w:p>
      <w:pPr>
        <w:pStyle w:val="1656"/>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单位地址：</w:t>
      </w:r>
      <w:r>
        <w:rPr>
          <w:rFonts w:ascii="Times New Roman" w:hAnsi="Times New Roman"/>
          <w:color w:val="000000"/>
          <w:sz w:val="21"/>
          <w:szCs w:val="21"/>
          <w:highlight w:val="none"/>
          <w:u w:val="single"/>
        </w:rPr>
        <w:t xml:space="preserve">                                         </w:t>
      </w:r>
      <w:r/>
    </w:p>
    <w:p>
      <w:pPr>
        <w:pStyle w:val="1656"/>
        <w:ind w:firstLine="480"/>
        <w:jc w:val="both"/>
        <w:spacing w:beforeAutospacing="0" w:afterAutospacing="0" w:line="360" w:lineRule="auto"/>
        <w:tabs>
          <w:tab w:val="left" w:pos="360" w:leader="none"/>
        </w:tabs>
        <w:rPr>
          <w:color w:val="000000"/>
          <w:sz w:val="21"/>
          <w:szCs w:val="21"/>
          <w:highlight w:val="none"/>
        </w:rPr>
      </w:pPr>
      <w:r>
        <w:rPr>
          <w:rFonts w:ascii="Times New Roman" w:hAnsi="Times New Roman"/>
          <w:color w:val="000000"/>
          <w:sz w:val="21"/>
          <w:szCs w:val="21"/>
          <w:highlight w:val="none"/>
        </w:rPr>
        <w:t xml:space="preserve">   日期：</w:t>
      </w:r>
      <w:bookmarkStart w:id="191" w:name="_Hlt26955070"/>
      <w:r/>
      <w:bookmarkStart w:id="192" w:name="_格式3__银行出具的资信证明"/>
      <w:r/>
      <w:bookmarkStart w:id="193" w:name="_Hlt26671380"/>
      <w:r>
        <w:rPr>
          <w:rFonts w:ascii="Times New Roman" w:hAnsi="Times New Roman"/>
          <w:color w:val="000000"/>
          <w:sz w:val="21"/>
          <w:szCs w:val="21"/>
          <w:highlight w:val="none"/>
          <w:u w:val="single"/>
        </w:rPr>
        <w:t xml:space="preserve">                                         </w:t>
      </w:r>
      <w:r/>
    </w:p>
    <w:p>
      <w:pPr>
        <w:pStyle w:val="1656"/>
        <w:ind w:firstLine="420"/>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line="0" w:lineRule="atLeast"/>
        <w:rPr>
          <w:color w:val="000000"/>
          <w:highlight w:val="none"/>
        </w:rPr>
      </w:pPr>
      <w:r>
        <w:rPr>
          <w:color w:val="000000"/>
          <w:highlight w:val="none"/>
        </w:rPr>
        <w:t xml:space="preserve"> </w:t>
      </w:r>
      <w:r/>
    </w:p>
    <w:p>
      <w:pPr>
        <w:pStyle w:val="1656"/>
        <w:ind w:firstLine="3390"/>
        <w:jc w:val="both"/>
        <w:keepLines/>
        <w:keepNext/>
        <w:spacing w:before="260" w:beforeAutospacing="0" w:after="260" w:afterAutospacing="0" w:line="415" w:lineRule="auto"/>
        <w:rPr>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t xml:space="preserve"> </w:t>
      </w:r>
      <w:r>
        <w:rPr>
          <w:rFonts w:hint="eastAsia" w:ascii="黑体" w:hAnsi="宋体" w:eastAsia="黑体" w:cs="黑体"/>
          <w:b/>
          <w:i/>
          <w:color w:val="000000"/>
          <w:sz w:val="32"/>
          <w:szCs w:val="32"/>
          <w:highlight w:val="none"/>
          <w:u w:val="single"/>
          <w:lang w:eastAsia="zh-CN"/>
        </w:rPr>
        <w:t xml:space="preserve">九</w:t>
      </w:r>
      <w:r>
        <w:rPr>
          <w:rFonts w:hint="eastAsia" w:ascii="黑体" w:hAnsi="宋体" w:eastAsia="黑体" w:cs="黑体"/>
          <w:b/>
          <w:i/>
          <w:color w:val="000000"/>
          <w:sz w:val="32"/>
          <w:szCs w:val="32"/>
          <w:highlight w:val="none"/>
          <w:u w:val="single"/>
        </w:rPr>
        <w:t xml:space="preserve">、投标函</w:t>
      </w:r>
      <w:r/>
    </w:p>
    <w:p>
      <w:pPr>
        <w:pStyle w:val="1656"/>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致：采购人</w:t>
      </w:r>
      <w:r/>
    </w:p>
    <w:p>
      <w:pPr>
        <w:pStyle w:val="165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根据贵方的JSZC-***</w:t>
      </w:r>
      <w:r>
        <w:rPr>
          <w:rFonts w:hint="eastAsia" w:ascii="宋体" w:hAnsi="宋体" w:cs="宋体"/>
          <w:b/>
          <w:color w:val="000000"/>
          <w:sz w:val="21"/>
          <w:szCs w:val="21"/>
          <w:highlight w:val="none"/>
          <w:u w:val="single"/>
        </w:rPr>
        <w:t xml:space="preserve">            </w:t>
      </w:r>
      <w:r>
        <w:rPr>
          <w:rFonts w:hint="eastAsia" w:ascii="宋体" w:hAnsi="宋体" w:cs="宋体"/>
          <w:color w:val="000000"/>
          <w:sz w:val="21"/>
          <w:szCs w:val="21"/>
          <w:highlight w:val="none"/>
        </w:rPr>
        <w:t xml:space="preserve">号招标文件，正式授权下述签字人_________________(姓名)代表我方______________（投标人的名称），全权处理本次项目投标的有关事宜。</w:t>
      </w:r>
      <w:r/>
    </w:p>
    <w:p>
      <w:pPr>
        <w:pStyle w:val="165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p>
    <w:p>
      <w:pPr>
        <w:pStyle w:val="165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1.按招标文件规定的各项要求，向买方提供所需货物（包含与货物相关的服务）。</w:t>
      </w:r>
      <w:r/>
    </w:p>
    <w:p>
      <w:pPr>
        <w:pStyle w:val="165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2.我们完全理解贵方不一定将合同授予最低报价的投标人。</w:t>
      </w:r>
      <w:r/>
    </w:p>
    <w:p>
      <w:pPr>
        <w:pStyle w:val="165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3.我们已详细审核全部招标文件及其有效补充文件，我们知道必须放弃提出含糊不清或误解问题的权利。</w:t>
      </w:r>
      <w:r/>
    </w:p>
    <w:p>
      <w:pPr>
        <w:pStyle w:val="165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4.我们同意从规定的开标日期起遵循本投标文件，并在规定的投标有效期期满之前均具有约束力。</w:t>
      </w:r>
      <w:r/>
    </w:p>
    <w:p>
      <w:pPr>
        <w:pStyle w:val="165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5.同意向贵方提供贵方可能另外要求的与投标有关的任何证据或资料，并保证我方已提供和将要提供的文件是真实的、准确的。</w:t>
      </w:r>
      <w:r/>
    </w:p>
    <w:p>
      <w:pPr>
        <w:pStyle w:val="1656"/>
        <w:ind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6.一旦我方中标,我方将根据招标文件的规定，严格履行合同的责任和义务,并保证在招标文件规定的时间完成项目，交付买方验收、使用。</w:t>
      </w:r>
      <w:r/>
    </w:p>
    <w:p>
      <w:pPr>
        <w:pStyle w:val="1656"/>
        <w:ind w:left="425"/>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7.与本投标有关的正式通讯地址为：</w:t>
      </w:r>
      <w:r/>
    </w:p>
    <w:p>
      <w:pPr>
        <w:pStyle w:val="165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地          址：</w:t>
      </w:r>
      <w:r/>
    </w:p>
    <w:p>
      <w:pPr>
        <w:pStyle w:val="165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邮          编：</w:t>
      </w:r>
      <w:r/>
    </w:p>
    <w:p>
      <w:pPr>
        <w:pStyle w:val="165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电          话：</w:t>
      </w:r>
      <w:r/>
    </w:p>
    <w:p>
      <w:pPr>
        <w:pStyle w:val="165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传          真：</w:t>
      </w:r>
      <w:r/>
    </w:p>
    <w:p>
      <w:pPr>
        <w:pStyle w:val="165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投标人开户行：</w:t>
      </w:r>
      <w:r/>
    </w:p>
    <w:p>
      <w:pPr>
        <w:pStyle w:val="165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账          号： </w:t>
      </w:r>
      <w:r/>
    </w:p>
    <w:p>
      <w:pPr>
        <w:pStyle w:val="1656"/>
        <w:ind w:left="420" w:firstLine="480"/>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日           期：________年____月____日</w:t>
      </w:r>
      <w:r/>
    </w:p>
    <w:p>
      <w:pPr>
        <w:pStyle w:val="1656"/>
        <w:ind w:firstLine="240"/>
        <w:jc w:val="center"/>
        <w:spacing w:beforeAutospacing="0" w:afterAutospacing="0" w:line="0" w:lineRule="atLeast"/>
        <w:rPr>
          <w:color w:val="000000"/>
          <w:highlight w:val="none"/>
        </w:rPr>
      </w:pPr>
      <w:r>
        <w:rPr>
          <w:color w:val="000000"/>
          <w:highlight w:val="none"/>
        </w:rPr>
        <w:t xml:space="preserve"> </w:t>
      </w:r>
      <w:r/>
    </w:p>
    <w:p>
      <w:pPr>
        <w:pStyle w:val="1656"/>
        <w:ind w:firstLine="240"/>
        <w:jc w:val="center"/>
        <w:spacing w:beforeAutospacing="0" w:afterAutospacing="0" w:line="0" w:lineRule="atLeast"/>
        <w:rPr>
          <w:color w:val="000000"/>
          <w:highlight w:val="none"/>
        </w:rPr>
      </w:pPr>
      <w:r>
        <w:rPr>
          <w:color w:val="000000"/>
          <w:highlight w:val="none"/>
        </w:rPr>
        <w:t xml:space="preserve"> </w:t>
      </w:r>
      <w:r/>
    </w:p>
    <w:p>
      <w:pPr>
        <w:pStyle w:val="1656"/>
        <w:ind w:firstLine="240"/>
        <w:jc w:val="center"/>
        <w:spacing w:beforeAutospacing="0" w:afterAutospacing="0" w:line="0" w:lineRule="atLeast"/>
        <w:rPr>
          <w:color w:val="000000"/>
          <w:highlight w:val="none"/>
        </w:rPr>
      </w:pPr>
      <w:r>
        <w:rPr>
          <w:color w:val="000000"/>
          <w:highlight w:val="none"/>
        </w:rPr>
        <w:t xml:space="preserve"> </w:t>
      </w:r>
      <w:r/>
    </w:p>
    <w:p>
      <w:pPr>
        <w:pStyle w:val="1656"/>
        <w:ind w:firstLine="240"/>
        <w:jc w:val="center"/>
        <w:spacing w:beforeAutospacing="0" w:afterAutospacing="0" w:line="0" w:lineRule="atLeast"/>
        <w:rPr>
          <w:color w:val="000000"/>
          <w:highlight w:val="none"/>
        </w:rPr>
      </w:pPr>
      <w:r>
        <w:rPr>
          <w:color w:val="000000"/>
          <w:highlight w:val="none"/>
        </w:rPr>
        <w:t xml:space="preserve"> </w:t>
      </w:r>
      <w:r/>
    </w:p>
    <w:p>
      <w:pPr>
        <w:pStyle w:val="1656"/>
        <w:ind w:firstLine="240"/>
        <w:jc w:val="center"/>
        <w:spacing w:beforeAutospacing="0" w:afterAutospacing="0" w:line="0" w:lineRule="atLeast"/>
        <w:rPr>
          <w:color w:val="000000"/>
          <w:highlight w:val="none"/>
        </w:rPr>
      </w:pPr>
      <w:r>
        <w:rPr>
          <w:color w:val="000000"/>
          <w:highlight w:val="none"/>
        </w:rPr>
      </w:r>
      <w:r/>
    </w:p>
    <w:p>
      <w:pPr>
        <w:pStyle w:val="1656"/>
        <w:ind w:firstLine="240"/>
        <w:jc w:val="center"/>
        <w:spacing w:beforeAutospacing="0" w:afterAutospacing="0" w:line="0" w:lineRule="atLeast"/>
        <w:rPr>
          <w:color w:val="000000"/>
          <w:highlight w:val="none"/>
        </w:rPr>
      </w:pPr>
      <w:r>
        <w:rPr>
          <w:color w:val="000000"/>
          <w:highlight w:val="none"/>
        </w:rPr>
      </w:r>
      <w:r/>
    </w:p>
    <w:p>
      <w:pPr>
        <w:pStyle w:val="1656"/>
        <w:ind w:firstLine="240"/>
        <w:jc w:val="center"/>
        <w:spacing w:beforeAutospacing="0" w:afterAutospacing="0" w:line="0" w:lineRule="atLeast"/>
        <w:rPr>
          <w:color w:val="000000"/>
          <w:highlight w:val="none"/>
        </w:rPr>
      </w:pPr>
      <w:r>
        <w:rPr>
          <w:color w:val="000000"/>
          <w:highlight w:val="none"/>
        </w:rPr>
      </w:r>
      <w:r/>
    </w:p>
    <w:p>
      <w:pPr>
        <w:pStyle w:val="1656"/>
        <w:ind w:firstLine="240"/>
        <w:jc w:val="center"/>
        <w:spacing w:beforeAutospacing="0" w:afterAutospacing="0" w:line="0" w:lineRule="atLeast"/>
        <w:rPr>
          <w:color w:val="000000"/>
          <w:highlight w:val="none"/>
        </w:rPr>
      </w:pPr>
      <w:r>
        <w:rPr>
          <w:color w:val="000000"/>
          <w:highlight w:val="none"/>
        </w:rPr>
      </w:r>
      <w:r/>
    </w:p>
    <w:p>
      <w:pPr>
        <w:pStyle w:val="1656"/>
        <w:ind w:firstLine="240"/>
        <w:jc w:val="center"/>
        <w:spacing w:beforeAutospacing="0" w:afterAutospacing="0" w:line="0" w:lineRule="atLeast"/>
        <w:rPr>
          <w:color w:val="000000"/>
          <w:highlight w:val="none"/>
        </w:rPr>
      </w:pPr>
      <w:r>
        <w:rPr>
          <w:color w:val="000000"/>
          <w:highlight w:val="none"/>
        </w:rPr>
      </w:r>
      <w:r/>
    </w:p>
    <w:p>
      <w:pPr>
        <w:pStyle w:val="1656"/>
        <w:ind w:firstLine="240"/>
        <w:jc w:val="center"/>
        <w:spacing w:beforeAutospacing="0" w:afterAutospacing="0" w:line="0" w:lineRule="atLeast"/>
        <w:rPr>
          <w:color w:val="000000"/>
          <w:highlight w:val="none"/>
        </w:rPr>
      </w:pPr>
      <w:r>
        <w:rPr>
          <w:color w:val="000000"/>
          <w:highlight w:val="none"/>
        </w:rPr>
        <w:t xml:space="preserve"> </w:t>
      </w:r>
      <w:r/>
    </w:p>
    <w:p>
      <w:pPr>
        <w:pStyle w:val="1656"/>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lang w:eastAsia="zh-CN"/>
        </w:rPr>
        <w:t xml:space="preserve">十</w:t>
      </w:r>
      <w:r>
        <w:rPr>
          <w:rFonts w:hint="eastAsia" w:ascii="黑体" w:hAnsi="宋体" w:eastAsia="黑体" w:cs="黑体"/>
          <w:b/>
          <w:color w:val="000000"/>
          <w:sz w:val="32"/>
          <w:szCs w:val="32"/>
          <w:highlight w:val="none"/>
        </w:rPr>
        <w:t xml:space="preserve">、中小企业声明函（货物）（分包号：**）</w:t>
      </w:r>
      <w:r/>
    </w:p>
    <w:p>
      <w:pPr>
        <w:ind w:firstLine="480"/>
        <w:spacing w:line="500" w:lineRule="exact"/>
        <w:rPr>
          <w:color w:val="000000"/>
          <w:sz w:val="24"/>
          <w:highlight w:val="none"/>
        </w:rPr>
      </w:pPr>
      <w:r>
        <w:rPr>
          <w:color w:val="000000"/>
          <w:sz w:val="24"/>
          <w:highlight w:val="none"/>
        </w:rPr>
      </w:r>
      <w:r/>
    </w:p>
    <w:p>
      <w:pPr>
        <w:ind w:firstLine="480"/>
        <w:spacing w:line="500" w:lineRule="exact"/>
        <w:rPr>
          <w:color w:val="000000"/>
          <w:szCs w:val="21"/>
          <w:highlight w:val="none"/>
        </w:rPr>
      </w:pPr>
      <w:r>
        <w:rPr>
          <w:rFonts w:hint="eastAsia"/>
          <w:color w:val="000000"/>
          <w:szCs w:val="21"/>
          <w:highlight w:val="none"/>
        </w:rPr>
        <w:t xml:space="preserve">本公司（联合体）郑重声明，根据《政府采购促进中小企业发展管理办法》(财库〔2020〕46号)的规定，本公司（联合体）参加</w:t>
      </w:r>
      <w:r>
        <w:rPr>
          <w:rFonts w:hint="eastAsia"/>
          <w:color w:val="000000"/>
          <w:szCs w:val="21"/>
          <w:highlight w:val="none"/>
          <w:u w:val="single"/>
        </w:rPr>
        <w:t xml:space="preserve">（单位名称)</w:t>
      </w:r>
      <w:r>
        <w:rPr>
          <w:rFonts w:hint="eastAsia"/>
          <w:color w:val="000000"/>
          <w:szCs w:val="21"/>
          <w:highlight w:val="none"/>
        </w:rPr>
        <w:t xml:space="preserve">采购编号为</w:t>
      </w:r>
      <w:r>
        <w:rPr>
          <w:rFonts w:hint="eastAsia"/>
          <w:color w:val="000000"/>
          <w:szCs w:val="21"/>
          <w:highlight w:val="none"/>
          <w:u w:val="single"/>
        </w:rPr>
        <w:t xml:space="preserve">             </w:t>
      </w:r>
      <w:r>
        <w:rPr>
          <w:rFonts w:hint="eastAsia"/>
          <w:color w:val="000000"/>
          <w:szCs w:val="21"/>
          <w:highlight w:val="none"/>
        </w:rPr>
        <w:t xml:space="preserve">的</w:t>
      </w:r>
      <w:r>
        <w:rPr>
          <w:rFonts w:hint="eastAsia"/>
          <w:color w:val="000000"/>
          <w:szCs w:val="21"/>
          <w:highlight w:val="none"/>
          <w:u w:val="single"/>
        </w:rPr>
        <w:t xml:space="preserve">（项目名称）       </w:t>
      </w:r>
      <w:r>
        <w:rPr>
          <w:rFonts w:hint="eastAsia"/>
          <w:color w:val="000000"/>
          <w:szCs w:val="21"/>
          <w:highlight w:val="none"/>
        </w:rPr>
        <w:t xml:space="preserve">的采购活动，提供的货物全部由符合政策要求的中小企业制造。相关企业（含联合体中的中小企业、签订分包意向协议的中小企业）的具体情况如下：</w:t>
      </w:r>
      <w:r/>
    </w:p>
    <w:p>
      <w:pPr>
        <w:pStyle w:val="1656"/>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1.</w:t>
      </w:r>
      <w:r>
        <w:rPr>
          <w:rFonts w:hint="eastAsia"/>
          <w:color w:val="000000"/>
          <w:sz w:val="21"/>
          <w:szCs w:val="21"/>
          <w:highlight w:val="none"/>
          <w:u w:val="single"/>
        </w:rPr>
        <w:t xml:space="preserve">（标的名称）</w:t>
      </w:r>
      <w:r>
        <w:rPr>
          <w:rFonts w:hint="eastAsia"/>
          <w:i/>
          <w:color w:val="000000"/>
          <w:sz w:val="21"/>
          <w:szCs w:val="21"/>
          <w:highlight w:val="none"/>
        </w:rPr>
        <w:t xml:space="preserve">，</w:t>
      </w:r>
      <w:r>
        <w:rPr>
          <w:rFonts w:hint="eastAsia"/>
          <w:color w:val="000000"/>
          <w:sz w:val="21"/>
          <w:szCs w:val="21"/>
          <w:highlight w:val="none"/>
        </w:rPr>
        <w:t xml:space="preserve">属于</w:t>
      </w:r>
      <w:r>
        <w:rPr>
          <w:rFonts w:hint="eastAsia"/>
          <w:color w:val="000000"/>
          <w:sz w:val="21"/>
          <w:szCs w:val="21"/>
          <w:highlight w:val="none"/>
          <w:u w:val="single"/>
        </w:rPr>
        <w:t xml:space="preserve">(采购文件中明确的所属行业)</w:t>
      </w:r>
      <w:r>
        <w:rPr>
          <w:rFonts w:hint="eastAsia"/>
          <w:color w:val="000000"/>
          <w:sz w:val="21"/>
          <w:szCs w:val="21"/>
          <w:highlight w:val="none"/>
        </w:rPr>
        <w:t xml:space="preserve">行业；制造商为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p>
    <w:p>
      <w:pPr>
        <w:pStyle w:val="1656"/>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2.</w:t>
      </w:r>
      <w:r>
        <w:rPr>
          <w:rFonts w:hint="eastAsia"/>
          <w:color w:val="000000"/>
          <w:sz w:val="21"/>
          <w:szCs w:val="21"/>
          <w:highlight w:val="none"/>
          <w:u w:val="single"/>
        </w:rPr>
        <w:t xml:space="preserve">（标的名称）</w:t>
      </w:r>
      <w:r>
        <w:rPr>
          <w:rFonts w:hint="eastAsia"/>
          <w:i/>
          <w:color w:val="000000"/>
          <w:sz w:val="21"/>
          <w:szCs w:val="21"/>
          <w:highlight w:val="none"/>
        </w:rPr>
        <w:t xml:space="preserve">，</w:t>
      </w:r>
      <w:r>
        <w:rPr>
          <w:rFonts w:hint="eastAsia"/>
          <w:color w:val="000000"/>
          <w:sz w:val="21"/>
          <w:szCs w:val="21"/>
          <w:highlight w:val="none"/>
        </w:rPr>
        <w:t xml:space="preserve">属于</w:t>
      </w:r>
      <w:r>
        <w:rPr>
          <w:rFonts w:hint="eastAsia"/>
          <w:color w:val="000000"/>
          <w:sz w:val="21"/>
          <w:szCs w:val="21"/>
          <w:highlight w:val="none"/>
          <w:u w:val="single"/>
        </w:rPr>
        <w:t xml:space="preserve">(采购文件中明确的所属行业)</w:t>
      </w:r>
      <w:r>
        <w:rPr>
          <w:rFonts w:hint="eastAsia"/>
          <w:color w:val="000000"/>
          <w:sz w:val="21"/>
          <w:szCs w:val="21"/>
          <w:highlight w:val="none"/>
        </w:rPr>
        <w:t xml:space="preserve">行业；制造商为</w:t>
      </w:r>
      <w:r>
        <w:rPr>
          <w:rFonts w:hint="eastAsia"/>
          <w:color w:val="000000"/>
          <w:sz w:val="21"/>
          <w:szCs w:val="21"/>
          <w:highlight w:val="none"/>
          <w:u w:val="single"/>
        </w:rPr>
        <w:t xml:space="preserve">（企业名称）</w:t>
      </w:r>
      <w:r>
        <w:rPr>
          <w:rFonts w:hint="eastAsia"/>
          <w:color w:val="000000"/>
          <w:sz w:val="21"/>
          <w:szCs w:val="21"/>
          <w:highlight w:val="none"/>
        </w:rPr>
        <w:t xml:space="preserve">，从业人员</w:t>
      </w:r>
      <w:r>
        <w:rPr>
          <w:rFonts w:hint="eastAsia"/>
          <w:color w:val="000000"/>
          <w:sz w:val="21"/>
          <w:szCs w:val="21"/>
          <w:highlight w:val="none"/>
          <w:u w:val="single"/>
        </w:rPr>
        <w:t xml:space="preserve">      </w:t>
      </w:r>
      <w:r>
        <w:rPr>
          <w:rFonts w:hint="eastAsia"/>
          <w:color w:val="000000"/>
          <w:sz w:val="21"/>
          <w:szCs w:val="21"/>
          <w:highlight w:val="none"/>
        </w:rPr>
        <w:t xml:space="preserve">人，营业收入为</w:t>
      </w:r>
      <w:r>
        <w:rPr>
          <w:rFonts w:hint="eastAsia"/>
          <w:color w:val="000000"/>
          <w:sz w:val="21"/>
          <w:szCs w:val="21"/>
          <w:highlight w:val="none"/>
          <w:u w:val="single"/>
        </w:rPr>
        <w:t xml:space="preserve">     </w:t>
      </w:r>
      <w:r>
        <w:rPr>
          <w:rFonts w:hint="eastAsia"/>
          <w:color w:val="000000"/>
          <w:sz w:val="21"/>
          <w:szCs w:val="21"/>
          <w:highlight w:val="none"/>
        </w:rPr>
        <w:t xml:space="preserve">万元，资产总额为</w:t>
      </w:r>
      <w:r>
        <w:rPr>
          <w:rFonts w:hint="eastAsia"/>
          <w:color w:val="000000"/>
          <w:sz w:val="21"/>
          <w:szCs w:val="21"/>
          <w:highlight w:val="none"/>
          <w:u w:val="single"/>
        </w:rPr>
        <w:t xml:space="preserve">      </w:t>
      </w:r>
      <w:r>
        <w:rPr>
          <w:rFonts w:hint="eastAsia"/>
          <w:color w:val="000000"/>
          <w:sz w:val="21"/>
          <w:szCs w:val="21"/>
          <w:highlight w:val="none"/>
        </w:rPr>
        <w:t xml:space="preserve">万元，属于</w:t>
      </w:r>
      <w:r>
        <w:rPr>
          <w:rFonts w:hint="eastAsia"/>
          <w:color w:val="000000"/>
          <w:sz w:val="21"/>
          <w:szCs w:val="21"/>
          <w:highlight w:val="none"/>
          <w:u w:val="single"/>
        </w:rPr>
        <w:t xml:space="preserve">（中型企业、小型企业、微型企业）；</w:t>
      </w:r>
      <w:r/>
    </w:p>
    <w:p>
      <w:pPr>
        <w:pStyle w:val="1656"/>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w:t>
      </w:r>
      <w:r/>
    </w:p>
    <w:p>
      <w:pPr>
        <w:pStyle w:val="1656"/>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以上企业，不属于大企业的分支机构，不存在控股股东为大企业的情形，也不存在与大企业的负责人为同一人的情形。</w:t>
      </w:r>
      <w:r/>
    </w:p>
    <w:p>
      <w:pPr>
        <w:pStyle w:val="1656"/>
        <w:ind w:firstLine="360"/>
        <w:jc w:val="both"/>
        <w:spacing w:beforeAutospacing="0" w:afterAutospacing="0" w:line="360" w:lineRule="auto"/>
        <w:rPr>
          <w:color w:val="000000"/>
          <w:sz w:val="21"/>
          <w:szCs w:val="21"/>
          <w:highlight w:val="none"/>
        </w:rPr>
      </w:pPr>
      <w:r>
        <w:rPr>
          <w:rFonts w:hint="eastAsia"/>
          <w:color w:val="000000"/>
          <w:sz w:val="21"/>
          <w:szCs w:val="21"/>
          <w:highlight w:val="none"/>
        </w:rPr>
        <w:t xml:space="preserve">本企业对上述声明内容的真实性负责。如有虚假，将依法承担相应责任</w:t>
      </w:r>
      <w:r/>
    </w:p>
    <w:p>
      <w:pPr>
        <w:pStyle w:val="1656"/>
        <w:ind w:right="720"/>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6"/>
        <w:ind w:right="180" w:firstLine="360"/>
        <w:jc w:val="right"/>
        <w:spacing w:beforeAutospacing="0" w:afterAutospacing="0" w:line="360" w:lineRule="auto"/>
        <w:rPr>
          <w:color w:val="000000"/>
          <w:sz w:val="21"/>
          <w:szCs w:val="21"/>
          <w:highlight w:val="none"/>
        </w:rPr>
      </w:pPr>
      <w:r>
        <w:rPr>
          <w:rFonts w:hint="eastAsia"/>
          <w:color w:val="000000"/>
          <w:sz w:val="21"/>
          <w:szCs w:val="21"/>
          <w:highlight w:val="none"/>
        </w:rPr>
        <w:t xml:space="preserve">企业名称（加盖CA电子公章）：</w:t>
      </w:r>
      <w:r/>
    </w:p>
    <w:p>
      <w:pPr>
        <w:pStyle w:val="1656"/>
        <w:ind w:right="480" w:firstLine="5400"/>
        <w:jc w:val="both"/>
        <w:spacing w:beforeAutospacing="0" w:afterAutospacing="0" w:line="360" w:lineRule="auto"/>
        <w:rPr>
          <w:color w:val="000000"/>
          <w:sz w:val="21"/>
          <w:szCs w:val="21"/>
          <w:highlight w:val="none"/>
        </w:rPr>
      </w:pPr>
      <w:r>
        <w:rPr>
          <w:rFonts w:hint="eastAsia"/>
          <w:color w:val="000000"/>
          <w:sz w:val="21"/>
          <w:szCs w:val="21"/>
          <w:highlight w:val="none"/>
        </w:rPr>
        <w:t xml:space="preserve">日  期：</w:t>
      </w:r>
      <w:r/>
    </w:p>
    <w:p>
      <w:pPr>
        <w:pStyle w:val="1656"/>
        <w:ind w:firstLine="360"/>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6"/>
        <w:ind w:firstLine="480"/>
        <w:jc w:val="both"/>
        <w:spacing w:beforeAutospacing="0" w:afterAutospacing="0" w:line="360" w:lineRule="auto"/>
        <w:rPr>
          <w:color w:val="000000"/>
          <w:sz w:val="21"/>
          <w:szCs w:val="21"/>
          <w:highlight w:val="none"/>
        </w:rPr>
      </w:pPr>
      <w:r>
        <w:rPr>
          <w:rFonts w:hint="eastAsia"/>
          <w:color w:val="000000"/>
          <w:sz w:val="21"/>
          <w:szCs w:val="21"/>
          <w:highlight w:val="none"/>
        </w:rPr>
        <w:t xml:space="preserve">备注1：从业人员、营业收入、资产总额填报上一年度数据，无上一年度数据的新成立企业可不填报。</w:t>
      </w:r>
      <w:r/>
    </w:p>
    <w:p>
      <w:pPr>
        <w:pStyle w:val="1656"/>
        <w:ind w:firstLine="480"/>
        <w:jc w:val="both"/>
        <w:spacing w:beforeAutospacing="0" w:afterAutospacing="0" w:line="360" w:lineRule="auto"/>
        <w:rPr>
          <w:color w:val="000000"/>
          <w:sz w:val="21"/>
          <w:szCs w:val="21"/>
          <w:highlight w:val="none"/>
        </w:rPr>
      </w:pPr>
      <w:r>
        <w:rPr>
          <w:rFonts w:hint="eastAsia"/>
          <w:color w:val="000000"/>
          <w:sz w:val="21"/>
          <w:szCs w:val="21"/>
          <w:highlight w:val="none"/>
        </w:rPr>
        <w:t xml:space="preserve">备注2：供应商如不提供此声明函，价格将不做相应扣除（如项目全面面向中小企业，则资格审查不通过）。</w:t>
      </w:r>
      <w:r/>
    </w:p>
    <w:p>
      <w:pPr>
        <w:pStyle w:val="1656"/>
        <w:jc w:val="center"/>
        <w:spacing w:beforeAutospacing="0" w:afterAutospacing="0" w:line="0" w:lineRule="atLeast"/>
        <w:rPr>
          <w:rFonts w:hint="eastAsia" w:ascii="黑体" w:hAnsi="宋体" w:eastAsia="黑体" w:cs="黑体"/>
          <w:b/>
          <w:color w:val="000000"/>
          <w:sz w:val="21"/>
          <w:szCs w:val="21"/>
          <w:highlight w:val="none"/>
        </w:rPr>
      </w:pPr>
      <w:r>
        <w:rPr>
          <w:rFonts w:hint="eastAsia" w:ascii="黑体" w:hAnsi="宋体" w:eastAsia="黑体" w:cs="黑体"/>
          <w:b/>
          <w:color w:val="000000"/>
          <w:sz w:val="21"/>
          <w:szCs w:val="21"/>
          <w:highlight w:val="none"/>
        </w:rPr>
      </w:r>
      <w:r/>
    </w:p>
    <w:p>
      <w:pPr>
        <w:pStyle w:val="165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6"/>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6"/>
        <w:jc w:val="both"/>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1656"/>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 十</w:t>
      </w:r>
      <w:r>
        <w:rPr>
          <w:rFonts w:hint="eastAsia" w:ascii="黑体" w:hAnsi="宋体" w:eastAsia="黑体" w:cs="黑体"/>
          <w:b/>
          <w:color w:val="000000"/>
          <w:sz w:val="32"/>
          <w:szCs w:val="32"/>
          <w:highlight w:val="none"/>
          <w:lang w:eastAsia="zh-CN"/>
        </w:rPr>
        <w:t xml:space="preserve">一</w:t>
      </w:r>
      <w:r>
        <w:rPr>
          <w:rFonts w:hint="eastAsia" w:ascii="黑体" w:hAnsi="宋体" w:eastAsia="黑体" w:cs="黑体"/>
          <w:b/>
          <w:color w:val="000000"/>
          <w:sz w:val="32"/>
          <w:szCs w:val="32"/>
          <w:highlight w:val="none"/>
        </w:rPr>
        <w:t xml:space="preserve">、残疾人福利性单位声明函（分包号：**）</w:t>
      </w:r>
      <w:r/>
    </w:p>
    <w:p>
      <w:pPr>
        <w:pStyle w:val="1656"/>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项目（分包号：**）采购活动提供本单位制造的货物，或者提供其他残疾人福利性单位制造的货物（不包括使用非残疾人福利性单位注册商标的货物）。</w:t>
      </w:r>
      <w:r/>
    </w:p>
    <w:p>
      <w:pPr>
        <w:pStyle w:val="1656"/>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本单位对上述声明的真实性负责。如有虚假，将依法承担相应责任。</w:t>
      </w:r>
      <w:r/>
    </w:p>
    <w:p>
      <w:pPr>
        <w:pStyle w:val="1656"/>
        <w:ind w:firstLine="480"/>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6"/>
        <w:ind w:firstLine="480"/>
        <w:jc w:val="both"/>
        <w:spacing w:beforeAutospacing="0" w:afterAutospacing="0" w:line="360" w:lineRule="auto"/>
        <w:rPr>
          <w:color w:val="000000"/>
          <w:sz w:val="21"/>
          <w:szCs w:val="21"/>
          <w:highlight w:val="none"/>
        </w:rPr>
      </w:pPr>
      <w:r>
        <w:rPr>
          <w:rFonts w:hint="eastAsia" w:ascii="宋体" w:hAnsi="宋体" w:cs="宋体"/>
          <w:color w:val="000000"/>
          <w:sz w:val="21"/>
          <w:szCs w:val="21"/>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1656"/>
        <w:ind w:firstLine="624"/>
        <w:jc w:val="both"/>
        <w:spacing w:beforeAutospacing="0" w:afterAutospacing="0" w:line="360" w:lineRule="auto"/>
        <w:rPr>
          <w:color w:val="000000"/>
          <w:sz w:val="21"/>
          <w:szCs w:val="21"/>
          <w:highlight w:val="none"/>
        </w:rPr>
      </w:pPr>
      <w:r>
        <w:rPr>
          <w:color w:val="000000"/>
          <w:sz w:val="21"/>
          <w:szCs w:val="21"/>
          <w:highlight w:val="none"/>
        </w:rPr>
        <w:t xml:space="preserve"> </w:t>
      </w:r>
      <w:r/>
    </w:p>
    <w:p>
      <w:pPr>
        <w:pStyle w:val="1656"/>
        <w:ind w:right="1560" w:firstLine="624"/>
        <w:jc w:val="center"/>
        <w:spacing w:beforeAutospacing="0" w:afterAutospacing="0" w:line="360" w:lineRule="auto"/>
        <w:tabs>
          <w:tab w:val="left" w:pos="4864" w:leader="none"/>
        </w:tabs>
        <w:rPr>
          <w:color w:val="000000"/>
          <w:sz w:val="21"/>
          <w:szCs w:val="21"/>
          <w:highlight w:val="none"/>
        </w:rPr>
      </w:pPr>
      <w:r>
        <w:rPr>
          <w:rFonts w:ascii="仿宋_GB2312" w:eastAsia="仿宋_GB2312" w:cs="仿宋_GB2312"/>
          <w:color w:val="000000"/>
          <w:sz w:val="21"/>
          <w:szCs w:val="21"/>
          <w:highlight w:val="none"/>
        </w:rPr>
        <w:t xml:space="preserve">             </w:t>
      </w:r>
      <w:r>
        <w:rPr>
          <w:rFonts w:hint="eastAsia" w:ascii="宋体" w:hAnsi="宋体" w:cs="宋体"/>
          <w:color w:val="000000"/>
          <w:sz w:val="21"/>
          <w:szCs w:val="21"/>
          <w:highlight w:val="none"/>
        </w:rPr>
        <w:t xml:space="preserve">          供应商全称（加盖CA电子公章）：</w:t>
      </w:r>
      <w:r/>
    </w:p>
    <w:p>
      <w:pPr>
        <w:pStyle w:val="1656"/>
        <w:ind w:right="1560" w:firstLine="480"/>
        <w:jc w:val="center"/>
        <w:spacing w:beforeAutospacing="0" w:afterAutospacing="0" w:line="360" w:lineRule="auto"/>
        <w:tabs>
          <w:tab w:val="left" w:pos="4864" w:leader="none"/>
        </w:tabs>
        <w:rPr>
          <w:color w:val="000000"/>
          <w:sz w:val="21"/>
          <w:szCs w:val="21"/>
          <w:highlight w:val="none"/>
        </w:rPr>
      </w:pPr>
      <w:r>
        <w:rPr>
          <w:rFonts w:hint="eastAsia" w:ascii="宋体" w:hAnsi="宋体" w:cs="宋体"/>
          <w:color w:val="000000"/>
          <w:sz w:val="21"/>
          <w:szCs w:val="21"/>
          <w:highlight w:val="none"/>
        </w:rPr>
        <w:t xml:space="preserve">        日  期：</w:t>
      </w:r>
      <w:r/>
    </w:p>
    <w:p>
      <w:pPr>
        <w:pStyle w:val="1656"/>
        <w:jc w:val="center"/>
        <w:spacing w:beforeAutospacing="0" w:afterAutospacing="0" w:line="360" w:lineRule="auto"/>
        <w:rPr>
          <w:color w:val="000000"/>
          <w:sz w:val="21"/>
          <w:szCs w:val="21"/>
          <w:highlight w:val="none"/>
        </w:rPr>
      </w:pPr>
      <w:r>
        <w:rPr>
          <w:color w:val="000000"/>
          <w:sz w:val="21"/>
          <w:szCs w:val="21"/>
          <w:highlight w:val="none"/>
        </w:rPr>
        <w:t xml:space="preserve"> </w:t>
      </w:r>
      <w:r/>
    </w:p>
    <w:p>
      <w:pPr>
        <w:pStyle w:val="1656"/>
        <w:jc w:val="center"/>
        <w:spacing w:beforeAutospacing="0" w:afterAutospacing="0" w:line="0" w:lineRule="atLeast"/>
        <w:rPr>
          <w:color w:val="000000"/>
          <w:highlight w:val="none"/>
        </w:rPr>
      </w:pPr>
      <w:r>
        <w:rPr>
          <w:color w:val="000000"/>
          <w:highlight w:val="none"/>
        </w:rPr>
        <w:t xml:space="preserve"> </w:t>
      </w:r>
      <w:r/>
    </w:p>
    <w:p>
      <w:pPr>
        <w:pStyle w:val="1656"/>
        <w:jc w:val="center"/>
        <w:spacing w:beforeAutospacing="0" w:afterAutospacing="0" w:line="0" w:lineRule="atLeast"/>
        <w:rPr>
          <w:color w:val="000000"/>
          <w:highlight w:val="none"/>
        </w:rPr>
      </w:pPr>
      <w:r>
        <w:rPr>
          <w:color w:val="000000"/>
          <w:highlight w:val="none"/>
        </w:rPr>
        <w:t xml:space="preserve"> </w:t>
      </w:r>
      <w:r/>
    </w:p>
    <w:p>
      <w:pPr>
        <w:pStyle w:val="1656"/>
        <w:jc w:val="center"/>
        <w:spacing w:beforeAutospacing="0" w:afterAutospacing="0" w:line="0" w:lineRule="atLeast"/>
        <w:rPr>
          <w:color w:val="000000"/>
          <w:highlight w:val="none"/>
        </w:rPr>
      </w:pPr>
      <w:r>
        <w:rPr>
          <w:color w:val="000000"/>
          <w:highlight w:val="none"/>
        </w:rPr>
        <w:t xml:space="preserve"> </w:t>
      </w:r>
      <w:r/>
    </w:p>
    <w:p>
      <w:pPr>
        <w:pStyle w:val="1656"/>
        <w:jc w:val="center"/>
        <w:spacing w:beforeAutospacing="0" w:afterAutospacing="0" w:line="0" w:lineRule="atLeast"/>
        <w:rPr>
          <w:color w:val="000000"/>
          <w:highlight w:val="none"/>
        </w:rPr>
      </w:pPr>
      <w:r>
        <w:rPr>
          <w:color w:val="000000"/>
          <w:highlight w:val="none"/>
        </w:rPr>
        <w:t xml:space="preserve"> </w:t>
      </w:r>
      <w:r/>
    </w:p>
    <w:p>
      <w:pPr>
        <w:pStyle w:val="1656"/>
        <w:jc w:val="center"/>
        <w:spacing w:beforeAutospacing="0" w:afterAutospacing="0" w:line="0" w:lineRule="atLeast"/>
        <w:rPr>
          <w:color w:val="000000"/>
          <w:highlight w:val="none"/>
        </w:rPr>
      </w:pPr>
      <w:r>
        <w:rPr>
          <w:color w:val="000000"/>
          <w:highlight w:val="none"/>
        </w:rPr>
        <w:t xml:space="preserve"> </w:t>
      </w:r>
      <w:r/>
    </w:p>
    <w:p>
      <w:pPr>
        <w:pStyle w:val="1656"/>
        <w:jc w:val="center"/>
        <w:spacing w:beforeAutospacing="0" w:afterAutospacing="0" w:line="0" w:lineRule="atLeast"/>
        <w:rPr>
          <w:color w:val="000000"/>
          <w:highlight w:val="none"/>
        </w:rPr>
      </w:pPr>
      <w:r>
        <w:rPr>
          <w:color w:val="000000"/>
          <w:highlight w:val="none"/>
        </w:rPr>
        <w:t xml:space="preserve"> </w:t>
      </w:r>
      <w:r/>
    </w:p>
    <w:p>
      <w:pPr>
        <w:pStyle w:val="1656"/>
        <w:jc w:val="center"/>
        <w:spacing w:beforeAutospacing="0" w:afterAutospacing="0" w:line="0" w:lineRule="atLeast"/>
        <w:rPr>
          <w:color w:val="000000"/>
          <w:highlight w:val="none"/>
        </w:rPr>
      </w:pPr>
      <w:r>
        <w:rPr>
          <w:color w:val="000000"/>
          <w:highlight w:val="none"/>
        </w:rPr>
        <w:t xml:space="preserve"> </w:t>
      </w:r>
      <w:r/>
    </w:p>
    <w:p>
      <w:pPr>
        <w:pStyle w:val="1656"/>
        <w:jc w:val="center"/>
        <w:spacing w:beforeAutospacing="0" w:afterAutospacing="0" w:line="0" w:lineRule="atLeast"/>
        <w:rPr>
          <w:color w:val="000000"/>
          <w:highlight w:val="none"/>
        </w:rPr>
      </w:pPr>
      <w:r>
        <w:rPr>
          <w:color w:val="000000"/>
          <w:highlight w:val="none"/>
        </w:rPr>
        <w:t xml:space="preserve"> </w:t>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center"/>
        <w:spacing w:beforeAutospacing="0" w:afterAutospacing="0" w:line="0" w:lineRule="atLeast"/>
        <w:rPr>
          <w:color w:val="000000"/>
          <w:highlight w:val="none"/>
        </w:rPr>
      </w:pPr>
      <w:r>
        <w:rPr>
          <w:color w:val="000000"/>
          <w:highlight w:val="none"/>
        </w:rPr>
      </w:r>
      <w:r/>
    </w:p>
    <w:p>
      <w:pPr>
        <w:pStyle w:val="1656"/>
        <w:jc w:val="both"/>
        <w:spacing w:beforeAutospacing="0" w:afterAutospacing="0" w:line="0" w:lineRule="atLeast"/>
        <w:rPr>
          <w:color w:val="000000"/>
          <w:highlight w:val="none"/>
        </w:rPr>
      </w:pPr>
      <w:r>
        <w:rPr>
          <w:color w:val="000000"/>
          <w:highlight w:val="none"/>
        </w:rPr>
        <w:t xml:space="preserve"> </w:t>
      </w:r>
      <w:r/>
    </w:p>
    <w:p>
      <w:pPr>
        <w:pStyle w:val="1656"/>
        <w:jc w:val="both"/>
        <w:spacing w:beforeAutospacing="0" w:afterAutospacing="0" w:line="0" w:lineRule="atLeast"/>
        <w:rPr>
          <w:color w:val="000000"/>
          <w:highlight w:val="none"/>
        </w:rPr>
      </w:pPr>
      <w:r>
        <w:rPr>
          <w:color w:val="000000"/>
          <w:highlight w:val="none"/>
        </w:rPr>
      </w:r>
      <w:r/>
    </w:p>
    <w:p>
      <w:pPr>
        <w:pStyle w:val="1656"/>
        <w:jc w:val="both"/>
        <w:spacing w:beforeAutospacing="0" w:afterAutospacing="0" w:line="0" w:lineRule="atLeast"/>
        <w:rPr>
          <w:color w:val="000000"/>
          <w:highlight w:val="none"/>
        </w:rPr>
      </w:pPr>
      <w:r>
        <w:rPr>
          <w:color w:val="000000"/>
          <w:highlight w:val="none"/>
        </w:rPr>
      </w:r>
      <w:r/>
    </w:p>
    <w:p>
      <w:pPr>
        <w:pStyle w:val="1656"/>
        <w:jc w:val="both"/>
        <w:spacing w:beforeAutospacing="0" w:afterAutospacing="0" w:line="0" w:lineRule="atLeast"/>
        <w:rPr>
          <w:color w:val="000000"/>
          <w:highlight w:val="none"/>
        </w:rPr>
      </w:pPr>
      <w:r>
        <w:rPr>
          <w:color w:val="000000"/>
          <w:highlight w:val="none"/>
        </w:rPr>
      </w:r>
      <w:r/>
    </w:p>
    <w:p>
      <w:pPr>
        <w:pStyle w:val="1656"/>
        <w:jc w:val="both"/>
        <w:spacing w:beforeAutospacing="0" w:afterAutospacing="0" w:line="0" w:lineRule="atLeast"/>
        <w:rPr>
          <w:color w:val="000000"/>
          <w:highlight w:val="none"/>
        </w:rPr>
      </w:pPr>
      <w:r>
        <w:rPr>
          <w:color w:val="000000"/>
          <w:highlight w:val="none"/>
        </w:rPr>
      </w:r>
      <w:r/>
    </w:p>
    <w:p>
      <w:pPr>
        <w:pStyle w:val="1480"/>
        <w:ind w:left="0" w:right="0"/>
        <w:jc w:val="center"/>
        <w:keepLines w:val="0"/>
        <w:keepNext w:val="0"/>
        <w:spacing w:before="0" w:beforeAutospacing="0" w:after="0" w:afterAutospacing="0"/>
        <w:widowControl w:val="off"/>
        <w:rPr>
          <w:b/>
          <w:bCs/>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lang w:eastAsia="zh-CN"/>
        </w:rPr>
        <w:t xml:space="preserve">二</w:t>
      </w:r>
      <w:r>
        <w:rPr>
          <w:rFonts w:ascii="黑体" w:hAnsi="宋体" w:eastAsia="黑体" w:cs="黑体"/>
          <w:b/>
          <w:bCs/>
          <w:color w:val="ff0000"/>
          <w:sz w:val="32"/>
          <w:szCs w:val="32"/>
        </w:rPr>
        <w:t xml:space="preserve">、关于符合本国产品标准的声明函（采购包号：**）</w:t>
      </w:r>
      <w:r/>
    </w:p>
    <w:p>
      <w:pPr>
        <w:pStyle w:val="1480"/>
        <w:ind w:left="0" w:firstLine="420"/>
        <w:jc w:val="both"/>
        <w:keepLines w:val="0"/>
        <w:keepNext w:val="0"/>
        <w:spacing w:before="0" w:beforeAutospacing="0" w:after="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80"/>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1.</w:t>
      </w:r>
      <w:r>
        <w:rPr>
          <w:rFonts w:ascii="宋体" w:hAnsi="宋体" w:eastAsia="宋体" w:cs="宋体"/>
          <w:b/>
          <w:bCs/>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vertAlign w:val="superscript"/>
        </w:rPr>
        <w:t xml:space="preserve">1</w:t>
      </w:r>
      <w:r>
        <w:rPr>
          <w:rFonts w:ascii="宋体" w:hAnsi="宋体" w:eastAsia="宋体" w:cs="宋体"/>
          <w:b/>
          <w:bCs/>
          <w:color w:val="ff0000"/>
          <w:sz w:val="21"/>
          <w:szCs w:val="21"/>
          <w:shd w:val="clear" w:color="auto" w:fill="ffffff"/>
        </w:rPr>
        <w:t xml:space="preserve">，生产厂为</w:t>
      </w:r>
      <w:r>
        <w:rPr>
          <w:rFonts w:ascii="宋体" w:hAnsi="宋体" w:eastAsia="宋体" w:cs="宋体"/>
          <w:b/>
          <w:bCs/>
          <w:color w:val="ff0000"/>
          <w:sz w:val="21"/>
          <w:szCs w:val="21"/>
          <w:u w:val="single"/>
          <w:shd w:val="clear" w:color="auto" w:fill="ffffff"/>
        </w:rPr>
        <w:t xml:space="preserve">（厂名）</w:t>
      </w:r>
      <w:r>
        <w:rPr>
          <w:rFonts w:ascii="宋体" w:hAnsi="宋体" w:eastAsia="宋体" w:cs="宋体"/>
          <w:b/>
          <w:bCs/>
          <w:color w:val="ff0000"/>
          <w:sz w:val="21"/>
          <w:szCs w:val="21"/>
          <w:shd w:val="clear" w:color="auto" w:fill="ffffff"/>
          <w:vertAlign w:val="superscript"/>
        </w:rPr>
        <w:t xml:space="preserve">2</w:t>
      </w:r>
      <w:r>
        <w:rPr>
          <w:rFonts w:ascii="宋体" w:hAnsi="宋体" w:eastAsia="宋体" w:cs="宋体"/>
          <w:b/>
          <w:bCs/>
          <w:color w:val="ff0000"/>
          <w:sz w:val="21"/>
          <w:szCs w:val="21"/>
          <w:shd w:val="clear" w:color="auto" w:fill="ffffff"/>
        </w:rPr>
        <w:t xml:space="preserve">，厂址为</w:t>
      </w:r>
      <w:r>
        <w:rPr>
          <w:rFonts w:ascii="宋体" w:hAnsi="宋体" w:eastAsia="宋体" w:cs="宋体"/>
          <w:b/>
          <w:bCs/>
          <w:color w:val="ff0000"/>
          <w:sz w:val="21"/>
          <w:szCs w:val="21"/>
          <w:u w:val="single"/>
          <w:shd w:val="clear" w:color="auto" w:fill="ffffff"/>
        </w:rPr>
        <w:t xml:space="preserve">（生产厂址）</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 （产品名称1）</w:t>
      </w:r>
      <w:r>
        <w:rPr>
          <w:rFonts w:ascii="宋体" w:hAnsi="宋体" w:eastAsia="宋体" w:cs="宋体"/>
          <w:b/>
          <w:bCs/>
          <w:color w:val="ff0000"/>
          <w:sz w:val="21"/>
          <w:szCs w:val="21"/>
          <w:u w:val="single"/>
          <w:shd w:val="clear" w:color="auto" w:fill="ffffff"/>
        </w:rPr>
        <w:t xml:space="preserve"> </w:t>
      </w:r>
      <w:r>
        <w:rPr>
          <w:rFonts w:ascii="宋体" w:hAnsi="宋体" w:eastAsia="宋体" w:cs="宋体"/>
          <w:b/>
          <w:bCs/>
          <w:color w:val="ff0000"/>
          <w:sz w:val="21"/>
          <w:szCs w:val="21"/>
          <w:shd w:val="clear" w:color="auto" w:fill="ffffff"/>
        </w:rPr>
        <w:t xml:space="preserve">的中国境内生产的组件成本占比≥</w:t>
      </w:r>
      <w:r>
        <w:rPr>
          <w:rFonts w:ascii="宋体" w:hAnsi="宋体" w:eastAsia="宋体" w:cs="宋体"/>
          <w:b/>
          <w:bCs/>
          <w:strike/>
          <w:color w:val="ff0000"/>
          <w:sz w:val="21"/>
          <w:szCs w:val="21"/>
          <w:u w:val="single"/>
          <w:shd w:val="clear" w:color="auto" w:fill="ffffff"/>
        </w:rPr>
        <w:t xml:space="preserve">（规定比例）</w:t>
      </w:r>
      <w:r>
        <w:rPr>
          <w:rFonts w:ascii="宋体" w:hAnsi="宋体" w:eastAsia="宋体" w:cs="宋体"/>
          <w:b/>
          <w:bCs/>
          <w:strike/>
          <w:color w:val="ff0000"/>
          <w:sz w:val="21"/>
          <w:szCs w:val="21"/>
          <w:shd w:val="clear" w:color="auto" w:fill="ffffff"/>
          <w:vertAlign w:val="superscript"/>
        </w:rPr>
        <w:t xml:space="preserve">3</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（关键组件）</w:t>
      </w:r>
      <w:r>
        <w:rPr>
          <w:rFonts w:ascii="宋体" w:hAnsi="宋体" w:eastAsia="宋体" w:cs="宋体"/>
          <w:b/>
          <w:bCs/>
          <w:strike/>
          <w:color w:val="ff0000"/>
          <w:sz w:val="21"/>
          <w:szCs w:val="21"/>
          <w:shd w:val="clear" w:color="auto" w:fill="ffffff"/>
          <w:vertAlign w:val="superscript"/>
        </w:rPr>
        <w:t xml:space="preserve">4</w:t>
      </w:r>
      <w:r>
        <w:rPr>
          <w:rFonts w:ascii="宋体" w:hAnsi="宋体" w:eastAsia="宋体" w:cs="宋体"/>
          <w:b/>
          <w:bCs/>
          <w:color w:val="ff0000"/>
          <w:sz w:val="21"/>
          <w:szCs w:val="21"/>
          <w:shd w:val="clear" w:color="auto" w:fill="ffffff"/>
        </w:rPr>
        <w:t xml:space="preserve">在中国境内生产。</w:t>
      </w:r>
      <w:r>
        <w:rPr>
          <w:rFonts w:ascii="宋体" w:hAnsi="宋体" w:eastAsia="宋体" w:cs="宋体"/>
          <w:b/>
          <w:bCs/>
          <w:strike/>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（关键工序）</w:t>
      </w:r>
      <w:r>
        <w:rPr>
          <w:rFonts w:ascii="宋体" w:hAnsi="宋体" w:eastAsia="宋体" w:cs="宋体"/>
          <w:b/>
          <w:bCs/>
          <w:strike/>
          <w:color w:val="ff0000"/>
          <w:sz w:val="21"/>
          <w:szCs w:val="21"/>
          <w:shd w:val="clear" w:color="auto" w:fill="ffffff"/>
          <w:vertAlign w:val="superscript"/>
        </w:rPr>
        <w:t xml:space="preserve">5</w:t>
      </w:r>
      <w:r>
        <w:rPr>
          <w:rFonts w:ascii="宋体" w:hAnsi="宋体" w:eastAsia="宋体" w:cs="宋体"/>
          <w:b/>
          <w:bCs/>
          <w:color w:val="ff0000"/>
          <w:sz w:val="21"/>
          <w:szCs w:val="21"/>
          <w:shd w:val="clear" w:color="auto" w:fill="ffffff"/>
        </w:rPr>
        <w:t xml:space="preserve">在中国境内完成。</w:t>
      </w:r>
      <w:r/>
    </w:p>
    <w:p>
      <w:pPr>
        <w:pStyle w:val="1480"/>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2.</w:t>
      </w:r>
      <w:r>
        <w:rPr>
          <w:rFonts w:ascii="宋体" w:hAnsi="宋体" w:eastAsia="宋体" w:cs="宋体"/>
          <w:b/>
          <w:bCs/>
          <w:color w:val="ff0000"/>
          <w:sz w:val="21"/>
          <w:szCs w:val="21"/>
          <w:u w:val="single"/>
          <w:shd w:val="clear" w:color="auto" w:fill="ffffff"/>
        </w:rPr>
        <w:t xml:space="preserve">（产品名称2）</w:t>
      </w:r>
      <w:r>
        <w:rPr>
          <w:rFonts w:ascii="宋体" w:hAnsi="宋体" w:eastAsia="宋体" w:cs="宋体"/>
          <w:b/>
          <w:bCs/>
          <w:color w:val="ff0000"/>
          <w:sz w:val="21"/>
          <w:szCs w:val="21"/>
          <w:shd w:val="clear" w:color="auto" w:fill="ffffff"/>
        </w:rPr>
        <w:t xml:space="preserve">，生产厂为</w:t>
      </w:r>
      <w:r>
        <w:rPr>
          <w:rFonts w:ascii="宋体" w:hAnsi="宋体" w:eastAsia="宋体" w:cs="宋体"/>
          <w:b/>
          <w:bCs/>
          <w:color w:val="ff0000"/>
          <w:sz w:val="21"/>
          <w:szCs w:val="21"/>
          <w:u w:val="single"/>
          <w:shd w:val="clear" w:color="auto" w:fill="ffffff"/>
        </w:rPr>
        <w:t xml:space="preserve">（厂名）</w:t>
      </w:r>
      <w:r>
        <w:rPr>
          <w:rFonts w:ascii="宋体" w:hAnsi="宋体" w:eastAsia="宋体" w:cs="宋体"/>
          <w:b/>
          <w:bCs/>
          <w:color w:val="ff0000"/>
          <w:sz w:val="21"/>
          <w:szCs w:val="21"/>
          <w:shd w:val="clear" w:color="auto" w:fill="ffffff"/>
        </w:rPr>
        <w:t xml:space="preserve">，厂址为</w:t>
      </w:r>
      <w:r>
        <w:rPr>
          <w:rFonts w:ascii="宋体" w:hAnsi="宋体" w:eastAsia="宋体" w:cs="宋体"/>
          <w:b/>
          <w:bCs/>
          <w:color w:val="ff0000"/>
          <w:sz w:val="21"/>
          <w:szCs w:val="21"/>
          <w:u w:val="single"/>
          <w:shd w:val="clear" w:color="auto" w:fill="ffffff"/>
        </w:rPr>
        <w:t xml:space="preserve">（生产厂址）</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（产品名称2）</w:t>
      </w:r>
      <w:r>
        <w:rPr>
          <w:rFonts w:ascii="宋体" w:hAnsi="宋体" w:eastAsia="宋体" w:cs="宋体"/>
          <w:b/>
          <w:bCs/>
          <w:color w:val="ff0000"/>
          <w:sz w:val="21"/>
          <w:szCs w:val="21"/>
          <w:shd w:val="clear" w:color="auto" w:fill="ffffff"/>
        </w:rPr>
        <w:t xml:space="preserve">的中国境内生产的组件成本占比≥</w:t>
      </w:r>
      <w:r>
        <w:rPr>
          <w:rFonts w:ascii="宋体" w:hAnsi="宋体" w:eastAsia="宋体" w:cs="宋体"/>
          <w:b/>
          <w:bCs/>
          <w:strike/>
          <w:color w:val="ff0000"/>
          <w:sz w:val="21"/>
          <w:szCs w:val="21"/>
          <w:u w:val="single"/>
          <w:shd w:val="clear" w:color="auto" w:fill="ffffff"/>
        </w:rPr>
        <w:t xml:space="preserve">（规定比例）</w:t>
      </w:r>
      <w:r>
        <w:rPr>
          <w:rFonts w:ascii="宋体" w:hAnsi="宋体" w:eastAsia="宋体" w:cs="宋体"/>
          <w:b/>
          <w:bCs/>
          <w:color w:val="ff0000"/>
          <w:sz w:val="21"/>
          <w:szCs w:val="21"/>
          <w:shd w:val="clear" w:color="auto" w:fill="ffffff"/>
        </w:rPr>
        <w:t xml:space="preserve">。</w:t>
      </w:r>
      <w:r>
        <w:rPr>
          <w:rFonts w:ascii="宋体" w:hAnsi="宋体" w:eastAsia="宋体" w:cs="宋体"/>
          <w:b/>
          <w:bCs/>
          <w:strike/>
          <w:color w:val="ff0000"/>
          <w:sz w:val="21"/>
          <w:szCs w:val="21"/>
          <w:u w:val="single"/>
          <w:shd w:val="clear" w:color="auto" w:fill="ffffff"/>
        </w:rPr>
        <w:t xml:space="preserve">（产品名称2）</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（关键组件）</w:t>
      </w:r>
      <w:r>
        <w:rPr>
          <w:rFonts w:ascii="宋体" w:hAnsi="宋体" w:eastAsia="宋体" w:cs="宋体"/>
          <w:b/>
          <w:bCs/>
          <w:color w:val="ff0000"/>
          <w:sz w:val="21"/>
          <w:szCs w:val="21"/>
          <w:shd w:val="clear" w:color="auto" w:fill="ffffff"/>
        </w:rPr>
        <w:t xml:space="preserve">在中国境内生产。</w:t>
      </w:r>
      <w:r>
        <w:rPr>
          <w:rFonts w:ascii="宋体" w:hAnsi="宋体" w:eastAsia="宋体" w:cs="宋体"/>
          <w:b/>
          <w:bCs/>
          <w:strike/>
          <w:color w:val="ff0000"/>
          <w:sz w:val="21"/>
          <w:szCs w:val="21"/>
          <w:u w:val="single"/>
          <w:shd w:val="clear" w:color="auto" w:fill="ffffff"/>
        </w:rPr>
        <w:t xml:space="preserve">（产品名称1）</w:t>
      </w:r>
      <w:r>
        <w:rPr>
          <w:rFonts w:ascii="宋体" w:hAnsi="宋体" w:eastAsia="宋体" w:cs="宋体"/>
          <w:b/>
          <w:bCs/>
          <w:color w:val="ff0000"/>
          <w:sz w:val="21"/>
          <w:szCs w:val="21"/>
          <w:shd w:val="clear" w:color="auto" w:fill="ffffff"/>
        </w:rPr>
        <w:t xml:space="preserve">的</w:t>
      </w:r>
      <w:r>
        <w:rPr>
          <w:rFonts w:ascii="宋体" w:hAnsi="宋体" w:eastAsia="宋体" w:cs="宋体"/>
          <w:b/>
          <w:bCs/>
          <w:strike/>
          <w:color w:val="ff0000"/>
          <w:sz w:val="21"/>
          <w:szCs w:val="21"/>
          <w:u w:val="single"/>
          <w:shd w:val="clear" w:color="auto" w:fill="ffffff"/>
        </w:rPr>
        <w:t xml:space="preserve">（关键工序）</w:t>
      </w:r>
      <w:r>
        <w:rPr>
          <w:rFonts w:ascii="宋体" w:hAnsi="宋体" w:eastAsia="宋体" w:cs="宋体"/>
          <w:b/>
          <w:bCs/>
          <w:color w:val="ff0000"/>
          <w:sz w:val="21"/>
          <w:szCs w:val="21"/>
          <w:shd w:val="clear" w:color="auto" w:fill="ffffff"/>
        </w:rPr>
        <w:t xml:space="preserve">在中国境内完成。</w:t>
      </w:r>
      <w:r/>
    </w:p>
    <w:p>
      <w:pPr>
        <w:pStyle w:val="1480"/>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w:t>
      </w:r>
      <w:r/>
    </w:p>
    <w:p>
      <w:pPr>
        <w:pStyle w:val="1480"/>
        <w:ind w:left="0" w:firstLine="4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本公司（单位）对上述声明内容的真实性负责。如有虚假，愿承担相应法律责任。</w:t>
      </w:r>
      <w:r/>
    </w:p>
    <w:p>
      <w:pPr>
        <w:pStyle w:val="148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rPr>
        <w:t xml:space="preserve"> </w:t>
      </w:r>
      <w:r/>
    </w:p>
    <w:p>
      <w:pPr>
        <w:pStyle w:val="1480"/>
        <w:ind w:left="0" w:right="480" w:firstLine="372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公司（单位）名称（盖章）：　</w:t>
      </w:r>
      <w:r/>
    </w:p>
    <w:p>
      <w:pPr>
        <w:pStyle w:val="1480"/>
        <w:jc w:val="center"/>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                            日期：　   年　  月　  日</w:t>
      </w:r>
      <w:r/>
    </w:p>
    <w:p>
      <w:pPr>
        <w:pStyle w:val="148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__________________</w:t>
      </w:r>
      <w:r/>
    </w:p>
    <w:p>
      <w:pPr>
        <w:pStyle w:val="148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1.产品如有型号，请在“产品名称”栏一并填写。</w:t>
      </w:r>
      <w:r/>
    </w:p>
    <w:p>
      <w:pPr>
        <w:pStyle w:val="148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2.生产厂名与厂址应与生产厂营业执照载明的相关信息保持一致。</w:t>
      </w:r>
      <w:r/>
    </w:p>
    <w:p>
      <w:pPr>
        <w:pStyle w:val="148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3.该产品的中国境内生产的组件成本占比相关要求实施前，“规定比例”栏可不填，下同。</w:t>
      </w:r>
      <w:r/>
    </w:p>
    <w:p>
      <w:pPr>
        <w:pStyle w:val="148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4.该产品的关键组件要求实施前，“关键组件”栏可不填，下同。</w:t>
      </w:r>
      <w:r/>
    </w:p>
    <w:p>
      <w:pPr>
        <w:pStyle w:val="1480"/>
        <w:jc w:val="both"/>
        <w:keepLines w:val="0"/>
        <w:keepNext w:val="0"/>
        <w:spacing w:before="30" w:beforeAutospacing="0" w:after="30" w:afterAutospacing="0"/>
        <w:widowControl w:val="off"/>
        <w:rPr>
          <w:b/>
          <w:bCs/>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5.该产品的关键工序要求实施前，“关键工序”栏可不填，下同。</w:t>
      </w:r>
      <w:r/>
    </w:p>
    <w:p>
      <w:pPr>
        <w:pStyle w:val="1480"/>
        <w:jc w:val="both"/>
        <w:keepLines w:val="0"/>
        <w:keepNext w:val="0"/>
        <w:spacing w:before="30" w:beforeAutospacing="0" w:after="30" w:afterAutospacing="0"/>
        <w:widowControl w:val="off"/>
        <w:rPr>
          <w:rFonts w:ascii="宋体" w:hAnsi="宋体" w:eastAsia="宋体" w:cs="宋体"/>
          <w:b/>
          <w:bCs/>
          <w:color w:val="ff0000"/>
          <w:sz w:val="21"/>
          <w:szCs w:val="21"/>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1"/>
          <w:szCs w:val="21"/>
          <w:shd w:val="clear" w:color="auto" w:fill="ffffff"/>
        </w:rPr>
        <w:t xml:space="preserve">6.用</w:t>
      </w:r>
      <w:r>
        <w:rPr>
          <w:rFonts w:hint="eastAsia" w:ascii="宋体" w:hAnsi="宋体" w:eastAsia="宋体" w:cs="宋体"/>
          <w:b/>
          <w:bCs/>
          <w:color w:val="ff0000"/>
          <w:sz w:val="21"/>
          <w:szCs w:val="21"/>
          <w:shd w:val="clear" w:color="auto" w:fill="ffffff"/>
          <w:lang w:val="en-US" w:eastAsia="zh-CN"/>
        </w:rPr>
        <w:t xml:space="preserve">横</w:t>
      </w:r>
      <w:r>
        <w:rPr>
          <w:rFonts w:ascii="宋体" w:hAnsi="宋体" w:eastAsia="宋体" w:cs="宋体"/>
          <w:b/>
          <w:bCs/>
          <w:color w:val="ff0000"/>
          <w:sz w:val="21"/>
          <w:szCs w:val="21"/>
          <w:shd w:val="clear" w:color="auto" w:fill="ffffff"/>
        </w:rPr>
        <w:t xml:space="preserve">线划除的地方无需填写。</w:t>
      </w:r>
      <w:r/>
    </w:p>
    <w:p>
      <w:pPr>
        <w:pStyle w:val="1480"/>
        <w:jc w:val="both"/>
        <w:keepLines w:val="0"/>
        <w:keepNext w:val="0"/>
        <w:spacing w:before="30" w:beforeAutospacing="0" w:after="30" w:afterAutospacing="0"/>
        <w:widowControl w:val="off"/>
        <w:rPr>
          <w:rFonts w:ascii="宋体" w:hAnsi="宋体" w:eastAsia="宋体" w:cs="宋体"/>
          <w:b/>
          <w:bCs/>
          <w:color w:val="ff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1"/>
          <w:szCs w:val="21"/>
          <w:shd w:val="clear" w:color="auto" w:fill="ffffff"/>
          <w:lang w:val="en-US" w:eastAsia="zh-CN"/>
        </w:rPr>
        <w:t xml:space="preserve">备注：</w:t>
      </w:r>
      <w:r>
        <w:rPr>
          <w:rFonts w:hint="eastAsia" w:ascii="宋体" w:hAnsi="宋体" w:eastAsia="宋体" w:cs="宋体"/>
          <w:b/>
          <w:bCs/>
          <w:color w:val="ff0000"/>
          <w:sz w:val="21"/>
          <w:szCs w:val="21"/>
          <w:highlight w:val="none"/>
          <w:lang w:val="en-US" w:eastAsia="zh-CN" w:bidi="ar-SA"/>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1"/>
          <w:szCs w:val="21"/>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jc w:val="both"/>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spacing w:line="241" w:lineRule="auto"/>
        <w:rPr>
          <w:rFonts w:ascii="Arial"/>
          <w:sz w:val="21"/>
        </w:rPr>
      </w:pPr>
      <w:r>
        <w:rPr>
          <w:rFonts w:ascii="Arial"/>
          <w:sz w:val="21"/>
        </w:rPr>
      </w:r>
      <w:r/>
    </w:p>
    <w:p>
      <w:pPr>
        <w:spacing w:line="241" w:lineRule="auto"/>
        <w:rPr>
          <w:rFonts w:ascii="Arial"/>
          <w:sz w:val="21"/>
        </w:rPr>
      </w:pPr>
      <w:r>
        <w:rPr>
          <w:rFonts w:ascii="Arial"/>
          <w:sz w:val="21"/>
        </w:rPr>
      </w:r>
      <w:r/>
    </w:p>
    <w:p>
      <w:pPr>
        <w:pStyle w:val="1480"/>
        <w:jc w:val="center"/>
        <w:spacing w:beforeAutospacing="0" w:afterAutospacing="0" w:line="0" w:lineRule="atLeast"/>
        <w:rPr>
          <w:highlight w:val="none"/>
        </w:rPr>
      </w:pPr>
      <w:r>
        <w:rPr>
          <w:highlight w:val="none"/>
        </w:rPr>
        <w:t xml:space="preserve"> </w:t>
      </w:r>
      <w:r/>
    </w:p>
    <w:p>
      <w:pPr>
        <w:pStyle w:val="1480"/>
        <w:jc w:val="center"/>
        <w:spacing w:beforeAutospacing="0" w:afterAutospacing="0" w:line="0" w:lineRule="atLeast"/>
        <w:rPr>
          <w:highlight w:val="none"/>
        </w:rPr>
      </w:pPr>
      <w:r>
        <w:rPr>
          <w:highlight w:val="none"/>
        </w:rPr>
      </w:r>
      <w:r/>
    </w:p>
    <w:p>
      <w:pPr>
        <w:pStyle w:val="1480"/>
        <w:jc w:val="center"/>
        <w:spacing w:beforeAutospacing="0" w:afterAutospacing="0" w:line="0" w:lineRule="atLeast"/>
        <w:rPr>
          <w:highlight w:val="none"/>
        </w:rPr>
      </w:pPr>
      <w:r>
        <w:rPr>
          <w:highlight w:val="none"/>
        </w:rPr>
      </w:r>
      <w:r/>
    </w:p>
    <w:p>
      <w:pPr>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r>
      <w:r/>
    </w:p>
    <w:p>
      <w:pPr>
        <w:spacing w:line="241" w:lineRule="auto"/>
        <w:rPr>
          <w:rFonts w:ascii="Arial"/>
          <w:sz w:val="21"/>
        </w:rPr>
      </w:pPr>
      <w:r>
        <w:rPr>
          <w:rFonts w:ascii="Arial"/>
          <w:sz w:val="21"/>
        </w:rPr>
      </w:r>
      <w:r/>
    </w:p>
    <w:p>
      <w:pPr>
        <w:pStyle w:val="1487"/>
        <w:rPr>
          <w:rFonts w:ascii="Arial"/>
          <w:sz w:val="21"/>
        </w:rPr>
      </w:pPr>
      <w:r>
        <w:rPr>
          <w:rFonts w:ascii="Arial"/>
          <w:sz w:val="21"/>
        </w:rPr>
      </w:r>
      <w:r/>
    </w:p>
    <w:p>
      <w:pPr>
        <w:rPr>
          <w:rFonts w:ascii="Arial"/>
          <w:sz w:val="21"/>
        </w:rPr>
      </w:pPr>
      <w:r>
        <w:rPr>
          <w:rFonts w:ascii="Arial"/>
          <w:sz w:val="21"/>
        </w:rPr>
      </w:r>
      <w:r/>
    </w:p>
    <w:p>
      <w:pPr>
        <w:pStyle w:val="1487"/>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rPr>
          <w:rFonts w:ascii="Arial"/>
          <w:sz w:val="21"/>
        </w:rPr>
      </w:pPr>
      <w:r>
        <w:rPr>
          <w:rFonts w:ascii="Arial"/>
          <w:sz w:val="21"/>
        </w:rPr>
      </w:r>
      <w:r/>
    </w:p>
    <w:p>
      <w:pPr>
        <w:pStyle w:val="1480"/>
        <w:jc w:val="both"/>
        <w:spacing w:beforeAutospacing="0" w:afterAutospacing="0" w:line="0" w:lineRule="atLeast"/>
        <w:rPr>
          <w:highlight w:val="none"/>
        </w:rPr>
      </w:pPr>
      <w:r>
        <w:rPr>
          <w:highlight w:val="none"/>
        </w:rPr>
      </w:r>
      <w:r/>
    </w:p>
    <w:p>
      <w:pPr>
        <w:pStyle w:val="1656"/>
        <w:jc w:val="center"/>
        <w:spacing w:beforeAutospacing="0" w:afterAutospacing="0"/>
        <w:rPr>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w:t>
      </w:r>
      <w:bookmarkStart w:id="194" w:name="OLE_LINK22"/>
      <w:r>
        <w:rPr>
          <w:rFonts w:hint="eastAsia" w:ascii="黑体" w:hAnsi="宋体" w:eastAsia="黑体" w:cs="黑体"/>
          <w:b/>
          <w:color w:val="000000"/>
          <w:sz w:val="32"/>
          <w:szCs w:val="32"/>
          <w:highlight w:val="none"/>
        </w:rPr>
        <w:t xml:space="preserve">投标分项报价表（分包号：***）</w:t>
      </w:r>
      <w:r/>
    </w:p>
    <w:tbl>
      <w:tblPr>
        <w:tblStyle w:val="1462"/>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1480"/>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1480"/>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0"/>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1480"/>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1480"/>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1480"/>
              <w:jc w:val="both"/>
              <w:spacing w:beforeAutospacing="0" w:afterAutospacing="0"/>
              <w:rPr>
                <w:highlight w:val="none"/>
              </w:rPr>
            </w:pPr>
            <w:r>
              <w:rPr>
                <w:rFonts w:hint="eastAsia" w:asciiTheme="minorEastAsia" w:hAnsiTheme="minorEastAsia" w:eastAsiaTheme="minorEastAsia" w:cstheme="minorEastAsia"/>
                <w:color w:val="auto"/>
                <w:sz w:val="24"/>
                <w:szCs w:val="24"/>
              </w:rPr>
              <w:t xml:space="preserve">本采购包中提供的符合本国产品标准的产品成本之和占该采购包提供的全部产品成本之和的比例为</w:t>
            </w:r>
            <w:r>
              <w:rPr>
                <w:rFonts w:hint="eastAsia" w:eastAsia="宋体" w:asciiTheme="minorEastAsia" w:hAnsiTheme="minorEastAsia" w:cstheme="minorEastAsia"/>
                <w:color w:val="auto"/>
                <w:sz w:val="24"/>
                <w:szCs w:val="24"/>
                <w:u w:val="single"/>
                <w:lang w:val="en-US" w:eastAsia="zh-CN"/>
              </w:rPr>
              <w:t xml:space="preserve">   </w:t>
            </w:r>
            <w:r>
              <w:rPr>
                <w:rFonts w:hint="eastAsia" w:asciiTheme="minorEastAsia" w:hAnsiTheme="minorEastAsia" w:eastAsiaTheme="minorEastAsia" w:cstheme="minorEastAsia"/>
                <w:color w:val="auto"/>
                <w:sz w:val="24"/>
                <w:szCs w:val="24"/>
              </w:rPr>
              <w:t xml:space="preserve">%。</w:t>
            </w:r>
            <w:r/>
          </w:p>
        </w:tc>
      </w:tr>
    </w:tbl>
    <w:p>
      <w:pPr>
        <w:pStyle w:val="1656"/>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656"/>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1656"/>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 “投标分项报价表”中“投标总报价”数额应当与“开标一览表”中“投标总报价”数额一致。</w:t>
      </w:r>
      <w:r/>
    </w:p>
    <w:p>
      <w:pPr>
        <w:pStyle w:val="1656"/>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bookmarkEnd w:id="194"/>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r>
      <w:r/>
    </w:p>
    <w:p>
      <w:pPr>
        <w:pStyle w:val="1656"/>
        <w:jc w:val="center"/>
        <w:spacing w:beforeAutospacing="0" w:afterAutospacing="0"/>
        <w:rPr>
          <w:color w:val="000000"/>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w:t>
      </w:r>
      <w:bookmarkStart w:id="195" w:name="OLE_LINK25"/>
      <w:r>
        <w:rPr>
          <w:rFonts w:hint="eastAsia" w:ascii="黑体" w:hAnsi="宋体" w:eastAsia="黑体" w:cs="黑体"/>
          <w:b/>
          <w:color w:val="000000"/>
          <w:sz w:val="32"/>
          <w:szCs w:val="32"/>
          <w:highlight w:val="none"/>
        </w:rPr>
        <w:t xml:space="preserve">技术要求响应及偏离表（分包号：**）</w:t>
      </w:r>
      <w:r/>
    </w:p>
    <w:tbl>
      <w:tblPr>
        <w:tblStyle w:val="1462"/>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p>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bl>
    <w:p>
      <w:pPr>
        <w:pStyle w:val="1656"/>
        <w:jc w:val="both"/>
        <w:spacing w:beforeAutospacing="0" w:afterAutospacing="0"/>
        <w:rPr>
          <w:color w:val="000000"/>
          <w:highlight w:val="none"/>
        </w:rPr>
      </w:pPr>
      <w:r>
        <w:rPr>
          <w:rFonts w:hint="eastAsia" w:ascii="宋体" w:hAnsi="宋体" w:cs="宋体"/>
          <w:color w:val="000000"/>
          <w:sz w:val="21"/>
          <w:szCs w:val="21"/>
          <w:highlight w:val="none"/>
        </w:rPr>
        <w:t xml:space="preserve">注： 行数不够，可自行添加。</w:t>
      </w:r>
      <w:bookmarkEnd w:id="195"/>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r>
      <w:r/>
    </w:p>
    <w:p>
      <w:pPr>
        <w:pStyle w:val="1656"/>
        <w:jc w:val="both"/>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bookmarkStart w:id="196" w:name="_Hlt26955054"/>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五</w:t>
      </w:r>
      <w:r>
        <w:rPr>
          <w:rFonts w:hint="eastAsia" w:ascii="黑体" w:hAnsi="宋体" w:eastAsia="黑体" w:cs="黑体"/>
          <w:b/>
          <w:color w:val="000000"/>
          <w:sz w:val="32"/>
          <w:szCs w:val="32"/>
          <w:highlight w:val="none"/>
        </w:rPr>
        <w:t xml:space="preserve">、</w:t>
      </w:r>
      <w:bookmarkStart w:id="197" w:name="OLE_LINK18"/>
      <w:r/>
      <w:bookmarkStart w:id="198" w:name="OLE_LINK24"/>
      <w:r>
        <w:rPr>
          <w:rFonts w:hint="eastAsia" w:ascii="黑体" w:hAnsi="宋体" w:eastAsia="黑体" w:cs="黑体"/>
          <w:b/>
          <w:color w:val="000000"/>
          <w:sz w:val="32"/>
          <w:szCs w:val="32"/>
          <w:highlight w:val="none"/>
        </w:rPr>
        <w:t xml:space="preserve">商务要求响应及偏离表</w:t>
      </w:r>
      <w:bookmarkEnd w:id="197"/>
      <w:r>
        <w:rPr>
          <w:rFonts w:hint="eastAsia" w:ascii="黑体" w:hAnsi="宋体" w:eastAsia="黑体" w:cs="黑体"/>
          <w:b/>
          <w:color w:val="000000"/>
          <w:sz w:val="32"/>
          <w:szCs w:val="32"/>
          <w:highlight w:val="none"/>
        </w:rPr>
        <w:t xml:space="preserve">（分包号：**）</w:t>
      </w:r>
      <w:r/>
    </w:p>
    <w:tbl>
      <w:tblPr>
        <w:tblStyle w:val="1462"/>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bookmarkStart w:id="199" w:name="_Hlt26580838"/>
            <w:r/>
            <w:bookmarkStart w:id="200" w:name="_Hlt26671343"/>
            <w:r/>
            <w:bookmarkStart w:id="201" w:name="_Hlt26782999"/>
            <w:r/>
            <w:bookmarkStart w:id="202" w:name="_Hlt26955056"/>
            <w:r/>
            <w:bookmarkStart w:id="203" w:name="_Hlt26671372"/>
            <w:r/>
            <w:bookmarkStart w:id="204" w:name="_Hlt26609391"/>
            <w:r/>
            <w:bookmarkStart w:id="205" w:name="_Hlt24879081"/>
            <w:r/>
            <w:bookmarkStart w:id="206" w:name="_Hlt26955064"/>
            <w:r/>
            <w:bookmarkStart w:id="207" w:name="OLE_LINK23"/>
            <w:r>
              <w:rPr>
                <w:rFonts w:hint="eastAsia" w:ascii="宋体" w:hAnsi="宋体" w:cs="宋体"/>
                <w:color w:val="000000"/>
                <w:sz w:val="21"/>
                <w:szCs w:val="21"/>
                <w:highlight w:val="none"/>
              </w:rPr>
              <w:t xml:space="preserve">序号</w:t>
            </w:r>
            <w:bookmarkEnd w:id="199"/>
            <w:bookmarkEnd w:id="200"/>
            <w:bookmarkEnd w:id="201"/>
            <w:bookmarkEnd w:id="202"/>
            <w:bookmarkEnd w:id="203"/>
            <w:bookmarkEnd w:id="204"/>
            <w:bookmarkEnd w:id="205"/>
            <w:bookmarkEnd w:id="206"/>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证明</w:t>
            </w:r>
            <w:r/>
          </w:p>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1656"/>
              <w:jc w:val="center"/>
              <w:spacing w:beforeAutospacing="0" w:afterAutospacing="0"/>
              <w:rPr>
                <w:color w:val="000000"/>
                <w:sz w:val="21"/>
                <w:szCs w:val="21"/>
                <w:highlight w:val="none"/>
              </w:rPr>
            </w:pPr>
            <w:r>
              <w:rPr>
                <w:rFonts w:hint="eastAsia" w:ascii="宋体" w:hAnsi="宋体" w:cs="宋体"/>
                <w:color w:val="000000"/>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1656"/>
              <w:jc w:val="center"/>
              <w:spacing w:beforeAutospacing="0" w:afterAutospacing="0"/>
              <w:rPr>
                <w:color w:val="000000"/>
                <w:sz w:val="21"/>
                <w:szCs w:val="21"/>
                <w:highlight w:val="none"/>
              </w:rPr>
            </w:pPr>
            <w:r>
              <w:rPr>
                <w:color w:val="000000"/>
                <w:sz w:val="21"/>
                <w:szCs w:val="21"/>
                <w:highlight w:val="none"/>
              </w:rPr>
              <w:t xml:space="preserve"> </w:t>
            </w:r>
            <w:bookmarkEnd w:id="207"/>
            <w:r/>
          </w:p>
        </w:tc>
      </w:tr>
    </w:tbl>
    <w:p>
      <w:pPr>
        <w:pStyle w:val="1656"/>
        <w:jc w:val="both"/>
        <w:spacing w:beforeAutospacing="0" w:afterAutospacing="0"/>
        <w:rPr>
          <w:color w:val="000000"/>
          <w:sz w:val="21"/>
          <w:szCs w:val="21"/>
          <w:highlight w:val="none"/>
        </w:rPr>
      </w:pPr>
      <w:r>
        <w:rPr>
          <w:rFonts w:hint="eastAsia" w:ascii="宋体" w:hAnsi="宋体" w:cs="宋体"/>
          <w:color w:val="000000"/>
          <w:sz w:val="21"/>
          <w:szCs w:val="21"/>
          <w:highlight w:val="none"/>
        </w:rPr>
        <w:t xml:space="preserve">注： 行数不够，可自行添加。</w:t>
      </w:r>
      <w:bookmarkEnd w:id="198"/>
      <w:r/>
    </w:p>
    <w:p>
      <w:pPr>
        <w:pStyle w:val="1656"/>
        <w:jc w:val="both"/>
        <w:spacing w:beforeAutospacing="0" w:afterAutospacing="0" w:line="480" w:lineRule="auto"/>
        <w:rPr>
          <w:color w:val="000000"/>
          <w:highlight w:val="none"/>
        </w:rPr>
      </w:pPr>
      <w:r>
        <w:rPr>
          <w:color w:val="000000"/>
          <w:sz w:val="21"/>
          <w:szCs w:val="21"/>
          <w:highlight w:val="none"/>
        </w:rPr>
        <w:t xml:space="preserve"> </w:t>
      </w:r>
      <w:r/>
    </w:p>
    <w:p>
      <w:pPr>
        <w:pStyle w:val="1656"/>
        <w:jc w:val="both"/>
        <w:spacing w:beforeAutospacing="0" w:afterAutospacing="0" w:line="480" w:lineRule="auto"/>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bookmarkStart w:id="208" w:name="_Hlt26671374"/>
      <w:r/>
      <w:bookmarkStart w:id="209" w:name="_Hlt26955066"/>
      <w:r/>
      <w:bookmarkStart w:id="210" w:name="_Toc462564146"/>
      <w:r/>
      <w:bookmarkStart w:id="211" w:name="_格式2__法定代表人授权书"/>
      <w:r/>
      <w:bookmarkStart w:id="212" w:name="_Hlt26609389"/>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r>
      <w:r/>
    </w:p>
    <w:p>
      <w:pPr>
        <w:pStyle w:val="1656"/>
        <w:jc w:val="center"/>
        <w:spacing w:beforeAutospacing="0" w:afterAutospacing="0"/>
        <w:rPr>
          <w:color w:val="000000"/>
          <w:highlight w:val="none"/>
        </w:rPr>
      </w:pPr>
      <w:r>
        <w:rPr>
          <w:color w:val="000000"/>
          <w:highlight w:val="none"/>
        </w:rPr>
      </w:r>
      <w:r/>
    </w:p>
    <w:p>
      <w:pPr>
        <w:pStyle w:val="1656"/>
        <w:jc w:val="center"/>
        <w:spacing w:beforeAutospacing="0" w:afterAutospacing="0"/>
        <w:rPr>
          <w:color w:val="000000"/>
          <w:highlight w:val="none"/>
        </w:rPr>
      </w:pPr>
      <w:r>
        <w:rPr>
          <w:color w:val="000000"/>
          <w:highlight w:val="none"/>
        </w:rPr>
      </w:r>
      <w:r/>
    </w:p>
    <w:p>
      <w:pPr>
        <w:pStyle w:val="1656"/>
        <w:jc w:val="center"/>
        <w:spacing w:beforeAutospacing="0" w:afterAutospacing="0"/>
        <w:rPr>
          <w:color w:val="000000"/>
          <w:highlight w:val="none"/>
        </w:rPr>
      </w:pPr>
      <w:r>
        <w:rPr>
          <w:color w:val="000000"/>
          <w:highlight w:val="none"/>
        </w:rPr>
      </w:r>
      <w:r/>
    </w:p>
    <w:p>
      <w:pPr>
        <w:pStyle w:val="1656"/>
        <w:jc w:val="center"/>
        <w:spacing w:beforeAutospacing="0" w:afterAutospacing="0"/>
        <w:rPr>
          <w:color w:val="000000"/>
          <w:highlight w:val="none"/>
        </w:rPr>
      </w:pPr>
      <w:r>
        <w:rPr>
          <w:color w:val="000000"/>
          <w:highlight w:val="none"/>
        </w:rPr>
      </w:r>
      <w:r/>
    </w:p>
    <w:p>
      <w:pPr>
        <w:pStyle w:val="1656"/>
        <w:jc w:val="center"/>
        <w:spacing w:beforeAutospacing="0" w:afterAutospacing="0"/>
        <w:rPr>
          <w:color w:val="000000"/>
          <w:highlight w:val="none"/>
        </w:rPr>
      </w:pPr>
      <w:r>
        <w:rPr>
          <w:color w:val="000000"/>
          <w:highlight w:val="none"/>
        </w:rPr>
      </w:r>
      <w:r/>
    </w:p>
    <w:p>
      <w:pPr>
        <w:pStyle w:val="1656"/>
        <w:jc w:val="center"/>
        <w:spacing w:beforeAutospacing="0" w:afterAutospacing="0"/>
        <w:rPr>
          <w:color w:val="000000"/>
          <w:highlight w:val="none"/>
        </w:rPr>
      </w:pPr>
      <w:r>
        <w:rPr>
          <w:color w:val="000000"/>
          <w:highlight w:val="none"/>
        </w:rPr>
      </w:r>
      <w:r/>
    </w:p>
    <w:p>
      <w:pPr>
        <w:pStyle w:val="1656"/>
        <w:jc w:val="center"/>
        <w:spacing w:beforeAutospacing="0" w:afterAutospacing="0"/>
        <w:rPr>
          <w:color w:val="000000"/>
          <w:highlight w:val="none"/>
        </w:rPr>
      </w:pPr>
      <w:r>
        <w:rPr>
          <w:color w:val="000000"/>
          <w:highlight w:val="none"/>
        </w:rPr>
      </w:r>
      <w:r/>
    </w:p>
    <w:p>
      <w:pPr>
        <w:pStyle w:val="1656"/>
        <w:jc w:val="center"/>
        <w:spacing w:beforeAutospacing="0" w:afterAutospacing="0"/>
        <w:rPr>
          <w:color w:val="000000"/>
          <w:highlight w:val="none"/>
        </w:rPr>
      </w:pPr>
      <w:r>
        <w:rPr>
          <w:color w:val="000000"/>
          <w:highlight w:val="none"/>
        </w:rPr>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color w:val="000000"/>
          <w:highlight w:val="none"/>
        </w:rPr>
      </w:pPr>
      <w:r>
        <w:rPr>
          <w:color w:val="000000"/>
          <w:highlight w:val="none"/>
        </w:rPr>
        <w:t xml:space="preserve"> </w:t>
      </w:r>
      <w:r/>
    </w:p>
    <w:p>
      <w:pPr>
        <w:pStyle w:val="1656"/>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 </w:t>
      </w:r>
      <w:r/>
    </w:p>
    <w:p>
      <w:pPr>
        <w:ind w:left="0" w:right="0" w:firstLine="0"/>
        <w:jc w:val="center"/>
        <w:spacing w:before="240" w:after="240"/>
        <w:rPr>
          <w:sz w:val="24"/>
          <w:szCs w:val="24"/>
        </w:rPr>
        <w:pBdr>
          <w:top w:val="none" w:color="auto" w:sz="0" w:space="0"/>
          <w:left w:val="none" w:color="auto" w:sz="0" w:space="0"/>
          <w:bottom w:val="none" w:color="auto" w:sz="0" w:space="0"/>
          <w:right w:val="none" w:color="auto" w:sz="0" w:space="0"/>
        </w:pBdr>
      </w:pPr>
      <w:r>
        <w:rPr>
          <w:sz w:val="24"/>
          <w:szCs w:val="24"/>
        </w:rPr>
      </w:r>
      <w:r/>
    </w:p>
    <w:p>
      <w:pPr>
        <w:ind w:left="0" w:right="0" w:firstLine="0"/>
        <w:jc w:val="both"/>
        <w:spacing w:before="240" w:after="240"/>
        <w:rPr>
          <w:rFonts w:ascii="黑体" w:hAnsi="黑体" w:eastAsia="黑体" w:cs="黑体"/>
          <w:b/>
          <w:i/>
          <w:color w:val="000000"/>
          <w:sz w:val="32"/>
          <w:u w:val="single"/>
        </w:rPr>
        <w:pBdr>
          <w:top w:val="none" w:color="auto" w:sz="0" w:space="0"/>
          <w:left w:val="none" w:color="auto" w:sz="0" w:space="0"/>
          <w:bottom w:val="none" w:color="auto" w:sz="0" w:space="0"/>
          <w:right w:val="none" w:color="auto" w:sz="0" w:space="0"/>
        </w:pBdr>
      </w:pPr>
      <w:r>
        <w:rPr>
          <w:rFonts w:ascii="黑体" w:hAnsi="黑体" w:eastAsia="黑体" w:cs="黑体"/>
          <w:b/>
          <w:i/>
          <w:color w:val="000000"/>
          <w:sz w:val="32"/>
          <w:u w:val="single"/>
        </w:rPr>
      </w:r>
      <w:r/>
    </w:p>
    <w:p>
      <w:pPr>
        <w:ind w:left="0" w:right="0" w:firstLine="0"/>
        <w:jc w:val="center"/>
        <w:spacing w:before="240" w:after="240"/>
        <w:rPr>
          <w:rFonts w:ascii="黑体" w:hAnsi="黑体" w:eastAsia="黑体" w:cs="黑体"/>
          <w:b/>
          <w:bCs/>
          <w:i/>
          <w:iCs w:val="0"/>
          <w:color w:val="000000"/>
          <w:sz w:val="32"/>
          <w:szCs w:val="32"/>
          <w:highlight w:val="none"/>
          <w:u w:val="single"/>
        </w:rPr>
        <w:pBdr>
          <w:top w:val="none" w:color="auto" w:sz="0" w:space="0"/>
          <w:left w:val="none" w:color="auto" w:sz="0" w:space="0"/>
          <w:bottom w:val="none" w:color="auto" w:sz="0" w:space="0"/>
          <w:right w:val="none" w:color="auto" w:sz="0" w:space="0"/>
        </w:pBdr>
      </w:pPr>
      <w:r>
        <w:rPr>
          <w:rFonts w:ascii="黑体" w:hAnsi="黑体" w:eastAsia="黑体" w:cs="黑体"/>
          <w:b/>
          <w:i/>
          <w:iCs w:val="0"/>
          <w:color w:val="000000"/>
          <w:sz w:val="32"/>
          <w:u w:val="single"/>
        </w:rPr>
        <w:t xml:space="preserve">十</w:t>
      </w:r>
      <w:r>
        <w:rPr>
          <w:rFonts w:hint="eastAsia" w:ascii="黑体" w:hAnsi="黑体" w:eastAsia="黑体" w:cs="黑体"/>
          <w:b/>
          <w:i/>
          <w:iCs w:val="0"/>
          <w:color w:val="000000"/>
          <w:sz w:val="32"/>
          <w:u w:val="single"/>
          <w:lang w:val="en-US" w:eastAsia="zh-CN"/>
        </w:rPr>
        <w:t xml:space="preserve">六</w:t>
      </w:r>
      <w:r>
        <w:rPr>
          <w:rFonts w:ascii="黑体" w:hAnsi="黑体" w:eastAsia="黑体" w:cs="黑体"/>
          <w:b/>
          <w:i/>
          <w:iCs w:val="0"/>
          <w:color w:val="000000"/>
          <w:sz w:val="32"/>
          <w:u w:val="single"/>
        </w:rPr>
        <w:t xml:space="preserve">、开标一览表（总价）</w:t>
      </w:r>
      <w:r/>
    </w:p>
    <w:p>
      <w:pPr>
        <w:ind w:left="0" w:right="0" w:firstLine="0"/>
        <w:spacing w:before="240" w:after="240"/>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投标人全称（CA公章）：</w:t>
      </w:r>
      <w:r/>
    </w:p>
    <w:p>
      <w:pPr>
        <w:ind w:left="0" w:right="0" w:firstLine="0"/>
        <w:spacing w:before="240" w:after="240"/>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项目名称：盐城市公安局大数据交通指挥中心后厨设备采购项目</w:t>
      </w:r>
      <w:r/>
    </w:p>
    <w:p>
      <w:pPr>
        <w:ind w:left="0" w:right="0" w:firstLine="0"/>
        <w:spacing w:before="240" w:after="240"/>
        <w:rPr>
          <w:rFonts w:hint="eastAsia" w:eastAsia="宋体"/>
          <w:lang w:eastAsia="zh-CN"/>
        </w:rPr>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项目编号：</w:t>
      </w:r>
      <w:r>
        <w:rPr>
          <w:rFonts w:hint="eastAsia" w:ascii="宋体" w:hAnsi="宋体" w:cs="宋体"/>
          <w:color w:val="000000"/>
          <w:sz w:val="21"/>
          <w:lang w:eastAsia="zh-CN"/>
        </w:rPr>
        <w:t xml:space="preserve">JSZC-320900-YCZH-G2026-0001</w:t>
      </w:r>
      <w:r/>
    </w:p>
    <w:p>
      <w:pPr>
        <w:ind w:left="0" w:right="0" w:firstLine="0"/>
        <w:spacing w:before="240" w:after="240"/>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分包号：</w:t>
      </w:r>
      <w:r/>
    </w:p>
    <w:tbl>
      <w:tblPr>
        <w:tblStyle w:val="1482"/>
        <w:tblW w:w="804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90"/>
        <w:gridCol w:w="5356"/>
      </w:tblGrid>
      <w:tr>
        <w:trPr>
          <w:trHeight w:val="6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投标货物名称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总价（小写）</w:t>
            </w:r>
            <w:r/>
          </w:p>
        </w:tc>
      </w:tr>
      <w:tr>
        <w:trPr>
          <w:trHeight w:val="8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投标产品名称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元</w:t>
            </w:r>
            <w:r/>
          </w:p>
        </w:tc>
      </w:tr>
      <w:tr>
        <w:trPr>
          <w:trHeight w:val="9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90"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核心产品品牌：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56" w:type="dxa"/>
            <w:vAlign w:val="center"/>
            <w:textDirection w:val="lrTb"/>
            <w:noWrap w:val="false"/>
          </w:tcPr>
          <w:p>
            <w:pPr>
              <w:ind w:left="0" w:right="0" w:firstLine="0"/>
              <w:jc w:val="center"/>
              <w:spacing w:before="240" w:after="240" w:line="24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 </w:t>
            </w:r>
            <w:r/>
          </w:p>
        </w:tc>
      </w:tr>
    </w:tbl>
    <w:p>
      <w:pPr>
        <w:ind w:left="0" w:right="0" w:firstLine="0"/>
        <w:spacing w:before="240" w:after="240"/>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  </w:t>
      </w:r>
      <w:r/>
    </w:p>
    <w:p>
      <w:pPr>
        <w:ind w:left="0" w:right="0" w:firstLine="0"/>
        <w:jc w:val="right"/>
        <w:spacing w:before="240" w:after="240"/>
        <w:pBdr>
          <w:top w:val="none" w:color="auto" w:sz="0" w:space="0"/>
          <w:left w:val="none" w:color="auto" w:sz="0" w:space="0"/>
          <w:bottom w:val="none" w:color="auto" w:sz="0" w:space="0"/>
          <w:right w:val="none" w:color="auto" w:sz="0" w:space="0"/>
        </w:pBdr>
      </w:pPr>
      <w:r>
        <w:rPr>
          <w:rFonts w:ascii="宋体" w:hAnsi="宋体" w:eastAsia="宋体" w:cs="宋体"/>
          <w:color w:val="000000"/>
          <w:sz w:val="21"/>
        </w:rPr>
        <w:t xml:space="preserve">日期：    年  月  日</w:t>
      </w:r>
      <w:r/>
    </w:p>
    <w:p>
      <w:pPr>
        <w:pStyle w:val="1656"/>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656"/>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656"/>
        <w:ind w:firstLine="480"/>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656"/>
        <w:ind w:firstLine="480"/>
        <w:jc w:val="both"/>
        <w:spacing w:beforeAutospacing="0" w:afterAutospacing="0"/>
        <w:rPr>
          <w:color w:val="000000"/>
          <w:highlight w:val="none"/>
        </w:rPr>
      </w:pPr>
      <w:r>
        <w:rPr>
          <w:color w:val="000000"/>
          <w:highlight w:val="none"/>
        </w:rPr>
      </w:r>
      <w:r/>
    </w:p>
    <w:p>
      <w:pPr>
        <w:pStyle w:val="1656"/>
        <w:ind w:firstLine="480"/>
        <w:jc w:val="both"/>
        <w:spacing w:beforeAutospacing="0" w:afterAutospacing="0"/>
        <w:rPr>
          <w:color w:val="000000"/>
          <w:highlight w:val="none"/>
        </w:rPr>
      </w:pPr>
      <w:r>
        <w:rPr>
          <w:color w:val="000000"/>
          <w:highlight w:val="none"/>
        </w:rPr>
      </w:r>
      <w:r/>
    </w:p>
    <w:p>
      <w:pPr>
        <w:pStyle w:val="1656"/>
        <w:ind w:firstLine="480"/>
        <w:jc w:val="both"/>
        <w:spacing w:beforeAutospacing="0" w:afterAutospacing="0"/>
        <w:rPr>
          <w:color w:val="000000"/>
          <w:highlight w:val="none"/>
        </w:rPr>
      </w:pPr>
      <w:r>
        <w:rPr>
          <w:color w:val="000000"/>
          <w:highlight w:val="none"/>
        </w:rPr>
      </w:r>
      <w:r/>
    </w:p>
    <w:p>
      <w:pPr>
        <w:pStyle w:val="1656"/>
        <w:ind w:firstLine="480"/>
        <w:jc w:val="both"/>
        <w:spacing w:beforeAutospacing="0" w:afterAutospacing="0"/>
        <w:rPr>
          <w:color w:val="000000"/>
          <w:highlight w:val="none"/>
        </w:rPr>
      </w:pPr>
      <w:r>
        <w:rPr>
          <w:color w:val="000000"/>
          <w:highlight w:val="none"/>
        </w:rPr>
        <w:t xml:space="preserve"> </w:t>
      </w:r>
      <w:r/>
    </w:p>
    <w:p>
      <w:pPr>
        <w:pStyle w:val="1656"/>
        <w:ind w:firstLine="480"/>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color w:val="000000"/>
          <w:highlight w:val="none"/>
        </w:rPr>
      </w:pPr>
      <w:r>
        <w:rPr>
          <w:color w:val="000000"/>
          <w:highlight w:val="none"/>
        </w:rPr>
        <w:t xml:space="preserve"> </w:t>
      </w:r>
      <w:r/>
    </w:p>
    <w:p>
      <w:pPr>
        <w:pStyle w:val="1656"/>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t xml:space="preserve">             </w:t>
      </w:r>
      <w:r/>
    </w:p>
    <w:p>
      <w:pPr>
        <w:pStyle w:val="1656"/>
        <w:jc w:val="both"/>
        <w:spacing w:beforeAutospacing="0" w:afterAutospacing="0"/>
        <w:rPr>
          <w:rFonts w:hint="eastAsia" w:ascii="宋体" w:hAnsi="宋体" w:cs="宋体"/>
          <w:color w:val="000000"/>
          <w:highlight w:val="none"/>
        </w:rPr>
      </w:pPr>
      <w:r>
        <w:rPr>
          <w:rFonts w:hint="eastAsia" w:ascii="宋体" w:hAnsi="宋体" w:cs="宋体"/>
          <w:color w:val="000000"/>
          <w:highlight w:val="none"/>
        </w:rPr>
      </w:r>
      <w:r/>
    </w:p>
    <w:p>
      <w:pPr>
        <w:pStyle w:val="1656"/>
        <w:jc w:val="both"/>
        <w:spacing w:beforeAutospacing="0" w:afterAutospacing="0"/>
        <w:rPr>
          <w:color w:val="000000"/>
          <w:highlight w:val="none"/>
        </w:rPr>
      </w:pPr>
      <w:r>
        <w:rPr>
          <w:rFonts w:hint="eastAsia" w:ascii="宋体" w:hAnsi="宋体" w:cs="宋体"/>
          <w:color w:val="000000"/>
          <w:highlight w:val="none"/>
        </w:rPr>
        <w:t xml:space="preserve">                        </w:t>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before="50" w:after="50"/>
        <w:widowControl/>
        <w:rPr>
          <w:rFonts w:hint="eastAsia" w:ascii="黑体" w:hAnsi="宋体" w:eastAsia="黑体" w:cs="黑体"/>
          <w:b/>
          <w:color w:val="000000"/>
          <w:sz w:val="32"/>
          <w:szCs w:val="32"/>
          <w:highlight w:val="none"/>
          <w:lang w:val="en-US" w:eastAsia="zh-CN" w:bidi="ar-SA"/>
        </w:rPr>
      </w:pPr>
      <w:r>
        <w:rPr>
          <w:color w:val="000000"/>
          <w:highlight w:val="none"/>
        </w:rPr>
        <w:tab/>
      </w:r>
      <w:r>
        <w:rPr>
          <w:rFonts w:hint="eastAsia" w:ascii="黑体" w:hAnsi="宋体" w:eastAsia="黑体" w:cs="黑体"/>
          <w:b/>
          <w:color w:val="000000"/>
          <w:sz w:val="32"/>
          <w:szCs w:val="32"/>
          <w:highlight w:val="none"/>
          <w:lang w:val="en-US" w:eastAsia="zh-CN" w:bidi="ar-SA"/>
        </w:rPr>
        <w:t xml:space="preserve">十七、技术方案、服务承诺、培训承诺等</w:t>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ind w:firstLine="1600"/>
        <w:spacing w:line="499" w:lineRule="atLeast"/>
        <w:widowControl/>
        <w:rPr>
          <w:rFonts w:hint="eastAsia" w:ascii="宋体" w:hAnsi="宋体" w:cs="宋体"/>
          <w:color w:val="000000"/>
          <w:sz w:val="24"/>
          <w:highlight w:val="none"/>
        </w:rPr>
      </w:pPr>
      <w:r>
        <w:rPr>
          <w:rFonts w:hint="eastAsia" w:ascii="黑体" w:hAnsi="宋体" w:eastAsia="黑体" w:cs="黑体"/>
          <w:b/>
          <w:color w:val="000000"/>
          <w:sz w:val="32"/>
          <w:szCs w:val="32"/>
          <w:highlight w:val="none"/>
          <w:lang w:val="en-US" w:eastAsia="zh-CN" w:bidi="ar-SA"/>
        </w:rPr>
        <w:t xml:space="preserve">十八、盐城市政府采购事前信用承诺书</w:t>
      </w:r>
      <w:r>
        <w:rPr>
          <w:rFonts w:hint="eastAsia" w:ascii="宋体" w:hAnsi="宋体" w:cs="宋体"/>
          <w:color w:val="000000"/>
          <w:sz w:val="32"/>
          <w:szCs w:val="32"/>
          <w:highlight w:val="none"/>
        </w:rPr>
        <w:t xml:space="preserve"> </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（四）严格遵守即时信息公示规定，及时维护和更新盐城市政府采购网中与本单位相关的信息；</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（六）自觉接受政府、行业组织、社会公众、新闻舆论的监督；</w:t>
      </w:r>
      <w:r/>
    </w:p>
    <w:p>
      <w:pPr>
        <w:ind w:firstLine="480"/>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（八）本人已认真阅读了上述承诺，并向本单位员工作了宣传教育。</w:t>
      </w:r>
      <w:r/>
    </w:p>
    <w:p>
      <w:pPr>
        <w:jc w:val="left"/>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法定代表人签名：</w:t>
      </w:r>
      <w:r/>
    </w:p>
    <w:p>
      <w:pPr>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单位名称（盖章）：</w:t>
      </w:r>
      <w:r/>
    </w:p>
    <w:p>
      <w:pPr>
        <w:jc w:val="center"/>
        <w:spacing w:line="499" w:lineRule="atLeas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年月日</w:t>
      </w:r>
      <w:r/>
    </w:p>
    <w:p>
      <w:pPr>
        <w:pStyle w:val="1656"/>
        <w:jc w:val="center"/>
        <w:spacing w:beforeAutospacing="0" w:afterAutospacing="0"/>
        <w:rPr>
          <w:color w:val="000000"/>
          <w:sz w:val="21"/>
          <w:szCs w:val="21"/>
          <w:highlight w:val="none"/>
        </w:rPr>
      </w:pPr>
      <w:r>
        <w:rPr>
          <w:color w:val="000000"/>
          <w:sz w:val="21"/>
          <w:szCs w:val="21"/>
          <w:highlight w:val="none"/>
        </w:rPr>
      </w:r>
      <w:bookmarkEnd w:id="6"/>
      <w:bookmarkEnd w:id="56"/>
      <w:bookmarkEnd w:id="103"/>
      <w:bookmarkEnd w:id="104"/>
      <w:bookmarkEnd w:id="105"/>
      <w:bookmarkEnd w:id="106"/>
      <w:bookmarkEnd w:id="107"/>
      <w:bookmarkEnd w:id="108"/>
      <w:bookmarkEnd w:id="109"/>
      <w:bookmarkEnd w:id="110"/>
      <w:bookmarkEnd w:id="119"/>
      <w:bookmarkEnd w:id="120"/>
      <w:bookmarkEnd w:id="127"/>
      <w:bookmarkEnd w:id="175"/>
      <w:bookmarkEnd w:id="181"/>
      <w:bookmarkEnd w:id="187"/>
      <w:bookmarkEnd w:id="188"/>
      <w:bookmarkEnd w:id="189"/>
      <w:bookmarkEnd w:id="190"/>
      <w:bookmarkEnd w:id="191"/>
      <w:bookmarkEnd w:id="192"/>
      <w:bookmarkEnd w:id="193"/>
      <w:bookmarkEnd w:id="196"/>
      <w:bookmarkEnd w:id="208"/>
      <w:bookmarkEnd w:id="209"/>
      <w:bookmarkEnd w:id="210"/>
      <w:bookmarkEnd w:id="211"/>
      <w:bookmarkEnd w:id="212"/>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jc w:val="center"/>
        <w:spacing w:line="499" w:lineRule="atLeast"/>
        <w:widowControl/>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1656"/>
        <w:jc w:val="center"/>
        <w:spacing w:beforeAutospacing="0" w:afterAutospacing="0"/>
        <w:rPr>
          <w:rFonts w:hint="eastAsia" w:ascii="宋体" w:hAnsi="宋体" w:cs="宋体"/>
          <w:b/>
          <w:bCs/>
          <w:color w:val="000000"/>
          <w:szCs w:val="21"/>
          <w:highlight w:val="none"/>
        </w:rPr>
      </w:pPr>
      <w:r>
        <w:rPr>
          <w:rFonts w:hint="eastAsia" w:ascii="黑体" w:hAnsi="宋体" w:eastAsia="黑体" w:cs="黑体"/>
          <w:b/>
          <w:color w:val="000000"/>
          <w:sz w:val="32"/>
          <w:szCs w:val="32"/>
          <w:highlight w:val="none"/>
          <w:lang w:val="en-US" w:eastAsia="zh-CN"/>
        </w:rPr>
        <w:t xml:space="preserve">十九、</w:t>
      </w:r>
      <w:bookmarkStart w:id="213" w:name="OLE_LINK26"/>
      <w:r>
        <w:rPr>
          <w:rFonts w:hint="eastAsia" w:ascii="黑体" w:hAnsi="宋体" w:eastAsia="黑体" w:cs="黑体"/>
          <w:b/>
          <w:color w:val="000000"/>
          <w:sz w:val="32"/>
          <w:szCs w:val="32"/>
          <w:highlight w:val="none"/>
        </w:rPr>
        <w:t xml:space="preserve">项目建设供应商承诺函</w:t>
      </w:r>
      <w:bookmarkEnd w:id="213"/>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项目实施过程中要严格按照合同履行，不随意变更建设内容，所有的变更必须经市公安局书面审批完成后方可实施，否则变更部分不予结算，给市公安局造成损失的，按规定承担违约责任，并承诺三年内不得参与市公安局项目建设。</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2、市公安局采购办将在合同约定的履约期限结束的5个工作日内组织项目验收，供应商应当及时做好验收的准备工作，验收的每次结果将存档，如未能验收通过将根据未通过的原因按照合同约定追究违约责任。</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对未列出的其他事项，严格按照法律法规等具体规定执行。</w:t>
      </w:r>
      <w:r/>
    </w:p>
    <w:p>
      <w:pPr>
        <w:ind w:firstLine="420"/>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现承诺，我单位在履行</w:t>
      </w:r>
      <w:r>
        <w:rPr>
          <w:rFonts w:hint="eastAsia" w:ascii="宋体" w:hAnsi="宋体" w:cs="宋体"/>
          <w:color w:val="000000"/>
          <w:szCs w:val="21"/>
          <w:highlight w:val="none"/>
          <w:u w:val="single"/>
        </w:rPr>
        <w:t xml:space="preserve">    （ 项目名称  ）         </w:t>
      </w:r>
      <w:r>
        <w:rPr>
          <w:rFonts w:hint="eastAsia" w:ascii="宋体" w:hAnsi="宋体" w:cs="宋体"/>
          <w:color w:val="000000"/>
          <w:szCs w:val="21"/>
          <w:highlight w:val="none"/>
        </w:rPr>
        <w:t xml:space="preserve">的项目建设中，将严格按照提示函的内容和要求执行，如若违反愿意承担相应的责任。</w:t>
      </w:r>
      <w:r/>
    </w:p>
    <w:p>
      <w:pPr>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供应商项目负责人（签字）：            联系方式：</w:t>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656"/>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质疑函范本</w:t>
      </w:r>
      <w:r/>
    </w:p>
    <w:p>
      <w:pPr>
        <w:pStyle w:val="1656"/>
        <w:jc w:val="both"/>
        <w:spacing w:before="290"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一、质疑供应商基本信息</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质疑供应商：</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授权代表：</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联系电话：</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地址： </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邮编：</w:t>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二、质疑项目基本情况</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质疑项目的名称：</w:t>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u w:val="single"/>
        </w:rPr>
      </w:pPr>
      <w:r>
        <w:rPr>
          <w:rFonts w:hint="eastAsia" w:ascii="宋体" w:hAnsi="宋体" w:cs="宋体"/>
          <w:color w:val="000000"/>
          <w:sz w:val="21"/>
          <w:szCs w:val="21"/>
          <w:highlight w:val="none"/>
        </w:rPr>
        <w:t xml:space="preserve">质疑项目的编号：</w:t>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包号：</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ab/>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采购人名称：</w:t>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采购文件获取日期：</w:t>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三、质疑事项具体内容</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质疑事项1：</w:t>
      </w:r>
      <w:r>
        <w:rPr>
          <w:rFonts w:hint="eastAsia" w:ascii="宋体" w:hAnsi="宋体" w:cs="宋体"/>
          <w:color w:val="000000"/>
          <w:sz w:val="21"/>
          <w:szCs w:val="21"/>
          <w:highlight w:val="none"/>
          <w:u w:val="single"/>
        </w:rPr>
        <w:t xml:space="preserve">                             </w:t>
      </w:r>
      <w:r/>
    </w:p>
    <w:p>
      <w:pPr>
        <w:pStyle w:val="1656"/>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事实依据：</w:t>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法律依据：</w:t>
      </w:r>
      <w:r>
        <w:rPr>
          <w:rFonts w:hint="eastAsia" w:ascii="宋体" w:hAnsi="宋体" w:cs="宋体"/>
          <w:color w:val="000000"/>
          <w:sz w:val="21"/>
          <w:szCs w:val="21"/>
          <w:highlight w:val="none"/>
          <w:u w:val="single"/>
        </w:rPr>
        <w:t xml:space="preserve">                                                    </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质疑事项2</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四、与质疑事项相关的质疑请求</w:t>
      </w:r>
      <w:r/>
    </w:p>
    <w:p>
      <w:pPr>
        <w:pStyle w:val="1656"/>
        <w:jc w:val="both"/>
        <w:spacing w:beforeAutospacing="0" w:afterAutospacing="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请求：</w:t>
      </w:r>
      <w:r>
        <w:rPr>
          <w:rFonts w:hint="eastAsia" w:ascii="宋体" w:hAnsi="宋体" w:cs="宋体"/>
          <w:color w:val="000000"/>
          <w:sz w:val="21"/>
          <w:szCs w:val="21"/>
          <w:highlight w:val="none"/>
          <w:u w:val="single"/>
        </w:rPr>
        <w:t xml:space="preserve">                                                          </w:t>
      </w:r>
      <w:r/>
    </w:p>
    <w:p>
      <w:pPr>
        <w:pStyle w:val="1656"/>
        <w:jc w:val="both"/>
        <w:spacing w:beforeAutospacing="0" w:afterAutospacing="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签字(签章)：                 公章：               日期：    </w:t>
      </w:r>
      <w:r/>
    </w:p>
    <w:p>
      <w:pPr>
        <w:pStyle w:val="1656"/>
        <w:jc w:val="both"/>
        <w:spacing w:beforeAutospacing="0" w:afterAutospacing="0" w:line="0" w:lineRule="atLeast"/>
        <w:rPr>
          <w:rFonts w:hint="eastAsia" w:ascii="宋体" w:hAnsi="宋体" w:cs="宋体"/>
          <w:color w:val="000000"/>
          <w:sz w:val="21"/>
          <w:szCs w:val="21"/>
          <w:highlight w:val="none"/>
        </w:rPr>
      </w:pPr>
      <w:r>
        <w:rPr>
          <w:rFonts w:hint="eastAsia" w:ascii="宋体" w:hAnsi="宋体" w:cs="宋体"/>
          <w:b/>
          <w:color w:val="000000"/>
          <w:sz w:val="21"/>
          <w:szCs w:val="21"/>
          <w:highlight w:val="none"/>
        </w:rPr>
        <w:t xml:space="preserve">质疑函制作说明：</w:t>
      </w:r>
      <w:r/>
    </w:p>
    <w:p>
      <w:pPr>
        <w:pStyle w:val="1656"/>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1.供应商提出质疑时，应提交质疑函和必要的证明材料。</w:t>
      </w:r>
      <w:r/>
    </w:p>
    <w:p>
      <w:pPr>
        <w:pStyle w:val="1656"/>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656"/>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3.质疑供应商若对项目的某一分包进行质疑，质疑函中应列明具体分包号。</w:t>
      </w:r>
      <w:r/>
    </w:p>
    <w:p>
      <w:pPr>
        <w:pStyle w:val="1656"/>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4.质疑函的质疑事项应具体、明确，并有必要的事实依据和法律依据。</w:t>
      </w:r>
      <w:r/>
    </w:p>
    <w:p>
      <w:pPr>
        <w:pStyle w:val="1656"/>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5.质疑函的质疑请求应与质疑事项相关。</w:t>
      </w:r>
      <w:r/>
    </w:p>
    <w:p>
      <w:pPr>
        <w:pStyle w:val="1656"/>
        <w:ind w:firstLine="480"/>
        <w:spacing w:beforeAutospacing="0" w:afterAutospacing="0" w:line="0" w:lineRule="atLeast"/>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even" r:id="rId9"/>
      <w:headerReference w:type="first" r:id="rId10"/>
      <w:footerReference w:type="default" r:id="rId11"/>
      <w:footnotePr/>
      <w:endnotePr/>
      <w:type w:val="nextPage"/>
      <w:pgSz w:w="11906" w:h="16838" w:orient="portrait"/>
      <w:pgMar w:top="1440" w:right="1906" w:bottom="1440" w:left="13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等线">
    <w:panose1 w:val="02010600030101010101"/>
  </w:font>
  <w:font w:name="Cambria">
    <w:panose1 w:val="02040503050406030204"/>
  </w:font>
  <w:font w:name="Courier New">
    <w:panose1 w:val="02070309020205020404"/>
  </w:font>
  <w:font w:name="黑体">
    <w:panose1 w:val="02010609060101010101"/>
  </w:font>
  <w:font w:name="仿宋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5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5</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101</w:t>
    </w:r>
    <w:r>
      <w:rPr>
        <w:b/>
        <w:sz w:val="24"/>
        <w:szCs w:val="24"/>
      </w:rPr>
      <w:fldChar w:fldCharType="end"/>
    </w:r>
    <w:r/>
  </w:p>
  <w:p>
    <w:pPr>
      <w:pStyle w:val="16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65408;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 o:spid="_x0000_s1" o:spt="1" type="#_x0000_t1" style="position:absolute;z-index:251678720;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3" name="矩形 3"/>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 o:spid="_x0000_s2" o:spt="1" type="#_x0000_t1" style="position:absolute;z-index:251679744;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3" o:spid="_x0000_s3" o:spt="1" type="#_x0000_t1" style="position:absolute;z-index:25168076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5" name="矩形 5"/>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4" o:spid="_x0000_s4" o:spt="1" type="#_x0000_t1" style="position:absolute;z-index:25168179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6" name="矩形 6"/>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5" o:spid="_x0000_s5" o:spt="1" type="#_x0000_t1" style="position:absolute;z-index:251682816;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7"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6" o:spid="_x0000_s6" o:spt="1" type="#_x0000_t1" style="position:absolute;z-index:251666432;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8"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7" o:spid="_x0000_s7" o:spt="1" type="#_x0000_t1" style="position:absolute;z-index:251667456;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8" o:spid="_x0000_s8" o:spt="1" type="#_x0000_t1" style="position:absolute;z-index:251668480;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9" o:spid="_x0000_s9" o:spt="1" type="#_x0000_t1" style="position:absolute;z-index:251669504;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0" o:spid="_x0000_s10" o:spt="1" type="#_x0000_t1" style="position:absolute;z-index:251670528;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1" o:spid="_x0000_s11" o:spt="1" type="#_x0000_t1" style="position:absolute;z-index:251671552;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3" name="矩形 7"/>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2" o:spid="_x0000_s12" o:spt="1" type="#_x0000_t1" style="position:absolute;z-index:251672576;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14" name="矩形 8"/>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3" o:spid="_x0000_s13" o:spt="1" type="#_x0000_t1" style="position:absolute;z-index:251673600;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15" name="矩形 9"/>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4" o:spid="_x0000_s14" o:spt="1" type="#_x0000_t1" style="position:absolute;z-index:251674624;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16" name="矩形 10"/>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5" o:spid="_x0000_s15" o:spt="1" type="#_x0000_t1" style="position:absolute;z-index:251675648;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17" name="矩形 11"/>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6" o:spid="_x0000_s16" o:spt="1" type="#_x0000_t1" style="position:absolute;z-index:251676672;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18" name="矩形 12"/>
              <wp:cNvGraphicFramePr/>
              <a:graphic xmlns:a="http://schemas.openxmlformats.org/drawingml/2006/main">
                <a:graphicData uri="http://schemas.microsoft.com/office/word/2010/wordprocessingShape">
                  <wps:wsp>
                    <wps:cNvPr id="0" name=""/>
                    <wps:cNvSpPr/>
                    <wps:spPr bwMode="auto">
                      <a:xfrm rot="20099998">
                        <a:off x="0" y="0"/>
                        <a:ext cx="2540000" cy="317500"/>
                      </a:xfrm>
                      <a:prstGeom prst="rect">
                        <a:avLst/>
                      </a:prstGeom>
                      <a:noFill/>
                      <a:ln>
                        <a:noFill/>
                        <a:round/>
                      </a:ln>
                    </wps:spPr>
                    <wps:txbx>
                      <w:txbxContent>
                        <w:p>
                          <w:pPr>
                            <w:jc w:val="center"/>
                            <w:rPr>
                              <w:rFonts w:ascii="宋体" w:hAnsi="宋体"/>
                              <w:sz w:val="72"/>
                              <w:szCs w:val="72"/>
                            </w:rPr>
                          </w:pPr>
                          <w:r>
                            <w:rPr>
                              <w:rFonts w:ascii="宋体" w:hAnsi="宋体"/>
                              <w:sz w:val="72"/>
                              <w:szCs w:val="72"/>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7" o:spid="_x0000_s17" o:spt="1" type="#_x0000_t1" style="position:absolute;z-index:251677696;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rPr>
                    </w:pPr>
                    <w:r>
                      <w:rPr>
                        <w:rFonts w:ascii="宋体" w:hAnsi="宋体"/>
                        <w:sz w:val="72"/>
                        <w:szCs w:val="72"/>
                      </w:rPr>
                      <w:t xml:space="preserve">大数据交通指挥中心后厨设备采购</w:t>
                    </w:r>
                    <w:r/>
                  </w:p>
                </w:txbxContent>
              </v:textbox>
            </v:shape>
          </w:pict>
        </mc:Fallback>
      </mc:AlternateContent>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381000</wp:posOffset>
              </wp:positionH>
              <wp:positionV relativeFrom="paragraph">
                <wp:posOffset>1270000</wp:posOffset>
              </wp:positionV>
              <wp:extent cx="2540000" cy="317500"/>
              <wp:effectExtent l="0" t="0" r="0" b="0"/>
              <wp:wrapNone/>
              <wp:docPr id="19"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8" o:spid="_x0000_s18" o:spt="1" type="#_x0000_t1" style="position:absolute;z-index:251659264;o:allowoverlap:true;o:allowincell:true;mso-position-horizontal-relative:text;margin-left: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381000</wp:posOffset>
              </wp:positionH>
              <wp:positionV relativeFrom="paragraph">
                <wp:posOffset>3810000</wp:posOffset>
              </wp:positionV>
              <wp:extent cx="2540000" cy="317500"/>
              <wp:effectExtent l="0" t="0" r="0" b="0"/>
              <wp:wrapNone/>
              <wp:docPr id="20"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19" o:spid="_x0000_s19" o:spt="1" type="#_x0000_t1" style="position:absolute;z-index:251660288;o:allowoverlap:true;o:allowincell:true;mso-position-horizontal-relative:text;margin-left: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381000</wp:posOffset>
              </wp:positionH>
              <wp:positionV relativeFrom="paragraph">
                <wp:posOffset>6350000</wp:posOffset>
              </wp:positionV>
              <wp:extent cx="2540000" cy="317500"/>
              <wp:effectExtent l="0" t="0" r="0" b="0"/>
              <wp:wrapNone/>
              <wp:docPr id="21"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0" o:spid="_x0000_s20" o:spt="1" type="#_x0000_t1" style="position:absolute;z-index:251661312;o:allowoverlap:true;o:allowincell:true;mso-position-horizontal-relative:text;margin-left: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2921000</wp:posOffset>
              </wp:positionH>
              <wp:positionV relativeFrom="paragraph">
                <wp:posOffset>1270000</wp:posOffset>
              </wp:positionV>
              <wp:extent cx="2540000" cy="317500"/>
              <wp:effectExtent l="0" t="0" r="0" b="0"/>
              <wp:wrapNone/>
              <wp:docPr id="22"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1" o:spid="_x0000_s21" o:spt="1" type="#_x0000_t1" style="position:absolute;z-index:251662336;o:allowoverlap:true;o:allowincell:true;mso-position-horizontal-relative:text;margin-left:230.0pt;mso-position-horizontal:absolute;mso-position-vertical-relative:text;margin-top:1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2921000</wp:posOffset>
              </wp:positionH>
              <wp:positionV relativeFrom="paragraph">
                <wp:posOffset>3810000</wp:posOffset>
              </wp:positionV>
              <wp:extent cx="2540000" cy="317500"/>
              <wp:effectExtent l="0" t="0" r="0" b="0"/>
              <wp:wrapNone/>
              <wp:docPr id="23"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2" o:spid="_x0000_s22" o:spt="1" type="#_x0000_t1" style="position:absolute;z-index:251663360;o:allowoverlap:true;o:allowincell:true;mso-position-horizontal-relative:text;margin-left:230.0pt;mso-position-horizontal:absolute;mso-position-vertical-relative:text;margin-top:3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2921000</wp:posOffset>
              </wp:positionH>
              <wp:positionV relativeFrom="paragraph">
                <wp:posOffset>6350000</wp:posOffset>
              </wp:positionV>
              <wp:extent cx="2540000" cy="317500"/>
              <wp:effectExtent l="0" t="0" r="0" b="0"/>
              <wp:wrapNone/>
              <wp:docPr id="24" name=""/>
              <wp:cNvGraphicFramePr/>
              <a:graphic xmlns:a="http://schemas.openxmlformats.org/drawingml/2006/main">
                <a:graphicData uri="http://schemas.microsoft.com/office/word/2010/wordprocessingShape">
                  <wps:wsp>
                    <wps:cNvPr id="0" name=""/>
                    <wps:cNvSpPr/>
                    <wps:spPr bwMode="auto">
                      <a:xfrm rot="20099999">
                        <a:off x="0" y="0"/>
                        <a:ext cx="2540000" cy="317500"/>
                      </a:xfrm>
                      <a:prstGeom prst="rect">
                        <a:avLst/>
                      </a:prstGeom>
                      <a:noFill/>
                      <a:ln>
                        <a:noFill/>
                      </a:ln>
                    </wps:spPr>
                    <wps:txbx>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23" o:spid="_x0000_s23" o:spt="1" type="#_x0000_t1" style="position:absolute;z-index:251664384;o:allowoverlap:true;o:allowincell:true;mso-position-horizontal-relative:text;margin-left:230.0pt;mso-position-horizontal:absolute;mso-position-vertical-relative:text;margin-top:500.0pt;mso-position-vertical:absolute;width:200.0pt;height:25.0pt;mso-wrap-distance-left:9.0pt;mso-wrap-distance-top:0.0pt;mso-wrap-distance-right:9.0pt;mso-wrap-distance-bottom:0.0pt;rotation:334;visibility:visible;" filled="f" stroked="f">
              <v:textbox inset="0,0,0,0">
                <w:txbxContent>
                  <w:p>
                    <w:pPr>
                      <w:jc w:val="center"/>
                      <w:rPr>
                        <w:rFonts w:ascii="宋体" w:hAnsi="宋体"/>
                        <w:sz w:val="72"/>
                        <w:szCs w:val="72"/>
                        <w14:textOutline w14:w="12700">
                          <w14:solidFill>
                            <w14:srgbClr w14:val="000000"/>
                          </w14:solidFill>
                        </w14:textOutline>
                        <w14:textFill>
                          <w14:solidFill>
                            <w14:srgbClr w14:val="D9D9D9"/>
                          </w14:solidFill>
                        </w14:textFill>
                      </w:rPr>
                    </w:pPr>
                    <w:r>
                      <w:rPr>
                        <w:rFonts w:ascii="宋体" w:hAnsi="宋体"/>
                        <w:sz w:val="72"/>
                        <w:szCs w:val="72"/>
                        <w14:textOutline w14:w="12700">
                          <w14:solidFill>
                            <w14:srgbClr w14:val="000000"/>
                          </w14:solidFill>
                        </w14:textOutline>
                        <w14:textFill>
                          <w14:solidFill>
                            <w14:srgbClr w14:val="D9D9D9"/>
                          </w14:solidFill>
                        </w14:textFill>
                      </w:rPr>
                      <w:t xml:space="preserve">大数据交通指挥中心后厨设备采购</w:t>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51" w:default="1">
    <w:name w:val="Normal"/>
    <w:link w:val="1649"/>
    <w:uiPriority w:val="0"/>
    <w:qFormat/>
    <w:pPr>
      <w:jc w:val="both"/>
      <w:widowControl w:val="off"/>
    </w:pPr>
    <w:rPr>
      <w:rFonts w:hint="default" w:ascii="Calibri" w:hAnsi="Calibri" w:eastAsia="宋体" w:cs="Times New Roman"/>
      <w:sz w:val="21"/>
      <w:szCs w:val="24"/>
      <w:lang w:val="en-US" w:eastAsia="zh-CN" w:bidi="ar-SA"/>
    </w:rPr>
  </w:style>
  <w:style w:type="paragraph" w:styleId="1452">
    <w:name w:val="Heading 1"/>
    <w:basedOn w:val="1451"/>
    <w:next w:val="1451"/>
    <w:link w:val="1488"/>
    <w:uiPriority w:val="9"/>
    <w:qFormat/>
    <w:pPr>
      <w:keepLines/>
      <w:keepNext/>
      <w:spacing w:before="480" w:after="200"/>
      <w:outlineLvl w:val="0"/>
    </w:pPr>
    <w:rPr>
      <w:rFonts w:ascii="Arial" w:hAnsi="Arial" w:eastAsia="Arial" w:cs="Arial"/>
      <w:sz w:val="40"/>
      <w:szCs w:val="40"/>
    </w:rPr>
  </w:style>
  <w:style w:type="paragraph" w:styleId="1453">
    <w:name w:val="Heading 2"/>
    <w:basedOn w:val="1451"/>
    <w:next w:val="1451"/>
    <w:link w:val="1489"/>
    <w:uiPriority w:val="9"/>
    <w:unhideWhenUsed/>
    <w:qFormat/>
    <w:pPr>
      <w:keepLines/>
      <w:keepNext/>
      <w:spacing w:before="360" w:after="200"/>
      <w:outlineLvl w:val="1"/>
    </w:pPr>
    <w:rPr>
      <w:rFonts w:ascii="Arial" w:hAnsi="Arial" w:eastAsia="Arial" w:cs="Arial"/>
      <w:sz w:val="34"/>
    </w:rPr>
  </w:style>
  <w:style w:type="paragraph" w:styleId="1454">
    <w:name w:val="Heading 3"/>
    <w:basedOn w:val="1451"/>
    <w:next w:val="1451"/>
    <w:link w:val="1490"/>
    <w:uiPriority w:val="9"/>
    <w:unhideWhenUsed/>
    <w:qFormat/>
    <w:pPr>
      <w:keepLines/>
      <w:keepNext/>
      <w:spacing w:before="320" w:after="200"/>
      <w:outlineLvl w:val="2"/>
    </w:pPr>
    <w:rPr>
      <w:rFonts w:ascii="Arial" w:hAnsi="Arial" w:eastAsia="Arial" w:cs="Arial"/>
      <w:sz w:val="30"/>
      <w:szCs w:val="30"/>
    </w:rPr>
  </w:style>
  <w:style w:type="paragraph" w:styleId="1455">
    <w:name w:val="Heading 4"/>
    <w:basedOn w:val="1451"/>
    <w:next w:val="1451"/>
    <w:link w:val="1491"/>
    <w:uiPriority w:val="9"/>
    <w:unhideWhenUsed/>
    <w:qFormat/>
    <w:pPr>
      <w:keepLines/>
      <w:keepNext/>
      <w:spacing w:before="320" w:after="200"/>
      <w:outlineLvl w:val="3"/>
    </w:pPr>
    <w:rPr>
      <w:rFonts w:ascii="Arial" w:hAnsi="Arial" w:eastAsia="Arial" w:cs="Arial"/>
      <w:b/>
      <w:bCs/>
      <w:sz w:val="26"/>
      <w:szCs w:val="26"/>
    </w:rPr>
  </w:style>
  <w:style w:type="paragraph" w:styleId="1456">
    <w:name w:val="Heading 5"/>
    <w:basedOn w:val="1451"/>
    <w:next w:val="1451"/>
    <w:link w:val="1492"/>
    <w:uiPriority w:val="9"/>
    <w:unhideWhenUsed/>
    <w:qFormat/>
    <w:pPr>
      <w:keepLines/>
      <w:keepNext/>
      <w:spacing w:before="320" w:after="200"/>
      <w:outlineLvl w:val="4"/>
    </w:pPr>
    <w:rPr>
      <w:rFonts w:ascii="Arial" w:hAnsi="Arial" w:eastAsia="Arial" w:cs="Arial"/>
      <w:b/>
      <w:bCs/>
      <w:sz w:val="24"/>
      <w:szCs w:val="24"/>
    </w:rPr>
  </w:style>
  <w:style w:type="paragraph" w:styleId="1457">
    <w:name w:val="Heading 6"/>
    <w:basedOn w:val="1451"/>
    <w:next w:val="1451"/>
    <w:link w:val="1493"/>
    <w:uiPriority w:val="9"/>
    <w:unhideWhenUsed/>
    <w:qFormat/>
    <w:pPr>
      <w:keepLines/>
      <w:keepNext/>
      <w:spacing w:before="320" w:after="200"/>
      <w:outlineLvl w:val="5"/>
    </w:pPr>
    <w:rPr>
      <w:rFonts w:ascii="Arial" w:hAnsi="Arial" w:eastAsia="Arial" w:cs="Arial"/>
      <w:b/>
      <w:bCs/>
      <w:sz w:val="22"/>
      <w:szCs w:val="22"/>
    </w:rPr>
  </w:style>
  <w:style w:type="paragraph" w:styleId="1458">
    <w:name w:val="Heading 7"/>
    <w:basedOn w:val="1451"/>
    <w:next w:val="1451"/>
    <w:link w:val="1494"/>
    <w:uiPriority w:val="9"/>
    <w:unhideWhenUsed/>
    <w:qFormat/>
    <w:pPr>
      <w:keepLines/>
      <w:keepNext/>
      <w:spacing w:before="320" w:after="200"/>
      <w:outlineLvl w:val="6"/>
    </w:pPr>
    <w:rPr>
      <w:rFonts w:ascii="Arial" w:hAnsi="Arial" w:eastAsia="Arial" w:cs="Arial"/>
      <w:b/>
      <w:bCs/>
      <w:i/>
      <w:iCs/>
      <w:sz w:val="22"/>
      <w:szCs w:val="22"/>
    </w:rPr>
  </w:style>
  <w:style w:type="paragraph" w:styleId="1459">
    <w:name w:val="Heading 8"/>
    <w:basedOn w:val="1451"/>
    <w:next w:val="1451"/>
    <w:link w:val="1495"/>
    <w:uiPriority w:val="9"/>
    <w:unhideWhenUsed/>
    <w:qFormat/>
    <w:pPr>
      <w:keepLines/>
      <w:keepNext/>
      <w:spacing w:before="320" w:after="200"/>
      <w:outlineLvl w:val="7"/>
    </w:pPr>
    <w:rPr>
      <w:rFonts w:ascii="Arial" w:hAnsi="Arial" w:eastAsia="Arial" w:cs="Arial"/>
      <w:i/>
      <w:iCs/>
      <w:sz w:val="22"/>
      <w:szCs w:val="22"/>
    </w:rPr>
  </w:style>
  <w:style w:type="paragraph" w:styleId="1460">
    <w:name w:val="Heading 9"/>
    <w:basedOn w:val="1451"/>
    <w:next w:val="1451"/>
    <w:link w:val="1496"/>
    <w:uiPriority w:val="9"/>
    <w:unhideWhenUsed/>
    <w:qFormat/>
    <w:pPr>
      <w:keepLines/>
      <w:keepNext/>
      <w:spacing w:before="320" w:after="200"/>
      <w:outlineLvl w:val="8"/>
    </w:pPr>
    <w:rPr>
      <w:rFonts w:ascii="Arial" w:hAnsi="Arial" w:eastAsia="Arial" w:cs="Arial"/>
      <w:i/>
      <w:iCs/>
      <w:sz w:val="21"/>
      <w:szCs w:val="21"/>
    </w:rPr>
  </w:style>
  <w:style w:type="character" w:styleId="1461" w:default="1">
    <w:name w:val="Default Paragraph Font"/>
    <w:uiPriority w:val="1"/>
    <w:unhideWhenUsed/>
    <w:qFormat/>
  </w:style>
  <w:style w:type="table" w:styleId="1462" w:default="1">
    <w:name w:val="Normal Table"/>
    <w:uiPriority w:val="99"/>
    <w:unhideWhenUsed/>
    <w:qFormat/>
    <w:tblPr>
      <w:tblCellMar>
        <w:left w:w="108" w:type="dxa"/>
        <w:top w:w="0" w:type="dxa"/>
        <w:right w:w="108" w:type="dxa"/>
        <w:bottom w:w="0" w:type="dxa"/>
      </w:tblCellMar>
    </w:tblPr>
  </w:style>
  <w:style w:type="paragraph" w:styleId="1463">
    <w:name w:val="toc 7"/>
    <w:basedOn w:val="1451"/>
    <w:next w:val="1451"/>
    <w:uiPriority w:val="39"/>
    <w:unhideWhenUsed/>
    <w:qFormat/>
    <w:pPr>
      <w:ind w:left="1701" w:right="0" w:firstLine="0"/>
      <w:spacing w:after="57"/>
    </w:pPr>
  </w:style>
  <w:style w:type="paragraph" w:styleId="1464">
    <w:name w:val="Caption"/>
    <w:basedOn w:val="1451"/>
    <w:next w:val="1451"/>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1465">
    <w:name w:val="annotation text"/>
    <w:basedOn w:val="1451"/>
    <w:uiPriority w:val="99"/>
    <w:unhideWhenUsed/>
    <w:qFormat/>
    <w:pPr>
      <w:jc w:val="left"/>
    </w:pPr>
  </w:style>
  <w:style w:type="paragraph" w:styleId="1466">
    <w:name w:val="toc 5"/>
    <w:basedOn w:val="1451"/>
    <w:next w:val="1451"/>
    <w:uiPriority w:val="39"/>
    <w:unhideWhenUsed/>
    <w:qFormat/>
    <w:pPr>
      <w:ind w:left="1134" w:right="0" w:firstLine="0"/>
      <w:spacing w:after="57"/>
    </w:pPr>
  </w:style>
  <w:style w:type="paragraph" w:styleId="1467">
    <w:name w:val="toc 3"/>
    <w:basedOn w:val="1451"/>
    <w:next w:val="1451"/>
    <w:uiPriority w:val="39"/>
    <w:unhideWhenUsed/>
    <w:qFormat/>
    <w:pPr>
      <w:ind w:left="567" w:right="0" w:firstLine="0"/>
      <w:spacing w:after="57"/>
    </w:pPr>
  </w:style>
  <w:style w:type="paragraph" w:styleId="1468">
    <w:name w:val="toc 8"/>
    <w:basedOn w:val="1451"/>
    <w:next w:val="1451"/>
    <w:uiPriority w:val="39"/>
    <w:unhideWhenUsed/>
    <w:qFormat/>
    <w:pPr>
      <w:ind w:left="1984" w:right="0" w:firstLine="0"/>
      <w:spacing w:after="57"/>
    </w:pPr>
  </w:style>
  <w:style w:type="paragraph" w:styleId="1469">
    <w:name w:val="endnote text"/>
    <w:basedOn w:val="1451"/>
    <w:link w:val="1634"/>
    <w:uiPriority w:val="99"/>
    <w:unhideWhenUsed/>
    <w:qFormat/>
    <w:pPr>
      <w:spacing w:after="0" w:line="240" w:lineRule="auto"/>
    </w:pPr>
    <w:rPr>
      <w:sz w:val="20"/>
    </w:rPr>
  </w:style>
  <w:style w:type="paragraph" w:styleId="1470">
    <w:name w:val="Footer"/>
    <w:basedOn w:val="1451"/>
    <w:link w:val="1507"/>
    <w:uiPriority w:val="99"/>
    <w:unhideWhenUsed/>
    <w:qFormat/>
    <w:pPr>
      <w:spacing w:after="0" w:line="240" w:lineRule="auto"/>
      <w:tabs>
        <w:tab w:val="center" w:pos="7143" w:leader="none"/>
        <w:tab w:val="right" w:pos="14287" w:leader="none"/>
      </w:tabs>
    </w:pPr>
  </w:style>
  <w:style w:type="paragraph" w:styleId="1471">
    <w:name w:val="Header"/>
    <w:basedOn w:val="1451"/>
    <w:link w:val="1505"/>
    <w:uiPriority w:val="99"/>
    <w:unhideWhenUsed/>
    <w:qFormat/>
    <w:pPr>
      <w:spacing w:after="0" w:line="240" w:lineRule="auto"/>
      <w:tabs>
        <w:tab w:val="center" w:pos="7143" w:leader="none"/>
        <w:tab w:val="right" w:pos="14287" w:leader="none"/>
      </w:tabs>
    </w:pPr>
  </w:style>
  <w:style w:type="paragraph" w:styleId="1472">
    <w:name w:val="toc 1"/>
    <w:basedOn w:val="1451"/>
    <w:next w:val="1451"/>
    <w:uiPriority w:val="39"/>
    <w:unhideWhenUsed/>
    <w:qFormat/>
    <w:pPr>
      <w:ind w:left="0" w:right="0" w:firstLine="0"/>
      <w:spacing w:after="57"/>
    </w:pPr>
  </w:style>
  <w:style w:type="paragraph" w:styleId="1473">
    <w:name w:val="toc 4"/>
    <w:basedOn w:val="1451"/>
    <w:next w:val="1451"/>
    <w:uiPriority w:val="39"/>
    <w:unhideWhenUsed/>
    <w:qFormat/>
    <w:pPr>
      <w:ind w:left="850" w:right="0" w:firstLine="0"/>
      <w:spacing w:after="57"/>
    </w:pPr>
  </w:style>
  <w:style w:type="paragraph" w:styleId="1474">
    <w:name w:val="Subtitle"/>
    <w:basedOn w:val="1451"/>
    <w:next w:val="1451"/>
    <w:link w:val="1500"/>
    <w:uiPriority w:val="11"/>
    <w:qFormat/>
    <w:pPr>
      <w:spacing w:before="200" w:after="200"/>
    </w:pPr>
    <w:rPr>
      <w:sz w:val="24"/>
      <w:szCs w:val="24"/>
    </w:rPr>
  </w:style>
  <w:style w:type="paragraph" w:styleId="1475">
    <w:name w:val="footnote text"/>
    <w:basedOn w:val="1451"/>
    <w:link w:val="1633"/>
    <w:uiPriority w:val="99"/>
    <w:unhideWhenUsed/>
    <w:qFormat/>
    <w:pPr>
      <w:spacing w:after="40" w:line="240" w:lineRule="auto"/>
    </w:pPr>
    <w:rPr>
      <w:sz w:val="18"/>
    </w:rPr>
  </w:style>
  <w:style w:type="paragraph" w:styleId="1476">
    <w:name w:val="toc 6"/>
    <w:basedOn w:val="1451"/>
    <w:next w:val="1451"/>
    <w:uiPriority w:val="39"/>
    <w:unhideWhenUsed/>
    <w:qFormat/>
    <w:pPr>
      <w:ind w:left="1417" w:right="0" w:firstLine="0"/>
      <w:spacing w:after="57"/>
    </w:pPr>
  </w:style>
  <w:style w:type="paragraph" w:styleId="1477">
    <w:name w:val="table of figures"/>
    <w:basedOn w:val="1451"/>
    <w:next w:val="1451"/>
    <w:uiPriority w:val="99"/>
    <w:unhideWhenUsed/>
    <w:qFormat/>
    <w:pPr>
      <w:spacing w:after="0" w:afterAutospacing="0"/>
    </w:pPr>
  </w:style>
  <w:style w:type="paragraph" w:styleId="1478">
    <w:name w:val="toc 2"/>
    <w:basedOn w:val="1451"/>
    <w:next w:val="1451"/>
    <w:uiPriority w:val="39"/>
    <w:unhideWhenUsed/>
    <w:qFormat/>
    <w:pPr>
      <w:ind w:left="283" w:right="0" w:firstLine="0"/>
      <w:spacing w:after="57"/>
    </w:pPr>
  </w:style>
  <w:style w:type="paragraph" w:styleId="1479">
    <w:name w:val="toc 9"/>
    <w:basedOn w:val="1451"/>
    <w:next w:val="1451"/>
    <w:uiPriority w:val="39"/>
    <w:unhideWhenUsed/>
    <w:qFormat/>
    <w:pPr>
      <w:ind w:left="2268" w:right="0" w:firstLine="0"/>
      <w:spacing w:after="57"/>
    </w:pPr>
  </w:style>
  <w:style w:type="paragraph" w:styleId="1480">
    <w:name w:val="Normal (Web)"/>
    <w:basedOn w:val="1451"/>
    <w:uiPriority w:val="99"/>
    <w:unhideWhenUsed/>
    <w:qFormat/>
    <w:pPr>
      <w:ind w:left="0" w:right="0"/>
      <w:jc w:val="left"/>
      <w:spacing w:before="0" w:beforeAutospacing="1" w:after="0" w:afterAutospacing="1"/>
    </w:pPr>
    <w:rPr>
      <w:sz w:val="24"/>
      <w:lang w:val="en-US" w:eastAsia="zh-CN" w:bidi="ar"/>
    </w:rPr>
  </w:style>
  <w:style w:type="paragraph" w:styleId="1481">
    <w:name w:val="Title"/>
    <w:basedOn w:val="1451"/>
    <w:next w:val="1451"/>
    <w:link w:val="1499"/>
    <w:uiPriority w:val="10"/>
    <w:qFormat/>
    <w:pPr>
      <w:contextualSpacing/>
      <w:spacing w:before="300" w:after="200"/>
    </w:pPr>
    <w:rPr>
      <w:sz w:val="48"/>
      <w:szCs w:val="48"/>
    </w:rPr>
  </w:style>
  <w:style w:type="table" w:styleId="14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483">
    <w:name w:val="Strong"/>
    <w:basedOn w:val="1461"/>
    <w:uiPriority w:val="22"/>
    <w:qFormat/>
    <w:rPr>
      <w:b/>
    </w:rPr>
  </w:style>
  <w:style w:type="character" w:styleId="1484">
    <w:name w:val="endnote reference"/>
    <w:uiPriority w:val="99"/>
    <w:unhideWhenUsed/>
    <w:qFormat/>
    <w:rPr>
      <w:vertAlign w:val="superscript"/>
    </w:rPr>
  </w:style>
  <w:style w:type="character" w:styleId="1485">
    <w:name w:val="Hyperlink"/>
    <w:uiPriority w:val="99"/>
    <w:unhideWhenUsed/>
    <w:qFormat/>
    <w:rPr>
      <w:color w:val="0000ff" w:themeColor="hyperlink"/>
      <w:u w:val="single"/>
      <w14:textFill>
        <w14:solidFill>
          <w14:schemeClr w14:val="hlink"/>
        </w14:solidFill>
      </w14:textFill>
    </w:rPr>
  </w:style>
  <w:style w:type="character" w:styleId="1486">
    <w:name w:val="footnote reference"/>
    <w:uiPriority w:val="99"/>
    <w:unhideWhenUsed/>
    <w:qFormat/>
    <w:rPr>
      <w:vertAlign w:val="superscript"/>
    </w:rPr>
  </w:style>
  <w:style w:type="paragraph" w:styleId="1487" w:customStyle="1">
    <w:name w:val="正文文本缩进111"/>
    <w:basedOn w:val="1451"/>
    <w:next w:val="1451"/>
    <w:uiPriority w:val="99"/>
    <w:unhideWhenUsed/>
    <w:qFormat/>
    <w:pPr>
      <w:ind w:left="-105" w:firstLine="742"/>
    </w:pPr>
    <w:rPr>
      <w:rFonts w:eastAsia="仿宋_GB2312"/>
      <w:sz w:val="32"/>
      <w:szCs w:val="24"/>
    </w:rPr>
  </w:style>
  <w:style w:type="character" w:styleId="1488" w:customStyle="1">
    <w:name w:val="Heading 1 Char"/>
    <w:link w:val="1452"/>
    <w:uiPriority w:val="9"/>
    <w:qFormat/>
    <w:rPr>
      <w:rFonts w:ascii="Arial" w:hAnsi="Arial" w:eastAsia="Arial" w:cs="Arial"/>
      <w:sz w:val="40"/>
      <w:szCs w:val="40"/>
    </w:rPr>
  </w:style>
  <w:style w:type="character" w:styleId="1489" w:customStyle="1">
    <w:name w:val="Heading 2 Char"/>
    <w:link w:val="1453"/>
    <w:uiPriority w:val="9"/>
    <w:qFormat/>
    <w:rPr>
      <w:rFonts w:ascii="Arial" w:hAnsi="Arial" w:eastAsia="Arial" w:cs="Arial"/>
      <w:sz w:val="34"/>
    </w:rPr>
  </w:style>
  <w:style w:type="character" w:styleId="1490" w:customStyle="1">
    <w:name w:val="Heading 3 Char"/>
    <w:link w:val="1454"/>
    <w:uiPriority w:val="9"/>
    <w:qFormat/>
    <w:rPr>
      <w:rFonts w:ascii="Arial" w:hAnsi="Arial" w:eastAsia="Arial" w:cs="Arial"/>
      <w:sz w:val="30"/>
      <w:szCs w:val="30"/>
    </w:rPr>
  </w:style>
  <w:style w:type="character" w:styleId="1491" w:customStyle="1">
    <w:name w:val="Heading 4 Char"/>
    <w:link w:val="1455"/>
    <w:uiPriority w:val="9"/>
    <w:qFormat/>
    <w:rPr>
      <w:rFonts w:ascii="Arial" w:hAnsi="Arial" w:eastAsia="Arial" w:cs="Arial"/>
      <w:b/>
      <w:bCs/>
      <w:sz w:val="26"/>
      <w:szCs w:val="26"/>
    </w:rPr>
  </w:style>
  <w:style w:type="character" w:styleId="1492" w:customStyle="1">
    <w:name w:val="Heading 5 Char"/>
    <w:link w:val="1456"/>
    <w:uiPriority w:val="9"/>
    <w:qFormat/>
    <w:rPr>
      <w:rFonts w:ascii="Arial" w:hAnsi="Arial" w:eastAsia="Arial" w:cs="Arial"/>
      <w:b/>
      <w:bCs/>
      <w:sz w:val="24"/>
      <w:szCs w:val="24"/>
    </w:rPr>
  </w:style>
  <w:style w:type="character" w:styleId="1493" w:customStyle="1">
    <w:name w:val="Heading 6 Char"/>
    <w:link w:val="1457"/>
    <w:uiPriority w:val="9"/>
    <w:qFormat/>
    <w:rPr>
      <w:rFonts w:ascii="Arial" w:hAnsi="Arial" w:eastAsia="Arial" w:cs="Arial"/>
      <w:b/>
      <w:bCs/>
      <w:sz w:val="22"/>
      <w:szCs w:val="22"/>
    </w:rPr>
  </w:style>
  <w:style w:type="character" w:styleId="1494" w:customStyle="1">
    <w:name w:val="Heading 7 Char"/>
    <w:link w:val="1458"/>
    <w:uiPriority w:val="9"/>
    <w:qFormat/>
    <w:rPr>
      <w:rFonts w:ascii="Arial" w:hAnsi="Arial" w:eastAsia="Arial" w:cs="Arial"/>
      <w:b/>
      <w:bCs/>
      <w:i/>
      <w:iCs/>
      <w:sz w:val="22"/>
      <w:szCs w:val="22"/>
    </w:rPr>
  </w:style>
  <w:style w:type="character" w:styleId="1495" w:customStyle="1">
    <w:name w:val="Heading 8 Char"/>
    <w:link w:val="1459"/>
    <w:uiPriority w:val="9"/>
    <w:qFormat/>
    <w:rPr>
      <w:rFonts w:ascii="Arial" w:hAnsi="Arial" w:eastAsia="Arial" w:cs="Arial"/>
      <w:i/>
      <w:iCs/>
      <w:sz w:val="22"/>
      <w:szCs w:val="22"/>
    </w:rPr>
  </w:style>
  <w:style w:type="character" w:styleId="1496" w:customStyle="1">
    <w:name w:val="Heading 9 Char"/>
    <w:link w:val="1460"/>
    <w:uiPriority w:val="9"/>
    <w:qFormat/>
    <w:rPr>
      <w:rFonts w:ascii="Arial" w:hAnsi="Arial" w:eastAsia="Arial" w:cs="Arial"/>
      <w:i/>
      <w:iCs/>
      <w:sz w:val="21"/>
      <w:szCs w:val="21"/>
    </w:rPr>
  </w:style>
  <w:style w:type="paragraph" w:styleId="1497" w:customStyle="1">
    <w:name w:val="List Paragraph"/>
    <w:basedOn w:val="1451"/>
    <w:uiPriority w:val="34"/>
    <w:qFormat/>
    <w:pPr>
      <w:contextualSpacing/>
      <w:ind w:left="720"/>
    </w:pPr>
  </w:style>
  <w:style w:type="paragraph" w:styleId="1498" w:customStyle="1">
    <w:name w:val="No Spacing"/>
    <w:uiPriority w:val="1"/>
    <w:qFormat/>
    <w:pPr>
      <w:spacing w:before="0" w:after="0" w:line="240" w:lineRule="auto"/>
    </w:pPr>
    <w:rPr>
      <w:rFonts w:hint="default" w:ascii="Times New Roman" w:hAnsi="Times New Roman" w:eastAsia="宋体" w:cs="Times New Roman"/>
      <w:lang w:val="en-US" w:eastAsia="en-US" w:bidi="ar-SA"/>
    </w:rPr>
  </w:style>
  <w:style w:type="character" w:styleId="1499" w:customStyle="1">
    <w:name w:val="Title Char"/>
    <w:link w:val="1481"/>
    <w:uiPriority w:val="10"/>
    <w:qFormat/>
    <w:rPr>
      <w:sz w:val="48"/>
      <w:szCs w:val="48"/>
    </w:rPr>
  </w:style>
  <w:style w:type="character" w:styleId="1500" w:customStyle="1">
    <w:name w:val="Subtitle Char"/>
    <w:link w:val="1474"/>
    <w:uiPriority w:val="11"/>
    <w:qFormat/>
    <w:rPr>
      <w:sz w:val="24"/>
      <w:szCs w:val="24"/>
    </w:rPr>
  </w:style>
  <w:style w:type="paragraph" w:styleId="1501" w:customStyle="1">
    <w:name w:val="Quote"/>
    <w:basedOn w:val="1451"/>
    <w:next w:val="1451"/>
    <w:link w:val="1502"/>
    <w:uiPriority w:val="29"/>
    <w:qFormat/>
    <w:pPr>
      <w:ind w:left="720" w:right="720"/>
    </w:pPr>
    <w:rPr>
      <w:i/>
    </w:rPr>
  </w:style>
  <w:style w:type="character" w:styleId="1502" w:customStyle="1">
    <w:name w:val="Quote Char"/>
    <w:link w:val="1501"/>
    <w:uiPriority w:val="29"/>
    <w:qFormat/>
    <w:rPr>
      <w:i/>
    </w:rPr>
  </w:style>
  <w:style w:type="paragraph" w:styleId="1503" w:customStyle="1">
    <w:name w:val="Intense Quote"/>
    <w:basedOn w:val="1451"/>
    <w:next w:val="1451"/>
    <w:link w:val="15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04" w:customStyle="1">
    <w:name w:val="Intense Quote Char"/>
    <w:link w:val="1503"/>
    <w:uiPriority w:val="30"/>
    <w:qFormat/>
    <w:rPr>
      <w:i/>
    </w:rPr>
  </w:style>
  <w:style w:type="character" w:styleId="1505" w:customStyle="1">
    <w:name w:val="Header Char"/>
    <w:link w:val="1471"/>
    <w:uiPriority w:val="99"/>
    <w:qFormat/>
  </w:style>
  <w:style w:type="character" w:styleId="1506" w:customStyle="1">
    <w:name w:val="Footer Char"/>
    <w:link w:val="1470"/>
    <w:uiPriority w:val="99"/>
    <w:qFormat/>
  </w:style>
  <w:style w:type="character" w:styleId="1507" w:customStyle="1">
    <w:name w:val="Caption Char"/>
    <w:link w:val="1470"/>
    <w:uiPriority w:val="99"/>
    <w:qFormat/>
  </w:style>
  <w:style w:type="table" w:styleId="15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5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10" w:customStyle="1">
    <w:name w:val="Plain Table 2"/>
    <w:uiPriority w:val="59"/>
    <w:qFormat/>
    <w:pPr>
      <w:spacing w:after="0" w:line="240" w:lineRule="auto"/>
    </w:pPr>
    <w:tblPr>
      <w:tblBorders>
        <w:top w:val="single" w:color="000000" w:themeColor="text1" w:sz="4" w:space="0"/>
        <w:bottom w:val="singl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5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5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5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5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5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5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5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5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33" w:customStyle="1">
    <w:name w:val="Footnote Text Char"/>
    <w:link w:val="1475"/>
    <w:uiPriority w:val="99"/>
    <w:qFormat/>
    <w:rPr>
      <w:sz w:val="18"/>
    </w:rPr>
  </w:style>
  <w:style w:type="character" w:styleId="1634" w:customStyle="1">
    <w:name w:val="Endnote Text Char"/>
    <w:link w:val="1469"/>
    <w:uiPriority w:val="99"/>
    <w:qFormat/>
    <w:rPr>
      <w:sz w:val="20"/>
    </w:rPr>
  </w:style>
  <w:style w:type="paragraph" w:styleId="1635" w:customStyle="1">
    <w:name w:val="TOC Heading"/>
    <w:uiPriority w:val="39"/>
    <w:unhideWhenUsed/>
    <w:qFormat/>
    <w:rPr>
      <w:rFonts w:hint="default" w:ascii="Times New Roman" w:hAnsi="Times New Roman" w:eastAsia="宋体" w:cs="Times New Roman"/>
      <w:lang w:val="en-US" w:eastAsia="en-US" w:bidi="ar-SA"/>
    </w:rPr>
  </w:style>
  <w:style w:type="paragraph" w:styleId="1636" w:customStyle="1">
    <w:name w:val="标题 21"/>
    <w:basedOn w:val="1451"/>
    <w:next w:val="1637"/>
    <w:uiPriority w:val="0"/>
    <w:qFormat/>
    <w:pPr>
      <w:jc w:val="left"/>
      <w:spacing w:beforeAutospacing="1" w:afterAutospacing="1"/>
      <w:outlineLvl w:val="1"/>
    </w:pPr>
    <w:rPr>
      <w:rFonts w:hint="eastAsia" w:ascii="宋体" w:hAnsi="宋体" w:eastAsia="宋体" w:cs="Times New Roman"/>
      <w:b/>
      <w:bCs/>
      <w:sz w:val="36"/>
      <w:szCs w:val="36"/>
    </w:rPr>
  </w:style>
  <w:style w:type="paragraph" w:styleId="1637" w:customStyle="1">
    <w:name w:val="正文缩进1"/>
    <w:basedOn w:val="1451"/>
    <w:uiPriority w:val="0"/>
    <w:qFormat/>
    <w:pPr>
      <w:ind w:firstLine="420"/>
    </w:pPr>
    <w:rPr>
      <w:szCs w:val="20"/>
    </w:rPr>
  </w:style>
  <w:style w:type="character" w:styleId="1638" w:customStyle="1">
    <w:name w:val="默认段落字体1"/>
    <w:link w:val="1451"/>
    <w:uiPriority w:val="1"/>
    <w:unhideWhenUsed/>
    <w:qFormat/>
  </w:style>
  <w:style w:type="table" w:styleId="1639" w:customStyle="1">
    <w:name w:val="普通表格1"/>
    <w:uiPriority w:val="99"/>
    <w:unhideWhenUsed/>
    <w:qFormat/>
    <w:tblPr/>
  </w:style>
  <w:style w:type="character" w:styleId="1640" w:customStyle="1">
    <w:name w:val="批注引用1"/>
    <w:basedOn w:val="1638"/>
    <w:link w:val="1451"/>
    <w:uiPriority w:val="0"/>
    <w:qFormat/>
    <w:rPr>
      <w:sz w:val="21"/>
      <w:szCs w:val="21"/>
    </w:rPr>
  </w:style>
  <w:style w:type="character" w:styleId="1641" w:customStyle="1">
    <w:name w:val="NormalCharacter1"/>
    <w:link w:val="1451"/>
    <w:uiPriority w:val="0"/>
    <w:semiHidden/>
    <w:qFormat/>
    <w:rPr>
      <w:rFonts w:ascii="Calibri" w:hAnsi="Calibri" w:eastAsia="宋体" w:cs="Times New Roman"/>
      <w:sz w:val="21"/>
      <w:szCs w:val="24"/>
      <w:lang w:val="en-US" w:eastAsia="zh-CN" w:bidi="ar-SA"/>
    </w:rPr>
  </w:style>
  <w:style w:type="character" w:styleId="1642" w:customStyle="1">
    <w:name w:val="页眉 Char"/>
    <w:basedOn w:val="1638"/>
    <w:link w:val="1643"/>
    <w:uiPriority w:val="0"/>
    <w:qFormat/>
    <w:rPr>
      <w:rFonts w:ascii="Calibri" w:hAnsi="Calibri" w:eastAsia="宋体" w:cs="Times New Roman"/>
      <w:sz w:val="18"/>
      <w:szCs w:val="18"/>
    </w:rPr>
  </w:style>
  <w:style w:type="paragraph" w:styleId="1643" w:customStyle="1">
    <w:name w:val="页眉1"/>
    <w:basedOn w:val="1451"/>
    <w:link w:val="1642"/>
    <w:uiPriority w:val="0"/>
    <w:qFormat/>
    <w:pPr>
      <w:jc w:val="center"/>
      <w:tabs>
        <w:tab w:val="center" w:pos="4153" w:leader="none"/>
        <w:tab w:val="right" w:pos="8306" w:leader="none"/>
      </w:tabs>
      <w:pBdr>
        <w:bottom w:val="single" w:color="000000" w:sz="6" w:space="1"/>
      </w:pBdr>
    </w:pPr>
    <w:rPr>
      <w:sz w:val="18"/>
      <w:szCs w:val="18"/>
    </w:rPr>
  </w:style>
  <w:style w:type="character" w:styleId="1644" w:customStyle="1">
    <w:name w:val="页脚 Char"/>
    <w:basedOn w:val="1638"/>
    <w:link w:val="1645"/>
    <w:uiPriority w:val="0"/>
    <w:qFormat/>
    <w:rPr>
      <w:rFonts w:ascii="Calibri" w:hAnsi="Calibri" w:eastAsia="宋体" w:cs="Times New Roman"/>
      <w:sz w:val="18"/>
      <w:szCs w:val="18"/>
    </w:rPr>
  </w:style>
  <w:style w:type="paragraph" w:styleId="1645" w:customStyle="1">
    <w:name w:val="页脚11"/>
    <w:basedOn w:val="1451"/>
    <w:link w:val="1644"/>
    <w:uiPriority w:val="0"/>
    <w:qFormat/>
    <w:pPr>
      <w:jc w:val="left"/>
      <w:tabs>
        <w:tab w:val="center" w:pos="4153" w:leader="none"/>
        <w:tab w:val="right" w:pos="8306" w:leader="none"/>
      </w:tabs>
    </w:pPr>
    <w:rPr>
      <w:sz w:val="18"/>
      <w:szCs w:val="18"/>
    </w:rPr>
  </w:style>
  <w:style w:type="character" w:styleId="1646" w:customStyle="1">
    <w:name w:val="font11"/>
    <w:basedOn w:val="1638"/>
    <w:link w:val="1451"/>
    <w:uiPriority w:val="0"/>
    <w:qFormat/>
    <w:rPr>
      <w:rFonts w:hint="eastAsia" w:ascii="微软雅黑" w:hAnsi="微软雅黑" w:eastAsia="微软雅黑" w:cs="微软雅黑"/>
      <w:color w:val="000000"/>
      <w:sz w:val="24"/>
      <w:szCs w:val="24"/>
      <w:u w:val="none"/>
    </w:rPr>
  </w:style>
  <w:style w:type="character" w:styleId="1647" w:customStyle="1">
    <w:name w:val="font31"/>
    <w:basedOn w:val="1638"/>
    <w:link w:val="1451"/>
    <w:uiPriority w:val="0"/>
    <w:qFormat/>
    <w:rPr>
      <w:rFonts w:hint="eastAsia" w:ascii="宋体" w:hAnsi="宋体" w:eastAsia="宋体" w:cs="宋体"/>
      <w:color w:val="000000"/>
      <w:sz w:val="24"/>
      <w:szCs w:val="24"/>
      <w:u w:val="none"/>
    </w:rPr>
  </w:style>
  <w:style w:type="character" w:styleId="1648" w:customStyle="1">
    <w:name w:val="custom-tag-placeholder-class"/>
    <w:basedOn w:val="1638"/>
    <w:link w:val="1451"/>
    <w:uiPriority w:val="0"/>
    <w:qFormat/>
  </w:style>
  <w:style w:type="character" w:styleId="1649" w:customStyle="1">
    <w:name w:val="font21"/>
    <w:basedOn w:val="1638"/>
    <w:link w:val="1451"/>
    <w:uiPriority w:val="0"/>
    <w:qFormat/>
    <w:rPr>
      <w:rFonts w:hint="eastAsia" w:ascii="宋体" w:hAnsi="宋体" w:eastAsia="宋体" w:cs="宋体"/>
      <w:color w:val="000000"/>
      <w:sz w:val="24"/>
      <w:szCs w:val="24"/>
      <w:u w:val="none"/>
    </w:rPr>
  </w:style>
  <w:style w:type="paragraph" w:styleId="1650" w:customStyle="1">
    <w:name w:val="纯文本1"/>
    <w:basedOn w:val="1451"/>
    <w:uiPriority w:val="0"/>
    <w:unhideWhenUsed/>
    <w:qFormat/>
    <w:rPr>
      <w:rFonts w:ascii="宋体" w:hAnsi="Courier New" w:cs="Courier New"/>
      <w:szCs w:val="21"/>
    </w:rPr>
  </w:style>
  <w:style w:type="paragraph" w:styleId="1651" w:customStyle="1">
    <w:name w:val="批注文字1"/>
    <w:basedOn w:val="1451"/>
    <w:uiPriority w:val="0"/>
    <w:qFormat/>
    <w:pPr>
      <w:jc w:val="left"/>
    </w:pPr>
  </w:style>
  <w:style w:type="paragraph" w:styleId="1652" w:customStyle="1">
    <w:name w:val="引文目录标题1"/>
    <w:basedOn w:val="1451"/>
    <w:next w:val="1451"/>
    <w:uiPriority w:val="99"/>
    <w:unhideWhenUsed/>
    <w:qFormat/>
    <w:pPr>
      <w:spacing w:before="120"/>
    </w:pPr>
    <w:rPr>
      <w:rFonts w:ascii="Cambria" w:hAnsi="Cambria" w:eastAsia="宋体" w:cs="Times New Roman"/>
      <w:sz w:val="24"/>
      <w:szCs w:val="21"/>
    </w:rPr>
  </w:style>
  <w:style w:type="paragraph" w:styleId="1653" w:customStyle="1">
    <w:name w:val="正文首行缩进 2111"/>
    <w:basedOn w:val="1487"/>
    <w:uiPriority w:val="0"/>
    <w:qFormat/>
    <w:pPr>
      <w:ind w:firstLine="420"/>
    </w:pPr>
    <w:rPr>
      <w:sz w:val="20"/>
      <w:szCs w:val="20"/>
    </w:rPr>
  </w:style>
  <w:style w:type="paragraph" w:styleId="1654" w:customStyle="1">
    <w:name w:val="正文文本1"/>
    <w:basedOn w:val="1451"/>
    <w:next w:val="1451"/>
    <w:uiPriority w:val="0"/>
    <w:unhideWhenUsed/>
    <w:qFormat/>
    <w:pPr>
      <w:spacing w:after="120"/>
    </w:pPr>
    <w:rPr>
      <w:rFonts w:ascii="Calibri" w:hAnsi="Calibri"/>
      <w:szCs w:val="22"/>
    </w:rPr>
  </w:style>
  <w:style w:type="paragraph" w:styleId="1655" w:customStyle="1">
    <w:name w:val="正文首行缩进1"/>
    <w:basedOn w:val="1654"/>
    <w:next w:val="1653"/>
    <w:uiPriority w:val="0"/>
    <w:qFormat/>
    <w:pPr>
      <w:ind w:firstLine="200"/>
      <w:spacing w:line="360" w:lineRule="auto"/>
    </w:pPr>
    <w:rPr>
      <w:rFonts w:ascii="仿宋_GB2312" w:eastAsia="仿宋_GB2312"/>
      <w:sz w:val="30"/>
      <w:szCs w:val="30"/>
    </w:rPr>
  </w:style>
  <w:style w:type="paragraph" w:styleId="1656" w:customStyle="1">
    <w:name w:val="普通(网站)1"/>
    <w:basedOn w:val="1451"/>
    <w:uiPriority w:val="0"/>
    <w:qFormat/>
    <w:pPr>
      <w:jc w:val="left"/>
      <w:spacing w:beforeAutospacing="1" w:afterAutospacing="1"/>
    </w:pPr>
    <w:rPr>
      <w:rFonts w:cs="Times New Roman"/>
      <w:sz w:val="24"/>
    </w:rPr>
  </w:style>
  <w:style w:type="paragraph" w:styleId="1657" w:customStyle="1">
    <w:name w:val="正文首行缩进 21"/>
    <w:basedOn w:val="1658"/>
    <w:uiPriority w:val="0"/>
    <w:qFormat/>
    <w:pPr>
      <w:ind w:firstLine="420"/>
    </w:pPr>
  </w:style>
  <w:style w:type="paragraph" w:styleId="1658" w:customStyle="1">
    <w:name w:val="正文文本缩进1"/>
    <w:basedOn w:val="1451"/>
    <w:uiPriority w:val="0"/>
    <w:qFormat/>
    <w:pPr>
      <w:ind w:left="420"/>
      <w:spacing w:after="120"/>
    </w:pPr>
  </w:style>
  <w:style w:type="paragraph" w:styleId="1659" w:customStyle="1">
    <w:name w:val="页脚1"/>
    <w:basedOn w:val="1451"/>
    <w:uiPriority w:val="99"/>
    <w:unhideWhenUsed/>
    <w:qFormat/>
    <w:pPr>
      <w:jc w:val="left"/>
      <w:tabs>
        <w:tab w:val="center" w:pos="4153" w:leader="none"/>
        <w:tab w:val="right" w:pos="8306" w:leader="none"/>
      </w:tabs>
    </w:pPr>
    <w:rPr>
      <w:sz w:val="18"/>
      <w:szCs w:val="18"/>
    </w:rPr>
  </w:style>
  <w:style w:type="paragraph" w:styleId="1660" w:customStyle="1">
    <w:name w:val="样式 标题 3 + (中文) 黑体 小四 非加粗 段前: 7.8 磅 段后: 0 磅 行距: 固定值 20 磅_0"/>
    <w:basedOn w:val="1451"/>
    <w:uiPriority w:val="0"/>
    <w:qFormat/>
    <w:pPr>
      <w:keepLines/>
      <w:keepNext/>
      <w:spacing w:line="400" w:lineRule="exact"/>
      <w:outlineLvl w:val="2"/>
    </w:pPr>
    <w:rPr>
      <w:rFonts w:eastAsia="黑体" w:cs="宋体"/>
      <w:szCs w:val="21"/>
    </w:rPr>
  </w:style>
  <w:style w:type="paragraph" w:styleId="1661" w:customStyle="1">
    <w:name w:val="段"/>
    <w:next w:val="1451"/>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1662" w:customStyle="1">
    <w:name w:val="普通正文"/>
    <w:basedOn w:val="1451"/>
    <w:uiPriority w:val="0"/>
    <w:qFormat/>
    <w:pPr>
      <w:ind w:firstLine="480"/>
      <w:jc w:val="left"/>
      <w:spacing w:before="120" w:after="120" w:line="360" w:lineRule="auto"/>
    </w:pPr>
    <w:rPr>
      <w:rFonts w:ascii="Arial" w:hAnsi="Arial" w:eastAsia="等线" w:cs="Arial"/>
      <w:sz w:val="24"/>
    </w:rPr>
  </w:style>
  <w:style w:type="paragraph" w:styleId="1663" w:customStyle="1">
    <w:name w:val="正文首行缩进 211"/>
    <w:basedOn w:val="1664"/>
    <w:next w:val="1660"/>
    <w:uiPriority w:val="0"/>
    <w:qFormat/>
    <w:pPr>
      <w:ind w:left="420" w:firstLine="420"/>
      <w:spacing w:after="120"/>
    </w:pPr>
    <w:rPr>
      <w:sz w:val="21"/>
      <w:szCs w:val="24"/>
    </w:rPr>
  </w:style>
  <w:style w:type="paragraph" w:styleId="1664" w:customStyle="1">
    <w:name w:val="正文文本缩进11"/>
    <w:basedOn w:val="1451"/>
    <w:next w:val="1665"/>
    <w:uiPriority w:val="99"/>
    <w:qFormat/>
    <w:pPr>
      <w:ind w:left="-105" w:firstLine="232"/>
    </w:pPr>
    <w:rPr>
      <w:rFonts w:eastAsia="仿宋_GB2312"/>
      <w:sz w:val="32"/>
      <w:szCs w:val="32"/>
    </w:rPr>
  </w:style>
  <w:style w:type="paragraph" w:styleId="1665" w:customStyle="1">
    <w:name w:val="寄信人地址11"/>
    <w:basedOn w:val="1451"/>
    <w:uiPriority w:val="0"/>
    <w:qFormat/>
    <w:rPr>
      <w:rFonts w:ascii="Arial" w:hAnsi="Arial" w:cs="Arial"/>
    </w:rPr>
  </w:style>
  <w:style w:type="paragraph" w:styleId="1666" w:customStyle="1">
    <w:name w:val="Default"/>
    <w:basedOn w:val="1451"/>
    <w:uiPriority w:val="0"/>
    <w:semiHidden/>
    <w:qFormat/>
    <w:pPr>
      <w:jc w:val="left"/>
    </w:pPr>
    <w:rPr>
      <w:rFonts w:ascii="宋体" w:hAnsi="Calibri" w:cs="宋体"/>
      <w:color w:val="000000"/>
      <w:sz w:val="24"/>
    </w:rPr>
  </w:style>
  <w:style w:type="paragraph" w:styleId="166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668" w:customStyle="1">
    <w:name w:val="一级条标题"/>
    <w:basedOn w:val="1669"/>
    <w:next w:val="166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669" w:customStyle="1">
    <w:name w:val="章标题"/>
    <w:next w:val="145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670" w:customStyle="1">
    <w:name w:val="Table Text"/>
    <w:basedOn w:val="1451"/>
    <w:uiPriority w:val="0"/>
    <w:semiHidden/>
    <w:qFormat/>
    <w:rPr>
      <w:rFonts w:ascii="宋体" w:hAnsi="宋体" w:eastAsia="宋体" w:cs="宋体"/>
      <w:sz w:val="24"/>
      <w:szCs w:val="24"/>
    </w:rPr>
  </w:style>
  <w:style w:type="table" w:styleId="1671" w:customStyle="1">
    <w:name w:val="网格型1"/>
    <w:basedOn w:val="1639"/>
    <w:uiPriority w:val="0"/>
    <w:qFormat/>
    <w:pPr>
      <w:jc w:val="both"/>
      <w:widowControl w:val="off"/>
    </w:pPr>
    <w:tblPr/>
  </w:style>
  <w:style w:type="character" w:styleId="1672" w:customStyle="1">
    <w:name w:val="font91"/>
    <w:basedOn w:val="1461"/>
    <w:uiPriority w:val="0"/>
    <w:qFormat/>
    <w:rPr>
      <w:rFonts w:hint="eastAsia" w:ascii="宋体" w:hAnsi="宋体" w:eastAsia="宋体" w:cs="宋体"/>
      <w:color w:val="000000"/>
      <w:sz w:val="20"/>
      <w:szCs w:val="20"/>
      <w:u w:val="none"/>
    </w:rPr>
  </w:style>
  <w:style w:type="character" w:styleId="1673" w:customStyle="1">
    <w:name w:val="font41"/>
    <w:basedOn w:val="1461"/>
    <w:uiPriority w:val="0"/>
    <w:qFormat/>
    <w:rPr>
      <w:rFonts w:hint="eastAsia" w:ascii="微软雅黑" w:hAnsi="微软雅黑" w:eastAsia="微软雅黑" w:cs="微软雅黑"/>
      <w:color w:val="000000"/>
      <w:sz w:val="20"/>
      <w:szCs w:val="20"/>
      <w:u w:val="none"/>
    </w:rPr>
  </w:style>
  <w:style w:type="character" w:styleId="1674" w:customStyle="1">
    <w:name w:val="font101"/>
    <w:basedOn w:val="1461"/>
    <w:uiPriority w:val="0"/>
    <w:qFormat/>
    <w:rPr>
      <w:rFonts w:hint="eastAsia" w:ascii="微软雅黑" w:hAnsi="微软雅黑" w:eastAsia="微软雅黑" w:cs="微软雅黑"/>
      <w:color w:val="ff0000"/>
      <w:sz w:val="20"/>
      <w:szCs w:val="20"/>
      <w:u w:val="none"/>
    </w:rPr>
  </w:style>
  <w:style w:type="character" w:styleId="1675" w:customStyle="1">
    <w:name w:val="font81"/>
    <w:basedOn w:val="1461"/>
    <w:uiPriority w:val="0"/>
    <w:qFormat/>
    <w:rPr>
      <w:rFonts w:hint="eastAsia" w:ascii="微软雅黑" w:hAnsi="微软雅黑" w:eastAsia="微软雅黑" w:cs="微软雅黑"/>
      <w:color w:val="ff0000"/>
      <w:sz w:val="20"/>
      <w:szCs w:val="20"/>
      <w:u w:val="none"/>
    </w:rPr>
  </w:style>
  <w:style w:type="character" w:styleId="1676" w:customStyle="1">
    <w:name w:val="font112"/>
    <w:basedOn w:val="1461"/>
    <w:uiPriority w:val="0"/>
    <w:qFormat/>
    <w:rPr>
      <w:rFonts w:ascii="Wingdings 2" w:hAnsi="Wingdings 2" w:eastAsia="Wingdings 2" w:cs="Wingdings 2"/>
      <w:color w:val="000000"/>
      <w:sz w:val="20"/>
      <w:szCs w:val="20"/>
      <w:u w:val="none"/>
    </w:rPr>
  </w:style>
  <w:style w:type="numbering" w:styleId="267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Info spid="_x0000_s4109"/>
    <customShpInfo spid="_x0000_s4110"/>
    <customShpInfo spid="_x0000_s4111"/>
    <customShpInfo spid="_x0000_s4112"/>
    <customShpInfo spid="_x0000_s4113"/>
    <customShpInfo spid="_x0000_s4114"/>
    <customShpInfo spid="_x0000_s4097"/>
    <customShpInfo spid="_x0000_s4098"/>
    <customShpInfo spid="_x0000_s4099"/>
    <customShpInfo spid="_x0000_s4100"/>
    <customShpInfo spid="_x0000_s4101"/>
    <customShpInfo spid="_x0000_s410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dc:creator>
  <cp:lastModifiedBy>杨女士</cp:lastModifiedBy>
  <cp:revision>6</cp:revision>
  <dcterms:created xsi:type="dcterms:W3CDTF">2025-12-18T07:48:00Z</dcterms:created>
  <dcterms:modified xsi:type="dcterms:W3CDTF">2026-04-28T01:01:32Z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0C8729FA483E47E0A8097FC59EB2B2BC_13</vt:lpwstr>
  </property>
  <property fmtid="{D5CDD505-2E9C-101B-9397-08002B2CF9AE}" pid="3" name="KSOProductBuildVer">
    <vt:lpwstr>2052-12.1.0.25865</vt:lpwstr>
  </property>
  <property fmtid="{D5CDD505-2E9C-101B-9397-08002B2CF9AE}" pid="4" name="KSOTemplateDocerSaveRecord">
    <vt:lpwstr>eyJoZGlkIjoiZDM5MTIyMjY0NDYyNDYwYjljZmJmOTA3ZGIwZTBhMDUiLCJ1c2VySWQiOiIxMDc1NDEyMTE5In0=</vt:lpwstr>
  </property>
</Properties>
</file>