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90E3E0">
      <w:pPr>
        <w:pStyle w:val="13"/>
        <w:spacing w:before="120" w:beforeAutospacing="0" w:after="120" w:afterAutospacing="0" w:line="360" w:lineRule="auto"/>
        <w:rPr>
          <w:color w:val="auto"/>
          <w:highlight w:val="none"/>
        </w:rPr>
      </w:pPr>
      <w:r>
        <w:rPr>
          <w:color w:val="auto"/>
          <w:highlight w:val="none"/>
        </w:rPr>
        <w:t> </w:t>
      </w:r>
    </w:p>
    <w:p w14:paraId="2430EF8C">
      <w:pPr>
        <w:pStyle w:val="13"/>
        <w:spacing w:before="120" w:beforeAutospacing="0" w:after="120" w:afterAutospacing="0" w:line="360" w:lineRule="auto"/>
        <w:jc w:val="center"/>
        <w:rPr>
          <w:rFonts w:ascii="Arial" w:hAnsi="Arial" w:cs="Arial"/>
          <w:b/>
          <w:color w:val="auto"/>
          <w:sz w:val="84"/>
          <w:szCs w:val="84"/>
          <w:highlight w:val="none"/>
        </w:rPr>
      </w:pPr>
    </w:p>
    <w:p w14:paraId="0260B6D8">
      <w:pPr>
        <w:pStyle w:val="13"/>
        <w:spacing w:before="120" w:beforeAutospacing="0" w:after="120" w:afterAutospacing="0" w:line="360" w:lineRule="auto"/>
        <w:jc w:val="center"/>
        <w:rPr>
          <w:rFonts w:ascii="Arial" w:hAnsi="Arial" w:cs="Arial"/>
          <w:b/>
          <w:color w:val="auto"/>
          <w:sz w:val="84"/>
          <w:szCs w:val="84"/>
          <w:highlight w:val="none"/>
        </w:rPr>
      </w:pPr>
      <w:r>
        <w:rPr>
          <w:rFonts w:ascii="Arial" w:hAnsi="Arial" w:cs="Arial"/>
          <w:b/>
          <w:color w:val="auto"/>
          <w:sz w:val="84"/>
          <w:szCs w:val="84"/>
          <w:highlight w:val="none"/>
        </w:rPr>
        <w:t>竞争性磋商文件</w:t>
      </w:r>
    </w:p>
    <w:p w14:paraId="7B3C3055">
      <w:pPr>
        <w:pStyle w:val="13"/>
        <w:spacing w:before="120" w:beforeAutospacing="0" w:after="120" w:afterAutospacing="0" w:line="360" w:lineRule="auto"/>
        <w:jc w:val="center"/>
        <w:rPr>
          <w:rFonts w:hint="eastAsia" w:ascii="Arial" w:hAnsi="Arial" w:cs="Arial" w:eastAsiaTheme="minorEastAsia"/>
          <w:b w:val="0"/>
          <w:bCs/>
          <w:color w:val="auto"/>
          <w:sz w:val="24"/>
          <w:szCs w:val="24"/>
          <w:highlight w:val="none"/>
          <w:lang w:val="en-US" w:eastAsia="zh-CN"/>
        </w:rPr>
      </w:pPr>
      <w:r>
        <w:rPr>
          <w:rFonts w:hint="eastAsia" w:ascii="Arial" w:hAnsi="Arial" w:cs="Arial"/>
          <w:b w:val="0"/>
          <w:bCs/>
          <w:color w:val="auto"/>
          <w:sz w:val="24"/>
          <w:szCs w:val="24"/>
          <w:highlight w:val="none"/>
          <w:lang w:val="en-US" w:eastAsia="zh-CN"/>
        </w:rPr>
        <w:t>（服务类）</w:t>
      </w:r>
    </w:p>
    <w:p w14:paraId="74B5D9F5">
      <w:pPr>
        <w:pStyle w:val="13"/>
        <w:spacing w:before="120" w:beforeAutospacing="0" w:after="120" w:afterAutospacing="0" w:line="360" w:lineRule="auto"/>
        <w:ind w:firstLine="643" w:firstLineChars="200"/>
        <w:rPr>
          <w:rFonts w:ascii="Arial" w:hAnsi="Arial" w:cs="Arial"/>
          <w:b/>
          <w:color w:val="auto"/>
          <w:sz w:val="32"/>
          <w:szCs w:val="32"/>
          <w:highlight w:val="none"/>
        </w:rPr>
      </w:pPr>
    </w:p>
    <w:p w14:paraId="6AD965A2">
      <w:pPr>
        <w:pStyle w:val="13"/>
        <w:spacing w:before="120" w:beforeAutospacing="0" w:after="120" w:afterAutospacing="0" w:line="360" w:lineRule="auto"/>
        <w:ind w:firstLine="643" w:firstLineChars="200"/>
        <w:rPr>
          <w:rFonts w:ascii="Arial" w:hAnsi="Arial" w:cs="Arial"/>
          <w:b/>
          <w:color w:val="auto"/>
          <w:sz w:val="32"/>
          <w:szCs w:val="32"/>
          <w:highlight w:val="none"/>
        </w:rPr>
      </w:pPr>
    </w:p>
    <w:p w14:paraId="4E526098">
      <w:pPr>
        <w:pStyle w:val="13"/>
        <w:spacing w:before="120" w:beforeAutospacing="0" w:after="120" w:afterAutospacing="0" w:line="360" w:lineRule="auto"/>
        <w:ind w:firstLine="643" w:firstLineChars="200"/>
        <w:rPr>
          <w:rFonts w:ascii="Arial" w:hAnsi="Arial" w:cs="Arial"/>
          <w:b/>
          <w:color w:val="auto"/>
          <w:sz w:val="32"/>
          <w:szCs w:val="32"/>
          <w:highlight w:val="none"/>
        </w:rPr>
      </w:pPr>
      <w:r>
        <w:rPr>
          <w:rFonts w:ascii="Arial" w:hAnsi="Arial" w:cs="Arial"/>
          <w:b/>
          <w:color w:val="auto"/>
          <w:sz w:val="32"/>
          <w:szCs w:val="32"/>
          <w:highlight w:val="none"/>
        </w:rPr>
        <w:t>项目名称：</w:t>
      </w:r>
      <w:r>
        <w:rPr>
          <w:rFonts w:hint="eastAsia" w:ascii="Arial" w:hAnsi="Arial" w:cs="Arial"/>
          <w:b/>
          <w:color w:val="auto"/>
          <w:sz w:val="32"/>
          <w:szCs w:val="32"/>
          <w:highlight w:val="none"/>
        </w:rPr>
        <w:t>射阳县自然资源和规划局2026年度耕地占补平衡、城乡建设用地增减挂钩项目入库和竣工测绘服务采购项目</w:t>
      </w:r>
    </w:p>
    <w:p w14:paraId="5BAD00F2">
      <w:pPr>
        <w:pStyle w:val="13"/>
        <w:spacing w:before="120" w:beforeAutospacing="0" w:after="120" w:afterAutospacing="0" w:line="360" w:lineRule="auto"/>
        <w:ind w:firstLine="643" w:firstLineChars="200"/>
        <w:rPr>
          <w:color w:val="auto"/>
          <w:highlight w:val="none"/>
        </w:rPr>
      </w:pPr>
      <w:r>
        <w:rPr>
          <w:rFonts w:ascii="Arial" w:hAnsi="Arial" w:cs="Arial"/>
          <w:b/>
          <w:color w:val="auto"/>
          <w:sz w:val="32"/>
          <w:szCs w:val="32"/>
          <w:highlight w:val="none"/>
        </w:rPr>
        <w:t>项目编号：</w:t>
      </w:r>
      <w:r>
        <w:rPr>
          <w:rFonts w:hint="eastAsia" w:ascii="Arial" w:hAnsi="Arial" w:cs="Arial"/>
          <w:b/>
          <w:color w:val="auto"/>
          <w:sz w:val="32"/>
          <w:szCs w:val="32"/>
          <w:highlight w:val="none"/>
        </w:rPr>
        <w:t>JSZC-320924-SYHY-C2026-0006</w:t>
      </w:r>
      <w:r>
        <w:rPr>
          <w:rFonts w:ascii="Times New Roman" w:hAnsi="Times New Roman"/>
          <w:b/>
          <w:color w:val="auto"/>
          <w:sz w:val="30"/>
          <w:szCs w:val="30"/>
          <w:highlight w:val="none"/>
        </w:rPr>
        <w:t xml:space="preserve">  </w:t>
      </w:r>
    </w:p>
    <w:p w14:paraId="0FF7014A">
      <w:pPr>
        <w:pStyle w:val="13"/>
        <w:spacing w:beforeAutospacing="0" w:afterAutospacing="0" w:line="360" w:lineRule="auto"/>
        <w:rPr>
          <w:color w:val="auto"/>
          <w:highlight w:val="none"/>
        </w:rPr>
      </w:pPr>
      <w:r>
        <w:rPr>
          <w:color w:val="auto"/>
          <w:highlight w:val="none"/>
        </w:rPr>
        <w:t> </w:t>
      </w:r>
    </w:p>
    <w:p w14:paraId="556DF0DC">
      <w:pPr>
        <w:pStyle w:val="13"/>
        <w:spacing w:beforeAutospacing="0" w:afterAutospacing="0" w:line="360" w:lineRule="auto"/>
        <w:rPr>
          <w:color w:val="auto"/>
          <w:highlight w:val="none"/>
        </w:rPr>
      </w:pPr>
      <w:r>
        <w:rPr>
          <w:color w:val="auto"/>
          <w:highlight w:val="none"/>
        </w:rPr>
        <w:t> </w:t>
      </w:r>
    </w:p>
    <w:p w14:paraId="05502139">
      <w:pPr>
        <w:pStyle w:val="13"/>
        <w:spacing w:beforeAutospacing="0" w:afterAutospacing="0" w:line="360" w:lineRule="auto"/>
        <w:rPr>
          <w:color w:val="auto"/>
          <w:highlight w:val="none"/>
        </w:rPr>
      </w:pPr>
      <w:r>
        <w:rPr>
          <w:color w:val="auto"/>
          <w:highlight w:val="none"/>
        </w:rPr>
        <w:t> </w:t>
      </w:r>
    </w:p>
    <w:p w14:paraId="50085B47">
      <w:pPr>
        <w:pStyle w:val="13"/>
        <w:spacing w:beforeAutospacing="0" w:afterAutospacing="0" w:line="360" w:lineRule="auto"/>
        <w:rPr>
          <w:color w:val="auto"/>
          <w:highlight w:val="none"/>
        </w:rPr>
      </w:pPr>
      <w:r>
        <w:rPr>
          <w:color w:val="auto"/>
          <w:highlight w:val="none"/>
        </w:rPr>
        <w:t> </w:t>
      </w:r>
    </w:p>
    <w:p w14:paraId="07C0ECD4">
      <w:pPr>
        <w:pStyle w:val="13"/>
        <w:spacing w:beforeAutospacing="0" w:afterAutospacing="0" w:line="360" w:lineRule="auto"/>
        <w:rPr>
          <w:color w:val="auto"/>
          <w:highlight w:val="none"/>
        </w:rPr>
      </w:pPr>
      <w:r>
        <w:rPr>
          <w:color w:val="auto"/>
          <w:highlight w:val="none"/>
        </w:rPr>
        <w:t> </w:t>
      </w:r>
    </w:p>
    <w:p w14:paraId="34251635">
      <w:pPr>
        <w:pStyle w:val="13"/>
        <w:spacing w:beforeAutospacing="0" w:afterAutospacing="0" w:line="360" w:lineRule="auto"/>
        <w:rPr>
          <w:color w:val="auto"/>
          <w:highlight w:val="none"/>
        </w:rPr>
      </w:pPr>
      <w:r>
        <w:rPr>
          <w:color w:val="auto"/>
          <w:highlight w:val="none"/>
        </w:rPr>
        <w:t> </w:t>
      </w:r>
    </w:p>
    <w:p w14:paraId="496A847E">
      <w:pPr>
        <w:pStyle w:val="13"/>
        <w:spacing w:beforeAutospacing="0" w:afterAutospacing="0" w:line="360" w:lineRule="auto"/>
        <w:rPr>
          <w:color w:val="auto"/>
          <w:highlight w:val="none"/>
        </w:rPr>
      </w:pPr>
      <w:r>
        <w:rPr>
          <w:color w:val="auto"/>
          <w:highlight w:val="none"/>
        </w:rPr>
        <w:t> </w:t>
      </w:r>
    </w:p>
    <w:p w14:paraId="36D4F6FC">
      <w:pPr>
        <w:pStyle w:val="13"/>
        <w:spacing w:before="120" w:beforeAutospacing="0" w:after="120" w:afterAutospacing="0" w:line="360" w:lineRule="auto"/>
        <w:jc w:val="center"/>
        <w:rPr>
          <w:rFonts w:hint="eastAsia" w:ascii="Arial" w:hAnsi="Arial" w:cs="Arial"/>
          <w:b/>
          <w:color w:val="auto"/>
          <w:sz w:val="32"/>
          <w:szCs w:val="32"/>
          <w:highlight w:val="none"/>
          <w:lang w:eastAsia="zh-CN"/>
        </w:rPr>
      </w:pPr>
      <w:r>
        <w:rPr>
          <w:rFonts w:hint="eastAsia" w:ascii="Arial" w:hAnsi="Arial" w:cs="Arial"/>
          <w:b/>
          <w:color w:val="auto"/>
          <w:sz w:val="32"/>
          <w:szCs w:val="32"/>
          <w:highlight w:val="none"/>
        </w:rPr>
        <w:t>采购单位</w:t>
      </w:r>
      <w:r>
        <w:rPr>
          <w:rFonts w:hint="eastAsia" w:ascii="Arial" w:hAnsi="Arial" w:cs="Arial"/>
          <w:b/>
          <w:color w:val="auto"/>
          <w:sz w:val="32"/>
          <w:szCs w:val="32"/>
          <w:highlight w:val="none"/>
          <w:lang w:eastAsia="zh-CN"/>
        </w:rPr>
        <w:t>：射阳县自然资源和规划局</w:t>
      </w:r>
    </w:p>
    <w:p w14:paraId="7B277374">
      <w:pPr>
        <w:pStyle w:val="13"/>
        <w:spacing w:before="120" w:beforeAutospacing="0" w:after="120" w:afterAutospacing="0" w:line="360" w:lineRule="auto"/>
        <w:jc w:val="center"/>
        <w:rPr>
          <w:rFonts w:hint="eastAsia" w:ascii="Arial" w:hAnsi="Arial" w:cs="Arial" w:eastAsiaTheme="minorEastAsia"/>
          <w:b/>
          <w:color w:val="auto"/>
          <w:sz w:val="32"/>
          <w:szCs w:val="32"/>
          <w:highlight w:val="none"/>
          <w:lang w:eastAsia="zh-CN"/>
        </w:rPr>
      </w:pPr>
      <w:r>
        <w:rPr>
          <w:rFonts w:hint="eastAsia" w:ascii="Arial" w:hAnsi="Arial" w:cs="Arial"/>
          <w:b/>
          <w:color w:val="auto"/>
          <w:sz w:val="32"/>
          <w:szCs w:val="32"/>
          <w:highlight w:val="none"/>
          <w:lang w:eastAsia="zh-CN"/>
        </w:rPr>
        <w:t>代理机构：射阳宏远财会服务有限公司</w:t>
      </w:r>
    </w:p>
    <w:p w14:paraId="36E8D47F">
      <w:pPr>
        <w:pStyle w:val="13"/>
        <w:spacing w:before="120" w:beforeAutospacing="0" w:after="120" w:afterAutospacing="0" w:line="360" w:lineRule="auto"/>
        <w:jc w:val="center"/>
        <w:rPr>
          <w:color w:val="auto"/>
          <w:highlight w:val="none"/>
        </w:rPr>
      </w:pPr>
      <w:r>
        <w:rPr>
          <w:rFonts w:hint="eastAsia" w:ascii="Arial" w:hAnsi="Arial" w:cs="Arial"/>
          <w:b/>
          <w:color w:val="auto"/>
          <w:sz w:val="32"/>
          <w:szCs w:val="32"/>
          <w:highlight w:val="none"/>
          <w:lang w:val="en-US" w:eastAsia="zh-CN"/>
        </w:rPr>
        <w:t>2026</w:t>
      </w:r>
      <w:r>
        <w:rPr>
          <w:rFonts w:ascii="Arial" w:hAnsi="Arial" w:cs="Arial"/>
          <w:b/>
          <w:color w:val="auto"/>
          <w:sz w:val="32"/>
          <w:szCs w:val="32"/>
          <w:highlight w:val="none"/>
        </w:rPr>
        <w:t>年</w:t>
      </w:r>
      <w:r>
        <w:rPr>
          <w:rFonts w:hint="eastAsia" w:ascii="Arial" w:hAnsi="Arial" w:cs="Arial"/>
          <w:b/>
          <w:color w:val="auto"/>
          <w:sz w:val="32"/>
          <w:szCs w:val="32"/>
          <w:highlight w:val="none"/>
          <w:lang w:val="en-US" w:eastAsia="zh-CN"/>
        </w:rPr>
        <w:t>6</w:t>
      </w:r>
      <w:r>
        <w:rPr>
          <w:rFonts w:ascii="Arial" w:hAnsi="Arial" w:cs="Arial"/>
          <w:b/>
          <w:color w:val="auto"/>
          <w:sz w:val="32"/>
          <w:szCs w:val="32"/>
          <w:highlight w:val="none"/>
        </w:rPr>
        <w:t>月</w:t>
      </w:r>
    </w:p>
    <w:p w14:paraId="0ECC7718">
      <w:pPr>
        <w:pStyle w:val="13"/>
        <w:spacing w:before="120" w:beforeAutospacing="0" w:after="120" w:afterAutospacing="0" w:line="360" w:lineRule="auto"/>
        <w:rPr>
          <w:color w:val="auto"/>
          <w:highlight w:val="none"/>
        </w:rPr>
      </w:pPr>
      <w:r>
        <w:rPr>
          <w:rFonts w:ascii="Arial" w:hAnsi="Arial" w:cs="Arial"/>
          <w:color w:val="auto"/>
          <w:highlight w:val="none"/>
        </w:rPr>
        <w:t xml:space="preserve">                        </w:t>
      </w:r>
    </w:p>
    <w:p w14:paraId="78C81666">
      <w:pPr>
        <w:pStyle w:val="13"/>
        <w:spacing w:before="120" w:beforeAutospacing="0" w:after="120" w:afterAutospacing="0" w:line="360" w:lineRule="auto"/>
        <w:jc w:val="center"/>
        <w:rPr>
          <w:color w:val="auto"/>
          <w:highlight w:val="none"/>
        </w:rPr>
      </w:pPr>
      <w:r>
        <w:rPr>
          <w:color w:val="auto"/>
          <w:highlight w:val="none"/>
        </w:rPr>
        <w:t> </w:t>
      </w:r>
    </w:p>
    <w:p w14:paraId="11305133">
      <w:pPr>
        <w:pStyle w:val="13"/>
        <w:spacing w:beforeAutospacing="0" w:afterAutospacing="0" w:line="480" w:lineRule="auto"/>
        <w:jc w:val="center"/>
        <w:rPr>
          <w:color w:val="auto"/>
          <w:highlight w:val="none"/>
        </w:rPr>
      </w:pPr>
      <w:r>
        <w:rPr>
          <w:rFonts w:ascii="Times New Roman" w:hAnsi="Times New Roman"/>
          <w:color w:val="auto"/>
          <w:sz w:val="21"/>
          <w:szCs w:val="21"/>
          <w:highlight w:val="none"/>
        </w:rPr>
        <w:br w:type="page"/>
      </w:r>
      <w:r>
        <w:rPr>
          <w:rFonts w:ascii="Times New Roman" w:hAnsi="Times New Roman"/>
          <w:color w:val="auto"/>
          <w:sz w:val="21"/>
          <w:szCs w:val="21"/>
          <w:highlight w:val="none"/>
        </w:rPr>
        <w:t> </w:t>
      </w:r>
      <w:bookmarkStart w:id="0" w:name="_Toc120614210"/>
      <w:bookmarkStart w:id="1" w:name="_Toc479757206"/>
      <w:bookmarkStart w:id="2" w:name="_Toc20823272"/>
      <w:bookmarkStart w:id="3" w:name="_Toc523127445"/>
      <w:bookmarkStart w:id="4" w:name="_Toc513029200"/>
      <w:bookmarkStart w:id="5" w:name="_Toc16938516"/>
      <w:r>
        <w:rPr>
          <w:rFonts w:ascii="黑体" w:hAnsi="宋体" w:eastAsia="黑体" w:cs="黑体"/>
          <w:b/>
          <w:color w:val="auto"/>
          <w:sz w:val="44"/>
          <w:szCs w:val="44"/>
          <w:highlight w:val="none"/>
        </w:rPr>
        <w:t>总  目  录</w:t>
      </w:r>
      <w:bookmarkEnd w:id="0"/>
      <w:bookmarkEnd w:id="1"/>
      <w:bookmarkEnd w:id="2"/>
      <w:bookmarkEnd w:id="3"/>
      <w:bookmarkEnd w:id="4"/>
      <w:bookmarkEnd w:id="5"/>
    </w:p>
    <w:p w14:paraId="75822FF8">
      <w:pPr>
        <w:pStyle w:val="13"/>
        <w:spacing w:beforeAutospacing="0" w:afterAutospacing="0" w:line="480" w:lineRule="auto"/>
        <w:jc w:val="both"/>
        <w:rPr>
          <w:color w:val="auto"/>
          <w:highlight w:val="none"/>
        </w:rPr>
      </w:pPr>
      <w:r>
        <w:rPr>
          <w:color w:val="auto"/>
          <w:highlight w:val="none"/>
        </w:rPr>
        <w:t> </w:t>
      </w:r>
    </w:p>
    <w:p w14:paraId="3CDDB7A7">
      <w:pPr>
        <w:pStyle w:val="13"/>
        <w:tabs>
          <w:tab w:val="left" w:pos="1441"/>
        </w:tabs>
        <w:spacing w:beforeAutospacing="0" w:afterAutospacing="0" w:line="480" w:lineRule="auto"/>
        <w:ind w:left="2160" w:hanging="1440"/>
        <w:jc w:val="both"/>
        <w:rPr>
          <w:rFonts w:hint="eastAsia" w:eastAsia="黑体"/>
          <w:color w:val="auto"/>
          <w:highlight w:val="none"/>
          <w:lang w:val="en-US" w:eastAsia="zh-CN"/>
        </w:rPr>
      </w:pPr>
      <w:r>
        <w:rPr>
          <w:rFonts w:hint="eastAsia" w:ascii="黑体" w:hAnsi="宋体" w:eastAsia="黑体" w:cs="黑体"/>
          <w:color w:val="auto"/>
          <w:sz w:val="36"/>
          <w:szCs w:val="36"/>
          <w:highlight w:val="none"/>
          <w:lang w:val="en-US" w:eastAsia="zh-CN"/>
        </w:rPr>
        <w:t>竞争性磋商公告</w:t>
      </w:r>
      <w:r>
        <w:rPr>
          <w:rFonts w:hint="eastAsia" w:ascii="黑体" w:hAnsi="宋体" w:eastAsia="黑体" w:cs="黑体"/>
          <w:color w:val="auto"/>
          <w:sz w:val="36"/>
          <w:szCs w:val="36"/>
          <w:highlight w:val="none"/>
        </w:rPr>
        <w:t>…………………………</w:t>
      </w:r>
      <w:r>
        <w:rPr>
          <w:rFonts w:hint="eastAsia" w:ascii="黑体" w:hAnsi="宋体" w:eastAsia="黑体" w:cs="黑体"/>
          <w:color w:val="auto"/>
          <w:sz w:val="36"/>
          <w:szCs w:val="36"/>
          <w:highlight w:val="none"/>
          <w:lang w:val="en-US" w:eastAsia="zh-CN"/>
        </w:rPr>
        <w:t>1</w:t>
      </w:r>
    </w:p>
    <w:p w14:paraId="602C0AC8">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供应商须知………………………………</w:t>
      </w:r>
      <w:r>
        <w:rPr>
          <w:rFonts w:hint="eastAsia" w:ascii="黑体" w:hAnsi="宋体" w:eastAsia="黑体" w:cs="黑体"/>
          <w:color w:val="auto"/>
          <w:sz w:val="36"/>
          <w:szCs w:val="36"/>
          <w:highlight w:val="none"/>
          <w:lang w:val="en-US" w:eastAsia="zh-CN"/>
        </w:rPr>
        <w:t>4</w:t>
      </w:r>
      <w:r>
        <w:rPr>
          <w:rFonts w:hint="eastAsia" w:ascii="黑体" w:hAnsi="宋体" w:eastAsia="黑体" w:cs="黑体"/>
          <w:color w:val="auto"/>
          <w:sz w:val="36"/>
          <w:szCs w:val="36"/>
          <w:highlight w:val="none"/>
        </w:rPr>
        <w:t xml:space="preserve">  </w:t>
      </w:r>
    </w:p>
    <w:p w14:paraId="498F52BB">
      <w:pPr>
        <w:pStyle w:val="13"/>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合同文本…………………………………</w:t>
      </w:r>
      <w:r>
        <w:rPr>
          <w:rFonts w:hint="eastAsia" w:ascii="黑体" w:hAnsi="宋体" w:eastAsia="黑体" w:cs="黑体"/>
          <w:color w:val="auto"/>
          <w:sz w:val="36"/>
          <w:szCs w:val="36"/>
          <w:highlight w:val="none"/>
          <w:lang w:val="en-US" w:eastAsia="zh-CN"/>
        </w:rPr>
        <w:t>16</w:t>
      </w:r>
    </w:p>
    <w:p w14:paraId="7FB3F79A">
      <w:pPr>
        <w:pStyle w:val="13"/>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采购需求…………………………………</w:t>
      </w:r>
      <w:r>
        <w:rPr>
          <w:rFonts w:hint="eastAsia" w:ascii="黑体" w:hAnsi="宋体" w:eastAsia="黑体" w:cs="黑体"/>
          <w:color w:val="auto"/>
          <w:sz w:val="36"/>
          <w:szCs w:val="36"/>
          <w:highlight w:val="none"/>
          <w:lang w:val="en-US" w:eastAsia="zh-CN"/>
        </w:rPr>
        <w:t>20</w:t>
      </w:r>
    </w:p>
    <w:p w14:paraId="4B11686D">
      <w:pPr>
        <w:pStyle w:val="13"/>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评审方法与评审标准……………………</w:t>
      </w:r>
      <w:r>
        <w:rPr>
          <w:rFonts w:hint="eastAsia" w:ascii="黑体" w:hAnsi="宋体" w:eastAsia="黑体" w:cs="黑体"/>
          <w:color w:val="auto"/>
          <w:sz w:val="36"/>
          <w:szCs w:val="36"/>
          <w:highlight w:val="none"/>
          <w:lang w:val="en-US" w:eastAsia="zh-CN"/>
        </w:rPr>
        <w:t>23</w:t>
      </w:r>
    </w:p>
    <w:p w14:paraId="5BC483A2">
      <w:pPr>
        <w:pStyle w:val="13"/>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响应文件格式……………………………</w:t>
      </w:r>
      <w:r>
        <w:rPr>
          <w:rFonts w:hint="eastAsia" w:ascii="黑体" w:hAnsi="宋体" w:eastAsia="黑体" w:cs="黑体"/>
          <w:color w:val="auto"/>
          <w:sz w:val="36"/>
          <w:szCs w:val="36"/>
          <w:highlight w:val="none"/>
          <w:lang w:val="en-US" w:eastAsia="zh-CN"/>
        </w:rPr>
        <w:t>27</w:t>
      </w:r>
    </w:p>
    <w:p w14:paraId="0127F939">
      <w:pPr>
        <w:pStyle w:val="13"/>
        <w:spacing w:beforeAutospacing="0" w:afterAutospacing="0"/>
        <w:jc w:val="both"/>
        <w:rPr>
          <w:color w:val="auto"/>
          <w:highlight w:val="none"/>
        </w:rPr>
      </w:pPr>
      <w:r>
        <w:rPr>
          <w:color w:val="auto"/>
          <w:highlight w:val="none"/>
        </w:rPr>
        <w:t> </w:t>
      </w:r>
    </w:p>
    <w:p w14:paraId="2A1A6F4E">
      <w:pPr>
        <w:pStyle w:val="13"/>
        <w:spacing w:beforeAutospacing="0" w:afterAutospacing="0"/>
        <w:jc w:val="both"/>
        <w:rPr>
          <w:color w:val="auto"/>
          <w:highlight w:val="none"/>
        </w:rPr>
      </w:pPr>
      <w:r>
        <w:rPr>
          <w:color w:val="auto"/>
          <w:highlight w:val="none"/>
        </w:rPr>
        <w:t> </w:t>
      </w:r>
    </w:p>
    <w:p w14:paraId="23AF03AC">
      <w:pPr>
        <w:pStyle w:val="13"/>
        <w:spacing w:beforeAutospacing="0" w:afterAutospacing="0"/>
        <w:jc w:val="both"/>
        <w:rPr>
          <w:color w:val="auto"/>
          <w:highlight w:val="none"/>
        </w:rPr>
      </w:pPr>
      <w:r>
        <w:rPr>
          <w:color w:val="auto"/>
          <w:highlight w:val="none"/>
        </w:rPr>
        <w:t> </w:t>
      </w:r>
    </w:p>
    <w:p w14:paraId="120BF48B">
      <w:pPr>
        <w:pStyle w:val="13"/>
        <w:spacing w:beforeAutospacing="0" w:afterAutospacing="0"/>
        <w:jc w:val="both"/>
        <w:rPr>
          <w:color w:val="auto"/>
          <w:highlight w:val="none"/>
        </w:rPr>
      </w:pPr>
      <w:r>
        <w:rPr>
          <w:color w:val="auto"/>
          <w:highlight w:val="none"/>
        </w:rPr>
        <w:t> </w:t>
      </w:r>
    </w:p>
    <w:p w14:paraId="2C822BE6">
      <w:pPr>
        <w:pStyle w:val="13"/>
        <w:spacing w:beforeAutospacing="0" w:afterAutospacing="0"/>
        <w:jc w:val="both"/>
        <w:rPr>
          <w:color w:val="auto"/>
          <w:highlight w:val="none"/>
        </w:rPr>
      </w:pPr>
      <w:r>
        <w:rPr>
          <w:color w:val="auto"/>
          <w:highlight w:val="none"/>
        </w:rPr>
        <w:t> </w:t>
      </w:r>
    </w:p>
    <w:p w14:paraId="4451FE81">
      <w:pPr>
        <w:pStyle w:val="13"/>
        <w:spacing w:beforeAutospacing="0" w:afterAutospacing="0"/>
        <w:jc w:val="both"/>
        <w:rPr>
          <w:color w:val="auto"/>
          <w:highlight w:val="none"/>
        </w:rPr>
      </w:pPr>
      <w:r>
        <w:rPr>
          <w:color w:val="auto"/>
          <w:highlight w:val="none"/>
        </w:rPr>
        <w:t> </w:t>
      </w:r>
    </w:p>
    <w:p w14:paraId="2A439CC2">
      <w:pPr>
        <w:pStyle w:val="13"/>
        <w:spacing w:beforeAutospacing="0" w:afterAutospacing="0"/>
        <w:jc w:val="both"/>
        <w:rPr>
          <w:color w:val="auto"/>
          <w:highlight w:val="none"/>
        </w:rPr>
      </w:pPr>
      <w:r>
        <w:rPr>
          <w:color w:val="auto"/>
          <w:highlight w:val="none"/>
        </w:rPr>
        <w:t> </w:t>
      </w:r>
    </w:p>
    <w:p w14:paraId="48D1D9F8">
      <w:pPr>
        <w:pStyle w:val="13"/>
        <w:spacing w:beforeAutospacing="0" w:afterAutospacing="0"/>
        <w:jc w:val="both"/>
        <w:rPr>
          <w:color w:val="auto"/>
          <w:highlight w:val="none"/>
        </w:rPr>
      </w:pPr>
      <w:r>
        <w:rPr>
          <w:color w:val="auto"/>
          <w:highlight w:val="none"/>
        </w:rPr>
        <w:t> </w:t>
      </w:r>
    </w:p>
    <w:p w14:paraId="47314E59">
      <w:pPr>
        <w:pStyle w:val="13"/>
        <w:spacing w:beforeAutospacing="0" w:afterAutospacing="0"/>
        <w:jc w:val="both"/>
        <w:rPr>
          <w:color w:val="auto"/>
          <w:highlight w:val="none"/>
        </w:rPr>
      </w:pPr>
      <w:r>
        <w:rPr>
          <w:color w:val="auto"/>
          <w:highlight w:val="none"/>
        </w:rPr>
        <w:t> </w:t>
      </w:r>
    </w:p>
    <w:p w14:paraId="7BDB1610">
      <w:pPr>
        <w:pStyle w:val="13"/>
        <w:spacing w:beforeAutospacing="0" w:afterAutospacing="0"/>
        <w:jc w:val="both"/>
        <w:rPr>
          <w:color w:val="auto"/>
          <w:highlight w:val="none"/>
        </w:rPr>
      </w:pPr>
      <w:r>
        <w:rPr>
          <w:color w:val="auto"/>
          <w:highlight w:val="none"/>
        </w:rPr>
        <w:t> </w:t>
      </w:r>
    </w:p>
    <w:p w14:paraId="4B12CA4C">
      <w:pPr>
        <w:pStyle w:val="13"/>
        <w:spacing w:beforeAutospacing="0" w:afterAutospacing="0"/>
        <w:jc w:val="both"/>
        <w:rPr>
          <w:color w:val="auto"/>
          <w:highlight w:val="none"/>
        </w:rPr>
      </w:pPr>
      <w:r>
        <w:rPr>
          <w:color w:val="auto"/>
          <w:highlight w:val="none"/>
        </w:rPr>
        <w:t> </w:t>
      </w:r>
    </w:p>
    <w:p w14:paraId="255E0519">
      <w:pPr>
        <w:pStyle w:val="13"/>
        <w:spacing w:beforeAutospacing="0" w:afterAutospacing="0"/>
        <w:jc w:val="both"/>
        <w:rPr>
          <w:color w:val="auto"/>
          <w:highlight w:val="none"/>
        </w:rPr>
      </w:pPr>
      <w:r>
        <w:rPr>
          <w:color w:val="auto"/>
          <w:highlight w:val="none"/>
        </w:rPr>
        <w:t> </w:t>
      </w:r>
    </w:p>
    <w:p w14:paraId="528070EA">
      <w:pPr>
        <w:pStyle w:val="13"/>
        <w:spacing w:beforeAutospacing="0" w:afterAutospacing="0"/>
        <w:jc w:val="both"/>
        <w:rPr>
          <w:color w:val="auto"/>
          <w:highlight w:val="none"/>
        </w:rPr>
      </w:pPr>
      <w:r>
        <w:rPr>
          <w:color w:val="auto"/>
          <w:highlight w:val="none"/>
        </w:rPr>
        <w:t> </w:t>
      </w:r>
    </w:p>
    <w:p w14:paraId="3788826F">
      <w:pPr>
        <w:pStyle w:val="13"/>
        <w:spacing w:beforeAutospacing="0" w:afterAutospacing="0"/>
        <w:jc w:val="both"/>
        <w:rPr>
          <w:color w:val="auto"/>
          <w:highlight w:val="none"/>
        </w:rPr>
      </w:pPr>
      <w:r>
        <w:rPr>
          <w:color w:val="auto"/>
          <w:highlight w:val="none"/>
        </w:rPr>
        <w:t> </w:t>
      </w:r>
    </w:p>
    <w:p w14:paraId="0491F98F">
      <w:pPr>
        <w:pStyle w:val="13"/>
        <w:spacing w:beforeAutospacing="0" w:afterAutospacing="0"/>
        <w:jc w:val="both"/>
        <w:rPr>
          <w:color w:val="auto"/>
          <w:highlight w:val="none"/>
        </w:rPr>
      </w:pPr>
      <w:r>
        <w:rPr>
          <w:color w:val="auto"/>
          <w:highlight w:val="none"/>
        </w:rPr>
        <w:t> </w:t>
      </w:r>
    </w:p>
    <w:p w14:paraId="484847E3">
      <w:pPr>
        <w:pStyle w:val="13"/>
        <w:spacing w:beforeAutospacing="0" w:afterAutospacing="0"/>
        <w:jc w:val="both"/>
        <w:rPr>
          <w:color w:val="auto"/>
          <w:highlight w:val="none"/>
        </w:rPr>
      </w:pPr>
      <w:r>
        <w:rPr>
          <w:color w:val="auto"/>
          <w:highlight w:val="none"/>
        </w:rPr>
        <w:t> </w:t>
      </w:r>
    </w:p>
    <w:p w14:paraId="38C2EB33">
      <w:pPr>
        <w:pStyle w:val="13"/>
        <w:spacing w:beforeAutospacing="0" w:afterAutospacing="0"/>
        <w:jc w:val="both"/>
        <w:rPr>
          <w:color w:val="auto"/>
          <w:highlight w:val="none"/>
        </w:rPr>
      </w:pPr>
      <w:r>
        <w:rPr>
          <w:color w:val="auto"/>
          <w:highlight w:val="none"/>
        </w:rPr>
        <w:t> </w:t>
      </w:r>
    </w:p>
    <w:p w14:paraId="469DA47E">
      <w:pPr>
        <w:pStyle w:val="13"/>
        <w:spacing w:beforeAutospacing="0" w:afterAutospacing="0"/>
        <w:jc w:val="both"/>
        <w:rPr>
          <w:color w:val="auto"/>
          <w:highlight w:val="none"/>
        </w:rPr>
      </w:pPr>
      <w:r>
        <w:rPr>
          <w:color w:val="auto"/>
          <w:highlight w:val="none"/>
        </w:rPr>
        <w:t> </w:t>
      </w:r>
    </w:p>
    <w:p w14:paraId="187BFE5C">
      <w:pPr>
        <w:pStyle w:val="13"/>
        <w:spacing w:beforeAutospacing="0" w:afterAutospacing="0"/>
        <w:jc w:val="both"/>
        <w:rPr>
          <w:color w:val="auto"/>
          <w:highlight w:val="none"/>
        </w:rPr>
      </w:pPr>
      <w:r>
        <w:rPr>
          <w:color w:val="auto"/>
          <w:highlight w:val="none"/>
        </w:rPr>
        <w:t> </w:t>
      </w:r>
    </w:p>
    <w:p w14:paraId="433CBF8A">
      <w:pPr>
        <w:pStyle w:val="13"/>
        <w:spacing w:beforeAutospacing="0" w:afterAutospacing="0"/>
        <w:jc w:val="both"/>
        <w:rPr>
          <w:color w:val="auto"/>
          <w:highlight w:val="none"/>
        </w:rPr>
      </w:pPr>
      <w:r>
        <w:rPr>
          <w:color w:val="auto"/>
          <w:highlight w:val="none"/>
        </w:rPr>
        <w:t> </w:t>
      </w:r>
    </w:p>
    <w:p w14:paraId="0330D82C">
      <w:pPr>
        <w:pStyle w:val="13"/>
        <w:spacing w:beforeAutospacing="0" w:afterAutospacing="0"/>
        <w:jc w:val="both"/>
        <w:rPr>
          <w:color w:val="auto"/>
          <w:highlight w:val="none"/>
        </w:rPr>
      </w:pPr>
      <w:r>
        <w:rPr>
          <w:color w:val="auto"/>
          <w:highlight w:val="none"/>
        </w:rPr>
        <w:t> </w:t>
      </w:r>
    </w:p>
    <w:p w14:paraId="03764B51">
      <w:pPr>
        <w:pStyle w:val="13"/>
        <w:spacing w:beforeAutospacing="0" w:afterAutospacing="0"/>
        <w:jc w:val="both"/>
        <w:rPr>
          <w:color w:val="auto"/>
          <w:highlight w:val="none"/>
        </w:rPr>
      </w:pPr>
      <w:r>
        <w:rPr>
          <w:color w:val="auto"/>
          <w:highlight w:val="none"/>
        </w:rPr>
        <w:t> </w:t>
      </w:r>
    </w:p>
    <w:p w14:paraId="24137C0A">
      <w:pPr>
        <w:pStyle w:val="13"/>
        <w:spacing w:beforeAutospacing="0" w:afterAutospacing="0"/>
        <w:jc w:val="both"/>
        <w:rPr>
          <w:color w:val="auto"/>
          <w:highlight w:val="none"/>
        </w:rPr>
      </w:pPr>
      <w:r>
        <w:rPr>
          <w:color w:val="auto"/>
          <w:highlight w:val="none"/>
        </w:rPr>
        <w:t> </w:t>
      </w:r>
    </w:p>
    <w:p w14:paraId="3FABF538">
      <w:pPr>
        <w:pStyle w:val="13"/>
        <w:spacing w:beforeAutospacing="0" w:afterAutospacing="0"/>
        <w:jc w:val="both"/>
        <w:rPr>
          <w:color w:val="auto"/>
          <w:highlight w:val="none"/>
        </w:rPr>
      </w:pPr>
      <w:r>
        <w:rPr>
          <w:color w:val="auto"/>
          <w:highlight w:val="none"/>
        </w:rPr>
        <w:t> </w:t>
      </w:r>
    </w:p>
    <w:p w14:paraId="138D5C4A">
      <w:pPr>
        <w:pStyle w:val="13"/>
        <w:spacing w:beforeAutospacing="0" w:afterAutospacing="0"/>
        <w:jc w:val="both"/>
        <w:rPr>
          <w:color w:val="auto"/>
          <w:highlight w:val="none"/>
        </w:rPr>
      </w:pPr>
      <w:r>
        <w:rPr>
          <w:color w:val="auto"/>
          <w:highlight w:val="none"/>
        </w:rPr>
        <w:t> </w:t>
      </w:r>
    </w:p>
    <w:p w14:paraId="32DB1E32">
      <w:pPr>
        <w:pStyle w:val="13"/>
        <w:spacing w:beforeAutospacing="0" w:afterAutospacing="0"/>
        <w:jc w:val="both"/>
        <w:rPr>
          <w:color w:val="auto"/>
          <w:highlight w:val="none"/>
        </w:rPr>
      </w:pPr>
      <w:r>
        <w:rPr>
          <w:color w:val="auto"/>
          <w:highlight w:val="none"/>
        </w:rPr>
        <w:t> </w:t>
      </w:r>
    </w:p>
    <w:p w14:paraId="3ECCCDB2">
      <w:pPr>
        <w:pStyle w:val="13"/>
        <w:spacing w:beforeAutospacing="0" w:afterAutospacing="0"/>
        <w:jc w:val="both"/>
        <w:rPr>
          <w:color w:val="auto"/>
          <w:highlight w:val="none"/>
        </w:rPr>
      </w:pPr>
      <w:r>
        <w:rPr>
          <w:color w:val="auto"/>
          <w:highlight w:val="none"/>
        </w:rPr>
        <w:t> </w:t>
      </w:r>
    </w:p>
    <w:p w14:paraId="2D132B20">
      <w:pPr>
        <w:pStyle w:val="13"/>
        <w:spacing w:beforeAutospacing="0" w:afterAutospacing="0"/>
        <w:jc w:val="both"/>
        <w:rPr>
          <w:color w:val="auto"/>
          <w:highlight w:val="none"/>
        </w:rPr>
      </w:pPr>
      <w:r>
        <w:rPr>
          <w:color w:val="auto"/>
          <w:highlight w:val="none"/>
        </w:rPr>
        <w:t> </w:t>
      </w:r>
    </w:p>
    <w:p w14:paraId="5B8EE21B">
      <w:pPr>
        <w:pStyle w:val="13"/>
        <w:spacing w:beforeAutospacing="0" w:afterAutospacing="0"/>
        <w:jc w:val="both"/>
        <w:rPr>
          <w:color w:val="auto"/>
          <w:highlight w:val="none"/>
        </w:rPr>
      </w:pPr>
      <w:r>
        <w:rPr>
          <w:color w:val="auto"/>
          <w:highlight w:val="none"/>
        </w:rPr>
        <w:t> </w:t>
      </w:r>
    </w:p>
    <w:p w14:paraId="034BF92B">
      <w:pPr>
        <w:pStyle w:val="13"/>
        <w:keepNext/>
        <w:spacing w:beforeAutospacing="0" w:afterAutospacing="0"/>
        <w:jc w:val="center"/>
        <w:outlineLvl w:val="9"/>
        <w:rPr>
          <w:rFonts w:hint="eastAsia" w:ascii="黑体" w:hAnsi="宋体" w:eastAsia="黑体" w:cs="黑体"/>
          <w:color w:val="auto"/>
          <w:sz w:val="44"/>
          <w:szCs w:val="44"/>
          <w:highlight w:val="none"/>
        </w:rPr>
        <w:sectPr>
          <w:pgSz w:w="11906" w:h="16838"/>
          <w:pgMar w:top="1134" w:right="1134" w:bottom="1134" w:left="1134" w:header="851" w:footer="992" w:gutter="0"/>
          <w:pgBorders>
            <w:top w:val="none" w:sz="0" w:space="0"/>
            <w:left w:val="none" w:sz="0" w:space="0"/>
            <w:bottom w:val="none" w:sz="0" w:space="0"/>
            <w:right w:val="none" w:sz="0" w:space="0"/>
          </w:pgBorders>
          <w:cols w:space="425" w:num="1"/>
          <w:docGrid w:type="lines" w:linePitch="312" w:charSpace="0"/>
        </w:sectPr>
      </w:pPr>
      <w:bookmarkStart w:id="6" w:name="_Toc28359086"/>
    </w:p>
    <w:p w14:paraId="7FB681EC">
      <w:pPr>
        <w:pStyle w:val="13"/>
        <w:keepNext/>
        <w:spacing w:beforeAutospacing="0" w:afterAutospacing="0"/>
        <w:jc w:val="center"/>
        <w:outlineLvl w:val="0"/>
        <w:rPr>
          <w:rFonts w:hint="eastAsia" w:ascii="仿宋" w:hAnsi="仿宋" w:eastAsia="仿宋" w:cs="仿宋"/>
          <w:color w:val="auto"/>
          <w:sz w:val="28"/>
          <w:szCs w:val="28"/>
          <w:highlight w:val="none"/>
          <w:lang w:val="en-US" w:eastAsia="zh-CN"/>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竞争性磋商公告</w:t>
      </w:r>
    </w:p>
    <w:p w14:paraId="6274C873">
      <w:pPr>
        <w:pStyle w:val="13"/>
        <w:pBdr>
          <w:top w:val="single" w:color="000000" w:sz="4" w:space="0"/>
          <w:left w:val="single" w:color="000000" w:sz="4" w:space="0"/>
          <w:bottom w:val="single" w:color="000000" w:sz="4" w:space="0"/>
          <w:right w:val="single" w:color="000000" w:sz="4" w:space="0"/>
        </w:pBdr>
        <w:spacing w:beforeAutospacing="0" w:afterAutospacing="0"/>
        <w:ind w:firstLine="480" w:firstLineChars="0"/>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27845114">
      <w:pPr>
        <w:pStyle w:val="13"/>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射阳县自然资源和规划局2026年度耕地占补平衡、城乡建设用地增减挂钩项目入库和竣工测绘服务采购项目</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项目的潜在供应商</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rPr>
        <w:t>在</w:t>
      </w:r>
      <w:r>
        <w:rPr>
          <w:rFonts w:hint="eastAsia" w:ascii="宋体" w:hAnsi="宋体" w:eastAsia="宋体" w:cs="宋体"/>
          <w:i w:val="0"/>
          <w:iCs w:val="0"/>
          <w:caps w:val="0"/>
          <w:color w:val="auto"/>
          <w:spacing w:val="0"/>
          <w:sz w:val="24"/>
          <w:szCs w:val="24"/>
          <w:highlight w:val="none"/>
          <w:shd w:val="clear" w:fill="FFFFFF"/>
        </w:rPr>
        <w:t>“苏采云”系统内免费下载（投标人必须在苏采云系统中获</w:t>
      </w:r>
      <w:r>
        <w:rPr>
          <w:rFonts w:hint="eastAsia" w:ascii="宋体" w:hAnsi="宋体" w:eastAsia="宋体" w:cs="宋体"/>
          <w:color w:val="auto"/>
          <w:sz w:val="24"/>
          <w:szCs w:val="24"/>
          <w:highlight w:val="none"/>
        </w:rPr>
        <w:t>取</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文件，方</w:t>
      </w:r>
      <w:r>
        <w:rPr>
          <w:rFonts w:hint="eastAsia" w:ascii="宋体" w:hAnsi="宋体" w:eastAsia="宋体" w:cs="宋体"/>
          <w:i w:val="0"/>
          <w:iCs w:val="0"/>
          <w:caps w:val="0"/>
          <w:color w:val="auto"/>
          <w:spacing w:val="0"/>
          <w:sz w:val="24"/>
          <w:szCs w:val="24"/>
          <w:highlight w:val="none"/>
          <w:shd w:val="clear" w:fill="FFFFFF"/>
        </w:rPr>
        <w:t>能参与政府采购项目）；</w:t>
      </w:r>
      <w:r>
        <w:rPr>
          <w:rFonts w:hint="eastAsia" w:ascii="宋体" w:hAnsi="宋体" w:eastAsia="宋体" w:cs="宋体"/>
          <w:color w:val="auto"/>
          <w:sz w:val="24"/>
          <w:szCs w:val="24"/>
          <w:highlight w:val="none"/>
        </w:rPr>
        <w:t>并于</w:t>
      </w:r>
      <w:r>
        <w:rPr>
          <w:rFonts w:hint="eastAsia" w:ascii="宋体" w:hAnsi="宋体" w:eastAsia="宋体" w:cs="宋体"/>
          <w:b w:val="0"/>
          <w:bCs w:val="0"/>
          <w:color w:val="auto"/>
          <w:sz w:val="24"/>
          <w:szCs w:val="24"/>
          <w:highlight w:val="none"/>
          <w:u w:val="single"/>
          <w:lang w:val="en-US" w:eastAsia="zh-CN"/>
        </w:rPr>
        <w:t>2026</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16</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val="en-US" w:eastAsia="zh-CN"/>
        </w:rPr>
        <w:t>15</w:t>
      </w:r>
      <w:r>
        <w:rPr>
          <w:rFonts w:hint="eastAsia" w:ascii="宋体" w:hAnsi="宋体" w:eastAsia="宋体" w:cs="宋体"/>
          <w:color w:val="auto"/>
          <w:sz w:val="24"/>
          <w:szCs w:val="24"/>
          <w:highlight w:val="none"/>
          <w:u w:val="single"/>
        </w:rPr>
        <w:t>点</w:t>
      </w:r>
      <w:r>
        <w:rPr>
          <w:rFonts w:hint="eastAsia" w:ascii="宋体" w:hAnsi="宋体" w:eastAsia="宋体" w:cs="宋体"/>
          <w:color w:val="auto"/>
          <w:sz w:val="24"/>
          <w:szCs w:val="24"/>
          <w:highlight w:val="none"/>
          <w:u w:val="single"/>
          <w:lang w:val="en-US" w:eastAsia="zh-CN"/>
        </w:rPr>
        <w:t>00</w:t>
      </w:r>
      <w:r>
        <w:rPr>
          <w:rFonts w:hint="eastAsia" w:ascii="宋体" w:hAnsi="宋体" w:eastAsia="宋体" w:cs="宋体"/>
          <w:color w:val="auto"/>
          <w:sz w:val="24"/>
          <w:szCs w:val="24"/>
          <w:highlight w:val="none"/>
          <w:u w:val="single"/>
        </w:rPr>
        <w:t>分</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rPr>
        <w:t>北京时间）前递交响应文件。</w:t>
      </w:r>
    </w:p>
    <w:p w14:paraId="267D1D99">
      <w:pPr>
        <w:pStyle w:val="13"/>
        <w:keepNext/>
        <w:keepLines/>
        <w:spacing w:before="145" w:beforeAutospacing="0" w:after="145" w:afterAutospacing="0" w:line="360" w:lineRule="auto"/>
        <w:ind w:firstLine="498" w:firstLineChars="0"/>
        <w:jc w:val="both"/>
        <w:outlineLvl w:val="0"/>
        <w:rPr>
          <w:rFonts w:hint="eastAsia" w:ascii="宋体" w:hAnsi="宋体" w:eastAsia="宋体" w:cs="宋体"/>
          <w:color w:val="auto"/>
          <w:sz w:val="24"/>
          <w:szCs w:val="24"/>
          <w:highlight w:val="none"/>
        </w:rPr>
      </w:pPr>
      <w:bookmarkStart w:id="7" w:name="_Toc38985263"/>
      <w:bookmarkStart w:id="8" w:name="_Toc35393790"/>
      <w:bookmarkStart w:id="9" w:name="_Toc28359002"/>
      <w:bookmarkStart w:id="10" w:name="_Toc35393621"/>
      <w:bookmarkStart w:id="11" w:name="_Hlk24379207"/>
      <w:bookmarkStart w:id="12" w:name="_Toc28359079"/>
      <w:r>
        <w:rPr>
          <w:rFonts w:hint="eastAsia" w:ascii="宋体" w:hAnsi="宋体" w:eastAsia="宋体" w:cs="宋体"/>
          <w:b/>
          <w:color w:val="auto"/>
          <w:sz w:val="24"/>
          <w:szCs w:val="24"/>
          <w:highlight w:val="none"/>
        </w:rPr>
        <w:t>一、项目基本情况</w:t>
      </w:r>
      <w:bookmarkEnd w:id="7"/>
      <w:bookmarkEnd w:id="8"/>
      <w:bookmarkEnd w:id="9"/>
      <w:bookmarkEnd w:id="10"/>
      <w:bookmarkEnd w:id="11"/>
      <w:bookmarkEnd w:id="12"/>
    </w:p>
    <w:p w14:paraId="52DFACCE">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1.项目编号：JSZC-320924-SYHY-C2026-0006</w:t>
      </w:r>
    </w:p>
    <w:p w14:paraId="758597DD">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2.项目名称：射阳县自然资源和规划局2026年度耕地占补平衡、城乡建设用地增减挂钩项目入库和竣工测绘服务采购项目</w:t>
      </w:r>
    </w:p>
    <w:p w14:paraId="102B552F">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lang w:val="en-US" w:eastAsia="zh-CN"/>
        </w:rPr>
        <w:t>3.</w:t>
      </w:r>
      <w:r>
        <w:rPr>
          <w:rFonts w:hint="eastAsia" w:ascii="宋体" w:hAnsi="宋体" w:eastAsia="宋体" w:cs="宋体"/>
          <w:i w:val="0"/>
          <w:iCs w:val="0"/>
          <w:caps w:val="0"/>
          <w:color w:val="auto"/>
          <w:spacing w:val="0"/>
          <w:sz w:val="24"/>
          <w:szCs w:val="24"/>
          <w:highlight w:val="none"/>
          <w:shd w:val="clear" w:fill="FFFFFF"/>
        </w:rPr>
        <w:t>采购方式：竞争性磋商</w:t>
      </w:r>
    </w:p>
    <w:p w14:paraId="434D2967">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4.预算金</w:t>
      </w:r>
      <w:r>
        <w:rPr>
          <w:rFonts w:hint="eastAsia" w:ascii="宋体" w:hAnsi="宋体" w:eastAsia="宋体" w:cs="宋体"/>
          <w:i w:val="0"/>
          <w:iCs w:val="0"/>
          <w:caps w:val="0"/>
          <w:color w:val="auto"/>
          <w:spacing w:val="0"/>
          <w:sz w:val="24"/>
          <w:szCs w:val="24"/>
          <w:highlight w:val="none"/>
          <w:shd w:val="clear" w:color="auto" w:fill="auto"/>
          <w:lang w:val="en-US" w:eastAsia="zh-CN"/>
        </w:rPr>
        <w:t>额：204万元</w:t>
      </w:r>
    </w:p>
    <w:p w14:paraId="46FFAB94">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5.</w:t>
      </w:r>
      <w:r>
        <w:rPr>
          <w:rFonts w:hint="eastAsia" w:ascii="宋体" w:hAnsi="宋体" w:eastAsia="宋体" w:cs="宋体"/>
          <w:i w:val="0"/>
          <w:iCs w:val="0"/>
          <w:caps w:val="0"/>
          <w:color w:val="auto"/>
          <w:spacing w:val="0"/>
          <w:sz w:val="24"/>
          <w:szCs w:val="24"/>
          <w:highlight w:val="none"/>
          <w:shd w:val="clear" w:color="auto" w:fill="auto"/>
        </w:rPr>
        <w:t>最高限价：</w:t>
      </w:r>
      <w:r>
        <w:rPr>
          <w:rFonts w:hint="eastAsia" w:ascii="宋体" w:hAnsi="宋体" w:eastAsia="宋体" w:cs="宋体"/>
          <w:i w:val="0"/>
          <w:iCs w:val="0"/>
          <w:caps w:val="0"/>
          <w:color w:val="auto"/>
          <w:spacing w:val="0"/>
          <w:sz w:val="24"/>
          <w:szCs w:val="24"/>
          <w:highlight w:val="none"/>
          <w:shd w:val="clear" w:color="auto" w:fill="auto"/>
          <w:lang w:val="en-US" w:eastAsia="zh-CN"/>
        </w:rPr>
        <w:t>204</w:t>
      </w:r>
      <w:r>
        <w:rPr>
          <w:rFonts w:hint="eastAsia" w:ascii="宋体" w:hAnsi="宋体" w:eastAsia="宋体" w:cs="宋体"/>
          <w:i w:val="0"/>
          <w:iCs w:val="0"/>
          <w:caps w:val="0"/>
          <w:color w:val="auto"/>
          <w:spacing w:val="0"/>
          <w:sz w:val="24"/>
          <w:szCs w:val="24"/>
          <w:highlight w:val="none"/>
          <w:shd w:val="clear" w:color="auto" w:fill="auto"/>
        </w:rPr>
        <w:t>万元，投标报价高于最高限价的作无效标处理。</w:t>
      </w:r>
    </w:p>
    <w:p w14:paraId="7EBDC2F6">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6.评标方法：综合评分法</w:t>
      </w:r>
    </w:p>
    <w:p w14:paraId="76666BAB">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7</w:t>
      </w:r>
      <w:r>
        <w:rPr>
          <w:rFonts w:hint="eastAsia" w:ascii="宋体" w:hAnsi="宋体" w:eastAsia="宋体" w:cs="宋体"/>
          <w:i w:val="0"/>
          <w:iCs w:val="0"/>
          <w:caps w:val="0"/>
          <w:color w:val="auto"/>
          <w:spacing w:val="0"/>
          <w:sz w:val="24"/>
          <w:szCs w:val="24"/>
          <w:highlight w:val="none"/>
          <w:shd w:val="clear" w:color="auto" w:fill="auto"/>
        </w:rPr>
        <w:t>.采购需求：</w:t>
      </w:r>
      <w:r>
        <w:rPr>
          <w:rFonts w:hint="eastAsia" w:ascii="宋体" w:hAnsi="宋体" w:eastAsia="宋体" w:cs="宋体"/>
          <w:color w:val="auto"/>
          <w:sz w:val="24"/>
          <w:szCs w:val="24"/>
          <w:highlight w:val="none"/>
          <w:shd w:val="clear" w:color="auto" w:fill="auto"/>
        </w:rPr>
        <w:t>根据上级文件要求，为切实做好射阳县2026年度耕地占补平衡、城乡建设用地增减挂钩项目工作，对全县2026年度耕地占补平衡、城乡建设用地增减挂钩入库和竣工测绘工作进行</w:t>
      </w:r>
      <w:r>
        <w:rPr>
          <w:rFonts w:hint="eastAsia" w:ascii="宋体" w:hAnsi="宋体" w:eastAsia="宋体" w:cs="宋体"/>
          <w:color w:val="auto"/>
          <w:sz w:val="24"/>
          <w:szCs w:val="24"/>
          <w:highlight w:val="none"/>
          <w:shd w:val="clear" w:color="auto" w:fill="auto"/>
          <w:lang w:val="en-US" w:eastAsia="zh-CN"/>
        </w:rPr>
        <w:t>采购</w:t>
      </w:r>
      <w:r>
        <w:rPr>
          <w:rFonts w:hint="eastAsia" w:ascii="宋体" w:hAnsi="宋体" w:eastAsia="宋体" w:cs="宋体"/>
          <w:color w:val="auto"/>
          <w:sz w:val="24"/>
          <w:szCs w:val="24"/>
          <w:highlight w:val="none"/>
          <w:shd w:val="clear" w:color="auto" w:fill="auto"/>
        </w:rPr>
        <w:t>。其中耕地占补平衡项目规模暂按2000亩、城乡建设用地增减挂钩项目规模暂按1000亩(不包含海河镇全域土地综合整治范围内项目)，最终结算时按成交单价计算实际亩数确定总价。</w:t>
      </w:r>
    </w:p>
    <w:tbl>
      <w:tblPr>
        <w:tblStyle w:val="16"/>
        <w:tblW w:w="9651" w:type="dxa"/>
        <w:tblInd w:w="76"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108" w:type="dxa"/>
          <w:bottom w:w="0" w:type="dxa"/>
          <w:right w:w="108" w:type="dxa"/>
        </w:tblCellMar>
      </w:tblPr>
      <w:tblGrid>
        <w:gridCol w:w="811"/>
        <w:gridCol w:w="5620"/>
        <w:gridCol w:w="3220"/>
      </w:tblGrid>
      <w:tr w14:paraId="32C1FEE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 w:hRule="atLeast"/>
        </w:trPr>
        <w:tc>
          <w:tcPr>
            <w:tcW w:w="811"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5BF761A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
                <w:bCs/>
                <w:color w:val="000000"/>
                <w:kern w:val="20"/>
                <w:sz w:val="24"/>
                <w:szCs w:val="24"/>
                <w:highlight w:val="none"/>
                <w:lang w:eastAsia="zh-CN"/>
              </w:rPr>
            </w:pPr>
            <w:r>
              <w:rPr>
                <w:rFonts w:hint="eastAsia" w:asciiTheme="minorEastAsia" w:hAnsiTheme="minorEastAsia" w:cstheme="minorEastAsia"/>
                <w:b/>
                <w:bCs/>
                <w:color w:val="000000"/>
                <w:kern w:val="20"/>
                <w:sz w:val="24"/>
                <w:szCs w:val="24"/>
                <w:highlight w:val="none"/>
                <w:lang w:val="en-US" w:eastAsia="zh-CN"/>
              </w:rPr>
              <w:t>序号</w:t>
            </w:r>
          </w:p>
        </w:tc>
        <w:tc>
          <w:tcPr>
            <w:tcW w:w="562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7D2C4FB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
                <w:bCs/>
                <w:color w:val="000000"/>
                <w:kern w:val="20"/>
                <w:sz w:val="24"/>
                <w:szCs w:val="24"/>
                <w:highlight w:val="none"/>
              </w:rPr>
            </w:pPr>
            <w:r>
              <w:rPr>
                <w:rFonts w:hint="eastAsia" w:asciiTheme="minorEastAsia" w:hAnsiTheme="minorEastAsia" w:eastAsiaTheme="minorEastAsia" w:cstheme="minorEastAsia"/>
                <w:b/>
                <w:bCs/>
                <w:color w:val="000000"/>
                <w:kern w:val="20"/>
                <w:sz w:val="24"/>
                <w:szCs w:val="24"/>
                <w:highlight w:val="none"/>
              </w:rPr>
              <w:t>分项名称</w:t>
            </w:r>
          </w:p>
        </w:tc>
        <w:tc>
          <w:tcPr>
            <w:tcW w:w="322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3E79BEC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
                <w:bCs/>
                <w:color w:val="000000"/>
                <w:kern w:val="20"/>
                <w:sz w:val="24"/>
                <w:szCs w:val="24"/>
                <w:highlight w:val="none"/>
              </w:rPr>
            </w:pPr>
            <w:r>
              <w:rPr>
                <w:rFonts w:hint="eastAsia" w:asciiTheme="minorEastAsia" w:hAnsiTheme="minorEastAsia" w:eastAsiaTheme="minorEastAsia" w:cstheme="minorEastAsia"/>
                <w:b/>
                <w:bCs/>
                <w:color w:val="000000"/>
                <w:kern w:val="20"/>
                <w:sz w:val="24"/>
                <w:szCs w:val="24"/>
                <w:highlight w:val="none"/>
              </w:rPr>
              <w:t>最高</w:t>
            </w:r>
            <w:r>
              <w:rPr>
                <w:rFonts w:hint="eastAsia" w:asciiTheme="minorEastAsia" w:hAnsiTheme="minorEastAsia" w:eastAsiaTheme="minorEastAsia" w:cstheme="minorEastAsia"/>
                <w:b/>
                <w:bCs/>
                <w:color w:val="000000"/>
                <w:kern w:val="20"/>
                <w:sz w:val="24"/>
                <w:szCs w:val="24"/>
                <w:highlight w:val="none"/>
                <w:lang w:val="en-US" w:eastAsia="zh-CN"/>
              </w:rPr>
              <w:t>单价</w:t>
            </w:r>
            <w:r>
              <w:rPr>
                <w:rFonts w:hint="eastAsia" w:asciiTheme="minorEastAsia" w:hAnsiTheme="minorEastAsia" w:eastAsiaTheme="minorEastAsia" w:cstheme="minorEastAsia"/>
                <w:b/>
                <w:bCs/>
                <w:color w:val="000000"/>
                <w:kern w:val="20"/>
                <w:sz w:val="24"/>
                <w:szCs w:val="24"/>
                <w:highlight w:val="none"/>
              </w:rPr>
              <w:t>限价</w:t>
            </w:r>
          </w:p>
        </w:tc>
      </w:tr>
      <w:tr w14:paraId="7323306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 w:hRule="atLeast"/>
        </w:trPr>
        <w:tc>
          <w:tcPr>
            <w:tcW w:w="811"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716A954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color w:val="000000"/>
                <w:kern w:val="20"/>
                <w:sz w:val="24"/>
                <w:szCs w:val="24"/>
                <w:highlight w:val="none"/>
                <w:lang w:val="en-US" w:eastAsia="zh-CN"/>
              </w:rPr>
            </w:pPr>
            <w:r>
              <w:rPr>
                <w:rFonts w:hint="eastAsia" w:asciiTheme="minorEastAsia" w:hAnsiTheme="minorEastAsia" w:cstheme="minorEastAsia"/>
                <w:color w:val="000000"/>
                <w:kern w:val="20"/>
                <w:sz w:val="24"/>
                <w:szCs w:val="24"/>
                <w:highlight w:val="none"/>
                <w:lang w:val="en-US" w:eastAsia="zh-CN"/>
              </w:rPr>
              <w:t>1</w:t>
            </w:r>
          </w:p>
        </w:tc>
        <w:tc>
          <w:tcPr>
            <w:tcW w:w="562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0AE367D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Cs/>
                <w:color w:val="000000"/>
                <w:kern w:val="20"/>
                <w:sz w:val="24"/>
                <w:szCs w:val="24"/>
                <w:highlight w:val="none"/>
              </w:rPr>
            </w:pPr>
            <w:r>
              <w:rPr>
                <w:rFonts w:hint="eastAsia" w:ascii="宋体" w:hAnsi="宋体" w:eastAsia="宋体" w:cs="宋体"/>
                <w:color w:val="auto"/>
                <w:sz w:val="24"/>
                <w:szCs w:val="24"/>
                <w:highlight w:val="none"/>
                <w:shd w:val="clear" w:color="auto" w:fill="auto"/>
              </w:rPr>
              <w:t>项目入库测绘</w:t>
            </w:r>
          </w:p>
        </w:tc>
        <w:tc>
          <w:tcPr>
            <w:tcW w:w="322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7CDEC4A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Cs/>
                <w:color w:val="000000"/>
                <w:kern w:val="20"/>
                <w:sz w:val="24"/>
                <w:szCs w:val="24"/>
                <w:highlight w:val="none"/>
                <w:lang w:eastAsia="zh-CN"/>
              </w:rPr>
            </w:pPr>
            <w:r>
              <w:rPr>
                <w:rFonts w:hint="eastAsia" w:asciiTheme="minorEastAsia" w:hAnsiTheme="minorEastAsia" w:cstheme="minorEastAsia"/>
                <w:bCs/>
                <w:color w:val="000000"/>
                <w:sz w:val="24"/>
                <w:szCs w:val="24"/>
                <w:highlight w:val="none"/>
                <w:lang w:val="en-US" w:eastAsia="zh-CN"/>
              </w:rPr>
              <w:t>280.00</w:t>
            </w:r>
            <w:r>
              <w:rPr>
                <w:rFonts w:hint="eastAsia" w:asciiTheme="minorEastAsia" w:hAnsiTheme="minorEastAsia" w:eastAsiaTheme="minorEastAsia" w:cstheme="minorEastAsia"/>
                <w:bCs/>
                <w:color w:val="000000"/>
                <w:sz w:val="24"/>
                <w:szCs w:val="24"/>
                <w:highlight w:val="none"/>
              </w:rPr>
              <w:t>元/</w:t>
            </w:r>
            <w:r>
              <w:rPr>
                <w:rFonts w:hint="eastAsia" w:asciiTheme="minorEastAsia" w:hAnsiTheme="minorEastAsia" w:cstheme="minorEastAsia"/>
                <w:bCs/>
                <w:color w:val="000000"/>
                <w:sz w:val="24"/>
                <w:szCs w:val="24"/>
                <w:highlight w:val="none"/>
                <w:lang w:val="en-US" w:eastAsia="zh-CN"/>
              </w:rPr>
              <w:t>亩</w:t>
            </w:r>
          </w:p>
        </w:tc>
      </w:tr>
      <w:tr w14:paraId="1B76FBB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 w:hRule="atLeast"/>
        </w:trPr>
        <w:tc>
          <w:tcPr>
            <w:tcW w:w="811"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7209FB1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color w:val="000000"/>
                <w:kern w:val="20"/>
                <w:sz w:val="24"/>
                <w:szCs w:val="24"/>
                <w:highlight w:val="none"/>
                <w:lang w:val="en-US" w:eastAsia="zh-CN"/>
              </w:rPr>
            </w:pPr>
            <w:r>
              <w:rPr>
                <w:rFonts w:hint="eastAsia" w:asciiTheme="minorEastAsia" w:hAnsiTheme="minorEastAsia" w:cstheme="minorEastAsia"/>
                <w:color w:val="000000"/>
                <w:kern w:val="20"/>
                <w:sz w:val="24"/>
                <w:szCs w:val="24"/>
                <w:highlight w:val="none"/>
                <w:lang w:val="en-US" w:eastAsia="zh-CN"/>
              </w:rPr>
              <w:t>2</w:t>
            </w:r>
          </w:p>
        </w:tc>
        <w:tc>
          <w:tcPr>
            <w:tcW w:w="562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407D657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Cs/>
                <w:color w:val="000000"/>
                <w:kern w:val="20"/>
                <w:sz w:val="24"/>
                <w:szCs w:val="24"/>
                <w:highlight w:val="none"/>
              </w:rPr>
            </w:pPr>
            <w:r>
              <w:rPr>
                <w:rFonts w:hint="eastAsia" w:ascii="宋体" w:hAnsi="宋体" w:eastAsia="宋体" w:cs="宋体"/>
                <w:color w:val="auto"/>
                <w:sz w:val="24"/>
                <w:szCs w:val="24"/>
                <w:highlight w:val="none"/>
                <w:shd w:val="clear" w:color="auto" w:fill="auto"/>
                <w:lang w:val="en-US" w:eastAsia="zh-CN"/>
              </w:rPr>
              <w:t>项目</w:t>
            </w:r>
            <w:r>
              <w:rPr>
                <w:rFonts w:hint="eastAsia" w:ascii="宋体" w:hAnsi="宋体" w:eastAsia="宋体" w:cs="宋体"/>
                <w:color w:val="auto"/>
                <w:sz w:val="24"/>
                <w:szCs w:val="24"/>
                <w:highlight w:val="none"/>
                <w:shd w:val="clear" w:color="auto" w:fill="auto"/>
              </w:rPr>
              <w:t>竣工测绘</w:t>
            </w:r>
          </w:p>
        </w:tc>
        <w:tc>
          <w:tcPr>
            <w:tcW w:w="322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537341A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Cs/>
                <w:color w:val="000000"/>
                <w:kern w:val="20"/>
                <w:sz w:val="24"/>
                <w:szCs w:val="24"/>
                <w:highlight w:val="none"/>
                <w:lang w:val="en-US" w:eastAsia="zh-CN"/>
              </w:rPr>
            </w:pPr>
            <w:r>
              <w:rPr>
                <w:rFonts w:hint="eastAsia" w:asciiTheme="minorEastAsia" w:hAnsiTheme="minorEastAsia" w:cstheme="minorEastAsia"/>
                <w:bCs/>
                <w:color w:val="000000"/>
                <w:sz w:val="24"/>
                <w:szCs w:val="24"/>
                <w:highlight w:val="none"/>
                <w:lang w:val="en-US" w:eastAsia="zh-CN"/>
              </w:rPr>
              <w:t>400.00元</w:t>
            </w:r>
            <w:r>
              <w:rPr>
                <w:rFonts w:hint="eastAsia" w:asciiTheme="minorEastAsia" w:hAnsiTheme="minorEastAsia" w:eastAsiaTheme="minorEastAsia" w:cstheme="minorEastAsia"/>
                <w:bCs/>
                <w:color w:val="000000"/>
                <w:sz w:val="24"/>
                <w:szCs w:val="24"/>
                <w:highlight w:val="none"/>
              </w:rPr>
              <w:t>/</w:t>
            </w:r>
            <w:r>
              <w:rPr>
                <w:rFonts w:hint="eastAsia" w:asciiTheme="minorEastAsia" w:hAnsiTheme="minorEastAsia" w:cstheme="minorEastAsia"/>
                <w:bCs/>
                <w:color w:val="000000"/>
                <w:sz w:val="24"/>
                <w:szCs w:val="24"/>
                <w:highlight w:val="none"/>
                <w:lang w:val="en-US" w:eastAsia="zh-CN"/>
              </w:rPr>
              <w:t>亩</w:t>
            </w:r>
          </w:p>
        </w:tc>
      </w:tr>
    </w:tbl>
    <w:p w14:paraId="249F93F8">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具体采购范围及所应达到的具体要求，以</w:t>
      </w:r>
      <w:r>
        <w:rPr>
          <w:rFonts w:hint="eastAsia" w:ascii="宋体" w:hAnsi="宋体" w:eastAsia="宋体" w:cs="宋体"/>
          <w:color w:val="auto"/>
          <w:sz w:val="24"/>
          <w:szCs w:val="24"/>
          <w:highlight w:val="none"/>
          <w:shd w:val="clear" w:color="auto" w:fill="auto"/>
          <w:lang w:val="en-US" w:eastAsia="zh-CN"/>
        </w:rPr>
        <w:t>磋商</w:t>
      </w:r>
      <w:r>
        <w:rPr>
          <w:rFonts w:hint="eastAsia" w:ascii="宋体" w:hAnsi="宋体" w:eastAsia="宋体" w:cs="宋体"/>
          <w:color w:val="auto"/>
          <w:sz w:val="24"/>
          <w:szCs w:val="24"/>
          <w:highlight w:val="none"/>
          <w:shd w:val="clear" w:color="auto" w:fill="auto"/>
        </w:rPr>
        <w:t>文件采购需求中的相应规定为准。</w:t>
      </w:r>
    </w:p>
    <w:p w14:paraId="454D8868">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8</w:t>
      </w:r>
      <w:r>
        <w:rPr>
          <w:rFonts w:hint="eastAsia" w:ascii="宋体" w:hAnsi="宋体" w:eastAsia="宋体" w:cs="宋体"/>
          <w:i w:val="0"/>
          <w:iCs w:val="0"/>
          <w:caps w:val="0"/>
          <w:color w:val="auto"/>
          <w:spacing w:val="0"/>
          <w:sz w:val="24"/>
          <w:szCs w:val="24"/>
          <w:highlight w:val="none"/>
          <w:shd w:val="clear" w:color="auto" w:fill="auto"/>
        </w:rPr>
        <w:t>.合同履行期限：根据采购人要求，在规定时间内完成任务。</w:t>
      </w:r>
    </w:p>
    <w:p w14:paraId="5C6ED1A2">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9.本项目不接受联合体参与磋商。</w:t>
      </w:r>
    </w:p>
    <w:p w14:paraId="6A37C2F4">
      <w:pPr>
        <w:pStyle w:val="13"/>
        <w:keepNext/>
        <w:keepLines/>
        <w:spacing w:before="145" w:beforeAutospacing="0" w:after="145" w:afterAutospacing="0" w:line="360" w:lineRule="auto"/>
        <w:ind w:firstLine="498" w:firstLineChars="0"/>
        <w:jc w:val="both"/>
        <w:outlineLvl w:val="0"/>
        <w:rPr>
          <w:rFonts w:hint="eastAsia" w:ascii="宋体" w:hAnsi="宋体" w:eastAsia="宋体" w:cs="宋体"/>
          <w:color w:val="auto"/>
          <w:sz w:val="24"/>
          <w:szCs w:val="24"/>
          <w:highlight w:val="none"/>
        </w:rPr>
      </w:pPr>
      <w:bookmarkStart w:id="13" w:name="_Toc35393622"/>
      <w:bookmarkStart w:id="14" w:name="_Toc38985264"/>
      <w:bookmarkStart w:id="15" w:name="_Toc28359080"/>
      <w:bookmarkStart w:id="16" w:name="_Toc28359003"/>
      <w:bookmarkStart w:id="17" w:name="_Toc35393791"/>
      <w:r>
        <w:rPr>
          <w:rFonts w:hint="eastAsia" w:ascii="宋体" w:hAnsi="宋体" w:eastAsia="宋体" w:cs="宋体"/>
          <w:b/>
          <w:color w:val="auto"/>
          <w:sz w:val="24"/>
          <w:szCs w:val="24"/>
          <w:highlight w:val="none"/>
        </w:rPr>
        <w:t>二、申请人的资格要求：</w:t>
      </w:r>
      <w:bookmarkEnd w:id="13"/>
      <w:bookmarkEnd w:id="14"/>
      <w:bookmarkEnd w:id="15"/>
      <w:bookmarkEnd w:id="16"/>
      <w:bookmarkEnd w:id="17"/>
    </w:p>
    <w:p w14:paraId="30FFF969">
      <w:pPr>
        <w:pStyle w:val="13"/>
        <w:keepNext w:val="0"/>
        <w:keepLines w:val="0"/>
        <w:pageBreakBefore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1.满足《中华人民共和国政府采购法》第二十二条规定，并提供下列材料：</w:t>
      </w:r>
    </w:p>
    <w:p w14:paraId="3137D08B">
      <w:pPr>
        <w:pStyle w:val="13"/>
        <w:keepNext w:val="0"/>
        <w:keepLines w:val="0"/>
        <w:pageBreakBefore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法人或者其他组织的营业执照等证明文件，自然人的身份证明；</w:t>
      </w:r>
    </w:p>
    <w:p w14:paraId="565F4DE8">
      <w:pPr>
        <w:pStyle w:val="13"/>
        <w:keepNext w:val="0"/>
        <w:keepLines w:val="0"/>
        <w:pageBreakBefore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1.2上一年度的财务状况报</w:t>
      </w:r>
      <w:r>
        <w:rPr>
          <w:rFonts w:hint="eastAsia" w:ascii="宋体" w:hAnsi="宋体" w:eastAsia="宋体" w:cs="宋体"/>
          <w:color w:val="auto"/>
          <w:sz w:val="24"/>
          <w:szCs w:val="24"/>
          <w:highlight w:val="none"/>
          <w:lang w:val="en-US" w:eastAsia="zh-CN"/>
        </w:rPr>
        <w:t>表</w:t>
      </w:r>
      <w:r>
        <w:rPr>
          <w:rFonts w:hint="eastAsia" w:ascii="宋体" w:hAnsi="宋体" w:eastAsia="宋体" w:cs="宋体"/>
          <w:color w:val="auto"/>
          <w:sz w:val="24"/>
          <w:szCs w:val="24"/>
          <w:highlight w:val="none"/>
        </w:rPr>
        <w:t>（成立不满一年无需提供）；</w:t>
      </w:r>
    </w:p>
    <w:p w14:paraId="3A6CE872">
      <w:pPr>
        <w:pStyle w:val="13"/>
        <w:keepNext w:val="0"/>
        <w:keepLines w:val="0"/>
        <w:pageBreakBefore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具备履行合同所必需的设备和专业技术能力的书面声明；</w:t>
      </w:r>
    </w:p>
    <w:p w14:paraId="728D2499">
      <w:pPr>
        <w:pStyle w:val="13"/>
        <w:keepNext w:val="0"/>
        <w:keepLines w:val="0"/>
        <w:pageBreakBefore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15ECA827">
      <w:pPr>
        <w:pStyle w:val="13"/>
        <w:keepNext w:val="0"/>
        <w:keepLines w:val="0"/>
        <w:pageBreakBefore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.5参加政府采购活动前3年内在经营活动中没有重大违法记录的书面声明</w:t>
      </w:r>
      <w:r>
        <w:rPr>
          <w:rFonts w:hint="eastAsia" w:ascii="宋体" w:hAnsi="宋体" w:eastAsia="宋体" w:cs="宋体"/>
          <w:color w:val="auto"/>
          <w:sz w:val="24"/>
          <w:szCs w:val="24"/>
          <w:highlight w:val="none"/>
          <w:lang w:eastAsia="zh-CN"/>
        </w:rPr>
        <w:t>；</w:t>
      </w:r>
    </w:p>
    <w:p w14:paraId="17271903">
      <w:pPr>
        <w:pStyle w:val="13"/>
        <w:keepNext w:val="0"/>
        <w:keepLines w:val="0"/>
        <w:pageBreakBefore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1.6法律、行政法规规定的其他条件；</w:t>
      </w:r>
    </w:p>
    <w:p w14:paraId="654AAD83">
      <w:pPr>
        <w:pStyle w:val="13"/>
        <w:keepNext w:val="0"/>
        <w:keepLines w:val="0"/>
        <w:pageBreakBefore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auto"/>
          <w:sz w:val="24"/>
          <w:szCs w:val="24"/>
          <w:highlight w:val="none"/>
          <w:lang w:eastAsia="zh-CN"/>
        </w:rPr>
        <w:t>；</w:t>
      </w:r>
    </w:p>
    <w:p w14:paraId="0BDCC76C">
      <w:pPr>
        <w:pStyle w:val="13"/>
        <w:keepNext w:val="0"/>
        <w:keepLines w:val="0"/>
        <w:pageBreakBefore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1.8</w:t>
      </w:r>
      <w:r>
        <w:rPr>
          <w:rFonts w:hint="eastAsia" w:ascii="宋体" w:hAnsi="宋体" w:eastAsia="宋体" w:cs="宋体"/>
          <w:color w:val="auto"/>
          <w:sz w:val="24"/>
          <w:szCs w:val="24"/>
          <w:highlight w:val="none"/>
          <w:shd w:val="clear" w:color="auto" w:fill="auto"/>
        </w:rPr>
        <w:t>单位负责人为同一人或者存在直接控股、</w:t>
      </w:r>
      <w:r>
        <w:rPr>
          <w:rFonts w:hint="eastAsia" w:ascii="宋体" w:hAnsi="宋体" w:eastAsia="宋体" w:cs="宋体"/>
          <w:color w:val="auto"/>
          <w:sz w:val="24"/>
          <w:szCs w:val="24"/>
          <w:highlight w:val="none"/>
          <w:shd w:val="clear" w:color="auto" w:fill="auto"/>
          <w:lang w:val="en-US" w:eastAsia="zh-CN"/>
        </w:rPr>
        <w:t>管理</w:t>
      </w:r>
      <w:r>
        <w:rPr>
          <w:rFonts w:hint="eastAsia" w:ascii="宋体" w:hAnsi="宋体" w:eastAsia="宋体" w:cs="宋体"/>
          <w:color w:val="auto"/>
          <w:sz w:val="24"/>
          <w:szCs w:val="24"/>
          <w:highlight w:val="none"/>
          <w:shd w:val="clear" w:color="auto" w:fill="auto"/>
        </w:rPr>
        <w:t>关系的不同供应商，不得参加同一合同项下的政府采购活动。</w:t>
      </w:r>
    </w:p>
    <w:p w14:paraId="54985C90">
      <w:pPr>
        <w:pStyle w:val="13"/>
        <w:keepNext w:val="0"/>
        <w:keepLines w:val="0"/>
        <w:pageBreakBefore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w:t>
      </w:r>
      <w:r>
        <w:rPr>
          <w:rFonts w:hint="eastAsia" w:ascii="宋体" w:hAnsi="宋体" w:eastAsia="宋体" w:cs="宋体"/>
          <w:color w:val="auto"/>
          <w:sz w:val="24"/>
          <w:szCs w:val="24"/>
          <w:highlight w:val="none"/>
          <w:shd w:val="clear" w:color="auto" w:fill="auto"/>
          <w:lang w:val="en-US" w:eastAsia="zh-CN"/>
        </w:rPr>
        <w:t>.</w:t>
      </w:r>
      <w:r>
        <w:rPr>
          <w:rFonts w:hint="eastAsia" w:ascii="宋体" w:hAnsi="宋体" w:eastAsia="宋体" w:cs="宋体"/>
          <w:color w:val="auto"/>
          <w:sz w:val="24"/>
          <w:szCs w:val="24"/>
          <w:highlight w:val="none"/>
          <w:shd w:val="clear" w:color="auto" w:fill="auto"/>
        </w:rPr>
        <w:t>落实政府采购政策需满足的资格要求：本项目属于专门面向中小企业采购的项目,供应商应为中小微企业、监狱企业、残疾人福利性单位。响应文件中提供《中小企业声明函》。</w:t>
      </w:r>
    </w:p>
    <w:p w14:paraId="7B6541D0">
      <w:pPr>
        <w:pStyle w:val="13"/>
        <w:keepNext w:val="0"/>
        <w:keepLines w:val="0"/>
        <w:pageBreakBefore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特别说明：供应商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供应商予以关注。</w:t>
      </w:r>
    </w:p>
    <w:p w14:paraId="6718CED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exact"/>
        <w:ind w:left="0" w:right="0" w:firstLine="560"/>
        <w:jc w:val="both"/>
        <w:textAlignment w:val="auto"/>
        <w:rPr>
          <w:rFonts w:hint="eastAsia" w:ascii="宋体" w:hAnsi="宋体" w:eastAsia="宋体" w:cs="宋体"/>
          <w:i w:val="0"/>
          <w:iCs w:val="0"/>
          <w:caps w:val="0"/>
          <w:color w:val="auto"/>
          <w:spacing w:val="0"/>
          <w:sz w:val="24"/>
          <w:szCs w:val="24"/>
          <w:highlight w:val="none"/>
          <w:u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本项目的特定资格要求</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i w:val="0"/>
          <w:iCs w:val="0"/>
          <w:caps w:val="0"/>
          <w:color w:val="auto"/>
          <w:spacing w:val="0"/>
          <w:sz w:val="24"/>
          <w:szCs w:val="24"/>
          <w:highlight w:val="none"/>
          <w:u w:val="none"/>
          <w:shd w:val="clear" w:color="auto" w:fill="auto"/>
          <w:lang w:val="en-US" w:eastAsia="zh-CN"/>
        </w:rPr>
        <w:t>供应商</w:t>
      </w:r>
      <w:r>
        <w:rPr>
          <w:rFonts w:hint="eastAsia" w:ascii="宋体" w:hAnsi="宋体" w:eastAsia="宋体" w:cs="宋体"/>
          <w:i w:val="0"/>
          <w:iCs w:val="0"/>
          <w:caps w:val="0"/>
          <w:color w:val="auto"/>
          <w:spacing w:val="0"/>
          <w:sz w:val="24"/>
          <w:szCs w:val="24"/>
          <w:highlight w:val="none"/>
          <w:u w:val="none"/>
          <w:shd w:val="clear" w:color="auto" w:fill="auto"/>
        </w:rPr>
        <w:t>须具</w:t>
      </w:r>
      <w:r>
        <w:rPr>
          <w:rFonts w:hint="eastAsia" w:ascii="宋体" w:hAnsi="宋体" w:eastAsia="宋体" w:cs="宋体"/>
          <w:i w:val="0"/>
          <w:iCs w:val="0"/>
          <w:caps w:val="0"/>
          <w:color w:val="auto"/>
          <w:spacing w:val="0"/>
          <w:sz w:val="24"/>
          <w:szCs w:val="24"/>
          <w:highlight w:val="none"/>
          <w:u w:val="none"/>
          <w:shd w:val="clear" w:color="auto" w:fill="auto"/>
          <w:lang w:val="en-US" w:eastAsia="zh-CN"/>
        </w:rPr>
        <w:t>有有效期内的</w:t>
      </w:r>
      <w:r>
        <w:rPr>
          <w:rFonts w:hint="eastAsia" w:ascii="宋体" w:hAnsi="宋体" w:eastAsia="宋体" w:cs="宋体"/>
          <w:i w:val="0"/>
          <w:iCs w:val="0"/>
          <w:caps w:val="0"/>
          <w:color w:val="auto"/>
          <w:spacing w:val="0"/>
          <w:sz w:val="24"/>
          <w:szCs w:val="24"/>
          <w:highlight w:val="none"/>
          <w:u w:val="none"/>
          <w:shd w:val="clear" w:color="auto" w:fill="auto"/>
        </w:rPr>
        <w:t>测绘乙级及以上资质（专业范围必须包括测绘航空摄影和工程测量）</w:t>
      </w:r>
      <w:r>
        <w:rPr>
          <w:rFonts w:hint="eastAsia" w:ascii="宋体" w:hAnsi="宋体" w:eastAsia="宋体" w:cs="宋体"/>
          <w:i w:val="0"/>
          <w:iCs w:val="0"/>
          <w:caps w:val="0"/>
          <w:color w:val="auto"/>
          <w:spacing w:val="0"/>
          <w:sz w:val="24"/>
          <w:szCs w:val="24"/>
          <w:highlight w:val="none"/>
          <w:u w:val="none"/>
          <w:shd w:val="clear" w:color="auto" w:fill="auto"/>
          <w:lang w:eastAsia="zh-CN"/>
        </w:rPr>
        <w:t>。</w:t>
      </w:r>
    </w:p>
    <w:p w14:paraId="0D68C2DA">
      <w:pPr>
        <w:pStyle w:val="13"/>
        <w:keepNext/>
        <w:keepLines/>
        <w:spacing w:before="145" w:beforeAutospacing="0" w:after="145" w:afterAutospacing="0" w:line="360" w:lineRule="auto"/>
        <w:ind w:firstLine="498" w:firstLineChars="0"/>
        <w:jc w:val="both"/>
        <w:outlineLvl w:val="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三、获取</w:t>
      </w:r>
      <w:r>
        <w:rPr>
          <w:rFonts w:hint="eastAsia" w:ascii="宋体" w:hAnsi="宋体" w:eastAsia="宋体" w:cs="宋体"/>
          <w:b/>
          <w:color w:val="auto"/>
          <w:sz w:val="24"/>
          <w:szCs w:val="24"/>
          <w:highlight w:val="none"/>
          <w:shd w:val="clear" w:color="auto" w:fill="auto"/>
          <w:lang w:val="en-US" w:eastAsia="zh-CN"/>
        </w:rPr>
        <w:t>磋商</w:t>
      </w:r>
      <w:r>
        <w:rPr>
          <w:rFonts w:hint="eastAsia" w:ascii="宋体" w:hAnsi="宋体" w:eastAsia="宋体" w:cs="宋体"/>
          <w:b/>
          <w:color w:val="auto"/>
          <w:sz w:val="24"/>
          <w:szCs w:val="24"/>
          <w:highlight w:val="none"/>
          <w:shd w:val="clear" w:color="auto" w:fill="auto"/>
        </w:rPr>
        <w:t>文件</w:t>
      </w:r>
    </w:p>
    <w:p w14:paraId="15F91AA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right="0" w:firstLine="480" w:firstLineChars="200"/>
        <w:jc w:val="both"/>
        <w:textAlignment w:val="auto"/>
        <w:rPr>
          <w:rFonts w:hint="default" w:ascii="宋体" w:hAnsi="宋体" w:eastAsia="宋体" w:cs="宋体"/>
          <w:color w:val="auto"/>
          <w:kern w:val="0"/>
          <w:sz w:val="24"/>
          <w:szCs w:val="24"/>
          <w:highlight w:val="none"/>
          <w:shd w:val="clear" w:color="auto" w:fill="auto"/>
          <w:lang w:val="en-US" w:eastAsia="zh-CN" w:bidi="ar-SA"/>
        </w:rPr>
      </w:pPr>
      <w:bookmarkStart w:id="18" w:name="_Toc28359005"/>
      <w:bookmarkStart w:id="19" w:name="_Toc38985266"/>
      <w:bookmarkStart w:id="20" w:name="_Toc35393624"/>
      <w:bookmarkStart w:id="21" w:name="_Toc35393793"/>
      <w:bookmarkStart w:id="22" w:name="_Toc28359082"/>
      <w:r>
        <w:rPr>
          <w:rFonts w:hint="eastAsia" w:ascii="宋体" w:hAnsi="宋体" w:eastAsia="宋体" w:cs="宋体"/>
          <w:color w:val="auto"/>
          <w:sz w:val="24"/>
          <w:szCs w:val="24"/>
          <w:highlight w:val="none"/>
          <w:shd w:val="clear" w:color="auto" w:fill="auto"/>
        </w:rPr>
        <w:t>1.时间：</w:t>
      </w:r>
      <w:r>
        <w:rPr>
          <w:rFonts w:hint="eastAsia" w:ascii="宋体" w:hAnsi="宋体" w:eastAsia="宋体" w:cs="宋体"/>
          <w:color w:val="auto"/>
          <w:kern w:val="0"/>
          <w:sz w:val="24"/>
          <w:szCs w:val="24"/>
          <w:highlight w:val="none"/>
          <w:shd w:val="clear" w:color="auto" w:fill="auto"/>
          <w:lang w:val="en-US" w:eastAsia="zh-CN" w:bidi="ar-SA"/>
        </w:rPr>
        <w:t>自磋商文件公告发布之日起5个工作日</w:t>
      </w:r>
      <w:bookmarkEnd w:id="18"/>
      <w:bookmarkEnd w:id="19"/>
      <w:bookmarkEnd w:id="20"/>
      <w:bookmarkEnd w:id="21"/>
      <w:bookmarkEnd w:id="22"/>
      <w:r>
        <w:rPr>
          <w:rFonts w:hint="eastAsia" w:ascii="宋体" w:hAnsi="宋体" w:eastAsia="宋体" w:cs="宋体"/>
          <w:color w:val="auto"/>
          <w:kern w:val="0"/>
          <w:sz w:val="24"/>
          <w:szCs w:val="24"/>
          <w:highlight w:val="none"/>
          <w:shd w:val="clear" w:color="auto" w:fill="auto"/>
          <w:lang w:val="en-US" w:eastAsia="zh-CN" w:bidi="ar-SA"/>
        </w:rPr>
        <w:t>；</w:t>
      </w:r>
    </w:p>
    <w:p w14:paraId="3FE7E4A2">
      <w:pPr>
        <w:keepNext w:val="0"/>
        <w:keepLines w:val="0"/>
        <w:pageBreakBefore w:val="0"/>
        <w:widowControl/>
        <w:suppressLineNumbers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2.地点：“苏采云”系统内免费下载（投标人必须在苏采云系统中获取磋商文件，方能参与政府采购项目）；</w:t>
      </w:r>
    </w:p>
    <w:p w14:paraId="1CD7F0EF">
      <w:pPr>
        <w:keepNext w:val="0"/>
        <w:keepLines w:val="0"/>
        <w:pageBreakBefore w:val="0"/>
        <w:widowControl/>
        <w:suppressLineNumbers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3.方式：本项目采用网上注册登记方式； </w:t>
      </w:r>
    </w:p>
    <w:p w14:paraId="51A260B9">
      <w:pPr>
        <w:keepNext w:val="0"/>
        <w:keepLines w:val="0"/>
        <w:pageBreakBefore w:val="0"/>
        <w:widowControl/>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4.售价：0元。</w:t>
      </w:r>
    </w:p>
    <w:p w14:paraId="42C6071C">
      <w:pPr>
        <w:pStyle w:val="13"/>
        <w:keepNext/>
        <w:keepLines/>
        <w:spacing w:before="145" w:beforeAutospacing="0" w:after="145" w:afterAutospacing="0" w:line="360" w:lineRule="auto"/>
        <w:ind w:firstLine="498" w:firstLineChars="0"/>
        <w:jc w:val="both"/>
        <w:outlineLvl w:val="0"/>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rPr>
        <w:t>四、响应文件</w:t>
      </w:r>
      <w:r>
        <w:rPr>
          <w:rFonts w:hint="eastAsia" w:ascii="宋体" w:hAnsi="宋体" w:eastAsia="宋体" w:cs="宋体"/>
          <w:b/>
          <w:color w:val="auto"/>
          <w:sz w:val="24"/>
          <w:szCs w:val="24"/>
          <w:highlight w:val="none"/>
          <w:shd w:val="clear" w:color="auto" w:fill="auto"/>
          <w:lang w:val="en-US" w:eastAsia="zh-CN"/>
        </w:rPr>
        <w:t>提交</w:t>
      </w:r>
    </w:p>
    <w:p w14:paraId="2A59D346">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rPr>
        <w:t>1.截止时间：</w:t>
      </w:r>
      <w:r>
        <w:rPr>
          <w:rFonts w:hint="eastAsia" w:ascii="宋体" w:hAnsi="宋体" w:eastAsia="宋体" w:cs="宋体"/>
          <w:color w:val="auto"/>
          <w:sz w:val="24"/>
          <w:szCs w:val="24"/>
          <w:highlight w:val="none"/>
          <w:u w:val="none"/>
          <w:shd w:val="clear" w:color="auto" w:fill="auto"/>
        </w:rPr>
        <w:t>2026年</w:t>
      </w:r>
      <w:r>
        <w:rPr>
          <w:rFonts w:hint="eastAsia" w:ascii="宋体" w:hAnsi="宋体" w:eastAsia="宋体" w:cs="宋体"/>
          <w:color w:val="auto"/>
          <w:sz w:val="24"/>
          <w:szCs w:val="24"/>
          <w:highlight w:val="none"/>
          <w:u w:val="none"/>
          <w:shd w:val="clear" w:color="auto" w:fill="auto"/>
          <w:lang w:val="en-US" w:eastAsia="zh-CN"/>
        </w:rPr>
        <w:t>6</w:t>
      </w:r>
      <w:r>
        <w:rPr>
          <w:rFonts w:hint="eastAsia" w:ascii="宋体" w:hAnsi="宋体" w:eastAsia="宋体" w:cs="宋体"/>
          <w:color w:val="auto"/>
          <w:sz w:val="24"/>
          <w:szCs w:val="24"/>
          <w:highlight w:val="none"/>
          <w:u w:val="none"/>
          <w:shd w:val="clear" w:color="auto" w:fill="auto"/>
        </w:rPr>
        <w:t>月</w:t>
      </w:r>
      <w:r>
        <w:rPr>
          <w:rFonts w:hint="eastAsia" w:ascii="宋体" w:hAnsi="宋体" w:eastAsia="宋体" w:cs="宋体"/>
          <w:color w:val="auto"/>
          <w:sz w:val="24"/>
          <w:szCs w:val="24"/>
          <w:highlight w:val="none"/>
          <w:u w:val="none"/>
          <w:shd w:val="clear" w:color="auto" w:fill="auto"/>
          <w:lang w:val="en-US" w:eastAsia="zh-CN"/>
        </w:rPr>
        <w:t>16</w:t>
      </w:r>
      <w:r>
        <w:rPr>
          <w:rFonts w:hint="eastAsia" w:ascii="宋体" w:hAnsi="宋体" w:eastAsia="宋体" w:cs="宋体"/>
          <w:color w:val="auto"/>
          <w:sz w:val="24"/>
          <w:szCs w:val="24"/>
          <w:highlight w:val="none"/>
          <w:u w:val="none"/>
          <w:shd w:val="clear" w:color="auto" w:fill="auto"/>
        </w:rPr>
        <w:t>日15点00分（北京时间）</w:t>
      </w:r>
      <w:r>
        <w:rPr>
          <w:rFonts w:hint="eastAsia" w:ascii="宋体" w:hAnsi="宋体" w:eastAsia="宋体" w:cs="宋体"/>
          <w:color w:val="auto"/>
          <w:sz w:val="24"/>
          <w:szCs w:val="24"/>
          <w:highlight w:val="none"/>
          <w:u w:val="none"/>
          <w:shd w:val="clear" w:color="auto" w:fill="auto"/>
          <w:lang w:eastAsia="zh-CN"/>
        </w:rPr>
        <w:t>；</w:t>
      </w:r>
    </w:p>
    <w:p w14:paraId="21BA548A">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rPr>
          <w:rFonts w:hint="eastAsia" w:ascii="宋体" w:hAnsi="宋体" w:eastAsia="宋体" w:cs="宋体"/>
          <w:sz w:val="24"/>
          <w:szCs w:val="24"/>
          <w:highlight w:val="none"/>
          <w:shd w:val="clear" w:color="auto" w:fill="auto"/>
          <w:lang w:eastAsia="zh-CN"/>
        </w:rPr>
      </w:pPr>
      <w:r>
        <w:rPr>
          <w:rFonts w:hint="eastAsia" w:ascii="宋体" w:hAnsi="宋体" w:eastAsia="宋体" w:cs="宋体"/>
          <w:i w:val="0"/>
          <w:iCs w:val="0"/>
          <w:caps w:val="0"/>
          <w:color w:val="auto"/>
          <w:spacing w:val="0"/>
          <w:kern w:val="0"/>
          <w:sz w:val="24"/>
          <w:szCs w:val="24"/>
          <w:highlight w:val="none"/>
          <w:shd w:val="clear" w:color="auto" w:fill="auto"/>
          <w:lang w:val="en-US" w:eastAsia="zh-CN" w:bidi="ar-SA"/>
        </w:rPr>
        <w:t>2.地点：</w:t>
      </w:r>
      <w:r>
        <w:rPr>
          <w:rFonts w:hint="eastAsia" w:ascii="宋体" w:hAnsi="宋体" w:eastAsia="宋体" w:cs="宋体"/>
          <w:color w:val="000000"/>
          <w:sz w:val="24"/>
          <w:szCs w:val="24"/>
          <w:highlight w:val="none"/>
          <w:shd w:val="clear" w:color="auto" w:fill="auto"/>
        </w:rPr>
        <w:t>苏采云“不见面”开标大厅</w:t>
      </w:r>
      <w:r>
        <w:rPr>
          <w:rFonts w:hint="eastAsia" w:ascii="宋体" w:hAnsi="宋体" w:eastAsia="宋体" w:cs="宋体"/>
          <w:color w:val="000000"/>
          <w:sz w:val="24"/>
          <w:szCs w:val="24"/>
          <w:highlight w:val="none"/>
          <w:shd w:val="clear" w:color="auto" w:fill="auto"/>
          <w:lang w:eastAsia="zh-CN"/>
        </w:rPr>
        <w:t>。</w:t>
      </w:r>
    </w:p>
    <w:p w14:paraId="24D6D9FB">
      <w:pPr>
        <w:pStyle w:val="13"/>
        <w:keepNext/>
        <w:keepLines/>
        <w:spacing w:before="145" w:beforeAutospacing="0" w:after="145" w:afterAutospacing="0" w:line="360" w:lineRule="auto"/>
        <w:ind w:firstLine="498" w:firstLineChars="0"/>
        <w:jc w:val="both"/>
        <w:outlineLvl w:val="0"/>
        <w:rPr>
          <w:rFonts w:hint="eastAsia" w:ascii="宋体" w:hAnsi="宋体" w:eastAsia="宋体" w:cs="宋体"/>
          <w:b/>
          <w:color w:val="auto"/>
          <w:sz w:val="24"/>
          <w:szCs w:val="24"/>
          <w:highlight w:val="none"/>
          <w:shd w:val="clear" w:color="auto" w:fill="auto"/>
        </w:rPr>
      </w:pPr>
      <w:bookmarkStart w:id="23" w:name="_Toc38985268"/>
      <w:bookmarkStart w:id="24" w:name="_Toc35393795"/>
      <w:bookmarkStart w:id="25" w:name="_Toc35393626"/>
      <w:r>
        <w:rPr>
          <w:rFonts w:hint="eastAsia" w:ascii="宋体" w:hAnsi="宋体" w:eastAsia="宋体" w:cs="宋体"/>
          <w:b/>
          <w:color w:val="auto"/>
          <w:sz w:val="24"/>
          <w:szCs w:val="24"/>
          <w:highlight w:val="none"/>
          <w:shd w:val="clear" w:color="auto" w:fill="auto"/>
        </w:rPr>
        <w:t>五、开启</w:t>
      </w:r>
    </w:p>
    <w:p w14:paraId="474FF7F3">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1.</w:t>
      </w:r>
      <w:r>
        <w:rPr>
          <w:rFonts w:hint="eastAsia" w:ascii="宋体" w:hAnsi="宋体" w:eastAsia="宋体" w:cs="宋体"/>
          <w:i w:val="0"/>
          <w:iCs w:val="0"/>
          <w:caps w:val="0"/>
          <w:color w:val="auto"/>
          <w:spacing w:val="0"/>
          <w:sz w:val="24"/>
          <w:szCs w:val="24"/>
          <w:highlight w:val="none"/>
          <w:shd w:val="clear" w:color="auto" w:fill="auto"/>
        </w:rPr>
        <w:t>时间：</w:t>
      </w:r>
      <w:bookmarkEnd w:id="23"/>
      <w:bookmarkEnd w:id="24"/>
      <w:bookmarkEnd w:id="25"/>
      <w:r>
        <w:rPr>
          <w:rFonts w:hint="eastAsia" w:ascii="宋体" w:hAnsi="宋体" w:eastAsia="宋体" w:cs="宋体"/>
          <w:i w:val="0"/>
          <w:iCs w:val="0"/>
          <w:caps w:val="0"/>
          <w:color w:val="auto"/>
          <w:spacing w:val="0"/>
          <w:sz w:val="24"/>
          <w:szCs w:val="24"/>
          <w:highlight w:val="none"/>
          <w:shd w:val="clear" w:color="auto" w:fill="auto"/>
        </w:rPr>
        <w:t>2026年</w:t>
      </w:r>
      <w:r>
        <w:rPr>
          <w:rFonts w:hint="eastAsia" w:ascii="宋体" w:hAnsi="宋体" w:eastAsia="宋体" w:cs="宋体"/>
          <w:i w:val="0"/>
          <w:iCs w:val="0"/>
          <w:caps w:val="0"/>
          <w:color w:val="auto"/>
          <w:spacing w:val="0"/>
          <w:sz w:val="24"/>
          <w:szCs w:val="24"/>
          <w:highlight w:val="none"/>
          <w:shd w:val="clear" w:color="auto" w:fill="auto"/>
          <w:lang w:val="en-US" w:eastAsia="zh-CN"/>
        </w:rPr>
        <w:t>6</w:t>
      </w:r>
      <w:r>
        <w:rPr>
          <w:rFonts w:hint="eastAsia" w:ascii="宋体" w:hAnsi="宋体" w:eastAsia="宋体" w:cs="宋体"/>
          <w:i w:val="0"/>
          <w:iCs w:val="0"/>
          <w:caps w:val="0"/>
          <w:color w:val="auto"/>
          <w:spacing w:val="0"/>
          <w:sz w:val="24"/>
          <w:szCs w:val="24"/>
          <w:highlight w:val="none"/>
          <w:shd w:val="clear" w:color="auto" w:fill="auto"/>
        </w:rPr>
        <w:t>月</w:t>
      </w:r>
      <w:r>
        <w:rPr>
          <w:rFonts w:hint="eastAsia" w:ascii="宋体" w:hAnsi="宋体" w:eastAsia="宋体" w:cs="宋体"/>
          <w:i w:val="0"/>
          <w:iCs w:val="0"/>
          <w:caps w:val="0"/>
          <w:color w:val="auto"/>
          <w:spacing w:val="0"/>
          <w:sz w:val="24"/>
          <w:szCs w:val="24"/>
          <w:highlight w:val="none"/>
          <w:shd w:val="clear" w:color="auto" w:fill="auto"/>
          <w:lang w:val="en-US" w:eastAsia="zh-CN"/>
        </w:rPr>
        <w:t>16</w:t>
      </w:r>
      <w:r>
        <w:rPr>
          <w:rFonts w:hint="eastAsia" w:ascii="宋体" w:hAnsi="宋体" w:eastAsia="宋体" w:cs="宋体"/>
          <w:i w:val="0"/>
          <w:iCs w:val="0"/>
          <w:caps w:val="0"/>
          <w:color w:val="auto"/>
          <w:spacing w:val="0"/>
          <w:sz w:val="24"/>
          <w:szCs w:val="24"/>
          <w:highlight w:val="none"/>
          <w:shd w:val="clear" w:color="auto" w:fill="auto"/>
        </w:rPr>
        <w:t>日15点00分（北京时间）</w:t>
      </w:r>
      <w:r>
        <w:rPr>
          <w:rFonts w:hint="eastAsia" w:ascii="宋体" w:hAnsi="宋体" w:eastAsia="宋体" w:cs="宋体"/>
          <w:i w:val="0"/>
          <w:iCs w:val="0"/>
          <w:caps w:val="0"/>
          <w:color w:val="auto"/>
          <w:spacing w:val="0"/>
          <w:sz w:val="24"/>
          <w:szCs w:val="24"/>
          <w:highlight w:val="none"/>
          <w:shd w:val="clear" w:color="auto" w:fill="auto"/>
          <w:lang w:eastAsia="zh-CN"/>
        </w:rPr>
        <w:t>；</w:t>
      </w:r>
    </w:p>
    <w:p w14:paraId="077143D5">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2.</w:t>
      </w:r>
      <w:r>
        <w:rPr>
          <w:rFonts w:hint="eastAsia" w:ascii="宋体" w:hAnsi="宋体" w:eastAsia="宋体" w:cs="宋体"/>
          <w:i w:val="0"/>
          <w:iCs w:val="0"/>
          <w:caps w:val="0"/>
          <w:color w:val="auto"/>
          <w:spacing w:val="0"/>
          <w:sz w:val="24"/>
          <w:szCs w:val="24"/>
          <w:highlight w:val="none"/>
          <w:shd w:val="clear" w:color="auto" w:fill="auto"/>
        </w:rPr>
        <w:t>地点：苏采云“不见面”开标大厅</w:t>
      </w:r>
      <w:r>
        <w:rPr>
          <w:rFonts w:hint="eastAsia" w:ascii="宋体" w:hAnsi="宋体" w:eastAsia="宋体" w:cs="宋体"/>
          <w:i w:val="0"/>
          <w:iCs w:val="0"/>
          <w:caps w:val="0"/>
          <w:color w:val="auto"/>
          <w:spacing w:val="0"/>
          <w:sz w:val="24"/>
          <w:szCs w:val="24"/>
          <w:highlight w:val="none"/>
          <w:shd w:val="clear" w:color="auto" w:fill="auto"/>
          <w:lang w:eastAsia="zh-CN"/>
        </w:rPr>
        <w:t>。</w:t>
      </w:r>
    </w:p>
    <w:p w14:paraId="07D074C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3" w:lineRule="atLeast"/>
        <w:ind w:right="0" w:rightChars="0" w:firstLine="482" w:firstLineChars="200"/>
        <w:jc w:val="both"/>
        <w:outlineLvl w:val="0"/>
        <w:rPr>
          <w:rFonts w:hint="eastAsia" w:ascii="宋体" w:hAnsi="宋体" w:eastAsia="宋体" w:cs="宋体"/>
          <w:b/>
          <w:bCs w:val="0"/>
          <w:color w:val="auto"/>
          <w:kern w:val="0"/>
          <w:sz w:val="24"/>
          <w:szCs w:val="24"/>
          <w:highlight w:val="none"/>
          <w:shd w:val="clear" w:color="auto" w:fill="auto"/>
          <w:lang w:val="en-US" w:eastAsia="zh-CN" w:bidi="ar-SA"/>
        </w:rPr>
      </w:pPr>
      <w:bookmarkStart w:id="26" w:name="_Toc28359094"/>
      <w:r>
        <w:rPr>
          <w:rFonts w:hint="eastAsia" w:ascii="宋体" w:hAnsi="宋体" w:eastAsia="宋体" w:cs="宋体"/>
          <w:b/>
          <w:bCs w:val="0"/>
          <w:color w:val="auto"/>
          <w:kern w:val="0"/>
          <w:sz w:val="24"/>
          <w:szCs w:val="24"/>
          <w:highlight w:val="none"/>
          <w:shd w:val="clear" w:color="auto" w:fill="auto"/>
          <w:lang w:val="en-US" w:eastAsia="zh-CN" w:bidi="ar-SA"/>
        </w:rPr>
        <w:t>六、公告期限</w:t>
      </w:r>
      <w:bookmarkEnd w:id="26"/>
    </w:p>
    <w:p w14:paraId="3E485BB2">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自本公告发布之日起5个工作日。</w:t>
      </w:r>
    </w:p>
    <w:p w14:paraId="3718DB75">
      <w:pPr>
        <w:pStyle w:val="13"/>
        <w:keepNext/>
        <w:keepLines/>
        <w:spacing w:before="145" w:beforeAutospacing="0" w:after="145" w:afterAutospacing="0" w:line="360" w:lineRule="auto"/>
        <w:ind w:firstLine="498" w:firstLineChars="0"/>
        <w:jc w:val="both"/>
        <w:outlineLvl w:val="0"/>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七</w:t>
      </w:r>
      <w:r>
        <w:rPr>
          <w:rFonts w:hint="eastAsia" w:ascii="宋体" w:hAnsi="宋体" w:eastAsia="宋体" w:cs="宋体"/>
          <w:b/>
          <w:color w:val="auto"/>
          <w:sz w:val="24"/>
          <w:szCs w:val="24"/>
          <w:highlight w:val="none"/>
          <w:shd w:val="clear" w:color="auto" w:fill="auto"/>
        </w:rPr>
        <w:t>、其他补充事宜</w:t>
      </w:r>
    </w:p>
    <w:p w14:paraId="7317D8B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bookmarkStart w:id="27" w:name="_Toc28359018"/>
      <w:r>
        <w:rPr>
          <w:rFonts w:hint="eastAsia" w:ascii="宋体" w:hAnsi="宋体" w:eastAsia="宋体" w:cs="宋体"/>
          <w:i w:val="0"/>
          <w:iCs w:val="0"/>
          <w:caps w:val="0"/>
          <w:color w:val="auto"/>
          <w:spacing w:val="0"/>
          <w:sz w:val="24"/>
          <w:szCs w:val="24"/>
          <w:highlight w:val="none"/>
          <w:shd w:val="clear" w:color="auto" w:fill="auto"/>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p>
    <w:p w14:paraId="2ACEF3D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p>
    <w:p w14:paraId="68E2D381">
      <w:pPr>
        <w:keepNext w:val="0"/>
        <w:keepLines w:val="0"/>
        <w:pageBreakBefore w:val="0"/>
        <w:widowControl/>
        <w:suppressLineNumbers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2.潜在供应商访问电子招标响应交易平台的网络地址和方法： </w:t>
      </w:r>
    </w:p>
    <w:p w14:paraId="4731B584">
      <w:pPr>
        <w:keepNext w:val="0"/>
        <w:keepLines w:val="0"/>
        <w:pageBreakBefore w:val="0"/>
        <w:widowControl/>
        <w:suppressLineNumbers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2.1“苏采云”系统用户注册--获取“CA 数字证书”--CA 绑定与登录--参与投标--下载磋商文件（后缀名为“.kedt”）--将后缀名为“.kedt”的磋商文件导入政府采购客户端工具--制作响应文件--导出加密的响应文件（后缀名为 zip）--通过“苏采云”系统上传响应文件。具体见《“苏采云”系统供应商操作手册》（手册下载地址：苏采云系统-右侧消息通知栏）。 </w:t>
      </w:r>
    </w:p>
    <w:p w14:paraId="3C9E7C20">
      <w:pPr>
        <w:keepNext w:val="0"/>
        <w:keepLines w:val="0"/>
        <w:pageBreakBefore w:val="0"/>
        <w:widowControl/>
        <w:suppressLineNumbers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2.2 潜在供应商访问“苏采云”系统方法：江苏省政府采购网首页-“苏采云”链接。 </w:t>
      </w:r>
    </w:p>
    <w:p w14:paraId="26C5B37D">
      <w:pPr>
        <w:keepNext w:val="0"/>
        <w:keepLines w:val="0"/>
        <w:pageBreakBefore w:val="0"/>
        <w:widowControl/>
        <w:suppressLineNumbers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2.3 磋商文件（后缀名为“.kedt”）、供应商操作手册及政府采购客户端工具可通过“苏采云”系统相应链接进行下载。 </w:t>
      </w:r>
    </w:p>
    <w:p w14:paraId="122A2942">
      <w:pPr>
        <w:keepNext w:val="0"/>
        <w:keepLines w:val="0"/>
        <w:pageBreakBefore w:val="0"/>
        <w:widowControl/>
        <w:suppressLineNumbers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2.4 采购代理机构将数据电文形式的磋商文件加载至“苏采云”系统，供潜在供应商下载或者查阅。 </w:t>
      </w:r>
    </w:p>
    <w:p w14:paraId="0638E762">
      <w:pPr>
        <w:keepNext w:val="0"/>
        <w:keepLines w:val="0"/>
        <w:pageBreakBefore w:val="0"/>
        <w:widowControl/>
        <w:suppressLineNumbers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2.5 请潜在供应商提前安装相应的控件（详见《“苏采云”系统供应商操作手册》）并使用谷歌浏览器登录“苏采云”系统参与不见面开评标。 </w:t>
      </w:r>
    </w:p>
    <w:p w14:paraId="74E6B898">
      <w:pPr>
        <w:keepNext w:val="0"/>
        <w:keepLines w:val="0"/>
        <w:pageBreakBefore w:val="0"/>
        <w:widowControl/>
        <w:suppressLineNumbers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如潜在供应商未按上述要求操作，将自行承担所产生的风险。</w:t>
      </w:r>
    </w:p>
    <w:p w14:paraId="741C0DC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exact"/>
        <w:ind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3.有关本次磋商的事项若存在变动或修改，敬请及时关注</w:t>
      </w:r>
      <w:r>
        <w:rPr>
          <w:rFonts w:hint="eastAsia" w:ascii="宋体" w:hAnsi="宋体"/>
          <w:color w:val="000000"/>
          <w:sz w:val="24"/>
          <w:szCs w:val="32"/>
          <w:highlight w:val="none"/>
          <w:lang w:val="en-US" w:eastAsia="zh-CN"/>
        </w:rPr>
        <w:t>采购代理机构</w:t>
      </w:r>
      <w:r>
        <w:rPr>
          <w:rFonts w:hint="eastAsia" w:ascii="宋体" w:hAnsi="宋体" w:eastAsia="宋体" w:cs="宋体"/>
          <w:i w:val="0"/>
          <w:iCs w:val="0"/>
          <w:caps w:val="0"/>
          <w:color w:val="auto"/>
          <w:spacing w:val="0"/>
          <w:sz w:val="24"/>
          <w:szCs w:val="24"/>
          <w:highlight w:val="none"/>
          <w:shd w:val="clear" w:color="auto" w:fill="auto"/>
          <w:lang w:val="en-US" w:eastAsia="zh-CN"/>
        </w:rPr>
        <w:t>在</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lang w:val="en-US" w:eastAsia="zh-CN" w:bidi="ar-SA"/>
        </w:rPr>
        <w:t>中国政府采购网”“</w:t>
      </w:r>
      <w:r>
        <w:rPr>
          <w:rFonts w:hint="eastAsia" w:ascii="宋体" w:hAnsi="宋体" w:eastAsia="宋体" w:cs="宋体"/>
          <w:i w:val="0"/>
          <w:iCs w:val="0"/>
          <w:caps w:val="0"/>
          <w:color w:val="auto"/>
          <w:spacing w:val="0"/>
          <w:sz w:val="24"/>
          <w:szCs w:val="24"/>
          <w:highlight w:val="none"/>
          <w:shd w:val="clear" w:color="auto" w:fill="auto"/>
          <w:lang w:val="en-US" w:eastAsia="zh-CN"/>
        </w:rPr>
        <w:t>江苏政府采购网”“盐城市政府采购网”发布的更正公告。</w:t>
      </w:r>
    </w:p>
    <w:p w14:paraId="6B6B668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4.本次磋商不收取磋商保证金，不收取质量保证金。</w:t>
      </w:r>
    </w:p>
    <w:p w14:paraId="47A845C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3" w:lineRule="atLeast"/>
        <w:ind w:left="0" w:leftChars="0" w:right="0" w:rightChars="0" w:firstLine="482" w:firstLineChars="200"/>
        <w:jc w:val="both"/>
        <w:outlineLvl w:val="0"/>
        <w:rPr>
          <w:rFonts w:hint="eastAsia" w:ascii="宋体" w:hAnsi="宋体" w:eastAsia="宋体" w:cs="宋体"/>
          <w:b/>
          <w:bCs w:val="0"/>
          <w:color w:val="auto"/>
          <w:kern w:val="0"/>
          <w:sz w:val="24"/>
          <w:szCs w:val="24"/>
          <w:highlight w:val="none"/>
          <w:shd w:val="clear" w:color="auto" w:fill="auto"/>
          <w:lang w:val="en-US" w:eastAsia="zh-CN" w:bidi="ar-SA"/>
        </w:rPr>
      </w:pPr>
      <w:r>
        <w:rPr>
          <w:rFonts w:hint="eastAsia" w:ascii="宋体" w:hAnsi="宋体" w:eastAsia="宋体" w:cs="宋体"/>
          <w:b/>
          <w:bCs w:val="0"/>
          <w:color w:val="auto"/>
          <w:kern w:val="0"/>
          <w:sz w:val="24"/>
          <w:szCs w:val="24"/>
          <w:highlight w:val="none"/>
          <w:shd w:val="clear" w:color="auto" w:fill="auto"/>
          <w:lang w:val="en-US" w:eastAsia="zh-CN" w:bidi="ar-SA"/>
        </w:rPr>
        <w:t>八、凡对本次采购提出询问，请按以下方式联系。</w:t>
      </w:r>
      <w:bookmarkEnd w:id="27"/>
    </w:p>
    <w:p w14:paraId="5E124BC4">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1.采购人信息</w:t>
      </w:r>
    </w:p>
    <w:p w14:paraId="6A019226">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称：射阳县自然资源和规划局 </w:t>
      </w:r>
    </w:p>
    <w:p w14:paraId="7A735E85">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    址：县城幸福大道26号（台阳•博雅苑写字楼A座8至10楼）              </w:t>
      </w:r>
    </w:p>
    <w:p w14:paraId="51FEB0B5">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联系方式：0515-82331654     </w:t>
      </w:r>
      <w:bookmarkStart w:id="28" w:name="_Toc28359009"/>
      <w:bookmarkEnd w:id="28"/>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p>
    <w:p w14:paraId="33023DE9">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p>
    <w:p w14:paraId="0FD1AEED">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2.采购代理机构信息</w:t>
      </w:r>
    </w:p>
    <w:p w14:paraId="0C05E702">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名    称：射阳宏远财会服务有限公司</w:t>
      </w:r>
    </w:p>
    <w:p w14:paraId="76F7D97B">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    址：射阳县合德镇沿河路17-1号                    </w:t>
      </w:r>
    </w:p>
    <w:p w14:paraId="733ED21A">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联系方式：</w:t>
      </w:r>
      <w:bookmarkStart w:id="29" w:name="_Toc28359010"/>
      <w:bookmarkStart w:id="30" w:name="_Toc28359087"/>
      <w:r>
        <w:rPr>
          <w:rFonts w:hint="eastAsia" w:ascii="宋体" w:hAnsi="宋体" w:eastAsia="宋体" w:cs="宋体"/>
          <w:i w:val="0"/>
          <w:iCs w:val="0"/>
          <w:caps w:val="0"/>
          <w:color w:val="auto"/>
          <w:spacing w:val="0"/>
          <w:sz w:val="24"/>
          <w:szCs w:val="24"/>
          <w:highlight w:val="none"/>
          <w:shd w:val="clear" w:color="auto" w:fill="auto"/>
          <w:lang w:val="en-US" w:eastAsia="zh-CN"/>
        </w:rPr>
        <w:t>13851150809       </w:t>
      </w:r>
      <w:bookmarkEnd w:id="29"/>
      <w:bookmarkEnd w:id="30"/>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p>
    <w:p w14:paraId="110D3684">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bookmarkStart w:id="31" w:name="_Toc28359021"/>
    </w:p>
    <w:p w14:paraId="5BAF3E5B">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3.</w:t>
      </w:r>
      <w:bookmarkEnd w:id="31"/>
      <w:r>
        <w:rPr>
          <w:rFonts w:hint="eastAsia" w:ascii="宋体" w:hAnsi="宋体" w:eastAsia="宋体" w:cs="宋体"/>
          <w:i w:val="0"/>
          <w:iCs w:val="0"/>
          <w:caps w:val="0"/>
          <w:color w:val="auto"/>
          <w:spacing w:val="0"/>
          <w:sz w:val="24"/>
          <w:szCs w:val="24"/>
          <w:highlight w:val="none"/>
          <w:shd w:val="clear" w:color="auto" w:fill="auto"/>
          <w:lang w:val="en-US" w:eastAsia="zh-CN"/>
        </w:rPr>
        <w:t>项目联系方式</w:t>
      </w:r>
    </w:p>
    <w:p w14:paraId="3F75821D">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项目联系人：戴苏华</w:t>
      </w:r>
    </w:p>
    <w:p w14:paraId="68238B0A">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电　　  话：13851133133　　　　　　　　　　　　</w:t>
      </w:r>
    </w:p>
    <w:p w14:paraId="37C9F595">
      <w:pPr>
        <w:rPr>
          <w:rFonts w:hint="eastAsia" w:ascii="仿宋" w:hAnsi="仿宋" w:eastAsia="仿宋" w:cs="仿宋"/>
          <w:b/>
          <w:color w:val="auto"/>
          <w:sz w:val="28"/>
          <w:szCs w:val="28"/>
          <w:highlight w:val="none"/>
          <w:shd w:val="clear" w:color="auto" w:fill="auto"/>
        </w:rPr>
      </w:pPr>
      <w:r>
        <w:rPr>
          <w:rFonts w:hint="eastAsia" w:ascii="仿宋" w:hAnsi="仿宋" w:eastAsia="仿宋" w:cs="仿宋"/>
          <w:b/>
          <w:color w:val="auto"/>
          <w:sz w:val="28"/>
          <w:szCs w:val="28"/>
          <w:highlight w:val="none"/>
          <w:shd w:val="clear" w:color="auto" w:fill="auto"/>
        </w:rPr>
        <w:br w:type="page"/>
      </w:r>
    </w:p>
    <w:p w14:paraId="1C0812BF">
      <w:pPr>
        <w:pStyle w:val="13"/>
        <w:spacing w:beforeAutospacing="0" w:afterAutospacing="0"/>
        <w:ind w:right="840" w:rightChars="0"/>
        <w:jc w:val="center"/>
        <w:outlineLvl w:val="0"/>
        <w:rPr>
          <w:color w:val="auto"/>
          <w:highlight w:val="none"/>
        </w:rPr>
      </w:pPr>
      <w:bookmarkStart w:id="32" w:name="_Toc120614211"/>
      <w:r>
        <w:rPr>
          <w:rFonts w:hint="eastAsia" w:ascii="黑体" w:hAnsi="宋体" w:eastAsia="黑体" w:cs="黑体"/>
          <w:b/>
          <w:color w:val="auto"/>
          <w:sz w:val="44"/>
          <w:szCs w:val="44"/>
          <w:highlight w:val="none"/>
        </w:rPr>
        <w:t xml:space="preserve">第二章  </w:t>
      </w:r>
      <w:bookmarkEnd w:id="32"/>
      <w:r>
        <w:rPr>
          <w:rFonts w:hint="eastAsia" w:ascii="黑体" w:hAnsi="宋体" w:eastAsia="黑体" w:cs="黑体"/>
          <w:b/>
          <w:color w:val="auto"/>
          <w:sz w:val="44"/>
          <w:szCs w:val="44"/>
          <w:highlight w:val="none"/>
        </w:rPr>
        <w:t>供应商须知</w:t>
      </w:r>
    </w:p>
    <w:p w14:paraId="52D44FEC">
      <w:pPr>
        <w:pStyle w:val="13"/>
        <w:keepNext/>
        <w:keepLines/>
        <w:spacing w:before="145" w:beforeAutospacing="0" w:after="145" w:afterAutospacing="0" w:line="360" w:lineRule="auto"/>
        <w:ind w:firstLine="498" w:firstLineChars="0"/>
        <w:jc w:val="both"/>
        <w:outlineLvl w:val="0"/>
        <w:rPr>
          <w:rFonts w:hint="eastAsia" w:ascii="宋体" w:hAnsi="宋体" w:eastAsia="宋体" w:cs="宋体"/>
          <w:color w:val="auto"/>
          <w:sz w:val="24"/>
          <w:szCs w:val="24"/>
          <w:highlight w:val="none"/>
        </w:rPr>
      </w:pPr>
      <w:bookmarkStart w:id="33" w:name="_Toc513029203"/>
      <w:bookmarkStart w:id="34" w:name="_Toc20823275"/>
      <w:bookmarkStart w:id="35" w:name="_Toc16938519"/>
      <w:bookmarkStart w:id="36" w:name="_Toc120614214"/>
      <w:r>
        <w:rPr>
          <w:rFonts w:hint="eastAsia" w:ascii="宋体" w:hAnsi="宋体" w:eastAsia="宋体" w:cs="宋体"/>
          <w:b/>
          <w:color w:val="auto"/>
          <w:sz w:val="24"/>
          <w:szCs w:val="24"/>
          <w:highlight w:val="none"/>
        </w:rPr>
        <w:t>一、总则</w:t>
      </w:r>
      <w:bookmarkEnd w:id="33"/>
      <w:bookmarkEnd w:id="34"/>
      <w:bookmarkEnd w:id="35"/>
      <w:bookmarkEnd w:id="36"/>
    </w:p>
    <w:p w14:paraId="3AA919CD">
      <w:pPr>
        <w:pStyle w:val="13"/>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color w:val="auto"/>
          <w:sz w:val="24"/>
          <w:szCs w:val="24"/>
          <w:highlight w:val="none"/>
        </w:rPr>
      </w:pPr>
      <w:bookmarkStart w:id="37" w:name="_Toc20823276"/>
      <w:bookmarkStart w:id="38" w:name="_Toc458694821"/>
      <w:bookmarkStart w:id="39" w:name="_Toc513029204"/>
      <w:bookmarkStart w:id="40" w:name="_Toc16938520"/>
      <w:bookmarkStart w:id="41" w:name="_Hlt16619475"/>
      <w:r>
        <w:rPr>
          <w:rFonts w:hint="eastAsia" w:ascii="宋体" w:hAnsi="宋体" w:eastAsia="宋体" w:cs="宋体"/>
          <w:color w:val="auto"/>
          <w:sz w:val="24"/>
          <w:szCs w:val="24"/>
          <w:highlight w:val="none"/>
        </w:rPr>
        <w:t>1</w:t>
      </w:r>
      <w:bookmarkEnd w:id="37"/>
      <w:r>
        <w:rPr>
          <w:rFonts w:hint="eastAsia" w:ascii="宋体" w:hAnsi="宋体" w:eastAsia="宋体" w:cs="宋体"/>
          <w:color w:val="auto"/>
          <w:sz w:val="24"/>
          <w:szCs w:val="24"/>
          <w:highlight w:val="none"/>
        </w:rPr>
        <w:t>、采购方式</w:t>
      </w:r>
      <w:bookmarkEnd w:id="38"/>
      <w:bookmarkEnd w:id="39"/>
      <w:bookmarkEnd w:id="40"/>
    </w:p>
    <w:p w14:paraId="4F29A25A">
      <w:pPr>
        <w:pStyle w:val="13"/>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本次政府采购活动采取竞争性磋商(以下简称磋商)方式，本磋商文件仅适用于磋商公告中所述项目。</w:t>
      </w:r>
    </w:p>
    <w:p w14:paraId="66C24DC5">
      <w:pPr>
        <w:pStyle w:val="13"/>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color w:val="auto"/>
          <w:sz w:val="24"/>
          <w:szCs w:val="24"/>
          <w:highlight w:val="none"/>
        </w:rPr>
      </w:pPr>
      <w:bookmarkStart w:id="42" w:name="_Toc513029205"/>
      <w:bookmarkStart w:id="43" w:name="_Toc20823277"/>
      <w:bookmarkStart w:id="44" w:name="_Toc16938521"/>
      <w:r>
        <w:rPr>
          <w:rFonts w:hint="eastAsia" w:ascii="宋体" w:hAnsi="宋体" w:eastAsia="宋体" w:cs="宋体"/>
          <w:color w:val="auto"/>
          <w:sz w:val="24"/>
          <w:szCs w:val="24"/>
          <w:highlight w:val="none"/>
        </w:rPr>
        <w:t>2、合格的</w:t>
      </w:r>
      <w:bookmarkEnd w:id="42"/>
      <w:bookmarkEnd w:id="43"/>
      <w:bookmarkEnd w:id="44"/>
      <w:r>
        <w:rPr>
          <w:rFonts w:hint="eastAsia" w:ascii="宋体" w:hAnsi="宋体" w:eastAsia="宋体" w:cs="宋体"/>
          <w:color w:val="auto"/>
          <w:sz w:val="24"/>
          <w:szCs w:val="24"/>
          <w:highlight w:val="none"/>
        </w:rPr>
        <w:t>供应商</w:t>
      </w:r>
    </w:p>
    <w:p w14:paraId="1A196F40">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2.1满足磋商公告中供应商资格要求的规定。</w:t>
      </w:r>
    </w:p>
    <w:p w14:paraId="76E76C1D">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满足本磋商文件实质性要求和条件的规定。</w:t>
      </w:r>
    </w:p>
    <w:p w14:paraId="4170807A">
      <w:pPr>
        <w:pageBreakBefore w:val="0"/>
        <w:widowControl w:val="0"/>
        <w:kinsoku/>
        <w:wordWrap/>
        <w:overflowPunct/>
        <w:topLinePunct w:val="0"/>
        <w:autoSpaceDE/>
        <w:autoSpaceDN/>
        <w:bidi w:val="0"/>
        <w:adjustRightInd/>
        <w:snapToGrid/>
        <w:spacing w:line="360" w:lineRule="exact"/>
        <w:ind w:firstLine="480" w:firstLineChars="200"/>
        <w:textAlignment w:val="auto"/>
        <w:outlineLvl w:val="1"/>
        <w:rPr>
          <w:rFonts w:hint="eastAsia" w:ascii="方正魏碑_GBK" w:hAnsi="方正魏碑_GBK" w:eastAsia="方正魏碑_GBK" w:cs="方正魏碑_GBK"/>
          <w:color w:val="auto"/>
          <w:sz w:val="24"/>
          <w:szCs w:val="21"/>
        </w:rPr>
      </w:pPr>
      <w:bookmarkStart w:id="45" w:name="_Toc513029206"/>
      <w:bookmarkStart w:id="46" w:name="_Toc20823278"/>
      <w:bookmarkStart w:id="47" w:name="_Toc16938522"/>
      <w:bookmarkStart w:id="48" w:name="_Toc513029207"/>
      <w:bookmarkStart w:id="49" w:name="_Toc20823279"/>
      <w:bookmarkStart w:id="50" w:name="_Toc462564067"/>
      <w:bookmarkStart w:id="51" w:name="_Toc16938523"/>
      <w:r>
        <w:rPr>
          <w:rFonts w:hint="eastAsia" w:ascii="方正魏碑_GBK" w:hAnsi="方正魏碑_GBK" w:eastAsia="方正魏碑_GBK" w:cs="方正魏碑_GBK"/>
          <w:color w:val="auto"/>
          <w:sz w:val="24"/>
          <w:szCs w:val="21"/>
        </w:rPr>
        <w:t>3、适用法律</w:t>
      </w:r>
      <w:bookmarkEnd w:id="45"/>
      <w:bookmarkEnd w:id="46"/>
      <w:bookmarkEnd w:id="47"/>
      <w:r>
        <w:rPr>
          <w:rFonts w:hint="eastAsia" w:ascii="方正魏碑_GBK" w:hAnsi="方正魏碑_GBK" w:eastAsia="方正魏碑_GBK" w:cs="方正魏碑_GBK"/>
          <w:color w:val="auto"/>
          <w:sz w:val="24"/>
          <w:szCs w:val="21"/>
        </w:rPr>
        <w:t>和标准</w:t>
      </w:r>
    </w:p>
    <w:p w14:paraId="60757E93">
      <w:pPr>
        <w:pStyle w:val="13"/>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7F9D1500">
      <w:pPr>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rPr>
        <w:t>3.2 在本项目政府采购活动过程中，如果所执行的标准有更新的，按照最新标准执行。</w:t>
      </w:r>
    </w:p>
    <w:p w14:paraId="3E61F9DA">
      <w:pPr>
        <w:pStyle w:val="13"/>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4、磋商费用</w:t>
      </w:r>
      <w:bookmarkEnd w:id="48"/>
      <w:bookmarkEnd w:id="49"/>
      <w:bookmarkEnd w:id="50"/>
      <w:bookmarkEnd w:id="51"/>
    </w:p>
    <w:p w14:paraId="53C618FE">
      <w:pPr>
        <w:pStyle w:val="13"/>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4.1供应商应自行承担所有与参加本次磋商有关的费用，无论磋商过程中的做法和结果如何，采购人和射阳宏远财会服务有限公司（以下简称代理机构）在任何情况下均无义务和责任承担这些费用。</w:t>
      </w:r>
    </w:p>
    <w:p w14:paraId="0227810F">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4.2本次磋商采购代理机构和采购人不收取标书工本费。</w:t>
      </w:r>
    </w:p>
    <w:p w14:paraId="43C27EB4">
      <w:pPr>
        <w:pStyle w:val="13"/>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5、磋商</w:t>
      </w:r>
      <w:r>
        <w:rPr>
          <w:rFonts w:hint="eastAsia" w:ascii="宋体" w:hAnsi="宋体" w:eastAsia="宋体" w:cs="宋体"/>
          <w:color w:val="auto"/>
          <w:sz w:val="24"/>
          <w:szCs w:val="24"/>
          <w:highlight w:val="none"/>
        </w:rPr>
        <w:t>文件的约束力</w:t>
      </w:r>
    </w:p>
    <w:p w14:paraId="6701A711">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5.1供应商一旦参加本项目采购活动，即被认为接受了本磋商文件的规定和约束。</w:t>
      </w:r>
    </w:p>
    <w:p w14:paraId="7671F4DA">
      <w:pPr>
        <w:pStyle w:val="13"/>
        <w:keepNext/>
        <w:keepLines/>
        <w:spacing w:before="145" w:beforeAutospacing="0" w:after="145" w:afterAutospacing="0" w:line="360" w:lineRule="auto"/>
        <w:ind w:firstLine="321" w:firstLineChars="0"/>
        <w:jc w:val="both"/>
        <w:outlineLvl w:val="0"/>
        <w:rPr>
          <w:rFonts w:hint="eastAsia" w:ascii="宋体" w:hAnsi="宋体" w:eastAsia="宋体" w:cs="宋体"/>
          <w:color w:val="auto"/>
          <w:sz w:val="24"/>
          <w:szCs w:val="24"/>
          <w:highlight w:val="none"/>
        </w:rPr>
      </w:pPr>
      <w:bookmarkStart w:id="52" w:name="_Toc16938525"/>
      <w:bookmarkStart w:id="53" w:name="_Toc513029209"/>
      <w:bookmarkStart w:id="54" w:name="_Toc20823281"/>
      <w:bookmarkStart w:id="55" w:name="_Toc120614215"/>
      <w:r>
        <w:rPr>
          <w:rFonts w:hint="eastAsia" w:ascii="宋体" w:hAnsi="宋体" w:eastAsia="宋体" w:cs="宋体"/>
          <w:b/>
          <w:color w:val="auto"/>
          <w:sz w:val="24"/>
          <w:szCs w:val="24"/>
          <w:highlight w:val="none"/>
        </w:rPr>
        <w:t>二、</w:t>
      </w:r>
      <w:bookmarkEnd w:id="52"/>
      <w:bookmarkEnd w:id="53"/>
      <w:bookmarkEnd w:id="54"/>
      <w:bookmarkEnd w:id="55"/>
      <w:r>
        <w:rPr>
          <w:rFonts w:hint="eastAsia" w:ascii="宋体" w:hAnsi="宋体" w:eastAsia="宋体" w:cs="宋体"/>
          <w:b/>
          <w:color w:val="auto"/>
          <w:sz w:val="24"/>
          <w:szCs w:val="24"/>
          <w:highlight w:val="none"/>
        </w:rPr>
        <w:t>磋商文件</w:t>
      </w:r>
    </w:p>
    <w:p w14:paraId="25AEF5F0">
      <w:pPr>
        <w:pStyle w:val="13"/>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color w:val="auto"/>
          <w:sz w:val="24"/>
          <w:szCs w:val="24"/>
          <w:highlight w:val="none"/>
        </w:rPr>
      </w:pPr>
      <w:bookmarkStart w:id="56" w:name="_Toc20823282"/>
      <w:bookmarkStart w:id="57" w:name="_Toc16938526"/>
      <w:bookmarkStart w:id="58" w:name="_Toc513029210"/>
      <w:r>
        <w:rPr>
          <w:rFonts w:hint="eastAsia" w:ascii="宋体" w:hAnsi="宋体" w:eastAsia="宋体" w:cs="宋体"/>
          <w:color w:val="auto"/>
          <w:sz w:val="24"/>
          <w:szCs w:val="24"/>
          <w:highlight w:val="none"/>
        </w:rPr>
        <w:t>6、磋商文件构成</w:t>
      </w:r>
      <w:bookmarkEnd w:id="56"/>
      <w:bookmarkEnd w:id="57"/>
      <w:bookmarkEnd w:id="58"/>
    </w:p>
    <w:p w14:paraId="41D85CF5">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6.1磋商文件由以下部分组成：</w:t>
      </w:r>
    </w:p>
    <w:p w14:paraId="0A59C4C1">
      <w:pPr>
        <w:pStyle w:val="13"/>
        <w:pageBreakBefore w:val="0"/>
        <w:widowControl w:val="0"/>
        <w:kinsoku/>
        <w:wordWrap/>
        <w:overflowPunct/>
        <w:topLinePunct w:val="0"/>
        <w:autoSpaceDE/>
        <w:autoSpaceDN/>
        <w:bidi w:val="0"/>
        <w:adjustRightInd/>
        <w:snapToGrid/>
        <w:spacing w:beforeAutospacing="0" w:afterAutospacing="0" w:line="360" w:lineRule="exact"/>
        <w:ind w:firstLine="36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（1）磋商</w:t>
      </w:r>
      <w:r>
        <w:rPr>
          <w:rFonts w:hint="eastAsia" w:ascii="宋体" w:hAnsi="宋体" w:eastAsia="宋体" w:cs="宋体"/>
          <w:color w:val="auto"/>
          <w:sz w:val="24"/>
          <w:szCs w:val="24"/>
          <w:highlight w:val="none"/>
          <w:lang w:val="en-US" w:eastAsia="zh-CN"/>
        </w:rPr>
        <w:t>公告</w:t>
      </w:r>
    </w:p>
    <w:p w14:paraId="758E6AFB">
      <w:pPr>
        <w:pStyle w:val="13"/>
        <w:pageBreakBefore w:val="0"/>
        <w:widowControl w:val="0"/>
        <w:kinsoku/>
        <w:wordWrap/>
        <w:overflowPunct/>
        <w:topLinePunct w:val="0"/>
        <w:autoSpaceDE/>
        <w:autoSpaceDN/>
        <w:bidi w:val="0"/>
        <w:adjustRightInd/>
        <w:snapToGrid/>
        <w:spacing w:beforeAutospacing="0" w:afterAutospacing="0" w:line="36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（2）供应商须知</w:t>
      </w:r>
    </w:p>
    <w:p w14:paraId="3AAD8EF0">
      <w:pPr>
        <w:pStyle w:val="13"/>
        <w:pageBreakBefore w:val="0"/>
        <w:widowControl w:val="0"/>
        <w:kinsoku/>
        <w:wordWrap/>
        <w:overflowPunct/>
        <w:topLinePunct w:val="0"/>
        <w:autoSpaceDE/>
        <w:autoSpaceDN/>
        <w:bidi w:val="0"/>
        <w:adjustRightInd/>
        <w:snapToGrid/>
        <w:spacing w:beforeAutospacing="0" w:afterAutospacing="0" w:line="36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63A2663C">
      <w:pPr>
        <w:pStyle w:val="13"/>
        <w:pageBreakBefore w:val="0"/>
        <w:widowControl w:val="0"/>
        <w:kinsoku/>
        <w:wordWrap/>
        <w:overflowPunct/>
        <w:topLinePunct w:val="0"/>
        <w:autoSpaceDE/>
        <w:autoSpaceDN/>
        <w:bidi w:val="0"/>
        <w:adjustRightInd/>
        <w:snapToGrid/>
        <w:spacing w:beforeAutospacing="0" w:afterAutospacing="0" w:line="36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3FF9ACB5">
      <w:pPr>
        <w:pStyle w:val="13"/>
        <w:pageBreakBefore w:val="0"/>
        <w:widowControl w:val="0"/>
        <w:kinsoku/>
        <w:wordWrap/>
        <w:overflowPunct/>
        <w:topLinePunct w:val="0"/>
        <w:autoSpaceDE/>
        <w:autoSpaceDN/>
        <w:bidi w:val="0"/>
        <w:adjustRightInd/>
        <w:snapToGrid/>
        <w:spacing w:beforeAutospacing="0" w:afterAutospacing="0" w:line="36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（5）评审方法与评审标准</w:t>
      </w:r>
    </w:p>
    <w:p w14:paraId="58DF4289">
      <w:pPr>
        <w:pStyle w:val="13"/>
        <w:pageBreakBefore w:val="0"/>
        <w:widowControl w:val="0"/>
        <w:kinsoku/>
        <w:wordWrap/>
        <w:overflowPunct/>
        <w:topLinePunct w:val="0"/>
        <w:autoSpaceDE/>
        <w:autoSpaceDN/>
        <w:bidi w:val="0"/>
        <w:adjustRightInd/>
        <w:snapToGrid/>
        <w:spacing w:beforeAutospacing="0" w:afterAutospacing="0" w:line="36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（6）响应文件格式</w:t>
      </w:r>
    </w:p>
    <w:p w14:paraId="36E2CD0F">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请仔细检查磋商文件是否齐全，如有缺漏请立即与采购人或采购代理机构联系解决。</w:t>
      </w:r>
    </w:p>
    <w:p w14:paraId="2BAC0C07">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226E4E3">
      <w:pPr>
        <w:pStyle w:val="13"/>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color w:val="auto"/>
          <w:sz w:val="24"/>
          <w:szCs w:val="24"/>
          <w:highlight w:val="none"/>
        </w:rPr>
      </w:pPr>
      <w:bookmarkStart w:id="59" w:name="_Toc513029211"/>
      <w:bookmarkStart w:id="60" w:name="_Toc16938527"/>
      <w:bookmarkStart w:id="61" w:name="_Toc462564070"/>
      <w:bookmarkStart w:id="62" w:name="_Toc20823283"/>
      <w:r>
        <w:rPr>
          <w:rFonts w:hint="eastAsia" w:ascii="宋体" w:hAnsi="宋体" w:eastAsia="宋体" w:cs="宋体"/>
          <w:color w:val="auto"/>
          <w:sz w:val="24"/>
          <w:szCs w:val="24"/>
          <w:highlight w:val="none"/>
        </w:rPr>
        <w:t>7、磋商文件的澄清</w:t>
      </w:r>
      <w:bookmarkEnd w:id="59"/>
      <w:bookmarkEnd w:id="60"/>
      <w:bookmarkEnd w:id="61"/>
      <w:bookmarkEnd w:id="62"/>
    </w:p>
    <w:p w14:paraId="25FA5E88">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7.1任何要求对磋商文件进行澄清的供应商，应在磋商截止期5日前按磋商公告中的通讯地址，以书面形式通知采购人或采购代理机构。</w:t>
      </w:r>
    </w:p>
    <w:p w14:paraId="318D53BA">
      <w:pPr>
        <w:pStyle w:val="13"/>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color w:val="auto"/>
          <w:sz w:val="24"/>
          <w:szCs w:val="24"/>
          <w:highlight w:val="none"/>
        </w:rPr>
      </w:pPr>
      <w:bookmarkStart w:id="63" w:name="_Toc20823284"/>
      <w:bookmarkStart w:id="64" w:name="_Toc513029212"/>
      <w:bookmarkStart w:id="65" w:name="_Toc462564071"/>
      <w:bookmarkStart w:id="66" w:name="_Toc16938528"/>
      <w:r>
        <w:rPr>
          <w:rFonts w:hint="eastAsia" w:ascii="宋体" w:hAnsi="宋体" w:eastAsia="宋体" w:cs="宋体"/>
          <w:color w:val="auto"/>
          <w:sz w:val="24"/>
          <w:szCs w:val="24"/>
          <w:highlight w:val="none"/>
        </w:rPr>
        <w:t>8、磋商文件的澄清和修改</w:t>
      </w:r>
      <w:bookmarkEnd w:id="63"/>
      <w:bookmarkEnd w:id="64"/>
      <w:bookmarkEnd w:id="65"/>
      <w:bookmarkEnd w:id="66"/>
    </w:p>
    <w:p w14:paraId="5EEF8E83">
      <w:pPr>
        <w:pStyle w:val="13"/>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8.</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在响应</w:t>
      </w:r>
      <w:r>
        <w:rPr>
          <w:rFonts w:hint="eastAsia" w:ascii="宋体" w:hAnsi="宋体" w:eastAsia="宋体" w:cs="宋体"/>
          <w:color w:val="auto"/>
          <w:sz w:val="24"/>
          <w:szCs w:val="24"/>
          <w:highlight w:val="none"/>
        </w:rPr>
        <w:t>文件提交截止时间前，采购人可以对磋商文件进行澄清和修改,澄清或者修改的内容作为磋商文件的组成部分。澄清或者修改的内容可能影响响应文件编制的，采购</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将在提交首次响应文件截止时间至少5日前，在“</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盐城市政府采购网”上发布书面更正公告形式通知所有获取磋商文件的供应商, 更正公告内容将作为磋商文件的组成部分，并对供应商具有约束力。不足5日的，采购人或采购代理机构将顺延提交首次响应文件截止时间</w:t>
      </w:r>
    </w:p>
    <w:p w14:paraId="459D8213">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8.2采购</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可以视采购项目的具体情况，组织供应商进行现场考察或召开磋商前答疑会，但不单独或分别组织只有一个供应商参加的现场考察和答疑会。</w:t>
      </w:r>
    </w:p>
    <w:p w14:paraId="64D59BE3">
      <w:pPr>
        <w:pStyle w:val="13"/>
        <w:keepNext/>
        <w:keepLines/>
        <w:spacing w:before="145" w:beforeAutospacing="0" w:after="145" w:afterAutospacing="0" w:line="360" w:lineRule="auto"/>
        <w:ind w:firstLine="482" w:firstLineChars="0"/>
        <w:jc w:val="both"/>
        <w:outlineLvl w:val="0"/>
        <w:rPr>
          <w:rFonts w:hint="eastAsia" w:ascii="宋体" w:hAnsi="宋体" w:eastAsia="宋体" w:cs="宋体"/>
          <w:color w:val="auto"/>
          <w:sz w:val="24"/>
          <w:szCs w:val="24"/>
          <w:highlight w:val="none"/>
        </w:rPr>
      </w:pPr>
      <w:bookmarkStart w:id="67" w:name="_Toc513029213"/>
      <w:bookmarkStart w:id="68" w:name="_Toc462564072"/>
      <w:bookmarkStart w:id="69" w:name="_Toc120614216"/>
      <w:bookmarkStart w:id="70" w:name="_Toc20823285"/>
      <w:bookmarkStart w:id="71" w:name="_Toc16938529"/>
      <w:r>
        <w:rPr>
          <w:rFonts w:hint="eastAsia" w:ascii="宋体" w:hAnsi="宋体" w:eastAsia="宋体" w:cs="宋体"/>
          <w:b/>
          <w:color w:val="auto"/>
          <w:sz w:val="24"/>
          <w:szCs w:val="24"/>
          <w:highlight w:val="none"/>
        </w:rPr>
        <w:t>三、响应文件的编制</w:t>
      </w:r>
      <w:bookmarkEnd w:id="67"/>
      <w:bookmarkEnd w:id="68"/>
      <w:bookmarkEnd w:id="69"/>
      <w:bookmarkEnd w:id="70"/>
      <w:bookmarkEnd w:id="71"/>
    </w:p>
    <w:p w14:paraId="02D221D0">
      <w:pPr>
        <w:pStyle w:val="13"/>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color w:val="auto"/>
          <w:sz w:val="24"/>
          <w:szCs w:val="24"/>
          <w:highlight w:val="none"/>
        </w:rPr>
      </w:pPr>
      <w:bookmarkStart w:id="72" w:name="_Toc513029214"/>
      <w:bookmarkStart w:id="73" w:name="_Toc20823286"/>
      <w:bookmarkStart w:id="74" w:name="_Toc16938530"/>
      <w:bookmarkStart w:id="75" w:name="_Toc462564073"/>
      <w:r>
        <w:rPr>
          <w:rFonts w:hint="eastAsia" w:ascii="宋体" w:hAnsi="宋体" w:eastAsia="宋体" w:cs="宋体"/>
          <w:color w:val="auto"/>
          <w:sz w:val="24"/>
          <w:szCs w:val="24"/>
          <w:highlight w:val="none"/>
        </w:rPr>
        <w:t>9、响应文件的语言及度量衡单位</w:t>
      </w:r>
      <w:bookmarkEnd w:id="72"/>
      <w:bookmarkEnd w:id="73"/>
      <w:bookmarkEnd w:id="74"/>
      <w:bookmarkEnd w:id="75"/>
    </w:p>
    <w:p w14:paraId="7EBE4620">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9.1供应商提交的响应文件以及供应商与采购人或采购代理机构就有关磋商的所有来往通知、函件和文件均应使用</w:t>
      </w:r>
      <w:r>
        <w:rPr>
          <w:rFonts w:hint="eastAsia" w:ascii="宋体" w:hAnsi="宋体" w:eastAsia="宋体" w:cs="宋体"/>
          <w:b/>
          <w:color w:val="auto"/>
          <w:sz w:val="24"/>
          <w:szCs w:val="24"/>
          <w:highlight w:val="none"/>
        </w:rPr>
        <w:t>简体中文</w:t>
      </w:r>
      <w:r>
        <w:rPr>
          <w:rFonts w:hint="eastAsia" w:ascii="宋体" w:hAnsi="宋体" w:eastAsia="宋体" w:cs="宋体"/>
          <w:color w:val="auto"/>
          <w:sz w:val="24"/>
          <w:szCs w:val="24"/>
          <w:highlight w:val="none"/>
        </w:rPr>
        <w:t>。</w:t>
      </w:r>
    </w:p>
    <w:p w14:paraId="7C6A95F4">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除技术性能另有规定外，响应文件所使用的度量衡单位，均须采用国家法定计量单位。</w:t>
      </w:r>
    </w:p>
    <w:p w14:paraId="07798DA0">
      <w:pPr>
        <w:pStyle w:val="13"/>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color w:val="auto"/>
          <w:sz w:val="24"/>
          <w:szCs w:val="24"/>
          <w:highlight w:val="none"/>
        </w:rPr>
      </w:pPr>
      <w:bookmarkStart w:id="76" w:name="_Toc462564074"/>
      <w:bookmarkStart w:id="77" w:name="_Toc16938531"/>
      <w:bookmarkStart w:id="78" w:name="_Toc513029215"/>
      <w:bookmarkStart w:id="79" w:name="_Toc20823287"/>
      <w:r>
        <w:rPr>
          <w:rFonts w:hint="eastAsia" w:ascii="宋体" w:hAnsi="宋体" w:eastAsia="宋体" w:cs="宋体"/>
          <w:color w:val="auto"/>
          <w:sz w:val="24"/>
          <w:szCs w:val="24"/>
          <w:highlight w:val="none"/>
        </w:rPr>
        <w:t>10、响应文件构成</w:t>
      </w:r>
      <w:bookmarkEnd w:id="76"/>
      <w:bookmarkEnd w:id="77"/>
      <w:bookmarkEnd w:id="78"/>
      <w:bookmarkEnd w:id="79"/>
    </w:p>
    <w:p w14:paraId="448AC452">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10.1供应商编写的响应文件应包括资格证明文件、符合性证明文件、分项报价表、其他证明文件、磋商响应函等部分。</w:t>
      </w:r>
    </w:p>
    <w:p w14:paraId="09D67DEF">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如标书制作工具中格式和内容与“</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盐城市政府采购网”发布的磋商文件不一致，请以“</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盐城市政府采购网”发布的磋商文件为准。</w:t>
      </w:r>
    </w:p>
    <w:p w14:paraId="523CDFE3">
      <w:pPr>
        <w:pStyle w:val="13"/>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color w:val="auto"/>
          <w:sz w:val="24"/>
          <w:szCs w:val="24"/>
          <w:highlight w:val="none"/>
        </w:rPr>
      </w:pPr>
      <w:bookmarkStart w:id="80" w:name="_Toc513029216"/>
      <w:bookmarkStart w:id="81" w:name="_Toc14577354"/>
      <w:bookmarkStart w:id="82" w:name="_Toc49090507"/>
      <w:bookmarkStart w:id="83" w:name="_Toc14577355"/>
      <w:bookmarkStart w:id="84" w:name="_Toc49090508"/>
      <w:bookmarkStart w:id="85" w:name="_Toc14577357"/>
      <w:bookmarkStart w:id="86" w:name="_Toc513029219"/>
      <w:bookmarkStart w:id="87" w:name="_Toc49090509"/>
      <w:bookmarkStart w:id="88" w:name="_Hlt26670360"/>
      <w:bookmarkStart w:id="89" w:name="_Hlt26954838"/>
      <w:bookmarkStart w:id="90" w:name="_Hlt26668975"/>
      <w:r>
        <w:rPr>
          <w:rFonts w:hint="eastAsia" w:ascii="宋体" w:hAnsi="宋体" w:eastAsia="宋体" w:cs="宋体"/>
          <w:color w:val="auto"/>
          <w:sz w:val="24"/>
          <w:szCs w:val="24"/>
          <w:highlight w:val="none"/>
        </w:rPr>
        <w:t>11、证明磋商响应标的符合磋商文件规定的文件</w:t>
      </w:r>
      <w:bookmarkEnd w:id="80"/>
      <w:bookmarkEnd w:id="81"/>
      <w:bookmarkEnd w:id="82"/>
      <w:bookmarkEnd w:id="83"/>
      <w:bookmarkEnd w:id="84"/>
      <w:bookmarkEnd w:id="85"/>
      <w:bookmarkEnd w:id="86"/>
      <w:bookmarkEnd w:id="87"/>
    </w:p>
    <w:p w14:paraId="7777AC40">
      <w:pPr>
        <w:pStyle w:val="13"/>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11.1供应商应按照磋商文件要求提交证明文件，证明其及磋商响应标的符合磋商文件规定。</w:t>
      </w:r>
    </w:p>
    <w:p w14:paraId="7591D6CE">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11.2磋商文件对证明文件无明确形式要求的，证明文件可以以文字资料、图纸和数据等形式提交。</w:t>
      </w:r>
    </w:p>
    <w:p w14:paraId="12B07A76">
      <w:pPr>
        <w:pStyle w:val="13"/>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12、分项报价表</w:t>
      </w:r>
    </w:p>
    <w:p w14:paraId="24B9452F">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12.1供应商应按照磋商文件规定格式填报分项报价表。</w:t>
      </w:r>
    </w:p>
    <w:p w14:paraId="2B17754C">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12.2磋商货币。响应文件中的单价和总价无特殊规定的采用人民币报价，以元为单位标注。磋商文件中另有规定的按规定执行。</w:t>
      </w:r>
    </w:p>
    <w:p w14:paraId="021C6932">
      <w:pPr>
        <w:pStyle w:val="13"/>
        <w:pageBreakBefore w:val="0"/>
        <w:widowControl w:val="0"/>
        <w:kinsoku/>
        <w:wordWrap/>
        <w:overflowPunct/>
        <w:topLinePunct w:val="0"/>
        <w:autoSpaceDE/>
        <w:autoSpaceDN/>
        <w:bidi w:val="0"/>
        <w:adjustRightInd/>
        <w:snapToGrid/>
        <w:spacing w:beforeAutospacing="0" w:afterAutospacing="0" w:line="360" w:lineRule="exact"/>
        <w:ind w:firstLine="480" w:firstLineChars="0"/>
        <w:jc w:val="both"/>
        <w:textAlignment w:val="auto"/>
        <w:outlineLvl w:val="9"/>
        <w:rPr>
          <w:rFonts w:hint="eastAsia" w:ascii="宋体" w:hAnsi="宋体" w:eastAsia="宋体" w:cs="宋体"/>
          <w:b w:val="0"/>
          <w:bCs w:val="0"/>
          <w:color w:val="000000"/>
          <w:lang w:val="en-US" w:eastAsia="zh-CN"/>
        </w:rPr>
      </w:pPr>
      <w:bookmarkStart w:id="91" w:name="_Hlt26670482"/>
      <w:bookmarkStart w:id="92" w:name="_Hlt26954848"/>
      <w:bookmarkStart w:id="93" w:name="_Hlt26670486"/>
      <w:bookmarkStart w:id="94" w:name="_Hlt26954846"/>
      <w:bookmarkStart w:id="95" w:name="_Hlt26954731"/>
      <w:r>
        <w:rPr>
          <w:rFonts w:hint="eastAsia" w:ascii="宋体" w:hAnsi="宋体" w:eastAsia="宋体" w:cs="宋体"/>
          <w:b w:val="0"/>
          <w:bCs w:val="0"/>
          <w:color w:val="000000"/>
          <w:lang w:val="en-US" w:eastAsia="zh-CN"/>
        </w:rPr>
        <w:t>12.3其他费用处理</w:t>
      </w:r>
    </w:p>
    <w:p w14:paraId="7E175E7F">
      <w:pPr>
        <w:pStyle w:val="13"/>
        <w:pageBreakBefore w:val="0"/>
        <w:widowControl w:val="0"/>
        <w:kinsoku/>
        <w:wordWrap/>
        <w:overflowPunct/>
        <w:topLinePunct w:val="0"/>
        <w:autoSpaceDE/>
        <w:autoSpaceDN/>
        <w:bidi w:val="0"/>
        <w:adjustRightInd/>
        <w:snapToGrid/>
        <w:spacing w:beforeAutospacing="0" w:afterAutospacing="0" w:line="360" w:lineRule="exact"/>
        <w:ind w:firstLine="480" w:firstLineChars="0"/>
        <w:jc w:val="both"/>
        <w:textAlignment w:val="auto"/>
        <w:outlineLvl w:val="9"/>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本次采购磋商供应商的总报价应包括磋商供应商为完成竞争性磋商文件所确定的招标范围内的全部服务工作内容所发生的一切费用。</w:t>
      </w:r>
    </w:p>
    <w:p w14:paraId="514EC382">
      <w:pPr>
        <w:pStyle w:val="13"/>
        <w:pageBreakBefore w:val="0"/>
        <w:widowControl w:val="0"/>
        <w:kinsoku/>
        <w:wordWrap/>
        <w:overflowPunct/>
        <w:topLinePunct w:val="0"/>
        <w:autoSpaceDE/>
        <w:autoSpaceDN/>
        <w:bidi w:val="0"/>
        <w:adjustRightInd/>
        <w:snapToGrid/>
        <w:spacing w:beforeAutospacing="0" w:afterAutospacing="0" w:line="360" w:lineRule="exact"/>
        <w:ind w:firstLine="480" w:firstLineChars="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b w:val="0"/>
          <w:bCs w:val="0"/>
          <w:color w:val="000000"/>
          <w:lang w:val="en-US" w:eastAsia="zh-CN"/>
        </w:rPr>
        <w:t>磋商文件未列明，而磋商供应商认为必需的费用也需列入报价。</w:t>
      </w:r>
    </w:p>
    <w:p w14:paraId="65E1CAFA">
      <w:pPr>
        <w:pStyle w:val="13"/>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13、资格性审查响应对照表、符合性检查响应对照表</w:t>
      </w:r>
    </w:p>
    <w:p w14:paraId="5FF0FE19">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13.1供应商需对磋商文件中的资格要求与符合要求逐项作出响应或偏离，并说明原因。</w:t>
      </w:r>
    </w:p>
    <w:p w14:paraId="608E5F56">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13.2供应商可在响应文件中提供认为需要的其他技术文件或说明。</w:t>
      </w:r>
    </w:p>
    <w:p w14:paraId="78160F97">
      <w:pPr>
        <w:pStyle w:val="13"/>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14、服务承诺、培训计划、人员安排及其他</w:t>
      </w:r>
    </w:p>
    <w:p w14:paraId="450B0C54">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14.1供应商需根据磋商文件要求提供有关售后服务的管理制度，售后服务机构的分布情况，售后服务人员的数量、素质、技术水平及售后服务的反应能力等。</w:t>
      </w:r>
    </w:p>
    <w:p w14:paraId="6E61F0A9">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14.2供应商需根据磋商文件要求提供培训计划。</w:t>
      </w:r>
    </w:p>
    <w:p w14:paraId="41D40507">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14.3供应商需根据磋商文件要求提供磋商响应标的的主要组成部分、功能设计、实现思路及关键技术等。</w:t>
      </w:r>
    </w:p>
    <w:p w14:paraId="6510BE44">
      <w:pPr>
        <w:pStyle w:val="13"/>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color w:val="auto"/>
          <w:sz w:val="24"/>
          <w:szCs w:val="24"/>
          <w:highlight w:val="none"/>
        </w:rPr>
      </w:pPr>
      <w:bookmarkStart w:id="96" w:name="_Toc14577359"/>
      <w:bookmarkStart w:id="97" w:name="_Toc49090510"/>
      <w:r>
        <w:rPr>
          <w:rFonts w:hint="eastAsia" w:ascii="宋体" w:hAnsi="宋体" w:eastAsia="宋体" w:cs="宋体"/>
          <w:color w:val="auto"/>
          <w:sz w:val="24"/>
          <w:szCs w:val="24"/>
          <w:highlight w:val="none"/>
        </w:rPr>
        <w:t>15、磋商响应函</w:t>
      </w:r>
      <w:bookmarkEnd w:id="96"/>
      <w:bookmarkEnd w:id="97"/>
    </w:p>
    <w:p w14:paraId="64CC5EF3">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15.1供应商应按照磋商文件中提供的格式完整、正确填写磋商响应函。</w:t>
      </w:r>
    </w:p>
    <w:p w14:paraId="6BF7378A">
      <w:pPr>
        <w:pStyle w:val="13"/>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color w:val="auto"/>
          <w:sz w:val="24"/>
          <w:szCs w:val="24"/>
          <w:highlight w:val="none"/>
        </w:rPr>
      </w:pPr>
      <w:bookmarkStart w:id="98" w:name="_Toc49090511"/>
      <w:bookmarkStart w:id="99" w:name="_Toc14577360"/>
      <w:r>
        <w:rPr>
          <w:rFonts w:hint="eastAsia" w:ascii="宋体" w:hAnsi="宋体" w:eastAsia="宋体" w:cs="宋体"/>
          <w:color w:val="auto"/>
          <w:sz w:val="24"/>
          <w:szCs w:val="24"/>
          <w:highlight w:val="none"/>
        </w:rPr>
        <w:t>16、磋商有效期</w:t>
      </w:r>
      <w:bookmarkEnd w:id="98"/>
      <w:bookmarkEnd w:id="99"/>
    </w:p>
    <w:p w14:paraId="6B00E09C">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16.1磋商有效期为采购代理机构规定的提交响应文件截止之日后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auto"/>
          <w:sz w:val="24"/>
          <w:szCs w:val="24"/>
          <w:highlight w:val="none"/>
        </w:rPr>
        <w:t>。磋商有效期比规定短的将被视为非实质性响应磋商文件而予以拒绝。</w:t>
      </w:r>
    </w:p>
    <w:p w14:paraId="3F35B79F">
      <w:pPr>
        <w:pStyle w:val="13"/>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17、磋商有效期的延长</w:t>
      </w:r>
    </w:p>
    <w:p w14:paraId="7A96D9C7">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17.1在特殊情况下，采购</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于原磋商有效期满之前，可向供应商提出延长磋商有效期的要求。这种要求与答复均应采用书面形式。供应商可以拒绝采购</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的这一要求而放弃磋商，同意延长磋商有效期的供应商既不能要求也不允许修改其响应文件。受磋商有效期约束的所有权利与义务均延长至新的有效期。</w:t>
      </w:r>
    </w:p>
    <w:p w14:paraId="0020DEBC">
      <w:pPr>
        <w:pStyle w:val="13"/>
        <w:keepNext/>
        <w:keepLines/>
        <w:spacing w:before="145" w:beforeAutospacing="0" w:after="145" w:afterAutospacing="0" w:line="360" w:lineRule="auto"/>
        <w:ind w:firstLine="482" w:firstLineChars="0"/>
        <w:jc w:val="both"/>
        <w:outlineLvl w:val="0"/>
        <w:rPr>
          <w:rFonts w:hint="eastAsia" w:ascii="宋体" w:hAnsi="宋体" w:eastAsia="宋体" w:cs="宋体"/>
          <w:color w:val="auto"/>
          <w:sz w:val="24"/>
          <w:szCs w:val="24"/>
          <w:highlight w:val="none"/>
        </w:rPr>
      </w:pPr>
      <w:bookmarkStart w:id="100" w:name="_Toc120614217"/>
      <w:bookmarkStart w:id="101" w:name="_Toc513029224"/>
      <w:bookmarkStart w:id="102" w:name="_Toc20823296"/>
      <w:bookmarkStart w:id="103" w:name="_Toc16938540"/>
      <w:bookmarkStart w:id="104" w:name="_Hlt26954739"/>
      <w:bookmarkStart w:id="105" w:name="_Hlt26954852"/>
      <w:r>
        <w:rPr>
          <w:rFonts w:hint="eastAsia" w:ascii="宋体" w:hAnsi="宋体" w:eastAsia="宋体" w:cs="宋体"/>
          <w:b/>
          <w:color w:val="auto"/>
          <w:sz w:val="24"/>
          <w:szCs w:val="24"/>
          <w:highlight w:val="none"/>
        </w:rPr>
        <w:t>四、响应文件的递交</w:t>
      </w:r>
      <w:bookmarkEnd w:id="100"/>
      <w:bookmarkEnd w:id="101"/>
      <w:bookmarkEnd w:id="102"/>
      <w:bookmarkEnd w:id="103"/>
    </w:p>
    <w:p w14:paraId="54033AFA">
      <w:pPr>
        <w:pStyle w:val="13"/>
        <w:pageBreakBefore w:val="0"/>
        <w:widowControl w:val="0"/>
        <w:kinsoku/>
        <w:wordWrap/>
        <w:overflowPunct/>
        <w:topLinePunct w:val="0"/>
        <w:autoSpaceDE/>
        <w:autoSpaceDN/>
        <w:bidi w:val="0"/>
        <w:adjustRightInd/>
        <w:snapToGrid/>
        <w:spacing w:beforeAutospacing="0" w:afterAutospacing="0" w:line="360" w:lineRule="exact"/>
        <w:ind w:firstLine="480" w:firstLineChars="0"/>
        <w:jc w:val="both"/>
        <w:textAlignment w:val="auto"/>
        <w:outlineLvl w:val="1"/>
        <w:rPr>
          <w:rFonts w:hint="eastAsia" w:ascii="宋体" w:hAnsi="宋体" w:eastAsia="宋体" w:cs="宋体"/>
          <w:color w:val="auto"/>
          <w:sz w:val="24"/>
          <w:szCs w:val="24"/>
          <w:highlight w:val="none"/>
        </w:rPr>
      </w:pPr>
      <w:bookmarkStart w:id="106" w:name="_Toc462564084"/>
      <w:bookmarkStart w:id="107" w:name="_Toc16938541"/>
      <w:bookmarkStart w:id="108" w:name="_Toc513029225"/>
      <w:bookmarkStart w:id="109" w:name="_Toc20823297"/>
      <w:r>
        <w:rPr>
          <w:rFonts w:hint="eastAsia" w:ascii="宋体" w:hAnsi="宋体" w:eastAsia="宋体" w:cs="宋体"/>
          <w:color w:val="auto"/>
          <w:sz w:val="24"/>
          <w:szCs w:val="24"/>
          <w:highlight w:val="none"/>
        </w:rPr>
        <w:t>18、电子磋商</w:t>
      </w:r>
      <w:bookmarkEnd w:id="106"/>
      <w:bookmarkEnd w:id="107"/>
      <w:bookmarkEnd w:id="108"/>
      <w:bookmarkEnd w:id="109"/>
      <w:r>
        <w:rPr>
          <w:rFonts w:hint="eastAsia" w:ascii="宋体" w:hAnsi="宋体" w:eastAsia="宋体" w:cs="宋体"/>
          <w:color w:val="auto"/>
          <w:sz w:val="24"/>
          <w:szCs w:val="24"/>
          <w:highlight w:val="none"/>
        </w:rPr>
        <w:t>响应文件的递交</w:t>
      </w:r>
    </w:p>
    <w:p w14:paraId="1AB1A416">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18.1供应商应当按照《操作手册》规定，在提交响应文件截止时间前制作并上传电子响应文件。</w:t>
      </w:r>
      <w:bookmarkStart w:id="110" w:name="_Toc20823298"/>
      <w:bookmarkEnd w:id="110"/>
      <w:bookmarkStart w:id="111" w:name="_Toc16938542"/>
      <w:bookmarkEnd w:id="111"/>
      <w:bookmarkStart w:id="112" w:name="_Toc513029226"/>
    </w:p>
    <w:p w14:paraId="2BB5721D">
      <w:pPr>
        <w:pStyle w:val="13"/>
        <w:pageBreakBefore w:val="0"/>
        <w:widowControl w:val="0"/>
        <w:kinsoku/>
        <w:wordWrap/>
        <w:overflowPunct/>
        <w:topLinePunct w:val="0"/>
        <w:autoSpaceDE/>
        <w:autoSpaceDN/>
        <w:bidi w:val="0"/>
        <w:adjustRightInd/>
        <w:snapToGrid/>
        <w:spacing w:beforeAutospacing="0" w:afterAutospacing="0" w:line="360" w:lineRule="exact"/>
        <w:ind w:firstLine="480" w:firstLineChars="0"/>
        <w:jc w:val="both"/>
        <w:textAlignment w:val="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19、提交响应文件截止时间</w:t>
      </w:r>
    </w:p>
    <w:p w14:paraId="154C87FB">
      <w:pPr>
        <w:pStyle w:val="13"/>
        <w:pageBreakBefore w:val="0"/>
        <w:widowControl w:val="0"/>
        <w:kinsoku/>
        <w:wordWrap/>
        <w:overflowPunct/>
        <w:topLinePunct w:val="0"/>
        <w:autoSpaceDE/>
        <w:autoSpaceDN/>
        <w:bidi w:val="0"/>
        <w:adjustRightInd/>
        <w:snapToGrid/>
        <w:spacing w:beforeAutospacing="0" w:afterAutospacing="0" w:line="360" w:lineRule="exact"/>
        <w:ind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i/>
          <w:color w:val="auto"/>
          <w:sz w:val="24"/>
          <w:szCs w:val="24"/>
          <w:highlight w:val="none"/>
          <w:u w:val="single"/>
        </w:rPr>
        <w:t>19.1供应商上传电子响应文件的时间不得迟于磋商公告中规定的提交响应文件截止时间。</w:t>
      </w:r>
    </w:p>
    <w:p w14:paraId="78DBBD77">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供应商应充分考虑到网络环境、网络带宽等风险因素，如因供应商自身原因造成的电子响应文件上传不成功的按照本磋商文件第二章第26.3.2条规定做无效响应处理。</w:t>
      </w:r>
    </w:p>
    <w:p w14:paraId="283D4357">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 采购人或采购代理机构可以按照规定，通过修改磋商文件酌情延长提交响应文件截止日期，在此情况下，供应商的所有权利和义务以及供应商受制的截止日期均应以延长后新的截止日期为准。</w:t>
      </w:r>
    </w:p>
    <w:p w14:paraId="0ACE8C33">
      <w:pPr>
        <w:pStyle w:val="13"/>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color w:val="auto"/>
          <w:sz w:val="24"/>
          <w:szCs w:val="24"/>
          <w:highlight w:val="none"/>
        </w:rPr>
      </w:pPr>
      <w:bookmarkStart w:id="113" w:name="_Toc16938543"/>
      <w:bookmarkStart w:id="114" w:name="_Toc20823299"/>
      <w:bookmarkStart w:id="115" w:name="_Toc513029227"/>
      <w:r>
        <w:rPr>
          <w:rFonts w:hint="eastAsia" w:ascii="宋体" w:hAnsi="宋体" w:eastAsia="宋体" w:cs="宋体"/>
          <w:color w:val="auto"/>
          <w:sz w:val="24"/>
          <w:szCs w:val="24"/>
          <w:highlight w:val="none"/>
        </w:rPr>
        <w:t>20、响应文件</w:t>
      </w:r>
      <w:bookmarkEnd w:id="113"/>
      <w:bookmarkEnd w:id="114"/>
      <w:bookmarkEnd w:id="115"/>
      <w:r>
        <w:rPr>
          <w:rFonts w:hint="eastAsia" w:ascii="宋体" w:hAnsi="宋体" w:eastAsia="宋体" w:cs="宋体"/>
          <w:color w:val="auto"/>
          <w:sz w:val="24"/>
          <w:szCs w:val="24"/>
          <w:highlight w:val="none"/>
        </w:rPr>
        <w:t>的拒收</w:t>
      </w:r>
    </w:p>
    <w:p w14:paraId="650DEA37">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 采购代理机构拒绝接收在其规定的提交响应文件截止时间后上传的任何电子响应文件。</w:t>
      </w:r>
    </w:p>
    <w:p w14:paraId="04FE860A">
      <w:pPr>
        <w:pStyle w:val="13"/>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color w:val="auto"/>
          <w:sz w:val="24"/>
          <w:szCs w:val="24"/>
          <w:highlight w:val="none"/>
        </w:rPr>
      </w:pPr>
      <w:bookmarkStart w:id="116" w:name="_Toc20823300"/>
      <w:bookmarkStart w:id="117" w:name="_Toc513029228"/>
      <w:bookmarkStart w:id="118" w:name="_Toc16938544"/>
      <w:r>
        <w:rPr>
          <w:rFonts w:hint="eastAsia" w:ascii="宋体" w:hAnsi="宋体" w:eastAsia="宋体" w:cs="宋体"/>
          <w:color w:val="auto"/>
          <w:sz w:val="24"/>
          <w:szCs w:val="24"/>
          <w:highlight w:val="none"/>
        </w:rPr>
        <w:t>21、响应文件的撤回和修改</w:t>
      </w:r>
      <w:bookmarkEnd w:id="116"/>
      <w:bookmarkEnd w:id="117"/>
      <w:bookmarkEnd w:id="118"/>
    </w:p>
    <w:p w14:paraId="32648F13">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21.1响应文件的撤回</w:t>
      </w:r>
    </w:p>
    <w:p w14:paraId="1B293C1B">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21.1.1 电子响应文件的撤回</w:t>
      </w:r>
    </w:p>
    <w:p w14:paraId="662C7B07">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供应商可在提交响应文件截止时间前，撤回其电子响应文件，具体操作方法见《操作手册》。</w:t>
      </w:r>
    </w:p>
    <w:p w14:paraId="4F03D64C">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21.1.2供应商撤回电子响应文件，则认为其不再参与本项目磋商活动。</w:t>
      </w:r>
    </w:p>
    <w:p w14:paraId="3A90E47D">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21.2响应文件的修改</w:t>
      </w:r>
    </w:p>
    <w:p w14:paraId="2F5BAD6B">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供应商可在提交响应文件截止时间前，对其电子响应文件进行修改，具体操作方法见《操作手册》。</w:t>
      </w:r>
    </w:p>
    <w:p w14:paraId="2407ED7B">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 在提交响应文件截止时间之后，供应商不得对其电子响应文件作任何修改。</w:t>
      </w:r>
    </w:p>
    <w:p w14:paraId="6F54311B">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 在提交响应文件截止时间至磋商文件中规定的磋商有效期满之间的这段时间内，供应商不得撤回其响应文件。</w:t>
      </w:r>
      <w:bookmarkStart w:id="119" w:name="_Toc513029229"/>
      <w:bookmarkStart w:id="120" w:name="_Toc20823301"/>
      <w:bookmarkStart w:id="121" w:name="_Toc120614218"/>
      <w:bookmarkStart w:id="122" w:name="_Toc16938545"/>
    </w:p>
    <w:p w14:paraId="53387419">
      <w:pPr>
        <w:pStyle w:val="13"/>
        <w:pageBreakBefore w:val="0"/>
        <w:widowControl w:val="0"/>
        <w:kinsoku/>
        <w:wordWrap/>
        <w:overflowPunct/>
        <w:topLinePunct w:val="0"/>
        <w:autoSpaceDE/>
        <w:autoSpaceDN/>
        <w:bidi w:val="0"/>
        <w:adjustRightInd/>
        <w:snapToGrid/>
        <w:spacing w:beforeAutospacing="0" w:afterAutospacing="0" w:line="360" w:lineRule="exact"/>
        <w:ind w:firstLine="480" w:firstLineChars="0"/>
        <w:jc w:val="both"/>
        <w:textAlignment w:val="auto"/>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五、响应文件的解密与评审</w:t>
      </w:r>
      <w:bookmarkEnd w:id="119"/>
      <w:bookmarkEnd w:id="120"/>
      <w:bookmarkEnd w:id="121"/>
      <w:bookmarkEnd w:id="122"/>
      <w:bookmarkStart w:id="123" w:name="_Toc513029230"/>
      <w:bookmarkStart w:id="124" w:name="_Toc16938546"/>
      <w:bookmarkStart w:id="125" w:name="_Toc20823302"/>
    </w:p>
    <w:p w14:paraId="247F403E">
      <w:pPr>
        <w:pStyle w:val="13"/>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bookmarkEnd w:id="123"/>
      <w:bookmarkEnd w:id="124"/>
      <w:bookmarkEnd w:id="125"/>
      <w:r>
        <w:rPr>
          <w:rFonts w:hint="eastAsia" w:ascii="宋体" w:hAnsi="宋体" w:eastAsia="宋体" w:cs="宋体"/>
          <w:color w:val="auto"/>
          <w:sz w:val="24"/>
          <w:szCs w:val="24"/>
          <w:highlight w:val="none"/>
        </w:rPr>
        <w:t>响应文件解密</w:t>
      </w:r>
    </w:p>
    <w:p w14:paraId="6D4B9C6D">
      <w:pPr>
        <w:pStyle w:val="13"/>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22.1供应商应当按照《操作手册》规定，在苏采云系统规定的时间内对磋商响应文件进行解密。</w:t>
      </w:r>
    </w:p>
    <w:p w14:paraId="71393B36">
      <w:pPr>
        <w:pStyle w:val="13"/>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color w:val="auto"/>
          <w:sz w:val="24"/>
          <w:szCs w:val="24"/>
          <w:highlight w:val="none"/>
        </w:rPr>
      </w:pPr>
      <w:bookmarkStart w:id="126" w:name="_Toc20823303"/>
      <w:bookmarkStart w:id="127" w:name="_Toc513029231"/>
      <w:bookmarkStart w:id="128" w:name="_Toc16938547"/>
      <w:r>
        <w:rPr>
          <w:rFonts w:hint="eastAsia" w:ascii="宋体" w:hAnsi="宋体" w:eastAsia="宋体" w:cs="宋体"/>
          <w:color w:val="auto"/>
          <w:sz w:val="24"/>
          <w:szCs w:val="24"/>
          <w:highlight w:val="none"/>
        </w:rPr>
        <w:t>23、磋商小组</w:t>
      </w:r>
      <w:bookmarkEnd w:id="126"/>
      <w:bookmarkEnd w:id="127"/>
      <w:bookmarkEnd w:id="128"/>
    </w:p>
    <w:p w14:paraId="608E9D5F">
      <w:pPr>
        <w:pStyle w:val="13"/>
        <w:pageBreakBefore w:val="0"/>
        <w:widowControl w:val="0"/>
        <w:kinsoku/>
        <w:wordWrap/>
        <w:overflowPunct/>
        <w:topLinePunct w:val="0"/>
        <w:autoSpaceDE/>
        <w:autoSpaceDN/>
        <w:bidi w:val="0"/>
        <w:adjustRightInd/>
        <w:snapToGrid/>
        <w:spacing w:beforeAutospacing="0" w:afterAutospacing="0" w:line="36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color w:val="auto"/>
          <w:sz w:val="24"/>
          <w:szCs w:val="24"/>
          <w:highlight w:val="none"/>
        </w:rPr>
        <w:t>23.1采购代理机构将组织磋商小组对响应文件进行评审。磋商小组由采购人代表和有关技术、经济等方面的专家组成，且人员构成符合政府采购有关规定。</w:t>
      </w:r>
    </w:p>
    <w:p w14:paraId="749241AB">
      <w:pPr>
        <w:pStyle w:val="13"/>
        <w:pageBreakBefore w:val="0"/>
        <w:widowControl w:val="0"/>
        <w:kinsoku/>
        <w:wordWrap/>
        <w:overflowPunct/>
        <w:topLinePunct w:val="0"/>
        <w:autoSpaceDE/>
        <w:autoSpaceDN/>
        <w:bidi w:val="0"/>
        <w:adjustRightInd/>
        <w:snapToGrid/>
        <w:spacing w:beforeAutospacing="0" w:afterAutospacing="0" w:line="36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color w:val="auto"/>
          <w:sz w:val="24"/>
          <w:szCs w:val="24"/>
          <w:highlight w:val="none"/>
        </w:rPr>
        <w:t>23.2磋商小组独立工作，负责评审所有响应文件并确定成交</w:t>
      </w:r>
      <w:r>
        <w:rPr>
          <w:rFonts w:hint="eastAsia" w:ascii="宋体" w:hAnsi="宋体" w:eastAsia="宋体" w:cs="宋体"/>
          <w:color w:val="auto"/>
          <w:sz w:val="24"/>
          <w:szCs w:val="24"/>
          <w:highlight w:val="none"/>
          <w:lang w:eastAsia="zh-CN"/>
        </w:rPr>
        <w:t>候选人</w:t>
      </w:r>
      <w:r>
        <w:rPr>
          <w:rFonts w:hint="eastAsia" w:ascii="宋体" w:hAnsi="宋体" w:eastAsia="宋体" w:cs="宋体"/>
          <w:color w:val="auto"/>
          <w:sz w:val="24"/>
          <w:szCs w:val="24"/>
          <w:highlight w:val="none"/>
        </w:rPr>
        <w:t>。</w:t>
      </w:r>
    </w:p>
    <w:p w14:paraId="2AA52925">
      <w:pPr>
        <w:pStyle w:val="13"/>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24、评审过程的保密与公正</w:t>
      </w:r>
    </w:p>
    <w:p w14:paraId="70CC1CFB">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24.1磋商小组、采购人和采购代理机构工作人员、相关监督人员等与评审工作有关的人员，对评审情况以及在评审过程中获悉的国家秘密、商业秘密负有保密责任。</w:t>
      </w:r>
    </w:p>
    <w:p w14:paraId="10581076">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24.2在评审过程中，供应商不得以任何行为影响磋商评审过程，否则其响应文件将被</w:t>
      </w:r>
      <w:r>
        <w:rPr>
          <w:rFonts w:hint="eastAsia" w:ascii="宋体" w:hAnsi="宋体" w:eastAsia="宋体" w:cs="宋体"/>
          <w:color w:val="auto"/>
          <w:sz w:val="24"/>
          <w:szCs w:val="24"/>
          <w:highlight w:val="none"/>
          <w:lang w:eastAsia="zh-CN"/>
        </w:rPr>
        <w:t>视为</w:t>
      </w:r>
      <w:r>
        <w:rPr>
          <w:rFonts w:hint="eastAsia" w:ascii="宋体" w:hAnsi="宋体" w:eastAsia="宋体" w:cs="宋体"/>
          <w:color w:val="auto"/>
          <w:sz w:val="24"/>
          <w:szCs w:val="24"/>
          <w:highlight w:val="none"/>
        </w:rPr>
        <w:t>无效响应文件。</w:t>
      </w:r>
    </w:p>
    <w:p w14:paraId="2E39CC3F">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24.3在项目评审期间，采购代理机构将设专门人员与供应商联系。</w:t>
      </w:r>
    </w:p>
    <w:p w14:paraId="6528CA49">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w:t>
      </w:r>
      <w:r>
        <w:rPr>
          <w:rFonts w:hint="eastAsia" w:ascii="宋体" w:hAnsi="宋体" w:eastAsia="宋体" w:cs="宋体"/>
          <w:color w:val="000000"/>
          <w:lang w:val="en-US" w:eastAsia="zh-CN"/>
        </w:rPr>
        <w:t>采购代理机构</w:t>
      </w:r>
      <w:r>
        <w:rPr>
          <w:rFonts w:hint="eastAsia" w:ascii="宋体" w:hAnsi="宋体" w:eastAsia="宋体" w:cs="宋体"/>
          <w:color w:val="auto"/>
          <w:sz w:val="24"/>
          <w:szCs w:val="24"/>
          <w:highlight w:val="none"/>
        </w:rPr>
        <w:t>和磋商小组不向未成交的供应商解释未成交原因，也不公布评审过程中的相关细节。</w:t>
      </w:r>
    </w:p>
    <w:p w14:paraId="2DBC2369">
      <w:pPr>
        <w:pStyle w:val="13"/>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color w:val="auto"/>
          <w:sz w:val="24"/>
          <w:szCs w:val="24"/>
          <w:highlight w:val="none"/>
        </w:rPr>
      </w:pPr>
      <w:bookmarkStart w:id="129" w:name="_Toc513029232"/>
      <w:bookmarkStart w:id="130" w:name="_Toc16938548"/>
      <w:bookmarkStart w:id="131" w:name="_Toc20823304"/>
      <w:r>
        <w:rPr>
          <w:rFonts w:hint="eastAsia" w:ascii="宋体" w:hAnsi="宋体" w:eastAsia="宋体" w:cs="宋体"/>
          <w:color w:val="auto"/>
          <w:sz w:val="24"/>
          <w:szCs w:val="24"/>
          <w:highlight w:val="none"/>
        </w:rPr>
        <w:t>25、评审过程中</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澄清</w:t>
      </w:r>
      <w:bookmarkEnd w:id="129"/>
      <w:bookmarkEnd w:id="130"/>
      <w:bookmarkEnd w:id="131"/>
    </w:p>
    <w:p w14:paraId="20B70A79">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5678F43">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磋商小组并非对每个供应商都作澄清要求。</w:t>
      </w:r>
    </w:p>
    <w:p w14:paraId="1D5C30B8">
      <w:pPr>
        <w:pStyle w:val="13"/>
        <w:pageBreakBefore w:val="0"/>
        <w:widowControl w:val="0"/>
        <w:kinsoku/>
        <w:wordWrap/>
        <w:overflowPunct/>
        <w:topLinePunct w:val="0"/>
        <w:autoSpaceDE/>
        <w:autoSpaceDN/>
        <w:bidi w:val="0"/>
        <w:adjustRightInd/>
        <w:snapToGrid/>
        <w:spacing w:beforeAutospacing="0" w:afterAutospacing="0" w:line="36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74A75E98">
      <w:pPr>
        <w:pStyle w:val="13"/>
        <w:pageBreakBefore w:val="0"/>
        <w:widowControl w:val="0"/>
        <w:kinsoku/>
        <w:wordWrap/>
        <w:overflowPunct/>
        <w:topLinePunct w:val="0"/>
        <w:autoSpaceDE/>
        <w:autoSpaceDN/>
        <w:bidi w:val="0"/>
        <w:adjustRightInd/>
        <w:snapToGrid/>
        <w:spacing w:beforeAutospacing="0" w:afterAutospacing="0" w:line="36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25.3 接到磋商小组澄清、说明和更正要求的供应商如未按规定</w:t>
      </w:r>
      <w:r>
        <w:rPr>
          <w:rFonts w:hint="eastAsia" w:ascii="宋体" w:hAnsi="宋体" w:eastAsia="宋体" w:cs="宋体"/>
          <w:color w:val="auto"/>
          <w:sz w:val="24"/>
          <w:szCs w:val="24"/>
          <w:highlight w:val="none"/>
          <w:lang w:eastAsia="zh-CN"/>
        </w:rPr>
        <w:t>作出</w:t>
      </w:r>
      <w:r>
        <w:rPr>
          <w:rFonts w:hint="eastAsia" w:ascii="宋体" w:hAnsi="宋体" w:eastAsia="宋体" w:cs="宋体"/>
          <w:color w:val="auto"/>
          <w:sz w:val="24"/>
          <w:szCs w:val="24"/>
          <w:highlight w:val="none"/>
        </w:rPr>
        <w:t>澄清、说明和更正，其风险由供应商自行承担。</w:t>
      </w:r>
    </w:p>
    <w:p w14:paraId="23F7B436">
      <w:pPr>
        <w:pStyle w:val="13"/>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color w:val="auto"/>
          <w:sz w:val="24"/>
          <w:szCs w:val="24"/>
          <w:highlight w:val="none"/>
        </w:rPr>
      </w:pPr>
      <w:bookmarkStart w:id="132" w:name="_Toc513029233"/>
      <w:bookmarkStart w:id="133" w:name="_Toc20823305"/>
      <w:bookmarkStart w:id="134" w:name="_Toc16938549"/>
      <w:r>
        <w:rPr>
          <w:rFonts w:hint="eastAsia" w:ascii="宋体" w:hAnsi="宋体" w:eastAsia="宋体" w:cs="宋体"/>
          <w:color w:val="auto"/>
          <w:sz w:val="24"/>
          <w:szCs w:val="24"/>
          <w:highlight w:val="none"/>
        </w:rPr>
        <w:t>26、对响应文件的审</w:t>
      </w:r>
      <w:bookmarkEnd w:id="132"/>
      <w:bookmarkEnd w:id="133"/>
      <w:bookmarkEnd w:id="134"/>
      <w:r>
        <w:rPr>
          <w:rFonts w:hint="eastAsia" w:ascii="宋体" w:hAnsi="宋体" w:eastAsia="宋体" w:cs="宋体"/>
          <w:color w:val="auto"/>
          <w:sz w:val="24"/>
          <w:szCs w:val="24"/>
          <w:highlight w:val="none"/>
        </w:rPr>
        <w:t>查</w:t>
      </w:r>
    </w:p>
    <w:p w14:paraId="1BE39D1E">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26.1响应文件审查分为资格审查和符合性审查。</w:t>
      </w:r>
    </w:p>
    <w:p w14:paraId="2EC39E48">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 资格审查：由磋商小组依据法律法规和磋商文件的规定，对响应文件中的资格证明文件进行审查，以确定供应商是否具备参加磋商的资格。</w:t>
      </w:r>
    </w:p>
    <w:p w14:paraId="31BDFF71">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磋商小组在进行资格审查的同时，将在“信用中国”网站（www.creditchina.gov.cn）查询供应商的信用记录，以确定供应商是否具备磋商资格,查询结果留存并归档。</w:t>
      </w:r>
    </w:p>
    <w:p w14:paraId="09B4FB34">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7A1C2B1C">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 符合性审查：依据磋商文件的规定，由磋商小组从响应文件的有效性、完整性和对磋商文件的响应程度进行审查，以确定是否对磋商文件的实质性要求作出响应。</w:t>
      </w:r>
    </w:p>
    <w:p w14:paraId="75DC1B15">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 未通过资格审查或符合性审查的供应商，磋商小组将在苏采云系统中告知未通过资格审查或符合性审查的原因，评审结束后，磋商小组将不再告知未通过资格审查或符合性审查的原因。</w:t>
      </w:r>
    </w:p>
    <w:p w14:paraId="0E2BF216">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26.2在详细评审之前，磋商小组将首先审查每份响应文件是否实质性响应了磋商文件的要求。实质性响应的响应文件应该是与磋商文件要求的条款、条件和规格相符，没有重大偏离或保留。</w:t>
      </w:r>
    </w:p>
    <w:p w14:paraId="0D49288B">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所谓重大偏离或保留是指与磋商文件规定的实质性要求存在负偏离，或者在实质上与磋商文件不一致，而且限制了合同中</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和采购</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C8055A6">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26.3未实质性响应磋商文件的情形</w:t>
      </w:r>
    </w:p>
    <w:p w14:paraId="08A9FA92">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26.3.1供应商在苏采云系统规定的时间内未成功解密电子响应文件的。</w:t>
      </w:r>
    </w:p>
    <w:p w14:paraId="5BD5D67A">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26.3.2供应商未按照磋商文件要求上传电子响应文件的。</w:t>
      </w:r>
    </w:p>
    <w:p w14:paraId="3B6624BB">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26.3.3同一供应商提交两个（含两个）以上不同的响应文件或者最后报价的。</w:t>
      </w:r>
    </w:p>
    <w:p w14:paraId="20493144">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26.3.4供应商不具备磋商文件中规定资格要求的。</w:t>
      </w:r>
    </w:p>
    <w:p w14:paraId="0D7F7E51">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26.3.5供应商的最后报价超过了采购预算。</w:t>
      </w:r>
    </w:p>
    <w:p w14:paraId="19AFCED9">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26.3.6不符合磋商文件中规定的实质性要求和条件的</w:t>
      </w:r>
      <w:r>
        <w:rPr>
          <w:rFonts w:hint="eastAsia" w:ascii="宋体" w:hAnsi="宋体" w:eastAsia="宋体" w:cs="宋体"/>
          <w:i/>
          <w:color w:val="auto"/>
          <w:sz w:val="24"/>
          <w:szCs w:val="24"/>
          <w:highlight w:val="none"/>
          <w:u w:val="single"/>
        </w:rPr>
        <w:t>（本磋商文件中斜体且有下划线部分为实质性要求和条件）。</w:t>
      </w:r>
    </w:p>
    <w:p w14:paraId="033E3F1C">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2F4C8D8">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26.3.8响应文件含有采购人不能接受的附加条件的。</w:t>
      </w:r>
    </w:p>
    <w:p w14:paraId="49A8CA61">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26.3.9 本项目采购产品被财政部、</w:t>
      </w:r>
      <w:r>
        <w:rPr>
          <w:rFonts w:hint="eastAsia" w:ascii="宋体" w:hAnsi="宋体" w:eastAsia="宋体" w:cs="宋体"/>
          <w:color w:val="auto"/>
          <w:sz w:val="24"/>
          <w:szCs w:val="24"/>
          <w:highlight w:val="none"/>
          <w:lang w:eastAsia="zh-CN"/>
        </w:rPr>
        <w:t>国家发展改革委</w:t>
      </w:r>
      <w:r>
        <w:rPr>
          <w:rFonts w:hint="eastAsia" w:ascii="宋体" w:hAnsi="宋体" w:eastAsia="宋体" w:cs="宋体"/>
          <w:color w:val="auto"/>
          <w:sz w:val="24"/>
          <w:szCs w:val="24"/>
          <w:highlight w:val="none"/>
        </w:rPr>
        <w:t>、生态环境部等列入“节能产品品目清单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30278C46">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26.3.10</w:t>
      </w:r>
      <w:r>
        <w:rPr>
          <w:rFonts w:hint="eastAsia" w:ascii="宋体" w:hAnsi="宋体" w:eastAsia="宋体" w:cs="宋体"/>
          <w:color w:val="FF0000"/>
          <w:sz w:val="24"/>
          <w:szCs w:val="24"/>
          <w:highlight w:val="none"/>
          <w:lang w:val="en-US" w:eastAsia="zh-CN"/>
        </w:rPr>
        <w:t>供应商</w:t>
      </w:r>
      <w:r>
        <w:rPr>
          <w:rFonts w:hint="eastAsia" w:ascii="宋体" w:hAnsi="宋体" w:eastAsia="宋体" w:cs="宋体"/>
          <w:color w:val="FF0000"/>
          <w:sz w:val="24"/>
          <w:szCs w:val="24"/>
          <w:highlight w:val="none"/>
        </w:rPr>
        <w:t>不能证明其报价合理性的，</w:t>
      </w:r>
      <w:r>
        <w:rPr>
          <w:rFonts w:hint="eastAsia" w:ascii="宋体" w:hAnsi="宋体" w:eastAsia="宋体" w:cs="宋体"/>
          <w:color w:val="FF0000"/>
          <w:sz w:val="24"/>
          <w:szCs w:val="24"/>
          <w:highlight w:val="none"/>
          <w:lang w:val="en-US" w:eastAsia="zh-CN"/>
        </w:rPr>
        <w:t>磋商小组</w:t>
      </w:r>
      <w:r>
        <w:rPr>
          <w:rFonts w:hint="eastAsia" w:ascii="宋体" w:hAnsi="宋体" w:eastAsia="宋体" w:cs="宋体"/>
          <w:color w:val="FF0000"/>
          <w:sz w:val="24"/>
          <w:szCs w:val="24"/>
          <w:highlight w:val="none"/>
        </w:rPr>
        <w:t>应当将其作为无效</w:t>
      </w:r>
      <w:r>
        <w:rPr>
          <w:rFonts w:hint="eastAsia" w:ascii="宋体" w:hAnsi="宋体" w:eastAsia="宋体" w:cs="宋体"/>
          <w:color w:val="FF0000"/>
          <w:kern w:val="0"/>
          <w:sz w:val="24"/>
          <w:szCs w:val="24"/>
          <w:highlight w:val="none"/>
          <w:lang w:val="en-US" w:eastAsia="zh-CN" w:bidi="ar-SA"/>
        </w:rPr>
        <w:t>响应</w:t>
      </w:r>
      <w:r>
        <w:rPr>
          <w:rFonts w:hint="eastAsia" w:ascii="宋体" w:hAnsi="宋体" w:eastAsia="宋体" w:cs="宋体"/>
          <w:color w:val="FF0000"/>
          <w:sz w:val="24"/>
          <w:szCs w:val="24"/>
          <w:highlight w:val="none"/>
        </w:rPr>
        <w:t>处理。</w:t>
      </w:r>
    </w:p>
    <w:p w14:paraId="6F27A046">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FF0000"/>
          <w:kern w:val="0"/>
          <w:sz w:val="24"/>
          <w:szCs w:val="24"/>
          <w:highlight w:val="none"/>
          <w:lang w:val="en-US" w:eastAsia="zh-CN" w:bidi="ar-SA"/>
        </w:rPr>
      </w:pPr>
      <w:r>
        <w:rPr>
          <w:rFonts w:hint="eastAsia" w:ascii="宋体" w:hAnsi="宋体" w:eastAsia="宋体" w:cs="宋体"/>
          <w:color w:val="FF0000"/>
          <w:kern w:val="0"/>
          <w:sz w:val="24"/>
          <w:szCs w:val="24"/>
          <w:highlight w:val="none"/>
          <w:lang w:val="en-US" w:eastAsia="zh-CN" w:bidi="ar-SA"/>
        </w:rPr>
        <w:t>（一）评审过程中出现下列情形之一的，</w:t>
      </w:r>
      <w:r>
        <w:rPr>
          <w:rFonts w:hint="eastAsia" w:ascii="宋体" w:hAnsi="宋体" w:eastAsia="宋体" w:cs="宋体"/>
          <w:color w:val="FF0000"/>
          <w:sz w:val="24"/>
          <w:szCs w:val="24"/>
          <w:highlight w:val="none"/>
          <w:lang w:val="en-US" w:eastAsia="zh-CN"/>
        </w:rPr>
        <w:t>磋商小组</w:t>
      </w:r>
      <w:r>
        <w:rPr>
          <w:rFonts w:hint="eastAsia" w:ascii="宋体" w:hAnsi="宋体" w:eastAsia="宋体" w:cs="宋体"/>
          <w:color w:val="FF0000"/>
          <w:kern w:val="0"/>
          <w:sz w:val="24"/>
          <w:szCs w:val="24"/>
          <w:highlight w:val="none"/>
          <w:lang w:val="en-US" w:eastAsia="zh-CN" w:bidi="ar-SA"/>
        </w:rPr>
        <w:t>应当启动异常低价响应审查程序：</w:t>
      </w:r>
    </w:p>
    <w:p w14:paraId="029D404A">
      <w:pPr>
        <w:pStyle w:val="13"/>
        <w:pageBreakBefore w:val="0"/>
        <w:widowControl w:val="0"/>
        <w:kinsoku/>
        <w:wordWrap/>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191012DE">
      <w:pPr>
        <w:pStyle w:val="13"/>
        <w:pageBreakBefore w:val="0"/>
        <w:widowControl w:val="0"/>
        <w:kinsoku/>
        <w:wordWrap/>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08E26264">
      <w:pPr>
        <w:pStyle w:val="13"/>
        <w:pageBreakBefore w:val="0"/>
        <w:widowControl w:val="0"/>
        <w:kinsoku/>
        <w:wordWrap/>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3.投标（响应）报价低于采购项目最高限价45%的，即投标（响应）报价&lt;采购项目最高限价×45%；</w:t>
      </w:r>
    </w:p>
    <w:p w14:paraId="4BE739D2">
      <w:pPr>
        <w:pStyle w:val="13"/>
        <w:pageBreakBefore w:val="0"/>
        <w:widowControl w:val="0"/>
        <w:kinsoku/>
        <w:wordWrap/>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4.评审委员会基于专业判断，认为供应商报价过低，有可能影响产品质量或者不能诚信履约的其他情形。</w:t>
      </w:r>
    </w:p>
    <w:p w14:paraId="209516AE">
      <w:pPr>
        <w:pStyle w:val="13"/>
        <w:pageBreakBefore w:val="0"/>
        <w:widowControl w:val="0"/>
        <w:kinsoku/>
        <w:wordWrap/>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219CBEC1">
      <w:pPr>
        <w:pStyle w:val="13"/>
        <w:pageBreakBefore w:val="0"/>
        <w:widowControl w:val="0"/>
        <w:kinsoku/>
        <w:wordWrap/>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p>
    <w:p w14:paraId="547AF874">
      <w:pPr>
        <w:pStyle w:val="13"/>
        <w:pageBreakBefore w:val="0"/>
        <w:widowControl w:val="0"/>
        <w:kinsoku/>
        <w:wordWrap/>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  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07C11C6">
      <w:pPr>
        <w:pStyle w:val="13"/>
        <w:pageBreakBefore w:val="0"/>
        <w:widowControl w:val="0"/>
        <w:kinsoku/>
        <w:wordWrap/>
        <w:overflowPunct/>
        <w:topLinePunct w:val="0"/>
        <w:autoSpaceDE/>
        <w:autoSpaceDN/>
        <w:bidi w:val="0"/>
        <w:adjustRightInd/>
        <w:snapToGrid/>
        <w:spacing w:before="0" w:beforeAutospacing="0" w:after="0" w:afterAutospacing="0" w:line="360" w:lineRule="exact"/>
        <w:ind w:left="0" w:right="0" w:firstLine="480"/>
        <w:jc w:val="both"/>
        <w:textAlignment w:val="auto"/>
        <w:rPr>
          <w:color w:val="FF0000"/>
        </w:rPr>
      </w:pPr>
      <w:r>
        <w:rPr>
          <w:rFonts w:hint="eastAsia" w:ascii="宋体" w:hAnsi="宋体" w:eastAsia="宋体" w:cs="宋体"/>
          <w:color w:val="FF0000"/>
          <w:sz w:val="24"/>
          <w:szCs w:val="24"/>
          <w:highlight w:val="none"/>
          <w:lang w:val="en-US" w:eastAsia="zh-CN" w:bidi="ar-SA"/>
        </w:rPr>
        <w:t>异常低价响应审查的启动原因、审查意见和审查结果应当在评审报告中记录，并随供应商提供的相关书面说明及证明材料，以及评审委员会有关互联网浏览、查询历史一并归档。</w:t>
      </w:r>
    </w:p>
    <w:p w14:paraId="116A2C88">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响应文件未按照磋商文件要求加盖CA电子公章的。</w:t>
      </w:r>
    </w:p>
    <w:p w14:paraId="42B503B3">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未实质性响应磋商文件的响应文件按无效响应处理。</w:t>
      </w:r>
    </w:p>
    <w:p w14:paraId="75F91C60">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如果响应文件实质上没有响应磋商文件的要求，磋商小组将予以拒绝，供应商不得通过修改或撤销</w:t>
      </w:r>
      <w:r>
        <w:rPr>
          <w:rFonts w:hint="eastAsia" w:ascii="宋体" w:hAnsi="宋体" w:eastAsia="宋体" w:cs="宋体"/>
          <w:color w:val="auto"/>
          <w:sz w:val="24"/>
          <w:szCs w:val="24"/>
          <w:highlight w:val="none"/>
          <w:lang w:eastAsia="zh-CN"/>
        </w:rPr>
        <w:t>不符</w:t>
      </w:r>
      <w:r>
        <w:rPr>
          <w:rFonts w:hint="eastAsia" w:ascii="宋体" w:hAnsi="宋体" w:eastAsia="宋体" w:cs="宋体"/>
          <w:color w:val="auto"/>
          <w:sz w:val="24"/>
          <w:szCs w:val="24"/>
          <w:highlight w:val="none"/>
        </w:rPr>
        <w:t>合要求的偏离或保留而使其成为实质性响应的文件。</w:t>
      </w:r>
    </w:p>
    <w:p w14:paraId="000876EE">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bookmarkStart w:id="135" w:name="_Toc513029234"/>
      <w:bookmarkStart w:id="136" w:name="_Toc20823306"/>
      <w:bookmarkStart w:id="137" w:name="_Toc16938550"/>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供应商在项目评审全过程中应</w:t>
      </w:r>
      <w:r>
        <w:rPr>
          <w:rFonts w:hint="eastAsia" w:ascii="宋体" w:hAnsi="宋体" w:eastAsia="宋体" w:cs="宋体"/>
          <w:color w:val="auto"/>
          <w:sz w:val="24"/>
          <w:szCs w:val="24"/>
          <w:highlight w:val="none"/>
          <w:lang w:eastAsia="zh-CN"/>
        </w:rPr>
        <w:t>保持通信畅通</w:t>
      </w:r>
      <w:r>
        <w:rPr>
          <w:rFonts w:hint="eastAsia" w:ascii="宋体" w:hAnsi="宋体" w:eastAsia="宋体" w:cs="宋体"/>
          <w:color w:val="auto"/>
          <w:sz w:val="24"/>
          <w:szCs w:val="24"/>
          <w:highlight w:val="none"/>
        </w:rPr>
        <w:t>，并安排专人与采购</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及磋商小组联系。</w:t>
      </w:r>
      <w:bookmarkEnd w:id="135"/>
      <w:bookmarkEnd w:id="136"/>
      <w:bookmarkEnd w:id="137"/>
    </w:p>
    <w:p w14:paraId="596A9AC8">
      <w:pPr>
        <w:pStyle w:val="13"/>
        <w:pageBreakBefore w:val="0"/>
        <w:widowControl w:val="0"/>
        <w:kinsoku/>
        <w:wordWrap/>
        <w:overflowPunct/>
        <w:topLinePunct w:val="0"/>
        <w:autoSpaceDE/>
        <w:autoSpaceDN/>
        <w:bidi w:val="0"/>
        <w:adjustRightInd/>
        <w:snapToGrid/>
        <w:spacing w:beforeAutospacing="0" w:afterAutospacing="0" w:line="360" w:lineRule="exact"/>
        <w:ind w:firstLine="480" w:firstLineChars="0"/>
        <w:jc w:val="both"/>
        <w:textAlignment w:val="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27、磋商程序及评审方法和评审标准</w:t>
      </w:r>
    </w:p>
    <w:p w14:paraId="0D2C4D72">
      <w:pPr>
        <w:pStyle w:val="13"/>
        <w:pageBreakBefore w:val="0"/>
        <w:widowControl w:val="0"/>
        <w:kinsoku/>
        <w:wordWrap/>
        <w:overflowPunct/>
        <w:topLinePunct w:val="0"/>
        <w:autoSpaceDE/>
        <w:autoSpaceDN/>
        <w:bidi w:val="0"/>
        <w:adjustRightInd/>
        <w:snapToGrid/>
        <w:spacing w:beforeAutospacing="0" w:afterAutospacing="0" w:line="360" w:lineRule="exact"/>
        <w:ind w:firstLine="480" w:firstLineChars="0"/>
        <w:jc w:val="both"/>
        <w:textAlignment w:val="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27.1磋商程序</w:t>
      </w:r>
    </w:p>
    <w:p w14:paraId="5C50E737">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12B85D56">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1065F7E6">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1DE7A294">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7F2DB60F">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最后报价是供应商响应文件的有效组成部分。符合《政府采购竞争性磋商采购方</w:t>
      </w:r>
      <w:r>
        <w:rPr>
          <w:rFonts w:hint="eastAsia" w:ascii="宋体" w:hAnsi="宋体" w:eastAsia="宋体" w:cs="宋体"/>
          <w:color w:val="auto"/>
          <w:sz w:val="24"/>
          <w:szCs w:val="24"/>
          <w:highlight w:val="none"/>
          <w:lang w:eastAsia="zh-CN"/>
        </w:rPr>
        <w:t>式管</w:t>
      </w:r>
      <w:r>
        <w:rPr>
          <w:rFonts w:hint="eastAsia" w:ascii="宋体" w:hAnsi="宋体" w:eastAsia="宋体" w:cs="宋体"/>
          <w:color w:val="auto"/>
          <w:sz w:val="24"/>
          <w:szCs w:val="24"/>
          <w:highlight w:val="none"/>
        </w:rPr>
        <w:t>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lang w:eastAsia="zh-CN"/>
        </w:rPr>
        <w:t>〔2015〕124号</w:t>
      </w:r>
      <w:r>
        <w:rPr>
          <w:rFonts w:hint="eastAsia" w:ascii="宋体" w:hAnsi="宋体" w:eastAsia="宋体" w:cs="宋体"/>
          <w:color w:val="auto"/>
          <w:sz w:val="24"/>
          <w:szCs w:val="24"/>
          <w:highlight w:val="none"/>
        </w:rPr>
        <w:t>）规定情形的，提交最后报价的供应商可以为2家。</w:t>
      </w:r>
    </w:p>
    <w:p w14:paraId="141362C7">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1599C2B3">
      <w:pPr>
        <w:pStyle w:val="13"/>
        <w:pageBreakBefore w:val="0"/>
        <w:widowControl w:val="0"/>
        <w:kinsoku/>
        <w:wordWrap/>
        <w:overflowPunct/>
        <w:topLinePunct w:val="0"/>
        <w:autoSpaceDE/>
        <w:autoSpaceDN/>
        <w:bidi w:val="0"/>
        <w:adjustRightInd/>
        <w:snapToGrid/>
        <w:spacing w:beforeAutospacing="0" w:afterAutospacing="0" w:line="360" w:lineRule="exact"/>
        <w:ind w:firstLine="480" w:firstLineChars="0"/>
        <w:jc w:val="both"/>
        <w:textAlignment w:val="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 评审方法和评审标准</w:t>
      </w:r>
    </w:p>
    <w:p w14:paraId="3F2673FF">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27.2.1评审方法。经磋商确定最终采购需求和提交最后报价的供应商后，由磋商小组采用综合评分法对提交最后报价的供应商的响应文件和最后报价进行综合评分。</w:t>
      </w:r>
    </w:p>
    <w:p w14:paraId="38CDA423">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BE4170E">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27.2.2评审标准</w:t>
      </w:r>
    </w:p>
    <w:p w14:paraId="22D7196D">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见本磋商文件第五章规定。</w:t>
      </w:r>
    </w:p>
    <w:p w14:paraId="5E019639">
      <w:pPr>
        <w:pStyle w:val="13"/>
        <w:pageBreakBefore w:val="0"/>
        <w:widowControl w:val="0"/>
        <w:kinsoku/>
        <w:wordWrap/>
        <w:overflowPunct/>
        <w:topLinePunct w:val="0"/>
        <w:autoSpaceDE/>
        <w:autoSpaceDN/>
        <w:bidi w:val="0"/>
        <w:adjustRightInd/>
        <w:snapToGrid/>
        <w:spacing w:beforeAutospacing="0" w:afterAutospacing="0" w:line="360" w:lineRule="exact"/>
        <w:ind w:firstLine="480" w:firstLineChars="0"/>
        <w:jc w:val="both"/>
        <w:textAlignment w:val="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27.3采购活动终止的情况</w:t>
      </w:r>
    </w:p>
    <w:p w14:paraId="55329EC6">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出现下列情形之一的，本次竞争性磋商采购活动将被终止：</w:t>
      </w:r>
    </w:p>
    <w:p w14:paraId="6C5BF25B">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27.3.1因情况变化，不再符合规定的竞争性磋商采购方式适用情形的。</w:t>
      </w:r>
    </w:p>
    <w:p w14:paraId="5387A714">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27.3.2出现影响采购公正的违法、违规行为的。</w:t>
      </w:r>
    </w:p>
    <w:p w14:paraId="1E31EBFD">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27.3.3除本磋商文件第二章第27.1.2条第三款规定的情形外，在</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过程中符合要求的供应商或者最后报价未超过采购预算的供应商不足3家的。</w:t>
      </w:r>
    </w:p>
    <w:p w14:paraId="53257BC9">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27.3.4在苏采云系统规定时间内成功解密电子响应文件的供应商不足3家的。</w:t>
      </w:r>
    </w:p>
    <w:p w14:paraId="036259DB">
      <w:pPr>
        <w:pStyle w:val="13"/>
        <w:keepNext/>
        <w:keepLines/>
        <w:spacing w:before="145" w:beforeAutospacing="0" w:after="145" w:afterAutospacing="0" w:line="360" w:lineRule="auto"/>
        <w:ind w:firstLine="482" w:firstLineChars="0"/>
        <w:jc w:val="both"/>
        <w:outlineLvl w:val="0"/>
        <w:rPr>
          <w:rFonts w:hint="eastAsia" w:ascii="宋体" w:hAnsi="宋体" w:eastAsia="宋体" w:cs="宋体"/>
          <w:color w:val="auto"/>
          <w:sz w:val="24"/>
          <w:szCs w:val="24"/>
          <w:highlight w:val="none"/>
        </w:rPr>
      </w:pPr>
      <w:bookmarkStart w:id="138" w:name="_Toc120614219"/>
      <w:bookmarkStart w:id="139" w:name="_Toc16938551"/>
      <w:bookmarkStart w:id="140" w:name="_Toc20823307"/>
      <w:bookmarkStart w:id="141" w:name="_Toc513029235"/>
      <w:r>
        <w:rPr>
          <w:rFonts w:hint="eastAsia" w:ascii="宋体" w:hAnsi="宋体" w:eastAsia="宋体" w:cs="宋体"/>
          <w:b/>
          <w:color w:val="auto"/>
          <w:sz w:val="24"/>
          <w:szCs w:val="24"/>
          <w:highlight w:val="none"/>
        </w:rPr>
        <w:t>六、</w:t>
      </w:r>
      <w:bookmarkEnd w:id="138"/>
      <w:bookmarkEnd w:id="139"/>
      <w:bookmarkEnd w:id="140"/>
      <w:bookmarkEnd w:id="141"/>
      <w:r>
        <w:rPr>
          <w:rFonts w:hint="eastAsia" w:ascii="宋体" w:hAnsi="宋体" w:eastAsia="宋体" w:cs="宋体"/>
          <w:b/>
          <w:color w:val="auto"/>
          <w:sz w:val="24"/>
          <w:szCs w:val="24"/>
          <w:highlight w:val="none"/>
        </w:rPr>
        <w:t>成交</w:t>
      </w:r>
    </w:p>
    <w:p w14:paraId="0468F855">
      <w:pPr>
        <w:pStyle w:val="13"/>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color w:val="auto"/>
          <w:sz w:val="24"/>
          <w:szCs w:val="24"/>
          <w:highlight w:val="none"/>
        </w:rPr>
      </w:pPr>
      <w:bookmarkStart w:id="142" w:name="_Toc20823310"/>
      <w:bookmarkStart w:id="143" w:name="_Toc513029238"/>
      <w:bookmarkStart w:id="144" w:name="_Toc16938554"/>
      <w:r>
        <w:rPr>
          <w:rFonts w:hint="eastAsia" w:ascii="宋体" w:hAnsi="宋体" w:eastAsia="宋体" w:cs="宋体"/>
          <w:color w:val="auto"/>
          <w:sz w:val="24"/>
          <w:szCs w:val="24"/>
          <w:highlight w:val="none"/>
        </w:rPr>
        <w:t>28、</w:t>
      </w:r>
      <w:bookmarkEnd w:id="142"/>
      <w:r>
        <w:rPr>
          <w:rFonts w:hint="eastAsia" w:ascii="宋体" w:hAnsi="宋体" w:eastAsia="宋体" w:cs="宋体"/>
          <w:color w:val="auto"/>
          <w:sz w:val="24"/>
          <w:szCs w:val="24"/>
          <w:highlight w:val="none"/>
        </w:rPr>
        <w:t>确定</w:t>
      </w:r>
      <w:bookmarkEnd w:id="143"/>
      <w:bookmarkEnd w:id="144"/>
      <w:r>
        <w:rPr>
          <w:rFonts w:hint="eastAsia" w:ascii="宋体" w:hAnsi="宋体" w:eastAsia="宋体" w:cs="宋体"/>
          <w:color w:val="auto"/>
          <w:sz w:val="24"/>
          <w:szCs w:val="24"/>
          <w:highlight w:val="none"/>
        </w:rPr>
        <w:t>成交单位</w:t>
      </w:r>
    </w:p>
    <w:p w14:paraId="4C4960EA">
      <w:pPr>
        <w:pStyle w:val="13"/>
        <w:pageBreakBefore w:val="0"/>
        <w:widowControl w:val="0"/>
        <w:tabs>
          <w:tab w:val="left" w:pos="901"/>
        </w:tabs>
        <w:kinsoku/>
        <w:wordWrap/>
        <w:overflowPunct/>
        <w:topLinePunct w:val="0"/>
        <w:autoSpaceDE/>
        <w:autoSpaceDN/>
        <w:bidi w:val="0"/>
        <w:adjustRightInd/>
        <w:snapToGrid/>
        <w:spacing w:beforeAutospacing="0" w:after="145" w:afterAutospacing="0" w:line="360" w:lineRule="exact"/>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0658F6D6">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28.2采购人从评审报告提出的成交候选供应商中，按照排序由高到低的原则确定成交供应商。采购人确定成交供应商后，采购</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将在“</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盐城市政府采购网”发布成交结果公告，公告期限为1个工作日。</w:t>
      </w:r>
    </w:p>
    <w:p w14:paraId="4E27532D">
      <w:pPr>
        <w:pStyle w:val="13"/>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28.3若有充分证据证明，成交供应商出现下列情况之一的，一经查实，将被取消成交资格：</w:t>
      </w:r>
    </w:p>
    <w:p w14:paraId="73B34767">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28.3.1提供虚假材料谋取成交的。</w:t>
      </w:r>
    </w:p>
    <w:p w14:paraId="636046DA">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28.3.2与评审专家、采购人、其他供应商或者采购</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工作人员恶意串通的。</w:t>
      </w:r>
    </w:p>
    <w:p w14:paraId="658D92C0">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28.3.3向评审专家、采购人或采购</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工作人员行贿或者提供其他不正当利益的。</w:t>
      </w:r>
    </w:p>
    <w:p w14:paraId="788D5736">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28.3.4恶意竞争，最后报价明显低于其自身合理成本且又无法提供证明的。</w:t>
      </w:r>
    </w:p>
    <w:p w14:paraId="20914F15">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28.3.5不满足本磋商文件规定的实质性要求，但在评审过程中又未被磋商小组发现的。</w:t>
      </w:r>
    </w:p>
    <w:p w14:paraId="28080CEF">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28.3.6成交后无正当理由拒不与采购人签订政府采购合同或者未按照磋商文件确定的事项签订政府采购合同的。</w:t>
      </w:r>
    </w:p>
    <w:p w14:paraId="5A053D2E">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28.3.7将政府采购合同转包的。</w:t>
      </w:r>
    </w:p>
    <w:p w14:paraId="03A2F821">
      <w:pPr>
        <w:pStyle w:val="13"/>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color w:val="auto"/>
          <w:sz w:val="24"/>
          <w:szCs w:val="24"/>
          <w:highlight w:val="none"/>
        </w:rPr>
      </w:pPr>
      <w:bookmarkStart w:id="145" w:name="_Toc200451960"/>
      <w:r>
        <w:rPr>
          <w:rFonts w:hint="eastAsia" w:ascii="宋体" w:hAnsi="宋体" w:eastAsia="宋体" w:cs="宋体"/>
          <w:color w:val="auto"/>
          <w:sz w:val="24"/>
          <w:szCs w:val="24"/>
          <w:highlight w:val="none"/>
        </w:rPr>
        <w:t>29、质疑处理</w:t>
      </w:r>
      <w:bookmarkEnd w:id="145"/>
    </w:p>
    <w:p w14:paraId="3FE1E9AB">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 提出质疑的供应商应当是参与所质疑项目采购活动的供应商。潜在供应商依法获取其可质疑的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文件的，可以对</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文件提出质疑。</w:t>
      </w:r>
    </w:p>
    <w:p w14:paraId="3A8A516E">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29.2供应商认为</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过程和</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结果使自己的权益受到损害的，可以在知道或应知其权益受到损害之日起七个工作日内，以书面形式根据下述29.4条款的规定向采购</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或采购人提出质疑。上述应知其权益受到损害之日，是指：</w:t>
      </w:r>
    </w:p>
    <w:p w14:paraId="425C9738">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29.2.1对可以质疑的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文件提出质疑的，为收到</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文件之日或者</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文件公告期限届满之日。</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29.2.2对</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过程提出质疑的，为各采购程序环节结束之日。</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29.2.3对成交结果提出质疑的，为成交结果公告期限届满之日。</w:t>
      </w:r>
    </w:p>
    <w:p w14:paraId="35A727E6">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供应商应当在法定质疑期内一次性提出针对同一采购程序环节的质疑。供应商如在法定期限内对同一采购程序环节提出多次质疑的，采购</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、采购人将只对供应商第一次质疑作出答复。</w:t>
      </w:r>
    </w:p>
    <w:p w14:paraId="3A7343AA">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质疑函必须按照本磋商文件中《质疑函范本》要求的格式和内容进行填写。供应商如组成联合体参加磋商，则《质疑函范本》中要求签字、盖章、加盖公章之处，联合体各方均须按要求签字、盖章、加盖公章。</w:t>
      </w:r>
    </w:p>
    <w:p w14:paraId="2CB44F8B">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29.4 供应商（含潜在供应商）对采购方式、采购需求、供应商资格条件、评审方法与评审标准、合同文本的询问、质疑请向采购人提出，由采购人负责答复。供应商对其他事项的询问、质疑请向采购</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提出，由采购</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负责答复。</w:t>
      </w:r>
    </w:p>
    <w:p w14:paraId="20FF6304">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采购人及采购</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只接收以纸质原件形式送达的质疑,采购人和采购</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不接受未填写快递运单的快件。</w:t>
      </w:r>
    </w:p>
    <w:p w14:paraId="0B7312C3">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采购人质疑接收人及联系方式见磋商文件第一章。</w:t>
      </w:r>
    </w:p>
    <w:p w14:paraId="40F3EC59">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质疑人（或授权委托人）须是投标单位正式员工，授权委托人须提供投标单位为其缴纳的本年度近期社保证明。</w:t>
      </w:r>
    </w:p>
    <w:p w14:paraId="0CA681B6">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质疑必须有参加投标单位法定代表人或授权代表（响应文件中所确定的）签字,并加盖供应商公章,以书面送达的方式提交。未按上述要求提交的质疑函（含传真、电子邮件等非书面送达方式）采购人有权不予受理。</w:t>
      </w:r>
    </w:p>
    <w:p w14:paraId="446756B2">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 以下情形的质疑不予受理</w:t>
      </w:r>
    </w:p>
    <w:p w14:paraId="2DC49CFC">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29.5.1 内容不符合《政府采购质疑和投诉办法》第十二条规定的质疑。</w:t>
      </w:r>
    </w:p>
    <w:p w14:paraId="3FFF19E8">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29.5.2 超出政府采购法定期限的质疑。</w:t>
      </w:r>
    </w:p>
    <w:p w14:paraId="3CD169DF">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29.5.3 以传真、电子邮件等方式递交的非原件形式的质疑。</w:t>
      </w:r>
    </w:p>
    <w:p w14:paraId="01D4F445">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29.5.4 未参加磋商活动的供应商或在磋商活动中自身权益未受到损害的供应商所提出的质疑。</w:t>
      </w:r>
    </w:p>
    <w:p w14:paraId="44C75173">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29.5.5供应商组成联合体参加磋商，联合体中任何一方或多方未按要求签字、盖章、加盖公章的质疑。</w:t>
      </w:r>
    </w:p>
    <w:p w14:paraId="572F455A">
      <w:pPr>
        <w:pStyle w:val="13"/>
        <w:pageBreakBefore w:val="0"/>
        <w:widowControl w:val="0"/>
        <w:kinsoku/>
        <w:wordWrap/>
        <w:overflowPunct/>
        <w:topLinePunct w:val="0"/>
        <w:autoSpaceDE/>
        <w:autoSpaceDN/>
        <w:bidi w:val="0"/>
        <w:adjustRightInd/>
        <w:snapToGrid/>
        <w:spacing w:beforeAutospacing="0" w:afterAutospacing="0" w:line="360" w:lineRule="exact"/>
        <w:ind w:firstLine="46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29.6供应商提出书面质疑必须有理、有据，不得捏造事实、提供虚假材料进行恶意质疑。否则，一经查实，采购</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有权依据政府采购的有关规定，报请政府采购监管部门对该供应商进行相应的行政处罚和记录该供应商的失信信息。</w:t>
      </w:r>
    </w:p>
    <w:p w14:paraId="40BC9517">
      <w:pPr>
        <w:pStyle w:val="13"/>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30、成交通知书</w:t>
      </w:r>
    </w:p>
    <w:p w14:paraId="1C7A457E">
      <w:pPr>
        <w:pStyle w:val="13"/>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30.1成交结果确定后，采购</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6E74620D">
      <w:pPr>
        <w:pStyle w:val="13"/>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30.2成交通知书将是合同的一个组成部分。对采购人和成交供应商均具有法律效力。成交通知书发出后，采购人改变成交结果的，或者成交供应商放弃成交项目的，应当依法承担法律责任。</w:t>
      </w:r>
    </w:p>
    <w:p w14:paraId="478023D5">
      <w:pPr>
        <w:pStyle w:val="13"/>
        <w:keepNext/>
        <w:keepLines/>
        <w:spacing w:before="145" w:beforeAutospacing="0" w:after="145" w:afterAutospacing="0" w:line="360" w:lineRule="auto"/>
        <w:ind w:firstLine="482" w:firstLineChars="200"/>
        <w:jc w:val="both"/>
        <w:outlineLvl w:val="0"/>
        <w:rPr>
          <w:rFonts w:hint="eastAsia" w:ascii="宋体" w:hAnsi="宋体" w:eastAsia="宋体" w:cs="宋体"/>
          <w:color w:val="auto"/>
          <w:sz w:val="24"/>
          <w:szCs w:val="24"/>
          <w:highlight w:val="none"/>
        </w:rPr>
      </w:pPr>
      <w:bookmarkStart w:id="146" w:name="_Toc513029236"/>
      <w:bookmarkStart w:id="147" w:name="_Toc20823308"/>
      <w:bookmarkStart w:id="148" w:name="_Toc16938552"/>
      <w:bookmarkStart w:id="149" w:name="_Toc120614220"/>
      <w:r>
        <w:rPr>
          <w:rFonts w:hint="eastAsia" w:ascii="宋体" w:hAnsi="宋体" w:eastAsia="宋体" w:cs="宋体"/>
          <w:b/>
          <w:color w:val="auto"/>
          <w:sz w:val="24"/>
          <w:szCs w:val="24"/>
          <w:highlight w:val="none"/>
        </w:rPr>
        <w:t>七、授予合同</w:t>
      </w:r>
      <w:bookmarkEnd w:id="146"/>
      <w:bookmarkEnd w:id="147"/>
      <w:bookmarkEnd w:id="148"/>
      <w:bookmarkEnd w:id="149"/>
    </w:p>
    <w:p w14:paraId="51383173">
      <w:pPr>
        <w:pStyle w:val="13"/>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color w:val="auto"/>
          <w:sz w:val="24"/>
          <w:szCs w:val="24"/>
          <w:highlight w:val="none"/>
        </w:rPr>
      </w:pPr>
      <w:bookmarkStart w:id="150" w:name="_Toc16938553"/>
      <w:bookmarkStart w:id="151" w:name="_Toc513029237"/>
      <w:bookmarkStart w:id="152" w:name="_Toc20823309"/>
      <w:r>
        <w:rPr>
          <w:rFonts w:hint="eastAsia" w:ascii="宋体" w:hAnsi="宋体" w:eastAsia="宋体" w:cs="宋体"/>
          <w:color w:val="auto"/>
          <w:sz w:val="24"/>
          <w:szCs w:val="24"/>
          <w:highlight w:val="none"/>
        </w:rPr>
        <w:t>31.签订合同</w:t>
      </w:r>
      <w:bookmarkEnd w:id="150"/>
      <w:bookmarkEnd w:id="151"/>
      <w:bookmarkEnd w:id="152"/>
    </w:p>
    <w:p w14:paraId="42109015">
      <w:pPr>
        <w:pStyle w:val="13"/>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31.l成交供应商应当在成交通知书发出之日起三十日内（原则上应在15日内签订采购合同），按照磋商文件确定的事项与采购人签订政府采购合同。合同签订</w:t>
      </w:r>
      <w:r>
        <w:rPr>
          <w:rFonts w:hint="eastAsia" w:ascii="宋体" w:hAnsi="宋体" w:eastAsia="宋体" w:cs="宋体"/>
          <w:color w:val="auto"/>
          <w:sz w:val="24"/>
          <w:szCs w:val="24"/>
          <w:highlight w:val="none"/>
          <w:lang w:val="en-US" w:eastAsia="zh-CN"/>
        </w:rPr>
        <w:t>之日起</w:t>
      </w:r>
      <w:r>
        <w:rPr>
          <w:rFonts w:hint="eastAsia" w:ascii="宋体" w:hAnsi="宋体" w:eastAsia="宋体" w:cs="宋体"/>
          <w:color w:val="auto"/>
          <w:sz w:val="24"/>
          <w:szCs w:val="24"/>
          <w:highlight w:val="none"/>
        </w:rPr>
        <w:t>2个工作日内</w:t>
      </w:r>
      <w:r>
        <w:rPr>
          <w:rFonts w:hint="eastAsia" w:ascii="宋体" w:hAnsi="宋体" w:eastAsia="宋体" w:cs="宋体"/>
          <w:color w:val="auto"/>
          <w:sz w:val="24"/>
          <w:szCs w:val="24"/>
          <w:highlight w:val="none"/>
          <w:lang w:val="en-US" w:eastAsia="zh-CN"/>
        </w:rPr>
        <w:t>在财政指定平台</w:t>
      </w:r>
      <w:r>
        <w:rPr>
          <w:rFonts w:hint="eastAsia" w:ascii="宋体" w:hAnsi="宋体" w:eastAsia="宋体" w:cs="宋体"/>
          <w:color w:val="auto"/>
          <w:sz w:val="24"/>
          <w:szCs w:val="24"/>
          <w:highlight w:val="none"/>
        </w:rPr>
        <w:t>公示。所签订的合同不得对招标文件确定的事项和中标人投标文件作实质性修改。</w:t>
      </w:r>
    </w:p>
    <w:p w14:paraId="7859BE61">
      <w:pPr>
        <w:pStyle w:val="13"/>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31.2磋商文件、成交供应商的响应文件及磋商过程中有关澄清、承诺文件均应作为合同附件。</w:t>
      </w:r>
    </w:p>
    <w:p w14:paraId="1F54B377">
      <w:pPr>
        <w:pStyle w:val="13"/>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31.3 签订合同后，</w:t>
      </w:r>
      <w:r>
        <w:rPr>
          <w:rFonts w:hint="eastAsia" w:ascii="宋体" w:hAnsi="宋体" w:eastAsia="宋体" w:cs="宋体"/>
          <w:i/>
          <w:color w:val="auto"/>
          <w:sz w:val="24"/>
          <w:szCs w:val="24"/>
          <w:highlight w:val="none"/>
          <w:u w:val="single"/>
        </w:rPr>
        <w:t>成交供应商不得将合同标的进行转包</w:t>
      </w:r>
      <w:r>
        <w:rPr>
          <w:rFonts w:hint="eastAsia" w:ascii="宋体" w:hAnsi="宋体" w:eastAsia="宋体" w:cs="宋体"/>
          <w:color w:val="auto"/>
          <w:sz w:val="24"/>
          <w:szCs w:val="24"/>
          <w:highlight w:val="none"/>
        </w:rPr>
        <w:t>。未经采购人同意，成交供应商也不得采用分包形式履行合同,否则采购人有权终止合同。转包或分</w:t>
      </w:r>
      <w:r>
        <w:rPr>
          <w:rFonts w:hint="eastAsia" w:ascii="宋体" w:hAnsi="宋体" w:eastAsia="宋体" w:cs="宋体"/>
          <w:color w:val="auto"/>
          <w:sz w:val="24"/>
          <w:szCs w:val="24"/>
          <w:highlight w:val="none"/>
          <w:shd w:val="clear" w:color="auto" w:fill="auto"/>
        </w:rPr>
        <w:t>包造成采购人损失的，成交供应商应承担相应赔偿责任。</w:t>
      </w:r>
    </w:p>
    <w:p w14:paraId="424555F1">
      <w:pPr>
        <w:pStyle w:val="13"/>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1"/>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标的物的追加</w:t>
      </w:r>
    </w:p>
    <w:p w14:paraId="16EBF0A4">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32.1政府采购合同履行中，采购人需追加与合同标的相同的服务（包含与服务相关的货物）的，在不改变合同其他条款的前提下，可以与成交供应商协商签订补充合同，但所有补充合同的采购金额不超过原合同金额10%。</w:t>
      </w:r>
    </w:p>
    <w:p w14:paraId="720EEBF9">
      <w:pPr>
        <w:pStyle w:val="13"/>
        <w:pageBreakBefore w:val="0"/>
        <w:widowControl w:val="0"/>
        <w:numPr>
          <w:ilvl w:val="0"/>
          <w:numId w:val="0"/>
        </w:numPr>
        <w:kinsoku/>
        <w:wordWrap/>
        <w:overflowPunct/>
        <w:topLinePunct w:val="0"/>
        <w:autoSpaceDE/>
        <w:autoSpaceDN/>
        <w:bidi w:val="0"/>
        <w:adjustRightInd/>
        <w:snapToGrid/>
        <w:spacing w:beforeAutospacing="0" w:afterAutospacing="0" w:line="360" w:lineRule="exact"/>
        <w:ind w:left="474" w:leftChars="0" w:firstLine="0" w:firstLineChars="0"/>
        <w:jc w:val="both"/>
        <w:textAlignment w:val="auto"/>
        <w:outlineLvl w:val="1"/>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33.政府采购政策功能落实</w:t>
      </w:r>
    </w:p>
    <w:p w14:paraId="3EA2C724">
      <w:pPr>
        <w:pStyle w:val="13"/>
        <w:keepNext/>
        <w:keepLines/>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outlineLvl w:val="2"/>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33.1</w:t>
      </w:r>
      <w:r>
        <w:rPr>
          <w:rFonts w:hint="eastAsia" w:ascii="宋体" w:hAnsi="宋体" w:eastAsia="宋体" w:cs="宋体"/>
          <w:color w:val="auto"/>
          <w:sz w:val="24"/>
          <w:szCs w:val="24"/>
          <w:highlight w:val="none"/>
          <w:shd w:val="clear" w:color="auto" w:fill="auto"/>
        </w:rPr>
        <w:t>政府采购</w:t>
      </w:r>
      <w:r>
        <w:rPr>
          <w:rFonts w:hint="eastAsia" w:ascii="宋体" w:hAnsi="宋体" w:eastAsia="宋体" w:cs="宋体"/>
          <w:color w:val="auto"/>
          <w:sz w:val="24"/>
          <w:szCs w:val="24"/>
          <w:highlight w:val="none"/>
          <w:shd w:val="clear" w:color="auto" w:fill="auto"/>
          <w:lang w:eastAsia="zh-CN"/>
        </w:rPr>
        <w:t>线上合同信用融资</w:t>
      </w:r>
      <w:r>
        <w:rPr>
          <w:rFonts w:hint="eastAsia" w:ascii="宋体" w:hAnsi="宋体" w:eastAsia="宋体" w:cs="宋体"/>
          <w:color w:val="auto"/>
          <w:sz w:val="24"/>
          <w:szCs w:val="24"/>
          <w:highlight w:val="none"/>
          <w:shd w:val="clear" w:color="auto" w:fill="auto"/>
        </w:rPr>
        <w:t>政策</w:t>
      </w:r>
    </w:p>
    <w:p w14:paraId="7831DEFD">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根据《转发江苏省财政厅 中国人民银行南京分行</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关于深入推进政府采购线上合同信用融资工作的通知</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江苏省</w:t>
      </w:r>
      <w:r>
        <w:rPr>
          <w:rFonts w:hint="eastAsia" w:ascii="宋体" w:hAnsi="宋体" w:eastAsia="宋体" w:cs="宋体"/>
          <w:color w:val="auto"/>
          <w:sz w:val="24"/>
          <w:szCs w:val="24"/>
          <w:highlight w:val="none"/>
          <w:shd w:val="clear" w:color="auto" w:fill="auto"/>
        </w:rPr>
        <w:t>政府采购网“政采贷”栏目）申请贷款，相关金融机构按照双方自愿的原则提供便捷、优惠的贷款服务；具体操作流程请参考苏采云系统中操作手册。 </w:t>
      </w:r>
    </w:p>
    <w:p w14:paraId="05A8ADEB">
      <w:pPr>
        <w:pageBreakBefore w:val="0"/>
        <w:widowControl w:val="0"/>
        <w:tabs>
          <w:tab w:val="left" w:pos="1381"/>
        </w:tabs>
        <w:kinsoku/>
        <w:wordWrap/>
        <w:overflowPunct/>
        <w:topLinePunct w:val="0"/>
        <w:autoSpaceDE/>
        <w:autoSpaceDN/>
        <w:bidi w:val="0"/>
        <w:adjustRightInd/>
        <w:snapToGrid/>
        <w:spacing w:line="360" w:lineRule="exact"/>
        <w:ind w:firstLine="482" w:firstLineChars="0"/>
        <w:textAlignment w:val="auto"/>
        <w:outlineLvl w:val="2"/>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33.2进口产品</w:t>
      </w:r>
    </w:p>
    <w:p w14:paraId="5E25FDB5">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进口产品</w:t>
      </w:r>
      <w:r>
        <w:rPr>
          <w:rFonts w:hint="eastAsia" w:ascii="宋体" w:hAnsi="宋体" w:eastAsia="宋体" w:cs="宋体"/>
          <w:color w:val="auto"/>
          <w:sz w:val="24"/>
          <w:szCs w:val="24"/>
          <w:highlight w:val="none"/>
          <w:shd w:val="clear" w:color="auto" w:fill="auto"/>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pageBreakBefore w:val="0"/>
        <w:widowControl w:val="0"/>
        <w:tabs>
          <w:tab w:val="left" w:pos="1381"/>
        </w:tabs>
        <w:kinsoku/>
        <w:wordWrap/>
        <w:overflowPunct/>
        <w:topLinePunct w:val="0"/>
        <w:autoSpaceDE/>
        <w:autoSpaceDN/>
        <w:bidi w:val="0"/>
        <w:adjustRightInd/>
        <w:snapToGrid/>
        <w:spacing w:line="360" w:lineRule="exact"/>
        <w:ind w:firstLine="482" w:firstLineChars="0"/>
        <w:textAlignment w:val="auto"/>
        <w:outlineLvl w:val="2"/>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33.3中小企业、监狱企业及残疾人福利性单位</w:t>
      </w:r>
    </w:p>
    <w:p w14:paraId="63807B9C">
      <w:pPr>
        <w:pageBreakBefore w:val="0"/>
        <w:widowControl w:val="0"/>
        <w:kinsoku/>
        <w:wordWrap/>
        <w:overflowPunct/>
        <w:topLinePunct w:val="0"/>
        <w:autoSpaceDE/>
        <w:autoSpaceDN/>
        <w:bidi w:val="0"/>
        <w:adjustRightInd/>
        <w:snapToGrid/>
        <w:spacing w:line="360" w:lineRule="exact"/>
        <w:ind w:firstLine="480"/>
        <w:textAlignment w:va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3</w:t>
      </w:r>
      <w:r>
        <w:rPr>
          <w:rFonts w:hint="eastAsia" w:ascii="宋体" w:hAnsi="宋体" w:eastAsia="宋体" w:cs="宋体"/>
          <w:sz w:val="24"/>
          <w:szCs w:val="24"/>
          <w:highlight w:val="none"/>
          <w:shd w:val="clear" w:color="auto" w:fill="auto"/>
          <w:lang w:val="en-US" w:eastAsia="zh-CN"/>
        </w:rPr>
        <w:t>3</w:t>
      </w:r>
      <w:r>
        <w:rPr>
          <w:rFonts w:hint="eastAsia" w:ascii="宋体" w:hAnsi="宋体" w:eastAsia="宋体" w:cs="宋体"/>
          <w:sz w:val="24"/>
          <w:szCs w:val="24"/>
          <w:highlight w:val="none"/>
          <w:shd w:val="clear" w:color="auto" w:fill="auto"/>
        </w:rPr>
        <w:t>.3.1中小企业定义：</w:t>
      </w:r>
    </w:p>
    <w:p w14:paraId="4C9CBD8E">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政府采购促进中小企业发展管理办法》（财库〔2020〕46号）、《关于印发中小企业划型标准规定的通知》（工信部联企业〔2011〕300 号）、《国务院关于进一步促进中小企业发展的若干意见》（国发〔2009〕36 号）。</w:t>
      </w:r>
    </w:p>
    <w:p w14:paraId="30D4ACCA">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.3.2供应商提供的货物、工程或者服务符合下列情形的，享受中小企业扶持政策：</w:t>
      </w:r>
    </w:p>
    <w:p w14:paraId="6761BEF4">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.3.2.1在货物采购项目中，货物由中小企业制造，即货物由中小企业生产且使用该中小企业商号或者注册商标；</w:t>
      </w:r>
    </w:p>
    <w:p w14:paraId="31163D45">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.3.2.2在工程采购项目中，工程由中小企业承建，即工程施工单位为中小企业；</w:t>
      </w:r>
    </w:p>
    <w:p w14:paraId="4DFC19BD">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.3.2.3在服务采购项目中，服务由中小企业承接，即提供服务的人员为中小企业依照《中华人民共和国劳动合同法》订立劳动合同的从业人员。</w:t>
      </w:r>
    </w:p>
    <w:p w14:paraId="3EA95C77">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.3.3在货物采购项目中，供应商提供的货物既有中小企业制造货物，也有大型企业制造货物的，不享受中小企业扶持政策。</w:t>
      </w:r>
    </w:p>
    <w:p w14:paraId="18C13D1A">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.3.4以联合体形式参加政府采购活动，联合体各方均为中小企业的，联合体视同中小企业。其中，联合体各方均为小微企业的，联合体视同小微企业。</w:t>
      </w:r>
    </w:p>
    <w:p w14:paraId="34D8F3DF">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.3.6残疾人福利单位定义：享受政府采购支持政策的残疾人福利性单位应当同时满足以下条件：</w:t>
      </w:r>
    </w:p>
    <w:p w14:paraId="2C10A4F6">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.3.6.1安置的残疾人占本单位在职职工人数的比例不低于25%（含25%），并且安置的残疾人人数不少于10 人（含10 人）；</w:t>
      </w:r>
    </w:p>
    <w:p w14:paraId="273AB3B5">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.3.6.2依法与安置的每位残疾人签订了一年以上（含一年）的劳动合同或服务协议；</w:t>
      </w:r>
    </w:p>
    <w:p w14:paraId="25054FF3">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.3.6.3为安置的每位残疾人按月足额缴纳了基本养老保险、基本医疗保险、失业保险、工伤保险和生育保险等社会保险费；</w:t>
      </w:r>
    </w:p>
    <w:p w14:paraId="2B08B5C5">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.3.6.4通过银行等金融机构向安置的每位残疾人，按月支付了不低于单位所在区县适用的经省级人民政府批准的月最低工资标准的工资；</w:t>
      </w:r>
    </w:p>
    <w:p w14:paraId="20CB233D">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.3.6.5提供本单位制造的货物、承担的工程或者服务（以下简称产品），或者提供其他残疾人福利性单位制造的货物（不包括使用非残疾人福利性单位注册商标的货物）；</w:t>
      </w:r>
    </w:p>
    <w:p w14:paraId="3B85C34B">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.3.7本项目是否专门面向中小企业预留采购份额见第一章《竞争性磋商</w:t>
      </w:r>
      <w:r>
        <w:rPr>
          <w:rFonts w:hint="eastAsia" w:ascii="宋体" w:hAnsi="宋体" w:eastAsia="宋体" w:cs="宋体"/>
          <w:color w:val="auto"/>
          <w:sz w:val="24"/>
          <w:szCs w:val="24"/>
          <w:highlight w:val="none"/>
          <w:shd w:val="clear" w:color="auto" w:fill="auto"/>
          <w:lang w:val="en-US" w:eastAsia="zh-CN"/>
        </w:rPr>
        <w:t>公告</w:t>
      </w:r>
      <w:r>
        <w:rPr>
          <w:rFonts w:hint="eastAsia" w:ascii="宋体" w:hAnsi="宋体" w:eastAsia="宋体" w:cs="宋体"/>
          <w:color w:val="auto"/>
          <w:sz w:val="24"/>
          <w:szCs w:val="24"/>
          <w:highlight w:val="none"/>
          <w:shd w:val="clear" w:color="auto" w:fill="auto"/>
        </w:rPr>
        <w:t>》。</w:t>
      </w:r>
    </w:p>
    <w:p w14:paraId="66321B5E">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33</w:t>
      </w:r>
      <w:r>
        <w:rPr>
          <w:rFonts w:hint="eastAsia" w:ascii="宋体" w:hAnsi="宋体" w:eastAsia="宋体" w:cs="宋体"/>
          <w:color w:val="auto"/>
          <w:sz w:val="24"/>
          <w:szCs w:val="24"/>
          <w:highlight w:val="none"/>
          <w:shd w:val="clear" w:color="auto" w:fill="auto"/>
        </w:rPr>
        <w:t>.3.8采购标的对应的中小企业划分标准所属行业见第四章《采购需求》。</w:t>
      </w:r>
    </w:p>
    <w:p w14:paraId="3CD37815">
      <w:pPr>
        <w:pStyle w:val="13"/>
        <w:pageBreakBefore w:val="0"/>
        <w:widowControl w:val="0"/>
        <w:kinsoku/>
        <w:wordWrap/>
        <w:overflowPunct/>
        <w:topLinePunct w:val="0"/>
        <w:autoSpaceDE/>
        <w:autoSpaceDN/>
        <w:bidi w:val="0"/>
        <w:adjustRightInd/>
        <w:snapToGrid/>
        <w:spacing w:beforeAutospacing="0" w:afterAutospacing="0" w:line="3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.3.9小微企业价格评审优惠的政策：见第五章《评标方法和评标标准》。</w:t>
      </w:r>
    </w:p>
    <w:p w14:paraId="24130294">
      <w:pPr>
        <w:pageBreakBefore w:val="0"/>
        <w:widowControl w:val="0"/>
        <w:tabs>
          <w:tab w:val="left" w:pos="1381"/>
        </w:tabs>
        <w:kinsoku/>
        <w:wordWrap/>
        <w:overflowPunct/>
        <w:topLinePunct w:val="0"/>
        <w:autoSpaceDE/>
        <w:autoSpaceDN/>
        <w:bidi w:val="0"/>
        <w:adjustRightInd/>
        <w:snapToGrid/>
        <w:spacing w:line="360" w:lineRule="exact"/>
        <w:ind w:firstLine="482" w:firstLineChars="0"/>
        <w:textAlignment w:val="auto"/>
        <w:outlineLvl w:val="2"/>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33.4政府采购节能产品、环境标志产品</w:t>
      </w:r>
    </w:p>
    <w:p w14:paraId="56196F77">
      <w:pPr>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sz w:val="24"/>
          <w:szCs w:val="24"/>
          <w:highlight w:val="none"/>
          <w:shd w:val="clear" w:color="auto" w:fill="auto"/>
        </w:rPr>
        <w:t>3</w:t>
      </w:r>
      <w:r>
        <w:rPr>
          <w:rFonts w:hint="eastAsia" w:ascii="宋体" w:hAnsi="宋体" w:eastAsia="宋体" w:cs="宋体"/>
          <w:sz w:val="24"/>
          <w:szCs w:val="24"/>
          <w:highlight w:val="none"/>
          <w:shd w:val="clear" w:color="auto" w:fill="auto"/>
          <w:lang w:val="en-US" w:eastAsia="zh-CN"/>
        </w:rPr>
        <w:t>3</w:t>
      </w:r>
      <w:r>
        <w:rPr>
          <w:rFonts w:hint="eastAsia" w:ascii="宋体" w:hAnsi="宋体" w:eastAsia="宋体" w:cs="宋体"/>
          <w:sz w:val="24"/>
          <w:szCs w:val="24"/>
          <w:highlight w:val="none"/>
          <w:shd w:val="clear" w:color="auto" w:fill="auto"/>
        </w:rPr>
        <w:t>.4.1</w:t>
      </w:r>
      <w:r>
        <w:rPr>
          <w:rFonts w:hint="eastAsia" w:ascii="宋体" w:hAnsi="宋体" w:eastAsia="宋体" w:cs="宋体"/>
          <w:color w:val="auto"/>
          <w:kern w:val="0"/>
          <w:sz w:val="24"/>
          <w:szCs w:val="24"/>
          <w:highlight w:val="none"/>
          <w:shd w:val="clear" w:color="auto" w:fill="auto"/>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szCs w:val="24"/>
          <w:highlight w:val="none"/>
          <w:shd w:val="clear" w:color="auto" w:fill="auto"/>
        </w:rPr>
        <w:t>如属政府强制采购产品未提供认证证书的或认证证书提供不全的将视为未实质性响应采购要求</w:t>
      </w:r>
      <w:r>
        <w:rPr>
          <w:rFonts w:hint="eastAsia" w:ascii="宋体" w:hAnsi="宋体" w:eastAsia="宋体" w:cs="宋体"/>
          <w:i/>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rPr>
        <w:t>其他条件相同情况下，应当优先采购节能产品、环境标志产品。</w:t>
      </w:r>
    </w:p>
    <w:p w14:paraId="3644E8D9">
      <w:pPr>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sz w:val="24"/>
          <w:szCs w:val="24"/>
          <w:highlight w:val="none"/>
          <w:shd w:val="clear" w:color="auto" w:fill="auto"/>
        </w:rPr>
        <w:t>3</w:t>
      </w:r>
      <w:r>
        <w:rPr>
          <w:rFonts w:hint="eastAsia" w:ascii="宋体" w:hAnsi="宋体" w:eastAsia="宋体" w:cs="宋体"/>
          <w:sz w:val="24"/>
          <w:szCs w:val="24"/>
          <w:highlight w:val="none"/>
          <w:shd w:val="clear" w:color="auto" w:fill="auto"/>
          <w:lang w:val="en-US" w:eastAsia="zh-CN"/>
        </w:rPr>
        <w:t>3</w:t>
      </w:r>
      <w:r>
        <w:rPr>
          <w:rFonts w:hint="eastAsia" w:ascii="宋体" w:hAnsi="宋体" w:eastAsia="宋体" w:cs="宋体"/>
          <w:sz w:val="24"/>
          <w:szCs w:val="24"/>
          <w:highlight w:val="none"/>
          <w:shd w:val="clear" w:color="auto" w:fill="auto"/>
        </w:rPr>
        <w:t>.4.2</w:t>
      </w:r>
      <w:r>
        <w:rPr>
          <w:rFonts w:hint="eastAsia" w:ascii="宋体" w:hAnsi="宋体" w:eastAsia="宋体" w:cs="宋体"/>
          <w:color w:val="auto"/>
          <w:kern w:val="0"/>
          <w:sz w:val="24"/>
          <w:szCs w:val="24"/>
          <w:highlight w:val="none"/>
          <w:shd w:val="clear" w:color="auto" w:fill="auto"/>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ageBreakBefore w:val="0"/>
        <w:widowControl w:val="0"/>
        <w:tabs>
          <w:tab w:val="left" w:pos="1381"/>
        </w:tabs>
        <w:kinsoku/>
        <w:wordWrap/>
        <w:overflowPunct/>
        <w:topLinePunct w:val="0"/>
        <w:autoSpaceDE/>
        <w:autoSpaceDN/>
        <w:bidi w:val="0"/>
        <w:adjustRightInd/>
        <w:snapToGrid/>
        <w:spacing w:line="360" w:lineRule="exact"/>
        <w:ind w:firstLine="480" w:firstLineChars="200"/>
        <w:textAlignment w:val="auto"/>
        <w:outlineLvl w:val="2"/>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33.5绿色包装</w:t>
      </w:r>
    </w:p>
    <w:p w14:paraId="3C828DB7">
      <w:pPr>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pageBreakBefore w:val="0"/>
        <w:widowControl w:val="0"/>
        <w:tabs>
          <w:tab w:val="left" w:pos="1381"/>
        </w:tabs>
        <w:kinsoku/>
        <w:wordWrap/>
        <w:overflowPunct/>
        <w:topLinePunct w:val="0"/>
        <w:autoSpaceDE/>
        <w:autoSpaceDN/>
        <w:bidi w:val="0"/>
        <w:adjustRightInd/>
        <w:snapToGrid/>
        <w:spacing w:line="360" w:lineRule="exact"/>
        <w:ind w:firstLine="482" w:firstLineChars="0"/>
        <w:textAlignment w:val="auto"/>
        <w:outlineLvl w:val="2"/>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33.6政府采购创新产品</w:t>
      </w:r>
    </w:p>
    <w:p w14:paraId="2D9B336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exact"/>
        <w:ind w:left="0" w:right="0" w:firstLine="478"/>
        <w:jc w:val="both"/>
        <w:textAlignment w:val="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bidi="ar-SA"/>
        </w:rPr>
        <w:t>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shd w:val="clear" w:color="auto" w:fill="auto"/>
        </w:rPr>
        <w:t>。</w:t>
      </w:r>
    </w:p>
    <w:p w14:paraId="57947BB5">
      <w:pPr>
        <w:pageBreakBefore w:val="0"/>
        <w:widowControl w:val="0"/>
        <w:tabs>
          <w:tab w:val="left" w:pos="1381"/>
        </w:tabs>
        <w:kinsoku/>
        <w:wordWrap/>
        <w:overflowPunct/>
        <w:topLinePunct w:val="0"/>
        <w:autoSpaceDE/>
        <w:autoSpaceDN/>
        <w:bidi w:val="0"/>
        <w:adjustRightInd/>
        <w:snapToGrid/>
        <w:spacing w:line="360" w:lineRule="exact"/>
        <w:ind w:firstLine="480" w:firstLineChars="200"/>
        <w:textAlignment w:val="auto"/>
        <w:outlineLvl w:val="2"/>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33.7绿色数据中心政策 </w:t>
      </w:r>
    </w:p>
    <w:p w14:paraId="722A8D32">
      <w:pPr>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kern w:val="0"/>
          <w:sz w:val="24"/>
          <w:szCs w:val="24"/>
          <w:highlight w:val="none"/>
          <w:shd w:val="clear" w:color="auto" w:fill="auto"/>
          <w:lang w:val="en-US" w:eastAsia="zh-CN" w:bidi="ar-SA"/>
        </w:rPr>
        <w:t>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34807A4">
      <w:pPr>
        <w:pageBreakBefore w:val="0"/>
        <w:widowControl w:val="0"/>
        <w:kinsoku/>
        <w:wordWrap/>
        <w:overflowPunct/>
        <w:topLinePunct w:val="0"/>
        <w:autoSpaceDE/>
        <w:autoSpaceDN/>
        <w:bidi w:val="0"/>
        <w:adjustRightInd/>
        <w:snapToGrid/>
        <w:spacing w:line="360" w:lineRule="exact"/>
        <w:ind w:firstLine="480" w:firstLineChars="200"/>
        <w:textAlignment w:val="auto"/>
        <w:outlineLvl w:val="2"/>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33.8履约保证金政策</w:t>
      </w:r>
    </w:p>
    <w:p w14:paraId="40F02B3A">
      <w:pPr>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履约保证金的金额和是否缴纳由采购人与成交供应商协商确定。确需收取履约保证金的，履约保证金的缴纳形式：</w:t>
      </w:r>
    </w:p>
    <w:p w14:paraId="5EB031AC">
      <w:pPr>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如以履约保函（保险）形式缴纳履约保证金，供应商可通过政府采购电子履约保函（保险）平台（www.jsdzbh.com）在线申请履约保函（保险）。</w:t>
      </w:r>
    </w:p>
    <w:p w14:paraId="57E6C93D">
      <w:pPr>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履约保证金金额不超过合同金额的10%，采购人对第三方信用服务机构依据标准规范评定为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84C23EE">
      <w:pPr>
        <w:pageBreakBefore w:val="0"/>
        <w:widowControl w:val="0"/>
        <w:tabs>
          <w:tab w:val="left" w:pos="1381"/>
        </w:tabs>
        <w:kinsoku/>
        <w:wordWrap/>
        <w:overflowPunct/>
        <w:topLinePunct w:val="0"/>
        <w:autoSpaceDE/>
        <w:autoSpaceDN/>
        <w:bidi w:val="0"/>
        <w:adjustRightInd/>
        <w:snapToGrid/>
        <w:spacing w:line="360" w:lineRule="exact"/>
        <w:ind w:firstLine="482" w:firstLineChars="0"/>
        <w:textAlignment w:val="auto"/>
        <w:outlineLvl w:val="1"/>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34.预付款制度</w:t>
      </w:r>
    </w:p>
    <w:p w14:paraId="23108FD2">
      <w:pPr>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本项目落实预付款制度，预付款比例为</w:t>
      </w:r>
      <w:r>
        <w:rPr>
          <w:rFonts w:hint="eastAsia" w:ascii="宋体" w:hAnsi="宋体" w:eastAsia="宋体" w:cs="宋体"/>
          <w:color w:val="auto"/>
          <w:kern w:val="0"/>
          <w:sz w:val="24"/>
          <w:szCs w:val="24"/>
          <w:highlight w:val="none"/>
          <w:u w:val="single"/>
          <w:shd w:val="clear" w:color="auto" w:fill="auto"/>
          <w:lang w:val="en-US" w:eastAsia="zh-CN" w:bidi="ar-SA"/>
        </w:rPr>
        <w:t>30</w:t>
      </w:r>
      <w:r>
        <w:rPr>
          <w:rFonts w:hint="eastAsia" w:ascii="宋体" w:hAnsi="宋体" w:eastAsia="宋体" w:cs="宋体"/>
          <w:color w:val="auto"/>
          <w:kern w:val="0"/>
          <w:sz w:val="24"/>
          <w:szCs w:val="24"/>
          <w:highlight w:val="none"/>
          <w:shd w:val="clear" w:color="auto" w:fill="auto"/>
          <w:lang w:val="en-US" w:eastAsia="zh-CN" w:bidi="ar-SA"/>
        </w:rPr>
        <w:t>%。在签订合同时，成交供应商明确书面表示无需预付款或者主动要求降低预付款比例的，采购人可就预付款比例作相应调整。</w:t>
      </w:r>
    </w:p>
    <w:p w14:paraId="5B113D68">
      <w:pPr>
        <w:pageBreakBefore w:val="0"/>
        <w:widowControl w:val="0"/>
        <w:tabs>
          <w:tab w:val="left" w:pos="1381"/>
        </w:tabs>
        <w:kinsoku/>
        <w:wordWrap/>
        <w:overflowPunct/>
        <w:topLinePunct w:val="0"/>
        <w:autoSpaceDE/>
        <w:autoSpaceDN/>
        <w:bidi w:val="0"/>
        <w:adjustRightInd/>
        <w:snapToGrid/>
        <w:spacing w:line="360" w:lineRule="exact"/>
        <w:ind w:firstLine="482" w:firstLineChars="0"/>
        <w:textAlignment w:val="auto"/>
        <w:outlineLvl w:val="1"/>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35.收费 </w:t>
      </w:r>
    </w:p>
    <w:p w14:paraId="1FB9DF91">
      <w:pPr>
        <w:pStyle w:val="13"/>
        <w:spacing w:beforeAutospacing="0" w:afterAutospacing="0" w:line="460" w:lineRule="exact"/>
        <w:ind w:firstLine="480" w:firstLineChars="0"/>
        <w:jc w:val="both"/>
        <w:outlineLvl w:val="9"/>
        <w:rPr>
          <w:rFonts w:hint="eastAsia" w:ascii="宋体" w:hAnsi="宋体" w:eastAsia="宋体" w:cs="Times New Roman"/>
          <w:color w:val="000000"/>
          <w:sz w:val="24"/>
          <w:szCs w:val="24"/>
          <w:lang w:val="en-US" w:eastAsia="zh-CN" w:bidi="ar-SA"/>
        </w:rPr>
      </w:pPr>
      <w:r>
        <w:rPr>
          <w:rFonts w:hint="eastAsia" w:ascii="宋体" w:hAnsi="宋体" w:eastAsia="宋体" w:cs="宋体"/>
          <w:sz w:val="24"/>
          <w:lang w:val="en-US" w:eastAsia="zh-CN"/>
        </w:rPr>
        <w:t>成交</w:t>
      </w:r>
      <w:r>
        <w:rPr>
          <w:rFonts w:hint="eastAsia" w:ascii="宋体" w:hAnsi="宋体" w:eastAsia="宋体" w:cs="宋体"/>
          <w:sz w:val="24"/>
        </w:rPr>
        <w:t>服务费：本次</w:t>
      </w:r>
      <w:r>
        <w:rPr>
          <w:rFonts w:hint="eastAsia" w:ascii="宋体" w:hAnsi="宋体" w:eastAsia="宋体" w:cs="宋体"/>
          <w:sz w:val="24"/>
          <w:lang w:val="en-US" w:eastAsia="zh-CN"/>
        </w:rPr>
        <w:t>招标采购</w:t>
      </w:r>
      <w:r>
        <w:rPr>
          <w:rFonts w:hint="eastAsia" w:ascii="宋体" w:hAnsi="宋体" w:eastAsia="宋体" w:cs="宋体"/>
          <w:sz w:val="24"/>
        </w:rPr>
        <w:t>的代理服务费按《江苏省政府采购代理服务收费指导意见》的通知（苏政采协【2024】20号）收费标准进行计取（按差额定率分档累进法计算），</w:t>
      </w:r>
      <w:r>
        <w:rPr>
          <w:rFonts w:hint="eastAsia" w:ascii="宋体" w:hAnsi="宋体" w:eastAsia="宋体" w:cs="宋体"/>
          <w:sz w:val="24"/>
          <w:lang w:val="en-US" w:eastAsia="zh-CN"/>
        </w:rPr>
        <w:t>成交</w:t>
      </w:r>
      <w:r>
        <w:rPr>
          <w:rFonts w:hint="eastAsia" w:ascii="宋体" w:hAnsi="宋体" w:eastAsia="宋体" w:cs="宋体"/>
          <w:sz w:val="24"/>
        </w:rPr>
        <w:t>金额50万元以下(含50万元)收取1.</w:t>
      </w:r>
      <w:r>
        <w:rPr>
          <w:rFonts w:hint="eastAsia" w:ascii="宋体" w:hAnsi="宋体" w:eastAsia="宋体" w:cs="宋体"/>
          <w:sz w:val="24"/>
          <w:lang w:val="en-US" w:eastAsia="zh-CN"/>
        </w:rPr>
        <w:t>6</w:t>
      </w:r>
      <w:r>
        <w:rPr>
          <w:rFonts w:hint="eastAsia" w:ascii="宋体" w:hAnsi="宋体" w:eastAsia="宋体" w:cs="宋体"/>
          <w:sz w:val="24"/>
        </w:rPr>
        <w:t>%，50万元-400万元(含400万元) 收取1.5%；由成交供应商在领取成交通知书前一次性支付。（本条不单独列表报价，自行综合考虑在投标报价中，</w:t>
      </w:r>
      <w:r>
        <w:rPr>
          <w:rFonts w:hint="eastAsia" w:ascii="宋体" w:hAnsi="宋体" w:eastAsia="宋体" w:cs="宋体"/>
          <w:sz w:val="24"/>
          <w:lang w:val="en-US" w:eastAsia="zh-CN"/>
        </w:rPr>
        <w:t>成交</w:t>
      </w:r>
      <w:r>
        <w:rPr>
          <w:rFonts w:hint="eastAsia" w:ascii="宋体" w:hAnsi="宋体" w:eastAsia="宋体" w:cs="宋体"/>
          <w:sz w:val="24"/>
        </w:rPr>
        <w:t>后采购人不再另行支付）。</w:t>
      </w:r>
    </w:p>
    <w:p w14:paraId="5034EE12">
      <w:pPr>
        <w:spacing w:line="480" w:lineRule="exact"/>
        <w:ind w:firstLine="480"/>
        <w:rPr>
          <w:rFonts w:hint="eastAsia" w:ascii="宋体" w:hAnsi="宋体" w:eastAsia="宋体" w:cs="Times New Roman"/>
          <w:b/>
          <w:bCs/>
          <w:color w:val="000000"/>
          <w:sz w:val="24"/>
          <w:szCs w:val="24"/>
          <w:lang w:val="en-US" w:eastAsia="zh-CN" w:bidi="ar-SA"/>
        </w:rPr>
      </w:pPr>
      <w:r>
        <w:rPr>
          <w:rFonts w:hint="eastAsia" w:ascii="宋体" w:hAnsi="宋体" w:eastAsia="宋体" w:cs="Times New Roman"/>
          <w:b w:val="0"/>
          <w:bCs w:val="0"/>
          <w:color w:val="000000"/>
          <w:sz w:val="24"/>
          <w:szCs w:val="24"/>
          <w:lang w:val="en-US" w:eastAsia="zh-CN" w:bidi="ar-SA"/>
        </w:rPr>
        <w:t>收款帐户为：射阳宏远财会服务有限公司，开户行：中国建设银行股份有限公司射阳县支行，账号：32001737436052512853。</w:t>
      </w:r>
    </w:p>
    <w:p w14:paraId="6BE856E4">
      <w:pPr>
        <w:pageBreakBefore w:val="0"/>
        <w:widowControl w:val="0"/>
        <w:tabs>
          <w:tab w:val="left" w:pos="1381"/>
        </w:tabs>
        <w:kinsoku/>
        <w:wordWrap/>
        <w:overflowPunct/>
        <w:topLinePunct w:val="0"/>
        <w:autoSpaceDE/>
        <w:autoSpaceDN/>
        <w:bidi w:val="0"/>
        <w:adjustRightInd/>
        <w:snapToGrid/>
        <w:spacing w:line="360" w:lineRule="exact"/>
        <w:ind w:firstLine="482" w:firstLineChars="0"/>
        <w:textAlignment w:val="auto"/>
        <w:outlineLvl w:val="1"/>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36.踏勘</w:t>
      </w:r>
    </w:p>
    <w:p w14:paraId="138E3175">
      <w:pPr>
        <w:pStyle w:val="13"/>
        <w:spacing w:beforeAutospacing="0" w:afterAutospacing="0" w:line="460" w:lineRule="exact"/>
        <w:ind w:firstLine="480" w:firstLineChars="0"/>
        <w:jc w:val="both"/>
        <w:outlineLvl w:val="9"/>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36.1供应商自行到项目现场进行踏勘，充分了解位置、情况、规模及任何其它足以影响投标报价的情况，并将本项目可预见的相关费用考虑到投标报价中，成交后采购人可认为本项目可预见费用已包括在投标报价中。任何因忽视或误解项目情况而导致的索赔将不予认可。</w:t>
      </w:r>
    </w:p>
    <w:p w14:paraId="7A88F1FA">
      <w:pPr>
        <w:pStyle w:val="13"/>
        <w:spacing w:beforeAutospacing="0" w:afterAutospacing="0" w:line="460" w:lineRule="exact"/>
        <w:ind w:firstLine="480" w:firstLineChars="0"/>
        <w:jc w:val="both"/>
        <w:outlineLvl w:val="9"/>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36.2采购人在踏勘现场中介绍的项目情况，供应商在编制响应文件时参考，采购人不对供应商据此作出的判断和决策负责。</w:t>
      </w:r>
    </w:p>
    <w:p w14:paraId="1590B67C">
      <w:pPr>
        <w:pStyle w:val="25"/>
        <w:spacing w:after="0" w:line="520" w:lineRule="exact"/>
        <w:ind w:left="0" w:firstLine="560"/>
        <w:rPr>
          <w:rFonts w:hint="eastAsia" w:ascii="宋体" w:hAnsi="宋体" w:eastAsia="宋体" w:cs="宋体"/>
          <w:b w:val="0"/>
          <w:bCs w:val="0"/>
          <w:color w:val="000000"/>
          <w:kern w:val="0"/>
          <w:sz w:val="24"/>
          <w:szCs w:val="24"/>
          <w:lang w:val="en-US" w:eastAsia="zh-CN" w:bidi="ar-SA"/>
        </w:rPr>
      </w:pPr>
      <w:r>
        <w:rPr>
          <w:rFonts w:hint="eastAsia" w:ascii="宋体" w:hAnsi="宋体" w:eastAsia="宋体" w:cs="宋体"/>
          <w:b w:val="0"/>
          <w:bCs w:val="0"/>
          <w:color w:val="000000"/>
          <w:kern w:val="0"/>
          <w:sz w:val="24"/>
          <w:szCs w:val="24"/>
          <w:lang w:val="en-US" w:eastAsia="zh-CN" w:bidi="ar-SA"/>
        </w:rPr>
        <w:t>36.3供应商承担踏勘现场所发生的自身费用。</w:t>
      </w:r>
    </w:p>
    <w:p w14:paraId="531EBA22">
      <w:pPr>
        <w:pStyle w:val="13"/>
        <w:spacing w:beforeAutospacing="0" w:afterAutospacing="0" w:line="0" w:lineRule="atLeast"/>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w:t>
      </w:r>
    </w:p>
    <w:p w14:paraId="2D2A0B08">
      <w:pPr>
        <w:pStyle w:val="13"/>
        <w:keepNext/>
        <w:spacing w:beforeAutospacing="0" w:afterAutospacing="0"/>
        <w:ind w:firstLine="2640"/>
        <w:jc w:val="both"/>
        <w:rPr>
          <w:rFonts w:hint="eastAsia" w:ascii="宋体" w:hAnsi="宋体" w:eastAsia="宋体" w:cs="宋体"/>
          <w:color w:val="auto"/>
          <w:sz w:val="24"/>
          <w:szCs w:val="24"/>
          <w:highlight w:val="none"/>
          <w:shd w:val="clear" w:color="auto" w:fill="auto"/>
        </w:rPr>
      </w:pPr>
    </w:p>
    <w:p w14:paraId="253DB53E">
      <w:pPr>
        <w:pStyle w:val="13"/>
        <w:keepNext/>
        <w:spacing w:beforeAutospacing="0" w:afterAutospacing="0"/>
        <w:jc w:val="both"/>
        <w:rPr>
          <w:rFonts w:hint="eastAsia" w:ascii="宋体" w:hAnsi="宋体" w:eastAsia="宋体" w:cs="宋体"/>
          <w:color w:val="auto"/>
          <w:sz w:val="24"/>
          <w:szCs w:val="24"/>
          <w:highlight w:val="none"/>
          <w:shd w:val="clear" w:color="auto" w:fill="auto"/>
        </w:rPr>
      </w:pPr>
    </w:p>
    <w:p w14:paraId="1A0F05AC">
      <w:pPr>
        <w:pStyle w:val="13"/>
        <w:keepNext/>
        <w:spacing w:beforeAutospacing="0" w:afterAutospacing="0"/>
        <w:jc w:val="both"/>
        <w:rPr>
          <w:rFonts w:hint="eastAsia" w:ascii="宋体" w:hAnsi="宋体" w:eastAsia="宋体" w:cs="宋体"/>
          <w:color w:val="auto"/>
          <w:sz w:val="24"/>
          <w:szCs w:val="24"/>
          <w:highlight w:val="none"/>
          <w:shd w:val="clear" w:color="auto" w:fill="auto"/>
        </w:rPr>
      </w:pPr>
    </w:p>
    <w:p w14:paraId="7C8A780D">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11832DB3">
      <w:pPr>
        <w:pStyle w:val="13"/>
        <w:keepNext/>
        <w:spacing w:beforeAutospacing="0" w:afterAutospacing="0"/>
        <w:ind w:firstLine="2640" w:firstLineChars="0"/>
        <w:jc w:val="both"/>
        <w:outlineLvl w:val="0"/>
        <w:rPr>
          <w:color w:val="auto"/>
          <w:highlight w:val="none"/>
        </w:rPr>
      </w:pPr>
      <w:r>
        <w:rPr>
          <w:rFonts w:hint="eastAsia" w:ascii="黑体" w:hAnsi="宋体" w:eastAsia="黑体" w:cs="黑体"/>
          <w:color w:val="auto"/>
          <w:sz w:val="44"/>
          <w:szCs w:val="44"/>
          <w:highlight w:val="none"/>
        </w:rPr>
        <w:t>第三章  合同文本</w:t>
      </w:r>
    </w:p>
    <w:p w14:paraId="3093D6B3">
      <w:pPr>
        <w:pStyle w:val="13"/>
        <w:spacing w:beforeAutospacing="0" w:afterAutospacing="0" w:line="0" w:lineRule="atLeast"/>
        <w:ind w:firstLine="480"/>
        <w:jc w:val="both"/>
        <w:rPr>
          <w:color w:val="auto"/>
          <w:highlight w:val="none"/>
        </w:rPr>
      </w:pPr>
      <w:bookmarkStart w:id="153" w:name="_Toc513029243"/>
      <w:bookmarkStart w:id="154" w:name="_Toc16938559"/>
      <w:bookmarkStart w:id="155" w:name="_Toc20823315"/>
      <w:r>
        <w:rPr>
          <w:rFonts w:hint="eastAsia" w:ascii="宋体" w:hAnsi="宋体" w:eastAsia="宋体" w:cs="宋体"/>
          <w:color w:val="auto"/>
          <w:highlight w:val="none"/>
        </w:rPr>
        <w:t>以下为成交后</w:t>
      </w:r>
      <w:r>
        <w:rPr>
          <w:rFonts w:hint="eastAsia" w:ascii="宋体" w:hAnsi="宋体" w:eastAsia="宋体" w:cs="宋体"/>
          <w:color w:val="auto"/>
          <w:highlight w:val="none"/>
          <w:lang w:eastAsia="zh-CN"/>
        </w:rPr>
        <w:t>签订</w:t>
      </w:r>
      <w:r>
        <w:rPr>
          <w:rFonts w:hint="eastAsia" w:ascii="宋体" w:hAnsi="宋体" w:eastAsia="宋体" w:cs="宋体"/>
          <w:color w:val="auto"/>
          <w:highlight w:val="none"/>
        </w:rPr>
        <w:t>本项目合同的通用条款，成交供应商不得提出实质性的修改。</w:t>
      </w:r>
      <w:bookmarkEnd w:id="153"/>
      <w:bookmarkEnd w:id="154"/>
      <w:bookmarkEnd w:id="155"/>
      <w:r>
        <w:rPr>
          <w:color w:val="auto"/>
          <w:highlight w:val="none"/>
        </w:rPr>
        <w:t> </w:t>
      </w:r>
    </w:p>
    <w:p w14:paraId="315F4F00">
      <w:pPr>
        <w:pStyle w:val="13"/>
        <w:spacing w:before="145" w:beforeAutospacing="0" w:after="145" w:afterAutospacing="0"/>
        <w:jc w:val="center"/>
        <w:outlineLvl w:val="0"/>
        <w:rPr>
          <w:color w:val="auto"/>
          <w:highlight w:val="none"/>
        </w:rPr>
      </w:pPr>
      <w:r>
        <w:rPr>
          <w:rFonts w:hint="eastAsia" w:ascii="宋体" w:hAnsi="宋体" w:eastAsia="宋体" w:cs="宋体"/>
          <w:b/>
          <w:color w:val="auto"/>
          <w:sz w:val="30"/>
          <w:szCs w:val="30"/>
          <w:highlight w:val="none"/>
        </w:rPr>
        <w:t>盐城市政府采购合同（合同编号）</w:t>
      </w:r>
    </w:p>
    <w:p w14:paraId="0CF4592E">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rFonts w:ascii="宋体" w:hAnsi="宋体" w:eastAsia="宋体" w:cs="宋体"/>
          <w:color w:val="auto"/>
          <w:highlight w:val="none"/>
        </w:rPr>
      </w:pPr>
      <w:r>
        <w:rPr>
          <w:rFonts w:hint="eastAsia" w:ascii="宋体" w:hAnsi="宋体" w:eastAsia="宋体" w:cs="宋体"/>
          <w:color w:val="auto"/>
          <w:highlight w:val="none"/>
        </w:rPr>
        <w:t>项目名称：                          </w:t>
      </w:r>
    </w:p>
    <w:p w14:paraId="704F2DA0">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color w:val="auto"/>
          <w:highlight w:val="none"/>
        </w:rPr>
      </w:pPr>
      <w:r>
        <w:rPr>
          <w:rFonts w:hint="eastAsia" w:ascii="宋体" w:hAnsi="宋体" w:eastAsia="宋体" w:cs="宋体"/>
          <w:color w:val="auto"/>
          <w:highlight w:val="none"/>
        </w:rPr>
        <w:t>项目编号：</w:t>
      </w:r>
    </w:p>
    <w:p w14:paraId="5A3529E3">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color w:val="auto"/>
          <w:highlight w:val="none"/>
        </w:rPr>
      </w:pPr>
      <w:r>
        <w:rPr>
          <w:rFonts w:hint="eastAsia" w:ascii="宋体" w:hAnsi="宋体" w:eastAsia="宋体" w:cs="宋体"/>
          <w:color w:val="auto"/>
          <w:highlight w:val="none"/>
        </w:rPr>
        <w:t>甲方：（买方）_________</w:t>
      </w:r>
    </w:p>
    <w:p w14:paraId="14C685ED">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color w:val="auto"/>
          <w:highlight w:val="none"/>
        </w:rPr>
      </w:pPr>
      <w:r>
        <w:rPr>
          <w:rFonts w:hint="eastAsia" w:ascii="宋体" w:hAnsi="宋体" w:eastAsia="宋体" w:cs="宋体"/>
          <w:color w:val="auto"/>
          <w:highlight w:val="none"/>
        </w:rPr>
        <w:t>乙方：（卖方）_________</w:t>
      </w:r>
    </w:p>
    <w:p w14:paraId="4A02A028">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color w:val="auto"/>
          <w:highlight w:val="none"/>
        </w:rPr>
      </w:pPr>
      <w:r>
        <w:rPr>
          <w:rFonts w:hint="eastAsia" w:ascii="宋体" w:hAnsi="宋体" w:eastAsia="宋体" w:cs="宋体"/>
          <w:color w:val="auto"/>
          <w:highlight w:val="none"/>
        </w:rPr>
        <w:t>甲、乙双方根据</w:t>
      </w:r>
      <w:r>
        <w:rPr>
          <w:rFonts w:hint="eastAsia" w:ascii="宋体" w:hAnsi="宋体" w:eastAsia="宋体" w:cs="宋体"/>
          <w:color w:val="auto"/>
          <w:highlight w:val="none"/>
          <w:lang w:val="en-US" w:eastAsia="zh-CN"/>
        </w:rPr>
        <w:t>射阳宏远财会服务有限公司</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项目竞争性磋商的结果，签署本合同。</w:t>
      </w:r>
    </w:p>
    <w:p w14:paraId="01320EC7">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2" w:firstLineChars="200"/>
        <w:jc w:val="both"/>
        <w:textAlignment w:val="auto"/>
        <w:outlineLvl w:val="0"/>
        <w:rPr>
          <w:color w:val="auto"/>
          <w:highlight w:val="none"/>
        </w:rPr>
      </w:pPr>
      <w:r>
        <w:rPr>
          <w:rFonts w:hint="eastAsia" w:ascii="宋体" w:hAnsi="宋体" w:eastAsia="宋体" w:cs="宋体"/>
          <w:b/>
          <w:color w:val="auto"/>
          <w:highlight w:val="none"/>
        </w:rPr>
        <w:t>一、合同内容</w:t>
      </w:r>
    </w:p>
    <w:p w14:paraId="67444981">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color w:val="auto"/>
          <w:highlight w:val="none"/>
        </w:rPr>
      </w:pPr>
      <w:r>
        <w:rPr>
          <w:rFonts w:hint="eastAsia" w:ascii="宋体" w:hAnsi="宋体" w:eastAsia="宋体" w:cs="宋体"/>
          <w:color w:val="auto"/>
          <w:highlight w:val="none"/>
        </w:rPr>
        <w:t>1.1 标的名称：</w:t>
      </w:r>
    </w:p>
    <w:p w14:paraId="43FF5CAC">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color w:val="auto"/>
          <w:highlight w:val="none"/>
        </w:rPr>
      </w:pPr>
      <w:r>
        <w:rPr>
          <w:rFonts w:hint="eastAsia" w:ascii="宋体" w:hAnsi="宋体" w:eastAsia="宋体" w:cs="宋体"/>
          <w:color w:val="auto"/>
          <w:highlight w:val="none"/>
        </w:rPr>
        <w:t>1.2 标的质量：</w:t>
      </w:r>
    </w:p>
    <w:p w14:paraId="3324962B">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color w:val="auto"/>
          <w:highlight w:val="none"/>
        </w:rPr>
      </w:pPr>
      <w:r>
        <w:rPr>
          <w:rFonts w:hint="eastAsia" w:ascii="宋体" w:hAnsi="宋体" w:eastAsia="宋体" w:cs="宋体"/>
          <w:color w:val="auto"/>
          <w:highlight w:val="none"/>
        </w:rPr>
        <w:t>1.3 标的数量（规模）：</w:t>
      </w:r>
    </w:p>
    <w:p w14:paraId="7A648A2E">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color w:val="auto"/>
          <w:highlight w:val="none"/>
        </w:rPr>
      </w:pPr>
      <w:r>
        <w:rPr>
          <w:rFonts w:hint="eastAsia" w:ascii="宋体" w:hAnsi="宋体" w:eastAsia="宋体" w:cs="宋体"/>
          <w:color w:val="auto"/>
          <w:highlight w:val="none"/>
        </w:rPr>
        <w:t>1.4 履行时间（期限）：</w:t>
      </w:r>
    </w:p>
    <w:p w14:paraId="2D109B3C">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color w:val="auto"/>
          <w:highlight w:val="none"/>
        </w:rPr>
      </w:pPr>
      <w:r>
        <w:rPr>
          <w:rFonts w:hint="eastAsia" w:ascii="宋体" w:hAnsi="宋体" w:eastAsia="宋体" w:cs="宋体"/>
          <w:color w:val="auto"/>
          <w:highlight w:val="none"/>
        </w:rPr>
        <w:t>1.5 履行地点：</w:t>
      </w:r>
    </w:p>
    <w:p w14:paraId="29B9E262">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color w:val="auto"/>
          <w:highlight w:val="none"/>
        </w:rPr>
      </w:pPr>
      <w:r>
        <w:rPr>
          <w:rFonts w:hint="eastAsia" w:ascii="宋体" w:hAnsi="宋体" w:eastAsia="宋体" w:cs="宋体"/>
          <w:color w:val="auto"/>
          <w:highlight w:val="none"/>
        </w:rPr>
        <w:t>1.6 履行方式：</w:t>
      </w:r>
    </w:p>
    <w:p w14:paraId="58B90ED6">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2" w:firstLineChars="200"/>
        <w:jc w:val="both"/>
        <w:textAlignment w:val="auto"/>
        <w:outlineLvl w:val="0"/>
        <w:rPr>
          <w:color w:val="auto"/>
          <w:highlight w:val="none"/>
        </w:rPr>
      </w:pPr>
      <w:r>
        <w:rPr>
          <w:rFonts w:hint="eastAsia" w:ascii="宋体" w:hAnsi="宋体" w:eastAsia="宋体" w:cs="宋体"/>
          <w:b/>
          <w:color w:val="auto"/>
          <w:highlight w:val="none"/>
        </w:rPr>
        <w:t>二、合同金额</w:t>
      </w:r>
    </w:p>
    <w:p w14:paraId="7BF286E2">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color w:val="auto"/>
          <w:highlight w:val="none"/>
        </w:rPr>
      </w:pPr>
      <w:r>
        <w:rPr>
          <w:rFonts w:hint="eastAsia" w:ascii="宋体" w:hAnsi="宋体" w:eastAsia="宋体" w:cs="宋体"/>
          <w:color w:val="auto"/>
          <w:highlight w:val="none"/>
        </w:rPr>
        <w:t>2.1 本合同金额为（大写）：_________________圆（__________元）人民币。</w:t>
      </w:r>
    </w:p>
    <w:p w14:paraId="77453E51">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2" w:firstLineChars="200"/>
        <w:jc w:val="both"/>
        <w:textAlignment w:val="auto"/>
        <w:outlineLvl w:val="0"/>
        <w:rPr>
          <w:color w:val="auto"/>
          <w:highlight w:val="none"/>
        </w:rPr>
      </w:pPr>
      <w:r>
        <w:rPr>
          <w:rFonts w:hint="eastAsia" w:ascii="宋体" w:hAnsi="宋体" w:eastAsia="宋体" w:cs="宋体"/>
          <w:b/>
          <w:color w:val="auto"/>
          <w:highlight w:val="none"/>
        </w:rPr>
        <w:t>三、技术资料</w:t>
      </w:r>
    </w:p>
    <w:p w14:paraId="2DC55BFE">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color w:val="auto"/>
          <w:highlight w:val="none"/>
        </w:rPr>
      </w:pPr>
      <w:r>
        <w:rPr>
          <w:rFonts w:hint="eastAsia" w:ascii="宋体" w:hAnsi="宋体" w:eastAsia="宋体" w:cs="宋体"/>
          <w:color w:val="auto"/>
          <w:highlight w:val="none"/>
        </w:rPr>
        <w:t>3.1乙方应按磋商文件规定的时间向甲方提供与合同标的有关的技术资料。</w:t>
      </w:r>
    </w:p>
    <w:p w14:paraId="0C06CF82">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color w:val="auto"/>
          <w:highlight w:val="none"/>
        </w:rPr>
      </w:pPr>
      <w:r>
        <w:rPr>
          <w:rFonts w:hint="eastAsia" w:ascii="宋体" w:hAnsi="宋体" w:eastAsia="宋体" w:cs="宋体"/>
          <w:color w:val="auto"/>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406E525">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2" w:firstLineChars="200"/>
        <w:jc w:val="both"/>
        <w:textAlignment w:val="auto"/>
        <w:outlineLvl w:val="0"/>
        <w:rPr>
          <w:color w:val="auto"/>
          <w:highlight w:val="none"/>
          <w:shd w:val="clear" w:color="auto" w:fill="auto"/>
        </w:rPr>
      </w:pPr>
      <w:r>
        <w:rPr>
          <w:rFonts w:hint="eastAsia" w:ascii="宋体" w:hAnsi="宋体" w:eastAsia="宋体" w:cs="宋体"/>
          <w:b/>
          <w:color w:val="auto"/>
          <w:highlight w:val="none"/>
        </w:rPr>
        <w:t>四、知</w:t>
      </w:r>
      <w:r>
        <w:rPr>
          <w:rFonts w:hint="eastAsia" w:ascii="宋体" w:hAnsi="宋体" w:eastAsia="宋体" w:cs="宋体"/>
          <w:b/>
          <w:color w:val="auto"/>
          <w:highlight w:val="none"/>
          <w:shd w:val="clear" w:color="auto" w:fill="auto"/>
        </w:rPr>
        <w:t>识产权</w:t>
      </w:r>
    </w:p>
    <w:p w14:paraId="30E2AFB4">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color w:val="auto"/>
          <w:highlight w:val="none"/>
          <w:shd w:val="clear" w:color="auto" w:fill="auto"/>
        </w:rPr>
      </w:pPr>
      <w:r>
        <w:rPr>
          <w:rFonts w:hint="eastAsia" w:ascii="宋体" w:hAnsi="宋体" w:eastAsia="宋体" w:cs="宋体"/>
          <w:color w:val="auto"/>
          <w:highlight w:val="none"/>
          <w:shd w:val="clear" w:color="auto" w:fill="auto"/>
        </w:rPr>
        <w:t>4.1乙方应保证甲方在使用、接受本合同标的或其任何一部分时不受第三方提出侵犯其专利权、版权、商标权和工业设计权等知识产权的起诉。一旦出现侵权，由乙方负全部责任。</w:t>
      </w:r>
    </w:p>
    <w:p w14:paraId="50CA8588">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2" w:firstLineChars="200"/>
        <w:jc w:val="both"/>
        <w:textAlignment w:val="auto"/>
        <w:outlineLvl w:val="0"/>
        <w:rPr>
          <w:color w:val="auto"/>
          <w:highlight w:val="none"/>
          <w:shd w:val="clear" w:color="auto" w:fill="auto"/>
        </w:rPr>
      </w:pPr>
      <w:r>
        <w:rPr>
          <w:rFonts w:hint="eastAsia" w:ascii="宋体" w:hAnsi="宋体" w:eastAsia="宋体" w:cs="宋体"/>
          <w:b/>
          <w:color w:val="auto"/>
          <w:highlight w:val="none"/>
          <w:shd w:val="clear" w:color="auto" w:fill="auto"/>
        </w:rPr>
        <w:t>五、产权担保</w:t>
      </w:r>
    </w:p>
    <w:p w14:paraId="2DFB6B2A">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color w:val="auto"/>
          <w:highlight w:val="none"/>
          <w:shd w:val="clear" w:color="auto" w:fill="auto"/>
        </w:rPr>
      </w:pPr>
      <w:r>
        <w:rPr>
          <w:rFonts w:hint="eastAsia" w:ascii="宋体" w:hAnsi="宋体" w:eastAsia="宋体" w:cs="宋体"/>
          <w:color w:val="auto"/>
          <w:highlight w:val="none"/>
          <w:shd w:val="clear" w:color="auto" w:fill="auto"/>
        </w:rPr>
        <w:t>5.1 乙方保证所交付的合同标的的所有权完全属于乙方且无任何抵押、查封等产权瑕疵。</w:t>
      </w:r>
    </w:p>
    <w:p w14:paraId="20156371">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2" w:firstLineChars="200"/>
        <w:jc w:val="both"/>
        <w:textAlignment w:val="auto"/>
        <w:outlineLvl w:val="0"/>
        <w:rPr>
          <w:color w:val="auto"/>
          <w:highlight w:val="none"/>
          <w:shd w:val="clear" w:color="auto" w:fill="auto"/>
        </w:rPr>
      </w:pPr>
      <w:r>
        <w:rPr>
          <w:rFonts w:hint="eastAsia" w:ascii="宋体" w:hAnsi="宋体" w:eastAsia="宋体" w:cs="宋体"/>
          <w:b/>
          <w:color w:val="auto"/>
          <w:highlight w:val="none"/>
          <w:shd w:val="clear" w:color="auto" w:fill="auto"/>
        </w:rPr>
        <w:t>六、履约保证金</w:t>
      </w:r>
    </w:p>
    <w:p w14:paraId="7DDD914C">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6.1 乙方交纳人民币_________元作为本合同的履约保证金。</w:t>
      </w:r>
    </w:p>
    <w:p w14:paraId="3151DBD1">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rPr>
        <w:t>6.</w:t>
      </w:r>
      <w:r>
        <w:rPr>
          <w:rFonts w:hint="eastAsia" w:ascii="宋体" w:hAnsi="宋体" w:eastAsia="宋体" w:cs="宋体"/>
          <w:color w:val="auto"/>
          <w:highlight w:val="none"/>
          <w:shd w:val="clear" w:color="auto" w:fill="auto"/>
          <w:lang w:val="en-US" w:eastAsia="zh-CN"/>
        </w:rPr>
        <w:t>2确需收取履约保证金的，</w:t>
      </w:r>
      <w:r>
        <w:rPr>
          <w:rFonts w:hint="eastAsia" w:ascii="宋体" w:hAnsi="宋体" w:eastAsia="宋体" w:cs="宋体"/>
          <w:color w:val="auto"/>
          <w:highlight w:val="none"/>
          <w:shd w:val="clear" w:color="auto" w:fill="auto"/>
          <w:lang w:eastAsia="zh-CN"/>
        </w:rPr>
        <w:t>履约保证金的缴纳形式：</w:t>
      </w:r>
    </w:p>
    <w:p w14:paraId="4D3B9D9E">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val="en-US" w:eastAsia="zh-CN"/>
        </w:rPr>
        <w:t>6.2.1</w:t>
      </w:r>
      <w:r>
        <w:rPr>
          <w:rFonts w:hint="eastAsia" w:ascii="宋体" w:hAnsi="宋体" w:eastAsia="宋体" w:cs="宋体"/>
          <w:color w:val="auto"/>
          <w:highlight w:val="none"/>
          <w:shd w:val="clear" w:color="auto" w:fill="auto"/>
        </w:rPr>
        <w:t>供应商应当以支票、汇票、本票或者金融机构、担保机构出具的保函等非现金形式提交</w:t>
      </w:r>
      <w:r>
        <w:rPr>
          <w:rFonts w:hint="eastAsia" w:ascii="宋体" w:hAnsi="宋体" w:eastAsia="宋体" w:cs="宋体"/>
          <w:color w:val="auto"/>
          <w:highlight w:val="none"/>
          <w:shd w:val="clear" w:color="auto" w:fill="auto"/>
          <w:lang w:eastAsia="zh-CN"/>
        </w:rPr>
        <w:t>履约保证金</w:t>
      </w:r>
      <w:r>
        <w:rPr>
          <w:rFonts w:hint="eastAsia" w:ascii="宋体" w:hAnsi="宋体" w:eastAsia="宋体" w:cs="宋体"/>
          <w:color w:val="auto"/>
          <w:highlight w:val="none"/>
          <w:shd w:val="clear" w:color="auto" w:fill="auto"/>
        </w:rPr>
        <w:t>。依据《关于在全省政府采购领域推行电子履约保函（保险）的通知》，鼓励供应商自愿使用</w:t>
      </w:r>
      <w:r>
        <w:rPr>
          <w:rFonts w:hint="eastAsia" w:ascii="宋体" w:hAnsi="宋体" w:eastAsia="宋体" w:cs="宋体"/>
          <w:color w:val="auto"/>
          <w:highlight w:val="none"/>
          <w:shd w:val="clear" w:color="auto" w:fill="auto"/>
          <w:lang w:eastAsia="zh-CN"/>
        </w:rPr>
        <w:t>电子</w:t>
      </w:r>
      <w:r>
        <w:rPr>
          <w:rFonts w:hint="eastAsia" w:ascii="宋体" w:hAnsi="宋体" w:eastAsia="宋体" w:cs="宋体"/>
          <w:color w:val="auto"/>
          <w:highlight w:val="none"/>
          <w:shd w:val="clear" w:color="auto" w:fill="auto"/>
        </w:rPr>
        <w:t>履约保函（保险）代替缴纳履约保证金</w:t>
      </w:r>
      <w:r>
        <w:rPr>
          <w:rFonts w:hint="eastAsia" w:ascii="宋体" w:hAnsi="宋体" w:eastAsia="宋体" w:cs="宋体"/>
          <w:color w:val="auto"/>
          <w:highlight w:val="none"/>
          <w:shd w:val="clear" w:color="auto" w:fill="auto"/>
          <w:lang w:eastAsia="zh-CN"/>
        </w:rPr>
        <w:t>。</w:t>
      </w:r>
    </w:p>
    <w:p w14:paraId="7207820D">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6.2.2 如以履约保函（保险）形式缴纳履约保证金，供应商可通过政府采购电子履约保函（保险）平台（www.jsdzbh.com）在线申请履约保函（保险）。</w:t>
      </w:r>
    </w:p>
    <w:p w14:paraId="241C1FF2">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color w:val="auto"/>
          <w:highlight w:val="none"/>
          <w:shd w:val="clear" w:color="auto" w:fill="auto"/>
        </w:rPr>
      </w:pPr>
      <w:r>
        <w:rPr>
          <w:rFonts w:hint="eastAsia" w:ascii="宋体" w:hAnsi="宋体" w:eastAsia="宋体" w:cs="宋体"/>
          <w:color w:val="auto"/>
          <w:highlight w:val="none"/>
          <w:shd w:val="clear" w:color="auto" w:fill="auto"/>
        </w:rPr>
        <w:t>6.</w:t>
      </w:r>
      <w:r>
        <w:rPr>
          <w:rFonts w:hint="eastAsia" w:ascii="宋体" w:hAnsi="宋体" w:eastAsia="宋体" w:cs="宋体"/>
          <w:color w:val="auto"/>
          <w:highlight w:val="none"/>
          <w:shd w:val="clear" w:color="auto" w:fill="auto"/>
          <w:lang w:val="en-US" w:eastAsia="zh-CN"/>
        </w:rPr>
        <w:t>3</w:t>
      </w:r>
      <w:r>
        <w:rPr>
          <w:rFonts w:hint="eastAsia" w:ascii="宋体" w:hAnsi="宋体" w:eastAsia="宋体" w:cs="宋体"/>
          <w:color w:val="auto"/>
          <w:highlight w:val="none"/>
          <w:shd w:val="clear" w:color="auto" w:fill="auto"/>
        </w:rPr>
        <w:t>合同履行结束后，甲方应及时退还交纳的履约保证金。</w:t>
      </w:r>
    </w:p>
    <w:p w14:paraId="5DF94805">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6.</w:t>
      </w:r>
      <w:r>
        <w:rPr>
          <w:rFonts w:hint="eastAsia" w:ascii="宋体" w:hAnsi="宋体" w:eastAsia="宋体" w:cs="宋体"/>
          <w:color w:val="auto"/>
          <w:kern w:val="0"/>
          <w:sz w:val="24"/>
          <w:highlight w:val="none"/>
          <w:shd w:val="clear" w:color="auto" w:fill="auto"/>
          <w:lang w:val="en-US" w:eastAsia="zh-CN"/>
        </w:rPr>
        <w:t>4</w:t>
      </w:r>
      <w:r>
        <w:rPr>
          <w:rFonts w:hint="eastAsia" w:ascii="宋体" w:hAnsi="宋体" w:eastAsia="宋体" w:cs="宋体"/>
          <w:color w:val="auto"/>
          <w:kern w:val="0"/>
          <w:sz w:val="24"/>
          <w:highlight w:val="none"/>
          <w:shd w:val="clear" w:color="auto" w:fill="auto"/>
        </w:rPr>
        <w:t>履约保证金的退还：</w:t>
      </w:r>
    </w:p>
    <w:p w14:paraId="072088BD">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6.</w:t>
      </w:r>
      <w:r>
        <w:rPr>
          <w:rFonts w:hint="eastAsia" w:ascii="宋体" w:hAnsi="宋体" w:eastAsia="宋体" w:cs="宋体"/>
          <w:color w:val="auto"/>
          <w:kern w:val="0"/>
          <w:sz w:val="24"/>
          <w:highlight w:val="none"/>
          <w:shd w:val="clear" w:color="auto" w:fill="auto"/>
          <w:lang w:val="en-US" w:eastAsia="zh-CN"/>
        </w:rPr>
        <w:t>4</w:t>
      </w:r>
      <w:r>
        <w:rPr>
          <w:rFonts w:hint="eastAsia" w:ascii="宋体" w:hAnsi="宋体" w:eastAsia="宋体" w:cs="宋体"/>
          <w:color w:val="auto"/>
          <w:kern w:val="0"/>
          <w:sz w:val="24"/>
          <w:highlight w:val="none"/>
          <w:shd w:val="clear" w:color="auto" w:fill="auto"/>
        </w:rPr>
        <w:t>.1方式：退还至</w:t>
      </w:r>
      <w:r>
        <w:rPr>
          <w:rFonts w:hint="eastAsia" w:ascii="宋体" w:hAnsi="宋体" w:eastAsia="宋体" w:cs="宋体"/>
          <w:color w:val="auto"/>
          <w:kern w:val="0"/>
          <w:sz w:val="24"/>
          <w:highlight w:val="none"/>
          <w:shd w:val="clear" w:color="auto" w:fill="auto"/>
          <w:lang w:eastAsia="zh-CN"/>
        </w:rPr>
        <w:t>供应商</w:t>
      </w:r>
      <w:r>
        <w:rPr>
          <w:rFonts w:hint="eastAsia" w:ascii="宋体" w:hAnsi="宋体" w:eastAsia="宋体" w:cs="宋体"/>
          <w:color w:val="auto"/>
          <w:kern w:val="0"/>
          <w:sz w:val="24"/>
          <w:highlight w:val="none"/>
          <w:shd w:val="clear" w:color="auto" w:fill="auto"/>
        </w:rPr>
        <w:t>缴纳履约保证金的账户。如为保函，在到期时自行失效。</w:t>
      </w:r>
    </w:p>
    <w:p w14:paraId="2143E7C3">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6.</w:t>
      </w:r>
      <w:r>
        <w:rPr>
          <w:rFonts w:hint="eastAsia" w:ascii="宋体" w:hAnsi="宋体" w:eastAsia="宋体" w:cs="宋体"/>
          <w:color w:val="auto"/>
          <w:kern w:val="0"/>
          <w:sz w:val="24"/>
          <w:highlight w:val="none"/>
          <w:shd w:val="clear" w:color="auto" w:fill="auto"/>
          <w:lang w:val="en-US" w:eastAsia="zh-CN"/>
        </w:rPr>
        <w:t>4</w:t>
      </w:r>
      <w:r>
        <w:rPr>
          <w:rFonts w:hint="eastAsia" w:ascii="宋体" w:hAnsi="宋体" w:eastAsia="宋体" w:cs="宋体"/>
          <w:color w:val="auto"/>
          <w:kern w:val="0"/>
          <w:sz w:val="24"/>
          <w:highlight w:val="none"/>
          <w:shd w:val="clear" w:color="auto" w:fill="auto"/>
        </w:rPr>
        <w:t>.2时间：验收合格且采购人收到发票后30日内。</w:t>
      </w:r>
    </w:p>
    <w:p w14:paraId="4754C4A2">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6.</w:t>
      </w:r>
      <w:r>
        <w:rPr>
          <w:rFonts w:hint="eastAsia" w:ascii="宋体" w:hAnsi="宋体" w:eastAsia="宋体" w:cs="宋体"/>
          <w:color w:val="auto"/>
          <w:kern w:val="0"/>
          <w:sz w:val="24"/>
          <w:highlight w:val="none"/>
          <w:shd w:val="clear" w:color="auto" w:fill="auto"/>
          <w:lang w:val="en-US" w:eastAsia="zh-CN"/>
        </w:rPr>
        <w:t>4</w:t>
      </w:r>
      <w:r>
        <w:rPr>
          <w:rFonts w:hint="eastAsia" w:ascii="宋体" w:hAnsi="宋体" w:eastAsia="宋体" w:cs="宋体"/>
          <w:color w:val="auto"/>
          <w:kern w:val="0"/>
          <w:sz w:val="24"/>
          <w:highlight w:val="none"/>
          <w:shd w:val="clear" w:color="auto" w:fill="auto"/>
        </w:rPr>
        <w:t>.3条件：按合同要求全部履约完成并经采购人验收合格，且采购人收到中标人出具的发票。</w:t>
      </w:r>
    </w:p>
    <w:p w14:paraId="63270519">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6.</w:t>
      </w:r>
      <w:r>
        <w:rPr>
          <w:rFonts w:hint="eastAsia" w:ascii="宋体" w:hAnsi="宋体" w:eastAsia="宋体" w:cs="宋体"/>
          <w:color w:val="auto"/>
          <w:kern w:val="0"/>
          <w:sz w:val="24"/>
          <w:highlight w:val="none"/>
          <w:shd w:val="clear" w:color="auto" w:fill="auto"/>
          <w:lang w:val="en-US" w:eastAsia="zh-CN"/>
        </w:rPr>
        <w:t>4</w:t>
      </w:r>
      <w:r>
        <w:rPr>
          <w:rFonts w:hint="eastAsia" w:ascii="宋体" w:hAnsi="宋体" w:eastAsia="宋体" w:cs="宋体"/>
          <w:color w:val="auto"/>
          <w:kern w:val="0"/>
          <w:sz w:val="24"/>
          <w:highlight w:val="none"/>
          <w:shd w:val="clear" w:color="auto" w:fill="auto"/>
        </w:rPr>
        <w:t>.4不予退还情形：</w:t>
      </w:r>
    </w:p>
    <w:p w14:paraId="49DEE529">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除不可抗力情况外，</w:t>
      </w:r>
      <w:r>
        <w:rPr>
          <w:rFonts w:hint="eastAsia" w:ascii="宋体" w:hAnsi="宋体" w:eastAsia="宋体" w:cs="宋体"/>
          <w:color w:val="auto"/>
          <w:kern w:val="0"/>
          <w:sz w:val="24"/>
          <w:highlight w:val="none"/>
          <w:shd w:val="clear" w:color="auto" w:fill="auto"/>
          <w:lang w:eastAsia="zh-CN"/>
        </w:rPr>
        <w:t>供应商</w:t>
      </w:r>
      <w:r>
        <w:rPr>
          <w:rFonts w:hint="eastAsia" w:ascii="宋体" w:hAnsi="宋体" w:eastAsia="宋体" w:cs="宋体"/>
          <w:color w:val="auto"/>
          <w:kern w:val="0"/>
          <w:sz w:val="24"/>
          <w:highlight w:val="none"/>
          <w:shd w:val="clear" w:color="auto" w:fill="auto"/>
        </w:rPr>
        <w:t>出现下列情形之一的，其履约保证金，招标人将视情节决定不予退还或部分不予退还。</w:t>
      </w:r>
    </w:p>
    <w:p w14:paraId="0D850604">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（1）中标人无正当理由拒绝签订合同的，或者在签订合同时向采购人提出附加条件或者更改合同实质性内容要求的；</w:t>
      </w:r>
    </w:p>
    <w:p w14:paraId="181D9ABA">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（2）中标人不履行与采购人订立的合同的；</w:t>
      </w:r>
    </w:p>
    <w:p w14:paraId="164DA055">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（3）中标人所供货物或服务不符合</w:t>
      </w:r>
      <w:r>
        <w:rPr>
          <w:rFonts w:hint="eastAsia" w:ascii="仿宋" w:hAnsi="仿宋" w:eastAsia="仿宋" w:cs="仿宋"/>
          <w:color w:val="auto"/>
          <w:sz w:val="28"/>
          <w:szCs w:val="28"/>
          <w:highlight w:val="none"/>
          <w:lang w:val="en-US" w:eastAsia="zh-CN"/>
        </w:rPr>
        <w:t>磋商</w:t>
      </w:r>
      <w:r>
        <w:rPr>
          <w:rFonts w:hint="eastAsia" w:ascii="宋体" w:hAnsi="宋体" w:eastAsia="宋体" w:cs="宋体"/>
          <w:color w:val="auto"/>
          <w:kern w:val="0"/>
          <w:sz w:val="24"/>
          <w:highlight w:val="none"/>
          <w:shd w:val="clear" w:color="auto" w:fill="auto"/>
        </w:rPr>
        <w:t>文件规定要求的；</w:t>
      </w:r>
    </w:p>
    <w:p w14:paraId="07C180F9">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（4）中标人采取欺骗、弄虚作假方式投标的或与</w:t>
      </w:r>
      <w:r>
        <w:rPr>
          <w:rFonts w:hint="eastAsia" w:ascii="宋体" w:hAnsi="宋体" w:eastAsia="宋体" w:cs="宋体"/>
          <w:color w:val="auto"/>
          <w:kern w:val="0"/>
          <w:sz w:val="24"/>
          <w:highlight w:val="none"/>
          <w:shd w:val="clear" w:color="auto" w:fill="auto"/>
          <w:lang w:eastAsia="zh-CN"/>
        </w:rPr>
        <w:t>其他供应商</w:t>
      </w:r>
      <w:r>
        <w:rPr>
          <w:rFonts w:hint="eastAsia" w:ascii="宋体" w:hAnsi="宋体" w:eastAsia="宋体" w:cs="宋体"/>
          <w:color w:val="auto"/>
          <w:kern w:val="0"/>
          <w:sz w:val="24"/>
          <w:highlight w:val="none"/>
          <w:shd w:val="clear" w:color="auto" w:fill="auto"/>
        </w:rPr>
        <w:t>串通投标的；</w:t>
      </w:r>
    </w:p>
    <w:p w14:paraId="2FD1EA35">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（5）中标人将合同内容转包、违法分包的；</w:t>
      </w:r>
    </w:p>
    <w:p w14:paraId="67C3C1F5">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（6）中标人故意捏造事实或伪造证明材料，进行虚假恶意投诉或反映的。</w:t>
      </w:r>
    </w:p>
    <w:p w14:paraId="05F906D8">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rPr>
        <w:t>6.</w:t>
      </w:r>
      <w:r>
        <w:rPr>
          <w:rFonts w:hint="eastAsia" w:ascii="宋体" w:hAnsi="宋体" w:eastAsia="宋体" w:cs="宋体"/>
          <w:color w:val="auto"/>
          <w:kern w:val="0"/>
          <w:sz w:val="24"/>
          <w:highlight w:val="none"/>
          <w:shd w:val="clear" w:color="auto" w:fill="auto"/>
          <w:lang w:val="en-US" w:eastAsia="zh-CN"/>
        </w:rPr>
        <w:t>4</w:t>
      </w:r>
      <w:r>
        <w:rPr>
          <w:rFonts w:hint="eastAsia" w:ascii="宋体" w:hAnsi="宋体" w:eastAsia="宋体" w:cs="宋体"/>
          <w:color w:val="auto"/>
          <w:kern w:val="0"/>
          <w:sz w:val="24"/>
          <w:highlight w:val="none"/>
          <w:shd w:val="clear" w:color="auto" w:fill="auto"/>
        </w:rPr>
        <w:t>.5逾期退还的违约责任：采购人逾期无故未退还履约保证金的，按中国人民银行同期贷款基准利率上浮20%后的利率支付超期资金占用费，但因供应商自身原因导致无法及时退还的除外。</w:t>
      </w:r>
    </w:p>
    <w:p w14:paraId="2DB671DA">
      <w:pPr>
        <w:pStyle w:val="13"/>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482" w:firstLineChars="200"/>
        <w:jc w:val="both"/>
        <w:textAlignment w:val="auto"/>
        <w:outlineLvl w:val="0"/>
        <w:rPr>
          <w:color w:val="auto"/>
          <w:highlight w:val="none"/>
          <w:shd w:val="clear" w:color="auto" w:fill="auto"/>
        </w:rPr>
      </w:pPr>
      <w:r>
        <w:rPr>
          <w:rFonts w:hint="eastAsia" w:ascii="宋体" w:hAnsi="宋体" w:eastAsia="宋体" w:cs="宋体"/>
          <w:b/>
          <w:color w:val="auto"/>
          <w:highlight w:val="none"/>
          <w:shd w:val="clear" w:color="auto" w:fill="auto"/>
        </w:rPr>
        <w:t>七、合同转包或分包</w:t>
      </w:r>
    </w:p>
    <w:p w14:paraId="094DD0F2">
      <w:pPr>
        <w:pStyle w:val="13"/>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480" w:firstLineChars="200"/>
        <w:jc w:val="both"/>
        <w:textAlignment w:val="auto"/>
        <w:rPr>
          <w:color w:val="auto"/>
          <w:highlight w:val="none"/>
          <w:shd w:val="clear" w:color="auto" w:fill="auto"/>
        </w:rPr>
      </w:pPr>
      <w:r>
        <w:rPr>
          <w:rFonts w:hint="eastAsia" w:ascii="宋体" w:hAnsi="宋体" w:eastAsia="宋体" w:cs="宋体"/>
          <w:color w:val="auto"/>
          <w:highlight w:val="none"/>
          <w:shd w:val="clear" w:color="auto" w:fill="auto"/>
        </w:rPr>
        <w:t>7.1乙方不得将合同标的转包给他人履行。</w:t>
      </w:r>
    </w:p>
    <w:p w14:paraId="00EFA061">
      <w:pPr>
        <w:pStyle w:val="13"/>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480" w:firstLineChars="200"/>
        <w:jc w:val="both"/>
        <w:textAlignment w:val="auto"/>
        <w:rPr>
          <w:color w:val="auto"/>
          <w:highlight w:val="none"/>
          <w:shd w:val="clear" w:color="auto" w:fill="auto"/>
        </w:rPr>
      </w:pPr>
      <w:r>
        <w:rPr>
          <w:rFonts w:hint="eastAsia" w:ascii="宋体" w:hAnsi="宋体" w:eastAsia="宋体" w:cs="宋体"/>
          <w:color w:val="auto"/>
          <w:highlight w:val="none"/>
          <w:shd w:val="clear" w:color="auto" w:fill="auto"/>
        </w:rPr>
        <w:t>7.2乙方不得将合同标的分包给他人履行。</w:t>
      </w:r>
    </w:p>
    <w:p w14:paraId="346820F4">
      <w:pPr>
        <w:pStyle w:val="13"/>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480" w:firstLineChars="200"/>
        <w:jc w:val="both"/>
        <w:textAlignment w:val="auto"/>
        <w:rPr>
          <w:color w:val="auto"/>
          <w:highlight w:val="none"/>
          <w:shd w:val="clear" w:color="auto" w:fill="auto"/>
        </w:rPr>
      </w:pPr>
      <w:r>
        <w:rPr>
          <w:rFonts w:hint="eastAsia" w:ascii="宋体" w:hAnsi="宋体" w:eastAsia="宋体" w:cs="宋体"/>
          <w:color w:val="auto"/>
          <w:highlight w:val="none"/>
          <w:shd w:val="clear" w:color="auto" w:fill="auto"/>
        </w:rPr>
        <w:t>7.3乙方如有转包或未经甲方同意的分包行为，甲方有权解除合同。</w:t>
      </w:r>
    </w:p>
    <w:p w14:paraId="60699B3D">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2" w:firstLineChars="200"/>
        <w:jc w:val="both"/>
        <w:textAlignment w:val="auto"/>
        <w:outlineLvl w:val="0"/>
        <w:rPr>
          <w:color w:val="auto"/>
          <w:highlight w:val="none"/>
          <w:shd w:val="clear" w:color="auto" w:fill="auto"/>
        </w:rPr>
      </w:pPr>
      <w:r>
        <w:rPr>
          <w:rFonts w:hint="eastAsia" w:ascii="宋体" w:hAnsi="宋体" w:eastAsia="宋体" w:cs="宋体"/>
          <w:b/>
          <w:color w:val="auto"/>
          <w:highlight w:val="none"/>
          <w:shd w:val="clear" w:color="auto" w:fill="auto"/>
        </w:rPr>
        <w:t>八、合同款项支付</w:t>
      </w:r>
    </w:p>
    <w:p w14:paraId="17B260E1">
      <w:pPr>
        <w:pStyle w:val="11"/>
        <w:keepNext w:val="0"/>
        <w:keepLines w:val="0"/>
        <w:pageBreakBefore w:val="0"/>
        <w:widowControl w:val="0"/>
        <w:kinsoku/>
        <w:wordWrap/>
        <w:overflowPunct/>
        <w:topLinePunct w:val="0"/>
        <w:autoSpaceDE/>
        <w:autoSpaceDN/>
        <w:bidi w:val="0"/>
        <w:spacing w:line="360" w:lineRule="exact"/>
        <w:ind w:firstLine="480" w:firstLineChars="200"/>
        <w:rPr>
          <w:rFonts w:hint="eastAsia" w:asciiTheme="minorEastAsia" w:hAnsiTheme="minorEastAsia" w:eastAsiaTheme="minorEastAsia" w:cstheme="minorEastAsia"/>
          <w:b w:val="0"/>
          <w:bCs w:val="0"/>
          <w:color w:val="000000"/>
          <w:kern w:val="0"/>
          <w:sz w:val="24"/>
          <w:szCs w:val="24"/>
          <w:highlight w:val="none"/>
        </w:rPr>
      </w:pPr>
      <w:r>
        <w:rPr>
          <w:rFonts w:hint="eastAsia" w:asciiTheme="minorEastAsia" w:hAnsiTheme="minorEastAsia" w:eastAsiaTheme="minorEastAsia" w:cstheme="minorEastAsia"/>
          <w:b w:val="0"/>
          <w:bCs w:val="0"/>
          <w:color w:val="000000"/>
          <w:kern w:val="0"/>
          <w:sz w:val="24"/>
          <w:szCs w:val="24"/>
          <w:highlight w:val="none"/>
          <w:lang w:eastAsia="zh-CN"/>
        </w:rPr>
        <w:t>1.</w:t>
      </w:r>
      <w:r>
        <w:rPr>
          <w:rFonts w:hint="eastAsia" w:asciiTheme="minorEastAsia" w:hAnsiTheme="minorEastAsia" w:eastAsiaTheme="minorEastAsia" w:cstheme="minorEastAsia"/>
          <w:b w:val="0"/>
          <w:bCs w:val="0"/>
          <w:color w:val="000000"/>
          <w:kern w:val="0"/>
          <w:sz w:val="24"/>
          <w:szCs w:val="24"/>
          <w:highlight w:val="none"/>
        </w:rPr>
        <w:t>合同签订时，经采购人与</w:t>
      </w:r>
      <w:r>
        <w:rPr>
          <w:rFonts w:hint="eastAsia" w:asciiTheme="minorEastAsia" w:hAnsiTheme="minorEastAsia" w:eastAsiaTheme="minorEastAsia" w:cstheme="minorEastAsia"/>
          <w:b w:val="0"/>
          <w:bCs w:val="0"/>
          <w:color w:val="000000"/>
          <w:kern w:val="0"/>
          <w:sz w:val="24"/>
          <w:szCs w:val="24"/>
          <w:highlight w:val="none"/>
          <w:lang w:val="en-US" w:eastAsia="zh-CN"/>
        </w:rPr>
        <w:t>成交供应商</w:t>
      </w:r>
      <w:r>
        <w:rPr>
          <w:rFonts w:hint="eastAsia" w:asciiTheme="minorEastAsia" w:hAnsiTheme="minorEastAsia" w:eastAsiaTheme="minorEastAsia" w:cstheme="minorEastAsia"/>
          <w:b w:val="0"/>
          <w:bCs w:val="0"/>
          <w:color w:val="000000"/>
          <w:kern w:val="0"/>
          <w:sz w:val="24"/>
          <w:szCs w:val="24"/>
          <w:highlight w:val="none"/>
        </w:rPr>
        <w:t>根据实际情况协商一致，可支付合同总价的30%作为项目启动预付款； 注：在签订合同时，</w:t>
      </w:r>
      <w:r>
        <w:rPr>
          <w:rFonts w:hint="eastAsia" w:asciiTheme="minorEastAsia" w:hAnsiTheme="minorEastAsia" w:eastAsiaTheme="minorEastAsia" w:cstheme="minorEastAsia"/>
          <w:b w:val="0"/>
          <w:bCs w:val="0"/>
          <w:color w:val="000000"/>
          <w:kern w:val="0"/>
          <w:sz w:val="24"/>
          <w:szCs w:val="24"/>
          <w:highlight w:val="none"/>
          <w:lang w:val="en-US" w:eastAsia="zh-CN"/>
        </w:rPr>
        <w:t>成交供应商</w:t>
      </w:r>
      <w:r>
        <w:rPr>
          <w:rFonts w:hint="eastAsia" w:asciiTheme="minorEastAsia" w:hAnsiTheme="minorEastAsia" w:eastAsiaTheme="minorEastAsia" w:cstheme="minorEastAsia"/>
          <w:b w:val="0"/>
          <w:bCs w:val="0"/>
          <w:color w:val="000000"/>
          <w:kern w:val="0"/>
          <w:sz w:val="24"/>
          <w:szCs w:val="24"/>
          <w:highlight w:val="none"/>
        </w:rPr>
        <w:t>明确表示无需预付款或者主动要求降低预付款比例的金额，</w:t>
      </w:r>
      <w:r>
        <w:rPr>
          <w:rFonts w:hint="eastAsia" w:asciiTheme="minorEastAsia" w:hAnsiTheme="minorEastAsia" w:eastAsiaTheme="minorEastAsia" w:cstheme="minorEastAsia"/>
          <w:b w:val="0"/>
          <w:bCs w:val="0"/>
          <w:color w:val="000000"/>
          <w:kern w:val="0"/>
          <w:sz w:val="24"/>
          <w:szCs w:val="24"/>
          <w:highlight w:val="none"/>
          <w:lang w:val="en-US" w:eastAsia="zh-CN"/>
        </w:rPr>
        <w:t>成交</w:t>
      </w:r>
      <w:r>
        <w:rPr>
          <w:rFonts w:hint="eastAsia" w:asciiTheme="minorEastAsia" w:hAnsiTheme="minorEastAsia" w:eastAsiaTheme="minorEastAsia" w:cstheme="minorEastAsia"/>
          <w:b w:val="0"/>
          <w:bCs w:val="0"/>
          <w:color w:val="000000"/>
          <w:kern w:val="0"/>
          <w:sz w:val="24"/>
          <w:szCs w:val="24"/>
          <w:highlight w:val="none"/>
        </w:rPr>
        <w:t>人可不适用预付款规定</w:t>
      </w:r>
      <w:r>
        <w:rPr>
          <w:rFonts w:hint="eastAsia" w:asciiTheme="minorEastAsia" w:hAnsiTheme="minorEastAsia" w:eastAsiaTheme="minorEastAsia" w:cstheme="minorEastAsia"/>
          <w:b w:val="0"/>
          <w:bCs w:val="0"/>
          <w:color w:val="000000"/>
          <w:kern w:val="0"/>
          <w:sz w:val="24"/>
          <w:szCs w:val="24"/>
          <w:highlight w:val="none"/>
          <w:lang w:eastAsia="zh-CN"/>
        </w:rPr>
        <w:t>，</w:t>
      </w:r>
      <w:r>
        <w:rPr>
          <w:rFonts w:hint="eastAsia" w:asciiTheme="minorEastAsia" w:hAnsiTheme="minorEastAsia" w:eastAsiaTheme="minorEastAsia" w:cstheme="minorEastAsia"/>
          <w:b w:val="0"/>
          <w:bCs w:val="0"/>
          <w:color w:val="000000"/>
          <w:kern w:val="0"/>
          <w:sz w:val="24"/>
          <w:szCs w:val="24"/>
          <w:highlight w:val="none"/>
        </w:rPr>
        <w:t>但</w:t>
      </w:r>
      <w:r>
        <w:rPr>
          <w:rFonts w:hint="eastAsia" w:asciiTheme="minorEastAsia" w:hAnsiTheme="minorEastAsia" w:eastAsiaTheme="minorEastAsia" w:cstheme="minorEastAsia"/>
          <w:b w:val="0"/>
          <w:bCs w:val="0"/>
          <w:color w:val="000000"/>
          <w:kern w:val="0"/>
          <w:sz w:val="24"/>
          <w:szCs w:val="24"/>
          <w:highlight w:val="none"/>
          <w:lang w:val="en-US" w:eastAsia="zh-CN"/>
        </w:rPr>
        <w:t>成交供应商</w:t>
      </w:r>
      <w:r>
        <w:rPr>
          <w:rFonts w:hint="eastAsia" w:asciiTheme="minorEastAsia" w:hAnsiTheme="minorEastAsia" w:eastAsiaTheme="minorEastAsia" w:cstheme="minorEastAsia"/>
          <w:b w:val="0"/>
          <w:bCs w:val="0"/>
          <w:color w:val="000000"/>
          <w:kern w:val="0"/>
          <w:sz w:val="24"/>
          <w:szCs w:val="24"/>
          <w:highlight w:val="none"/>
        </w:rPr>
        <w:t>需提供书面声明，采购人可就预付款比例作相应调整。</w:t>
      </w:r>
    </w:p>
    <w:p w14:paraId="299AC4D7">
      <w:pPr>
        <w:pStyle w:val="11"/>
        <w:keepNext w:val="0"/>
        <w:keepLines w:val="0"/>
        <w:pageBreakBefore w:val="0"/>
        <w:widowControl w:val="0"/>
        <w:kinsoku/>
        <w:wordWrap/>
        <w:overflowPunct/>
        <w:topLinePunct w:val="0"/>
        <w:autoSpaceDE/>
        <w:autoSpaceDN/>
        <w:bidi w:val="0"/>
        <w:spacing w:line="360" w:lineRule="exact"/>
        <w:ind w:firstLine="480" w:firstLineChars="200"/>
        <w:rPr>
          <w:rFonts w:hint="eastAsia" w:asciiTheme="minorEastAsia" w:hAnsiTheme="minorEastAsia" w:eastAsiaTheme="minorEastAsia" w:cstheme="minorEastAsia"/>
          <w:b w:val="0"/>
          <w:bCs w:val="0"/>
          <w:color w:val="000000"/>
          <w:kern w:val="0"/>
          <w:sz w:val="24"/>
          <w:szCs w:val="24"/>
          <w:highlight w:val="none"/>
          <w:lang w:eastAsia="zh-CN"/>
        </w:rPr>
      </w:pPr>
      <w:r>
        <w:rPr>
          <w:rFonts w:hint="eastAsia" w:asciiTheme="minorEastAsia" w:hAnsiTheme="minorEastAsia" w:eastAsiaTheme="minorEastAsia" w:cstheme="minorEastAsia"/>
          <w:b w:val="0"/>
          <w:bCs w:val="0"/>
          <w:color w:val="000000"/>
          <w:kern w:val="0"/>
          <w:sz w:val="24"/>
          <w:szCs w:val="24"/>
          <w:highlight w:val="none"/>
          <w:lang w:eastAsia="zh-CN"/>
        </w:rPr>
        <w:t>2</w:t>
      </w:r>
      <w:r>
        <w:rPr>
          <w:rFonts w:hint="eastAsia" w:asciiTheme="minorEastAsia" w:hAnsiTheme="minorEastAsia" w:eastAsiaTheme="minorEastAsia" w:cstheme="minorEastAsia"/>
          <w:b w:val="0"/>
          <w:bCs w:val="0"/>
          <w:color w:val="000000"/>
          <w:kern w:val="0"/>
          <w:sz w:val="24"/>
          <w:szCs w:val="24"/>
          <w:highlight w:val="none"/>
          <w:lang w:val="en-US" w:eastAsia="zh-CN"/>
        </w:rPr>
        <w:t>.</w:t>
      </w:r>
      <w:r>
        <w:rPr>
          <w:rFonts w:hint="eastAsia" w:asciiTheme="minorEastAsia" w:hAnsiTheme="minorEastAsia" w:eastAsiaTheme="minorEastAsia" w:cstheme="minorEastAsia"/>
          <w:b w:val="0"/>
          <w:bCs w:val="0"/>
          <w:color w:val="000000"/>
          <w:sz w:val="24"/>
          <w:szCs w:val="24"/>
          <w:highlight w:val="none"/>
        </w:rPr>
        <w:t>项目结算总价＝</w:t>
      </w:r>
      <w:r>
        <w:rPr>
          <w:rFonts w:hint="eastAsia" w:asciiTheme="minorEastAsia" w:hAnsiTheme="minorEastAsia" w:eastAsiaTheme="minorEastAsia" w:cstheme="minorEastAsia"/>
          <w:b w:val="0"/>
          <w:bCs w:val="0"/>
          <w:color w:val="000000"/>
          <w:kern w:val="0"/>
          <w:sz w:val="24"/>
          <w:szCs w:val="24"/>
          <w:highlight w:val="none"/>
          <w:lang w:val="en-US" w:eastAsia="zh-CN"/>
        </w:rPr>
        <w:t>成交</w:t>
      </w:r>
      <w:r>
        <w:rPr>
          <w:rFonts w:hint="eastAsia" w:asciiTheme="minorEastAsia" w:hAnsiTheme="minorEastAsia" w:eastAsiaTheme="minorEastAsia" w:cstheme="minorEastAsia"/>
          <w:b w:val="0"/>
          <w:bCs w:val="0"/>
          <w:color w:val="000000"/>
          <w:kern w:val="0"/>
          <w:sz w:val="24"/>
          <w:szCs w:val="24"/>
          <w:highlight w:val="none"/>
        </w:rPr>
        <w:t>单价×</w:t>
      </w:r>
      <w:r>
        <w:rPr>
          <w:rFonts w:hint="eastAsia" w:asciiTheme="minorEastAsia" w:hAnsiTheme="minorEastAsia" w:eastAsiaTheme="minorEastAsia" w:cstheme="minorEastAsia"/>
          <w:b w:val="0"/>
          <w:bCs w:val="0"/>
          <w:color w:val="000000"/>
          <w:sz w:val="24"/>
          <w:szCs w:val="24"/>
          <w:highlight w:val="none"/>
        </w:rPr>
        <w:t>实际</w:t>
      </w:r>
      <w:r>
        <w:rPr>
          <w:rFonts w:hint="eastAsia" w:asciiTheme="minorEastAsia" w:hAnsiTheme="minorEastAsia" w:eastAsiaTheme="minorEastAsia" w:cstheme="minorEastAsia"/>
          <w:b w:val="0"/>
          <w:bCs w:val="0"/>
          <w:color w:val="000000"/>
          <w:kern w:val="0"/>
          <w:sz w:val="24"/>
          <w:szCs w:val="24"/>
          <w:highlight w:val="none"/>
        </w:rPr>
        <w:t>亩数</w:t>
      </w:r>
      <w:r>
        <w:rPr>
          <w:rFonts w:hint="eastAsia" w:asciiTheme="minorEastAsia" w:hAnsiTheme="minorEastAsia" w:eastAsiaTheme="minorEastAsia" w:cstheme="minorEastAsia"/>
          <w:b w:val="0"/>
          <w:bCs w:val="0"/>
          <w:color w:val="000000"/>
          <w:kern w:val="0"/>
          <w:sz w:val="24"/>
          <w:szCs w:val="24"/>
          <w:highlight w:val="none"/>
          <w:lang w:eastAsia="zh-CN"/>
        </w:rPr>
        <w:t>，</w:t>
      </w:r>
      <w:r>
        <w:rPr>
          <w:rFonts w:hint="eastAsia" w:asciiTheme="minorEastAsia" w:hAnsiTheme="minorEastAsia" w:eastAsiaTheme="minorEastAsia" w:cstheme="minorEastAsia"/>
          <w:b w:val="0"/>
          <w:bCs w:val="0"/>
          <w:color w:val="000000"/>
          <w:kern w:val="0"/>
          <w:sz w:val="24"/>
          <w:szCs w:val="24"/>
          <w:highlight w:val="none"/>
        </w:rPr>
        <w:t>成交供应商在项目完成后，经验收和质量核查合格一次性付清全部合同款。并无息退还履约保证金（如有）。以上付款均不计任何利息和相关费用，付款一律通过银行结转。相关付款手续由用户单位</w:t>
      </w:r>
      <w:r>
        <w:rPr>
          <w:rFonts w:hint="eastAsia" w:asciiTheme="minorEastAsia" w:hAnsiTheme="minorEastAsia" w:eastAsiaTheme="minorEastAsia" w:cstheme="minorEastAsia"/>
          <w:b w:val="0"/>
          <w:bCs w:val="0"/>
          <w:color w:val="000000"/>
          <w:kern w:val="0"/>
          <w:sz w:val="24"/>
          <w:szCs w:val="24"/>
          <w:highlight w:val="none"/>
          <w:lang w:val="en-US" w:eastAsia="zh-CN"/>
        </w:rPr>
        <w:t>向</w:t>
      </w:r>
      <w:r>
        <w:rPr>
          <w:rFonts w:hint="eastAsia" w:asciiTheme="minorEastAsia" w:hAnsiTheme="minorEastAsia" w:eastAsiaTheme="minorEastAsia" w:cstheme="minorEastAsia"/>
          <w:b w:val="0"/>
          <w:bCs w:val="0"/>
          <w:color w:val="000000"/>
          <w:kern w:val="0"/>
          <w:sz w:val="24"/>
          <w:szCs w:val="24"/>
          <w:highlight w:val="none"/>
        </w:rPr>
        <w:t>财政部门报批后办理</w:t>
      </w:r>
      <w:r>
        <w:rPr>
          <w:rFonts w:hint="eastAsia" w:asciiTheme="minorEastAsia" w:hAnsiTheme="minorEastAsia" w:cstheme="minorEastAsia"/>
          <w:b w:val="0"/>
          <w:bCs w:val="0"/>
          <w:color w:val="000000"/>
          <w:kern w:val="0"/>
          <w:sz w:val="24"/>
          <w:szCs w:val="24"/>
          <w:highlight w:val="none"/>
          <w:lang w:eastAsia="zh-CN"/>
        </w:rPr>
        <w:t>，按序时付清。</w:t>
      </w:r>
    </w:p>
    <w:p w14:paraId="6716166B">
      <w:pPr>
        <w:keepNext w:val="0"/>
        <w:keepLines w:val="0"/>
        <w:pageBreakBefore w:val="0"/>
        <w:widowControl w:val="0"/>
        <w:kinsoku/>
        <w:wordWrap/>
        <w:overflowPunct/>
        <w:topLinePunct w:val="0"/>
        <w:autoSpaceDE/>
        <w:autoSpaceDN/>
        <w:bidi w:val="0"/>
        <w:spacing w:line="360" w:lineRule="exact"/>
        <w:ind w:firstLine="480" w:firstLineChars="200"/>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b w:val="0"/>
          <w:bCs w:val="0"/>
          <w:color w:val="000000"/>
          <w:sz w:val="24"/>
          <w:szCs w:val="24"/>
          <w:highlight w:val="none"/>
          <w:lang w:eastAsia="zh-CN"/>
        </w:rPr>
        <w:t>3.</w:t>
      </w:r>
      <w:r>
        <w:rPr>
          <w:rFonts w:hint="eastAsia" w:asciiTheme="minorEastAsia" w:hAnsiTheme="minorEastAsia" w:eastAsiaTheme="minorEastAsia" w:cstheme="minorEastAsia"/>
          <w:b w:val="0"/>
          <w:bCs w:val="0"/>
          <w:color w:val="000000"/>
          <w:sz w:val="24"/>
          <w:szCs w:val="24"/>
          <w:highlight w:val="none"/>
          <w:lang w:val="en-US" w:eastAsia="zh-CN"/>
        </w:rPr>
        <w:t>成交供应商</w:t>
      </w:r>
      <w:r>
        <w:rPr>
          <w:rFonts w:hint="eastAsia" w:asciiTheme="minorEastAsia" w:hAnsiTheme="minorEastAsia" w:eastAsiaTheme="minorEastAsia" w:cstheme="minorEastAsia"/>
          <w:b w:val="0"/>
          <w:bCs w:val="0"/>
          <w:color w:val="000000"/>
          <w:sz w:val="24"/>
          <w:szCs w:val="24"/>
          <w:highlight w:val="none"/>
        </w:rPr>
        <w:t>完成实际工作量结算时</w:t>
      </w:r>
      <w:r>
        <w:rPr>
          <w:rFonts w:hint="eastAsia" w:asciiTheme="minorEastAsia" w:hAnsiTheme="minorEastAsia" w:eastAsiaTheme="minorEastAsia" w:cstheme="minorEastAsia"/>
          <w:b w:val="0"/>
          <w:bCs w:val="0"/>
          <w:color w:val="000000"/>
          <w:sz w:val="24"/>
          <w:szCs w:val="24"/>
          <w:highlight w:val="none"/>
          <w:lang w:eastAsia="zh-CN"/>
        </w:rPr>
        <w:t>超过</w:t>
      </w:r>
      <w:r>
        <w:rPr>
          <w:rFonts w:hint="eastAsia" w:asciiTheme="minorEastAsia" w:hAnsiTheme="minorEastAsia" w:eastAsiaTheme="minorEastAsia" w:cstheme="minorEastAsia"/>
          <w:b w:val="0"/>
          <w:bCs w:val="0"/>
          <w:color w:val="000000"/>
          <w:sz w:val="24"/>
          <w:szCs w:val="24"/>
          <w:highlight w:val="none"/>
          <w:lang w:val="en-US" w:eastAsia="zh-CN"/>
        </w:rPr>
        <w:t>成交</w:t>
      </w:r>
      <w:r>
        <w:rPr>
          <w:rFonts w:hint="eastAsia" w:asciiTheme="minorEastAsia" w:hAnsiTheme="minorEastAsia" w:eastAsiaTheme="minorEastAsia" w:cstheme="minorEastAsia"/>
          <w:b w:val="0"/>
          <w:bCs w:val="0"/>
          <w:color w:val="000000"/>
          <w:sz w:val="24"/>
          <w:szCs w:val="24"/>
          <w:highlight w:val="none"/>
        </w:rPr>
        <w:t>总价时，项目结算总价＝</w:t>
      </w:r>
      <w:r>
        <w:rPr>
          <w:rFonts w:hint="eastAsia" w:asciiTheme="minorEastAsia" w:hAnsiTheme="minorEastAsia" w:eastAsiaTheme="minorEastAsia" w:cstheme="minorEastAsia"/>
          <w:b w:val="0"/>
          <w:bCs w:val="0"/>
          <w:color w:val="000000"/>
          <w:kern w:val="0"/>
          <w:sz w:val="24"/>
          <w:szCs w:val="24"/>
          <w:highlight w:val="none"/>
        </w:rPr>
        <w:t>最高限价</w:t>
      </w:r>
      <w:r>
        <w:rPr>
          <w:rFonts w:hint="eastAsia" w:asciiTheme="minorEastAsia" w:hAnsiTheme="minorEastAsia" w:eastAsiaTheme="minorEastAsia" w:cstheme="minorEastAsia"/>
          <w:b w:val="0"/>
          <w:bCs w:val="0"/>
          <w:color w:val="000000"/>
          <w:kern w:val="0"/>
          <w:sz w:val="24"/>
          <w:szCs w:val="24"/>
          <w:highlight w:val="none"/>
          <w:lang w:val="en-US" w:eastAsia="zh-CN"/>
        </w:rPr>
        <w:t>204</w:t>
      </w:r>
      <w:r>
        <w:rPr>
          <w:rFonts w:hint="eastAsia" w:asciiTheme="minorEastAsia" w:hAnsiTheme="minorEastAsia" w:eastAsiaTheme="minorEastAsia" w:cstheme="minorEastAsia"/>
          <w:b w:val="0"/>
          <w:bCs w:val="0"/>
          <w:color w:val="000000"/>
          <w:kern w:val="0"/>
          <w:sz w:val="24"/>
          <w:szCs w:val="24"/>
          <w:highlight w:val="none"/>
        </w:rPr>
        <w:t>万元</w:t>
      </w:r>
      <w:r>
        <w:rPr>
          <w:rFonts w:hint="eastAsia" w:asciiTheme="minorEastAsia" w:hAnsiTheme="minorEastAsia" w:eastAsiaTheme="minorEastAsia" w:cstheme="minorEastAsia"/>
          <w:b w:val="0"/>
          <w:bCs w:val="0"/>
          <w:color w:val="000000"/>
          <w:sz w:val="24"/>
          <w:szCs w:val="24"/>
          <w:highlight w:val="none"/>
        </w:rPr>
        <w:t>。</w:t>
      </w:r>
    </w:p>
    <w:p w14:paraId="0E590CEF">
      <w:pPr>
        <w:pStyle w:val="13"/>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482" w:firstLineChars="200"/>
        <w:jc w:val="both"/>
        <w:textAlignment w:val="auto"/>
        <w:outlineLvl w:val="0"/>
        <w:rPr>
          <w:color w:val="auto"/>
          <w:highlight w:val="none"/>
          <w:shd w:val="clear" w:color="auto" w:fill="auto"/>
        </w:rPr>
      </w:pPr>
      <w:r>
        <w:rPr>
          <w:rFonts w:hint="eastAsia" w:ascii="宋体" w:hAnsi="宋体" w:eastAsia="宋体" w:cs="宋体"/>
          <w:b/>
          <w:color w:val="auto"/>
          <w:highlight w:val="none"/>
          <w:shd w:val="clear" w:color="auto" w:fill="auto"/>
        </w:rPr>
        <w:t>九、税费</w:t>
      </w:r>
    </w:p>
    <w:p w14:paraId="1D5D67CD">
      <w:pPr>
        <w:pStyle w:val="13"/>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480" w:firstLineChars="200"/>
        <w:jc w:val="both"/>
        <w:textAlignment w:val="auto"/>
        <w:rPr>
          <w:color w:val="auto"/>
          <w:highlight w:val="none"/>
          <w:shd w:val="clear" w:color="auto" w:fill="auto"/>
        </w:rPr>
      </w:pPr>
      <w:r>
        <w:rPr>
          <w:rFonts w:hint="eastAsia" w:ascii="宋体" w:hAnsi="宋体" w:eastAsia="宋体" w:cs="宋体"/>
          <w:color w:val="auto"/>
          <w:highlight w:val="none"/>
          <w:shd w:val="clear" w:color="auto" w:fill="auto"/>
        </w:rPr>
        <w:t>9.1本合同执行中相关的一切税费均由乙方负担。</w:t>
      </w:r>
    </w:p>
    <w:p w14:paraId="147643D3">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2" w:firstLineChars="200"/>
        <w:jc w:val="both"/>
        <w:textAlignment w:val="auto"/>
        <w:outlineLvl w:val="0"/>
        <w:rPr>
          <w:color w:val="auto"/>
          <w:highlight w:val="none"/>
          <w:shd w:val="clear" w:color="auto" w:fill="auto"/>
        </w:rPr>
      </w:pPr>
      <w:r>
        <w:rPr>
          <w:rFonts w:hint="eastAsia" w:ascii="宋体" w:hAnsi="宋体" w:eastAsia="宋体" w:cs="宋体"/>
          <w:b/>
          <w:color w:val="auto"/>
          <w:highlight w:val="none"/>
          <w:shd w:val="clear" w:color="auto" w:fill="auto"/>
        </w:rPr>
        <w:t>十、项目验收</w:t>
      </w:r>
    </w:p>
    <w:p w14:paraId="0CBE2CDD">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color w:val="auto"/>
          <w:highlight w:val="none"/>
          <w:shd w:val="clear" w:color="auto" w:fill="auto"/>
        </w:rPr>
      </w:pPr>
      <w:r>
        <w:rPr>
          <w:rFonts w:hint="eastAsia" w:ascii="宋体" w:hAnsi="宋体" w:eastAsia="宋体" w:cs="宋体"/>
          <w:color w:val="auto"/>
          <w:highlight w:val="none"/>
          <w:shd w:val="clear" w:color="auto" w:fill="auto"/>
        </w:rPr>
        <w:t>10.1 甲方依法组织履约验收工作。</w:t>
      </w:r>
    </w:p>
    <w:p w14:paraId="7140CB35">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color w:val="auto"/>
          <w:highlight w:val="none"/>
          <w:shd w:val="clear" w:color="auto" w:fill="auto"/>
        </w:rPr>
      </w:pPr>
      <w:r>
        <w:rPr>
          <w:rFonts w:hint="eastAsia" w:ascii="宋体" w:hAnsi="宋体" w:eastAsia="宋体" w:cs="宋体"/>
          <w:color w:val="auto"/>
          <w:highlight w:val="none"/>
          <w:shd w:val="clear" w:color="auto" w:fill="auto"/>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74094CC9">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color w:val="auto"/>
          <w:highlight w:val="none"/>
          <w:shd w:val="clear" w:color="auto" w:fill="auto"/>
        </w:rPr>
      </w:pPr>
      <w:r>
        <w:rPr>
          <w:rFonts w:hint="eastAsia" w:ascii="宋体" w:hAnsi="宋体" w:eastAsia="宋体" w:cs="宋体"/>
          <w:color w:val="auto"/>
          <w:highlight w:val="none"/>
          <w:shd w:val="clear" w:color="auto" w:fill="auto"/>
        </w:rPr>
        <w:t>10.3 对于实际使用人和甲方分离的项目，甲方邀请实际使用人参与验收。</w:t>
      </w:r>
    </w:p>
    <w:p w14:paraId="0D403C65">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color w:val="auto"/>
          <w:highlight w:val="none"/>
          <w:shd w:val="clear" w:color="auto" w:fill="auto"/>
        </w:rPr>
      </w:pPr>
      <w:r>
        <w:rPr>
          <w:rFonts w:hint="eastAsia" w:ascii="宋体" w:hAnsi="宋体" w:eastAsia="宋体" w:cs="宋体"/>
          <w:color w:val="auto"/>
          <w:highlight w:val="none"/>
          <w:shd w:val="clear" w:color="auto" w:fill="auto"/>
        </w:rPr>
        <w:t>10.4 如有必要，甲方邀请参加本项目的其他供应商或第三方专业机构及专家参与验收，相关意见将作为验收书的参考资料。</w:t>
      </w:r>
    </w:p>
    <w:p w14:paraId="3A3C4BCB">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color w:val="auto"/>
          <w:highlight w:val="none"/>
          <w:shd w:val="clear" w:color="auto" w:fill="auto"/>
        </w:rPr>
      </w:pPr>
      <w:r>
        <w:rPr>
          <w:rFonts w:hint="eastAsia" w:ascii="宋体" w:hAnsi="宋体" w:eastAsia="宋体" w:cs="宋体"/>
          <w:color w:val="auto"/>
          <w:highlight w:val="none"/>
          <w:shd w:val="clear" w:color="auto" w:fill="auto"/>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6A5B59B6">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color w:val="auto"/>
          <w:highlight w:val="none"/>
          <w:shd w:val="clear" w:color="auto" w:fill="auto"/>
        </w:rPr>
      </w:pPr>
      <w:r>
        <w:rPr>
          <w:rFonts w:hint="eastAsia" w:ascii="宋体" w:hAnsi="宋体" w:eastAsia="宋体" w:cs="宋体"/>
          <w:color w:val="auto"/>
          <w:highlight w:val="none"/>
          <w:shd w:val="clear" w:color="auto" w:fill="auto"/>
        </w:rPr>
        <w:t>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highlight w:val="none"/>
          <w:shd w:val="clear" w:color="auto" w:fill="auto"/>
          <w:lang w:eastAsia="zh-CN"/>
        </w:rPr>
        <w:t>中华人民共和国民法典</w:t>
      </w:r>
      <w:r>
        <w:rPr>
          <w:rFonts w:hint="eastAsia" w:ascii="宋体" w:hAnsi="宋体" w:eastAsia="宋体" w:cs="宋体"/>
          <w:color w:val="auto"/>
          <w:highlight w:val="none"/>
          <w:shd w:val="clear" w:color="auto" w:fill="auto"/>
        </w:rPr>
        <w:t>》。乙方在履约过程中有政府采购法律法规规定的违法违规情形的,甲方将及时报告本级财政部门。</w:t>
      </w:r>
    </w:p>
    <w:p w14:paraId="0C612015">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2" w:firstLineChars="200"/>
        <w:jc w:val="both"/>
        <w:textAlignment w:val="auto"/>
        <w:outlineLvl w:val="0"/>
        <w:rPr>
          <w:color w:val="auto"/>
          <w:highlight w:val="none"/>
          <w:shd w:val="clear" w:color="auto" w:fill="auto"/>
        </w:rPr>
      </w:pPr>
      <w:r>
        <w:rPr>
          <w:rFonts w:hint="eastAsia" w:ascii="宋体" w:hAnsi="宋体" w:eastAsia="宋体" w:cs="宋体"/>
          <w:b/>
          <w:color w:val="auto"/>
          <w:highlight w:val="none"/>
          <w:shd w:val="clear" w:color="auto" w:fill="auto"/>
        </w:rPr>
        <w:t>十一、违约责任</w:t>
      </w:r>
    </w:p>
    <w:p w14:paraId="1862257F">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color w:val="auto"/>
          <w:highlight w:val="none"/>
          <w:shd w:val="clear" w:color="auto" w:fill="auto"/>
        </w:rPr>
      </w:pPr>
      <w:r>
        <w:rPr>
          <w:rFonts w:hint="eastAsia" w:ascii="宋体" w:hAnsi="宋体" w:eastAsia="宋体" w:cs="宋体"/>
          <w:color w:val="auto"/>
          <w:highlight w:val="none"/>
          <w:shd w:val="clear" w:color="auto" w:fill="auto"/>
        </w:rPr>
        <w:t>11.1甲方无正当理由拒绝接受乙方提供的合同标的的，甲方向乙方偿付拒绝接受合同价款总值</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的违约金。</w:t>
      </w:r>
    </w:p>
    <w:p w14:paraId="18D9D844">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color w:val="auto"/>
          <w:highlight w:val="none"/>
          <w:shd w:val="clear" w:color="auto" w:fill="auto"/>
        </w:rPr>
      </w:pPr>
      <w:r>
        <w:rPr>
          <w:rFonts w:hint="eastAsia" w:ascii="宋体" w:hAnsi="宋体" w:eastAsia="宋体" w:cs="宋体"/>
          <w:color w:val="auto"/>
          <w:highlight w:val="none"/>
          <w:shd w:val="clear" w:color="auto" w:fill="auto"/>
        </w:rPr>
        <w:t>11.2 甲方无故逾期验收和办理合同款项支付手续的,甲方应按逾期付款总额</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每日向乙方支付违约金。</w:t>
      </w:r>
    </w:p>
    <w:p w14:paraId="630307C2">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color w:val="auto"/>
          <w:highlight w:val="none"/>
          <w:shd w:val="clear" w:color="auto" w:fill="auto"/>
        </w:rPr>
      </w:pPr>
      <w:r>
        <w:rPr>
          <w:rFonts w:hint="eastAsia" w:ascii="宋体" w:hAnsi="宋体" w:eastAsia="宋体" w:cs="宋体"/>
          <w:color w:val="auto"/>
          <w:highlight w:val="none"/>
          <w:shd w:val="clear" w:color="auto" w:fill="auto"/>
        </w:rPr>
        <w:t>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的违约金，如造成甲方损失超过违约金的，超出部分由乙方继续承担赔偿责任。 </w:t>
      </w:r>
    </w:p>
    <w:p w14:paraId="72F426D3">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color w:val="auto"/>
          <w:highlight w:val="none"/>
          <w:shd w:val="clear" w:color="auto" w:fill="auto"/>
        </w:rPr>
      </w:pPr>
      <w:r>
        <w:rPr>
          <w:rFonts w:hint="eastAsia" w:ascii="宋体" w:hAnsi="宋体" w:eastAsia="宋体" w:cs="宋体"/>
          <w:color w:val="auto"/>
          <w:highlight w:val="none"/>
          <w:shd w:val="clear" w:color="auto" w:fill="auto"/>
        </w:rPr>
        <w:t>11.4 乙方交付合同标的的标准不符合合同规定及磋商文件规定标准的，甲方有权拒绝接受合同标的，并可单方面解除合同。</w:t>
      </w:r>
    </w:p>
    <w:p w14:paraId="6D9102FD">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2" w:firstLineChars="200"/>
        <w:jc w:val="both"/>
        <w:textAlignment w:val="auto"/>
        <w:outlineLvl w:val="0"/>
        <w:rPr>
          <w:color w:val="auto"/>
          <w:highlight w:val="none"/>
          <w:shd w:val="clear" w:color="auto" w:fill="auto"/>
        </w:rPr>
      </w:pPr>
      <w:r>
        <w:rPr>
          <w:rFonts w:hint="eastAsia" w:ascii="宋体" w:hAnsi="宋体" w:eastAsia="宋体" w:cs="宋体"/>
          <w:b/>
          <w:color w:val="auto"/>
          <w:highlight w:val="none"/>
          <w:shd w:val="clear" w:color="auto" w:fill="auto"/>
        </w:rPr>
        <w:t>十二、不可抗力事件处理</w:t>
      </w:r>
    </w:p>
    <w:p w14:paraId="178C73A5">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color w:val="auto"/>
          <w:highlight w:val="none"/>
          <w:shd w:val="clear" w:color="auto" w:fill="auto"/>
        </w:rPr>
      </w:pPr>
      <w:r>
        <w:rPr>
          <w:rFonts w:hint="eastAsia" w:ascii="宋体" w:hAnsi="宋体" w:eastAsia="宋体" w:cs="宋体"/>
          <w:color w:val="auto"/>
          <w:highlight w:val="none"/>
          <w:shd w:val="clear" w:color="auto" w:fill="auto"/>
        </w:rPr>
        <w:t>12.1 在合同有效期内，任何一方因不可抗力事件导致不能履行合同，则合同履行期可延长，其延长期与不可抗力影响 期相同。</w:t>
      </w:r>
    </w:p>
    <w:p w14:paraId="6568FAF9">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color w:val="auto"/>
          <w:highlight w:val="none"/>
          <w:shd w:val="clear" w:color="auto" w:fill="auto"/>
        </w:rPr>
      </w:pPr>
      <w:r>
        <w:rPr>
          <w:rFonts w:hint="eastAsia" w:ascii="宋体" w:hAnsi="宋体" w:eastAsia="宋体" w:cs="宋体"/>
          <w:color w:val="auto"/>
          <w:highlight w:val="none"/>
          <w:shd w:val="clear" w:color="auto" w:fill="auto"/>
        </w:rPr>
        <w:t>12.2 不可抗力事件发生后，应立即通知对方，并寄送有关权威机构出具的证明。</w:t>
      </w:r>
    </w:p>
    <w:p w14:paraId="3CB7B0C8">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color w:val="auto"/>
          <w:highlight w:val="none"/>
          <w:shd w:val="clear" w:color="auto" w:fill="auto"/>
        </w:rPr>
      </w:pPr>
      <w:r>
        <w:rPr>
          <w:rFonts w:hint="eastAsia" w:ascii="宋体" w:hAnsi="宋体" w:eastAsia="宋体" w:cs="宋体"/>
          <w:color w:val="auto"/>
          <w:highlight w:val="none"/>
          <w:shd w:val="clear" w:color="auto" w:fill="auto"/>
        </w:rPr>
        <w:t>12.3 不可抗力事件延续120天以上，双方应通过友好协商，确定是否继续履行合同。</w:t>
      </w:r>
    </w:p>
    <w:p w14:paraId="0418ACDD">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2" w:firstLineChars="200"/>
        <w:jc w:val="both"/>
        <w:textAlignment w:val="auto"/>
        <w:outlineLvl w:val="0"/>
        <w:rPr>
          <w:color w:val="auto"/>
          <w:highlight w:val="none"/>
          <w:shd w:val="clear" w:color="auto" w:fill="auto"/>
        </w:rPr>
      </w:pPr>
      <w:r>
        <w:rPr>
          <w:rFonts w:hint="eastAsia" w:ascii="宋体" w:hAnsi="宋体" w:eastAsia="宋体" w:cs="宋体"/>
          <w:b/>
          <w:color w:val="auto"/>
          <w:highlight w:val="none"/>
          <w:shd w:val="clear" w:color="auto" w:fill="auto"/>
        </w:rPr>
        <w:t>十三、解决争议的方法</w:t>
      </w:r>
    </w:p>
    <w:p w14:paraId="7B7C6A5C">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color w:val="auto"/>
          <w:highlight w:val="none"/>
          <w:shd w:val="clear" w:color="auto" w:fill="auto"/>
        </w:rPr>
      </w:pPr>
      <w:r>
        <w:rPr>
          <w:rFonts w:hint="eastAsia" w:ascii="宋体" w:hAnsi="宋体" w:eastAsia="宋体" w:cs="宋体"/>
          <w:color w:val="auto"/>
          <w:highlight w:val="none"/>
          <w:shd w:val="clear" w:color="auto" w:fill="auto"/>
        </w:rPr>
        <w:t>13.1双方在签订、履行合同中所发生的一切争议，应通过友好协商解决。如协商不成，由甲方住所地人民法院管辖。</w:t>
      </w:r>
    </w:p>
    <w:p w14:paraId="287408D7">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2" w:firstLineChars="200"/>
        <w:jc w:val="both"/>
        <w:textAlignment w:val="auto"/>
        <w:outlineLvl w:val="0"/>
        <w:rPr>
          <w:color w:val="auto"/>
          <w:highlight w:val="none"/>
          <w:shd w:val="clear" w:color="auto" w:fill="auto"/>
        </w:rPr>
      </w:pPr>
      <w:r>
        <w:rPr>
          <w:rFonts w:hint="eastAsia" w:ascii="宋体" w:hAnsi="宋体" w:eastAsia="宋体" w:cs="宋体"/>
          <w:b/>
          <w:color w:val="auto"/>
          <w:highlight w:val="none"/>
          <w:shd w:val="clear" w:color="auto" w:fill="auto"/>
        </w:rPr>
        <w:t>十四、合同生效及其</w:t>
      </w:r>
      <w:r>
        <w:rPr>
          <w:rFonts w:hint="eastAsia" w:ascii="宋体" w:hAnsi="宋体" w:eastAsia="宋体" w:cs="宋体"/>
          <w:b/>
          <w:color w:val="auto"/>
          <w:highlight w:val="none"/>
          <w:shd w:val="clear" w:color="auto" w:fill="auto"/>
          <w:lang w:eastAsia="zh-CN"/>
        </w:rPr>
        <w:t>他</w:t>
      </w:r>
    </w:p>
    <w:p w14:paraId="062F7C48">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color w:val="auto"/>
          <w:highlight w:val="none"/>
          <w:shd w:val="clear" w:color="auto" w:fill="auto"/>
        </w:rPr>
      </w:pPr>
      <w:r>
        <w:rPr>
          <w:rFonts w:hint="eastAsia" w:ascii="宋体" w:hAnsi="宋体" w:eastAsia="宋体" w:cs="宋体"/>
          <w:color w:val="auto"/>
          <w:highlight w:val="none"/>
          <w:shd w:val="clear" w:color="auto" w:fill="auto"/>
        </w:rPr>
        <w:t>14.1 合同经双方法定代表人或授权委托代表人签字并加盖单位公章后生效。</w:t>
      </w:r>
    </w:p>
    <w:p w14:paraId="1D7E7E32">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color w:val="auto"/>
          <w:highlight w:val="none"/>
          <w:shd w:val="clear" w:color="auto" w:fill="auto"/>
        </w:rPr>
      </w:pPr>
      <w:r>
        <w:rPr>
          <w:rFonts w:hint="eastAsia" w:ascii="宋体" w:hAnsi="宋体" w:eastAsia="宋体" w:cs="宋体"/>
          <w:color w:val="auto"/>
          <w:highlight w:val="none"/>
          <w:shd w:val="clear" w:color="auto" w:fill="auto"/>
        </w:rPr>
        <w:t>14.2本合同未尽事宜，遵照《</w:t>
      </w:r>
      <w:r>
        <w:rPr>
          <w:rFonts w:hint="eastAsia" w:ascii="宋体" w:hAnsi="宋体" w:eastAsia="宋体" w:cs="宋体"/>
          <w:color w:val="auto"/>
          <w:highlight w:val="none"/>
          <w:shd w:val="clear" w:color="auto" w:fill="auto"/>
          <w:lang w:val="en-US" w:eastAsia="zh-CN"/>
        </w:rPr>
        <w:t>中华人民共和国</w:t>
      </w:r>
      <w:r>
        <w:rPr>
          <w:rFonts w:hint="eastAsia" w:ascii="宋体" w:hAnsi="宋体" w:eastAsia="宋体" w:cs="宋体"/>
          <w:color w:val="auto"/>
          <w:highlight w:val="none"/>
          <w:shd w:val="clear" w:color="auto" w:fill="auto"/>
        </w:rPr>
        <w:t>民法典</w:t>
      </w:r>
      <w:r>
        <w:rPr>
          <w:rFonts w:hint="eastAsia" w:ascii="宋体" w:hAnsi="宋体" w:eastAsia="宋体" w:cs="宋体"/>
          <w:color w:val="auto"/>
          <w:highlight w:val="none"/>
          <w:shd w:val="clear" w:color="auto" w:fill="auto"/>
          <w:lang w:eastAsia="zh-CN"/>
        </w:rPr>
        <w:t>》</w:t>
      </w:r>
      <w:r>
        <w:rPr>
          <w:rFonts w:hint="eastAsia" w:ascii="宋体" w:hAnsi="宋体" w:eastAsia="宋体" w:cs="宋体"/>
          <w:color w:val="auto"/>
          <w:highlight w:val="none"/>
          <w:shd w:val="clear" w:color="auto" w:fill="auto"/>
        </w:rPr>
        <w:t>《</w:t>
      </w:r>
      <w:r>
        <w:rPr>
          <w:rFonts w:hint="eastAsia" w:ascii="宋体" w:hAnsi="宋体" w:eastAsia="宋体" w:cs="宋体"/>
          <w:color w:val="auto"/>
          <w:highlight w:val="none"/>
          <w:shd w:val="clear" w:color="auto" w:fill="auto"/>
          <w:lang w:val="en-US" w:eastAsia="zh-CN"/>
        </w:rPr>
        <w:t>中华人民共和国</w:t>
      </w:r>
      <w:r>
        <w:rPr>
          <w:rFonts w:hint="eastAsia" w:ascii="宋体" w:hAnsi="宋体" w:eastAsia="宋体" w:cs="宋体"/>
          <w:color w:val="auto"/>
          <w:highlight w:val="none"/>
          <w:shd w:val="clear" w:color="auto" w:fill="auto"/>
        </w:rPr>
        <w:t>政府采购法》有关条文执行。</w:t>
      </w:r>
    </w:p>
    <w:p w14:paraId="15AFD9C4">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480" w:firstLineChars="200"/>
        <w:jc w:val="both"/>
        <w:textAlignment w:val="auto"/>
        <w:rPr>
          <w:color w:val="auto"/>
          <w:highlight w:val="none"/>
          <w:shd w:val="clear" w:color="auto" w:fill="auto"/>
        </w:rPr>
      </w:pPr>
      <w:r>
        <w:rPr>
          <w:rFonts w:hint="eastAsia" w:ascii="宋体" w:hAnsi="宋体" w:eastAsia="宋体" w:cs="宋体"/>
          <w:color w:val="auto"/>
          <w:highlight w:val="none"/>
          <w:shd w:val="clear" w:color="auto" w:fill="auto"/>
        </w:rPr>
        <w:t>14.3 本合同正本一式三份，具有同等法律效力，甲方、乙方及财政监管部门各执一份。</w:t>
      </w:r>
    </w:p>
    <w:p w14:paraId="7F71352C">
      <w:pPr>
        <w:pStyle w:val="13"/>
        <w:spacing w:before="120" w:beforeAutospacing="0" w:after="120" w:afterAutospacing="0" w:line="0" w:lineRule="atLeast"/>
        <w:ind w:left="480" w:hanging="480"/>
        <w:jc w:val="both"/>
        <w:rPr>
          <w:color w:val="auto"/>
          <w:highlight w:val="none"/>
          <w:shd w:val="clear" w:color="auto" w:fill="auto"/>
        </w:rPr>
      </w:pPr>
      <w:r>
        <w:rPr>
          <w:rFonts w:hint="eastAsia" w:ascii="宋体" w:hAnsi="宋体" w:eastAsia="宋体" w:cs="宋体"/>
          <w:color w:val="auto"/>
          <w:highlight w:val="none"/>
          <w:shd w:val="clear" w:color="auto" w:fill="auto"/>
        </w:rPr>
        <w:t xml:space="preserve">  甲方：                        乙方： </w:t>
      </w:r>
    </w:p>
    <w:p w14:paraId="3CEEEEFE">
      <w:pPr>
        <w:pStyle w:val="13"/>
        <w:spacing w:before="120" w:beforeAutospacing="0" w:after="120" w:afterAutospacing="0" w:line="0" w:lineRule="atLeast"/>
        <w:jc w:val="both"/>
        <w:rPr>
          <w:color w:val="auto"/>
          <w:highlight w:val="none"/>
          <w:shd w:val="clear" w:color="auto" w:fill="auto"/>
        </w:rPr>
      </w:pPr>
      <w:r>
        <w:rPr>
          <w:rFonts w:hint="eastAsia" w:ascii="宋体" w:hAnsi="宋体" w:eastAsia="宋体" w:cs="宋体"/>
          <w:color w:val="auto"/>
          <w:highlight w:val="none"/>
          <w:shd w:val="clear" w:color="auto" w:fill="auto"/>
        </w:rPr>
        <w:t xml:space="preserve">  地址：                        地址： </w:t>
      </w:r>
    </w:p>
    <w:p w14:paraId="1AD92004">
      <w:pPr>
        <w:pStyle w:val="13"/>
        <w:spacing w:before="120" w:beforeAutospacing="0" w:after="120" w:afterAutospacing="0" w:line="0" w:lineRule="atLeast"/>
        <w:jc w:val="both"/>
        <w:rPr>
          <w:color w:val="auto"/>
          <w:highlight w:val="none"/>
          <w:shd w:val="clear" w:color="auto" w:fill="auto"/>
        </w:rPr>
      </w:pPr>
      <w:r>
        <w:rPr>
          <w:rFonts w:hint="eastAsia" w:ascii="宋体" w:hAnsi="宋体" w:eastAsia="宋体" w:cs="宋体"/>
          <w:color w:val="auto"/>
          <w:highlight w:val="none"/>
          <w:shd w:val="clear" w:color="auto" w:fill="auto"/>
        </w:rPr>
        <w:t>  法定代表人或授权代表：        法定代表人或授权代表：</w:t>
      </w:r>
    </w:p>
    <w:p w14:paraId="670180C5">
      <w:pPr>
        <w:pStyle w:val="13"/>
        <w:spacing w:before="120" w:beforeAutospacing="0" w:after="120" w:afterAutospacing="0" w:line="0" w:lineRule="atLeast"/>
        <w:ind w:firstLine="240"/>
        <w:jc w:val="both"/>
        <w:rPr>
          <w:color w:val="auto"/>
          <w:highlight w:val="none"/>
          <w:shd w:val="clear" w:color="auto" w:fill="auto"/>
        </w:rPr>
      </w:pPr>
      <w:r>
        <w:rPr>
          <w:rFonts w:hint="eastAsia" w:ascii="宋体" w:hAnsi="宋体" w:eastAsia="宋体" w:cs="宋体"/>
          <w:color w:val="auto"/>
          <w:highlight w:val="none"/>
          <w:shd w:val="clear" w:color="auto" w:fill="auto"/>
        </w:rPr>
        <w:t xml:space="preserve">联系电话：               联系电话：          </w:t>
      </w:r>
    </w:p>
    <w:p w14:paraId="0847D483">
      <w:pPr>
        <w:pStyle w:val="13"/>
        <w:spacing w:beforeAutospacing="0" w:afterAutospacing="0" w:line="0" w:lineRule="atLeast"/>
        <w:ind w:firstLine="420"/>
        <w:jc w:val="both"/>
        <w:rPr>
          <w:rFonts w:hint="eastAsia" w:ascii="宋体" w:hAnsi="宋体" w:eastAsia="宋体" w:cs="宋体"/>
          <w:color w:val="auto"/>
          <w:highlight w:val="none"/>
          <w:shd w:val="clear" w:color="auto" w:fill="auto"/>
        </w:rPr>
      </w:pPr>
      <w:r>
        <w:rPr>
          <w:rFonts w:ascii="Times New Roman" w:hAnsi="Times New Roman"/>
          <w:color w:val="auto"/>
          <w:sz w:val="21"/>
          <w:szCs w:val="21"/>
          <w:highlight w:val="none"/>
          <w:shd w:val="clear" w:color="auto" w:fill="auto"/>
        </w:rPr>
        <w:t>                                    </w:t>
      </w:r>
      <w:r>
        <w:rPr>
          <w:rFonts w:hint="eastAsia" w:ascii="Times New Roman" w:hAnsi="Times New Roman"/>
          <w:color w:val="auto"/>
          <w:sz w:val="21"/>
          <w:szCs w:val="21"/>
          <w:highlight w:val="none"/>
          <w:shd w:val="clear" w:color="auto" w:fill="auto"/>
          <w:lang w:val="en-US" w:eastAsia="zh-CN"/>
        </w:rPr>
        <w:t xml:space="preserve">                     </w:t>
      </w:r>
      <w:r>
        <w:rPr>
          <w:rFonts w:hint="eastAsia" w:ascii="宋体" w:hAnsi="宋体" w:eastAsia="宋体" w:cs="宋体"/>
          <w:color w:val="auto"/>
          <w:highlight w:val="none"/>
          <w:shd w:val="clear" w:color="auto" w:fill="auto"/>
        </w:rPr>
        <w:t xml:space="preserve"> 签订日期：      年    月   日</w:t>
      </w:r>
    </w:p>
    <w:p w14:paraId="596CE8CA">
      <w:pPr>
        <w:pStyle w:val="13"/>
        <w:spacing w:before="120" w:beforeAutospacing="0" w:after="120" w:afterAutospacing="0" w:line="0" w:lineRule="atLeast"/>
        <w:jc w:val="center"/>
        <w:outlineLvl w:val="0"/>
        <w:rPr>
          <w:b w:val="0"/>
          <w:bCs w:val="0"/>
          <w:color w:val="auto"/>
          <w:highlight w:val="none"/>
        </w:rPr>
      </w:pPr>
      <w:bookmarkStart w:id="156" w:name="_Toc479757211"/>
      <w:bookmarkStart w:id="157" w:name="_Toc20823346"/>
      <w:bookmarkStart w:id="158" w:name="_Toc120614244"/>
      <w:bookmarkStart w:id="159" w:name="_Toc16938590"/>
      <w:bookmarkStart w:id="160" w:name="_Toc462564139"/>
      <w:bookmarkStart w:id="161" w:name="_Hlt16619350"/>
      <w:bookmarkStart w:id="162" w:name="_Hlt16619369"/>
      <w:r>
        <w:rPr>
          <w:rFonts w:hint="eastAsia" w:ascii="黑体" w:hAnsi="宋体" w:eastAsia="黑体" w:cs="黑体"/>
          <w:color w:val="auto"/>
          <w:sz w:val="44"/>
          <w:szCs w:val="44"/>
          <w:highlight w:val="none"/>
          <w:shd w:val="clear" w:color="auto" w:fill="auto"/>
        </w:rPr>
        <w:br w:type="page"/>
      </w:r>
      <w:r>
        <w:rPr>
          <w:rFonts w:hint="eastAsia" w:ascii="黑体" w:hAnsi="宋体" w:eastAsia="黑体" w:cs="黑体"/>
          <w:b w:val="0"/>
          <w:bCs w:val="0"/>
          <w:color w:val="auto"/>
          <w:sz w:val="44"/>
          <w:szCs w:val="44"/>
          <w:highlight w:val="none"/>
        </w:rPr>
        <w:t> 第</w:t>
      </w:r>
      <w:bookmarkEnd w:id="156"/>
      <w:r>
        <w:rPr>
          <w:rFonts w:hint="eastAsia" w:ascii="黑体" w:hAnsi="宋体" w:eastAsia="黑体" w:cs="黑体"/>
          <w:b w:val="0"/>
          <w:bCs w:val="0"/>
          <w:color w:val="auto"/>
          <w:sz w:val="44"/>
          <w:szCs w:val="44"/>
          <w:highlight w:val="none"/>
        </w:rPr>
        <w:t>四章 采购需求</w:t>
      </w:r>
      <w:bookmarkEnd w:id="157"/>
      <w:bookmarkEnd w:id="158"/>
      <w:bookmarkEnd w:id="159"/>
      <w:bookmarkEnd w:id="160"/>
      <w:bookmarkStart w:id="163" w:name="_Toc49090575"/>
      <w:bookmarkEnd w:id="163"/>
      <w:bookmarkStart w:id="164" w:name="_Toc26554093"/>
      <w:bookmarkEnd w:id="164"/>
    </w:p>
    <w:p w14:paraId="0A699FEC">
      <w:pPr>
        <w:pStyle w:val="13"/>
        <w:spacing w:before="120" w:beforeAutospacing="0" w:after="120" w:afterAutospacing="0" w:line="0" w:lineRule="atLeast"/>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项目属性：服务类项目</w:t>
      </w:r>
    </w:p>
    <w:p w14:paraId="193766F9">
      <w:pPr>
        <w:pStyle w:val="27"/>
        <w:keepNext w:val="0"/>
        <w:keepLines w:val="0"/>
        <w:pageBreakBefore w:val="0"/>
        <w:widowControl w:val="0"/>
        <w:kinsoku/>
        <w:wordWrap/>
        <w:overflowPunct/>
        <w:topLinePunct w:val="0"/>
        <w:autoSpaceDE/>
        <w:autoSpaceDN/>
        <w:bidi w:val="0"/>
        <w:adjustRightInd/>
        <w:snapToGrid/>
        <w:spacing w:line="440" w:lineRule="exact"/>
        <w:ind w:left="0" w:leftChars="0" w:firstLine="562" w:firstLineChars="200"/>
        <w:textAlignment w:val="auto"/>
        <w:outlineLvl w:val="0"/>
        <w:rPr>
          <w:rFonts w:ascii="宋体" w:hAnsi="宋体" w:cs="宋体"/>
          <w:b/>
          <w:bCs/>
          <w:sz w:val="28"/>
          <w:szCs w:val="28"/>
          <w:highlight w:val="none"/>
        </w:rPr>
      </w:pPr>
      <w:r>
        <w:rPr>
          <w:rFonts w:hint="eastAsia" w:ascii="宋体" w:hAnsi="宋体" w:cs="宋体"/>
          <w:b/>
          <w:bCs/>
          <w:sz w:val="28"/>
          <w:szCs w:val="28"/>
          <w:highlight w:val="none"/>
        </w:rPr>
        <w:t>一、项目概况</w:t>
      </w:r>
    </w:p>
    <w:p w14:paraId="04B60D34">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2"/>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根据上级文件要求，为切实做好射阳县2026年度耕地占补平衡、城乡建设用地增减挂钩项目工作，对全县2026年度耕地占补平衡、城乡建设用地增减挂钩入库和竣工测绘工作进行</w:t>
      </w:r>
      <w:r>
        <w:rPr>
          <w:rFonts w:hint="eastAsia" w:ascii="宋体" w:hAnsi="宋体" w:eastAsia="宋体" w:cs="宋体"/>
          <w:color w:val="auto"/>
          <w:sz w:val="24"/>
          <w:szCs w:val="24"/>
          <w:highlight w:val="none"/>
          <w:shd w:val="clear" w:color="auto" w:fill="auto"/>
          <w:lang w:val="en-US" w:eastAsia="zh-CN"/>
        </w:rPr>
        <w:t>采购</w:t>
      </w:r>
      <w:r>
        <w:rPr>
          <w:rFonts w:hint="eastAsia" w:ascii="宋体" w:hAnsi="宋体" w:eastAsia="宋体" w:cs="宋体"/>
          <w:color w:val="auto"/>
          <w:sz w:val="24"/>
          <w:szCs w:val="24"/>
          <w:highlight w:val="none"/>
          <w:shd w:val="clear" w:color="auto" w:fill="auto"/>
        </w:rPr>
        <w:t>。其中耕地占补平衡项目规模暂按2000亩、城乡建设用地增减挂钩项目规模暂按1000亩(不包含海河镇全域土地综合整治范围内项目)，最终结算时按成交单价计算实际亩数确定总价。</w:t>
      </w:r>
    </w:p>
    <w:tbl>
      <w:tblPr>
        <w:tblStyle w:val="16"/>
        <w:tblW w:w="9651" w:type="dxa"/>
        <w:tblInd w:w="76"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108" w:type="dxa"/>
          <w:bottom w:w="0" w:type="dxa"/>
          <w:right w:w="108" w:type="dxa"/>
        </w:tblCellMar>
      </w:tblPr>
      <w:tblGrid>
        <w:gridCol w:w="811"/>
        <w:gridCol w:w="5620"/>
        <w:gridCol w:w="3220"/>
      </w:tblGrid>
      <w:tr w14:paraId="3EEA331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 w:hRule="atLeast"/>
        </w:trPr>
        <w:tc>
          <w:tcPr>
            <w:tcW w:w="811"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205A3C8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
                <w:bCs/>
                <w:color w:val="000000"/>
                <w:kern w:val="20"/>
                <w:sz w:val="24"/>
                <w:szCs w:val="24"/>
                <w:highlight w:val="none"/>
                <w:lang w:eastAsia="zh-CN"/>
              </w:rPr>
            </w:pPr>
            <w:r>
              <w:rPr>
                <w:rFonts w:hint="eastAsia" w:asciiTheme="minorEastAsia" w:hAnsiTheme="minorEastAsia" w:cstheme="minorEastAsia"/>
                <w:b/>
                <w:bCs/>
                <w:color w:val="000000"/>
                <w:kern w:val="20"/>
                <w:sz w:val="24"/>
                <w:szCs w:val="24"/>
                <w:highlight w:val="none"/>
                <w:lang w:val="en-US" w:eastAsia="zh-CN"/>
              </w:rPr>
              <w:t>序号</w:t>
            </w:r>
          </w:p>
        </w:tc>
        <w:tc>
          <w:tcPr>
            <w:tcW w:w="562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75F159E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
                <w:bCs/>
                <w:color w:val="000000"/>
                <w:kern w:val="20"/>
                <w:sz w:val="24"/>
                <w:szCs w:val="24"/>
                <w:highlight w:val="none"/>
              </w:rPr>
            </w:pPr>
            <w:r>
              <w:rPr>
                <w:rFonts w:hint="eastAsia" w:asciiTheme="minorEastAsia" w:hAnsiTheme="minorEastAsia" w:eastAsiaTheme="minorEastAsia" w:cstheme="minorEastAsia"/>
                <w:b/>
                <w:bCs/>
                <w:color w:val="000000"/>
                <w:kern w:val="20"/>
                <w:sz w:val="24"/>
                <w:szCs w:val="24"/>
                <w:highlight w:val="none"/>
              </w:rPr>
              <w:t>分项名称</w:t>
            </w:r>
          </w:p>
        </w:tc>
        <w:tc>
          <w:tcPr>
            <w:tcW w:w="322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46EC360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
                <w:bCs/>
                <w:color w:val="000000"/>
                <w:kern w:val="20"/>
                <w:sz w:val="24"/>
                <w:szCs w:val="24"/>
                <w:highlight w:val="none"/>
              </w:rPr>
            </w:pPr>
            <w:r>
              <w:rPr>
                <w:rFonts w:hint="eastAsia" w:asciiTheme="minorEastAsia" w:hAnsiTheme="minorEastAsia" w:eastAsiaTheme="minorEastAsia" w:cstheme="minorEastAsia"/>
                <w:b/>
                <w:bCs/>
                <w:color w:val="000000"/>
                <w:kern w:val="20"/>
                <w:sz w:val="24"/>
                <w:szCs w:val="24"/>
                <w:highlight w:val="none"/>
              </w:rPr>
              <w:t>最高</w:t>
            </w:r>
            <w:r>
              <w:rPr>
                <w:rFonts w:hint="eastAsia" w:asciiTheme="minorEastAsia" w:hAnsiTheme="minorEastAsia" w:eastAsiaTheme="minorEastAsia" w:cstheme="minorEastAsia"/>
                <w:b/>
                <w:bCs/>
                <w:color w:val="000000"/>
                <w:kern w:val="20"/>
                <w:sz w:val="24"/>
                <w:szCs w:val="24"/>
                <w:highlight w:val="none"/>
                <w:lang w:val="en-US" w:eastAsia="zh-CN"/>
              </w:rPr>
              <w:t>单价</w:t>
            </w:r>
            <w:r>
              <w:rPr>
                <w:rFonts w:hint="eastAsia" w:asciiTheme="minorEastAsia" w:hAnsiTheme="minorEastAsia" w:eastAsiaTheme="minorEastAsia" w:cstheme="minorEastAsia"/>
                <w:b/>
                <w:bCs/>
                <w:color w:val="000000"/>
                <w:kern w:val="20"/>
                <w:sz w:val="24"/>
                <w:szCs w:val="24"/>
                <w:highlight w:val="none"/>
              </w:rPr>
              <w:t>限价</w:t>
            </w:r>
          </w:p>
        </w:tc>
      </w:tr>
      <w:tr w14:paraId="7254A70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 w:hRule="atLeast"/>
        </w:trPr>
        <w:tc>
          <w:tcPr>
            <w:tcW w:w="811"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73CFC98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color w:val="000000"/>
                <w:kern w:val="20"/>
                <w:sz w:val="24"/>
                <w:szCs w:val="24"/>
                <w:highlight w:val="none"/>
                <w:lang w:val="en-US" w:eastAsia="zh-CN"/>
              </w:rPr>
            </w:pPr>
            <w:r>
              <w:rPr>
                <w:rFonts w:hint="eastAsia" w:asciiTheme="minorEastAsia" w:hAnsiTheme="minorEastAsia" w:cstheme="minorEastAsia"/>
                <w:color w:val="000000"/>
                <w:kern w:val="20"/>
                <w:sz w:val="24"/>
                <w:szCs w:val="24"/>
                <w:highlight w:val="none"/>
                <w:lang w:val="en-US" w:eastAsia="zh-CN"/>
              </w:rPr>
              <w:t>1</w:t>
            </w:r>
          </w:p>
        </w:tc>
        <w:tc>
          <w:tcPr>
            <w:tcW w:w="562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03A04C7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Cs/>
                <w:color w:val="000000"/>
                <w:kern w:val="20"/>
                <w:sz w:val="24"/>
                <w:szCs w:val="24"/>
                <w:highlight w:val="none"/>
              </w:rPr>
            </w:pPr>
            <w:r>
              <w:rPr>
                <w:rFonts w:hint="eastAsia" w:ascii="宋体" w:hAnsi="宋体" w:eastAsia="宋体" w:cs="宋体"/>
                <w:color w:val="auto"/>
                <w:sz w:val="24"/>
                <w:szCs w:val="24"/>
                <w:highlight w:val="none"/>
                <w:shd w:val="clear" w:color="auto" w:fill="auto"/>
              </w:rPr>
              <w:t>项目入库测绘</w:t>
            </w:r>
          </w:p>
        </w:tc>
        <w:tc>
          <w:tcPr>
            <w:tcW w:w="322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562AF0D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Cs/>
                <w:color w:val="000000"/>
                <w:kern w:val="20"/>
                <w:sz w:val="24"/>
                <w:szCs w:val="24"/>
                <w:highlight w:val="none"/>
                <w:lang w:eastAsia="zh-CN"/>
              </w:rPr>
            </w:pPr>
            <w:r>
              <w:rPr>
                <w:rFonts w:hint="eastAsia" w:asciiTheme="minorEastAsia" w:hAnsiTheme="minorEastAsia" w:cstheme="minorEastAsia"/>
                <w:bCs/>
                <w:color w:val="000000"/>
                <w:sz w:val="24"/>
                <w:szCs w:val="24"/>
                <w:highlight w:val="none"/>
                <w:lang w:val="en-US" w:eastAsia="zh-CN"/>
              </w:rPr>
              <w:t>280.00</w:t>
            </w:r>
            <w:r>
              <w:rPr>
                <w:rFonts w:hint="eastAsia" w:asciiTheme="minorEastAsia" w:hAnsiTheme="minorEastAsia" w:eastAsiaTheme="minorEastAsia" w:cstheme="minorEastAsia"/>
                <w:bCs/>
                <w:color w:val="000000"/>
                <w:sz w:val="24"/>
                <w:szCs w:val="24"/>
                <w:highlight w:val="none"/>
              </w:rPr>
              <w:t>元/</w:t>
            </w:r>
            <w:r>
              <w:rPr>
                <w:rFonts w:hint="eastAsia" w:asciiTheme="minorEastAsia" w:hAnsiTheme="minorEastAsia" w:cstheme="minorEastAsia"/>
                <w:bCs/>
                <w:color w:val="000000"/>
                <w:sz w:val="24"/>
                <w:szCs w:val="24"/>
                <w:highlight w:val="none"/>
                <w:lang w:val="en-US" w:eastAsia="zh-CN"/>
              </w:rPr>
              <w:t>亩</w:t>
            </w:r>
          </w:p>
        </w:tc>
      </w:tr>
      <w:tr w14:paraId="57CD241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3" w:hRule="atLeast"/>
        </w:trPr>
        <w:tc>
          <w:tcPr>
            <w:tcW w:w="811"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7FDC132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color w:val="000000"/>
                <w:kern w:val="20"/>
                <w:sz w:val="24"/>
                <w:szCs w:val="24"/>
                <w:highlight w:val="none"/>
                <w:lang w:val="en-US" w:eastAsia="zh-CN"/>
              </w:rPr>
            </w:pPr>
            <w:r>
              <w:rPr>
                <w:rFonts w:hint="eastAsia" w:asciiTheme="minorEastAsia" w:hAnsiTheme="minorEastAsia" w:cstheme="minorEastAsia"/>
                <w:color w:val="000000"/>
                <w:kern w:val="20"/>
                <w:sz w:val="24"/>
                <w:szCs w:val="24"/>
                <w:highlight w:val="none"/>
                <w:lang w:val="en-US" w:eastAsia="zh-CN"/>
              </w:rPr>
              <w:t>2</w:t>
            </w:r>
          </w:p>
        </w:tc>
        <w:tc>
          <w:tcPr>
            <w:tcW w:w="562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62DBDB0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Cs/>
                <w:color w:val="000000"/>
                <w:kern w:val="20"/>
                <w:sz w:val="24"/>
                <w:szCs w:val="24"/>
                <w:highlight w:val="none"/>
              </w:rPr>
            </w:pPr>
            <w:r>
              <w:rPr>
                <w:rFonts w:hint="eastAsia" w:ascii="宋体" w:hAnsi="宋体" w:eastAsia="宋体" w:cs="宋体"/>
                <w:color w:val="auto"/>
                <w:sz w:val="24"/>
                <w:szCs w:val="24"/>
                <w:highlight w:val="none"/>
                <w:shd w:val="clear" w:color="auto" w:fill="auto"/>
                <w:lang w:val="en-US" w:eastAsia="zh-CN"/>
              </w:rPr>
              <w:t>项目</w:t>
            </w:r>
            <w:r>
              <w:rPr>
                <w:rFonts w:hint="eastAsia" w:ascii="宋体" w:hAnsi="宋体" w:eastAsia="宋体" w:cs="宋体"/>
                <w:color w:val="auto"/>
                <w:sz w:val="24"/>
                <w:szCs w:val="24"/>
                <w:highlight w:val="none"/>
                <w:shd w:val="clear" w:color="auto" w:fill="auto"/>
              </w:rPr>
              <w:t>竣工测绘</w:t>
            </w:r>
          </w:p>
        </w:tc>
        <w:tc>
          <w:tcPr>
            <w:tcW w:w="322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2CDACA0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Cs/>
                <w:color w:val="000000"/>
                <w:kern w:val="20"/>
                <w:sz w:val="24"/>
                <w:szCs w:val="24"/>
                <w:highlight w:val="none"/>
                <w:lang w:val="en-US" w:eastAsia="zh-CN"/>
              </w:rPr>
            </w:pPr>
            <w:r>
              <w:rPr>
                <w:rFonts w:hint="eastAsia" w:asciiTheme="minorEastAsia" w:hAnsiTheme="minorEastAsia" w:cstheme="minorEastAsia"/>
                <w:bCs/>
                <w:color w:val="000000"/>
                <w:sz w:val="24"/>
                <w:szCs w:val="24"/>
                <w:highlight w:val="none"/>
                <w:lang w:val="en-US" w:eastAsia="zh-CN"/>
              </w:rPr>
              <w:t>400.00元</w:t>
            </w:r>
            <w:r>
              <w:rPr>
                <w:rFonts w:hint="eastAsia" w:asciiTheme="minorEastAsia" w:hAnsiTheme="minorEastAsia" w:eastAsiaTheme="minorEastAsia" w:cstheme="minorEastAsia"/>
                <w:bCs/>
                <w:color w:val="000000"/>
                <w:sz w:val="24"/>
                <w:szCs w:val="24"/>
                <w:highlight w:val="none"/>
              </w:rPr>
              <w:t>/</w:t>
            </w:r>
            <w:r>
              <w:rPr>
                <w:rFonts w:hint="eastAsia" w:asciiTheme="minorEastAsia" w:hAnsiTheme="minorEastAsia" w:cstheme="minorEastAsia"/>
                <w:bCs/>
                <w:color w:val="000000"/>
                <w:sz w:val="24"/>
                <w:szCs w:val="24"/>
                <w:highlight w:val="none"/>
                <w:lang w:val="en-US" w:eastAsia="zh-CN"/>
              </w:rPr>
              <w:t>亩</w:t>
            </w:r>
          </w:p>
        </w:tc>
      </w:tr>
    </w:tbl>
    <w:p w14:paraId="3F09BE23">
      <w:pPr>
        <w:pStyle w:val="27"/>
        <w:keepNext w:val="0"/>
        <w:keepLines w:val="0"/>
        <w:pageBreakBefore w:val="0"/>
        <w:widowControl w:val="0"/>
        <w:kinsoku/>
        <w:wordWrap/>
        <w:overflowPunct/>
        <w:topLinePunct w:val="0"/>
        <w:autoSpaceDE/>
        <w:autoSpaceDN/>
        <w:bidi w:val="0"/>
        <w:adjustRightInd/>
        <w:snapToGrid/>
        <w:spacing w:line="440" w:lineRule="exact"/>
        <w:ind w:left="0" w:leftChars="0" w:firstLine="562" w:firstLineChars="200"/>
        <w:textAlignment w:val="auto"/>
        <w:outlineLvl w:val="0"/>
        <w:rPr>
          <w:rFonts w:hint="eastAsia" w:ascii="宋体" w:hAnsi="宋体" w:cs="宋体"/>
          <w:b/>
          <w:bCs/>
          <w:sz w:val="28"/>
          <w:szCs w:val="28"/>
          <w:highlight w:val="none"/>
        </w:rPr>
      </w:pPr>
      <w:r>
        <w:rPr>
          <w:rFonts w:hint="eastAsia" w:ascii="宋体" w:hAnsi="宋体" w:cs="宋体"/>
          <w:b/>
          <w:bCs/>
          <w:sz w:val="28"/>
          <w:szCs w:val="28"/>
          <w:highlight w:val="none"/>
        </w:rPr>
        <w:t>二、项目工作内容</w:t>
      </w:r>
    </w:p>
    <w:p w14:paraId="774C9F18">
      <w:pPr>
        <w:keepNext w:val="0"/>
        <w:keepLines w:val="0"/>
        <w:pageBreakBefore w:val="0"/>
        <w:widowControl w:val="0"/>
        <w:kinsoku/>
        <w:wordWrap/>
        <w:overflowPunct/>
        <w:topLinePunct w:val="0"/>
        <w:autoSpaceDE/>
        <w:autoSpaceDN/>
        <w:bidi w:val="0"/>
        <w:adjustRightInd/>
        <w:snapToGrid/>
        <w:spacing w:line="360" w:lineRule="exact"/>
        <w:ind w:firstLine="561"/>
        <w:textAlignment w:val="auto"/>
        <w:rPr>
          <w:rFonts w:hAnsi="宋体" w:cs="宋体"/>
          <w:sz w:val="28"/>
          <w:szCs w:val="28"/>
        </w:rPr>
      </w:pPr>
      <w:r>
        <w:rPr>
          <w:rFonts w:hint="eastAsia" w:asciiTheme="minorEastAsia" w:hAnsiTheme="minorEastAsia" w:eastAsiaTheme="minorEastAsia" w:cstheme="minorEastAsia"/>
          <w:color w:val="000000"/>
          <w:sz w:val="24"/>
          <w:szCs w:val="24"/>
          <w:highlight w:val="none"/>
        </w:rPr>
        <w:t>完成射阳县自然资源和规划局关于射阳县202</w:t>
      </w:r>
      <w:r>
        <w:rPr>
          <w:rFonts w:hint="eastAsia" w:asciiTheme="minorEastAsia" w:hAnsiTheme="minorEastAsia" w:eastAsiaTheme="minorEastAsia" w:cstheme="minorEastAsia"/>
          <w:color w:val="000000"/>
          <w:sz w:val="24"/>
          <w:szCs w:val="24"/>
          <w:highlight w:val="none"/>
          <w:lang w:val="en-US" w:eastAsia="zh-CN"/>
        </w:rPr>
        <w:t>6</w:t>
      </w:r>
      <w:r>
        <w:rPr>
          <w:rFonts w:hint="eastAsia" w:asciiTheme="minorEastAsia" w:hAnsiTheme="minorEastAsia" w:eastAsiaTheme="minorEastAsia" w:cstheme="minorEastAsia"/>
          <w:color w:val="000000"/>
          <w:sz w:val="24"/>
          <w:szCs w:val="24"/>
          <w:highlight w:val="none"/>
        </w:rPr>
        <w:t>年度耕地占补平衡、城乡建设用地增减挂钩项目入库、竣工测绘服务。</w:t>
      </w:r>
    </w:p>
    <w:p w14:paraId="1A644397">
      <w:pPr>
        <w:pStyle w:val="14"/>
        <w:keepNext w:val="0"/>
        <w:keepLines w:val="0"/>
        <w:pageBreakBefore w:val="0"/>
        <w:widowControl w:val="0"/>
        <w:kinsoku/>
        <w:wordWrap/>
        <w:overflowPunct/>
        <w:topLinePunct w:val="0"/>
        <w:autoSpaceDE/>
        <w:autoSpaceDN/>
        <w:bidi w:val="0"/>
        <w:adjustRightInd/>
        <w:snapToGrid/>
        <w:spacing w:after="0" w:line="400" w:lineRule="exact"/>
        <w:ind w:firstLine="561" w:firstLineChars="0"/>
        <w:textAlignment w:val="auto"/>
        <w:outlineLvl w:val="1"/>
        <w:rPr>
          <w:rFonts w:hint="eastAsia" w:asciiTheme="minorEastAsia" w:hAnsiTheme="minorEastAsia" w:eastAsiaTheme="minorEastAsia" w:cstheme="minorEastAsia"/>
          <w:b/>
          <w:bCs/>
          <w:sz w:val="24"/>
          <w:szCs w:val="22"/>
        </w:rPr>
      </w:pPr>
      <w:r>
        <w:rPr>
          <w:rFonts w:hint="eastAsia" w:asciiTheme="minorEastAsia" w:hAnsiTheme="minorEastAsia" w:eastAsiaTheme="minorEastAsia" w:cstheme="minorEastAsia"/>
          <w:b/>
          <w:bCs/>
          <w:sz w:val="24"/>
          <w:szCs w:val="22"/>
        </w:rPr>
        <w:t>1、前期收集资料</w:t>
      </w:r>
    </w:p>
    <w:p w14:paraId="2FE4998B">
      <w:pPr>
        <w:keepNext w:val="0"/>
        <w:keepLines w:val="0"/>
        <w:pageBreakBefore w:val="0"/>
        <w:widowControl w:val="0"/>
        <w:kinsoku/>
        <w:wordWrap/>
        <w:overflowPunct/>
        <w:topLinePunct w:val="0"/>
        <w:autoSpaceDE/>
        <w:autoSpaceDN/>
        <w:bidi w:val="0"/>
        <w:adjustRightInd/>
        <w:snapToGrid/>
        <w:spacing w:line="360" w:lineRule="exact"/>
        <w:ind w:firstLine="561"/>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供应商</w:t>
      </w:r>
      <w:r>
        <w:rPr>
          <w:rFonts w:hint="eastAsia" w:asciiTheme="minorEastAsia" w:hAnsiTheme="minorEastAsia" w:eastAsiaTheme="minorEastAsia" w:cstheme="minorEastAsia"/>
          <w:color w:val="000000"/>
          <w:sz w:val="24"/>
          <w:szCs w:val="24"/>
          <w:highlight w:val="none"/>
        </w:rPr>
        <w:t>根据</w:t>
      </w:r>
      <w:r>
        <w:rPr>
          <w:rFonts w:hint="eastAsia" w:asciiTheme="minorEastAsia" w:hAnsiTheme="minorEastAsia" w:eastAsiaTheme="minorEastAsia" w:cstheme="minorEastAsia"/>
          <w:color w:val="000000"/>
          <w:sz w:val="24"/>
          <w:szCs w:val="24"/>
          <w:highlight w:val="none"/>
          <w:lang w:val="en-US" w:eastAsia="zh-CN"/>
        </w:rPr>
        <w:t>省、</w:t>
      </w:r>
      <w:r>
        <w:rPr>
          <w:rFonts w:hint="eastAsia" w:asciiTheme="minorEastAsia" w:hAnsiTheme="minorEastAsia" w:eastAsiaTheme="minorEastAsia" w:cstheme="minorEastAsia"/>
          <w:color w:val="000000"/>
          <w:sz w:val="24"/>
          <w:szCs w:val="24"/>
          <w:highlight w:val="none"/>
        </w:rPr>
        <w:t>市文件结合项目规划方案编制的要求，收集下发的基数数据以及各镇区的资料，包含射阳县最新年度土地利用现状变更调查成果数据、射阳县国土空间</w:t>
      </w:r>
      <w:r>
        <w:rPr>
          <w:rFonts w:hint="eastAsia" w:asciiTheme="minorEastAsia" w:hAnsiTheme="minorEastAsia" w:eastAsiaTheme="minorEastAsia" w:cstheme="minorEastAsia"/>
          <w:color w:val="000000"/>
          <w:sz w:val="24"/>
          <w:szCs w:val="24"/>
          <w:highlight w:val="none"/>
          <w:lang w:val="en-US" w:eastAsia="zh-CN"/>
        </w:rPr>
        <w:t>规划（2021-2035）</w:t>
      </w:r>
      <w:r>
        <w:rPr>
          <w:rFonts w:hint="eastAsia" w:asciiTheme="minorEastAsia" w:hAnsiTheme="minorEastAsia" w:eastAsiaTheme="minorEastAsia" w:cstheme="minorEastAsia"/>
          <w:color w:val="000000"/>
          <w:sz w:val="24"/>
          <w:szCs w:val="24"/>
          <w:highlight w:val="none"/>
        </w:rPr>
        <w:t>、</w:t>
      </w:r>
      <w:r>
        <w:rPr>
          <w:rFonts w:hint="eastAsia" w:asciiTheme="minorEastAsia" w:hAnsiTheme="minorEastAsia" w:eastAsiaTheme="minorEastAsia" w:cstheme="minorEastAsia"/>
          <w:color w:val="000000"/>
          <w:sz w:val="24"/>
          <w:szCs w:val="24"/>
          <w:highlight w:val="none"/>
          <w:lang w:val="en-US" w:eastAsia="zh-CN"/>
        </w:rPr>
        <w:t>城乡挂钩</w:t>
      </w:r>
      <w:r>
        <w:rPr>
          <w:rFonts w:hint="eastAsia" w:asciiTheme="minorEastAsia" w:hAnsiTheme="minorEastAsia" w:eastAsiaTheme="minorEastAsia" w:cstheme="minorEastAsia"/>
          <w:color w:val="000000"/>
          <w:sz w:val="24"/>
          <w:szCs w:val="24"/>
          <w:highlight w:val="none"/>
        </w:rPr>
        <w:t>三年专项规划数据、射阳县</w:t>
      </w:r>
      <w:r>
        <w:rPr>
          <w:rFonts w:hint="eastAsia" w:asciiTheme="minorEastAsia" w:hAnsiTheme="minorEastAsia" w:eastAsiaTheme="minorEastAsia" w:cstheme="minorEastAsia"/>
          <w:color w:val="000000"/>
          <w:sz w:val="24"/>
          <w:szCs w:val="24"/>
          <w:highlight w:val="none"/>
          <w:lang w:val="en-US" w:eastAsia="zh-CN"/>
        </w:rPr>
        <w:t>2020年至2024年</w:t>
      </w:r>
      <w:r>
        <w:rPr>
          <w:rFonts w:hint="eastAsia" w:asciiTheme="minorEastAsia" w:hAnsiTheme="minorEastAsia" w:eastAsiaTheme="minorEastAsia" w:cstheme="minorEastAsia"/>
          <w:color w:val="000000"/>
          <w:sz w:val="24"/>
          <w:szCs w:val="24"/>
          <w:highlight w:val="none"/>
        </w:rPr>
        <w:t>土地利用现状变更调查成果数据、</w:t>
      </w:r>
      <w:r>
        <w:rPr>
          <w:rFonts w:hint="eastAsia" w:asciiTheme="minorEastAsia" w:hAnsiTheme="minorEastAsia" w:eastAsiaTheme="minorEastAsia" w:cstheme="minorEastAsia"/>
          <w:color w:val="000000"/>
          <w:sz w:val="24"/>
          <w:szCs w:val="24"/>
          <w:highlight w:val="none"/>
          <w:lang w:val="en-US" w:eastAsia="zh-CN"/>
        </w:rPr>
        <w:t>2020年至2025年高清影像</w:t>
      </w:r>
      <w:r>
        <w:rPr>
          <w:rFonts w:hint="eastAsia" w:asciiTheme="minorEastAsia" w:hAnsiTheme="minorEastAsia" w:eastAsiaTheme="minorEastAsia" w:cstheme="minorEastAsia"/>
          <w:color w:val="000000"/>
          <w:sz w:val="24"/>
          <w:szCs w:val="24"/>
          <w:highlight w:val="none"/>
          <w:lang w:eastAsia="zh-CN"/>
        </w:rPr>
        <w:t>、</w:t>
      </w:r>
      <w:r>
        <w:rPr>
          <w:rFonts w:hint="eastAsia" w:asciiTheme="minorEastAsia" w:hAnsiTheme="minorEastAsia" w:eastAsiaTheme="minorEastAsia" w:cstheme="minorEastAsia"/>
          <w:color w:val="000000"/>
          <w:sz w:val="24"/>
          <w:szCs w:val="24"/>
          <w:highlight w:val="none"/>
        </w:rPr>
        <w:t>历年项目图层、已划定的生态红线范围、永久基本农田保护区、湖荡湿地区域范围、江苏省生态管控区、自然保护区</w:t>
      </w:r>
      <w:r>
        <w:rPr>
          <w:rFonts w:hint="eastAsia" w:asciiTheme="minorEastAsia" w:hAnsiTheme="minorEastAsia" w:eastAsiaTheme="minorEastAsia" w:cstheme="minorEastAsia"/>
          <w:color w:val="000000"/>
          <w:sz w:val="24"/>
          <w:szCs w:val="24"/>
          <w:highlight w:val="none"/>
          <w:lang w:eastAsia="zh-CN"/>
        </w:rPr>
        <w:t>、</w:t>
      </w:r>
      <w:r>
        <w:rPr>
          <w:rFonts w:hint="eastAsia" w:asciiTheme="minorEastAsia" w:hAnsiTheme="minorEastAsia" w:eastAsiaTheme="minorEastAsia" w:cstheme="minorEastAsia"/>
          <w:color w:val="000000"/>
          <w:sz w:val="24"/>
          <w:szCs w:val="24"/>
          <w:highlight w:val="none"/>
        </w:rPr>
        <w:t>河湖管理及不稳定耕地等。</w:t>
      </w:r>
    </w:p>
    <w:p w14:paraId="39B0C241">
      <w:pPr>
        <w:pStyle w:val="14"/>
        <w:keepNext w:val="0"/>
        <w:keepLines w:val="0"/>
        <w:pageBreakBefore w:val="0"/>
        <w:widowControl w:val="0"/>
        <w:kinsoku/>
        <w:wordWrap/>
        <w:overflowPunct/>
        <w:topLinePunct w:val="0"/>
        <w:autoSpaceDE/>
        <w:autoSpaceDN/>
        <w:bidi w:val="0"/>
        <w:adjustRightInd/>
        <w:snapToGrid/>
        <w:spacing w:after="0" w:line="400" w:lineRule="exact"/>
        <w:ind w:firstLine="561" w:firstLineChars="0"/>
        <w:textAlignment w:val="auto"/>
        <w:outlineLvl w:val="1"/>
        <w:rPr>
          <w:rFonts w:hint="eastAsia" w:asciiTheme="minorEastAsia" w:hAnsiTheme="minorEastAsia" w:eastAsiaTheme="minorEastAsia" w:cstheme="minorEastAsia"/>
          <w:b/>
          <w:bCs/>
          <w:sz w:val="24"/>
          <w:szCs w:val="22"/>
        </w:rPr>
      </w:pPr>
      <w:r>
        <w:rPr>
          <w:rFonts w:hint="eastAsia" w:asciiTheme="minorEastAsia" w:hAnsiTheme="minorEastAsia" w:eastAsiaTheme="minorEastAsia" w:cstheme="minorEastAsia"/>
          <w:b/>
          <w:bCs/>
          <w:sz w:val="24"/>
          <w:szCs w:val="22"/>
        </w:rPr>
        <w:t>2、入库测绘</w:t>
      </w:r>
    </w:p>
    <w:p w14:paraId="065568AB">
      <w:pPr>
        <w:keepNext w:val="0"/>
        <w:keepLines w:val="0"/>
        <w:pageBreakBefore w:val="0"/>
        <w:widowControl w:val="0"/>
        <w:kinsoku/>
        <w:wordWrap/>
        <w:overflowPunct/>
        <w:topLinePunct w:val="0"/>
        <w:autoSpaceDE/>
        <w:autoSpaceDN/>
        <w:bidi w:val="0"/>
        <w:adjustRightInd/>
        <w:snapToGrid/>
        <w:spacing w:line="360" w:lineRule="exact"/>
        <w:ind w:firstLine="561"/>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根据各镇区申报位置，采集项目区地形图、实地拍摄不少于4张带坐标水印照片、制作勘测定界报告、采集优于0.2米的高清正射影像。</w:t>
      </w:r>
    </w:p>
    <w:p w14:paraId="446018B1">
      <w:pPr>
        <w:pStyle w:val="14"/>
        <w:keepNext w:val="0"/>
        <w:keepLines w:val="0"/>
        <w:pageBreakBefore w:val="0"/>
        <w:widowControl w:val="0"/>
        <w:kinsoku/>
        <w:wordWrap/>
        <w:overflowPunct/>
        <w:topLinePunct w:val="0"/>
        <w:autoSpaceDE/>
        <w:autoSpaceDN/>
        <w:bidi w:val="0"/>
        <w:adjustRightInd/>
        <w:snapToGrid/>
        <w:spacing w:after="0" w:line="400" w:lineRule="exact"/>
        <w:ind w:firstLine="561" w:firstLineChars="0"/>
        <w:textAlignment w:val="auto"/>
        <w:outlineLvl w:val="1"/>
        <w:rPr>
          <w:rFonts w:hint="eastAsia" w:asciiTheme="minorEastAsia" w:hAnsiTheme="minorEastAsia" w:eastAsiaTheme="minorEastAsia" w:cstheme="minorEastAsia"/>
          <w:b/>
          <w:bCs/>
          <w:sz w:val="24"/>
          <w:szCs w:val="22"/>
        </w:rPr>
      </w:pPr>
      <w:r>
        <w:rPr>
          <w:rFonts w:hint="eastAsia" w:asciiTheme="minorEastAsia" w:hAnsiTheme="minorEastAsia" w:eastAsiaTheme="minorEastAsia" w:cstheme="minorEastAsia"/>
          <w:b/>
          <w:bCs/>
          <w:sz w:val="24"/>
          <w:szCs w:val="22"/>
        </w:rPr>
        <w:t>3、初步审核</w:t>
      </w:r>
    </w:p>
    <w:p w14:paraId="44A26EBC">
      <w:pPr>
        <w:keepNext w:val="0"/>
        <w:keepLines w:val="0"/>
        <w:pageBreakBefore w:val="0"/>
        <w:widowControl w:val="0"/>
        <w:kinsoku/>
        <w:wordWrap/>
        <w:overflowPunct/>
        <w:topLinePunct w:val="0"/>
        <w:autoSpaceDE/>
        <w:autoSpaceDN/>
        <w:bidi w:val="0"/>
        <w:adjustRightInd/>
        <w:snapToGrid/>
        <w:spacing w:line="360" w:lineRule="exact"/>
        <w:ind w:firstLine="561"/>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根据各镇区申报的资料，对各地块进行历年项目不重叠、规划符合性、正射影像符合性、实地照片符合性、三年专项规划数据符合性、202</w:t>
      </w:r>
      <w:r>
        <w:rPr>
          <w:rFonts w:hint="eastAsia" w:asciiTheme="minorEastAsia" w:hAnsiTheme="minorEastAsia" w:eastAsiaTheme="minorEastAsia" w:cstheme="minorEastAsia"/>
          <w:color w:val="000000"/>
          <w:sz w:val="24"/>
          <w:szCs w:val="24"/>
          <w:highlight w:val="none"/>
          <w:lang w:val="en-US" w:eastAsia="zh-CN"/>
        </w:rPr>
        <w:t>0</w:t>
      </w:r>
      <w:r>
        <w:rPr>
          <w:rFonts w:hint="eastAsia" w:asciiTheme="minorEastAsia" w:hAnsiTheme="minorEastAsia" w:eastAsiaTheme="minorEastAsia" w:cstheme="minorEastAsia"/>
          <w:color w:val="000000"/>
          <w:sz w:val="24"/>
          <w:szCs w:val="24"/>
          <w:highlight w:val="none"/>
        </w:rPr>
        <w:t>年度土地利用现状符合性、202</w:t>
      </w:r>
      <w:r>
        <w:rPr>
          <w:rFonts w:hint="eastAsia" w:asciiTheme="minorEastAsia" w:hAnsiTheme="minorEastAsia" w:eastAsiaTheme="minorEastAsia" w:cstheme="minorEastAsia"/>
          <w:color w:val="000000"/>
          <w:sz w:val="24"/>
          <w:szCs w:val="24"/>
          <w:highlight w:val="none"/>
          <w:lang w:val="en-US" w:eastAsia="zh-CN"/>
        </w:rPr>
        <w:t>4</w:t>
      </w:r>
      <w:r>
        <w:rPr>
          <w:rFonts w:hint="eastAsia" w:asciiTheme="minorEastAsia" w:hAnsiTheme="minorEastAsia" w:eastAsiaTheme="minorEastAsia" w:cstheme="minorEastAsia"/>
          <w:color w:val="000000"/>
          <w:sz w:val="24"/>
          <w:szCs w:val="24"/>
          <w:highlight w:val="none"/>
        </w:rPr>
        <w:t>年度土地利用现状符合性</w:t>
      </w:r>
      <w:r>
        <w:rPr>
          <w:rFonts w:hint="eastAsia" w:asciiTheme="minorEastAsia" w:hAnsiTheme="minorEastAsia" w:eastAsiaTheme="minorEastAsia" w:cstheme="minorEastAsia"/>
          <w:color w:val="000000"/>
          <w:sz w:val="24"/>
          <w:szCs w:val="24"/>
          <w:highlight w:val="none"/>
          <w:lang w:eastAsia="zh-CN"/>
        </w:rPr>
        <w:t>、</w:t>
      </w:r>
      <w:r>
        <w:rPr>
          <w:rFonts w:hint="eastAsia" w:asciiTheme="minorEastAsia" w:hAnsiTheme="minorEastAsia" w:eastAsiaTheme="minorEastAsia" w:cstheme="minorEastAsia"/>
          <w:color w:val="000000"/>
          <w:sz w:val="24"/>
          <w:szCs w:val="24"/>
          <w:highlight w:val="none"/>
        </w:rPr>
        <w:t>25度以上地形符合性、自然保护区范围符合性、生态保护红线范围符合性、规划允许建设区符合性、与批准建设用地符合性审查</w:t>
      </w:r>
      <w:r>
        <w:rPr>
          <w:rFonts w:hint="eastAsia" w:asciiTheme="minorEastAsia" w:hAnsiTheme="minorEastAsia" w:eastAsiaTheme="minorEastAsia" w:cstheme="minorEastAsia"/>
          <w:color w:val="000000"/>
          <w:sz w:val="24"/>
          <w:szCs w:val="24"/>
          <w:highlight w:val="none"/>
          <w:lang w:eastAsia="zh-CN"/>
        </w:rPr>
        <w:t>、</w:t>
      </w:r>
      <w:r>
        <w:rPr>
          <w:rFonts w:hint="eastAsia" w:asciiTheme="minorEastAsia" w:hAnsiTheme="minorEastAsia" w:eastAsiaTheme="minorEastAsia" w:cstheme="minorEastAsia"/>
          <w:color w:val="000000"/>
          <w:sz w:val="24"/>
          <w:szCs w:val="24"/>
          <w:highlight w:val="none"/>
          <w:lang w:val="en-US" w:eastAsia="zh-CN"/>
        </w:rPr>
        <w:t>河湖水位线等，</w:t>
      </w:r>
      <w:r>
        <w:rPr>
          <w:rFonts w:hint="eastAsia" w:asciiTheme="minorEastAsia" w:hAnsiTheme="minorEastAsia" w:eastAsiaTheme="minorEastAsia" w:cstheme="minorEastAsia"/>
          <w:color w:val="000000"/>
          <w:sz w:val="24"/>
          <w:szCs w:val="24"/>
          <w:highlight w:val="none"/>
        </w:rPr>
        <w:t>确保拟选项目地块实地现状100%非耕地。</w:t>
      </w:r>
    </w:p>
    <w:p w14:paraId="1259B4EB">
      <w:pPr>
        <w:pStyle w:val="14"/>
        <w:keepNext w:val="0"/>
        <w:keepLines w:val="0"/>
        <w:pageBreakBefore w:val="0"/>
        <w:widowControl w:val="0"/>
        <w:kinsoku/>
        <w:wordWrap/>
        <w:overflowPunct/>
        <w:topLinePunct w:val="0"/>
        <w:autoSpaceDE/>
        <w:autoSpaceDN/>
        <w:bidi w:val="0"/>
        <w:adjustRightInd/>
        <w:snapToGrid/>
        <w:spacing w:after="0" w:line="400" w:lineRule="exact"/>
        <w:ind w:firstLine="561" w:firstLineChars="0"/>
        <w:textAlignment w:val="auto"/>
        <w:outlineLvl w:val="1"/>
        <w:rPr>
          <w:rFonts w:hint="eastAsia" w:asciiTheme="minorEastAsia" w:hAnsiTheme="minorEastAsia" w:eastAsiaTheme="minorEastAsia" w:cstheme="minorEastAsia"/>
          <w:b/>
          <w:bCs/>
          <w:sz w:val="24"/>
          <w:szCs w:val="22"/>
        </w:rPr>
      </w:pPr>
      <w:r>
        <w:rPr>
          <w:rFonts w:hint="eastAsia" w:asciiTheme="minorEastAsia" w:hAnsiTheme="minorEastAsia" w:eastAsiaTheme="minorEastAsia" w:cstheme="minorEastAsia"/>
          <w:b/>
          <w:bCs/>
          <w:sz w:val="24"/>
          <w:szCs w:val="22"/>
        </w:rPr>
        <w:t>4、竣工测绘</w:t>
      </w:r>
    </w:p>
    <w:p w14:paraId="2BC838FD">
      <w:pPr>
        <w:keepNext w:val="0"/>
        <w:keepLines w:val="0"/>
        <w:pageBreakBefore w:val="0"/>
        <w:widowControl w:val="0"/>
        <w:kinsoku/>
        <w:wordWrap/>
        <w:overflowPunct/>
        <w:topLinePunct w:val="0"/>
        <w:autoSpaceDE/>
        <w:autoSpaceDN/>
        <w:bidi w:val="0"/>
        <w:adjustRightInd/>
        <w:snapToGrid/>
        <w:spacing w:line="360" w:lineRule="exact"/>
        <w:ind w:firstLine="561"/>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项目完工并完成种植后，进行竣工测绘，出具项目区竣工图、实地拍摄不少于4张带坐标水印照片、竣工测绘报告、地类变化明细、优于0.2米的高清正射影像、县级（和市级）初验情况记录表等验收材料、满足采购</w:t>
      </w:r>
      <w:r>
        <w:rPr>
          <w:rFonts w:hint="eastAsia" w:asciiTheme="minorEastAsia" w:hAnsiTheme="minorEastAsia" w:eastAsiaTheme="minorEastAsia" w:cstheme="minorEastAsia"/>
          <w:color w:val="000000"/>
          <w:sz w:val="24"/>
          <w:szCs w:val="24"/>
          <w:highlight w:val="none"/>
          <w:lang w:eastAsia="zh-CN"/>
        </w:rPr>
        <w:t>人</w:t>
      </w:r>
      <w:r>
        <w:rPr>
          <w:rFonts w:hint="eastAsia" w:asciiTheme="minorEastAsia" w:hAnsiTheme="minorEastAsia" w:eastAsiaTheme="minorEastAsia" w:cstheme="minorEastAsia"/>
          <w:color w:val="000000"/>
          <w:sz w:val="24"/>
          <w:szCs w:val="24"/>
          <w:highlight w:val="none"/>
        </w:rPr>
        <w:t>技术要求的成果，并按要求将相关结果提交完毕，项目通过验收。</w:t>
      </w:r>
    </w:p>
    <w:p w14:paraId="20A1D2E4">
      <w:pPr>
        <w:pStyle w:val="27"/>
        <w:keepNext w:val="0"/>
        <w:keepLines w:val="0"/>
        <w:pageBreakBefore w:val="0"/>
        <w:widowControl w:val="0"/>
        <w:kinsoku/>
        <w:wordWrap/>
        <w:overflowPunct/>
        <w:topLinePunct w:val="0"/>
        <w:autoSpaceDE/>
        <w:autoSpaceDN/>
        <w:bidi w:val="0"/>
        <w:adjustRightInd/>
        <w:snapToGrid/>
        <w:spacing w:line="440" w:lineRule="exact"/>
        <w:ind w:left="0" w:leftChars="0" w:firstLine="562" w:firstLineChars="200"/>
        <w:textAlignment w:val="auto"/>
        <w:outlineLvl w:val="0"/>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三、成果要求</w:t>
      </w:r>
    </w:p>
    <w:p w14:paraId="57453C49">
      <w:pPr>
        <w:keepNext w:val="0"/>
        <w:keepLines w:val="0"/>
        <w:pageBreakBefore w:val="0"/>
        <w:widowControl w:val="0"/>
        <w:kinsoku/>
        <w:wordWrap/>
        <w:overflowPunct/>
        <w:topLinePunct w:val="0"/>
        <w:autoSpaceDE/>
        <w:autoSpaceDN/>
        <w:bidi w:val="0"/>
        <w:adjustRightInd/>
        <w:snapToGrid/>
        <w:spacing w:line="360" w:lineRule="exact"/>
        <w:ind w:firstLine="561"/>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完成项目入库、竣工工作，形成一系列的数据与数据库成果，图件成果，文字成果等。</w:t>
      </w:r>
    </w:p>
    <w:p w14:paraId="53E1B66E">
      <w:pPr>
        <w:pStyle w:val="14"/>
        <w:keepNext w:val="0"/>
        <w:keepLines w:val="0"/>
        <w:pageBreakBefore w:val="0"/>
        <w:widowControl w:val="0"/>
        <w:kinsoku/>
        <w:wordWrap/>
        <w:overflowPunct/>
        <w:topLinePunct w:val="0"/>
        <w:autoSpaceDE/>
        <w:autoSpaceDN/>
        <w:bidi w:val="0"/>
        <w:adjustRightInd/>
        <w:snapToGrid/>
        <w:spacing w:after="0" w:line="400" w:lineRule="exact"/>
        <w:ind w:firstLine="561" w:firstLineChars="0"/>
        <w:textAlignment w:val="auto"/>
        <w:outlineLvl w:val="1"/>
        <w:rPr>
          <w:rFonts w:hint="eastAsia" w:asciiTheme="minorEastAsia" w:hAnsiTheme="minorEastAsia" w:eastAsiaTheme="minorEastAsia" w:cstheme="minorEastAsia"/>
          <w:b/>
          <w:bCs/>
          <w:sz w:val="24"/>
          <w:szCs w:val="22"/>
        </w:rPr>
      </w:pPr>
      <w:r>
        <w:rPr>
          <w:rFonts w:hint="eastAsia" w:asciiTheme="minorEastAsia" w:hAnsiTheme="minorEastAsia" w:eastAsiaTheme="minorEastAsia" w:cstheme="minorEastAsia"/>
          <w:b/>
          <w:bCs/>
          <w:sz w:val="24"/>
          <w:szCs w:val="22"/>
        </w:rPr>
        <w:t>1、入库测绘</w:t>
      </w:r>
    </w:p>
    <w:p w14:paraId="51C34391">
      <w:pPr>
        <w:keepNext w:val="0"/>
        <w:keepLines w:val="0"/>
        <w:pageBreakBefore w:val="0"/>
        <w:widowControl w:val="0"/>
        <w:kinsoku/>
        <w:wordWrap/>
        <w:overflowPunct/>
        <w:topLinePunct w:val="0"/>
        <w:autoSpaceDE/>
        <w:autoSpaceDN/>
        <w:bidi w:val="0"/>
        <w:adjustRightInd/>
        <w:snapToGrid/>
        <w:spacing w:line="360" w:lineRule="exact"/>
        <w:ind w:firstLine="561"/>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（1）申报地块矢量图层；</w:t>
      </w:r>
    </w:p>
    <w:p w14:paraId="30CD46CE">
      <w:pPr>
        <w:keepNext w:val="0"/>
        <w:keepLines w:val="0"/>
        <w:pageBreakBefore w:val="0"/>
        <w:widowControl w:val="0"/>
        <w:kinsoku/>
        <w:wordWrap/>
        <w:overflowPunct/>
        <w:topLinePunct w:val="0"/>
        <w:autoSpaceDE/>
        <w:autoSpaceDN/>
        <w:bidi w:val="0"/>
        <w:adjustRightInd/>
        <w:snapToGrid/>
        <w:spacing w:line="360" w:lineRule="exact"/>
        <w:ind w:firstLine="561"/>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（2）项目区地形图；</w:t>
      </w:r>
    </w:p>
    <w:p w14:paraId="2E273B10">
      <w:pPr>
        <w:keepNext w:val="0"/>
        <w:keepLines w:val="0"/>
        <w:pageBreakBefore w:val="0"/>
        <w:widowControl w:val="0"/>
        <w:kinsoku/>
        <w:wordWrap/>
        <w:overflowPunct/>
        <w:topLinePunct w:val="0"/>
        <w:autoSpaceDE/>
        <w:autoSpaceDN/>
        <w:bidi w:val="0"/>
        <w:adjustRightInd/>
        <w:snapToGrid/>
        <w:spacing w:line="360" w:lineRule="exact"/>
        <w:ind w:firstLine="561"/>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（3）项目区前期非耕地坐标水印照片；</w:t>
      </w:r>
    </w:p>
    <w:p w14:paraId="74CD9C86">
      <w:pPr>
        <w:keepNext w:val="0"/>
        <w:keepLines w:val="0"/>
        <w:pageBreakBefore w:val="0"/>
        <w:widowControl w:val="0"/>
        <w:kinsoku/>
        <w:wordWrap/>
        <w:overflowPunct/>
        <w:topLinePunct w:val="0"/>
        <w:autoSpaceDE/>
        <w:autoSpaceDN/>
        <w:bidi w:val="0"/>
        <w:adjustRightInd/>
        <w:snapToGrid/>
        <w:spacing w:line="360" w:lineRule="exact"/>
        <w:ind w:firstLine="561"/>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（4）项目区优于0.2米的高清正射影像。</w:t>
      </w:r>
    </w:p>
    <w:p w14:paraId="3EA2BF39">
      <w:pPr>
        <w:keepNext w:val="0"/>
        <w:keepLines w:val="0"/>
        <w:pageBreakBefore w:val="0"/>
        <w:widowControl w:val="0"/>
        <w:kinsoku/>
        <w:wordWrap/>
        <w:overflowPunct/>
        <w:topLinePunct w:val="0"/>
        <w:autoSpaceDE/>
        <w:autoSpaceDN/>
        <w:bidi w:val="0"/>
        <w:adjustRightInd/>
        <w:snapToGrid/>
        <w:spacing w:line="360" w:lineRule="exact"/>
        <w:ind w:firstLine="561"/>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（5）其他入库资料</w:t>
      </w:r>
    </w:p>
    <w:p w14:paraId="22D0D937">
      <w:pPr>
        <w:pStyle w:val="14"/>
        <w:keepNext w:val="0"/>
        <w:keepLines w:val="0"/>
        <w:pageBreakBefore w:val="0"/>
        <w:widowControl w:val="0"/>
        <w:kinsoku/>
        <w:wordWrap/>
        <w:overflowPunct/>
        <w:topLinePunct w:val="0"/>
        <w:autoSpaceDE/>
        <w:autoSpaceDN/>
        <w:bidi w:val="0"/>
        <w:adjustRightInd/>
        <w:snapToGrid/>
        <w:spacing w:after="0" w:line="400" w:lineRule="exact"/>
        <w:ind w:firstLine="561" w:firstLineChars="0"/>
        <w:textAlignment w:val="auto"/>
        <w:outlineLvl w:val="1"/>
        <w:rPr>
          <w:rFonts w:hint="eastAsia" w:asciiTheme="minorEastAsia" w:hAnsiTheme="minorEastAsia" w:eastAsiaTheme="minorEastAsia" w:cstheme="minorEastAsia"/>
          <w:b/>
          <w:bCs/>
          <w:sz w:val="24"/>
          <w:szCs w:val="22"/>
        </w:rPr>
      </w:pPr>
      <w:r>
        <w:rPr>
          <w:rFonts w:hint="eastAsia" w:asciiTheme="minorEastAsia" w:hAnsiTheme="minorEastAsia" w:eastAsiaTheme="minorEastAsia" w:cstheme="minorEastAsia"/>
          <w:b/>
          <w:bCs/>
          <w:sz w:val="24"/>
          <w:szCs w:val="22"/>
        </w:rPr>
        <w:t>2、竣工测绘</w:t>
      </w:r>
    </w:p>
    <w:p w14:paraId="152FDCDE">
      <w:pPr>
        <w:keepNext w:val="0"/>
        <w:keepLines w:val="0"/>
        <w:pageBreakBefore w:val="0"/>
        <w:widowControl w:val="0"/>
        <w:kinsoku/>
        <w:wordWrap/>
        <w:overflowPunct/>
        <w:topLinePunct w:val="0"/>
        <w:autoSpaceDE/>
        <w:autoSpaceDN/>
        <w:bidi w:val="0"/>
        <w:adjustRightInd/>
        <w:snapToGrid/>
        <w:spacing w:line="360" w:lineRule="exact"/>
        <w:ind w:firstLine="561"/>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（1）竣工图；</w:t>
      </w:r>
    </w:p>
    <w:p w14:paraId="10A56A48">
      <w:pPr>
        <w:keepNext w:val="0"/>
        <w:keepLines w:val="0"/>
        <w:pageBreakBefore w:val="0"/>
        <w:widowControl w:val="0"/>
        <w:kinsoku/>
        <w:wordWrap/>
        <w:overflowPunct/>
        <w:topLinePunct w:val="0"/>
        <w:autoSpaceDE/>
        <w:autoSpaceDN/>
        <w:bidi w:val="0"/>
        <w:adjustRightInd/>
        <w:snapToGrid/>
        <w:spacing w:line="360" w:lineRule="exact"/>
        <w:ind w:firstLine="561"/>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（2）项目区不少于4张带坐标水印照片；</w:t>
      </w:r>
    </w:p>
    <w:p w14:paraId="418D8741">
      <w:pPr>
        <w:keepNext w:val="0"/>
        <w:keepLines w:val="0"/>
        <w:pageBreakBefore w:val="0"/>
        <w:widowControl w:val="0"/>
        <w:kinsoku/>
        <w:wordWrap/>
        <w:overflowPunct/>
        <w:topLinePunct w:val="0"/>
        <w:autoSpaceDE/>
        <w:autoSpaceDN/>
        <w:bidi w:val="0"/>
        <w:adjustRightInd/>
        <w:snapToGrid/>
        <w:spacing w:line="360" w:lineRule="exact"/>
        <w:ind w:firstLine="561"/>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（3）项目区竣工测绘报告；</w:t>
      </w:r>
    </w:p>
    <w:p w14:paraId="5990CBAB">
      <w:pPr>
        <w:keepNext w:val="0"/>
        <w:keepLines w:val="0"/>
        <w:pageBreakBefore w:val="0"/>
        <w:widowControl w:val="0"/>
        <w:kinsoku/>
        <w:wordWrap/>
        <w:overflowPunct/>
        <w:topLinePunct w:val="0"/>
        <w:autoSpaceDE/>
        <w:autoSpaceDN/>
        <w:bidi w:val="0"/>
        <w:adjustRightInd/>
        <w:snapToGrid/>
        <w:spacing w:line="360" w:lineRule="exact"/>
        <w:ind w:firstLine="561"/>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（4）项目区地类变化明细；</w:t>
      </w:r>
    </w:p>
    <w:p w14:paraId="4C2FA5E0">
      <w:pPr>
        <w:keepNext w:val="0"/>
        <w:keepLines w:val="0"/>
        <w:pageBreakBefore w:val="0"/>
        <w:widowControl w:val="0"/>
        <w:kinsoku/>
        <w:wordWrap/>
        <w:overflowPunct/>
        <w:topLinePunct w:val="0"/>
        <w:autoSpaceDE/>
        <w:autoSpaceDN/>
        <w:bidi w:val="0"/>
        <w:adjustRightInd/>
        <w:snapToGrid/>
        <w:spacing w:line="360" w:lineRule="exact"/>
        <w:ind w:firstLine="561"/>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（5）县级（和市级）初验情况记录表；</w:t>
      </w:r>
    </w:p>
    <w:p w14:paraId="32D1DD45">
      <w:pPr>
        <w:keepNext w:val="0"/>
        <w:keepLines w:val="0"/>
        <w:pageBreakBefore w:val="0"/>
        <w:widowControl w:val="0"/>
        <w:kinsoku/>
        <w:wordWrap/>
        <w:overflowPunct/>
        <w:topLinePunct w:val="0"/>
        <w:autoSpaceDE/>
        <w:autoSpaceDN/>
        <w:bidi w:val="0"/>
        <w:adjustRightInd/>
        <w:snapToGrid/>
        <w:spacing w:line="360" w:lineRule="exact"/>
        <w:ind w:firstLine="561"/>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（6）其他验收材料。</w:t>
      </w:r>
    </w:p>
    <w:p w14:paraId="4A491C03">
      <w:pPr>
        <w:pStyle w:val="27"/>
        <w:keepNext w:val="0"/>
        <w:keepLines w:val="0"/>
        <w:pageBreakBefore w:val="0"/>
        <w:widowControl w:val="0"/>
        <w:kinsoku/>
        <w:wordWrap/>
        <w:overflowPunct/>
        <w:topLinePunct w:val="0"/>
        <w:autoSpaceDE/>
        <w:autoSpaceDN/>
        <w:bidi w:val="0"/>
        <w:adjustRightInd/>
        <w:snapToGrid/>
        <w:spacing w:line="440" w:lineRule="exact"/>
        <w:ind w:left="0" w:leftChars="0" w:firstLine="562" w:firstLineChars="200"/>
        <w:textAlignment w:val="auto"/>
        <w:outlineLvl w:val="0"/>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四、合同履行期限及地点</w:t>
      </w:r>
    </w:p>
    <w:p w14:paraId="56988CF4">
      <w:pPr>
        <w:keepNext w:val="0"/>
        <w:keepLines w:val="0"/>
        <w:pageBreakBefore w:val="0"/>
        <w:widowControl w:val="0"/>
        <w:kinsoku/>
        <w:wordWrap/>
        <w:overflowPunct/>
        <w:topLinePunct w:val="0"/>
        <w:autoSpaceDE/>
        <w:autoSpaceDN/>
        <w:bidi w:val="0"/>
        <w:adjustRightInd/>
        <w:snapToGrid/>
        <w:spacing w:line="360" w:lineRule="exact"/>
        <w:ind w:firstLine="561"/>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合同履行期限：根据采购人要求，在规定时间内完成任务。</w:t>
      </w:r>
    </w:p>
    <w:p w14:paraId="116E0E3C">
      <w:pPr>
        <w:keepNext w:val="0"/>
        <w:keepLines w:val="0"/>
        <w:pageBreakBefore w:val="0"/>
        <w:widowControl w:val="0"/>
        <w:kinsoku/>
        <w:wordWrap/>
        <w:overflowPunct/>
        <w:topLinePunct w:val="0"/>
        <w:autoSpaceDE/>
        <w:autoSpaceDN/>
        <w:bidi w:val="0"/>
        <w:adjustRightInd/>
        <w:snapToGrid/>
        <w:spacing w:line="360" w:lineRule="exact"/>
        <w:ind w:firstLine="561"/>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地点：射阳县自然资源和规划局指定地点。</w:t>
      </w:r>
    </w:p>
    <w:p w14:paraId="218B8F63">
      <w:pPr>
        <w:pStyle w:val="27"/>
        <w:keepNext w:val="0"/>
        <w:keepLines w:val="0"/>
        <w:pageBreakBefore w:val="0"/>
        <w:widowControl w:val="0"/>
        <w:kinsoku/>
        <w:wordWrap/>
        <w:overflowPunct/>
        <w:topLinePunct w:val="0"/>
        <w:autoSpaceDE/>
        <w:autoSpaceDN/>
        <w:bidi w:val="0"/>
        <w:adjustRightInd/>
        <w:snapToGrid/>
        <w:spacing w:line="440" w:lineRule="exact"/>
        <w:ind w:left="0" w:leftChars="0" w:firstLine="562" w:firstLineChars="200"/>
        <w:textAlignment w:val="auto"/>
        <w:outlineLvl w:val="0"/>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五、付款方式</w:t>
      </w:r>
    </w:p>
    <w:p w14:paraId="20A2A9C6">
      <w:pPr>
        <w:pStyle w:val="11"/>
        <w:keepNext w:val="0"/>
        <w:keepLines w:val="0"/>
        <w:pageBreakBefore w:val="0"/>
        <w:widowControl w:val="0"/>
        <w:kinsoku/>
        <w:wordWrap/>
        <w:overflowPunct/>
        <w:topLinePunct w:val="0"/>
        <w:autoSpaceDE/>
        <w:autoSpaceDN/>
        <w:bidi w:val="0"/>
        <w:spacing w:line="360" w:lineRule="exact"/>
        <w:ind w:firstLine="480" w:firstLineChars="200"/>
        <w:rPr>
          <w:rFonts w:hint="eastAsia" w:asciiTheme="minorEastAsia" w:hAnsiTheme="minorEastAsia" w:eastAsiaTheme="minorEastAsia" w:cstheme="minorEastAsia"/>
          <w:b w:val="0"/>
          <w:bCs w:val="0"/>
          <w:color w:val="000000"/>
          <w:kern w:val="0"/>
          <w:sz w:val="24"/>
          <w:szCs w:val="24"/>
          <w:highlight w:val="none"/>
        </w:rPr>
      </w:pPr>
      <w:r>
        <w:rPr>
          <w:rFonts w:hint="eastAsia" w:asciiTheme="minorEastAsia" w:hAnsiTheme="minorEastAsia" w:eastAsiaTheme="minorEastAsia" w:cstheme="minorEastAsia"/>
          <w:b w:val="0"/>
          <w:bCs w:val="0"/>
          <w:color w:val="000000"/>
          <w:kern w:val="0"/>
          <w:sz w:val="24"/>
          <w:szCs w:val="24"/>
          <w:highlight w:val="none"/>
          <w:lang w:eastAsia="zh-CN"/>
        </w:rPr>
        <w:t>1.</w:t>
      </w:r>
      <w:r>
        <w:rPr>
          <w:rFonts w:hint="eastAsia" w:asciiTheme="minorEastAsia" w:hAnsiTheme="minorEastAsia" w:eastAsiaTheme="minorEastAsia" w:cstheme="minorEastAsia"/>
          <w:b w:val="0"/>
          <w:bCs w:val="0"/>
          <w:color w:val="000000"/>
          <w:kern w:val="0"/>
          <w:sz w:val="24"/>
          <w:szCs w:val="24"/>
          <w:highlight w:val="none"/>
        </w:rPr>
        <w:t>合同签订时，经采购人与</w:t>
      </w:r>
      <w:r>
        <w:rPr>
          <w:rFonts w:hint="eastAsia" w:asciiTheme="minorEastAsia" w:hAnsiTheme="minorEastAsia" w:eastAsiaTheme="minorEastAsia" w:cstheme="minorEastAsia"/>
          <w:b w:val="0"/>
          <w:bCs w:val="0"/>
          <w:color w:val="000000"/>
          <w:kern w:val="0"/>
          <w:sz w:val="24"/>
          <w:szCs w:val="24"/>
          <w:highlight w:val="none"/>
          <w:lang w:val="en-US" w:eastAsia="zh-CN"/>
        </w:rPr>
        <w:t>成交供应商</w:t>
      </w:r>
      <w:r>
        <w:rPr>
          <w:rFonts w:hint="eastAsia" w:asciiTheme="minorEastAsia" w:hAnsiTheme="minorEastAsia" w:eastAsiaTheme="minorEastAsia" w:cstheme="minorEastAsia"/>
          <w:b w:val="0"/>
          <w:bCs w:val="0"/>
          <w:color w:val="000000"/>
          <w:kern w:val="0"/>
          <w:sz w:val="24"/>
          <w:szCs w:val="24"/>
          <w:highlight w:val="none"/>
        </w:rPr>
        <w:t>根据实际情况协商一致，可支付合同总价的30%作为项目启动预付款； 注：在签订合同时，</w:t>
      </w:r>
      <w:r>
        <w:rPr>
          <w:rFonts w:hint="eastAsia" w:asciiTheme="minorEastAsia" w:hAnsiTheme="minorEastAsia" w:eastAsiaTheme="minorEastAsia" w:cstheme="minorEastAsia"/>
          <w:b w:val="0"/>
          <w:bCs w:val="0"/>
          <w:color w:val="000000"/>
          <w:kern w:val="0"/>
          <w:sz w:val="24"/>
          <w:szCs w:val="24"/>
          <w:highlight w:val="none"/>
          <w:lang w:val="en-US" w:eastAsia="zh-CN"/>
        </w:rPr>
        <w:t>成交供应商</w:t>
      </w:r>
      <w:r>
        <w:rPr>
          <w:rFonts w:hint="eastAsia" w:asciiTheme="minorEastAsia" w:hAnsiTheme="minorEastAsia" w:eastAsiaTheme="minorEastAsia" w:cstheme="minorEastAsia"/>
          <w:b w:val="0"/>
          <w:bCs w:val="0"/>
          <w:color w:val="000000"/>
          <w:kern w:val="0"/>
          <w:sz w:val="24"/>
          <w:szCs w:val="24"/>
          <w:highlight w:val="none"/>
        </w:rPr>
        <w:t>明确表示无需预付款或者主动要求降低预付款比例的金额，</w:t>
      </w:r>
      <w:r>
        <w:rPr>
          <w:rFonts w:hint="eastAsia" w:asciiTheme="minorEastAsia" w:hAnsiTheme="minorEastAsia" w:eastAsiaTheme="minorEastAsia" w:cstheme="minorEastAsia"/>
          <w:b w:val="0"/>
          <w:bCs w:val="0"/>
          <w:color w:val="000000"/>
          <w:kern w:val="0"/>
          <w:sz w:val="24"/>
          <w:szCs w:val="24"/>
          <w:highlight w:val="none"/>
          <w:lang w:val="en-US" w:eastAsia="zh-CN"/>
        </w:rPr>
        <w:t>成交</w:t>
      </w:r>
      <w:r>
        <w:rPr>
          <w:rFonts w:hint="eastAsia" w:asciiTheme="minorEastAsia" w:hAnsiTheme="minorEastAsia" w:eastAsiaTheme="minorEastAsia" w:cstheme="minorEastAsia"/>
          <w:b w:val="0"/>
          <w:bCs w:val="0"/>
          <w:color w:val="000000"/>
          <w:kern w:val="0"/>
          <w:sz w:val="24"/>
          <w:szCs w:val="24"/>
          <w:highlight w:val="none"/>
        </w:rPr>
        <w:t>人可不适用预付款规定</w:t>
      </w:r>
      <w:r>
        <w:rPr>
          <w:rFonts w:hint="eastAsia" w:asciiTheme="minorEastAsia" w:hAnsiTheme="minorEastAsia" w:eastAsiaTheme="minorEastAsia" w:cstheme="minorEastAsia"/>
          <w:b w:val="0"/>
          <w:bCs w:val="0"/>
          <w:color w:val="000000"/>
          <w:kern w:val="0"/>
          <w:sz w:val="24"/>
          <w:szCs w:val="24"/>
          <w:highlight w:val="none"/>
          <w:lang w:eastAsia="zh-CN"/>
        </w:rPr>
        <w:t>，</w:t>
      </w:r>
      <w:r>
        <w:rPr>
          <w:rFonts w:hint="eastAsia" w:asciiTheme="minorEastAsia" w:hAnsiTheme="minorEastAsia" w:eastAsiaTheme="minorEastAsia" w:cstheme="minorEastAsia"/>
          <w:b w:val="0"/>
          <w:bCs w:val="0"/>
          <w:color w:val="000000"/>
          <w:kern w:val="0"/>
          <w:sz w:val="24"/>
          <w:szCs w:val="24"/>
          <w:highlight w:val="none"/>
        </w:rPr>
        <w:t>但</w:t>
      </w:r>
      <w:r>
        <w:rPr>
          <w:rFonts w:hint="eastAsia" w:asciiTheme="minorEastAsia" w:hAnsiTheme="minorEastAsia" w:eastAsiaTheme="minorEastAsia" w:cstheme="minorEastAsia"/>
          <w:b w:val="0"/>
          <w:bCs w:val="0"/>
          <w:color w:val="000000"/>
          <w:kern w:val="0"/>
          <w:sz w:val="24"/>
          <w:szCs w:val="24"/>
          <w:highlight w:val="none"/>
          <w:lang w:val="en-US" w:eastAsia="zh-CN"/>
        </w:rPr>
        <w:t>成交供应商</w:t>
      </w:r>
      <w:r>
        <w:rPr>
          <w:rFonts w:hint="eastAsia" w:asciiTheme="minorEastAsia" w:hAnsiTheme="minorEastAsia" w:eastAsiaTheme="minorEastAsia" w:cstheme="minorEastAsia"/>
          <w:b w:val="0"/>
          <w:bCs w:val="0"/>
          <w:color w:val="000000"/>
          <w:kern w:val="0"/>
          <w:sz w:val="24"/>
          <w:szCs w:val="24"/>
          <w:highlight w:val="none"/>
        </w:rPr>
        <w:t>需提供书面声明，采购人可就预付款比例作相应调整。</w:t>
      </w:r>
    </w:p>
    <w:p w14:paraId="089C06BC">
      <w:pPr>
        <w:pStyle w:val="11"/>
        <w:keepNext w:val="0"/>
        <w:keepLines w:val="0"/>
        <w:pageBreakBefore w:val="0"/>
        <w:widowControl w:val="0"/>
        <w:kinsoku/>
        <w:wordWrap/>
        <w:overflowPunct/>
        <w:topLinePunct w:val="0"/>
        <w:autoSpaceDE/>
        <w:autoSpaceDN/>
        <w:bidi w:val="0"/>
        <w:spacing w:line="360" w:lineRule="exact"/>
        <w:ind w:firstLine="480" w:firstLineChars="200"/>
        <w:rPr>
          <w:rFonts w:hint="eastAsia" w:asciiTheme="minorEastAsia" w:hAnsiTheme="minorEastAsia" w:eastAsiaTheme="minorEastAsia" w:cstheme="minorEastAsia"/>
          <w:b w:val="0"/>
          <w:bCs w:val="0"/>
          <w:color w:val="000000"/>
          <w:kern w:val="0"/>
          <w:sz w:val="24"/>
          <w:szCs w:val="24"/>
          <w:highlight w:val="none"/>
          <w:lang w:eastAsia="zh-CN"/>
        </w:rPr>
      </w:pPr>
      <w:r>
        <w:rPr>
          <w:rFonts w:hint="eastAsia" w:asciiTheme="minorEastAsia" w:hAnsiTheme="minorEastAsia" w:eastAsiaTheme="minorEastAsia" w:cstheme="minorEastAsia"/>
          <w:b w:val="0"/>
          <w:bCs w:val="0"/>
          <w:color w:val="000000"/>
          <w:kern w:val="0"/>
          <w:sz w:val="24"/>
          <w:szCs w:val="24"/>
          <w:highlight w:val="none"/>
          <w:lang w:eastAsia="zh-CN"/>
        </w:rPr>
        <w:t>2</w:t>
      </w:r>
      <w:r>
        <w:rPr>
          <w:rFonts w:hint="eastAsia" w:asciiTheme="minorEastAsia" w:hAnsiTheme="minorEastAsia" w:eastAsiaTheme="minorEastAsia" w:cstheme="minorEastAsia"/>
          <w:b w:val="0"/>
          <w:bCs w:val="0"/>
          <w:color w:val="000000"/>
          <w:kern w:val="0"/>
          <w:sz w:val="24"/>
          <w:szCs w:val="24"/>
          <w:highlight w:val="none"/>
          <w:lang w:val="en-US" w:eastAsia="zh-CN"/>
        </w:rPr>
        <w:t>.</w:t>
      </w:r>
      <w:r>
        <w:rPr>
          <w:rFonts w:hint="eastAsia" w:asciiTheme="minorEastAsia" w:hAnsiTheme="minorEastAsia" w:eastAsiaTheme="minorEastAsia" w:cstheme="minorEastAsia"/>
          <w:b w:val="0"/>
          <w:bCs w:val="0"/>
          <w:color w:val="000000"/>
          <w:sz w:val="24"/>
          <w:szCs w:val="24"/>
          <w:highlight w:val="none"/>
        </w:rPr>
        <w:t>项目结算总价＝</w:t>
      </w:r>
      <w:r>
        <w:rPr>
          <w:rFonts w:hint="eastAsia" w:asciiTheme="minorEastAsia" w:hAnsiTheme="minorEastAsia" w:eastAsiaTheme="minorEastAsia" w:cstheme="minorEastAsia"/>
          <w:b w:val="0"/>
          <w:bCs w:val="0"/>
          <w:color w:val="000000"/>
          <w:kern w:val="0"/>
          <w:sz w:val="24"/>
          <w:szCs w:val="24"/>
          <w:highlight w:val="none"/>
          <w:lang w:val="en-US" w:eastAsia="zh-CN"/>
        </w:rPr>
        <w:t>成交</w:t>
      </w:r>
      <w:r>
        <w:rPr>
          <w:rFonts w:hint="eastAsia" w:asciiTheme="minorEastAsia" w:hAnsiTheme="minorEastAsia" w:eastAsiaTheme="minorEastAsia" w:cstheme="minorEastAsia"/>
          <w:b w:val="0"/>
          <w:bCs w:val="0"/>
          <w:color w:val="000000"/>
          <w:kern w:val="0"/>
          <w:sz w:val="24"/>
          <w:szCs w:val="24"/>
          <w:highlight w:val="none"/>
        </w:rPr>
        <w:t>单价×</w:t>
      </w:r>
      <w:r>
        <w:rPr>
          <w:rFonts w:hint="eastAsia" w:asciiTheme="minorEastAsia" w:hAnsiTheme="minorEastAsia" w:eastAsiaTheme="minorEastAsia" w:cstheme="minorEastAsia"/>
          <w:b w:val="0"/>
          <w:bCs w:val="0"/>
          <w:color w:val="000000"/>
          <w:sz w:val="24"/>
          <w:szCs w:val="24"/>
          <w:highlight w:val="none"/>
        </w:rPr>
        <w:t>实际</w:t>
      </w:r>
      <w:r>
        <w:rPr>
          <w:rFonts w:hint="eastAsia" w:asciiTheme="minorEastAsia" w:hAnsiTheme="minorEastAsia" w:eastAsiaTheme="minorEastAsia" w:cstheme="minorEastAsia"/>
          <w:b w:val="0"/>
          <w:bCs w:val="0"/>
          <w:color w:val="000000"/>
          <w:kern w:val="0"/>
          <w:sz w:val="24"/>
          <w:szCs w:val="24"/>
          <w:highlight w:val="none"/>
        </w:rPr>
        <w:t>亩数</w:t>
      </w:r>
      <w:r>
        <w:rPr>
          <w:rFonts w:hint="eastAsia" w:asciiTheme="minorEastAsia" w:hAnsiTheme="minorEastAsia" w:eastAsiaTheme="minorEastAsia" w:cstheme="minorEastAsia"/>
          <w:b w:val="0"/>
          <w:bCs w:val="0"/>
          <w:color w:val="000000"/>
          <w:kern w:val="0"/>
          <w:sz w:val="24"/>
          <w:szCs w:val="24"/>
          <w:highlight w:val="none"/>
          <w:lang w:eastAsia="zh-CN"/>
        </w:rPr>
        <w:t>，</w:t>
      </w:r>
      <w:r>
        <w:rPr>
          <w:rFonts w:hint="eastAsia" w:asciiTheme="minorEastAsia" w:hAnsiTheme="minorEastAsia" w:eastAsiaTheme="minorEastAsia" w:cstheme="minorEastAsia"/>
          <w:b w:val="0"/>
          <w:bCs w:val="0"/>
          <w:color w:val="000000"/>
          <w:kern w:val="0"/>
          <w:sz w:val="24"/>
          <w:szCs w:val="24"/>
          <w:highlight w:val="none"/>
        </w:rPr>
        <w:t>成交供应商在项目完成后，经验收和质量核查合格一次性付清全部合同款。并无息退还履约保证金（如有）。以上付款均不计任何利息和相关费用，付款一律通过银行结转。相关付款手续由用户单位</w:t>
      </w:r>
      <w:r>
        <w:rPr>
          <w:rFonts w:hint="eastAsia" w:asciiTheme="minorEastAsia" w:hAnsiTheme="minorEastAsia" w:eastAsiaTheme="minorEastAsia" w:cstheme="minorEastAsia"/>
          <w:b w:val="0"/>
          <w:bCs w:val="0"/>
          <w:color w:val="000000"/>
          <w:kern w:val="0"/>
          <w:sz w:val="24"/>
          <w:szCs w:val="24"/>
          <w:highlight w:val="none"/>
          <w:lang w:val="en-US" w:eastAsia="zh-CN"/>
        </w:rPr>
        <w:t>向</w:t>
      </w:r>
      <w:r>
        <w:rPr>
          <w:rFonts w:hint="eastAsia" w:asciiTheme="minorEastAsia" w:hAnsiTheme="minorEastAsia" w:eastAsiaTheme="minorEastAsia" w:cstheme="minorEastAsia"/>
          <w:b w:val="0"/>
          <w:bCs w:val="0"/>
          <w:color w:val="000000"/>
          <w:kern w:val="0"/>
          <w:sz w:val="24"/>
          <w:szCs w:val="24"/>
          <w:highlight w:val="none"/>
        </w:rPr>
        <w:t>财政部门报批后办理</w:t>
      </w:r>
      <w:r>
        <w:rPr>
          <w:rFonts w:hint="eastAsia" w:asciiTheme="minorEastAsia" w:hAnsiTheme="minorEastAsia" w:cstheme="minorEastAsia"/>
          <w:b w:val="0"/>
          <w:bCs w:val="0"/>
          <w:color w:val="000000"/>
          <w:kern w:val="0"/>
          <w:sz w:val="24"/>
          <w:szCs w:val="24"/>
          <w:highlight w:val="none"/>
          <w:lang w:eastAsia="zh-CN"/>
        </w:rPr>
        <w:t>，按序时付清。</w:t>
      </w:r>
    </w:p>
    <w:p w14:paraId="7204544D">
      <w:pPr>
        <w:keepNext w:val="0"/>
        <w:keepLines w:val="0"/>
        <w:pageBreakBefore w:val="0"/>
        <w:widowControl w:val="0"/>
        <w:kinsoku/>
        <w:wordWrap/>
        <w:overflowPunct/>
        <w:topLinePunct w:val="0"/>
        <w:autoSpaceDE/>
        <w:autoSpaceDN/>
        <w:bidi w:val="0"/>
        <w:spacing w:line="360" w:lineRule="exact"/>
        <w:ind w:firstLine="480" w:firstLineChars="200"/>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b w:val="0"/>
          <w:bCs w:val="0"/>
          <w:color w:val="000000"/>
          <w:sz w:val="24"/>
          <w:szCs w:val="24"/>
          <w:highlight w:val="none"/>
          <w:lang w:eastAsia="zh-CN"/>
        </w:rPr>
        <w:t>3.</w:t>
      </w:r>
      <w:r>
        <w:rPr>
          <w:rFonts w:hint="eastAsia" w:asciiTheme="minorEastAsia" w:hAnsiTheme="minorEastAsia" w:eastAsiaTheme="minorEastAsia" w:cstheme="minorEastAsia"/>
          <w:b w:val="0"/>
          <w:bCs w:val="0"/>
          <w:color w:val="000000"/>
          <w:sz w:val="24"/>
          <w:szCs w:val="24"/>
          <w:highlight w:val="none"/>
          <w:lang w:val="en-US" w:eastAsia="zh-CN"/>
        </w:rPr>
        <w:t>成交供应商</w:t>
      </w:r>
      <w:r>
        <w:rPr>
          <w:rFonts w:hint="eastAsia" w:asciiTheme="minorEastAsia" w:hAnsiTheme="minorEastAsia" w:eastAsiaTheme="minorEastAsia" w:cstheme="minorEastAsia"/>
          <w:b w:val="0"/>
          <w:bCs w:val="0"/>
          <w:color w:val="000000"/>
          <w:sz w:val="24"/>
          <w:szCs w:val="24"/>
          <w:highlight w:val="none"/>
        </w:rPr>
        <w:t>完成实际工作量结算时</w:t>
      </w:r>
      <w:r>
        <w:rPr>
          <w:rFonts w:hint="eastAsia" w:asciiTheme="minorEastAsia" w:hAnsiTheme="minorEastAsia" w:eastAsiaTheme="minorEastAsia" w:cstheme="minorEastAsia"/>
          <w:b w:val="0"/>
          <w:bCs w:val="0"/>
          <w:color w:val="000000"/>
          <w:sz w:val="24"/>
          <w:szCs w:val="24"/>
          <w:highlight w:val="none"/>
          <w:lang w:eastAsia="zh-CN"/>
        </w:rPr>
        <w:t>超过</w:t>
      </w:r>
      <w:r>
        <w:rPr>
          <w:rFonts w:hint="eastAsia" w:asciiTheme="minorEastAsia" w:hAnsiTheme="minorEastAsia" w:eastAsiaTheme="minorEastAsia" w:cstheme="minorEastAsia"/>
          <w:b w:val="0"/>
          <w:bCs w:val="0"/>
          <w:color w:val="000000"/>
          <w:sz w:val="24"/>
          <w:szCs w:val="24"/>
          <w:highlight w:val="none"/>
          <w:lang w:val="en-US" w:eastAsia="zh-CN"/>
        </w:rPr>
        <w:t>成交</w:t>
      </w:r>
      <w:r>
        <w:rPr>
          <w:rFonts w:hint="eastAsia" w:asciiTheme="minorEastAsia" w:hAnsiTheme="minorEastAsia" w:eastAsiaTheme="minorEastAsia" w:cstheme="minorEastAsia"/>
          <w:b w:val="0"/>
          <w:bCs w:val="0"/>
          <w:color w:val="000000"/>
          <w:sz w:val="24"/>
          <w:szCs w:val="24"/>
          <w:highlight w:val="none"/>
        </w:rPr>
        <w:t>总价时，项目结算总价＝</w:t>
      </w:r>
      <w:r>
        <w:rPr>
          <w:rFonts w:hint="eastAsia" w:asciiTheme="minorEastAsia" w:hAnsiTheme="minorEastAsia" w:eastAsiaTheme="minorEastAsia" w:cstheme="minorEastAsia"/>
          <w:b w:val="0"/>
          <w:bCs w:val="0"/>
          <w:color w:val="000000"/>
          <w:kern w:val="0"/>
          <w:sz w:val="24"/>
          <w:szCs w:val="24"/>
          <w:highlight w:val="none"/>
        </w:rPr>
        <w:t>最高限价</w:t>
      </w:r>
      <w:r>
        <w:rPr>
          <w:rFonts w:hint="eastAsia" w:asciiTheme="minorEastAsia" w:hAnsiTheme="minorEastAsia" w:eastAsiaTheme="minorEastAsia" w:cstheme="minorEastAsia"/>
          <w:b w:val="0"/>
          <w:bCs w:val="0"/>
          <w:color w:val="000000"/>
          <w:kern w:val="0"/>
          <w:sz w:val="24"/>
          <w:szCs w:val="24"/>
          <w:highlight w:val="none"/>
          <w:lang w:val="en-US" w:eastAsia="zh-CN"/>
        </w:rPr>
        <w:t>204</w:t>
      </w:r>
      <w:r>
        <w:rPr>
          <w:rFonts w:hint="eastAsia" w:asciiTheme="minorEastAsia" w:hAnsiTheme="minorEastAsia" w:eastAsiaTheme="minorEastAsia" w:cstheme="minorEastAsia"/>
          <w:b w:val="0"/>
          <w:bCs w:val="0"/>
          <w:color w:val="000000"/>
          <w:kern w:val="0"/>
          <w:sz w:val="24"/>
          <w:szCs w:val="24"/>
          <w:highlight w:val="none"/>
        </w:rPr>
        <w:t>万元</w:t>
      </w:r>
      <w:r>
        <w:rPr>
          <w:rFonts w:hint="eastAsia" w:asciiTheme="minorEastAsia" w:hAnsiTheme="minorEastAsia" w:eastAsiaTheme="minorEastAsia" w:cstheme="minorEastAsia"/>
          <w:b w:val="0"/>
          <w:bCs w:val="0"/>
          <w:color w:val="000000"/>
          <w:sz w:val="24"/>
          <w:szCs w:val="24"/>
          <w:highlight w:val="none"/>
        </w:rPr>
        <w:t>。</w:t>
      </w:r>
    </w:p>
    <w:p w14:paraId="2B0DCB36">
      <w:pPr>
        <w:widowControl/>
        <w:spacing w:line="520" w:lineRule="exact"/>
        <w:ind w:firstLine="567"/>
        <w:jc w:val="left"/>
        <w:outlineLvl w:val="0"/>
        <w:rPr>
          <w:rFonts w:hint="eastAsia" w:ascii="宋体" w:hAnsi="宋体" w:eastAsia="宋体" w:cs="宋体"/>
          <w:b/>
          <w:sz w:val="28"/>
          <w:szCs w:val="28"/>
          <w:lang w:bidi="ar"/>
        </w:rPr>
      </w:pPr>
      <w:r>
        <w:rPr>
          <w:rFonts w:hint="eastAsia" w:ascii="宋体" w:hAnsi="宋体" w:eastAsia="宋体" w:cs="宋体"/>
          <w:b/>
          <w:sz w:val="28"/>
          <w:szCs w:val="28"/>
          <w:lang w:val="en-US" w:eastAsia="zh-CN" w:bidi="ar"/>
        </w:rPr>
        <w:t>六</w:t>
      </w:r>
      <w:r>
        <w:rPr>
          <w:rFonts w:hint="eastAsia" w:ascii="宋体" w:hAnsi="宋体" w:eastAsia="宋体" w:cs="宋体"/>
          <w:b/>
          <w:sz w:val="28"/>
          <w:szCs w:val="28"/>
          <w:lang w:bidi="ar"/>
        </w:rPr>
        <w:t>、安全管理要求</w:t>
      </w:r>
    </w:p>
    <w:p w14:paraId="4B399721">
      <w:pPr>
        <w:autoSpaceDE w:val="0"/>
        <w:spacing w:line="360" w:lineRule="exact"/>
        <w:ind w:firstLine="480" w:firstLineChars="200"/>
        <w:jc w:val="left"/>
        <w:rPr>
          <w:rFonts w:hint="eastAsia" w:ascii="宋体" w:hAnsi="宋体" w:eastAsia="宋体" w:cs="宋体"/>
          <w:kern w:val="20"/>
          <w:sz w:val="24"/>
        </w:rPr>
      </w:pPr>
      <w:r>
        <w:rPr>
          <w:rFonts w:hint="eastAsia" w:ascii="宋体" w:hAnsi="宋体" w:eastAsia="宋体" w:cs="宋体"/>
          <w:kern w:val="20"/>
          <w:sz w:val="24"/>
          <w:lang w:val="en-US" w:eastAsia="zh-CN" w:bidi="ar"/>
        </w:rPr>
        <w:t>1、</w:t>
      </w:r>
      <w:r>
        <w:rPr>
          <w:rFonts w:hint="eastAsia" w:ascii="宋体" w:hAnsi="宋体" w:eastAsia="宋体" w:cs="宋体"/>
          <w:kern w:val="20"/>
          <w:sz w:val="24"/>
          <w:lang w:bidi="ar"/>
        </w:rPr>
        <w:t>为贯彻“安全第一，预防为主”方针，中标人</w:t>
      </w:r>
      <w:r>
        <w:rPr>
          <w:rFonts w:hint="eastAsia" w:ascii="宋体" w:hAnsi="宋体" w:eastAsia="宋体" w:cs="宋体"/>
          <w:b/>
          <w:bCs/>
          <w:color w:val="FF0000"/>
          <w:kern w:val="20"/>
          <w:sz w:val="24"/>
          <w:lang w:bidi="ar"/>
        </w:rPr>
        <w:t>应为项目安装服务人员购买不记名意外伤害保险</w:t>
      </w:r>
      <w:r>
        <w:rPr>
          <w:rFonts w:hint="eastAsia" w:ascii="宋体" w:hAnsi="宋体" w:eastAsia="宋体" w:cs="宋体"/>
          <w:kern w:val="20"/>
          <w:sz w:val="24"/>
          <w:lang w:bidi="ar"/>
        </w:rPr>
        <w:t>。中标人在项目安装调试现场过程中，必须遵守国家和地方关于劳动安全、劳务用工等法律法规及规章制度，制定严格的安全措施，加强安全监督管理，对项目服务过程中发生的人身伤害、设备损坏事故承担安全责任，并按国家有关规定，为服务人员进行人身保险，配备合格的劳动防护用品、安全用具。</w:t>
      </w:r>
    </w:p>
    <w:p w14:paraId="7B67B5E2">
      <w:pPr>
        <w:autoSpaceDE w:val="0"/>
        <w:spacing w:line="360" w:lineRule="exact"/>
        <w:ind w:firstLine="480" w:firstLineChars="200"/>
        <w:jc w:val="left"/>
        <w:rPr>
          <w:rFonts w:hint="eastAsia" w:ascii="宋体" w:hAnsi="宋体" w:eastAsia="宋体" w:cs="宋体"/>
          <w:bCs/>
          <w:sz w:val="24"/>
          <w:lang w:bidi="ar"/>
        </w:rPr>
      </w:pPr>
      <w:r>
        <w:rPr>
          <w:rFonts w:hint="eastAsia" w:ascii="宋体" w:hAnsi="宋体" w:eastAsia="宋体" w:cs="宋体"/>
          <w:kern w:val="20"/>
          <w:sz w:val="24"/>
          <w:lang w:val="en-US" w:eastAsia="zh-CN" w:bidi="ar"/>
        </w:rPr>
        <w:t>2、</w:t>
      </w:r>
      <w:r>
        <w:rPr>
          <w:rFonts w:hint="eastAsia" w:ascii="宋体" w:hAnsi="宋体" w:eastAsia="宋体" w:cs="宋体"/>
          <w:kern w:val="20"/>
          <w:sz w:val="24"/>
          <w:lang w:bidi="ar"/>
        </w:rPr>
        <w:t>若发生安全问题，由中标人自行负责处理并承担一切经济和法律责任，其与采购人一切无关，同时按合同要求保证项目进度，按时完工。</w:t>
      </w:r>
      <w:r>
        <w:rPr>
          <w:rFonts w:hint="eastAsia" w:ascii="宋体" w:hAnsi="宋体" w:eastAsia="宋体" w:cs="Tahoma"/>
          <w:b/>
          <w:sz w:val="24"/>
          <w:lang w:bidi="ar"/>
        </w:rPr>
        <w:tab/>
      </w:r>
    </w:p>
    <w:p w14:paraId="7C54687B">
      <w:pPr>
        <w:widowControl/>
        <w:spacing w:line="520" w:lineRule="exact"/>
        <w:ind w:firstLine="567"/>
        <w:jc w:val="left"/>
        <w:outlineLvl w:val="0"/>
        <w:rPr>
          <w:rFonts w:hint="eastAsia" w:ascii="宋体" w:hAnsi="宋体" w:eastAsia="宋体" w:cs="宋体"/>
          <w:b/>
          <w:sz w:val="28"/>
          <w:szCs w:val="28"/>
          <w:lang w:bidi="ar"/>
        </w:rPr>
      </w:pPr>
      <w:r>
        <w:rPr>
          <w:rFonts w:hint="eastAsia" w:ascii="宋体" w:hAnsi="宋体" w:eastAsia="宋体" w:cs="宋体"/>
          <w:b/>
          <w:sz w:val="28"/>
          <w:szCs w:val="28"/>
          <w:lang w:val="en-US" w:eastAsia="zh-CN" w:bidi="ar"/>
        </w:rPr>
        <w:t>七</w:t>
      </w:r>
      <w:r>
        <w:rPr>
          <w:rFonts w:hint="eastAsia" w:ascii="宋体" w:hAnsi="宋体" w:eastAsia="宋体" w:cs="宋体"/>
          <w:b/>
          <w:sz w:val="28"/>
          <w:szCs w:val="28"/>
          <w:lang w:bidi="ar"/>
        </w:rPr>
        <w:t>、特别说明</w:t>
      </w:r>
    </w:p>
    <w:p w14:paraId="27C4AB29">
      <w:pPr>
        <w:widowControl/>
        <w:autoSpaceDE w:val="0"/>
        <w:spacing w:line="360" w:lineRule="exact"/>
        <w:ind w:firstLine="480" w:firstLineChars="200"/>
        <w:jc w:val="left"/>
        <w:rPr>
          <w:rFonts w:hint="eastAsia" w:ascii="宋体" w:hAnsi="宋体" w:eastAsia="宋体" w:cs="Tahoma"/>
          <w:bCs/>
          <w:sz w:val="24"/>
        </w:rPr>
      </w:pPr>
      <w:r>
        <w:rPr>
          <w:rFonts w:hint="eastAsia" w:ascii="宋体" w:hAnsi="宋体" w:eastAsia="宋体" w:cs="宋体"/>
          <w:bCs/>
          <w:sz w:val="24"/>
          <w:lang w:val="en-US" w:eastAsia="zh-CN" w:bidi="ar"/>
        </w:rPr>
        <w:t>1</w:t>
      </w:r>
      <w:r>
        <w:rPr>
          <w:rFonts w:hint="eastAsia" w:ascii="宋体" w:hAnsi="宋体" w:eastAsia="宋体" w:cs="宋体"/>
          <w:bCs/>
          <w:sz w:val="24"/>
          <w:lang w:bidi="ar"/>
        </w:rPr>
        <w:t>、报价含项目成果交付前一切费用</w:t>
      </w:r>
      <w:r>
        <w:rPr>
          <w:rFonts w:hint="eastAsia" w:ascii="宋体" w:hAnsi="宋体" w:eastAsia="宋体" w:cs="宋体"/>
          <w:bCs/>
          <w:sz w:val="24"/>
          <w:lang w:eastAsia="zh-CN" w:bidi="ar"/>
        </w:rPr>
        <w:t>，</w:t>
      </w:r>
      <w:r>
        <w:rPr>
          <w:rFonts w:hint="eastAsia" w:ascii="宋体" w:hAnsi="宋体" w:eastAsia="宋体" w:cs="宋体"/>
          <w:bCs/>
          <w:sz w:val="24"/>
          <w:lang w:bidi="ar"/>
        </w:rPr>
        <w:t>不接受选择性报价。</w:t>
      </w:r>
    </w:p>
    <w:p w14:paraId="0B03A223">
      <w:pPr>
        <w:widowControl/>
        <w:autoSpaceDE w:val="0"/>
        <w:spacing w:line="360" w:lineRule="exact"/>
        <w:ind w:firstLine="480" w:firstLineChars="200"/>
        <w:jc w:val="left"/>
        <w:rPr>
          <w:rFonts w:hint="eastAsia" w:ascii="宋体" w:hAnsi="宋体" w:eastAsia="宋体" w:cs="Tahoma"/>
          <w:bCs/>
          <w:sz w:val="24"/>
        </w:rPr>
      </w:pPr>
      <w:r>
        <w:rPr>
          <w:rFonts w:hint="eastAsia" w:ascii="宋体" w:hAnsi="宋体" w:eastAsia="宋体" w:cs="宋体"/>
          <w:bCs/>
          <w:sz w:val="24"/>
          <w:lang w:val="en-US" w:eastAsia="zh-CN" w:bidi="ar"/>
        </w:rPr>
        <w:t>2</w:t>
      </w:r>
      <w:r>
        <w:rPr>
          <w:rFonts w:hint="eastAsia" w:ascii="宋体" w:hAnsi="宋体" w:eastAsia="宋体" w:cs="宋体"/>
          <w:bCs/>
          <w:sz w:val="24"/>
          <w:lang w:bidi="ar"/>
        </w:rPr>
        <w:t>、对本项目</w:t>
      </w:r>
      <w:r>
        <w:rPr>
          <w:rFonts w:hint="eastAsia" w:ascii="宋体" w:hAnsi="宋体" w:eastAsia="宋体" w:cs="宋体"/>
          <w:bCs/>
          <w:sz w:val="24"/>
          <w:lang w:val="en-US" w:eastAsia="zh-CN" w:bidi="ar"/>
        </w:rPr>
        <w:t>供应商</w:t>
      </w:r>
      <w:r>
        <w:rPr>
          <w:rFonts w:hint="eastAsia" w:ascii="宋体" w:hAnsi="宋体" w:eastAsia="宋体" w:cs="宋体"/>
          <w:bCs/>
          <w:sz w:val="24"/>
          <w:lang w:bidi="ar"/>
        </w:rPr>
        <w:t>资格要求、项目需求、评分标准等的质疑由采购</w:t>
      </w:r>
      <w:r>
        <w:rPr>
          <w:rFonts w:hint="eastAsia" w:ascii="宋体" w:hAnsi="宋体" w:eastAsia="宋体" w:cs="宋体"/>
          <w:bCs/>
          <w:sz w:val="24"/>
          <w:lang w:eastAsia="zh-CN" w:bidi="ar"/>
        </w:rPr>
        <w:t>人</w:t>
      </w:r>
      <w:r>
        <w:rPr>
          <w:rFonts w:hint="eastAsia" w:ascii="宋体" w:hAnsi="宋体" w:eastAsia="宋体" w:cs="宋体"/>
          <w:bCs/>
          <w:sz w:val="24"/>
          <w:lang w:bidi="ar"/>
        </w:rPr>
        <w:t>负责答复；采购单位具有项目的解释权，质疑函和答复须同时报采购代理机构备案管理。</w:t>
      </w:r>
    </w:p>
    <w:p w14:paraId="256FC3CD">
      <w:pPr>
        <w:widowControl/>
        <w:spacing w:line="520" w:lineRule="exact"/>
        <w:ind w:firstLine="567"/>
        <w:jc w:val="left"/>
        <w:outlineLvl w:val="0"/>
        <w:rPr>
          <w:rFonts w:hint="eastAsia" w:ascii="宋体" w:hAnsi="宋体" w:eastAsia="宋体" w:cs="宋体"/>
          <w:b/>
          <w:sz w:val="28"/>
          <w:szCs w:val="28"/>
          <w:lang w:bidi="ar"/>
        </w:rPr>
      </w:pPr>
      <w:r>
        <w:rPr>
          <w:rFonts w:hint="eastAsia" w:ascii="宋体" w:hAnsi="宋体" w:eastAsia="宋体" w:cs="宋体"/>
          <w:b/>
          <w:sz w:val="28"/>
          <w:szCs w:val="28"/>
          <w:lang w:val="en-US" w:eastAsia="zh-CN" w:bidi="ar"/>
        </w:rPr>
        <w:t>八</w:t>
      </w:r>
      <w:r>
        <w:rPr>
          <w:rFonts w:hint="eastAsia" w:ascii="宋体" w:hAnsi="宋体" w:eastAsia="宋体" w:cs="宋体"/>
          <w:b/>
          <w:sz w:val="28"/>
          <w:szCs w:val="28"/>
          <w:lang w:bidi="ar"/>
        </w:rPr>
        <w:t>、采购标的对应的中小企业划分标准所属行业一览表</w:t>
      </w:r>
    </w:p>
    <w:p w14:paraId="4BB753F5">
      <w:pPr>
        <w:widowControl/>
        <w:autoSpaceDE w:val="0"/>
        <w:spacing w:line="360" w:lineRule="exact"/>
        <w:ind w:firstLine="480" w:firstLineChars="200"/>
        <w:jc w:val="left"/>
        <w:rPr>
          <w:rFonts w:hint="eastAsia" w:ascii="宋体" w:hAnsi="宋体" w:eastAsia="宋体" w:cs="宋体"/>
          <w:bCs/>
          <w:sz w:val="24"/>
          <w:lang w:bidi="ar"/>
        </w:rPr>
      </w:pPr>
      <w:r>
        <w:rPr>
          <w:rFonts w:hint="eastAsia" w:ascii="宋体" w:hAnsi="宋体" w:eastAsia="宋体" w:cs="宋体"/>
          <w:bCs/>
          <w:sz w:val="24"/>
          <w:lang w:bidi="ar"/>
        </w:rPr>
        <w:t xml:space="preserve"> 根据《工业和信息化部、国家统计局、国家发展和改革委员会、财政部关于印发中小企业划型标准规定的通知》（工信部联企业[2011]300号）规定的划分标准填写。 </w:t>
      </w:r>
    </w:p>
    <w:tbl>
      <w:tblPr>
        <w:tblStyle w:val="16"/>
        <w:tblW w:w="9049" w:type="dxa"/>
        <w:jc w:val="center"/>
        <w:tblLayout w:type="fixed"/>
        <w:tblCellMar>
          <w:top w:w="0" w:type="dxa"/>
          <w:left w:w="108" w:type="dxa"/>
          <w:bottom w:w="0" w:type="dxa"/>
          <w:right w:w="108" w:type="dxa"/>
        </w:tblCellMar>
      </w:tblPr>
      <w:tblGrid>
        <w:gridCol w:w="724"/>
        <w:gridCol w:w="4572"/>
        <w:gridCol w:w="3753"/>
      </w:tblGrid>
      <w:tr w14:paraId="2D60B4D9">
        <w:tblPrEx>
          <w:tblCellMar>
            <w:top w:w="0" w:type="dxa"/>
            <w:left w:w="108" w:type="dxa"/>
            <w:bottom w:w="0" w:type="dxa"/>
            <w:right w:w="108" w:type="dxa"/>
          </w:tblCellMar>
        </w:tblPrEx>
        <w:trPr>
          <w:trHeight w:val="160" w:hRule="atLeast"/>
          <w:jc w:val="center"/>
        </w:trPr>
        <w:tc>
          <w:tcPr>
            <w:tcW w:w="724" w:type="dxa"/>
            <w:tcBorders>
              <w:top w:val="single" w:color="000000" w:sz="4" w:space="0"/>
              <w:left w:val="single" w:color="000000" w:sz="4" w:space="0"/>
              <w:bottom w:val="single" w:color="000000" w:sz="4" w:space="0"/>
              <w:right w:val="single" w:color="000000" w:sz="4" w:space="0"/>
            </w:tcBorders>
            <w:vAlign w:val="center"/>
          </w:tcPr>
          <w:p w14:paraId="531CB897">
            <w:pPr>
              <w:pStyle w:val="13"/>
              <w:widowControl/>
              <w:spacing w:beforeAutospacing="0" w:line="360" w:lineRule="exact"/>
              <w:jc w:val="center"/>
              <w:rPr>
                <w:rFonts w:hint="eastAsia" w:ascii="宋体" w:hAnsi="宋体" w:eastAsia="宋体" w:cs="宋体"/>
                <w:highlight w:val="none"/>
              </w:rPr>
            </w:pPr>
            <w:r>
              <w:rPr>
                <w:rFonts w:hint="eastAsia" w:ascii="宋体" w:hAnsi="宋体" w:eastAsia="宋体" w:cs="宋体"/>
                <w:highlight w:val="none"/>
                <w:lang w:bidi="ar"/>
              </w:rPr>
              <w:t>序号</w:t>
            </w:r>
          </w:p>
        </w:tc>
        <w:tc>
          <w:tcPr>
            <w:tcW w:w="4572" w:type="dxa"/>
            <w:tcBorders>
              <w:top w:val="single" w:color="000000" w:sz="4" w:space="0"/>
              <w:left w:val="nil"/>
              <w:bottom w:val="single" w:color="000000" w:sz="4" w:space="0"/>
              <w:right w:val="single" w:color="000000" w:sz="4" w:space="0"/>
            </w:tcBorders>
            <w:vAlign w:val="center"/>
          </w:tcPr>
          <w:p w14:paraId="0FE269DA">
            <w:pPr>
              <w:pStyle w:val="13"/>
              <w:widowControl/>
              <w:spacing w:beforeAutospacing="0" w:line="360" w:lineRule="exact"/>
              <w:jc w:val="center"/>
              <w:rPr>
                <w:rFonts w:hint="eastAsia" w:ascii="宋体" w:hAnsi="宋体" w:eastAsia="宋体" w:cs="宋体"/>
                <w:highlight w:val="none"/>
              </w:rPr>
            </w:pPr>
            <w:r>
              <w:rPr>
                <w:rFonts w:hint="eastAsia" w:ascii="宋体" w:hAnsi="宋体" w:eastAsia="宋体" w:cs="宋体"/>
                <w:highlight w:val="none"/>
                <w:lang w:bidi="ar"/>
              </w:rPr>
              <w:t>采购标的</w:t>
            </w:r>
          </w:p>
        </w:tc>
        <w:tc>
          <w:tcPr>
            <w:tcW w:w="3753" w:type="dxa"/>
            <w:tcBorders>
              <w:top w:val="single" w:color="000000" w:sz="4" w:space="0"/>
              <w:left w:val="nil"/>
              <w:bottom w:val="single" w:color="000000" w:sz="4" w:space="0"/>
              <w:right w:val="single" w:color="000000" w:sz="4" w:space="0"/>
            </w:tcBorders>
            <w:vAlign w:val="center"/>
          </w:tcPr>
          <w:p w14:paraId="7C03805F">
            <w:pPr>
              <w:pStyle w:val="13"/>
              <w:widowControl/>
              <w:spacing w:beforeAutospacing="0" w:line="360" w:lineRule="exact"/>
              <w:jc w:val="center"/>
              <w:rPr>
                <w:rFonts w:hint="eastAsia" w:ascii="宋体" w:hAnsi="宋体" w:eastAsia="宋体" w:cs="宋体"/>
                <w:highlight w:val="none"/>
              </w:rPr>
            </w:pPr>
            <w:r>
              <w:rPr>
                <w:rFonts w:hint="eastAsia" w:ascii="宋体" w:hAnsi="宋体" w:eastAsia="宋体" w:cs="宋体"/>
                <w:highlight w:val="none"/>
                <w:lang w:bidi="ar"/>
              </w:rPr>
              <w:t>对应中小企业划分标准所属行业</w:t>
            </w:r>
          </w:p>
        </w:tc>
      </w:tr>
      <w:tr w14:paraId="01420B82">
        <w:tblPrEx>
          <w:tblCellMar>
            <w:top w:w="0" w:type="dxa"/>
            <w:left w:w="108" w:type="dxa"/>
            <w:bottom w:w="0" w:type="dxa"/>
            <w:right w:w="108" w:type="dxa"/>
          </w:tblCellMar>
        </w:tblPrEx>
        <w:trPr>
          <w:trHeight w:val="160" w:hRule="atLeast"/>
          <w:jc w:val="center"/>
        </w:trPr>
        <w:tc>
          <w:tcPr>
            <w:tcW w:w="724" w:type="dxa"/>
            <w:tcBorders>
              <w:top w:val="single" w:color="000000" w:sz="4" w:space="0"/>
              <w:left w:val="single" w:color="000000" w:sz="4" w:space="0"/>
              <w:bottom w:val="single" w:color="000000" w:sz="4" w:space="0"/>
              <w:right w:val="single" w:color="000000" w:sz="4" w:space="0"/>
            </w:tcBorders>
            <w:vAlign w:val="center"/>
          </w:tcPr>
          <w:p w14:paraId="7206B7E1">
            <w:pPr>
              <w:pStyle w:val="13"/>
              <w:widowControl/>
              <w:spacing w:beforeAutospacing="0" w:line="360" w:lineRule="exact"/>
              <w:jc w:val="center"/>
              <w:rPr>
                <w:rFonts w:hint="eastAsia" w:ascii="宋体" w:hAnsi="宋体" w:eastAsia="宋体" w:cs="宋体"/>
                <w:highlight w:val="none"/>
              </w:rPr>
            </w:pPr>
            <w:r>
              <w:rPr>
                <w:rFonts w:hint="eastAsia" w:ascii="宋体" w:hAnsi="宋体" w:eastAsia="宋体" w:cs="宋体"/>
                <w:highlight w:val="none"/>
                <w:lang w:bidi="ar"/>
              </w:rPr>
              <w:t>1</w:t>
            </w:r>
          </w:p>
        </w:tc>
        <w:tc>
          <w:tcPr>
            <w:tcW w:w="4572" w:type="dxa"/>
            <w:tcBorders>
              <w:top w:val="single" w:color="000000" w:sz="4" w:space="0"/>
              <w:left w:val="nil"/>
              <w:bottom w:val="single" w:color="000000" w:sz="4" w:space="0"/>
              <w:right w:val="single" w:color="000000" w:sz="4" w:space="0"/>
            </w:tcBorders>
            <w:vAlign w:val="center"/>
          </w:tcPr>
          <w:p w14:paraId="06C924C8">
            <w:pPr>
              <w:pStyle w:val="13"/>
              <w:widowControl/>
              <w:spacing w:beforeAutospacing="0" w:line="360" w:lineRule="exact"/>
              <w:jc w:val="center"/>
              <w:rPr>
                <w:rFonts w:hint="eastAsia" w:ascii="宋体" w:hAnsi="宋体" w:eastAsia="宋体" w:cs="宋体"/>
                <w:highlight w:val="none"/>
                <w:lang w:bidi="ar"/>
              </w:rPr>
            </w:pPr>
            <w:r>
              <w:rPr>
                <w:rFonts w:hint="eastAsia" w:asciiTheme="minorEastAsia" w:hAnsiTheme="minorEastAsia" w:eastAsiaTheme="minorEastAsia" w:cstheme="minorEastAsia"/>
                <w:color w:val="auto"/>
                <w:sz w:val="24"/>
                <w:szCs w:val="24"/>
                <w:highlight w:val="none"/>
              </w:rPr>
              <w:t>射阳县自然资源和规划局2026年度耕地占补平衡、城乡建设用地增减挂钩项目入库和竣工测绘服务采购项目</w:t>
            </w:r>
            <w:r>
              <w:rPr>
                <w:rFonts w:hint="eastAsia" w:asciiTheme="minorEastAsia" w:hAnsiTheme="minorEastAsia" w:eastAsiaTheme="minorEastAsia" w:cstheme="minorEastAsia"/>
                <w:color w:val="auto"/>
                <w:sz w:val="24"/>
                <w:szCs w:val="24"/>
                <w:highlight w:val="none"/>
                <w:shd w:val="clear" w:color="auto" w:fill="auto"/>
              </w:rPr>
              <w:t> </w:t>
            </w:r>
          </w:p>
        </w:tc>
        <w:tc>
          <w:tcPr>
            <w:tcW w:w="3753" w:type="dxa"/>
            <w:tcBorders>
              <w:top w:val="single" w:color="000000" w:sz="4" w:space="0"/>
              <w:left w:val="nil"/>
              <w:bottom w:val="single" w:color="000000" w:sz="4" w:space="0"/>
              <w:right w:val="single" w:color="000000" w:sz="4" w:space="0"/>
            </w:tcBorders>
            <w:vAlign w:val="center"/>
          </w:tcPr>
          <w:p w14:paraId="5DF06DEC">
            <w:pPr>
              <w:pStyle w:val="13"/>
              <w:widowControl/>
              <w:shd w:val="clear" w:color="auto" w:fill="FFFFFF"/>
              <w:spacing w:beforeAutospacing="0" w:afterAutospacing="0" w:line="360" w:lineRule="exact"/>
              <w:ind w:firstLine="0" w:firstLineChars="0"/>
              <w:jc w:val="center"/>
              <w:rPr>
                <w:rFonts w:hint="eastAsia" w:ascii="宋体" w:hAnsi="宋体" w:eastAsia="宋体" w:cs="宋体"/>
                <w:highlight w:val="none"/>
              </w:rPr>
            </w:pPr>
            <w:r>
              <w:rPr>
                <w:rFonts w:hint="eastAsia" w:asciiTheme="minorEastAsia" w:hAnsiTheme="minorEastAsia" w:eastAsiaTheme="minorEastAsia" w:cstheme="minorEastAsia"/>
                <w:color w:val="auto"/>
                <w:sz w:val="24"/>
                <w:szCs w:val="24"/>
                <w:highlight w:val="none"/>
                <w:shd w:val="clear" w:color="auto" w:fill="auto"/>
              </w:rPr>
              <w:t>其他未列明行业</w:t>
            </w:r>
          </w:p>
        </w:tc>
      </w:tr>
    </w:tbl>
    <w:p w14:paraId="536B18E0">
      <w:pPr>
        <w:pStyle w:val="13"/>
        <w:spacing w:beforeAutospacing="0" w:afterAutospacing="0" w:line="0" w:lineRule="atLeast"/>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w:t>
      </w:r>
    </w:p>
    <w:p w14:paraId="3280283E">
      <w:pPr>
        <w:pStyle w:val="13"/>
        <w:spacing w:beforeAutospacing="0" w:afterAutospacing="0" w:line="0" w:lineRule="atLeast"/>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w:t>
      </w:r>
    </w:p>
    <w:p w14:paraId="7013DB98">
      <w:pPr>
        <w:pStyle w:val="13"/>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63438960">
      <w:pPr>
        <w:pStyle w:val="13"/>
        <w:spacing w:beforeAutospacing="0" w:afterAutospacing="0"/>
        <w:ind w:firstLine="602"/>
        <w:jc w:val="both"/>
        <w:rPr>
          <w:color w:val="auto"/>
          <w:highlight w:val="none"/>
          <w:shd w:val="clear" w:color="auto" w:fill="auto"/>
        </w:rPr>
      </w:pPr>
      <w:r>
        <w:rPr>
          <w:color w:val="auto"/>
          <w:highlight w:val="none"/>
          <w:shd w:val="clear" w:color="auto" w:fill="auto"/>
        </w:rPr>
        <w:t> </w:t>
      </w:r>
    </w:p>
    <w:p w14:paraId="1450A16B">
      <w:pPr>
        <w:pStyle w:val="13"/>
        <w:spacing w:beforeAutospacing="0" w:afterAutospacing="0"/>
        <w:jc w:val="both"/>
        <w:rPr>
          <w:color w:val="auto"/>
          <w:highlight w:val="none"/>
          <w:shd w:val="clear" w:color="auto" w:fill="auto"/>
        </w:rPr>
      </w:pPr>
      <w:r>
        <w:rPr>
          <w:color w:val="auto"/>
          <w:highlight w:val="none"/>
          <w:shd w:val="clear" w:color="auto" w:fill="auto"/>
        </w:rPr>
        <w:t> </w:t>
      </w:r>
    </w:p>
    <w:p w14:paraId="04CDADF4">
      <w:pPr>
        <w:pStyle w:val="13"/>
        <w:tabs>
          <w:tab w:val="left" w:pos="6205"/>
        </w:tabs>
        <w:spacing w:beforeAutospacing="0" w:afterAutospacing="0"/>
        <w:jc w:val="both"/>
        <w:rPr>
          <w:color w:val="auto"/>
          <w:highlight w:val="none"/>
          <w:shd w:val="clear" w:color="auto" w:fill="auto"/>
        </w:rPr>
      </w:pPr>
      <w:r>
        <w:rPr>
          <w:color w:val="auto"/>
          <w:highlight w:val="none"/>
          <w:shd w:val="clear" w:color="auto" w:fill="auto"/>
        </w:rPr>
        <w:t> </w:t>
      </w:r>
    </w:p>
    <w:p w14:paraId="2629703C">
      <w:pPr>
        <w:pStyle w:val="13"/>
        <w:tabs>
          <w:tab w:val="left" w:pos="6205"/>
        </w:tabs>
        <w:spacing w:beforeAutospacing="0" w:afterAutospacing="0"/>
        <w:jc w:val="both"/>
        <w:rPr>
          <w:color w:val="auto"/>
          <w:highlight w:val="none"/>
          <w:shd w:val="clear" w:color="auto" w:fill="auto"/>
        </w:rPr>
      </w:pPr>
      <w:r>
        <w:rPr>
          <w:color w:val="auto"/>
          <w:highlight w:val="none"/>
          <w:shd w:val="clear" w:color="auto" w:fill="auto"/>
        </w:rPr>
        <w:t> </w:t>
      </w:r>
    </w:p>
    <w:p w14:paraId="00CFFBA5">
      <w:pPr>
        <w:pStyle w:val="13"/>
        <w:tabs>
          <w:tab w:val="left" w:pos="6205"/>
        </w:tabs>
        <w:spacing w:beforeAutospacing="0" w:afterAutospacing="0"/>
        <w:jc w:val="both"/>
        <w:rPr>
          <w:color w:val="auto"/>
          <w:highlight w:val="none"/>
          <w:shd w:val="clear" w:color="auto" w:fill="auto"/>
        </w:rPr>
      </w:pPr>
    </w:p>
    <w:p w14:paraId="2851DC52">
      <w:pPr>
        <w:pStyle w:val="13"/>
        <w:tabs>
          <w:tab w:val="left" w:pos="6205"/>
        </w:tabs>
        <w:spacing w:beforeAutospacing="0" w:afterAutospacing="0"/>
        <w:jc w:val="both"/>
        <w:rPr>
          <w:color w:val="auto"/>
          <w:highlight w:val="none"/>
          <w:shd w:val="clear" w:color="auto" w:fill="auto"/>
        </w:rPr>
      </w:pPr>
    </w:p>
    <w:p w14:paraId="21F60FD3">
      <w:pPr>
        <w:pStyle w:val="13"/>
        <w:tabs>
          <w:tab w:val="left" w:pos="6205"/>
        </w:tabs>
        <w:spacing w:beforeAutospacing="0" w:afterAutospacing="0"/>
        <w:jc w:val="both"/>
        <w:rPr>
          <w:color w:val="auto"/>
          <w:highlight w:val="none"/>
          <w:shd w:val="clear" w:color="auto" w:fill="auto"/>
        </w:rPr>
      </w:pPr>
    </w:p>
    <w:p w14:paraId="0CAEE4C4">
      <w:pPr>
        <w:pStyle w:val="13"/>
        <w:tabs>
          <w:tab w:val="left" w:pos="6205"/>
        </w:tabs>
        <w:spacing w:beforeAutospacing="0" w:afterAutospacing="0"/>
        <w:jc w:val="both"/>
        <w:rPr>
          <w:color w:val="auto"/>
          <w:highlight w:val="none"/>
          <w:shd w:val="clear" w:color="auto" w:fill="auto"/>
        </w:rPr>
      </w:pPr>
    </w:p>
    <w:p w14:paraId="39DE15E9">
      <w:pPr>
        <w:pStyle w:val="13"/>
        <w:tabs>
          <w:tab w:val="left" w:pos="6205"/>
        </w:tabs>
        <w:spacing w:beforeAutospacing="0" w:afterAutospacing="0"/>
        <w:jc w:val="both"/>
        <w:rPr>
          <w:color w:val="auto"/>
          <w:highlight w:val="none"/>
          <w:shd w:val="clear" w:color="auto" w:fill="auto"/>
        </w:rPr>
      </w:pPr>
    </w:p>
    <w:p w14:paraId="7632FB55">
      <w:pPr>
        <w:pStyle w:val="13"/>
        <w:tabs>
          <w:tab w:val="left" w:pos="6205"/>
        </w:tabs>
        <w:spacing w:beforeAutospacing="0" w:afterAutospacing="0"/>
        <w:jc w:val="both"/>
        <w:rPr>
          <w:color w:val="auto"/>
          <w:highlight w:val="none"/>
          <w:shd w:val="clear" w:color="auto" w:fill="auto"/>
        </w:rPr>
      </w:pPr>
    </w:p>
    <w:p w14:paraId="03ABA69E">
      <w:pPr>
        <w:pStyle w:val="13"/>
        <w:tabs>
          <w:tab w:val="left" w:pos="6205"/>
        </w:tabs>
        <w:spacing w:beforeAutospacing="0" w:afterAutospacing="0"/>
        <w:jc w:val="both"/>
        <w:rPr>
          <w:color w:val="auto"/>
          <w:highlight w:val="none"/>
          <w:shd w:val="clear" w:color="auto" w:fill="auto"/>
        </w:rPr>
      </w:pPr>
    </w:p>
    <w:p w14:paraId="3AFE7C24">
      <w:pPr>
        <w:pStyle w:val="13"/>
        <w:tabs>
          <w:tab w:val="left" w:pos="6205"/>
        </w:tabs>
        <w:spacing w:beforeAutospacing="0" w:afterAutospacing="0"/>
        <w:jc w:val="both"/>
        <w:rPr>
          <w:color w:val="auto"/>
          <w:highlight w:val="none"/>
          <w:shd w:val="clear" w:color="auto" w:fill="auto"/>
        </w:rPr>
      </w:pPr>
    </w:p>
    <w:p w14:paraId="2AD66577">
      <w:pPr>
        <w:pStyle w:val="13"/>
        <w:tabs>
          <w:tab w:val="left" w:pos="6205"/>
        </w:tabs>
        <w:spacing w:beforeAutospacing="0" w:afterAutospacing="0"/>
        <w:jc w:val="both"/>
        <w:rPr>
          <w:color w:val="auto"/>
          <w:highlight w:val="none"/>
          <w:shd w:val="clear" w:color="auto" w:fill="auto"/>
        </w:rPr>
      </w:pPr>
    </w:p>
    <w:p w14:paraId="600AC96A">
      <w:pPr>
        <w:pStyle w:val="13"/>
        <w:tabs>
          <w:tab w:val="left" w:pos="6205"/>
        </w:tabs>
        <w:spacing w:beforeAutospacing="0" w:afterAutospacing="0"/>
        <w:jc w:val="both"/>
        <w:rPr>
          <w:color w:val="auto"/>
          <w:highlight w:val="none"/>
          <w:shd w:val="clear" w:color="auto" w:fill="auto"/>
        </w:rPr>
      </w:pPr>
    </w:p>
    <w:p w14:paraId="5AB043C0">
      <w:pPr>
        <w:pStyle w:val="13"/>
        <w:tabs>
          <w:tab w:val="left" w:pos="6205"/>
        </w:tabs>
        <w:spacing w:beforeAutospacing="0" w:afterAutospacing="0"/>
        <w:jc w:val="both"/>
        <w:rPr>
          <w:color w:val="auto"/>
          <w:highlight w:val="none"/>
          <w:shd w:val="clear" w:color="auto" w:fill="auto"/>
        </w:rPr>
      </w:pPr>
    </w:p>
    <w:p w14:paraId="2638E9DB">
      <w:pPr>
        <w:pStyle w:val="13"/>
        <w:tabs>
          <w:tab w:val="left" w:pos="6205"/>
        </w:tabs>
        <w:spacing w:beforeAutospacing="0" w:afterAutospacing="0"/>
        <w:jc w:val="both"/>
        <w:rPr>
          <w:color w:val="auto"/>
          <w:highlight w:val="none"/>
          <w:shd w:val="clear" w:color="auto" w:fill="auto"/>
        </w:rPr>
      </w:pPr>
    </w:p>
    <w:p w14:paraId="4F6B9175">
      <w:pPr>
        <w:pStyle w:val="13"/>
        <w:tabs>
          <w:tab w:val="left" w:pos="6205"/>
        </w:tabs>
        <w:spacing w:beforeAutospacing="0" w:afterAutospacing="0"/>
        <w:jc w:val="both"/>
        <w:rPr>
          <w:color w:val="auto"/>
          <w:highlight w:val="none"/>
          <w:shd w:val="clear" w:color="auto" w:fill="auto"/>
        </w:rPr>
      </w:pPr>
    </w:p>
    <w:p w14:paraId="1D1C8049">
      <w:pPr>
        <w:pStyle w:val="13"/>
        <w:tabs>
          <w:tab w:val="left" w:pos="6205"/>
        </w:tabs>
        <w:spacing w:beforeAutospacing="0" w:afterAutospacing="0"/>
        <w:jc w:val="both"/>
        <w:rPr>
          <w:color w:val="auto"/>
          <w:highlight w:val="none"/>
          <w:shd w:val="clear" w:color="auto" w:fill="auto"/>
        </w:rPr>
      </w:pPr>
    </w:p>
    <w:p w14:paraId="60DD6069">
      <w:pPr>
        <w:pStyle w:val="13"/>
        <w:tabs>
          <w:tab w:val="left" w:pos="6205"/>
        </w:tabs>
        <w:spacing w:beforeAutospacing="0" w:afterAutospacing="0"/>
        <w:jc w:val="both"/>
        <w:rPr>
          <w:color w:val="auto"/>
          <w:highlight w:val="none"/>
          <w:shd w:val="clear" w:color="auto" w:fill="auto"/>
        </w:rPr>
      </w:pPr>
    </w:p>
    <w:p w14:paraId="368A4178">
      <w:pPr>
        <w:pStyle w:val="13"/>
        <w:tabs>
          <w:tab w:val="left" w:pos="6205"/>
        </w:tabs>
        <w:spacing w:beforeAutospacing="0" w:afterAutospacing="0"/>
        <w:jc w:val="both"/>
        <w:rPr>
          <w:color w:val="auto"/>
          <w:highlight w:val="none"/>
          <w:shd w:val="clear" w:color="auto" w:fill="auto"/>
        </w:rPr>
      </w:pPr>
    </w:p>
    <w:p w14:paraId="3DB985B2">
      <w:pPr>
        <w:pStyle w:val="13"/>
        <w:tabs>
          <w:tab w:val="left" w:pos="6205"/>
        </w:tabs>
        <w:spacing w:beforeAutospacing="0" w:afterAutospacing="0"/>
        <w:jc w:val="both"/>
        <w:rPr>
          <w:color w:val="auto"/>
          <w:highlight w:val="none"/>
          <w:shd w:val="clear" w:color="auto" w:fill="auto"/>
        </w:rPr>
      </w:pPr>
    </w:p>
    <w:p w14:paraId="0A9B2988">
      <w:pPr>
        <w:pStyle w:val="13"/>
        <w:tabs>
          <w:tab w:val="left" w:pos="6205"/>
        </w:tabs>
        <w:spacing w:beforeAutospacing="0" w:afterAutospacing="0"/>
        <w:jc w:val="both"/>
        <w:rPr>
          <w:color w:val="auto"/>
          <w:highlight w:val="none"/>
          <w:shd w:val="clear" w:color="auto" w:fill="auto"/>
        </w:rPr>
      </w:pPr>
    </w:p>
    <w:p w14:paraId="6F247900">
      <w:pPr>
        <w:pStyle w:val="13"/>
        <w:tabs>
          <w:tab w:val="left" w:pos="6205"/>
        </w:tabs>
        <w:spacing w:beforeAutospacing="0" w:afterAutospacing="0"/>
        <w:jc w:val="both"/>
        <w:rPr>
          <w:color w:val="auto"/>
          <w:highlight w:val="none"/>
          <w:shd w:val="clear" w:color="auto" w:fill="auto"/>
        </w:rPr>
      </w:pPr>
    </w:p>
    <w:p w14:paraId="5BF97E50">
      <w:pPr>
        <w:pStyle w:val="13"/>
        <w:tabs>
          <w:tab w:val="left" w:pos="6205"/>
        </w:tabs>
        <w:spacing w:beforeAutospacing="0" w:afterAutospacing="0"/>
        <w:jc w:val="both"/>
        <w:rPr>
          <w:color w:val="auto"/>
          <w:highlight w:val="none"/>
          <w:shd w:val="clear" w:color="auto" w:fill="auto"/>
        </w:rPr>
      </w:pPr>
    </w:p>
    <w:p w14:paraId="4926CF0D">
      <w:pPr>
        <w:pStyle w:val="13"/>
        <w:tabs>
          <w:tab w:val="left" w:pos="6205"/>
        </w:tabs>
        <w:spacing w:beforeAutospacing="0" w:afterAutospacing="0"/>
        <w:jc w:val="both"/>
        <w:rPr>
          <w:color w:val="auto"/>
          <w:highlight w:val="none"/>
          <w:shd w:val="clear" w:color="auto" w:fill="auto"/>
        </w:rPr>
      </w:pPr>
    </w:p>
    <w:p w14:paraId="50E16B75">
      <w:pPr>
        <w:pStyle w:val="13"/>
        <w:tabs>
          <w:tab w:val="left" w:pos="6205"/>
        </w:tabs>
        <w:spacing w:beforeAutospacing="0" w:afterAutospacing="0"/>
        <w:jc w:val="both"/>
        <w:rPr>
          <w:color w:val="auto"/>
          <w:highlight w:val="none"/>
          <w:shd w:val="clear" w:color="auto" w:fill="auto"/>
        </w:rPr>
      </w:pPr>
    </w:p>
    <w:p w14:paraId="382319BE">
      <w:pPr>
        <w:pStyle w:val="13"/>
        <w:tabs>
          <w:tab w:val="left" w:pos="6205"/>
        </w:tabs>
        <w:spacing w:beforeAutospacing="0" w:afterAutospacing="0"/>
        <w:jc w:val="both"/>
        <w:rPr>
          <w:color w:val="auto"/>
          <w:highlight w:val="none"/>
          <w:shd w:val="clear" w:color="auto" w:fill="auto"/>
        </w:rPr>
      </w:pPr>
    </w:p>
    <w:p w14:paraId="673E4E44">
      <w:pPr>
        <w:pStyle w:val="13"/>
        <w:tabs>
          <w:tab w:val="left" w:pos="6205"/>
        </w:tabs>
        <w:spacing w:beforeAutospacing="0" w:afterAutospacing="0"/>
        <w:jc w:val="both"/>
        <w:rPr>
          <w:color w:val="auto"/>
          <w:highlight w:val="none"/>
          <w:shd w:val="clear" w:color="auto" w:fill="auto"/>
        </w:rPr>
      </w:pPr>
    </w:p>
    <w:p w14:paraId="4A161F38">
      <w:pPr>
        <w:pStyle w:val="13"/>
        <w:tabs>
          <w:tab w:val="left" w:pos="6205"/>
        </w:tabs>
        <w:spacing w:beforeAutospacing="0" w:afterAutospacing="0"/>
        <w:jc w:val="both"/>
        <w:rPr>
          <w:color w:val="auto"/>
          <w:highlight w:val="none"/>
          <w:shd w:val="clear" w:color="auto" w:fill="auto"/>
        </w:rPr>
      </w:pPr>
    </w:p>
    <w:p w14:paraId="6663F612">
      <w:pPr>
        <w:pStyle w:val="13"/>
        <w:tabs>
          <w:tab w:val="left" w:pos="6205"/>
        </w:tabs>
        <w:spacing w:beforeAutospacing="0" w:afterAutospacing="0"/>
        <w:jc w:val="both"/>
        <w:rPr>
          <w:color w:val="auto"/>
          <w:highlight w:val="none"/>
          <w:shd w:val="clear" w:color="auto" w:fill="auto"/>
        </w:rPr>
      </w:pPr>
    </w:p>
    <w:p w14:paraId="0F0BBD15">
      <w:pPr>
        <w:pStyle w:val="13"/>
        <w:tabs>
          <w:tab w:val="left" w:pos="6205"/>
        </w:tabs>
        <w:spacing w:beforeAutospacing="0" w:afterAutospacing="0"/>
        <w:jc w:val="both"/>
        <w:rPr>
          <w:color w:val="auto"/>
          <w:highlight w:val="none"/>
          <w:shd w:val="clear" w:color="auto" w:fill="auto"/>
        </w:rPr>
      </w:pPr>
    </w:p>
    <w:p w14:paraId="2B3D57C3">
      <w:pPr>
        <w:jc w:val="center"/>
        <w:outlineLvl w:val="0"/>
        <w:rPr>
          <w:color w:val="auto"/>
          <w:highlight w:val="none"/>
        </w:rPr>
      </w:pPr>
      <w:bookmarkStart w:id="165" w:name="_Toc120614281"/>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评审方法与评审标准</w:t>
      </w:r>
      <w:bookmarkEnd w:id="165"/>
    </w:p>
    <w:p w14:paraId="11AEE45A">
      <w:pPr>
        <w:pStyle w:val="13"/>
        <w:spacing w:beforeAutospacing="0" w:afterAutospacing="0"/>
        <w:jc w:val="both"/>
        <w:rPr>
          <w:color w:val="auto"/>
          <w:highlight w:val="none"/>
        </w:rPr>
      </w:pPr>
      <w:r>
        <w:rPr>
          <w:color w:val="auto"/>
          <w:highlight w:val="none"/>
        </w:rPr>
        <w:t> </w:t>
      </w:r>
    </w:p>
    <w:p w14:paraId="668FEA9F">
      <w:pPr>
        <w:snapToGrid w:val="0"/>
        <w:spacing w:line="360" w:lineRule="auto"/>
        <w:outlineLvl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一、定标原则</w:t>
      </w:r>
    </w:p>
    <w:p w14:paraId="2AE93734">
      <w:pPr>
        <w:spacing w:line="360" w:lineRule="exact"/>
        <w:ind w:firstLine="488"/>
        <w:rPr>
          <w:rFonts w:hint="eastAsia" w:asciiTheme="minorEastAsia" w:hAnsiTheme="minorEastAsia" w:eastAsiaTheme="minorEastAsia" w:cstheme="minorEastAsia"/>
          <w:color w:val="000000"/>
          <w:sz w:val="24"/>
          <w:lang w:val="en-US" w:eastAsia="zh-CN"/>
        </w:rPr>
      </w:pPr>
      <w:r>
        <w:rPr>
          <w:rFonts w:hint="eastAsia" w:asciiTheme="minorEastAsia" w:hAnsiTheme="minorEastAsia" w:eastAsiaTheme="minorEastAsia" w:cstheme="minorEastAsia"/>
          <w:color w:val="000000"/>
          <w:sz w:val="24"/>
          <w:lang w:val="en-US" w:eastAsia="zh-CN"/>
        </w:rPr>
        <w:t>本项目采用综合评分法，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本项目选取1名成交候选供应商。</w:t>
      </w:r>
    </w:p>
    <w:p w14:paraId="2A960480">
      <w:pPr>
        <w:pStyle w:val="13"/>
        <w:spacing w:before="120" w:beforeAutospacing="0" w:after="120" w:afterAutospacing="0" w:line="360" w:lineRule="auto"/>
        <w:ind w:firstLine="441" w:firstLineChars="0"/>
        <w:outlineLvl w:val="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rPr>
        <w:t>政府采购政策功能落实</w:t>
      </w:r>
    </w:p>
    <w:p w14:paraId="18DEBF05">
      <w:pPr>
        <w:spacing w:line="360" w:lineRule="exact"/>
        <w:ind w:firstLine="488"/>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（1）本项目专门面向中小企业采购，不再对小型和微型企业产品给予价格扣除。</w:t>
      </w:r>
    </w:p>
    <w:p w14:paraId="3452E368">
      <w:pPr>
        <w:spacing w:line="360" w:lineRule="exact"/>
        <w:ind w:firstLine="488"/>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（2）供应商需按照采购文件的要求提供相应的《企业声明函》。</w:t>
      </w:r>
    </w:p>
    <w:p w14:paraId="6AEAD649">
      <w:pPr>
        <w:spacing w:line="360" w:lineRule="exact"/>
        <w:ind w:firstLine="488"/>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（3）本次采购项目属于其他未列明行业。</w:t>
      </w:r>
    </w:p>
    <w:p w14:paraId="4E2B8FA0">
      <w:pPr>
        <w:spacing w:line="360" w:lineRule="exact"/>
        <w:ind w:firstLine="488"/>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（4）企业标准请参照《关于印发中小企业划型标准规定的通知》（工信部联企业[2011]300号）文件规定自行填写。</w:t>
      </w:r>
    </w:p>
    <w:p w14:paraId="7831D68C">
      <w:pPr>
        <w:spacing w:line="360" w:lineRule="exact"/>
        <w:ind w:firstLine="488"/>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（5）本项目对残疾人福利性单位视同小型、微型企业。残疾人福利单位标准请参照《关于促进残疾人就业政府采购政策的通知》（财库〔2017〕141号），需提供《残疾人福利性单位声明函》。</w:t>
      </w:r>
    </w:p>
    <w:p w14:paraId="2B00A881">
      <w:pPr>
        <w:spacing w:line="360" w:lineRule="exact"/>
        <w:ind w:firstLine="488"/>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6）本项目对监狱和戒毒企业（简称监狱企业）视同小型、微型企业。监狱企业参加政府采购活动时，需提供由省级以上监狱管理局、戒毒管理局(含新疆生产建设兵团)出具的属于监狱企业的证明文件。监狱企业标准请参照《关于政府采购支持监狱企业发展有关问题的通知》（财库[2014]68号）。</w:t>
      </w:r>
    </w:p>
    <w:p w14:paraId="534D2937">
      <w:pPr>
        <w:spacing w:line="360" w:lineRule="exact"/>
        <w:ind w:firstLine="488"/>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特别说明：供应商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供应商予以关注。</w:t>
      </w:r>
    </w:p>
    <w:p w14:paraId="52330057">
      <w:pPr>
        <w:spacing w:line="360" w:lineRule="exact"/>
        <w:ind w:firstLine="488"/>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（7）</w:t>
      </w:r>
      <w:r>
        <w:rPr>
          <w:rFonts w:hint="eastAsia" w:asciiTheme="minorEastAsia" w:hAnsiTheme="minorEastAsia" w:eastAsiaTheme="minorEastAsia" w:cstheme="minorEastAsia"/>
          <w:sz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eastAsiaTheme="minorEastAsia" w:cstheme="minorEastAsia"/>
          <w:b/>
          <w:i/>
          <w:sz w:val="24"/>
        </w:rPr>
        <w:t>如属政府强制采购产品未提供认证证书的或认证证书提供不全的将视为未实质性响应采购要求</w:t>
      </w:r>
      <w:r>
        <w:rPr>
          <w:rFonts w:hint="eastAsia" w:asciiTheme="minorEastAsia" w:hAnsiTheme="minorEastAsia" w:eastAsiaTheme="minorEastAsia" w:cstheme="minorEastAsia"/>
          <w:i/>
          <w:sz w:val="24"/>
        </w:rPr>
        <w:t>。</w:t>
      </w:r>
      <w:r>
        <w:rPr>
          <w:rFonts w:hint="eastAsia" w:asciiTheme="minorEastAsia" w:hAnsiTheme="minorEastAsia" w:eastAsiaTheme="minorEastAsia" w:cstheme="minorEastAsia"/>
          <w:sz w:val="24"/>
        </w:rPr>
        <w:t>其他条件相同情况下，应当优先采购节能产品、环境标志产品。</w:t>
      </w:r>
    </w:p>
    <w:p w14:paraId="09A0EFE3">
      <w:pPr>
        <w:spacing w:line="360" w:lineRule="exact"/>
        <w:ind w:firstLine="488"/>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8）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 </w:t>
      </w:r>
    </w:p>
    <w:p w14:paraId="7E1F889D">
      <w:pPr>
        <w:spacing w:line="360" w:lineRule="exact"/>
        <w:ind w:firstLine="48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（9）</w:t>
      </w:r>
      <w:r>
        <w:rPr>
          <w:rFonts w:hint="eastAsia" w:asciiTheme="minorEastAsia" w:hAnsiTheme="minorEastAsia" w:eastAsiaTheme="minorEastAsia" w:cstheme="minorEastAsia"/>
          <w:sz w:val="24"/>
        </w:rPr>
        <w:t>供应商对于投标产品的商品包装、快递包装应按照“财办库〔2020〕123号《关于印发《商品包装政府采购需求标准（试行）》、《快递包装政府采购需求标准（试行）》的通知》”执行。</w:t>
      </w:r>
    </w:p>
    <w:p w14:paraId="1AC8F53C">
      <w:pPr>
        <w:spacing w:line="360" w:lineRule="exact"/>
        <w:ind w:firstLine="488"/>
        <w:rPr>
          <w:rFonts w:hint="eastAsia" w:asciiTheme="minorEastAsia" w:hAnsiTheme="minorEastAsia" w:eastAsiaTheme="minorEastAsia" w:cstheme="minorEastAsia"/>
          <w:b/>
          <w:color w:val="000000"/>
          <w:sz w:val="24"/>
        </w:rPr>
      </w:pPr>
      <w:r>
        <w:rPr>
          <w:rFonts w:hint="eastAsia" w:asciiTheme="minorEastAsia" w:hAnsiTheme="minorEastAsia" w:eastAsiaTheme="minorEastAsia" w:cstheme="minorEastAsia"/>
          <w:color w:val="000000"/>
          <w:sz w:val="24"/>
        </w:rPr>
        <w:t>（10）</w:t>
      </w:r>
      <w:r>
        <w:rPr>
          <w:rFonts w:hint="eastAsia" w:asciiTheme="minorEastAsia" w:hAnsiTheme="minorEastAsia" w:eastAsiaTheme="minorEastAsia" w:cstheme="minorEastAsia"/>
          <w:sz w:val="24"/>
        </w:rPr>
        <w:t>本文件中若涉及到数据中心采购，应按照《&lt;绿色数据中心政府采购需求标准（试行）&gt;的通知》（财库〔2023〕7号）执行。</w:t>
      </w:r>
    </w:p>
    <w:p w14:paraId="48B14CA2">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rPr>
        <w:t>8</w:t>
      </w:r>
      <w:r>
        <w:rPr>
          <w:rFonts w:hint="eastAsia" w:ascii="宋体" w:hAnsi="宋体" w:eastAsia="宋体" w:cs="宋体"/>
          <w:color w:val="auto"/>
          <w:kern w:val="0"/>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szCs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szCs w:val="24"/>
          <w:highlight w:val="none"/>
        </w:rPr>
        <w:t>。</w:t>
      </w:r>
      <w:r>
        <w:rPr>
          <w:rFonts w:hint="eastAsia" w:ascii="宋体" w:hAnsi="宋体" w:eastAsia="宋体" w:cs="宋体"/>
          <w:color w:val="auto"/>
          <w:kern w:val="0"/>
          <w:sz w:val="24"/>
          <w:szCs w:val="24"/>
          <w:highlight w:val="none"/>
        </w:rPr>
        <w:t>其他条件相同情况下，应当优先采购节能产品、环境标志产品。</w:t>
      </w:r>
    </w:p>
    <w:p w14:paraId="794D56A2">
      <w:pPr>
        <w:pStyle w:val="13"/>
        <w:spacing w:before="120" w:beforeAutospacing="0" w:after="120" w:afterAutospacing="0" w:line="0" w:lineRule="atLeast"/>
        <w:ind w:firstLine="482" w:firstLineChars="0"/>
        <w:outlineLvl w:val="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三、</w:t>
      </w:r>
      <w:r>
        <w:rPr>
          <w:rFonts w:hint="eastAsia" w:ascii="宋体" w:hAnsi="宋体" w:eastAsia="宋体" w:cs="宋体"/>
          <w:b/>
          <w:color w:val="auto"/>
          <w:sz w:val="24"/>
          <w:szCs w:val="24"/>
          <w:highlight w:val="none"/>
        </w:rPr>
        <w:t>评审方法与评审标准</w:t>
      </w:r>
    </w:p>
    <w:tbl>
      <w:tblPr>
        <w:tblStyle w:val="16"/>
        <w:tblW w:w="99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7"/>
        <w:gridCol w:w="1188"/>
        <w:gridCol w:w="7130"/>
        <w:gridCol w:w="854"/>
      </w:tblGrid>
      <w:tr w14:paraId="3C0DA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 w:hRule="atLeast"/>
          <w:jc w:val="center"/>
        </w:trPr>
        <w:tc>
          <w:tcPr>
            <w:tcW w:w="807" w:type="dxa"/>
            <w:noWrap w:val="0"/>
            <w:vAlign w:val="center"/>
          </w:tcPr>
          <w:p w14:paraId="43962E69">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序号</w:t>
            </w:r>
          </w:p>
        </w:tc>
        <w:tc>
          <w:tcPr>
            <w:tcW w:w="1188" w:type="dxa"/>
            <w:noWrap w:val="0"/>
            <w:vAlign w:val="center"/>
          </w:tcPr>
          <w:p w14:paraId="639217CC">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评分项</w:t>
            </w:r>
          </w:p>
        </w:tc>
        <w:tc>
          <w:tcPr>
            <w:tcW w:w="7130" w:type="dxa"/>
            <w:noWrap w:val="0"/>
            <w:vAlign w:val="center"/>
          </w:tcPr>
          <w:p w14:paraId="5FD423EA">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评分细则</w:t>
            </w:r>
          </w:p>
        </w:tc>
        <w:tc>
          <w:tcPr>
            <w:tcW w:w="854" w:type="dxa"/>
            <w:noWrap w:val="0"/>
            <w:vAlign w:val="center"/>
          </w:tcPr>
          <w:p w14:paraId="05733B0D">
            <w:pPr>
              <w:jc w:val="center"/>
              <w:rPr>
                <w:rFonts w:hint="eastAsia" w:ascii="宋体" w:hAnsi="宋体" w:eastAsia="宋体" w:cs="宋体"/>
                <w:b/>
                <w:sz w:val="24"/>
                <w:szCs w:val="24"/>
              </w:rPr>
            </w:pPr>
            <w:r>
              <w:rPr>
                <w:rFonts w:hint="eastAsia" w:ascii="宋体" w:hAnsi="宋体" w:eastAsia="宋体" w:cs="宋体"/>
                <w:b/>
                <w:sz w:val="24"/>
                <w:szCs w:val="24"/>
              </w:rPr>
              <w:t>满分分值</w:t>
            </w:r>
          </w:p>
        </w:tc>
      </w:tr>
      <w:tr w14:paraId="42EBB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87" w:hRule="atLeast"/>
          <w:jc w:val="center"/>
        </w:trPr>
        <w:tc>
          <w:tcPr>
            <w:tcW w:w="807" w:type="dxa"/>
            <w:noWrap w:val="0"/>
            <w:vAlign w:val="center"/>
          </w:tcPr>
          <w:p w14:paraId="2EFEEC5D">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1188" w:type="dxa"/>
            <w:noWrap w:val="0"/>
            <w:vAlign w:val="center"/>
          </w:tcPr>
          <w:p w14:paraId="37E5E84E">
            <w:pPr>
              <w:autoSpaceDE w:val="0"/>
              <w:autoSpaceDN w:val="0"/>
              <w:adjustRightIn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价格分</w:t>
            </w:r>
          </w:p>
        </w:tc>
        <w:tc>
          <w:tcPr>
            <w:tcW w:w="7130" w:type="dxa"/>
            <w:noWrap w:val="0"/>
            <w:vAlign w:val="center"/>
          </w:tcPr>
          <w:p w14:paraId="4796EE47">
            <w:pPr>
              <w:spacing w:line="360" w:lineRule="exact"/>
              <w:ind w:firstLine="480" w:firstLineChars="200"/>
              <w:jc w:val="left"/>
              <w:rPr>
                <w:rFonts w:hint="eastAsia" w:ascii="宋体" w:hAnsi="宋体" w:eastAsia="宋体"/>
                <w:sz w:val="24"/>
              </w:rPr>
            </w:pPr>
            <w:r>
              <w:rPr>
                <w:rFonts w:hint="eastAsia" w:ascii="宋体" w:hAnsi="宋体" w:eastAsia="宋体" w:cs="宋体"/>
                <w:sz w:val="24"/>
              </w:rPr>
              <w:t>采用低价优先法计算，即满足磋商文件要求且投标价格最低的投标报价为评标基准价，其价格分为满分：</w:t>
            </w:r>
          </w:p>
          <w:p w14:paraId="3FD5D205">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rPr>
              <w:t>各供应商价格得分=（评标基准价/投标报价）×10（按四舍五入取至小数点后两位）。</w:t>
            </w:r>
          </w:p>
        </w:tc>
        <w:tc>
          <w:tcPr>
            <w:tcW w:w="854" w:type="dxa"/>
            <w:noWrap w:val="0"/>
            <w:vAlign w:val="center"/>
          </w:tcPr>
          <w:p w14:paraId="6EBCB85A">
            <w:pPr>
              <w:jc w:val="center"/>
              <w:rPr>
                <w:rFonts w:hint="eastAsia" w:ascii="宋体" w:hAnsi="宋体" w:eastAsia="宋体" w:cs="宋体"/>
                <w:sz w:val="24"/>
                <w:szCs w:val="24"/>
              </w:rPr>
            </w:pPr>
            <w:r>
              <w:rPr>
                <w:rFonts w:hint="eastAsia" w:ascii="宋体" w:hAnsi="宋体" w:eastAsia="宋体" w:cs="宋体"/>
                <w:sz w:val="24"/>
                <w:szCs w:val="24"/>
                <w:lang w:val="en-US" w:eastAsia="zh-CN"/>
              </w:rPr>
              <w:t>10</w:t>
            </w:r>
            <w:r>
              <w:rPr>
                <w:rFonts w:hint="eastAsia" w:ascii="宋体" w:hAnsi="宋体" w:eastAsia="宋体" w:cs="宋体"/>
                <w:sz w:val="24"/>
                <w:szCs w:val="24"/>
              </w:rPr>
              <w:t>分</w:t>
            </w:r>
          </w:p>
        </w:tc>
      </w:tr>
      <w:tr w14:paraId="6EC2B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03" w:hRule="atLeast"/>
          <w:jc w:val="center"/>
        </w:trPr>
        <w:tc>
          <w:tcPr>
            <w:tcW w:w="807" w:type="dxa"/>
            <w:noWrap w:val="0"/>
            <w:vAlign w:val="center"/>
          </w:tcPr>
          <w:p w14:paraId="61549237">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188" w:type="dxa"/>
            <w:noWrap w:val="0"/>
            <w:vAlign w:val="center"/>
          </w:tcPr>
          <w:p w14:paraId="2D659A3E">
            <w:pPr>
              <w:tabs>
                <w:tab w:val="left" w:pos="280"/>
              </w:tabs>
              <w:autoSpaceDE w:val="0"/>
              <w:autoSpaceDN w:val="0"/>
              <w:adjustRightInd w:val="0"/>
              <w:spacing w:line="360" w:lineRule="auto"/>
              <w:jc w:val="left"/>
              <w:rPr>
                <w:rFonts w:hint="eastAsia" w:ascii="宋体" w:hAnsi="宋体" w:eastAsia="宋体" w:cs="宋体"/>
                <w:sz w:val="24"/>
                <w:szCs w:val="24"/>
              </w:rPr>
            </w:pPr>
            <w:r>
              <w:rPr>
                <w:rFonts w:hint="eastAsia" w:ascii="宋体" w:hAnsi="宋体" w:eastAsia="宋体" w:cs="Arial"/>
                <w:color w:val="auto"/>
                <w:kern w:val="0"/>
                <w:sz w:val="24"/>
                <w:szCs w:val="24"/>
                <w:rtl w:val="0"/>
                <w:lang w:val="en-US" w:eastAsia="zh-CN"/>
              </w:rPr>
              <w:t>实施方案</w:t>
            </w:r>
          </w:p>
        </w:tc>
        <w:tc>
          <w:tcPr>
            <w:tcW w:w="7130" w:type="dxa"/>
            <w:noWrap w:val="0"/>
            <w:vAlign w:val="center"/>
          </w:tcPr>
          <w:p w14:paraId="76EC724B">
            <w:pPr>
              <w:spacing w:line="360" w:lineRule="exact"/>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1、</w:t>
            </w:r>
            <w:r>
              <w:rPr>
                <w:rFonts w:hint="eastAsia" w:ascii="宋体" w:hAnsi="宋体" w:eastAsia="宋体" w:cs="宋体"/>
                <w:sz w:val="24"/>
                <w:highlight w:val="none"/>
              </w:rPr>
              <w:t>根据投标人</w:t>
            </w:r>
            <w:r>
              <w:rPr>
                <w:rFonts w:hint="eastAsia" w:ascii="宋体" w:hAnsi="宋体" w:eastAsia="宋体" w:cs="宋体"/>
                <w:sz w:val="24"/>
                <w:highlight w:val="none"/>
                <w:lang w:val="en-US" w:eastAsia="zh-CN"/>
              </w:rPr>
              <w:t>针对本项目</w:t>
            </w:r>
            <w:r>
              <w:rPr>
                <w:rFonts w:hint="eastAsia" w:ascii="宋体" w:hAnsi="宋体" w:eastAsia="宋体" w:cs="宋体"/>
                <w:sz w:val="24"/>
                <w:highlight w:val="none"/>
              </w:rPr>
              <w:t>制定的</w:t>
            </w:r>
            <w:r>
              <w:rPr>
                <w:rFonts w:hint="eastAsia" w:ascii="宋体" w:hAnsi="宋体" w:eastAsia="宋体" w:cs="宋体"/>
                <w:sz w:val="24"/>
                <w:highlight w:val="none"/>
                <w:lang w:val="en-US" w:eastAsia="zh-CN"/>
              </w:rPr>
              <w:t>项目实施方案（内容包括但不限于对项目</w:t>
            </w:r>
            <w:r>
              <w:rPr>
                <w:rFonts w:hint="eastAsia" w:ascii="宋体" w:hAnsi="宋体" w:eastAsia="宋体" w:cs="宋体"/>
                <w:sz w:val="24"/>
                <w:highlight w:val="none"/>
              </w:rPr>
              <w:t>理解</w:t>
            </w:r>
            <w:r>
              <w:rPr>
                <w:rFonts w:hint="eastAsia" w:ascii="宋体" w:hAnsi="宋体" w:eastAsia="宋体" w:cs="宋体"/>
                <w:sz w:val="24"/>
                <w:highlight w:val="none"/>
                <w:lang w:val="en-US" w:eastAsia="zh-CN"/>
              </w:rPr>
              <w:t>程度</w:t>
            </w:r>
            <w:r>
              <w:rPr>
                <w:rFonts w:hint="eastAsia" w:ascii="宋体" w:hAnsi="宋体" w:eastAsia="宋体" w:cs="宋体"/>
                <w:sz w:val="24"/>
                <w:highlight w:val="none"/>
              </w:rPr>
              <w:t>、内容分析、工作流程</w:t>
            </w:r>
            <w:r>
              <w:rPr>
                <w:rFonts w:hint="eastAsia" w:ascii="宋体" w:hAnsi="宋体" w:eastAsia="宋体" w:cs="宋体"/>
                <w:sz w:val="24"/>
                <w:highlight w:val="none"/>
                <w:lang w:val="en-US" w:eastAsia="zh-CN"/>
              </w:rPr>
              <w:t>等）</w:t>
            </w:r>
            <w:r>
              <w:rPr>
                <w:rFonts w:hint="eastAsia" w:ascii="宋体" w:hAnsi="宋体" w:eastAsia="宋体" w:cs="宋体"/>
                <w:sz w:val="24"/>
                <w:highlight w:val="none"/>
              </w:rPr>
              <w:t>进行综合</w:t>
            </w:r>
            <w:r>
              <w:rPr>
                <w:rFonts w:hint="eastAsia" w:ascii="宋体" w:hAnsi="宋体" w:eastAsia="宋体" w:cs="宋体"/>
                <w:sz w:val="24"/>
                <w:highlight w:val="none"/>
                <w:lang w:val="en-US" w:eastAsia="zh-CN"/>
              </w:rPr>
              <w:t>评审：</w:t>
            </w:r>
          </w:p>
          <w:p w14:paraId="51E5B2AB">
            <w:pPr>
              <w:spacing w:line="360" w:lineRule="exact"/>
              <w:ind w:firstLine="482" w:firstLineChars="200"/>
              <w:jc w:val="left"/>
              <w:rPr>
                <w:rFonts w:hint="eastAsia" w:ascii="宋体" w:hAnsi="宋体" w:eastAsia="宋体" w:cs="宋体"/>
                <w:b/>
                <w:bCs/>
                <w:sz w:val="24"/>
                <w:highlight w:val="none"/>
              </w:rPr>
            </w:pPr>
            <w:r>
              <w:rPr>
                <w:rFonts w:hint="default" w:ascii="宋体" w:hAnsi="宋体" w:eastAsia="宋体" w:cs="宋体"/>
                <w:b/>
                <w:bCs/>
                <w:sz w:val="24"/>
                <w:highlight w:val="none"/>
                <w:lang w:val="en-US" w:eastAsia="zh-CN"/>
              </w:rPr>
              <w:t>方案中有上述内容，方案完整详细、思路清晰明了、对现状有全面深入的了解、</w:t>
            </w:r>
            <w:r>
              <w:rPr>
                <w:rFonts w:hint="eastAsia" w:hAnsi="宋体" w:eastAsia="宋体" w:cs="宋体"/>
                <w:b/>
                <w:bCs/>
                <w:sz w:val="24"/>
                <w:szCs w:val="24"/>
                <w:highlight w:val="none"/>
              </w:rPr>
              <w:t>可操作性强且有不同于其他</w:t>
            </w:r>
            <w:r>
              <w:rPr>
                <w:rFonts w:hint="eastAsia" w:hAnsi="宋体" w:eastAsia="宋体" w:cs="宋体"/>
                <w:b/>
                <w:bCs/>
                <w:sz w:val="24"/>
                <w:szCs w:val="24"/>
                <w:highlight w:val="none"/>
                <w:lang w:eastAsia="zh-CN"/>
              </w:rPr>
              <w:t>供应商</w:t>
            </w:r>
            <w:r>
              <w:rPr>
                <w:rFonts w:hint="eastAsia" w:hAnsi="宋体" w:eastAsia="宋体" w:cs="宋体"/>
                <w:b/>
                <w:bCs/>
                <w:sz w:val="24"/>
                <w:szCs w:val="24"/>
                <w:highlight w:val="none"/>
              </w:rPr>
              <w:t>特色举措</w:t>
            </w:r>
            <w:r>
              <w:rPr>
                <w:rFonts w:hint="default" w:ascii="宋体" w:hAnsi="宋体" w:eastAsia="宋体" w:cs="宋体"/>
                <w:b/>
                <w:bCs/>
                <w:sz w:val="24"/>
                <w:highlight w:val="none"/>
                <w:lang w:val="en-US" w:eastAsia="zh-CN"/>
              </w:rPr>
              <w:t>，完全满足采购需求的得</w:t>
            </w:r>
            <w:r>
              <w:rPr>
                <w:rFonts w:hint="eastAsia" w:ascii="宋体" w:hAnsi="宋体" w:eastAsia="宋体" w:cs="宋体"/>
                <w:b/>
                <w:bCs/>
                <w:sz w:val="24"/>
                <w:highlight w:val="none"/>
                <w:lang w:val="en-US" w:eastAsia="zh-CN"/>
              </w:rPr>
              <w:t>15</w:t>
            </w:r>
            <w:r>
              <w:rPr>
                <w:rFonts w:hint="default" w:ascii="宋体" w:hAnsi="宋体" w:eastAsia="宋体" w:cs="宋体"/>
                <w:b/>
                <w:bCs/>
                <w:sz w:val="24"/>
                <w:highlight w:val="none"/>
                <w:lang w:val="en-US" w:eastAsia="zh-CN"/>
              </w:rPr>
              <w:t>分；每有一项内容缺失的扣</w:t>
            </w:r>
            <w:r>
              <w:rPr>
                <w:rFonts w:hint="eastAsia" w:ascii="宋体" w:hAnsi="宋体" w:eastAsia="宋体" w:cs="宋体"/>
                <w:b/>
                <w:bCs/>
                <w:sz w:val="24"/>
                <w:highlight w:val="none"/>
                <w:lang w:val="en-US" w:eastAsia="zh-CN"/>
              </w:rPr>
              <w:t>5</w:t>
            </w:r>
            <w:r>
              <w:rPr>
                <w:rFonts w:hint="default" w:ascii="宋体" w:hAnsi="宋体" w:eastAsia="宋体" w:cs="宋体"/>
                <w:b/>
                <w:bCs/>
                <w:sz w:val="24"/>
                <w:highlight w:val="none"/>
                <w:lang w:val="en-US" w:eastAsia="zh-CN"/>
              </w:rPr>
              <w:t xml:space="preserve">分； </w:t>
            </w:r>
            <w:r>
              <w:rPr>
                <w:rFonts w:hint="eastAsia" w:ascii="宋体" w:hAnsi="宋体" w:eastAsia="宋体" w:cs="宋体"/>
                <w:b/>
                <w:bCs/>
                <w:sz w:val="24"/>
                <w:highlight w:val="none"/>
              </w:rPr>
              <w:t>每有一处内容存在缺陷或不满足</w:t>
            </w:r>
            <w:r>
              <w:rPr>
                <w:rFonts w:hint="eastAsia" w:ascii="宋体" w:hAnsi="宋体" w:eastAsia="宋体" w:cs="宋体"/>
                <w:b/>
                <w:bCs/>
                <w:sz w:val="24"/>
                <w:highlight w:val="none"/>
                <w:lang w:val="en-US" w:eastAsia="zh-CN"/>
              </w:rPr>
              <w:t>需求</w:t>
            </w:r>
            <w:r>
              <w:rPr>
                <w:rFonts w:hint="eastAsia" w:ascii="宋体" w:hAnsi="宋体" w:eastAsia="宋体" w:cs="宋体"/>
                <w:b/>
                <w:bCs/>
                <w:sz w:val="24"/>
                <w:highlight w:val="none"/>
              </w:rPr>
              <w:t>的扣</w:t>
            </w:r>
            <w:r>
              <w:rPr>
                <w:rFonts w:hint="eastAsia" w:ascii="宋体" w:hAnsi="宋体" w:eastAsia="宋体" w:cs="宋体"/>
                <w:b/>
                <w:bCs/>
                <w:sz w:val="24"/>
                <w:highlight w:val="none"/>
                <w:lang w:val="en-US" w:eastAsia="zh-CN"/>
              </w:rPr>
              <w:t>1</w:t>
            </w:r>
            <w:r>
              <w:rPr>
                <w:rFonts w:hint="eastAsia" w:ascii="宋体" w:hAnsi="宋体" w:eastAsia="宋体" w:cs="宋体"/>
                <w:b/>
                <w:bCs/>
                <w:sz w:val="24"/>
                <w:highlight w:val="none"/>
              </w:rPr>
              <w:t>分，扣完为止</w:t>
            </w:r>
            <w:r>
              <w:rPr>
                <w:rFonts w:hint="eastAsia" w:ascii="宋体" w:hAnsi="宋体" w:eastAsia="宋体" w:cs="宋体"/>
                <w:b/>
                <w:bCs/>
                <w:sz w:val="24"/>
                <w:highlight w:val="none"/>
                <w:lang w:eastAsia="zh-CN"/>
              </w:rPr>
              <w:t>（</w:t>
            </w:r>
            <w:r>
              <w:rPr>
                <w:rFonts w:hint="eastAsia" w:ascii="宋体" w:hAnsi="宋体" w:eastAsia="宋体" w:cs="宋体"/>
                <w:b/>
                <w:bCs/>
                <w:sz w:val="24"/>
                <w:highlight w:val="none"/>
              </w:rPr>
              <w:t>缺陷或不满足指</w:t>
            </w:r>
            <w:r>
              <w:rPr>
                <w:rFonts w:hint="eastAsia" w:ascii="宋体" w:hAnsi="宋体" w:eastAsia="宋体" w:cs="宋体"/>
                <w:b/>
                <w:bCs/>
                <w:sz w:val="24"/>
                <w:highlight w:val="none"/>
                <w:lang w:eastAsia="zh-CN"/>
              </w:rPr>
              <w:t>：</w:t>
            </w:r>
            <w:r>
              <w:rPr>
                <w:rFonts w:hint="eastAsia" w:ascii="宋体" w:hAnsi="宋体" w:eastAsia="宋体" w:cs="宋体"/>
                <w:b/>
                <w:bCs/>
                <w:sz w:val="24"/>
                <w:highlight w:val="none"/>
              </w:rPr>
              <w:t>内容不全面、</w:t>
            </w:r>
            <w:r>
              <w:rPr>
                <w:rFonts w:hint="eastAsia" w:hAnsi="宋体" w:eastAsia="宋体" w:cs="宋体"/>
                <w:b/>
                <w:bCs/>
                <w:sz w:val="24"/>
                <w:szCs w:val="24"/>
                <w:highlight w:val="none"/>
              </w:rPr>
              <w:t>条理不清晰</w:t>
            </w:r>
            <w:r>
              <w:rPr>
                <w:rFonts w:hint="eastAsia" w:hAnsi="宋体" w:eastAsia="宋体" w:cs="宋体"/>
                <w:b/>
                <w:bCs/>
                <w:sz w:val="24"/>
                <w:szCs w:val="24"/>
                <w:highlight w:val="none"/>
                <w:lang w:eastAsia="zh-CN"/>
              </w:rPr>
              <w:t>、</w:t>
            </w:r>
            <w:r>
              <w:rPr>
                <w:rFonts w:hint="eastAsia" w:ascii="宋体" w:hAnsi="宋体" w:eastAsia="宋体" w:cs="宋体"/>
                <w:b/>
                <w:bCs/>
                <w:sz w:val="24"/>
                <w:highlight w:val="none"/>
              </w:rPr>
              <w:t>与实际需求不符、内容不清晰或交叉混乱、套用其他项目方案、有规范性或常识性错误、有逻辑漏洞、存在无关的事项、凭空编造、存在不可能实现的夸大情形等任意一种情形</w:t>
            </w:r>
            <w:r>
              <w:rPr>
                <w:rFonts w:hint="eastAsia" w:ascii="宋体" w:hAnsi="宋体" w:eastAsia="宋体" w:cs="宋体"/>
                <w:b/>
                <w:bCs/>
                <w:sz w:val="24"/>
                <w:highlight w:val="none"/>
                <w:lang w:eastAsia="zh-CN"/>
              </w:rPr>
              <w:t>）</w:t>
            </w:r>
            <w:r>
              <w:rPr>
                <w:rFonts w:hint="default" w:ascii="宋体" w:hAnsi="宋体" w:eastAsia="宋体" w:cs="宋体"/>
                <w:b/>
                <w:bCs/>
                <w:sz w:val="24"/>
                <w:highlight w:val="none"/>
                <w:lang w:val="en-US" w:eastAsia="zh-CN"/>
              </w:rPr>
              <w:t>；未提供方案不得分。</w:t>
            </w:r>
          </w:p>
          <w:p w14:paraId="7E912445">
            <w:pPr>
              <w:spacing w:line="360" w:lineRule="exact"/>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2、</w:t>
            </w:r>
            <w:r>
              <w:rPr>
                <w:rFonts w:hint="eastAsia" w:ascii="宋体" w:hAnsi="宋体" w:eastAsia="宋体" w:cs="宋体"/>
                <w:sz w:val="24"/>
                <w:highlight w:val="none"/>
              </w:rPr>
              <w:t>根据投标人</w:t>
            </w:r>
            <w:r>
              <w:rPr>
                <w:rFonts w:hint="eastAsia" w:ascii="宋体" w:hAnsi="宋体" w:eastAsia="宋体" w:cs="宋体"/>
                <w:sz w:val="24"/>
                <w:highlight w:val="none"/>
                <w:lang w:val="en-US" w:eastAsia="zh-CN"/>
              </w:rPr>
              <w:t>针对本项目</w:t>
            </w:r>
            <w:r>
              <w:rPr>
                <w:rFonts w:hint="eastAsia" w:ascii="宋体" w:hAnsi="宋体" w:eastAsia="宋体" w:cs="宋体"/>
                <w:sz w:val="24"/>
                <w:highlight w:val="none"/>
              </w:rPr>
              <w:t>制定</w:t>
            </w:r>
            <w:r>
              <w:rPr>
                <w:rFonts w:hint="eastAsia" w:ascii="宋体" w:hAnsi="宋体" w:eastAsia="宋体" w:cs="宋体"/>
                <w:b w:val="0"/>
                <w:bCs w:val="0"/>
                <w:sz w:val="24"/>
                <w:highlight w:val="none"/>
              </w:rPr>
              <w:t>的</w:t>
            </w:r>
            <w:r>
              <w:rPr>
                <w:rFonts w:hint="eastAsia" w:hAnsi="宋体" w:eastAsia="宋体" w:cs="宋体"/>
                <w:b w:val="0"/>
                <w:bCs w:val="0"/>
                <w:sz w:val="24"/>
                <w:szCs w:val="24"/>
                <w:highlight w:val="none"/>
                <w:lang w:val="en-US" w:eastAsia="zh-CN"/>
              </w:rPr>
              <w:t>进度计划安排</w:t>
            </w:r>
            <w:r>
              <w:rPr>
                <w:rFonts w:hint="eastAsia" w:ascii="宋体" w:hAnsi="宋体" w:eastAsia="宋体" w:cs="宋体"/>
                <w:sz w:val="24"/>
                <w:highlight w:val="none"/>
                <w:lang w:val="en-US" w:eastAsia="zh-CN"/>
              </w:rPr>
              <w:t>（内容包括但不限于</w:t>
            </w:r>
            <w:r>
              <w:rPr>
                <w:rFonts w:hint="eastAsia" w:hAnsi="宋体" w:eastAsia="宋体" w:cs="宋体"/>
                <w:sz w:val="24"/>
                <w:szCs w:val="24"/>
                <w:highlight w:val="none"/>
              </w:rPr>
              <w:t>对项目进度安排</w:t>
            </w:r>
            <w:r>
              <w:rPr>
                <w:rFonts w:hint="eastAsia" w:hAnsi="宋体" w:eastAsia="宋体" w:cs="宋体"/>
                <w:sz w:val="24"/>
                <w:szCs w:val="24"/>
                <w:highlight w:val="none"/>
                <w:lang w:val="en-US" w:eastAsia="zh-CN"/>
              </w:rPr>
              <w:t>及保障</w:t>
            </w:r>
            <w:r>
              <w:rPr>
                <w:rFonts w:hint="eastAsia" w:hAnsi="宋体" w:eastAsia="宋体" w:cs="宋体"/>
                <w:sz w:val="24"/>
                <w:szCs w:val="24"/>
                <w:highlight w:val="none"/>
                <w:lang w:eastAsia="zh-CN"/>
              </w:rPr>
              <w:t>、</w:t>
            </w:r>
            <w:r>
              <w:rPr>
                <w:rFonts w:hint="eastAsia" w:hAnsi="宋体" w:eastAsia="宋体" w:cs="宋体"/>
                <w:sz w:val="24"/>
                <w:szCs w:val="24"/>
                <w:highlight w:val="none"/>
              </w:rPr>
              <w:t>工序管理、突发情况应急办法</w:t>
            </w:r>
            <w:r>
              <w:rPr>
                <w:rFonts w:hint="eastAsia" w:hAnsi="宋体" w:eastAsia="宋体" w:cs="宋体"/>
                <w:sz w:val="24"/>
                <w:szCs w:val="24"/>
                <w:highlight w:val="none"/>
                <w:lang w:val="en-US" w:eastAsia="zh-CN"/>
              </w:rPr>
              <w:t>等</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进行综合</w:t>
            </w:r>
            <w:r>
              <w:rPr>
                <w:rFonts w:hint="eastAsia" w:ascii="宋体" w:hAnsi="宋体" w:eastAsia="宋体" w:cs="宋体"/>
                <w:sz w:val="24"/>
                <w:highlight w:val="none"/>
                <w:lang w:val="en-US" w:eastAsia="zh-CN"/>
              </w:rPr>
              <w:t>评审：</w:t>
            </w:r>
          </w:p>
          <w:p w14:paraId="4C910CA9">
            <w:pPr>
              <w:spacing w:line="360" w:lineRule="exact"/>
              <w:ind w:firstLine="482" w:firstLineChars="200"/>
              <w:jc w:val="left"/>
              <w:rPr>
                <w:rFonts w:hint="eastAsia" w:ascii="宋体" w:hAnsi="宋体" w:eastAsia="宋体" w:cs="宋体"/>
                <w:b/>
                <w:bCs/>
                <w:sz w:val="24"/>
                <w:highlight w:val="none"/>
              </w:rPr>
            </w:pPr>
            <w:r>
              <w:rPr>
                <w:rFonts w:hint="default" w:ascii="宋体" w:hAnsi="宋体" w:eastAsia="宋体" w:cs="宋体"/>
                <w:b/>
                <w:bCs/>
                <w:sz w:val="24"/>
                <w:highlight w:val="none"/>
                <w:lang w:val="en-US" w:eastAsia="zh-CN"/>
              </w:rPr>
              <w:t>方案中有上述内容，方案完整详细、思路清晰明了、对现状有全面深入的了解、</w:t>
            </w:r>
            <w:r>
              <w:rPr>
                <w:rFonts w:hint="eastAsia" w:hAnsi="宋体" w:eastAsia="宋体" w:cs="宋体"/>
                <w:b/>
                <w:bCs/>
                <w:sz w:val="24"/>
                <w:szCs w:val="24"/>
                <w:highlight w:val="none"/>
              </w:rPr>
              <w:t>可操作性强且有不同于其他</w:t>
            </w:r>
            <w:r>
              <w:rPr>
                <w:rFonts w:hint="eastAsia" w:hAnsi="宋体" w:eastAsia="宋体" w:cs="宋体"/>
                <w:b/>
                <w:bCs/>
                <w:sz w:val="24"/>
                <w:szCs w:val="24"/>
                <w:highlight w:val="none"/>
                <w:lang w:eastAsia="zh-CN"/>
              </w:rPr>
              <w:t>供应商</w:t>
            </w:r>
            <w:r>
              <w:rPr>
                <w:rFonts w:hint="eastAsia" w:hAnsi="宋体" w:eastAsia="宋体" w:cs="宋体"/>
                <w:b/>
                <w:bCs/>
                <w:sz w:val="24"/>
                <w:szCs w:val="24"/>
                <w:highlight w:val="none"/>
              </w:rPr>
              <w:t>特色举措</w:t>
            </w:r>
            <w:r>
              <w:rPr>
                <w:rFonts w:hint="default" w:ascii="宋体" w:hAnsi="宋体" w:eastAsia="宋体" w:cs="宋体"/>
                <w:b/>
                <w:bCs/>
                <w:sz w:val="24"/>
                <w:highlight w:val="none"/>
                <w:lang w:val="en-US" w:eastAsia="zh-CN"/>
              </w:rPr>
              <w:t>，完全满足采购需求的得</w:t>
            </w:r>
            <w:r>
              <w:rPr>
                <w:rFonts w:hint="eastAsia" w:ascii="宋体" w:hAnsi="宋体" w:eastAsia="宋体" w:cs="宋体"/>
                <w:b/>
                <w:bCs/>
                <w:sz w:val="24"/>
                <w:highlight w:val="none"/>
                <w:lang w:val="en-US" w:eastAsia="zh-CN"/>
              </w:rPr>
              <w:t>15</w:t>
            </w:r>
            <w:r>
              <w:rPr>
                <w:rFonts w:hint="default" w:ascii="宋体" w:hAnsi="宋体" w:eastAsia="宋体" w:cs="宋体"/>
                <w:b/>
                <w:bCs/>
                <w:sz w:val="24"/>
                <w:highlight w:val="none"/>
                <w:lang w:val="en-US" w:eastAsia="zh-CN"/>
              </w:rPr>
              <w:t>分；每有一项内容缺失的扣</w:t>
            </w:r>
            <w:r>
              <w:rPr>
                <w:rFonts w:hint="eastAsia" w:ascii="宋体" w:hAnsi="宋体" w:eastAsia="宋体" w:cs="宋体"/>
                <w:b/>
                <w:bCs/>
                <w:sz w:val="24"/>
                <w:highlight w:val="none"/>
                <w:lang w:val="en-US" w:eastAsia="zh-CN"/>
              </w:rPr>
              <w:t>5</w:t>
            </w:r>
            <w:r>
              <w:rPr>
                <w:rFonts w:hint="default" w:ascii="宋体" w:hAnsi="宋体" w:eastAsia="宋体" w:cs="宋体"/>
                <w:b/>
                <w:bCs/>
                <w:sz w:val="24"/>
                <w:highlight w:val="none"/>
                <w:lang w:val="en-US" w:eastAsia="zh-CN"/>
              </w:rPr>
              <w:t xml:space="preserve">分； </w:t>
            </w:r>
            <w:r>
              <w:rPr>
                <w:rFonts w:hint="eastAsia" w:ascii="宋体" w:hAnsi="宋体" w:eastAsia="宋体" w:cs="宋体"/>
                <w:b/>
                <w:bCs/>
                <w:sz w:val="24"/>
                <w:highlight w:val="none"/>
              </w:rPr>
              <w:t>每有一处内容存在缺陷或不满足</w:t>
            </w:r>
            <w:r>
              <w:rPr>
                <w:rFonts w:hint="eastAsia" w:ascii="宋体" w:hAnsi="宋体" w:eastAsia="宋体" w:cs="宋体"/>
                <w:b/>
                <w:bCs/>
                <w:sz w:val="24"/>
                <w:highlight w:val="none"/>
                <w:lang w:val="en-US" w:eastAsia="zh-CN"/>
              </w:rPr>
              <w:t>需求</w:t>
            </w:r>
            <w:r>
              <w:rPr>
                <w:rFonts w:hint="eastAsia" w:ascii="宋体" w:hAnsi="宋体" w:eastAsia="宋体" w:cs="宋体"/>
                <w:b/>
                <w:bCs/>
                <w:sz w:val="24"/>
                <w:highlight w:val="none"/>
              </w:rPr>
              <w:t>的扣</w:t>
            </w:r>
            <w:r>
              <w:rPr>
                <w:rFonts w:hint="eastAsia" w:ascii="宋体" w:hAnsi="宋体" w:eastAsia="宋体" w:cs="宋体"/>
                <w:b/>
                <w:bCs/>
                <w:sz w:val="24"/>
                <w:highlight w:val="none"/>
                <w:lang w:val="en-US" w:eastAsia="zh-CN"/>
              </w:rPr>
              <w:t>1</w:t>
            </w:r>
            <w:r>
              <w:rPr>
                <w:rFonts w:hint="eastAsia" w:ascii="宋体" w:hAnsi="宋体" w:eastAsia="宋体" w:cs="宋体"/>
                <w:b/>
                <w:bCs/>
                <w:sz w:val="24"/>
                <w:highlight w:val="none"/>
              </w:rPr>
              <w:t>分，扣完为止</w:t>
            </w:r>
            <w:r>
              <w:rPr>
                <w:rFonts w:hint="eastAsia" w:ascii="宋体" w:hAnsi="宋体" w:eastAsia="宋体" w:cs="宋体"/>
                <w:b/>
                <w:bCs/>
                <w:sz w:val="24"/>
                <w:highlight w:val="none"/>
                <w:lang w:eastAsia="zh-CN"/>
              </w:rPr>
              <w:t>（</w:t>
            </w:r>
            <w:r>
              <w:rPr>
                <w:rFonts w:hint="eastAsia" w:ascii="宋体" w:hAnsi="宋体" w:eastAsia="宋体" w:cs="宋体"/>
                <w:b/>
                <w:bCs/>
                <w:sz w:val="24"/>
                <w:highlight w:val="none"/>
              </w:rPr>
              <w:t>缺陷或不满足指</w:t>
            </w:r>
            <w:r>
              <w:rPr>
                <w:rFonts w:hint="eastAsia" w:ascii="宋体" w:hAnsi="宋体" w:eastAsia="宋体" w:cs="宋体"/>
                <w:b/>
                <w:bCs/>
                <w:sz w:val="24"/>
                <w:highlight w:val="none"/>
                <w:lang w:eastAsia="zh-CN"/>
              </w:rPr>
              <w:t>：</w:t>
            </w:r>
            <w:r>
              <w:rPr>
                <w:rFonts w:hint="eastAsia" w:ascii="宋体" w:hAnsi="宋体" w:eastAsia="宋体" w:cs="宋体"/>
                <w:b/>
                <w:bCs/>
                <w:sz w:val="24"/>
                <w:highlight w:val="none"/>
              </w:rPr>
              <w:t>内容不全面、</w:t>
            </w:r>
            <w:r>
              <w:rPr>
                <w:rFonts w:hint="eastAsia" w:hAnsi="宋体" w:eastAsia="宋体" w:cs="宋体"/>
                <w:b/>
                <w:bCs/>
                <w:sz w:val="24"/>
                <w:szCs w:val="24"/>
                <w:highlight w:val="none"/>
              </w:rPr>
              <w:t>条理不清晰</w:t>
            </w:r>
            <w:r>
              <w:rPr>
                <w:rFonts w:hint="eastAsia" w:hAnsi="宋体" w:eastAsia="宋体" w:cs="宋体"/>
                <w:b/>
                <w:bCs/>
                <w:sz w:val="24"/>
                <w:szCs w:val="24"/>
                <w:highlight w:val="none"/>
                <w:lang w:eastAsia="zh-CN"/>
              </w:rPr>
              <w:t>、</w:t>
            </w:r>
            <w:r>
              <w:rPr>
                <w:rFonts w:hint="eastAsia" w:ascii="宋体" w:hAnsi="宋体" w:eastAsia="宋体" w:cs="宋体"/>
                <w:b/>
                <w:bCs/>
                <w:sz w:val="24"/>
                <w:highlight w:val="none"/>
              </w:rPr>
              <w:t>与实际需求不符、内容不清晰或交叉混乱、套用其他项目方案、有规范性或常识性错误、有逻辑漏洞、存在无关的事项、凭空编造、存在不可能实现的夸大情形等任意一种情形</w:t>
            </w:r>
            <w:r>
              <w:rPr>
                <w:rFonts w:hint="eastAsia" w:ascii="宋体" w:hAnsi="宋体" w:eastAsia="宋体" w:cs="宋体"/>
                <w:b/>
                <w:bCs/>
                <w:sz w:val="24"/>
                <w:highlight w:val="none"/>
                <w:lang w:eastAsia="zh-CN"/>
              </w:rPr>
              <w:t>）</w:t>
            </w:r>
            <w:r>
              <w:rPr>
                <w:rFonts w:hint="default" w:ascii="宋体" w:hAnsi="宋体" w:eastAsia="宋体" w:cs="宋体"/>
                <w:b/>
                <w:bCs/>
                <w:sz w:val="24"/>
                <w:highlight w:val="none"/>
                <w:lang w:val="en-US" w:eastAsia="zh-CN"/>
              </w:rPr>
              <w:t>；未提供方案不得分。</w:t>
            </w:r>
          </w:p>
          <w:p w14:paraId="218DDD9F">
            <w:pPr>
              <w:spacing w:line="360" w:lineRule="exact"/>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3、</w:t>
            </w:r>
            <w:r>
              <w:rPr>
                <w:rFonts w:hint="eastAsia" w:ascii="宋体" w:hAnsi="宋体" w:eastAsia="宋体" w:cs="宋体"/>
                <w:sz w:val="24"/>
                <w:highlight w:val="none"/>
              </w:rPr>
              <w:t>根据投标人</w:t>
            </w:r>
            <w:r>
              <w:rPr>
                <w:rFonts w:hint="eastAsia" w:ascii="宋体" w:hAnsi="宋体" w:eastAsia="宋体" w:cs="宋体"/>
                <w:sz w:val="24"/>
                <w:highlight w:val="none"/>
                <w:lang w:val="en-US" w:eastAsia="zh-CN"/>
              </w:rPr>
              <w:t>针对本项目</w:t>
            </w:r>
            <w:r>
              <w:rPr>
                <w:rFonts w:hint="eastAsia" w:ascii="宋体" w:hAnsi="宋体" w:eastAsia="宋体" w:cs="宋体"/>
                <w:sz w:val="24"/>
                <w:highlight w:val="none"/>
              </w:rPr>
              <w:t>制</w:t>
            </w:r>
            <w:r>
              <w:rPr>
                <w:rFonts w:hint="eastAsia" w:ascii="宋体" w:hAnsi="宋体" w:eastAsia="宋体" w:cs="宋体"/>
                <w:b w:val="0"/>
                <w:bCs w:val="0"/>
                <w:sz w:val="24"/>
                <w:highlight w:val="none"/>
              </w:rPr>
              <w:t>定的</w:t>
            </w:r>
            <w:r>
              <w:rPr>
                <w:rFonts w:hint="eastAsia" w:hAnsi="宋体" w:eastAsia="宋体" w:cs="宋体"/>
                <w:b w:val="0"/>
                <w:bCs w:val="0"/>
                <w:sz w:val="24"/>
                <w:szCs w:val="24"/>
                <w:highlight w:val="none"/>
                <w:lang w:val="en-US" w:eastAsia="zh-CN"/>
              </w:rPr>
              <w:t>质量保证措施</w:t>
            </w:r>
            <w:r>
              <w:rPr>
                <w:rFonts w:hint="eastAsia" w:ascii="宋体" w:hAnsi="宋体" w:eastAsia="宋体" w:cs="宋体"/>
                <w:sz w:val="24"/>
                <w:highlight w:val="none"/>
                <w:lang w:val="en-US" w:eastAsia="zh-CN"/>
              </w:rPr>
              <w:t>（内容包括但不限于</w:t>
            </w:r>
            <w:r>
              <w:rPr>
                <w:rFonts w:hint="eastAsia" w:hAnsi="宋体" w:eastAsia="宋体" w:cs="宋体"/>
                <w:sz w:val="24"/>
                <w:szCs w:val="24"/>
                <w:highlight w:val="none"/>
              </w:rPr>
              <w:t>对项目</w:t>
            </w:r>
            <w:r>
              <w:rPr>
                <w:rFonts w:hint="eastAsia" w:hAnsi="宋体" w:eastAsia="宋体" w:cs="宋体"/>
                <w:sz w:val="24"/>
                <w:szCs w:val="24"/>
                <w:highlight w:val="none"/>
                <w:lang w:val="en-US" w:eastAsia="zh-CN"/>
              </w:rPr>
              <w:t>组织保障、技术保障、质量保障等</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进行综合</w:t>
            </w:r>
            <w:r>
              <w:rPr>
                <w:rFonts w:hint="eastAsia" w:ascii="宋体" w:hAnsi="宋体" w:eastAsia="宋体" w:cs="宋体"/>
                <w:sz w:val="24"/>
                <w:highlight w:val="none"/>
                <w:lang w:val="en-US" w:eastAsia="zh-CN"/>
              </w:rPr>
              <w:t>评审：</w:t>
            </w:r>
          </w:p>
          <w:p w14:paraId="75E306A7">
            <w:pPr>
              <w:spacing w:line="360" w:lineRule="exact"/>
              <w:ind w:firstLine="482" w:firstLineChars="200"/>
              <w:jc w:val="left"/>
              <w:rPr>
                <w:rFonts w:hint="eastAsia" w:ascii="宋体" w:hAnsi="宋体" w:eastAsia="宋体" w:cs="宋体"/>
                <w:b/>
                <w:bCs/>
                <w:sz w:val="24"/>
                <w:highlight w:val="none"/>
              </w:rPr>
            </w:pPr>
            <w:r>
              <w:rPr>
                <w:rFonts w:hint="default" w:ascii="宋体" w:hAnsi="宋体" w:eastAsia="宋体" w:cs="宋体"/>
                <w:b/>
                <w:bCs/>
                <w:sz w:val="24"/>
                <w:highlight w:val="none"/>
                <w:lang w:val="en-US" w:eastAsia="zh-CN"/>
              </w:rPr>
              <w:t>方案中有上述内容，方案完整详细、思路清晰明了、对现状有全面深入的了解、</w:t>
            </w:r>
            <w:r>
              <w:rPr>
                <w:rFonts w:hint="eastAsia" w:hAnsi="宋体" w:eastAsia="宋体" w:cs="宋体"/>
                <w:b/>
                <w:bCs/>
                <w:sz w:val="24"/>
                <w:szCs w:val="24"/>
                <w:highlight w:val="none"/>
              </w:rPr>
              <w:t>可操作性强且有不同于其他</w:t>
            </w:r>
            <w:r>
              <w:rPr>
                <w:rFonts w:hint="eastAsia" w:hAnsi="宋体" w:eastAsia="宋体" w:cs="宋体"/>
                <w:b/>
                <w:bCs/>
                <w:sz w:val="24"/>
                <w:szCs w:val="24"/>
                <w:highlight w:val="none"/>
                <w:lang w:eastAsia="zh-CN"/>
              </w:rPr>
              <w:t>供应商</w:t>
            </w:r>
            <w:r>
              <w:rPr>
                <w:rFonts w:hint="eastAsia" w:hAnsi="宋体" w:eastAsia="宋体" w:cs="宋体"/>
                <w:b/>
                <w:bCs/>
                <w:sz w:val="24"/>
                <w:szCs w:val="24"/>
                <w:highlight w:val="none"/>
              </w:rPr>
              <w:t>特色举措</w:t>
            </w:r>
            <w:r>
              <w:rPr>
                <w:rFonts w:hint="default" w:ascii="宋体" w:hAnsi="宋体" w:eastAsia="宋体" w:cs="宋体"/>
                <w:b/>
                <w:bCs/>
                <w:sz w:val="24"/>
                <w:highlight w:val="none"/>
                <w:lang w:val="en-US" w:eastAsia="zh-CN"/>
              </w:rPr>
              <w:t>，完全满足采购需求的得</w:t>
            </w:r>
            <w:r>
              <w:rPr>
                <w:rFonts w:hint="eastAsia" w:ascii="宋体" w:hAnsi="宋体" w:eastAsia="宋体" w:cs="宋体"/>
                <w:b/>
                <w:bCs/>
                <w:sz w:val="24"/>
                <w:highlight w:val="none"/>
                <w:lang w:val="en-US" w:eastAsia="zh-CN"/>
              </w:rPr>
              <w:t>15</w:t>
            </w:r>
            <w:r>
              <w:rPr>
                <w:rFonts w:hint="default" w:ascii="宋体" w:hAnsi="宋体" w:eastAsia="宋体" w:cs="宋体"/>
                <w:b/>
                <w:bCs/>
                <w:sz w:val="24"/>
                <w:highlight w:val="none"/>
                <w:lang w:val="en-US" w:eastAsia="zh-CN"/>
              </w:rPr>
              <w:t>分；每有一项内容缺失的扣</w:t>
            </w:r>
            <w:r>
              <w:rPr>
                <w:rFonts w:hint="eastAsia" w:ascii="宋体" w:hAnsi="宋体" w:eastAsia="宋体" w:cs="宋体"/>
                <w:b/>
                <w:bCs/>
                <w:sz w:val="24"/>
                <w:highlight w:val="none"/>
                <w:lang w:val="en-US" w:eastAsia="zh-CN"/>
              </w:rPr>
              <w:t>5</w:t>
            </w:r>
            <w:r>
              <w:rPr>
                <w:rFonts w:hint="default" w:ascii="宋体" w:hAnsi="宋体" w:eastAsia="宋体" w:cs="宋体"/>
                <w:b/>
                <w:bCs/>
                <w:sz w:val="24"/>
                <w:highlight w:val="none"/>
                <w:lang w:val="en-US" w:eastAsia="zh-CN"/>
              </w:rPr>
              <w:t xml:space="preserve">分； </w:t>
            </w:r>
            <w:r>
              <w:rPr>
                <w:rFonts w:hint="eastAsia" w:ascii="宋体" w:hAnsi="宋体" w:eastAsia="宋体" w:cs="宋体"/>
                <w:b/>
                <w:bCs/>
                <w:sz w:val="24"/>
                <w:highlight w:val="none"/>
              </w:rPr>
              <w:t>每有一处内容存在缺陷或不满足</w:t>
            </w:r>
            <w:r>
              <w:rPr>
                <w:rFonts w:hint="eastAsia" w:ascii="宋体" w:hAnsi="宋体" w:eastAsia="宋体" w:cs="宋体"/>
                <w:b/>
                <w:bCs/>
                <w:sz w:val="24"/>
                <w:highlight w:val="none"/>
                <w:lang w:val="en-US" w:eastAsia="zh-CN"/>
              </w:rPr>
              <w:t>需求</w:t>
            </w:r>
            <w:r>
              <w:rPr>
                <w:rFonts w:hint="eastAsia" w:ascii="宋体" w:hAnsi="宋体" w:eastAsia="宋体" w:cs="宋体"/>
                <w:b/>
                <w:bCs/>
                <w:sz w:val="24"/>
                <w:highlight w:val="none"/>
              </w:rPr>
              <w:t>的扣</w:t>
            </w:r>
            <w:r>
              <w:rPr>
                <w:rFonts w:hint="eastAsia" w:ascii="宋体" w:hAnsi="宋体" w:eastAsia="宋体" w:cs="宋体"/>
                <w:b/>
                <w:bCs/>
                <w:sz w:val="24"/>
                <w:highlight w:val="none"/>
                <w:lang w:val="en-US" w:eastAsia="zh-CN"/>
              </w:rPr>
              <w:t>1</w:t>
            </w:r>
            <w:r>
              <w:rPr>
                <w:rFonts w:hint="eastAsia" w:ascii="宋体" w:hAnsi="宋体" w:eastAsia="宋体" w:cs="宋体"/>
                <w:b/>
                <w:bCs/>
                <w:sz w:val="24"/>
                <w:highlight w:val="none"/>
              </w:rPr>
              <w:t>分，扣完为止</w:t>
            </w:r>
            <w:r>
              <w:rPr>
                <w:rFonts w:hint="eastAsia" w:ascii="宋体" w:hAnsi="宋体" w:eastAsia="宋体" w:cs="宋体"/>
                <w:b/>
                <w:bCs/>
                <w:sz w:val="24"/>
                <w:highlight w:val="none"/>
                <w:lang w:eastAsia="zh-CN"/>
              </w:rPr>
              <w:t>（</w:t>
            </w:r>
            <w:r>
              <w:rPr>
                <w:rFonts w:hint="eastAsia" w:ascii="宋体" w:hAnsi="宋体" w:eastAsia="宋体" w:cs="宋体"/>
                <w:b/>
                <w:bCs/>
                <w:sz w:val="24"/>
                <w:highlight w:val="none"/>
              </w:rPr>
              <w:t>缺陷或不满足指</w:t>
            </w:r>
            <w:r>
              <w:rPr>
                <w:rFonts w:hint="eastAsia" w:ascii="宋体" w:hAnsi="宋体" w:eastAsia="宋体" w:cs="宋体"/>
                <w:b/>
                <w:bCs/>
                <w:sz w:val="24"/>
                <w:highlight w:val="none"/>
                <w:lang w:eastAsia="zh-CN"/>
              </w:rPr>
              <w:t>：</w:t>
            </w:r>
            <w:r>
              <w:rPr>
                <w:rFonts w:hint="eastAsia" w:ascii="宋体" w:hAnsi="宋体" w:eastAsia="宋体" w:cs="宋体"/>
                <w:b/>
                <w:bCs/>
                <w:sz w:val="24"/>
                <w:highlight w:val="none"/>
              </w:rPr>
              <w:t>内容不全面、</w:t>
            </w:r>
            <w:r>
              <w:rPr>
                <w:rFonts w:hint="eastAsia" w:hAnsi="宋体" w:eastAsia="宋体" w:cs="宋体"/>
                <w:b/>
                <w:bCs/>
                <w:sz w:val="24"/>
                <w:szCs w:val="24"/>
                <w:highlight w:val="none"/>
              </w:rPr>
              <w:t>条理不清晰</w:t>
            </w:r>
            <w:r>
              <w:rPr>
                <w:rFonts w:hint="eastAsia" w:hAnsi="宋体" w:eastAsia="宋体" w:cs="宋体"/>
                <w:b/>
                <w:bCs/>
                <w:sz w:val="24"/>
                <w:szCs w:val="24"/>
                <w:highlight w:val="none"/>
                <w:lang w:eastAsia="zh-CN"/>
              </w:rPr>
              <w:t>、</w:t>
            </w:r>
            <w:r>
              <w:rPr>
                <w:rFonts w:hint="eastAsia" w:ascii="宋体" w:hAnsi="宋体" w:eastAsia="宋体" w:cs="宋体"/>
                <w:b/>
                <w:bCs/>
                <w:sz w:val="24"/>
                <w:highlight w:val="none"/>
              </w:rPr>
              <w:t>与实际需求不符、内容不清晰或交叉混乱、套用其他项目方案、有规范性或常识性错误、有逻辑漏洞、存在无关的事项、凭空编造、存在不可能实现的夸大情形等任意一种情形</w:t>
            </w:r>
            <w:r>
              <w:rPr>
                <w:rFonts w:hint="eastAsia" w:ascii="宋体" w:hAnsi="宋体" w:eastAsia="宋体" w:cs="宋体"/>
                <w:b/>
                <w:bCs/>
                <w:sz w:val="24"/>
                <w:highlight w:val="none"/>
                <w:lang w:eastAsia="zh-CN"/>
              </w:rPr>
              <w:t>）</w:t>
            </w:r>
            <w:r>
              <w:rPr>
                <w:rFonts w:hint="default" w:ascii="宋体" w:hAnsi="宋体" w:eastAsia="宋体" w:cs="宋体"/>
                <w:b/>
                <w:bCs/>
                <w:sz w:val="24"/>
                <w:highlight w:val="none"/>
                <w:lang w:val="en-US" w:eastAsia="zh-CN"/>
              </w:rPr>
              <w:t>；未提供方案不得分。</w:t>
            </w:r>
          </w:p>
          <w:p w14:paraId="51D10BA1">
            <w:pPr>
              <w:spacing w:line="360" w:lineRule="exact"/>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4、</w:t>
            </w:r>
            <w:r>
              <w:rPr>
                <w:rFonts w:hint="eastAsia" w:ascii="宋体" w:hAnsi="宋体" w:eastAsia="宋体" w:cs="宋体"/>
                <w:sz w:val="24"/>
                <w:highlight w:val="none"/>
              </w:rPr>
              <w:t>根据投标人</w:t>
            </w:r>
            <w:r>
              <w:rPr>
                <w:rFonts w:hint="eastAsia" w:ascii="宋体" w:hAnsi="宋体" w:eastAsia="宋体" w:cs="宋体"/>
                <w:sz w:val="24"/>
                <w:highlight w:val="none"/>
                <w:lang w:val="en-US" w:eastAsia="zh-CN"/>
              </w:rPr>
              <w:t>针对本项目</w:t>
            </w:r>
            <w:r>
              <w:rPr>
                <w:rFonts w:hint="eastAsia" w:ascii="宋体" w:hAnsi="宋体" w:eastAsia="宋体" w:cs="宋体"/>
                <w:sz w:val="24"/>
                <w:highlight w:val="none"/>
              </w:rPr>
              <w:t>制</w:t>
            </w:r>
            <w:r>
              <w:rPr>
                <w:rFonts w:hint="eastAsia" w:ascii="宋体" w:hAnsi="宋体" w:eastAsia="宋体" w:cs="宋体"/>
                <w:b w:val="0"/>
                <w:bCs w:val="0"/>
                <w:sz w:val="24"/>
                <w:highlight w:val="none"/>
              </w:rPr>
              <w:t>定的</w:t>
            </w:r>
            <w:r>
              <w:rPr>
                <w:rFonts w:hint="eastAsia" w:hAnsi="宋体" w:eastAsia="宋体" w:cs="宋体"/>
                <w:b w:val="0"/>
                <w:bCs w:val="0"/>
                <w:sz w:val="24"/>
                <w:szCs w:val="24"/>
                <w:highlight w:val="none"/>
                <w:lang w:val="en-US" w:eastAsia="zh-CN"/>
              </w:rPr>
              <w:t>服务承诺及合理化建议</w:t>
            </w:r>
            <w:r>
              <w:rPr>
                <w:rFonts w:hint="eastAsia" w:ascii="宋体" w:hAnsi="宋体" w:eastAsia="宋体" w:cs="宋体"/>
                <w:sz w:val="24"/>
                <w:highlight w:val="none"/>
                <w:lang w:val="en-US" w:eastAsia="zh-CN"/>
              </w:rPr>
              <w:t>（内容包括但不限于</w:t>
            </w:r>
            <w:r>
              <w:rPr>
                <w:rFonts w:hint="eastAsia" w:hAnsi="宋体" w:eastAsia="宋体" w:cs="宋体"/>
                <w:sz w:val="24"/>
                <w:szCs w:val="24"/>
                <w:highlight w:val="none"/>
              </w:rPr>
              <w:t>对项目</w:t>
            </w:r>
            <w:r>
              <w:rPr>
                <w:rFonts w:hint="eastAsia" w:hAnsi="宋体" w:eastAsia="宋体" w:cs="宋体"/>
                <w:sz w:val="24"/>
                <w:szCs w:val="24"/>
                <w:highlight w:val="none"/>
                <w:lang w:val="en-US" w:eastAsia="zh-CN"/>
              </w:rPr>
              <w:t>实施工期、工作质量、工作成果、误期赔偿等</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进行综合</w:t>
            </w:r>
            <w:r>
              <w:rPr>
                <w:rFonts w:hint="eastAsia" w:ascii="宋体" w:hAnsi="宋体" w:eastAsia="宋体" w:cs="宋体"/>
                <w:sz w:val="24"/>
                <w:highlight w:val="none"/>
                <w:lang w:val="en-US" w:eastAsia="zh-CN"/>
              </w:rPr>
              <w:t>评审：</w:t>
            </w:r>
          </w:p>
          <w:p w14:paraId="2D4ABB77">
            <w:pPr>
              <w:spacing w:line="360" w:lineRule="exact"/>
              <w:ind w:firstLine="482" w:firstLineChars="200"/>
              <w:jc w:val="left"/>
              <w:rPr>
                <w:rFonts w:hint="eastAsia" w:ascii="宋体" w:hAnsi="宋体" w:eastAsia="宋体" w:cs="宋体"/>
                <w:b/>
                <w:bCs/>
                <w:sz w:val="24"/>
                <w:szCs w:val="24"/>
                <w:highlight w:val="none"/>
              </w:rPr>
            </w:pPr>
            <w:r>
              <w:rPr>
                <w:rFonts w:hint="default" w:ascii="宋体" w:hAnsi="宋体" w:eastAsia="宋体" w:cs="宋体"/>
                <w:b/>
                <w:bCs/>
                <w:sz w:val="24"/>
                <w:highlight w:val="none"/>
                <w:lang w:val="en-US" w:eastAsia="zh-CN"/>
              </w:rPr>
              <w:t>方案中有上述内容，方案完整详细、思路清晰明了、对现状有全面深入的了解、</w:t>
            </w:r>
            <w:r>
              <w:rPr>
                <w:rFonts w:hint="eastAsia" w:hAnsi="宋体" w:eastAsia="宋体" w:cs="宋体"/>
                <w:b/>
                <w:bCs/>
                <w:sz w:val="24"/>
                <w:szCs w:val="24"/>
                <w:highlight w:val="none"/>
              </w:rPr>
              <w:t>可操作性强且有不同于其他</w:t>
            </w:r>
            <w:r>
              <w:rPr>
                <w:rFonts w:hint="eastAsia" w:hAnsi="宋体" w:eastAsia="宋体" w:cs="宋体"/>
                <w:b/>
                <w:bCs/>
                <w:sz w:val="24"/>
                <w:szCs w:val="24"/>
                <w:highlight w:val="none"/>
                <w:lang w:eastAsia="zh-CN"/>
              </w:rPr>
              <w:t>供应商</w:t>
            </w:r>
            <w:r>
              <w:rPr>
                <w:rFonts w:hint="eastAsia" w:hAnsi="宋体" w:eastAsia="宋体" w:cs="宋体"/>
                <w:b/>
                <w:bCs/>
                <w:sz w:val="24"/>
                <w:szCs w:val="24"/>
                <w:highlight w:val="none"/>
              </w:rPr>
              <w:t>特色举措</w:t>
            </w:r>
            <w:r>
              <w:rPr>
                <w:rFonts w:hint="default" w:ascii="宋体" w:hAnsi="宋体" w:eastAsia="宋体" w:cs="宋体"/>
                <w:b/>
                <w:bCs/>
                <w:sz w:val="24"/>
                <w:highlight w:val="none"/>
                <w:lang w:val="en-US" w:eastAsia="zh-CN"/>
              </w:rPr>
              <w:t>，完全满足采购需求的得</w:t>
            </w:r>
            <w:r>
              <w:rPr>
                <w:rFonts w:hint="eastAsia" w:ascii="宋体" w:hAnsi="宋体" w:eastAsia="宋体" w:cs="宋体"/>
                <w:b/>
                <w:bCs/>
                <w:sz w:val="24"/>
                <w:highlight w:val="none"/>
                <w:lang w:val="en-US" w:eastAsia="zh-CN"/>
              </w:rPr>
              <w:t>10</w:t>
            </w:r>
            <w:r>
              <w:rPr>
                <w:rFonts w:hint="default" w:ascii="宋体" w:hAnsi="宋体" w:eastAsia="宋体" w:cs="宋体"/>
                <w:b/>
                <w:bCs/>
                <w:sz w:val="24"/>
                <w:highlight w:val="none"/>
                <w:lang w:val="en-US" w:eastAsia="zh-CN"/>
              </w:rPr>
              <w:t>分；每有一项内容缺失的扣</w:t>
            </w:r>
            <w:r>
              <w:rPr>
                <w:rFonts w:hint="eastAsia" w:ascii="宋体" w:hAnsi="宋体" w:eastAsia="宋体" w:cs="宋体"/>
                <w:b/>
                <w:bCs/>
                <w:sz w:val="24"/>
                <w:highlight w:val="none"/>
                <w:lang w:val="en-US" w:eastAsia="zh-CN"/>
              </w:rPr>
              <w:t>2.5</w:t>
            </w:r>
            <w:r>
              <w:rPr>
                <w:rFonts w:hint="default" w:ascii="宋体" w:hAnsi="宋体" w:eastAsia="宋体" w:cs="宋体"/>
                <w:b/>
                <w:bCs/>
                <w:sz w:val="24"/>
                <w:highlight w:val="none"/>
                <w:lang w:val="en-US" w:eastAsia="zh-CN"/>
              </w:rPr>
              <w:t xml:space="preserve">分； </w:t>
            </w:r>
            <w:r>
              <w:rPr>
                <w:rFonts w:hint="eastAsia" w:ascii="宋体" w:hAnsi="宋体" w:eastAsia="宋体" w:cs="宋体"/>
                <w:b/>
                <w:bCs/>
                <w:sz w:val="24"/>
                <w:highlight w:val="none"/>
              </w:rPr>
              <w:t>每有一处内容存在缺陷或不满足</w:t>
            </w:r>
            <w:r>
              <w:rPr>
                <w:rFonts w:hint="eastAsia" w:ascii="宋体" w:hAnsi="宋体" w:eastAsia="宋体" w:cs="宋体"/>
                <w:b/>
                <w:bCs/>
                <w:sz w:val="24"/>
                <w:highlight w:val="none"/>
                <w:lang w:val="en-US" w:eastAsia="zh-CN"/>
              </w:rPr>
              <w:t>需求</w:t>
            </w:r>
            <w:r>
              <w:rPr>
                <w:rFonts w:hint="eastAsia" w:ascii="宋体" w:hAnsi="宋体" w:eastAsia="宋体" w:cs="宋体"/>
                <w:b/>
                <w:bCs/>
                <w:sz w:val="24"/>
                <w:highlight w:val="none"/>
              </w:rPr>
              <w:t>的扣</w:t>
            </w:r>
            <w:r>
              <w:rPr>
                <w:rFonts w:hint="eastAsia" w:ascii="宋体" w:hAnsi="宋体" w:eastAsia="宋体" w:cs="宋体"/>
                <w:b/>
                <w:bCs/>
                <w:sz w:val="24"/>
                <w:highlight w:val="none"/>
                <w:lang w:val="en-US" w:eastAsia="zh-CN"/>
              </w:rPr>
              <w:t>1</w:t>
            </w:r>
            <w:r>
              <w:rPr>
                <w:rFonts w:hint="eastAsia" w:ascii="宋体" w:hAnsi="宋体" w:eastAsia="宋体" w:cs="宋体"/>
                <w:b/>
                <w:bCs/>
                <w:sz w:val="24"/>
                <w:highlight w:val="none"/>
              </w:rPr>
              <w:t>分，扣完为止</w:t>
            </w:r>
            <w:r>
              <w:rPr>
                <w:rFonts w:hint="eastAsia" w:ascii="宋体" w:hAnsi="宋体" w:eastAsia="宋体" w:cs="宋体"/>
                <w:b/>
                <w:bCs/>
                <w:sz w:val="24"/>
                <w:highlight w:val="none"/>
                <w:lang w:eastAsia="zh-CN"/>
              </w:rPr>
              <w:t>（</w:t>
            </w:r>
            <w:r>
              <w:rPr>
                <w:rFonts w:hint="eastAsia" w:ascii="宋体" w:hAnsi="宋体" w:eastAsia="宋体" w:cs="宋体"/>
                <w:b/>
                <w:bCs/>
                <w:sz w:val="24"/>
                <w:highlight w:val="none"/>
              </w:rPr>
              <w:t>缺陷或不满足指</w:t>
            </w:r>
            <w:r>
              <w:rPr>
                <w:rFonts w:hint="eastAsia" w:ascii="宋体" w:hAnsi="宋体" w:eastAsia="宋体" w:cs="宋体"/>
                <w:b/>
                <w:bCs/>
                <w:sz w:val="24"/>
                <w:highlight w:val="none"/>
                <w:lang w:eastAsia="zh-CN"/>
              </w:rPr>
              <w:t>：</w:t>
            </w:r>
            <w:r>
              <w:rPr>
                <w:rFonts w:hint="eastAsia" w:ascii="宋体" w:hAnsi="宋体" w:eastAsia="宋体" w:cs="宋体"/>
                <w:b/>
                <w:bCs/>
                <w:sz w:val="24"/>
                <w:highlight w:val="none"/>
              </w:rPr>
              <w:t>内容不全面、</w:t>
            </w:r>
            <w:r>
              <w:rPr>
                <w:rFonts w:hint="eastAsia" w:hAnsi="宋体" w:eastAsia="宋体" w:cs="宋体"/>
                <w:b/>
                <w:bCs/>
                <w:sz w:val="24"/>
                <w:szCs w:val="24"/>
                <w:highlight w:val="none"/>
              </w:rPr>
              <w:t>条理不清晰</w:t>
            </w:r>
            <w:r>
              <w:rPr>
                <w:rFonts w:hint="eastAsia" w:hAnsi="宋体" w:eastAsia="宋体" w:cs="宋体"/>
                <w:b/>
                <w:bCs/>
                <w:sz w:val="24"/>
                <w:szCs w:val="24"/>
                <w:highlight w:val="none"/>
                <w:lang w:eastAsia="zh-CN"/>
              </w:rPr>
              <w:t>、</w:t>
            </w:r>
            <w:r>
              <w:rPr>
                <w:rFonts w:hint="eastAsia" w:ascii="宋体" w:hAnsi="宋体" w:eastAsia="宋体" w:cs="宋体"/>
                <w:b/>
                <w:bCs/>
                <w:sz w:val="24"/>
                <w:highlight w:val="none"/>
              </w:rPr>
              <w:t>与实际需求不符、内容不清晰或交叉混乱、套用其他项目方案、有规范性或常识性错误、有逻辑漏洞、存在无关的事项、凭空编造、存在不可能实现的夸大情形等任意一种情形</w:t>
            </w:r>
            <w:r>
              <w:rPr>
                <w:rFonts w:hint="eastAsia" w:ascii="宋体" w:hAnsi="宋体" w:eastAsia="宋体" w:cs="宋体"/>
                <w:b/>
                <w:bCs/>
                <w:sz w:val="24"/>
                <w:highlight w:val="none"/>
                <w:lang w:eastAsia="zh-CN"/>
              </w:rPr>
              <w:t>）</w:t>
            </w:r>
            <w:r>
              <w:rPr>
                <w:rFonts w:hint="default" w:ascii="宋体" w:hAnsi="宋体" w:eastAsia="宋体" w:cs="宋体"/>
                <w:b/>
                <w:bCs/>
                <w:sz w:val="24"/>
                <w:highlight w:val="none"/>
                <w:lang w:val="en-US" w:eastAsia="zh-CN"/>
              </w:rPr>
              <w:t>；未提供方案不得分。</w:t>
            </w:r>
          </w:p>
        </w:tc>
        <w:tc>
          <w:tcPr>
            <w:tcW w:w="854" w:type="dxa"/>
            <w:noWrap w:val="0"/>
            <w:vAlign w:val="center"/>
          </w:tcPr>
          <w:p w14:paraId="786A4DFF">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55分</w:t>
            </w:r>
          </w:p>
        </w:tc>
      </w:tr>
      <w:tr w14:paraId="22DE5A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8" w:hRule="atLeast"/>
          <w:jc w:val="center"/>
        </w:trPr>
        <w:tc>
          <w:tcPr>
            <w:tcW w:w="807" w:type="dxa"/>
            <w:noWrap w:val="0"/>
            <w:vAlign w:val="center"/>
          </w:tcPr>
          <w:p w14:paraId="6C0AEAC9">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p>
        </w:tc>
        <w:tc>
          <w:tcPr>
            <w:tcW w:w="1188" w:type="dxa"/>
            <w:noWrap w:val="0"/>
            <w:vAlign w:val="center"/>
          </w:tcPr>
          <w:p w14:paraId="3E995F03">
            <w:pPr>
              <w:tabs>
                <w:tab w:val="left" w:pos="280"/>
              </w:tabs>
              <w:autoSpaceDE w:val="0"/>
              <w:autoSpaceDN w:val="0"/>
              <w:adjustRightInd w:val="0"/>
              <w:spacing w:line="360" w:lineRule="auto"/>
              <w:jc w:val="left"/>
              <w:rPr>
                <w:rFonts w:hint="eastAsia" w:ascii="宋体" w:hAnsi="宋体" w:eastAsia="宋体" w:cs="宋体"/>
                <w:sz w:val="24"/>
                <w:szCs w:val="24"/>
              </w:rPr>
            </w:pPr>
            <w:r>
              <w:rPr>
                <w:rFonts w:hint="eastAsia" w:ascii="宋体" w:hAnsi="宋体" w:eastAsia="宋体" w:cs="宋体"/>
                <w:sz w:val="24"/>
                <w:szCs w:val="24"/>
              </w:rPr>
              <w:t>人员配备</w:t>
            </w:r>
          </w:p>
        </w:tc>
        <w:tc>
          <w:tcPr>
            <w:tcW w:w="7130" w:type="dxa"/>
            <w:noWrap w:val="0"/>
            <w:vAlign w:val="center"/>
          </w:tcPr>
          <w:p w14:paraId="6DB43344">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kern w:val="2"/>
                <w:sz w:val="24"/>
                <w:szCs w:val="24"/>
                <w:highlight w:val="none"/>
                <w:lang w:val="en-US" w:eastAsia="zh-CN" w:bidi="ar-SA"/>
              </w:rPr>
              <w:t>1.</w:t>
            </w:r>
            <w:r>
              <w:rPr>
                <w:rFonts w:hint="default" w:ascii="Times New Roman" w:hAnsi="Times New Roman" w:eastAsia="宋体" w:cs="Times New Roman"/>
                <w:color w:val="auto"/>
                <w:sz w:val="24"/>
                <w:szCs w:val="24"/>
                <w:highlight w:val="none"/>
                <w:lang w:val="en-US" w:eastAsia="zh-CN"/>
              </w:rPr>
              <w:t>拟投入</w:t>
            </w:r>
            <w:r>
              <w:rPr>
                <w:rFonts w:hint="eastAsia" w:ascii="宋体" w:hAnsi="宋体" w:eastAsia="宋体" w:cs="宋体"/>
                <w:sz w:val="24"/>
                <w:szCs w:val="24"/>
                <w:highlight w:val="none"/>
              </w:rPr>
              <w:t>项目负责人具有</w:t>
            </w:r>
            <w:r>
              <w:rPr>
                <w:rFonts w:hint="eastAsia" w:ascii="宋体" w:hAnsi="宋体" w:eastAsia="宋体" w:cs="宋体"/>
                <w:sz w:val="24"/>
                <w:szCs w:val="24"/>
                <w:highlight w:val="none"/>
                <w:lang w:val="en-US" w:eastAsia="zh-CN"/>
              </w:rPr>
              <w:t>测绘</w:t>
            </w:r>
            <w:r>
              <w:rPr>
                <w:rFonts w:hint="eastAsia" w:ascii="宋体" w:hAnsi="宋体" w:eastAsia="宋体" w:cs="宋体"/>
                <w:sz w:val="24"/>
                <w:szCs w:val="24"/>
                <w:highlight w:val="none"/>
              </w:rPr>
              <w:t>专业高级职称的得</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测绘</w:t>
            </w:r>
            <w:r>
              <w:rPr>
                <w:rFonts w:hint="eastAsia" w:ascii="宋体" w:hAnsi="宋体" w:eastAsia="宋体" w:cs="宋体"/>
                <w:sz w:val="24"/>
                <w:szCs w:val="24"/>
                <w:highlight w:val="none"/>
              </w:rPr>
              <w:t>专业中级职称的</w:t>
            </w:r>
            <w:r>
              <w:rPr>
                <w:rFonts w:hint="eastAsia" w:ascii="宋体" w:hAnsi="宋体" w:eastAsia="宋体" w:cs="宋体"/>
                <w:sz w:val="24"/>
                <w:szCs w:val="24"/>
                <w:highlight w:val="none"/>
                <w:lang w:val="en-US" w:eastAsia="zh-CN"/>
              </w:rPr>
              <w:t>得2分，本项</w:t>
            </w:r>
            <w:r>
              <w:rPr>
                <w:rFonts w:hint="eastAsia" w:ascii="宋体" w:hAnsi="宋体" w:eastAsia="宋体" w:cs="宋体"/>
                <w:sz w:val="24"/>
                <w:szCs w:val="24"/>
                <w:highlight w:val="none"/>
              </w:rPr>
              <w:t>最高得</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w:t>
            </w:r>
          </w:p>
          <w:p w14:paraId="4EA8736B">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kern w:val="2"/>
                <w:sz w:val="24"/>
                <w:szCs w:val="24"/>
                <w:highlight w:val="none"/>
                <w:lang w:val="en-US" w:eastAsia="zh-CN" w:bidi="ar-SA"/>
              </w:rPr>
              <w:t>2.</w:t>
            </w:r>
            <w:r>
              <w:rPr>
                <w:rFonts w:hint="default" w:ascii="Times New Roman" w:hAnsi="Times New Roman" w:eastAsia="宋体" w:cs="Times New Roman"/>
                <w:color w:val="auto"/>
                <w:sz w:val="24"/>
                <w:szCs w:val="24"/>
                <w:highlight w:val="none"/>
                <w:lang w:val="en-US" w:eastAsia="zh-CN"/>
              </w:rPr>
              <w:t>拟投入</w:t>
            </w:r>
            <w:r>
              <w:rPr>
                <w:rFonts w:hint="eastAsia" w:ascii="宋体" w:hAnsi="宋体" w:eastAsia="宋体" w:cs="宋体"/>
                <w:sz w:val="24"/>
                <w:szCs w:val="24"/>
                <w:highlight w:val="none"/>
                <w:lang w:val="en-US" w:eastAsia="zh-CN"/>
              </w:rPr>
              <w:t>技术</w:t>
            </w:r>
            <w:r>
              <w:rPr>
                <w:rFonts w:hint="eastAsia" w:ascii="宋体" w:hAnsi="宋体" w:eastAsia="宋体" w:cs="宋体"/>
                <w:sz w:val="24"/>
                <w:szCs w:val="24"/>
                <w:highlight w:val="none"/>
              </w:rPr>
              <w:t>负责人具有土地专业高级职称的得</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分，土地专业中级职称的</w:t>
            </w:r>
            <w:r>
              <w:rPr>
                <w:rFonts w:hint="eastAsia" w:ascii="宋体" w:hAnsi="宋体" w:eastAsia="宋体" w:cs="宋体"/>
                <w:sz w:val="24"/>
                <w:szCs w:val="24"/>
                <w:highlight w:val="none"/>
                <w:lang w:val="en-US" w:eastAsia="zh-CN"/>
              </w:rPr>
              <w:t>得2分，本项</w:t>
            </w:r>
            <w:r>
              <w:rPr>
                <w:rFonts w:hint="eastAsia" w:ascii="宋体" w:hAnsi="宋体" w:eastAsia="宋体" w:cs="宋体"/>
                <w:sz w:val="24"/>
                <w:szCs w:val="24"/>
                <w:highlight w:val="none"/>
              </w:rPr>
              <w:t>最高得</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w:t>
            </w:r>
          </w:p>
          <w:p w14:paraId="6AF3F0C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default" w:ascii="Times New Roman" w:hAnsi="Times New Roman" w:eastAsia="宋体" w:cs="Times New Roman"/>
                <w:color w:val="auto"/>
                <w:sz w:val="24"/>
                <w:szCs w:val="24"/>
                <w:highlight w:val="none"/>
                <w:lang w:val="en-US" w:eastAsia="zh-CN"/>
              </w:rPr>
              <w:t>拟投入</w:t>
            </w:r>
            <w:r>
              <w:rPr>
                <w:rFonts w:hint="eastAsia" w:ascii="宋体" w:hAnsi="宋体" w:eastAsia="宋体" w:cs="宋体"/>
                <w:sz w:val="24"/>
                <w:szCs w:val="24"/>
                <w:highlight w:val="none"/>
              </w:rPr>
              <w:t>项目组成员中（项目负责人</w:t>
            </w:r>
            <w:r>
              <w:rPr>
                <w:rFonts w:hint="eastAsia" w:ascii="宋体" w:hAnsi="宋体" w:eastAsia="宋体" w:cs="宋体"/>
                <w:sz w:val="24"/>
                <w:szCs w:val="24"/>
                <w:highlight w:val="none"/>
                <w:lang w:val="en-US" w:eastAsia="zh-CN"/>
              </w:rPr>
              <w:t>和技术负责人</w:t>
            </w:r>
            <w:r>
              <w:rPr>
                <w:rFonts w:hint="eastAsia" w:ascii="宋体" w:hAnsi="宋体" w:eastAsia="宋体" w:cs="宋体"/>
                <w:sz w:val="24"/>
                <w:szCs w:val="24"/>
                <w:highlight w:val="none"/>
              </w:rPr>
              <w:t>除外）</w:t>
            </w:r>
          </w:p>
          <w:p w14:paraId="1A18594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①具有测绘专业中级职称的有一人</w:t>
            </w:r>
            <w:r>
              <w:rPr>
                <w:rFonts w:hint="eastAsia" w:ascii="宋体" w:hAnsi="宋体" w:eastAsia="宋体" w:cs="宋体"/>
                <w:sz w:val="24"/>
                <w:szCs w:val="24"/>
                <w:highlight w:val="none"/>
                <w:lang w:val="en-US" w:eastAsia="zh-CN"/>
              </w:rPr>
              <w:t>得</w:t>
            </w:r>
            <w:r>
              <w:rPr>
                <w:rFonts w:hint="eastAsia" w:ascii="宋体" w:hAnsi="宋体" w:eastAsia="宋体" w:cs="宋体"/>
                <w:sz w:val="24"/>
                <w:szCs w:val="24"/>
                <w:highlight w:val="none"/>
              </w:rPr>
              <w:t>0.5分，具有测绘专业高级及以上职称</w:t>
            </w:r>
            <w:r>
              <w:rPr>
                <w:rFonts w:hint="eastAsia" w:ascii="宋体" w:hAnsi="宋体" w:eastAsia="宋体" w:cs="宋体"/>
                <w:sz w:val="24"/>
                <w:szCs w:val="24"/>
                <w:highlight w:val="none"/>
                <w:lang w:val="en-US" w:eastAsia="zh-CN"/>
              </w:rPr>
              <w:t>的</w:t>
            </w:r>
            <w:r>
              <w:rPr>
                <w:rFonts w:hint="eastAsia" w:ascii="宋体" w:hAnsi="宋体" w:eastAsia="宋体" w:cs="宋体"/>
                <w:sz w:val="24"/>
                <w:szCs w:val="24"/>
                <w:highlight w:val="none"/>
              </w:rPr>
              <w:t>有一人得1分，</w:t>
            </w:r>
            <w:r>
              <w:rPr>
                <w:rFonts w:hint="eastAsia" w:ascii="宋体" w:hAnsi="宋体" w:eastAsia="宋体" w:cs="宋体"/>
                <w:sz w:val="24"/>
                <w:szCs w:val="24"/>
                <w:highlight w:val="none"/>
                <w:lang w:val="en-US" w:eastAsia="zh-CN"/>
              </w:rPr>
              <w:t>本项</w:t>
            </w:r>
            <w:r>
              <w:rPr>
                <w:rFonts w:hint="eastAsia" w:ascii="宋体" w:hAnsi="宋体" w:eastAsia="宋体" w:cs="宋体"/>
                <w:sz w:val="24"/>
                <w:szCs w:val="24"/>
                <w:highlight w:val="none"/>
              </w:rPr>
              <w:t>最高得5分；</w:t>
            </w:r>
          </w:p>
          <w:p w14:paraId="7DF8696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②具有土地专业中级职称的有一人</w:t>
            </w:r>
            <w:r>
              <w:rPr>
                <w:rFonts w:hint="eastAsia" w:ascii="宋体" w:hAnsi="宋体" w:eastAsia="宋体" w:cs="宋体"/>
                <w:sz w:val="24"/>
                <w:szCs w:val="24"/>
                <w:highlight w:val="none"/>
                <w:lang w:val="en-US" w:eastAsia="zh-CN"/>
              </w:rPr>
              <w:t>得</w:t>
            </w:r>
            <w:r>
              <w:rPr>
                <w:rFonts w:hint="eastAsia" w:ascii="宋体" w:hAnsi="宋体" w:eastAsia="宋体" w:cs="宋体"/>
                <w:sz w:val="24"/>
                <w:szCs w:val="24"/>
                <w:highlight w:val="none"/>
              </w:rPr>
              <w:t>0.5分；具有土地专业高级及以上职称</w:t>
            </w:r>
            <w:r>
              <w:rPr>
                <w:rFonts w:hint="eastAsia" w:ascii="宋体" w:hAnsi="宋体" w:eastAsia="宋体" w:cs="宋体"/>
                <w:sz w:val="24"/>
                <w:szCs w:val="24"/>
                <w:highlight w:val="none"/>
                <w:lang w:val="en-US" w:eastAsia="zh-CN"/>
              </w:rPr>
              <w:t>的</w:t>
            </w:r>
            <w:r>
              <w:rPr>
                <w:rFonts w:hint="eastAsia" w:ascii="宋体" w:hAnsi="宋体" w:eastAsia="宋体" w:cs="宋体"/>
                <w:sz w:val="24"/>
                <w:szCs w:val="24"/>
                <w:highlight w:val="none"/>
              </w:rPr>
              <w:t>有一人得1分，</w:t>
            </w:r>
            <w:r>
              <w:rPr>
                <w:rFonts w:hint="eastAsia" w:ascii="宋体" w:hAnsi="宋体" w:eastAsia="宋体" w:cs="宋体"/>
                <w:sz w:val="24"/>
                <w:szCs w:val="24"/>
                <w:highlight w:val="none"/>
                <w:lang w:val="en-US" w:eastAsia="zh-CN"/>
              </w:rPr>
              <w:t>本项</w:t>
            </w:r>
            <w:r>
              <w:rPr>
                <w:rFonts w:hint="eastAsia" w:ascii="宋体" w:hAnsi="宋体" w:eastAsia="宋体" w:cs="宋体"/>
                <w:sz w:val="24"/>
                <w:szCs w:val="24"/>
                <w:highlight w:val="none"/>
              </w:rPr>
              <w:t>最高得5分。</w:t>
            </w:r>
          </w:p>
          <w:p w14:paraId="58C89ADA">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注：</w:t>
            </w:r>
            <w:r>
              <w:rPr>
                <w:rFonts w:hint="eastAsia" w:asciiTheme="minorEastAsia" w:hAnsiTheme="minorEastAsia" w:cstheme="minorEastAsia"/>
                <w:b/>
                <w:bCs/>
                <w:color w:val="000000" w:themeColor="text1"/>
                <w:sz w:val="24"/>
                <w:highlight w:val="none"/>
                <w14:textFill>
                  <w14:solidFill>
                    <w14:schemeClr w14:val="tx1"/>
                  </w14:solidFill>
                </w14:textFill>
              </w:rPr>
              <w:t>以上人员须为本单位职工，提供相关证书以及相关人员</w:t>
            </w:r>
            <w:r>
              <w:rPr>
                <w:rFonts w:hint="eastAsia"/>
                <w:b/>
                <w:bCs/>
                <w:sz w:val="24"/>
                <w:highlight w:val="none"/>
              </w:rPr>
              <w:t>挂网</w:t>
            </w:r>
            <w:r>
              <w:rPr>
                <w:rFonts w:hint="eastAsia" w:ascii="宋体" w:hAnsi="宋体"/>
                <w:b/>
                <w:bCs/>
                <w:sz w:val="24"/>
                <w:highlight w:val="none"/>
              </w:rPr>
              <w:t>前3个月</w:t>
            </w:r>
            <w:r>
              <w:rPr>
                <w:rFonts w:hint="eastAsia" w:ascii="宋体" w:hAnsi="宋体" w:eastAsia="宋体" w:cs="宋体"/>
                <w:b/>
                <w:bCs/>
                <w:sz w:val="24"/>
                <w:highlight w:val="none"/>
              </w:rPr>
              <w:t>至今任意1个月</w:t>
            </w:r>
            <w:r>
              <w:rPr>
                <w:rFonts w:hint="eastAsia" w:asciiTheme="minorEastAsia" w:hAnsiTheme="minorEastAsia" w:cstheme="minorEastAsia"/>
                <w:b/>
                <w:bCs/>
                <w:color w:val="000000" w:themeColor="text1"/>
                <w:sz w:val="24"/>
                <w:highlight w:val="none"/>
                <w14:textFill>
                  <w14:solidFill>
                    <w14:schemeClr w14:val="tx1"/>
                  </w14:solidFill>
                </w14:textFill>
              </w:rPr>
              <w:t>供应商</w:t>
            </w:r>
            <w:r>
              <w:rPr>
                <w:rFonts w:hint="eastAsia"/>
                <w:b/>
                <w:bCs/>
                <w:sz w:val="24"/>
                <w:highlight w:val="none"/>
              </w:rPr>
              <w:t>为其缴纳</w:t>
            </w:r>
            <w:r>
              <w:rPr>
                <w:rFonts w:hint="eastAsia" w:ascii="宋体" w:hAnsi="宋体"/>
                <w:b/>
                <w:bCs/>
                <w:sz w:val="24"/>
                <w:highlight w:val="none"/>
              </w:rPr>
              <w:t>的</w:t>
            </w:r>
            <w:r>
              <w:rPr>
                <w:rFonts w:hint="eastAsia"/>
                <w:b/>
                <w:bCs/>
                <w:sz w:val="24"/>
                <w:highlight w:val="none"/>
              </w:rPr>
              <w:t>银行</w:t>
            </w:r>
            <w:r>
              <w:rPr>
                <w:rFonts w:hint="eastAsia" w:ascii="宋体" w:hAnsi="宋体"/>
                <w:b/>
                <w:bCs/>
                <w:sz w:val="24"/>
                <w:highlight w:val="none"/>
              </w:rPr>
              <w:t>工资流水证明材料彩色扫描件加盖供应商公章</w:t>
            </w:r>
            <w:r>
              <w:rPr>
                <w:rFonts w:hint="eastAsia" w:asciiTheme="minorEastAsia" w:hAnsiTheme="minorEastAsia" w:cstheme="minorEastAsia"/>
                <w:b/>
                <w:bCs/>
                <w:color w:val="000000" w:themeColor="text1"/>
                <w:sz w:val="24"/>
                <w:highlight w:val="none"/>
                <w14:textFill>
                  <w14:solidFill>
                    <w14:schemeClr w14:val="tx1"/>
                  </w14:solidFill>
                </w14:textFill>
              </w:rPr>
              <w:t>，未提供或提供材料不全的不得分，</w:t>
            </w:r>
            <w:r>
              <w:rPr>
                <w:rFonts w:hint="eastAsia" w:ascii="宋体" w:hAnsi="宋体" w:eastAsia="宋体" w:cs="宋体"/>
                <w:b/>
                <w:bCs/>
                <w:sz w:val="24"/>
                <w:szCs w:val="24"/>
                <w:highlight w:val="none"/>
              </w:rPr>
              <w:t>同一人员具有多类证书的仅按其中一个</w:t>
            </w:r>
            <w:r>
              <w:rPr>
                <w:rFonts w:hint="eastAsia" w:ascii="宋体" w:hAnsi="宋体" w:eastAsia="宋体" w:cs="宋体"/>
                <w:b/>
                <w:bCs/>
                <w:sz w:val="24"/>
                <w:szCs w:val="24"/>
                <w:highlight w:val="none"/>
                <w:lang w:val="en-US" w:eastAsia="zh-CN"/>
              </w:rPr>
              <w:t>得</w:t>
            </w:r>
            <w:r>
              <w:rPr>
                <w:rFonts w:hint="eastAsia" w:ascii="宋体" w:hAnsi="宋体" w:eastAsia="宋体" w:cs="宋体"/>
                <w:b/>
                <w:bCs/>
                <w:sz w:val="24"/>
                <w:szCs w:val="24"/>
                <w:highlight w:val="none"/>
              </w:rPr>
              <w:t>分项计一次加</w:t>
            </w:r>
            <w:r>
              <w:rPr>
                <w:rFonts w:hint="eastAsia" w:ascii="宋体" w:hAnsi="宋体" w:eastAsia="宋体" w:cs="宋体"/>
                <w:b/>
                <w:bCs/>
                <w:sz w:val="24"/>
                <w:szCs w:val="24"/>
                <w:highlight w:val="none"/>
                <w:lang w:val="en-US" w:eastAsia="zh-CN"/>
              </w:rPr>
              <w:t>得</w:t>
            </w:r>
            <w:r>
              <w:rPr>
                <w:rFonts w:hint="eastAsia" w:ascii="宋体" w:hAnsi="宋体" w:eastAsia="宋体" w:cs="宋体"/>
                <w:b/>
                <w:bCs/>
                <w:sz w:val="24"/>
                <w:szCs w:val="24"/>
                <w:highlight w:val="none"/>
              </w:rPr>
              <w:t>分</w:t>
            </w:r>
            <w:r>
              <w:rPr>
                <w:rFonts w:hint="eastAsia" w:ascii="宋体" w:hAnsi="宋体" w:eastAsia="宋体" w:cs="宋体"/>
                <w:b/>
                <w:bCs/>
                <w:sz w:val="24"/>
                <w:szCs w:val="24"/>
                <w:highlight w:val="none"/>
                <w:lang w:eastAsia="zh-CN"/>
              </w:rPr>
              <w:t>，</w:t>
            </w:r>
            <w:r>
              <w:rPr>
                <w:rFonts w:hint="eastAsia" w:asciiTheme="minorEastAsia" w:hAnsiTheme="minorEastAsia" w:cstheme="minorEastAsia"/>
                <w:b/>
                <w:bCs/>
                <w:color w:val="000000" w:themeColor="text1"/>
                <w:sz w:val="24"/>
                <w:highlight w:val="none"/>
                <w14:textFill>
                  <w14:solidFill>
                    <w14:schemeClr w14:val="tx1"/>
                  </w14:solidFill>
                </w14:textFill>
              </w:rPr>
              <w:t>同一人员不重复</w:t>
            </w:r>
            <w:r>
              <w:rPr>
                <w:rFonts w:hint="eastAsia" w:asciiTheme="minorEastAsia" w:hAnsiTheme="minorEastAsia" w:cstheme="minorEastAsia"/>
                <w:b/>
                <w:bCs/>
                <w:color w:val="000000" w:themeColor="text1"/>
                <w:sz w:val="24"/>
                <w:highlight w:val="none"/>
                <w:lang w:val="en-US" w:eastAsia="zh-CN"/>
                <w14:textFill>
                  <w14:solidFill>
                    <w14:schemeClr w14:val="tx1"/>
                  </w14:solidFill>
                </w14:textFill>
              </w:rPr>
              <w:t>得</w:t>
            </w:r>
            <w:r>
              <w:rPr>
                <w:rFonts w:hint="eastAsia" w:asciiTheme="minorEastAsia" w:hAnsiTheme="minorEastAsia" w:cstheme="minorEastAsia"/>
                <w:b/>
                <w:bCs/>
                <w:color w:val="000000" w:themeColor="text1"/>
                <w:sz w:val="24"/>
                <w:highlight w:val="none"/>
                <w14:textFill>
                  <w14:solidFill>
                    <w14:schemeClr w14:val="tx1"/>
                  </w14:solidFill>
                </w14:textFill>
              </w:rPr>
              <w:t>分。</w:t>
            </w:r>
          </w:p>
        </w:tc>
        <w:tc>
          <w:tcPr>
            <w:tcW w:w="854" w:type="dxa"/>
            <w:noWrap w:val="0"/>
            <w:vAlign w:val="center"/>
          </w:tcPr>
          <w:p w14:paraId="6BC53323">
            <w:pPr>
              <w:jc w:val="center"/>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6</w:t>
            </w:r>
            <w:r>
              <w:rPr>
                <w:rFonts w:hint="eastAsia" w:ascii="宋体" w:hAnsi="宋体" w:eastAsia="宋体" w:cs="宋体"/>
                <w:sz w:val="24"/>
                <w:szCs w:val="24"/>
              </w:rPr>
              <w:t>分</w:t>
            </w:r>
          </w:p>
        </w:tc>
      </w:tr>
      <w:tr w14:paraId="58D86E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51" w:hRule="atLeast"/>
          <w:jc w:val="center"/>
        </w:trPr>
        <w:tc>
          <w:tcPr>
            <w:tcW w:w="807" w:type="dxa"/>
            <w:noWrap w:val="0"/>
            <w:vAlign w:val="center"/>
          </w:tcPr>
          <w:p w14:paraId="62BD2A1C">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4</w:t>
            </w:r>
          </w:p>
        </w:tc>
        <w:tc>
          <w:tcPr>
            <w:tcW w:w="1188" w:type="dxa"/>
            <w:noWrap w:val="0"/>
            <w:vAlign w:val="center"/>
          </w:tcPr>
          <w:p w14:paraId="58AF0DEE">
            <w:pPr>
              <w:tabs>
                <w:tab w:val="left" w:pos="280"/>
              </w:tabs>
              <w:autoSpaceDE w:val="0"/>
              <w:autoSpaceDN w:val="0"/>
              <w:adjustRightInd w:val="0"/>
              <w:spacing w:line="360" w:lineRule="auto"/>
              <w:ind w:firstLine="240" w:firstLineChars="100"/>
              <w:jc w:val="left"/>
              <w:rPr>
                <w:rFonts w:hint="eastAsia" w:ascii="宋体" w:hAnsi="宋体" w:eastAsia="宋体" w:cs="宋体"/>
                <w:sz w:val="24"/>
                <w:szCs w:val="24"/>
              </w:rPr>
            </w:pPr>
            <w:r>
              <w:rPr>
                <w:rFonts w:hint="eastAsia" w:ascii="宋体" w:hAnsi="宋体" w:eastAsia="宋体" w:cs="宋体"/>
                <w:sz w:val="24"/>
                <w:szCs w:val="24"/>
              </w:rPr>
              <w:t>业绩</w:t>
            </w:r>
          </w:p>
        </w:tc>
        <w:tc>
          <w:tcPr>
            <w:tcW w:w="7130" w:type="dxa"/>
            <w:noWrap w:val="0"/>
            <w:vAlign w:val="center"/>
          </w:tcPr>
          <w:p w14:paraId="76658B92">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1.供应商自2023年1月1日以来，具有县（区）级及以上耕地占补平衡或城乡建设用地增减挂钩项目入库（前期）和竣工测绘服务业绩的，每</w:t>
            </w:r>
            <w:r>
              <w:rPr>
                <w:rFonts w:hint="eastAsia" w:ascii="宋体" w:hAnsi="宋体" w:eastAsia="宋体" w:cs="宋体"/>
                <w:sz w:val="24"/>
                <w:szCs w:val="24"/>
                <w:highlight w:val="none"/>
                <w:lang w:val="en-US" w:eastAsia="zh-CN"/>
              </w:rPr>
              <w:t>提供一份得2分，本项最高得10分；</w:t>
            </w:r>
          </w:p>
          <w:p w14:paraId="1A3EE19D">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宋体" w:hAnsi="宋体" w:eastAsia="宋体" w:cs="宋体"/>
                <w:sz w:val="36"/>
                <w:szCs w:val="36"/>
                <w:highlight w:val="none"/>
                <w:lang w:val="en-US" w:eastAsia="zh-CN"/>
              </w:rPr>
            </w:pPr>
            <w:r>
              <w:rPr>
                <w:rFonts w:hint="eastAsia" w:ascii="宋体" w:hAnsi="宋体" w:eastAsia="宋体" w:cs="宋体"/>
                <w:sz w:val="24"/>
                <w:szCs w:val="24"/>
                <w:highlight w:val="none"/>
                <w:lang w:val="en-US" w:eastAsia="zh-CN"/>
              </w:rPr>
              <w:t>2.供应商自2023年1月1日以来，具有县（区）级及以上耕地占补平衡或城乡建设用地增减挂钩项目竣工验收技术审查服务业绩的，每提供一份得3分，本项最高得9分。</w:t>
            </w:r>
          </w:p>
          <w:p w14:paraId="28D8721A">
            <w:pPr>
              <w:pStyle w:val="29"/>
              <w:keepNext w:val="0"/>
              <w:keepLines w:val="0"/>
              <w:pageBreakBefore w:val="0"/>
              <w:widowControl w:val="0"/>
              <w:kinsoku/>
              <w:wordWrap/>
              <w:overflowPunct/>
              <w:topLinePunct w:val="0"/>
              <w:bidi w:val="0"/>
              <w:snapToGrid/>
              <w:spacing w:line="360" w:lineRule="auto"/>
              <w:ind w:left="0" w:leftChars="0" w:firstLine="482" w:firstLineChars="200"/>
              <w:textAlignment w:val="auto"/>
              <w:rPr>
                <w:rFonts w:hint="eastAsia" w:ascii="宋体" w:hAnsi="宋体" w:eastAsia="宋体" w:cs="宋体"/>
                <w:sz w:val="24"/>
                <w:szCs w:val="24"/>
              </w:rPr>
            </w:pPr>
            <w:r>
              <w:rPr>
                <w:rFonts w:hint="eastAsia" w:ascii="宋体" w:hAnsi="宋体" w:eastAsia="宋体" w:cs="宋体"/>
                <w:b/>
                <w:bCs/>
                <w:sz w:val="24"/>
              </w:rPr>
              <w:t>注：提供合同原件彩色扫描件加盖</w:t>
            </w:r>
            <w:r>
              <w:rPr>
                <w:rFonts w:hint="eastAsia" w:eastAsia="宋体" w:cs="宋体"/>
                <w:b/>
                <w:bCs/>
                <w:sz w:val="24"/>
                <w:lang w:eastAsia="zh-CN"/>
              </w:rPr>
              <w:t>供应商</w:t>
            </w:r>
            <w:r>
              <w:rPr>
                <w:rFonts w:hint="eastAsia" w:ascii="宋体" w:hAnsi="宋体" w:eastAsia="宋体" w:cs="宋体"/>
                <w:b/>
                <w:bCs/>
                <w:sz w:val="24"/>
              </w:rPr>
              <w:t>公章，转包、分包合同无效，不提供的不得分。</w:t>
            </w:r>
            <w:r>
              <w:rPr>
                <w:rFonts w:hint="eastAsia" w:ascii="宋体" w:hAnsi="宋体" w:eastAsia="宋体" w:cs="宋体"/>
                <w:b/>
                <w:bCs/>
                <w:color w:val="000000"/>
                <w:sz w:val="24"/>
              </w:rPr>
              <w:t>合同中的重要信息因存在内容模糊、无法辨认、不完整而产生不利于该项评审的情况，供应商自行承担后果。</w:t>
            </w:r>
          </w:p>
        </w:tc>
        <w:tc>
          <w:tcPr>
            <w:tcW w:w="854" w:type="dxa"/>
            <w:noWrap w:val="0"/>
            <w:vAlign w:val="center"/>
          </w:tcPr>
          <w:p w14:paraId="25DF8A33">
            <w:pPr>
              <w:jc w:val="center"/>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9</w:t>
            </w:r>
            <w:r>
              <w:rPr>
                <w:rFonts w:hint="eastAsia" w:ascii="宋体" w:hAnsi="宋体" w:eastAsia="宋体" w:cs="宋体"/>
                <w:sz w:val="24"/>
                <w:szCs w:val="24"/>
              </w:rPr>
              <w:t>分</w:t>
            </w:r>
          </w:p>
        </w:tc>
      </w:tr>
    </w:tbl>
    <w:p w14:paraId="366B8360">
      <w:pPr>
        <w:pStyle w:val="13"/>
        <w:spacing w:beforeAutospacing="0" w:afterAutospacing="0"/>
        <w:jc w:val="both"/>
        <w:rPr>
          <w:rFonts w:hint="eastAsia" w:ascii="宋体" w:hAnsi="宋体" w:eastAsia="宋体" w:cs="宋体"/>
          <w:color w:val="auto"/>
          <w:sz w:val="24"/>
          <w:szCs w:val="24"/>
          <w:highlight w:val="none"/>
        </w:rPr>
      </w:pPr>
    </w:p>
    <w:p w14:paraId="24075873">
      <w:pPr>
        <w:pBdr>
          <w:top w:val="none" w:color="000000" w:sz="0" w:space="0"/>
          <w:left w:val="none" w:color="000000" w:sz="0" w:space="0"/>
          <w:bottom w:val="none" w:color="000000" w:sz="0" w:space="0"/>
          <w:right w:val="none" w:color="000000" w:sz="0" w:space="0"/>
        </w:pBdr>
        <w:spacing w:line="360" w:lineRule="atLeast"/>
        <w:ind w:firstLine="480" w:firstLineChars="200"/>
        <w:jc w:val="left"/>
        <w:rPr>
          <w:rFonts w:hint="eastAsia" w:ascii="宋体" w:hAnsi="宋体" w:eastAsia="宋体" w:cs="Times New Roman"/>
          <w:b/>
          <w:bCs/>
          <w:color w:val="000000"/>
          <w:sz w:val="24"/>
        </w:rPr>
      </w:pPr>
      <w:r>
        <w:rPr>
          <w:rFonts w:hint="eastAsia" w:ascii="宋体" w:hAnsi="宋体" w:eastAsia="宋体" w:cs="宋体"/>
          <w:color w:val="auto"/>
          <w:sz w:val="24"/>
          <w:szCs w:val="24"/>
          <w:highlight w:val="none"/>
        </w:rPr>
        <w:t> </w:t>
      </w:r>
      <w:r>
        <w:rPr>
          <w:rFonts w:hint="eastAsia" w:ascii="宋体" w:hAnsi="宋体" w:eastAsia="宋体" w:cs="Times New Roman"/>
          <w:b/>
          <w:bCs/>
          <w:color w:val="000000"/>
          <w:sz w:val="24"/>
        </w:rPr>
        <w:t>备注：</w:t>
      </w:r>
    </w:p>
    <w:p w14:paraId="48D8F291">
      <w:pPr>
        <w:pBdr>
          <w:top w:val="none" w:color="000000" w:sz="0" w:space="0"/>
          <w:left w:val="none" w:color="000000" w:sz="0" w:space="0"/>
          <w:bottom w:val="none" w:color="000000" w:sz="0" w:space="0"/>
          <w:right w:val="none" w:color="000000" w:sz="0" w:space="0"/>
        </w:pBdr>
        <w:spacing w:line="360" w:lineRule="atLeast"/>
        <w:ind w:firstLine="480" w:firstLineChars="200"/>
        <w:jc w:val="left"/>
        <w:rPr>
          <w:rFonts w:hint="eastAsia" w:ascii="宋体" w:hAnsi="宋体" w:eastAsia="宋体" w:cs="Times New Roman"/>
          <w:color w:val="000000"/>
          <w:sz w:val="24"/>
        </w:rPr>
      </w:pPr>
      <w:r>
        <w:rPr>
          <w:rFonts w:hint="eastAsia" w:ascii="宋体" w:hAnsi="宋体" w:eastAsia="宋体" w:cs="Times New Roman"/>
          <w:color w:val="000000"/>
          <w:sz w:val="24"/>
        </w:rPr>
        <w:t>1、评分标准中要求提供的证明材料均以原件扫描加盖所要求的公章在响应文件中反映，相关证明材料须按要求完整提供且不得涂</w:t>
      </w:r>
      <w:r>
        <w:rPr>
          <w:rFonts w:hint="eastAsia" w:ascii="宋体" w:hAnsi="宋体" w:eastAsia="宋体" w:cs="Times New Roman"/>
          <w:sz w:val="24"/>
        </w:rPr>
        <w:t>改</w:t>
      </w:r>
      <w:r>
        <w:rPr>
          <w:rFonts w:hint="eastAsia" w:ascii="宋体" w:hAnsi="宋体" w:eastAsia="宋体" w:cs="Times New Roman"/>
          <w:b/>
          <w:bCs/>
          <w:sz w:val="24"/>
        </w:rPr>
        <w:t>，</w:t>
      </w:r>
      <w:r>
        <w:rPr>
          <w:rFonts w:hint="eastAsia" w:ascii="宋体" w:hAnsi="宋体" w:eastAsia="宋体" w:cs="Times New Roman"/>
          <w:b/>
          <w:bCs/>
          <w:color w:val="FF0000"/>
          <w:sz w:val="24"/>
        </w:rPr>
        <w:t>本项目所须提供的证明材料均应原件扫描（如原件是彩色件，则扫描件须是彩色），否则不能得分。</w:t>
      </w:r>
    </w:p>
    <w:p w14:paraId="45DE86C2">
      <w:pPr>
        <w:pBdr>
          <w:top w:val="none" w:color="000000" w:sz="0" w:space="0"/>
          <w:left w:val="none" w:color="000000" w:sz="0" w:space="0"/>
          <w:bottom w:val="none" w:color="000000" w:sz="0" w:space="0"/>
          <w:right w:val="none" w:color="000000" w:sz="0" w:space="0"/>
        </w:pBdr>
        <w:spacing w:line="360" w:lineRule="atLeast"/>
        <w:ind w:firstLine="480" w:firstLineChars="200"/>
        <w:jc w:val="left"/>
        <w:rPr>
          <w:rFonts w:hint="eastAsia" w:ascii="宋体" w:hAnsi="宋体" w:eastAsia="宋体" w:cs="Times New Roman"/>
          <w:color w:val="000000"/>
          <w:sz w:val="24"/>
        </w:rPr>
      </w:pPr>
      <w:r>
        <w:rPr>
          <w:rFonts w:hint="eastAsia" w:ascii="宋体" w:hAnsi="宋体" w:eastAsia="宋体" w:cs="Times New Roman"/>
          <w:color w:val="000000"/>
          <w:sz w:val="24"/>
        </w:rPr>
        <w:t>2、采购人有权在规定的时间内（中标公示或质疑期间及其他采购人明确要求的时间内）对成交供应商或其他供应商提供的与项目需求、评分办法相关的材料等评分依据</w:t>
      </w:r>
      <w:r>
        <w:rPr>
          <w:rFonts w:hint="eastAsia" w:ascii="宋体" w:hAnsi="宋体" w:eastAsia="宋体" w:cs="Times New Roman"/>
          <w:b/>
          <w:bCs/>
          <w:color w:val="FF0000"/>
          <w:sz w:val="24"/>
        </w:rPr>
        <w:t>（原件）</w:t>
      </w:r>
      <w:r>
        <w:rPr>
          <w:rFonts w:hint="eastAsia" w:ascii="宋体" w:hAnsi="宋体" w:eastAsia="宋体" w:cs="Times New Roman"/>
          <w:color w:val="000000"/>
          <w:sz w:val="24"/>
        </w:rPr>
        <w:t>的真实性进行复查。如未在采购人规定的时间内提交，采购人有权根据政府采购法律法规处理。如发现有通过提供虚假证明文件获得分值，将取消中标资格，并提请监督机构按照政府采购相关法规处理。</w:t>
      </w:r>
    </w:p>
    <w:p w14:paraId="04E49167">
      <w:pPr>
        <w:pBdr>
          <w:top w:val="none" w:color="000000" w:sz="0" w:space="0"/>
          <w:left w:val="none" w:color="000000" w:sz="0" w:space="0"/>
          <w:bottom w:val="none" w:color="000000" w:sz="0" w:space="0"/>
          <w:right w:val="none" w:color="000000" w:sz="0" w:space="0"/>
        </w:pBdr>
        <w:spacing w:line="360" w:lineRule="atLeast"/>
        <w:ind w:firstLine="480" w:firstLineChars="200"/>
        <w:jc w:val="left"/>
        <w:rPr>
          <w:rFonts w:hint="eastAsia" w:ascii="宋体" w:hAnsi="宋体" w:cs="宋体"/>
          <w:bCs/>
          <w:szCs w:val="21"/>
          <w:lang w:val="zh-TW" w:eastAsia="zh-TW"/>
        </w:rPr>
      </w:pPr>
      <w:r>
        <w:rPr>
          <w:rFonts w:hint="eastAsia" w:ascii="宋体" w:hAnsi="宋体" w:cs="Times New Roman"/>
          <w:color w:val="000000"/>
          <w:sz w:val="24"/>
        </w:rPr>
        <w:t>3、</w:t>
      </w:r>
      <w:r>
        <w:rPr>
          <w:rFonts w:hint="eastAsia" w:ascii="宋体" w:hAnsi="宋体" w:eastAsia="宋体" w:cs="Times New Roman"/>
          <w:color w:val="000000"/>
          <w:sz w:val="24"/>
        </w:rPr>
        <w:t>评分中涉及的证书/评价报告等应在有效期内，且在磋商文件上网前取得。</w:t>
      </w:r>
    </w:p>
    <w:p w14:paraId="4FAAD67D">
      <w:pPr>
        <w:pStyle w:val="15"/>
        <w:ind w:left="0" w:firstLine="0"/>
        <w:rPr>
          <w:rFonts w:hint="eastAsia" w:ascii="宋体" w:hAnsi="宋体" w:cs="宋体"/>
          <w:bCs/>
          <w:szCs w:val="21"/>
          <w:lang w:val="zh-TW" w:eastAsia="zh-TW"/>
        </w:rPr>
      </w:pPr>
    </w:p>
    <w:p w14:paraId="3040AC10">
      <w:pPr>
        <w:pStyle w:val="13"/>
        <w:spacing w:beforeAutospacing="0" w:afterAutospacing="0"/>
        <w:jc w:val="both"/>
        <w:rPr>
          <w:rFonts w:hint="eastAsia" w:ascii="宋体" w:hAnsi="宋体" w:eastAsia="宋体" w:cs="宋体"/>
          <w:color w:val="auto"/>
          <w:sz w:val="24"/>
          <w:szCs w:val="24"/>
          <w:highlight w:val="none"/>
        </w:rPr>
      </w:pPr>
    </w:p>
    <w:p w14:paraId="692B0321">
      <w:pPr>
        <w:pStyle w:val="13"/>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082B26D3">
      <w:pPr>
        <w:pStyle w:val="13"/>
        <w:spacing w:beforeAutospacing="0" w:afterAutospacing="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p w14:paraId="11499B1B">
      <w:pPr>
        <w:pStyle w:val="13"/>
        <w:spacing w:beforeAutospacing="0" w:afterAutospacing="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p w14:paraId="1D90C609">
      <w:pPr>
        <w:pStyle w:val="13"/>
        <w:spacing w:beforeAutospacing="0" w:afterAutospacing="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p w14:paraId="653A34CB">
      <w:pPr>
        <w:pStyle w:val="13"/>
        <w:spacing w:beforeAutospacing="0" w:afterAutospacing="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p w14:paraId="6C1F0B1D">
      <w:pPr>
        <w:pStyle w:val="13"/>
        <w:spacing w:beforeAutospacing="0" w:afterAutospacing="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p w14:paraId="59785FB0">
      <w:pPr>
        <w:pStyle w:val="13"/>
        <w:spacing w:beforeAutospacing="0" w:afterAutospacing="0"/>
        <w:jc w:val="both"/>
        <w:rPr>
          <w:color w:val="auto"/>
          <w:highlight w:val="none"/>
        </w:rPr>
      </w:pPr>
      <w:r>
        <w:rPr>
          <w:color w:val="auto"/>
          <w:highlight w:val="none"/>
        </w:rPr>
        <w:t> </w:t>
      </w:r>
    </w:p>
    <w:p w14:paraId="00A2BAFA">
      <w:pPr>
        <w:pStyle w:val="13"/>
        <w:spacing w:beforeAutospacing="0" w:afterAutospacing="0"/>
        <w:jc w:val="both"/>
        <w:rPr>
          <w:color w:val="auto"/>
          <w:highlight w:val="none"/>
        </w:rPr>
      </w:pPr>
      <w:r>
        <w:rPr>
          <w:color w:val="auto"/>
          <w:highlight w:val="none"/>
        </w:rPr>
        <w:t> </w:t>
      </w:r>
    </w:p>
    <w:p w14:paraId="10AAE876">
      <w:pPr>
        <w:pStyle w:val="13"/>
        <w:spacing w:beforeAutospacing="0" w:afterAutospacing="0"/>
        <w:jc w:val="both"/>
        <w:rPr>
          <w:color w:val="auto"/>
          <w:highlight w:val="none"/>
        </w:rPr>
      </w:pPr>
      <w:r>
        <w:rPr>
          <w:color w:val="auto"/>
          <w:highlight w:val="none"/>
        </w:rPr>
        <w:t> </w:t>
      </w:r>
    </w:p>
    <w:p w14:paraId="180ADF08">
      <w:pPr>
        <w:pStyle w:val="13"/>
        <w:spacing w:beforeAutospacing="0" w:afterAutospacing="0"/>
        <w:jc w:val="both"/>
        <w:rPr>
          <w:color w:val="auto"/>
          <w:highlight w:val="none"/>
        </w:rPr>
      </w:pPr>
      <w:r>
        <w:rPr>
          <w:color w:val="auto"/>
          <w:highlight w:val="none"/>
        </w:rPr>
        <w:t> </w:t>
      </w:r>
    </w:p>
    <w:p w14:paraId="3D234415">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r>
    </w:p>
    <w:p w14:paraId="43DF01FF">
      <w:pPr>
        <w:pStyle w:val="13"/>
        <w:keepNext/>
        <w:spacing w:beforeAutospacing="0" w:afterAutospacing="0"/>
        <w:jc w:val="center"/>
        <w:rPr>
          <w:rFonts w:hint="eastAsia" w:ascii="黑体" w:hAnsi="宋体" w:eastAsia="黑体" w:cs="黑体"/>
          <w:color w:val="auto"/>
          <w:sz w:val="44"/>
          <w:szCs w:val="44"/>
          <w:highlight w:val="none"/>
        </w:rPr>
      </w:pPr>
    </w:p>
    <w:p w14:paraId="1B690A39">
      <w:pPr>
        <w:pStyle w:val="13"/>
        <w:keepNext/>
        <w:spacing w:beforeAutospacing="0" w:afterAutospacing="0"/>
        <w:jc w:val="center"/>
        <w:outlineLvl w:val="0"/>
        <w:rPr>
          <w:color w:val="auto"/>
          <w:highlight w:val="none"/>
        </w:rPr>
      </w:pPr>
      <w:r>
        <w:rPr>
          <w:rFonts w:hint="eastAsia" w:ascii="黑体" w:hAnsi="宋体" w:eastAsia="黑体" w:cs="黑体"/>
          <w:color w:val="auto"/>
          <w:sz w:val="44"/>
          <w:szCs w:val="44"/>
          <w:highlight w:val="none"/>
        </w:rPr>
        <w:t xml:space="preserve">第六章  响应文件格式 </w:t>
      </w:r>
    </w:p>
    <w:p w14:paraId="062BBFA4">
      <w:pPr>
        <w:pStyle w:val="13"/>
        <w:spacing w:beforeAutospacing="0" w:afterAutospacing="0"/>
        <w:jc w:val="center"/>
        <w:rPr>
          <w:rFonts w:hint="eastAsia" w:ascii="宋体" w:hAnsi="宋体" w:eastAsia="宋体" w:cs="宋体"/>
          <w:b/>
          <w:color w:val="auto"/>
          <w:sz w:val="72"/>
          <w:szCs w:val="72"/>
          <w:highlight w:val="none"/>
        </w:rPr>
      </w:pPr>
      <w:bookmarkStart w:id="166" w:name="_Toc120614282"/>
      <w:bookmarkEnd w:id="166"/>
      <w:bookmarkStart w:id="167" w:name="_Toc49090576"/>
      <w:bookmarkEnd w:id="167"/>
      <w:bookmarkStart w:id="168" w:name="_Toc26554094"/>
      <w:bookmarkStart w:id="169" w:name="_Hlt26671244"/>
      <w:bookmarkStart w:id="170" w:name="_Hlt26955039"/>
    </w:p>
    <w:p w14:paraId="5AF686D5">
      <w:pPr>
        <w:pStyle w:val="13"/>
        <w:spacing w:beforeAutospacing="0" w:afterAutospacing="0"/>
        <w:jc w:val="center"/>
        <w:outlineLvl w:val="0"/>
        <w:rPr>
          <w:color w:val="auto"/>
          <w:highlight w:val="none"/>
        </w:rPr>
      </w:pPr>
      <w:r>
        <w:rPr>
          <w:rFonts w:hint="eastAsia" w:ascii="宋体" w:hAnsi="宋体" w:eastAsia="宋体" w:cs="宋体"/>
          <w:b/>
          <w:color w:val="auto"/>
          <w:sz w:val="72"/>
          <w:szCs w:val="72"/>
          <w:highlight w:val="none"/>
        </w:rPr>
        <w:t>响  应  文  件</w:t>
      </w:r>
    </w:p>
    <w:p w14:paraId="115CD384">
      <w:pPr>
        <w:pStyle w:val="13"/>
        <w:spacing w:beforeAutospacing="0" w:afterAutospacing="0"/>
        <w:jc w:val="center"/>
        <w:rPr>
          <w:color w:val="auto"/>
          <w:highlight w:val="none"/>
        </w:rPr>
      </w:pPr>
      <w:r>
        <w:rPr>
          <w:color w:val="auto"/>
          <w:highlight w:val="none"/>
        </w:rPr>
        <w:t> </w:t>
      </w:r>
    </w:p>
    <w:p w14:paraId="51BB14D4">
      <w:pPr>
        <w:pStyle w:val="13"/>
        <w:spacing w:beforeAutospacing="0" w:afterAutospacing="0"/>
        <w:jc w:val="center"/>
        <w:rPr>
          <w:color w:val="auto"/>
          <w:highlight w:val="none"/>
        </w:rPr>
      </w:pPr>
      <w:r>
        <w:rPr>
          <w:color w:val="auto"/>
          <w:highlight w:val="none"/>
        </w:rPr>
        <w:t> </w:t>
      </w:r>
    </w:p>
    <w:p w14:paraId="32E70BBA">
      <w:pPr>
        <w:pStyle w:val="13"/>
        <w:spacing w:beforeAutospacing="0" w:afterAutospacing="0"/>
        <w:jc w:val="center"/>
        <w:rPr>
          <w:color w:val="auto"/>
          <w:highlight w:val="none"/>
        </w:rPr>
      </w:pPr>
      <w:r>
        <w:rPr>
          <w:color w:val="auto"/>
          <w:highlight w:val="none"/>
        </w:rPr>
        <w:t> </w:t>
      </w:r>
    </w:p>
    <w:p w14:paraId="68F58724">
      <w:pPr>
        <w:pStyle w:val="13"/>
        <w:spacing w:beforeAutospacing="0" w:afterAutospacing="0"/>
        <w:jc w:val="center"/>
        <w:rPr>
          <w:color w:val="auto"/>
          <w:highlight w:val="none"/>
        </w:rPr>
      </w:pPr>
      <w:r>
        <w:rPr>
          <w:color w:val="auto"/>
          <w:highlight w:val="none"/>
        </w:rPr>
        <w:t> </w:t>
      </w:r>
    </w:p>
    <w:p w14:paraId="19DFB57E">
      <w:pPr>
        <w:pStyle w:val="13"/>
        <w:spacing w:beforeAutospacing="0" w:afterAutospacing="0"/>
        <w:jc w:val="center"/>
        <w:rPr>
          <w:color w:val="auto"/>
          <w:highlight w:val="none"/>
        </w:rPr>
      </w:pPr>
      <w:r>
        <w:rPr>
          <w:color w:val="auto"/>
          <w:highlight w:val="none"/>
        </w:rPr>
        <w:t> </w:t>
      </w:r>
    </w:p>
    <w:p w14:paraId="502D6093">
      <w:pPr>
        <w:pStyle w:val="13"/>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 目名 称：</w:t>
      </w:r>
      <w:r>
        <w:rPr>
          <w:rFonts w:hint="eastAsia" w:ascii="宋体" w:hAnsi="宋体" w:eastAsia="宋体" w:cs="宋体"/>
          <w:b/>
          <w:color w:val="auto"/>
          <w:sz w:val="36"/>
          <w:szCs w:val="36"/>
          <w:highlight w:val="none"/>
          <w:u w:val="single"/>
        </w:rPr>
        <w:t xml:space="preserve">               </w:t>
      </w:r>
    </w:p>
    <w:p w14:paraId="26FEF7D8">
      <w:pPr>
        <w:pStyle w:val="13"/>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 目编 号：</w:t>
      </w:r>
      <w:r>
        <w:rPr>
          <w:rFonts w:hint="eastAsia" w:ascii="宋体" w:hAnsi="宋体" w:eastAsia="宋体" w:cs="宋体"/>
          <w:b/>
          <w:color w:val="auto"/>
          <w:sz w:val="36"/>
          <w:szCs w:val="36"/>
          <w:highlight w:val="none"/>
          <w:u w:val="single"/>
        </w:rPr>
        <w:t xml:space="preserve">               </w:t>
      </w:r>
    </w:p>
    <w:p w14:paraId="7B7C363E">
      <w:pPr>
        <w:pStyle w:val="13"/>
        <w:spacing w:beforeAutospacing="0" w:afterAutospacing="0"/>
        <w:jc w:val="both"/>
        <w:rPr>
          <w:rFonts w:hint="default" w:eastAsia="宋体"/>
          <w:color w:val="auto"/>
          <w:highlight w:val="none"/>
          <w:lang w:val="en-US" w:eastAsia="zh-CN"/>
        </w:rPr>
      </w:pPr>
      <w:r>
        <w:rPr>
          <w:rFonts w:hint="eastAsia" w:ascii="宋体" w:hAnsi="宋体" w:eastAsia="宋体" w:cs="宋体"/>
          <w:b/>
          <w:color w:val="auto"/>
          <w:sz w:val="36"/>
          <w:szCs w:val="36"/>
          <w:highlight w:val="none"/>
        </w:rPr>
        <w:t>   供应商名称 ：</w:t>
      </w:r>
      <w:r>
        <w:rPr>
          <w:rFonts w:hint="eastAsia" w:ascii="宋体" w:hAnsi="宋体" w:eastAsia="宋体" w:cs="宋体"/>
          <w:b/>
          <w:color w:val="auto"/>
          <w:sz w:val="36"/>
          <w:szCs w:val="36"/>
          <w:highlight w:val="none"/>
          <w:u w:val="single"/>
        </w:rPr>
        <w:t>（加盖CA电子公章）</w:t>
      </w:r>
      <w:r>
        <w:rPr>
          <w:rFonts w:hint="eastAsia" w:ascii="宋体" w:hAnsi="宋体" w:eastAsia="宋体" w:cs="宋体"/>
          <w:b/>
          <w:color w:val="auto"/>
          <w:sz w:val="36"/>
          <w:szCs w:val="36"/>
          <w:highlight w:val="none"/>
          <w:u w:val="single"/>
          <w:lang w:val="en-US" w:eastAsia="zh-CN"/>
        </w:rPr>
        <w:t xml:space="preserve">        </w:t>
      </w:r>
    </w:p>
    <w:p w14:paraId="22BD6A5B">
      <w:pPr>
        <w:pStyle w:val="13"/>
        <w:spacing w:beforeAutospacing="0" w:afterAutospacing="0"/>
        <w:jc w:val="both"/>
        <w:rPr>
          <w:rFonts w:hint="default" w:eastAsia="宋体"/>
          <w:color w:val="auto"/>
          <w:highlight w:val="none"/>
          <w:lang w:val="en-US" w:eastAsia="zh-CN"/>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r>
        <w:rPr>
          <w:rFonts w:hint="eastAsia" w:ascii="宋体" w:hAnsi="宋体" w:eastAsia="宋体" w:cs="宋体"/>
          <w:b/>
          <w:color w:val="auto"/>
          <w:sz w:val="36"/>
          <w:szCs w:val="36"/>
          <w:highlight w:val="none"/>
          <w:u w:val="single"/>
          <w:lang w:val="en-US" w:eastAsia="zh-CN"/>
        </w:rPr>
        <w:t xml:space="preserve">     </w:t>
      </w:r>
    </w:p>
    <w:p w14:paraId="4146A9A5">
      <w:pPr>
        <w:pStyle w:val="13"/>
        <w:spacing w:beforeAutospacing="0" w:afterAutospacing="0" w:line="0" w:lineRule="atLeast"/>
        <w:jc w:val="center"/>
        <w:rPr>
          <w:color w:val="auto"/>
          <w:highlight w:val="none"/>
        </w:rPr>
      </w:pPr>
      <w:r>
        <w:rPr>
          <w:color w:val="auto"/>
          <w:highlight w:val="none"/>
        </w:rPr>
        <w:t> </w:t>
      </w:r>
    </w:p>
    <w:p w14:paraId="7517C865">
      <w:pPr>
        <w:pStyle w:val="13"/>
        <w:spacing w:beforeAutospacing="0" w:afterAutospacing="0" w:line="0" w:lineRule="atLeast"/>
        <w:jc w:val="center"/>
        <w:rPr>
          <w:rFonts w:ascii="宋体" w:hAnsi="宋体" w:eastAsia="宋体" w:cs="宋体"/>
          <w:b/>
          <w:color w:val="auto"/>
          <w:sz w:val="32"/>
          <w:szCs w:val="32"/>
          <w:highlight w:val="none"/>
        </w:rPr>
      </w:pPr>
    </w:p>
    <w:p w14:paraId="465CC484">
      <w:pPr>
        <w:pStyle w:val="13"/>
        <w:spacing w:beforeAutospacing="0" w:afterAutospacing="0" w:line="0" w:lineRule="atLeast"/>
        <w:jc w:val="center"/>
        <w:rPr>
          <w:rFonts w:ascii="宋体" w:hAnsi="宋体" w:eastAsia="宋体" w:cs="宋体"/>
          <w:b/>
          <w:color w:val="auto"/>
          <w:sz w:val="32"/>
          <w:szCs w:val="32"/>
          <w:highlight w:val="none"/>
        </w:rPr>
      </w:pPr>
    </w:p>
    <w:p w14:paraId="5C0B7A81">
      <w:pPr>
        <w:pStyle w:val="13"/>
        <w:spacing w:beforeAutospacing="0" w:afterAutospacing="0" w:line="0" w:lineRule="atLeast"/>
        <w:jc w:val="center"/>
        <w:rPr>
          <w:rFonts w:ascii="宋体" w:hAnsi="宋体" w:eastAsia="宋体" w:cs="宋体"/>
          <w:b/>
          <w:color w:val="auto"/>
          <w:sz w:val="32"/>
          <w:szCs w:val="32"/>
          <w:highlight w:val="none"/>
        </w:rPr>
      </w:pPr>
    </w:p>
    <w:p w14:paraId="3E140484">
      <w:pPr>
        <w:pStyle w:val="13"/>
        <w:spacing w:beforeAutospacing="0" w:afterAutospacing="0" w:line="0" w:lineRule="atLeast"/>
        <w:jc w:val="center"/>
        <w:rPr>
          <w:rFonts w:ascii="宋体" w:hAnsi="宋体" w:eastAsia="宋体" w:cs="宋体"/>
          <w:b/>
          <w:color w:val="auto"/>
          <w:sz w:val="32"/>
          <w:szCs w:val="32"/>
          <w:highlight w:val="none"/>
        </w:rPr>
      </w:pPr>
    </w:p>
    <w:p w14:paraId="32529CB3">
      <w:pPr>
        <w:pStyle w:val="13"/>
        <w:spacing w:beforeAutospacing="0" w:afterAutospacing="0" w:line="0" w:lineRule="atLeast"/>
        <w:jc w:val="center"/>
        <w:rPr>
          <w:rFonts w:ascii="宋体" w:hAnsi="宋体" w:eastAsia="宋体" w:cs="宋体"/>
          <w:b/>
          <w:color w:val="auto"/>
          <w:sz w:val="32"/>
          <w:szCs w:val="32"/>
          <w:highlight w:val="none"/>
        </w:rPr>
      </w:pPr>
    </w:p>
    <w:p w14:paraId="1EFA9249">
      <w:pPr>
        <w:pStyle w:val="13"/>
        <w:spacing w:beforeAutospacing="0" w:afterAutospacing="0" w:line="0" w:lineRule="atLeast"/>
        <w:jc w:val="center"/>
        <w:rPr>
          <w:rFonts w:ascii="宋体" w:hAnsi="宋体" w:eastAsia="宋体" w:cs="宋体"/>
          <w:b/>
          <w:color w:val="auto"/>
          <w:sz w:val="32"/>
          <w:szCs w:val="32"/>
          <w:highlight w:val="none"/>
        </w:rPr>
      </w:pPr>
    </w:p>
    <w:p w14:paraId="334EBA78">
      <w:pPr>
        <w:pStyle w:val="13"/>
        <w:spacing w:beforeAutospacing="0" w:afterAutospacing="0" w:line="0" w:lineRule="atLeast"/>
        <w:jc w:val="center"/>
        <w:rPr>
          <w:rFonts w:ascii="宋体" w:hAnsi="宋体" w:eastAsia="宋体" w:cs="宋体"/>
          <w:b/>
          <w:color w:val="auto"/>
          <w:sz w:val="32"/>
          <w:szCs w:val="32"/>
          <w:highlight w:val="none"/>
        </w:rPr>
      </w:pPr>
    </w:p>
    <w:p w14:paraId="0D920710">
      <w:pPr>
        <w:pStyle w:val="13"/>
        <w:spacing w:beforeAutospacing="0" w:afterAutospacing="0" w:line="0" w:lineRule="atLeast"/>
        <w:jc w:val="center"/>
        <w:rPr>
          <w:rFonts w:ascii="宋体" w:hAnsi="宋体" w:eastAsia="宋体" w:cs="宋体"/>
          <w:b/>
          <w:color w:val="auto"/>
          <w:sz w:val="32"/>
          <w:szCs w:val="32"/>
          <w:highlight w:val="none"/>
        </w:rPr>
      </w:pPr>
    </w:p>
    <w:p w14:paraId="6F3BE31D">
      <w:pPr>
        <w:pStyle w:val="13"/>
        <w:spacing w:beforeAutospacing="0" w:afterAutospacing="0" w:line="0" w:lineRule="atLeast"/>
        <w:jc w:val="center"/>
        <w:rPr>
          <w:rFonts w:ascii="宋体" w:hAnsi="宋体" w:eastAsia="宋体" w:cs="宋体"/>
          <w:b/>
          <w:color w:val="auto"/>
          <w:sz w:val="32"/>
          <w:szCs w:val="32"/>
          <w:highlight w:val="none"/>
        </w:rPr>
      </w:pPr>
    </w:p>
    <w:p w14:paraId="37DFFD03">
      <w:pPr>
        <w:pStyle w:val="13"/>
        <w:spacing w:beforeAutospacing="0" w:afterAutospacing="0" w:line="0" w:lineRule="atLeast"/>
        <w:jc w:val="center"/>
        <w:rPr>
          <w:rFonts w:ascii="宋体" w:hAnsi="宋体" w:eastAsia="宋体" w:cs="宋体"/>
          <w:b/>
          <w:color w:val="auto"/>
          <w:sz w:val="32"/>
          <w:szCs w:val="32"/>
          <w:highlight w:val="none"/>
        </w:rPr>
      </w:pPr>
    </w:p>
    <w:p w14:paraId="532FF12D">
      <w:pPr>
        <w:pStyle w:val="13"/>
        <w:spacing w:beforeAutospacing="0" w:afterAutospacing="0" w:line="0" w:lineRule="atLeast"/>
        <w:jc w:val="center"/>
        <w:rPr>
          <w:rFonts w:ascii="宋体" w:hAnsi="宋体" w:eastAsia="宋体" w:cs="宋体"/>
          <w:b/>
          <w:color w:val="auto"/>
          <w:sz w:val="32"/>
          <w:szCs w:val="32"/>
          <w:highlight w:val="none"/>
        </w:rPr>
      </w:pPr>
    </w:p>
    <w:p w14:paraId="5B180F80">
      <w:pPr>
        <w:pStyle w:val="13"/>
        <w:spacing w:beforeAutospacing="0" w:afterAutospacing="0" w:line="0" w:lineRule="atLeast"/>
        <w:jc w:val="center"/>
        <w:rPr>
          <w:rFonts w:ascii="宋体" w:hAnsi="宋体" w:eastAsia="宋体" w:cs="宋体"/>
          <w:b/>
          <w:color w:val="auto"/>
          <w:sz w:val="32"/>
          <w:szCs w:val="32"/>
          <w:highlight w:val="none"/>
        </w:rPr>
      </w:pPr>
    </w:p>
    <w:p w14:paraId="55FFBCA2">
      <w:pPr>
        <w:pStyle w:val="13"/>
        <w:spacing w:beforeAutospacing="0" w:afterAutospacing="0" w:line="0" w:lineRule="atLeast"/>
        <w:jc w:val="center"/>
        <w:rPr>
          <w:rFonts w:ascii="宋体" w:hAnsi="宋体" w:eastAsia="宋体" w:cs="宋体"/>
          <w:b/>
          <w:color w:val="auto"/>
          <w:sz w:val="32"/>
          <w:szCs w:val="32"/>
          <w:highlight w:val="none"/>
        </w:rPr>
      </w:pPr>
    </w:p>
    <w:p w14:paraId="20CCD124">
      <w:pPr>
        <w:pStyle w:val="13"/>
        <w:spacing w:beforeAutospacing="0" w:afterAutospacing="0" w:line="0" w:lineRule="atLeast"/>
        <w:jc w:val="center"/>
        <w:rPr>
          <w:rFonts w:ascii="宋体" w:hAnsi="宋体" w:eastAsia="宋体" w:cs="宋体"/>
          <w:b/>
          <w:color w:val="auto"/>
          <w:sz w:val="32"/>
          <w:szCs w:val="32"/>
          <w:highlight w:val="none"/>
        </w:rPr>
      </w:pPr>
    </w:p>
    <w:p w14:paraId="508E7CC5">
      <w:pPr>
        <w:pStyle w:val="13"/>
        <w:spacing w:beforeAutospacing="0" w:afterAutospacing="0" w:line="0" w:lineRule="atLeast"/>
        <w:jc w:val="center"/>
        <w:rPr>
          <w:rFonts w:ascii="宋体" w:hAnsi="宋体" w:eastAsia="宋体" w:cs="宋体"/>
          <w:b/>
          <w:color w:val="auto"/>
          <w:sz w:val="32"/>
          <w:szCs w:val="32"/>
          <w:highlight w:val="none"/>
        </w:rPr>
      </w:pPr>
    </w:p>
    <w:p w14:paraId="1A4BDBFE">
      <w:pPr>
        <w:pStyle w:val="13"/>
        <w:spacing w:beforeAutospacing="0" w:afterAutospacing="0" w:line="0" w:lineRule="atLeast"/>
        <w:jc w:val="center"/>
        <w:rPr>
          <w:rFonts w:ascii="宋体" w:hAnsi="宋体" w:eastAsia="宋体" w:cs="宋体"/>
          <w:b/>
          <w:color w:val="auto"/>
          <w:sz w:val="32"/>
          <w:szCs w:val="32"/>
          <w:highlight w:val="none"/>
        </w:rPr>
      </w:pPr>
    </w:p>
    <w:p w14:paraId="304C556F">
      <w:pPr>
        <w:pStyle w:val="13"/>
        <w:spacing w:beforeAutospacing="0" w:afterAutospacing="0" w:line="0" w:lineRule="atLeast"/>
        <w:jc w:val="center"/>
        <w:rPr>
          <w:rFonts w:ascii="宋体" w:hAnsi="宋体" w:eastAsia="宋体" w:cs="宋体"/>
          <w:b/>
          <w:color w:val="auto"/>
          <w:sz w:val="32"/>
          <w:szCs w:val="32"/>
          <w:highlight w:val="none"/>
        </w:rPr>
      </w:pPr>
    </w:p>
    <w:p w14:paraId="307BF343">
      <w:pPr>
        <w:pStyle w:val="13"/>
        <w:spacing w:beforeAutospacing="0" w:afterAutospacing="0" w:line="0" w:lineRule="atLeas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响应文件目录</w:t>
      </w:r>
    </w:p>
    <w:p w14:paraId="5B41C696">
      <w:pPr>
        <w:pStyle w:val="13"/>
        <w:spacing w:beforeAutospacing="0" w:afterAutospacing="0" w:line="0" w:lineRule="atLeast"/>
        <w:jc w:val="center"/>
        <w:rPr>
          <w:color w:val="auto"/>
          <w:highlight w:val="none"/>
        </w:rPr>
      </w:pPr>
      <w:r>
        <w:rPr>
          <w:color w:val="auto"/>
          <w:highlight w:val="none"/>
        </w:rPr>
        <w:t> </w:t>
      </w:r>
    </w:p>
    <w:p w14:paraId="7B27F066">
      <w:pPr>
        <w:pStyle w:val="13"/>
        <w:keepNext w:val="0"/>
        <w:keepLines w:val="0"/>
        <w:pageBreakBefore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Theme="minorEastAsia" w:hAnsiTheme="minorEastAsia" w:eastAsiaTheme="minorEastAsia" w:cstheme="minorEastAsia"/>
          <w:i w:val="0"/>
          <w:iCs/>
          <w:color w:val="auto"/>
          <w:sz w:val="24"/>
          <w:szCs w:val="24"/>
          <w:highlight w:val="none"/>
          <w:u w:val="none"/>
          <w:lang w:eastAsia="zh-CN"/>
        </w:rPr>
      </w:pPr>
      <w:r>
        <w:rPr>
          <w:rFonts w:hint="eastAsia" w:asciiTheme="minorEastAsia" w:hAnsiTheme="minorEastAsia" w:eastAsiaTheme="minorEastAsia" w:cstheme="minorEastAsia"/>
          <w:i w:val="0"/>
          <w:iCs/>
          <w:color w:val="auto"/>
          <w:sz w:val="24"/>
          <w:szCs w:val="24"/>
          <w:highlight w:val="none"/>
          <w:u w:val="none"/>
        </w:rPr>
        <w:t>一、法人或者其他组织的营业执照等证明文件，自然人的身份证明</w:t>
      </w:r>
      <w:r>
        <w:rPr>
          <w:rFonts w:hint="eastAsia" w:asciiTheme="minorEastAsia" w:hAnsiTheme="minorEastAsia" w:cstheme="minorEastAsia"/>
          <w:i w:val="0"/>
          <w:iCs/>
          <w:color w:val="auto"/>
          <w:sz w:val="24"/>
          <w:szCs w:val="24"/>
          <w:highlight w:val="none"/>
          <w:u w:val="none"/>
          <w:lang w:eastAsia="zh-CN"/>
        </w:rPr>
        <w:t>；</w:t>
      </w:r>
    </w:p>
    <w:p w14:paraId="37531448">
      <w:pPr>
        <w:pStyle w:val="13"/>
        <w:keepNext w:val="0"/>
        <w:keepLines w:val="0"/>
        <w:pageBreakBefore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Theme="minorEastAsia" w:hAnsiTheme="minorEastAsia" w:eastAsiaTheme="minorEastAsia" w:cstheme="minorEastAsia"/>
          <w:i w:val="0"/>
          <w:iCs/>
          <w:color w:val="auto"/>
          <w:sz w:val="24"/>
          <w:szCs w:val="24"/>
          <w:highlight w:val="none"/>
          <w:u w:val="none"/>
          <w:lang w:eastAsia="zh-CN"/>
        </w:rPr>
      </w:pPr>
      <w:r>
        <w:rPr>
          <w:rFonts w:hint="eastAsia" w:asciiTheme="minorEastAsia" w:hAnsiTheme="minorEastAsia" w:eastAsiaTheme="minorEastAsia" w:cstheme="minorEastAsia"/>
          <w:i w:val="0"/>
          <w:iCs/>
          <w:color w:val="auto"/>
          <w:sz w:val="24"/>
          <w:szCs w:val="24"/>
          <w:highlight w:val="none"/>
          <w:u w:val="none"/>
        </w:rPr>
        <w:t>二、上一年度的财务状况报</w:t>
      </w:r>
      <w:r>
        <w:rPr>
          <w:rFonts w:hint="eastAsia" w:asciiTheme="minorEastAsia" w:hAnsiTheme="minorEastAsia" w:cstheme="minorEastAsia"/>
          <w:i w:val="0"/>
          <w:iCs/>
          <w:color w:val="auto"/>
          <w:sz w:val="24"/>
          <w:szCs w:val="24"/>
          <w:highlight w:val="none"/>
          <w:u w:val="none"/>
          <w:lang w:val="en-US" w:eastAsia="zh-CN"/>
        </w:rPr>
        <w:t>表</w:t>
      </w:r>
      <w:r>
        <w:rPr>
          <w:rFonts w:hint="eastAsia" w:asciiTheme="minorEastAsia" w:hAnsiTheme="minorEastAsia" w:eastAsiaTheme="minorEastAsia" w:cstheme="minorEastAsia"/>
          <w:i w:val="0"/>
          <w:iCs/>
          <w:color w:val="auto"/>
          <w:sz w:val="24"/>
          <w:szCs w:val="24"/>
          <w:highlight w:val="none"/>
          <w:u w:val="none"/>
        </w:rPr>
        <w:t>（</w:t>
      </w:r>
      <w:r>
        <w:rPr>
          <w:rFonts w:hint="eastAsia" w:asciiTheme="minorEastAsia" w:hAnsiTheme="minorEastAsia" w:eastAsiaTheme="minorEastAsia" w:cstheme="minorEastAsia"/>
          <w:i w:val="0"/>
          <w:iCs/>
          <w:color w:val="auto"/>
          <w:sz w:val="24"/>
          <w:szCs w:val="24"/>
          <w:highlight w:val="none"/>
          <w:u w:val="none"/>
          <w:lang w:val="en-US" w:eastAsia="zh-CN"/>
        </w:rPr>
        <w:t>至少提供资产负债表、利润表、现金流量表，</w:t>
      </w:r>
      <w:r>
        <w:rPr>
          <w:rFonts w:hint="eastAsia" w:asciiTheme="minorEastAsia" w:hAnsiTheme="minorEastAsia" w:eastAsiaTheme="minorEastAsia" w:cstheme="minorEastAsia"/>
          <w:i w:val="0"/>
          <w:iCs/>
          <w:color w:val="auto"/>
          <w:sz w:val="24"/>
          <w:szCs w:val="24"/>
          <w:highlight w:val="none"/>
          <w:u w:val="none"/>
        </w:rPr>
        <w:t>磋商供应商成立不满一年无需提供）</w:t>
      </w:r>
      <w:r>
        <w:rPr>
          <w:rFonts w:hint="eastAsia" w:asciiTheme="minorEastAsia" w:hAnsiTheme="minorEastAsia" w:cstheme="minorEastAsia"/>
          <w:i w:val="0"/>
          <w:iCs/>
          <w:color w:val="auto"/>
          <w:sz w:val="24"/>
          <w:szCs w:val="24"/>
          <w:highlight w:val="none"/>
          <w:u w:val="none"/>
          <w:lang w:eastAsia="zh-CN"/>
        </w:rPr>
        <w:t>；</w:t>
      </w:r>
    </w:p>
    <w:p w14:paraId="04D4E413">
      <w:pPr>
        <w:pStyle w:val="13"/>
        <w:keepNext w:val="0"/>
        <w:keepLines w:val="0"/>
        <w:pageBreakBefore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Theme="minorEastAsia" w:hAnsiTheme="minorEastAsia" w:eastAsiaTheme="minorEastAsia" w:cstheme="minorEastAsia"/>
          <w:i w:val="0"/>
          <w:iCs/>
          <w:color w:val="auto"/>
          <w:sz w:val="24"/>
          <w:szCs w:val="24"/>
          <w:highlight w:val="none"/>
          <w:u w:val="none"/>
          <w:lang w:eastAsia="zh-CN"/>
        </w:rPr>
      </w:pPr>
      <w:r>
        <w:rPr>
          <w:rFonts w:hint="eastAsia" w:asciiTheme="minorEastAsia" w:hAnsiTheme="minorEastAsia" w:eastAsiaTheme="minorEastAsia" w:cstheme="minorEastAsia"/>
          <w:i w:val="0"/>
          <w:iCs/>
          <w:color w:val="auto"/>
          <w:sz w:val="24"/>
          <w:szCs w:val="24"/>
          <w:highlight w:val="none"/>
          <w:u w:val="none"/>
          <w:lang w:val="en-US" w:eastAsia="zh-CN"/>
        </w:rPr>
        <w:t>三</w:t>
      </w:r>
      <w:r>
        <w:rPr>
          <w:rFonts w:hint="eastAsia" w:asciiTheme="minorEastAsia" w:hAnsiTheme="minorEastAsia" w:eastAsiaTheme="minorEastAsia" w:cstheme="minorEastAsia"/>
          <w:i w:val="0"/>
          <w:iCs/>
          <w:color w:val="auto"/>
          <w:sz w:val="24"/>
          <w:szCs w:val="24"/>
          <w:highlight w:val="none"/>
          <w:u w:val="none"/>
        </w:rPr>
        <w:t>、具备履行合同所必需的设备和专业技术能力的书面声明</w:t>
      </w:r>
      <w:r>
        <w:rPr>
          <w:rFonts w:hint="eastAsia" w:asciiTheme="minorEastAsia" w:hAnsiTheme="minorEastAsia" w:cstheme="minorEastAsia"/>
          <w:i w:val="0"/>
          <w:iCs/>
          <w:color w:val="auto"/>
          <w:sz w:val="24"/>
          <w:szCs w:val="24"/>
          <w:highlight w:val="none"/>
          <w:u w:val="none"/>
          <w:lang w:eastAsia="zh-CN"/>
        </w:rPr>
        <w:t>；</w:t>
      </w:r>
    </w:p>
    <w:p w14:paraId="4CAA3DBD">
      <w:pPr>
        <w:pStyle w:val="13"/>
        <w:keepNext w:val="0"/>
        <w:keepLines w:val="0"/>
        <w:pageBreakBefore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Theme="minorEastAsia" w:hAnsiTheme="minorEastAsia" w:eastAsiaTheme="minorEastAsia" w:cstheme="minorEastAsia"/>
          <w:i w:val="0"/>
          <w:iCs/>
          <w:color w:val="auto"/>
          <w:sz w:val="24"/>
          <w:szCs w:val="24"/>
          <w:highlight w:val="none"/>
          <w:u w:val="none"/>
          <w:lang w:eastAsia="zh-CN"/>
        </w:rPr>
      </w:pPr>
      <w:r>
        <w:rPr>
          <w:rFonts w:hint="eastAsia" w:asciiTheme="minorEastAsia" w:hAnsiTheme="minorEastAsia" w:eastAsiaTheme="minorEastAsia" w:cstheme="minorEastAsia"/>
          <w:i w:val="0"/>
          <w:iCs/>
          <w:color w:val="auto"/>
          <w:sz w:val="24"/>
          <w:szCs w:val="24"/>
          <w:highlight w:val="none"/>
          <w:u w:val="none"/>
          <w:lang w:val="en-US" w:eastAsia="zh-CN"/>
        </w:rPr>
        <w:t>四</w:t>
      </w:r>
      <w:r>
        <w:rPr>
          <w:rFonts w:hint="eastAsia" w:asciiTheme="minorEastAsia" w:hAnsiTheme="minorEastAsia" w:eastAsiaTheme="minorEastAsia" w:cstheme="minorEastAsia"/>
          <w:i w:val="0"/>
          <w:iCs/>
          <w:color w:val="auto"/>
          <w:sz w:val="24"/>
          <w:szCs w:val="24"/>
          <w:highlight w:val="none"/>
          <w:u w:val="none"/>
        </w:rPr>
        <w:t>、依法缴纳税收和社会保障资金的相关材料（提供提交磋商响应文件截止时间前一年内至少一个月依法缴纳税收及缴纳社会保障资金的证明材料。磋商供应商依法享受缓缴、免缴税收、社会保障资金的提供证明材料。）</w:t>
      </w:r>
      <w:r>
        <w:rPr>
          <w:rFonts w:hint="eastAsia" w:asciiTheme="minorEastAsia" w:hAnsiTheme="minorEastAsia" w:cstheme="minorEastAsia"/>
          <w:i w:val="0"/>
          <w:iCs/>
          <w:color w:val="auto"/>
          <w:sz w:val="24"/>
          <w:szCs w:val="24"/>
          <w:highlight w:val="none"/>
          <w:u w:val="none"/>
          <w:lang w:eastAsia="zh-CN"/>
        </w:rPr>
        <w:t>；</w:t>
      </w:r>
    </w:p>
    <w:p w14:paraId="05189FB9">
      <w:pPr>
        <w:pStyle w:val="13"/>
        <w:keepNext w:val="0"/>
        <w:keepLines w:val="0"/>
        <w:pageBreakBefore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Theme="minorEastAsia" w:hAnsiTheme="minorEastAsia" w:eastAsiaTheme="minorEastAsia" w:cstheme="minorEastAsia"/>
          <w:i w:val="0"/>
          <w:iCs/>
          <w:color w:val="auto"/>
          <w:sz w:val="24"/>
          <w:szCs w:val="24"/>
          <w:highlight w:val="none"/>
          <w:u w:val="none"/>
          <w:lang w:eastAsia="zh-CN"/>
        </w:rPr>
      </w:pPr>
      <w:r>
        <w:rPr>
          <w:rFonts w:hint="eastAsia" w:asciiTheme="minorEastAsia" w:hAnsiTheme="minorEastAsia" w:eastAsiaTheme="minorEastAsia" w:cstheme="minorEastAsia"/>
          <w:i w:val="0"/>
          <w:iCs/>
          <w:color w:val="auto"/>
          <w:sz w:val="24"/>
          <w:szCs w:val="24"/>
          <w:highlight w:val="none"/>
          <w:u w:val="none"/>
        </w:rPr>
        <w:t>五、参加政府采购活动前 3 年内在经营活动中没有重大违法记录的书面声明</w:t>
      </w:r>
      <w:r>
        <w:rPr>
          <w:rFonts w:hint="eastAsia" w:asciiTheme="minorEastAsia" w:hAnsiTheme="minorEastAsia" w:cstheme="minorEastAsia"/>
          <w:i w:val="0"/>
          <w:iCs/>
          <w:color w:val="auto"/>
          <w:sz w:val="24"/>
          <w:szCs w:val="24"/>
          <w:highlight w:val="none"/>
          <w:u w:val="none"/>
          <w:lang w:eastAsia="zh-CN"/>
        </w:rPr>
        <w:t>；</w:t>
      </w:r>
    </w:p>
    <w:p w14:paraId="698B474A">
      <w:pPr>
        <w:pStyle w:val="13"/>
        <w:keepNext w:val="0"/>
        <w:keepLines w:val="0"/>
        <w:pageBreakBefore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六、特定资格要求的证明文件（如果本项目设置特定资格要求，则需要提供）</w:t>
      </w:r>
    </w:p>
    <w:p w14:paraId="2C9A71EB">
      <w:pPr>
        <w:pStyle w:val="13"/>
        <w:keepNext w:val="0"/>
        <w:keepLines w:val="0"/>
        <w:pageBreakBefore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七、法人授权书</w:t>
      </w:r>
    </w:p>
    <w:p w14:paraId="572472C2">
      <w:pPr>
        <w:pStyle w:val="13"/>
        <w:keepNext w:val="0"/>
        <w:keepLines w:val="0"/>
        <w:pageBreakBefore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八、磋商响应函</w:t>
      </w:r>
    </w:p>
    <w:p w14:paraId="7BE4CEF0">
      <w:pPr>
        <w:pStyle w:val="13"/>
        <w:keepNext w:val="0"/>
        <w:keepLines w:val="0"/>
        <w:pageBreakBefore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九、</w:t>
      </w:r>
      <w:r>
        <w:rPr>
          <w:rFonts w:hint="eastAsia" w:asciiTheme="minorEastAsia" w:hAnsiTheme="minorEastAsia" w:eastAsiaTheme="minorEastAsia" w:cstheme="minorEastAsia"/>
          <w:i w:val="0"/>
          <w:iCs/>
          <w:color w:val="auto"/>
          <w:sz w:val="24"/>
          <w:szCs w:val="24"/>
          <w:highlight w:val="none"/>
          <w:u w:val="none"/>
          <w:lang w:val="en-US" w:eastAsia="zh-CN"/>
        </w:rPr>
        <w:t>中小</w:t>
      </w:r>
      <w:r>
        <w:rPr>
          <w:rFonts w:hint="eastAsia" w:asciiTheme="minorEastAsia" w:hAnsiTheme="minorEastAsia" w:eastAsiaTheme="minorEastAsia" w:cstheme="minorEastAsia"/>
          <w:i w:val="0"/>
          <w:iCs/>
          <w:color w:val="auto"/>
          <w:sz w:val="24"/>
          <w:szCs w:val="24"/>
          <w:highlight w:val="none"/>
          <w:u w:val="none"/>
        </w:rPr>
        <w:t>企业声明函</w:t>
      </w:r>
    </w:p>
    <w:p w14:paraId="6D19C05A">
      <w:pPr>
        <w:pStyle w:val="13"/>
        <w:keepNext w:val="0"/>
        <w:keepLines w:val="0"/>
        <w:pageBreakBefore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十、残疾人福利性单位声明函</w:t>
      </w:r>
    </w:p>
    <w:p w14:paraId="3DB16F11">
      <w:pPr>
        <w:pStyle w:val="13"/>
        <w:keepNext w:val="0"/>
        <w:keepLines w:val="0"/>
        <w:pageBreakBefore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w:t>
      </w:r>
      <w:r>
        <w:rPr>
          <w:rFonts w:hint="eastAsia" w:asciiTheme="minorEastAsia" w:hAnsiTheme="minorEastAsia" w:cstheme="minorEastAsia"/>
          <w:i w:val="0"/>
          <w:iCs/>
          <w:color w:val="auto"/>
          <w:sz w:val="24"/>
          <w:szCs w:val="24"/>
          <w:highlight w:val="none"/>
          <w:u w:val="none"/>
          <w:lang w:val="en-US" w:eastAsia="zh-CN"/>
        </w:rPr>
        <w:t>一</w:t>
      </w:r>
      <w:r>
        <w:rPr>
          <w:rFonts w:hint="eastAsia" w:asciiTheme="minorEastAsia" w:hAnsiTheme="minorEastAsia" w:eastAsiaTheme="minorEastAsia" w:cstheme="minorEastAsia"/>
          <w:i w:val="0"/>
          <w:iCs/>
          <w:color w:val="auto"/>
          <w:sz w:val="24"/>
          <w:szCs w:val="24"/>
          <w:highlight w:val="none"/>
          <w:u w:val="none"/>
        </w:rPr>
        <w:t>、分项报价表</w:t>
      </w:r>
    </w:p>
    <w:p w14:paraId="516C87DD">
      <w:pPr>
        <w:pStyle w:val="13"/>
        <w:keepNext w:val="0"/>
        <w:keepLines w:val="0"/>
        <w:pageBreakBefore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w:t>
      </w:r>
      <w:r>
        <w:rPr>
          <w:rFonts w:hint="eastAsia" w:asciiTheme="minorEastAsia" w:hAnsiTheme="minorEastAsia" w:cstheme="minorEastAsia"/>
          <w:i w:val="0"/>
          <w:iCs/>
          <w:color w:val="auto"/>
          <w:sz w:val="24"/>
          <w:szCs w:val="24"/>
          <w:highlight w:val="none"/>
          <w:u w:val="none"/>
          <w:lang w:val="en-US" w:eastAsia="zh-CN"/>
        </w:rPr>
        <w:t>二</w:t>
      </w:r>
      <w:r>
        <w:rPr>
          <w:rFonts w:hint="eastAsia" w:asciiTheme="minorEastAsia" w:hAnsiTheme="minorEastAsia" w:eastAsiaTheme="minorEastAsia" w:cstheme="minorEastAsia"/>
          <w:i w:val="0"/>
          <w:iCs/>
          <w:color w:val="auto"/>
          <w:sz w:val="24"/>
          <w:szCs w:val="24"/>
          <w:highlight w:val="none"/>
          <w:u w:val="none"/>
        </w:rPr>
        <w:t>、资格性审查响应对照表</w:t>
      </w:r>
    </w:p>
    <w:p w14:paraId="7BAE78CE">
      <w:pPr>
        <w:pStyle w:val="13"/>
        <w:keepNext w:val="0"/>
        <w:keepLines w:val="0"/>
        <w:pageBreakBefore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w:t>
      </w:r>
      <w:r>
        <w:rPr>
          <w:rFonts w:hint="eastAsia" w:asciiTheme="minorEastAsia" w:hAnsiTheme="minorEastAsia" w:cstheme="minorEastAsia"/>
          <w:i w:val="0"/>
          <w:iCs/>
          <w:color w:val="auto"/>
          <w:sz w:val="24"/>
          <w:szCs w:val="24"/>
          <w:highlight w:val="none"/>
          <w:u w:val="none"/>
          <w:lang w:eastAsia="zh-CN"/>
        </w:rPr>
        <w:t>三</w:t>
      </w:r>
      <w:r>
        <w:rPr>
          <w:rFonts w:hint="eastAsia" w:asciiTheme="minorEastAsia" w:hAnsiTheme="minorEastAsia" w:eastAsiaTheme="minorEastAsia" w:cstheme="minorEastAsia"/>
          <w:i w:val="0"/>
          <w:iCs/>
          <w:color w:val="auto"/>
          <w:sz w:val="24"/>
          <w:szCs w:val="24"/>
          <w:highlight w:val="none"/>
          <w:u w:val="none"/>
        </w:rPr>
        <w:t>、符合性检查响应对照表</w:t>
      </w:r>
    </w:p>
    <w:p w14:paraId="48EFFF5A">
      <w:pPr>
        <w:pStyle w:val="13"/>
        <w:keepNext w:val="0"/>
        <w:keepLines w:val="0"/>
        <w:pageBreakBefore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Theme="minorEastAsia" w:hAnsiTheme="minorEastAsia" w:eastAsiaTheme="minorEastAsia" w:cstheme="minorEastAsia"/>
          <w:i w:val="0"/>
          <w:iCs/>
          <w:color w:val="000000"/>
          <w:sz w:val="24"/>
          <w:szCs w:val="24"/>
          <w:highlight w:val="none"/>
          <w:u w:val="none"/>
        </w:rPr>
      </w:pPr>
      <w:r>
        <w:rPr>
          <w:rFonts w:hint="eastAsia" w:asciiTheme="minorEastAsia" w:hAnsiTheme="minorEastAsia" w:eastAsiaTheme="minorEastAsia" w:cstheme="minorEastAsia"/>
          <w:i w:val="0"/>
          <w:iCs/>
          <w:color w:val="000000"/>
          <w:sz w:val="24"/>
          <w:szCs w:val="24"/>
          <w:highlight w:val="none"/>
          <w:u w:val="none"/>
        </w:rPr>
        <w:t>十</w:t>
      </w:r>
      <w:r>
        <w:rPr>
          <w:rFonts w:hint="eastAsia" w:asciiTheme="minorEastAsia" w:hAnsiTheme="minorEastAsia" w:cstheme="minorEastAsia"/>
          <w:i w:val="0"/>
          <w:iCs/>
          <w:color w:val="000000"/>
          <w:sz w:val="24"/>
          <w:szCs w:val="24"/>
          <w:highlight w:val="none"/>
          <w:u w:val="none"/>
          <w:lang w:val="en-US" w:eastAsia="zh-CN"/>
        </w:rPr>
        <w:t>四</w:t>
      </w:r>
      <w:r>
        <w:rPr>
          <w:rFonts w:hint="eastAsia" w:asciiTheme="minorEastAsia" w:hAnsiTheme="minorEastAsia" w:eastAsiaTheme="minorEastAsia" w:cstheme="minorEastAsia"/>
          <w:i w:val="0"/>
          <w:iCs/>
          <w:color w:val="000000"/>
          <w:sz w:val="24"/>
          <w:szCs w:val="24"/>
          <w:highlight w:val="none"/>
          <w:u w:val="none"/>
        </w:rPr>
        <w:t>、开标一览表</w:t>
      </w:r>
    </w:p>
    <w:p w14:paraId="26065437">
      <w:pPr>
        <w:keepNext w:val="0"/>
        <w:keepLines w:val="0"/>
        <w:pageBreakBefore w:val="0"/>
        <w:widowControl/>
        <w:kinsoku/>
        <w:wordWrap/>
        <w:overflowPunct/>
        <w:topLinePunct w:val="0"/>
        <w:autoSpaceDE/>
        <w:autoSpaceDN/>
        <w:bidi w:val="0"/>
        <w:adjustRightInd/>
        <w:snapToGrid/>
        <w:spacing w:before="50" w:after="50" w:line="360" w:lineRule="exact"/>
        <w:ind w:firstLine="480" w:firstLineChars="200"/>
        <w:textAlignment w:val="auto"/>
        <w:rPr>
          <w:rFonts w:hint="eastAsia" w:asciiTheme="minorEastAsia" w:hAnsiTheme="minorEastAsia" w:eastAsiaTheme="minorEastAsia" w:cstheme="minorEastAsia"/>
          <w:i w:val="0"/>
          <w:iCs/>
          <w:color w:val="auto"/>
          <w:kern w:val="0"/>
          <w:sz w:val="24"/>
          <w:szCs w:val="24"/>
          <w:highlight w:val="none"/>
          <w:u w:val="none"/>
        </w:rPr>
      </w:pPr>
      <w:r>
        <w:rPr>
          <w:rFonts w:hint="eastAsia" w:asciiTheme="minorEastAsia" w:hAnsiTheme="minorEastAsia" w:eastAsiaTheme="minorEastAsia" w:cstheme="minorEastAsia"/>
          <w:i w:val="0"/>
          <w:iCs/>
          <w:color w:val="auto"/>
          <w:kern w:val="0"/>
          <w:sz w:val="24"/>
          <w:szCs w:val="24"/>
          <w:highlight w:val="none"/>
          <w:u w:val="none"/>
        </w:rPr>
        <w:t>十</w:t>
      </w:r>
      <w:r>
        <w:rPr>
          <w:rFonts w:hint="eastAsia" w:asciiTheme="minorEastAsia" w:hAnsiTheme="minorEastAsia" w:cstheme="minorEastAsia"/>
          <w:i w:val="0"/>
          <w:iCs/>
          <w:color w:val="auto"/>
          <w:kern w:val="0"/>
          <w:sz w:val="24"/>
          <w:szCs w:val="24"/>
          <w:highlight w:val="none"/>
          <w:u w:val="none"/>
          <w:lang w:val="en-US" w:eastAsia="zh-CN"/>
        </w:rPr>
        <w:t>五</w:t>
      </w:r>
      <w:r>
        <w:rPr>
          <w:rFonts w:hint="eastAsia" w:asciiTheme="minorEastAsia" w:hAnsiTheme="minorEastAsia" w:eastAsiaTheme="minorEastAsia" w:cstheme="minorEastAsia"/>
          <w:i w:val="0"/>
          <w:iCs/>
          <w:color w:val="auto"/>
          <w:kern w:val="0"/>
          <w:sz w:val="24"/>
          <w:szCs w:val="24"/>
          <w:highlight w:val="none"/>
          <w:u w:val="none"/>
        </w:rPr>
        <w:t>、技术方案、服务承诺、培训承诺等</w:t>
      </w:r>
    </w:p>
    <w:p w14:paraId="660B8D16">
      <w:pPr>
        <w:pStyle w:val="13"/>
        <w:keepNext w:val="0"/>
        <w:keepLines w:val="0"/>
        <w:pageBreakBefore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w:t>
      </w:r>
      <w:r>
        <w:rPr>
          <w:rFonts w:hint="eastAsia" w:asciiTheme="minorEastAsia" w:hAnsiTheme="minorEastAsia" w:cstheme="minorEastAsia"/>
          <w:i w:val="0"/>
          <w:iCs/>
          <w:color w:val="auto"/>
          <w:sz w:val="24"/>
          <w:szCs w:val="24"/>
          <w:highlight w:val="none"/>
          <w:u w:val="none"/>
          <w:lang w:val="en-US" w:eastAsia="zh-CN"/>
        </w:rPr>
        <w:t>六</w:t>
      </w:r>
      <w:r>
        <w:rPr>
          <w:rFonts w:hint="eastAsia" w:asciiTheme="minorEastAsia" w:hAnsiTheme="minorEastAsia" w:eastAsiaTheme="minorEastAsia" w:cstheme="minorEastAsia"/>
          <w:i w:val="0"/>
          <w:iCs/>
          <w:color w:val="auto"/>
          <w:sz w:val="24"/>
          <w:szCs w:val="24"/>
          <w:highlight w:val="none"/>
          <w:u w:val="none"/>
        </w:rPr>
        <w:t>、</w:t>
      </w:r>
      <w:bookmarkStart w:id="181" w:name="_GoBack"/>
      <w:r>
        <w:rPr>
          <w:rFonts w:hint="eastAsia" w:asciiTheme="minorEastAsia" w:hAnsiTheme="minorEastAsia" w:eastAsiaTheme="minorEastAsia" w:cstheme="minorEastAsia"/>
          <w:i w:val="0"/>
          <w:iCs/>
          <w:color w:val="auto"/>
          <w:sz w:val="24"/>
          <w:szCs w:val="24"/>
          <w:highlight w:val="none"/>
          <w:u w:val="none"/>
        </w:rPr>
        <w:t>盐城市政府采购事前信用承诺书</w:t>
      </w:r>
      <w:bookmarkEnd w:id="181"/>
    </w:p>
    <w:p w14:paraId="4DDD421A">
      <w:pPr>
        <w:pStyle w:val="13"/>
        <w:spacing w:beforeAutospacing="0" w:afterAutospacing="0" w:line="0" w:lineRule="atLeast"/>
        <w:ind w:firstLine="480"/>
        <w:jc w:val="both"/>
        <w:rPr>
          <w:color w:val="auto"/>
          <w:highlight w:val="none"/>
        </w:rPr>
      </w:pPr>
    </w:p>
    <w:p w14:paraId="1201F0CE">
      <w:pPr>
        <w:pStyle w:val="13"/>
        <w:spacing w:beforeAutospacing="0" w:afterAutospacing="0" w:line="0" w:lineRule="atLeast"/>
        <w:ind w:firstLine="480"/>
        <w:jc w:val="both"/>
        <w:rPr>
          <w:color w:val="auto"/>
          <w:highlight w:val="none"/>
        </w:rPr>
      </w:pPr>
      <w:r>
        <w:rPr>
          <w:color w:val="auto"/>
          <w:highlight w:val="none"/>
        </w:rPr>
        <w:t> </w:t>
      </w:r>
    </w:p>
    <w:p w14:paraId="4F24DF3A">
      <w:pPr>
        <w:pStyle w:val="13"/>
        <w:spacing w:beforeAutospacing="0" w:afterAutospacing="0" w:line="0" w:lineRule="atLeast"/>
        <w:ind w:firstLine="480"/>
        <w:jc w:val="both"/>
        <w:rPr>
          <w:color w:val="auto"/>
          <w:highlight w:val="none"/>
        </w:rPr>
      </w:pPr>
      <w:r>
        <w:rPr>
          <w:color w:val="auto"/>
          <w:highlight w:val="none"/>
        </w:rPr>
        <w:t> </w:t>
      </w:r>
    </w:p>
    <w:p w14:paraId="199B0095">
      <w:pPr>
        <w:pStyle w:val="13"/>
        <w:spacing w:beforeAutospacing="0" w:afterAutospacing="0" w:line="0" w:lineRule="atLeast"/>
        <w:ind w:firstLine="480"/>
        <w:jc w:val="both"/>
        <w:rPr>
          <w:color w:val="auto"/>
          <w:highlight w:val="none"/>
        </w:rPr>
      </w:pPr>
      <w:r>
        <w:rPr>
          <w:color w:val="auto"/>
          <w:highlight w:val="none"/>
        </w:rPr>
        <w:t> </w:t>
      </w:r>
    </w:p>
    <w:p w14:paraId="0F52F154">
      <w:pPr>
        <w:pStyle w:val="13"/>
        <w:spacing w:beforeAutospacing="0" w:afterAutospacing="0" w:line="0" w:lineRule="atLeast"/>
        <w:ind w:firstLine="480"/>
        <w:jc w:val="both"/>
        <w:rPr>
          <w:color w:val="auto"/>
          <w:highlight w:val="none"/>
        </w:rPr>
      </w:pPr>
      <w:r>
        <w:rPr>
          <w:color w:val="auto"/>
          <w:highlight w:val="none"/>
        </w:rPr>
        <w:t> </w:t>
      </w:r>
    </w:p>
    <w:p w14:paraId="41501310">
      <w:pPr>
        <w:pStyle w:val="13"/>
        <w:spacing w:beforeAutospacing="0" w:afterAutospacing="0" w:line="0" w:lineRule="atLeast"/>
        <w:ind w:firstLine="480"/>
        <w:jc w:val="both"/>
        <w:rPr>
          <w:color w:val="auto"/>
          <w:highlight w:val="none"/>
        </w:rPr>
      </w:pPr>
    </w:p>
    <w:p w14:paraId="594B633D">
      <w:pPr>
        <w:pStyle w:val="13"/>
        <w:spacing w:beforeAutospacing="0" w:afterAutospacing="0" w:line="0" w:lineRule="atLeast"/>
        <w:ind w:firstLine="480"/>
        <w:jc w:val="both"/>
        <w:rPr>
          <w:color w:val="auto"/>
          <w:highlight w:val="none"/>
        </w:rPr>
      </w:pPr>
    </w:p>
    <w:p w14:paraId="46BD6355">
      <w:pPr>
        <w:pStyle w:val="13"/>
        <w:spacing w:beforeAutospacing="0" w:afterAutospacing="0" w:line="0" w:lineRule="atLeast"/>
        <w:ind w:firstLine="480"/>
        <w:jc w:val="both"/>
        <w:rPr>
          <w:color w:val="auto"/>
          <w:highlight w:val="none"/>
        </w:rPr>
      </w:pPr>
    </w:p>
    <w:p w14:paraId="79A1F378">
      <w:pPr>
        <w:pStyle w:val="13"/>
        <w:spacing w:beforeAutospacing="0" w:afterAutospacing="0" w:line="0" w:lineRule="atLeast"/>
        <w:ind w:firstLine="480"/>
        <w:jc w:val="both"/>
        <w:rPr>
          <w:color w:val="auto"/>
          <w:highlight w:val="none"/>
        </w:rPr>
      </w:pPr>
    </w:p>
    <w:p w14:paraId="025F521F">
      <w:pPr>
        <w:pStyle w:val="13"/>
        <w:spacing w:beforeAutospacing="0" w:afterAutospacing="0" w:line="0" w:lineRule="atLeast"/>
        <w:ind w:firstLine="480"/>
        <w:jc w:val="both"/>
        <w:rPr>
          <w:color w:val="auto"/>
          <w:highlight w:val="none"/>
        </w:rPr>
      </w:pPr>
    </w:p>
    <w:p w14:paraId="3256F45B">
      <w:pPr>
        <w:pStyle w:val="13"/>
        <w:spacing w:beforeAutospacing="0" w:afterAutospacing="0" w:line="0" w:lineRule="atLeast"/>
        <w:ind w:firstLine="480"/>
        <w:jc w:val="both"/>
        <w:rPr>
          <w:color w:val="auto"/>
          <w:highlight w:val="none"/>
        </w:rPr>
      </w:pPr>
    </w:p>
    <w:p w14:paraId="58D6C6F0">
      <w:pPr>
        <w:pStyle w:val="13"/>
        <w:spacing w:beforeAutospacing="0" w:afterAutospacing="0" w:line="0" w:lineRule="atLeast"/>
        <w:ind w:firstLine="480"/>
        <w:jc w:val="both"/>
        <w:rPr>
          <w:color w:val="auto"/>
          <w:highlight w:val="none"/>
        </w:rPr>
      </w:pPr>
    </w:p>
    <w:p w14:paraId="05F4313F">
      <w:pPr>
        <w:pStyle w:val="13"/>
        <w:spacing w:beforeAutospacing="0" w:afterAutospacing="0" w:line="0" w:lineRule="atLeast"/>
        <w:ind w:firstLine="480"/>
        <w:jc w:val="both"/>
        <w:rPr>
          <w:color w:val="auto"/>
          <w:highlight w:val="none"/>
        </w:rPr>
      </w:pPr>
    </w:p>
    <w:p w14:paraId="06CFC524">
      <w:pPr>
        <w:pStyle w:val="13"/>
        <w:spacing w:beforeAutospacing="0" w:afterAutospacing="0" w:line="0" w:lineRule="atLeast"/>
        <w:ind w:firstLine="480"/>
        <w:jc w:val="both"/>
        <w:rPr>
          <w:color w:val="auto"/>
          <w:highlight w:val="none"/>
        </w:rPr>
      </w:pPr>
      <w:r>
        <w:rPr>
          <w:color w:val="auto"/>
          <w:highlight w:val="none"/>
        </w:rPr>
        <w:t> </w:t>
      </w:r>
    </w:p>
    <w:p w14:paraId="5BA2A28C">
      <w:pPr>
        <w:pStyle w:val="13"/>
        <w:spacing w:beforeAutospacing="0" w:afterAutospacing="0" w:line="0" w:lineRule="atLeast"/>
        <w:ind w:firstLine="480"/>
        <w:jc w:val="both"/>
        <w:rPr>
          <w:color w:val="auto"/>
          <w:highlight w:val="none"/>
        </w:rPr>
      </w:pPr>
      <w:r>
        <w:rPr>
          <w:color w:val="auto"/>
          <w:highlight w:val="none"/>
        </w:rPr>
        <w:t> </w:t>
      </w:r>
    </w:p>
    <w:p w14:paraId="43E1453A">
      <w:pPr>
        <w:pStyle w:val="13"/>
        <w:spacing w:beforeAutospacing="0" w:afterAutospacing="0" w:line="0" w:lineRule="atLeast"/>
        <w:ind w:firstLine="480"/>
        <w:jc w:val="both"/>
        <w:rPr>
          <w:color w:val="auto"/>
          <w:highlight w:val="none"/>
        </w:rPr>
      </w:pPr>
      <w:r>
        <w:rPr>
          <w:color w:val="auto"/>
          <w:highlight w:val="none"/>
        </w:rPr>
        <w:t> </w:t>
      </w:r>
    </w:p>
    <w:p w14:paraId="161416B6">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r>
    </w:p>
    <w:p w14:paraId="34DFD3BF">
      <w:pPr>
        <w:pStyle w:val="13"/>
        <w:spacing w:beforeAutospacing="0" w:afterAutospacing="0"/>
        <w:jc w:val="both"/>
        <w:outlineLvl w:val="0"/>
        <w:rPr>
          <w:rFonts w:hint="eastAsia" w:eastAsia="黑体"/>
          <w:color w:val="auto"/>
          <w:highlight w:val="none"/>
          <w:lang w:eastAsia="zh-CN"/>
        </w:rPr>
      </w:pPr>
      <w:r>
        <w:rPr>
          <w:rFonts w:hint="eastAsia" w:ascii="黑体" w:hAnsi="宋体" w:eastAsia="黑体" w:cs="黑体"/>
          <w:i/>
          <w:color w:val="auto"/>
          <w:sz w:val="32"/>
          <w:szCs w:val="32"/>
          <w:highlight w:val="none"/>
          <w:u w:val="single"/>
        </w:rPr>
        <w:t>一、法人或者其他组织的营业执照等证明文件，自然人的身份证明</w:t>
      </w:r>
      <w:r>
        <w:rPr>
          <w:rFonts w:hint="eastAsia" w:ascii="黑体" w:hAnsi="宋体" w:eastAsia="黑体" w:cs="黑体"/>
          <w:i/>
          <w:color w:val="auto"/>
          <w:sz w:val="32"/>
          <w:szCs w:val="32"/>
          <w:highlight w:val="none"/>
          <w:u w:val="single"/>
          <w:lang w:eastAsia="zh-CN"/>
        </w:rPr>
        <w:t>；</w:t>
      </w:r>
    </w:p>
    <w:p w14:paraId="59240982">
      <w:pPr>
        <w:pStyle w:val="13"/>
        <w:spacing w:beforeAutospacing="0" w:afterAutospacing="0" w:line="0" w:lineRule="atLeast"/>
        <w:ind w:firstLine="480"/>
        <w:jc w:val="both"/>
        <w:rPr>
          <w:color w:val="auto"/>
          <w:highlight w:val="none"/>
        </w:rPr>
      </w:pPr>
      <w:r>
        <w:rPr>
          <w:color w:val="auto"/>
          <w:highlight w:val="none"/>
        </w:rPr>
        <w:t> </w:t>
      </w:r>
    </w:p>
    <w:p w14:paraId="74E2D69E">
      <w:pPr>
        <w:pStyle w:val="13"/>
        <w:spacing w:beforeAutospacing="0" w:afterAutospacing="0"/>
        <w:jc w:val="both"/>
        <w:outlineLvl w:val="0"/>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二、上一年度的财务状况报</w:t>
      </w:r>
      <w:r>
        <w:rPr>
          <w:rFonts w:hint="eastAsia" w:ascii="黑体" w:hAnsi="宋体" w:eastAsia="黑体" w:cs="黑体"/>
          <w:i/>
          <w:color w:val="auto"/>
          <w:sz w:val="32"/>
          <w:szCs w:val="32"/>
          <w:highlight w:val="none"/>
          <w:u w:val="single"/>
          <w:lang w:val="en-US" w:eastAsia="zh-CN"/>
        </w:rPr>
        <w:t>表；</w:t>
      </w:r>
    </w:p>
    <w:p w14:paraId="0C60B884">
      <w:pPr>
        <w:tabs>
          <w:tab w:val="left" w:pos="1331"/>
        </w:tabs>
        <w:bidi w:val="0"/>
        <w:ind w:firstLine="480" w:firstLineChars="200"/>
        <w:jc w:val="left"/>
        <w:rPr>
          <w:rFonts w:hint="eastAsia"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（至少提供资产负债表、利润表、现金流量表，磋商供应商成立不满一年无需提供）；</w:t>
      </w:r>
    </w:p>
    <w:p w14:paraId="1EAAA377">
      <w:pPr>
        <w:pStyle w:val="13"/>
        <w:spacing w:beforeAutospacing="0" w:afterAutospacing="0" w:line="0" w:lineRule="atLeast"/>
        <w:ind w:firstLine="480"/>
        <w:jc w:val="both"/>
        <w:rPr>
          <w:rFonts w:hint="eastAsia" w:eastAsia="宋体"/>
          <w:color w:val="auto"/>
          <w:highlight w:val="none"/>
          <w:lang w:eastAsia="zh-CN"/>
        </w:rPr>
      </w:pPr>
    </w:p>
    <w:p w14:paraId="5C7918CD">
      <w:pPr>
        <w:pStyle w:val="13"/>
        <w:spacing w:beforeAutospacing="0" w:afterAutospacing="0"/>
        <w:jc w:val="both"/>
        <w:rPr>
          <w:color w:val="auto"/>
          <w:highlight w:val="none"/>
        </w:rPr>
      </w:pPr>
      <w:r>
        <w:rPr>
          <w:color w:val="auto"/>
          <w:highlight w:val="none"/>
        </w:rPr>
        <w:t> </w:t>
      </w:r>
    </w:p>
    <w:p w14:paraId="510EC5F4">
      <w:pPr>
        <w:pStyle w:val="13"/>
        <w:spacing w:beforeAutospacing="0" w:afterAutospacing="0"/>
        <w:jc w:val="both"/>
        <w:outlineLvl w:val="0"/>
        <w:rPr>
          <w:rFonts w:hint="eastAsia" w:eastAsia="黑体"/>
          <w:color w:val="auto"/>
          <w:highlight w:val="none"/>
          <w:lang w:eastAsia="zh-CN"/>
        </w:rPr>
      </w:pPr>
      <w:r>
        <w:rPr>
          <w:rFonts w:hint="eastAsia" w:ascii="黑体" w:hAnsi="宋体" w:eastAsia="黑体" w:cs="黑体"/>
          <w:i/>
          <w:color w:val="auto"/>
          <w:sz w:val="32"/>
          <w:szCs w:val="32"/>
          <w:highlight w:val="none"/>
          <w:u w:val="single"/>
          <w:lang w:val="en-US" w:eastAsia="zh-CN"/>
        </w:rPr>
        <w:t>三</w:t>
      </w:r>
      <w:r>
        <w:rPr>
          <w:rFonts w:hint="eastAsia" w:ascii="黑体" w:hAnsi="宋体" w:eastAsia="黑体" w:cs="黑体"/>
          <w:i/>
          <w:color w:val="auto"/>
          <w:sz w:val="32"/>
          <w:szCs w:val="32"/>
          <w:highlight w:val="none"/>
          <w:u w:val="single"/>
        </w:rPr>
        <w:t>、具备履行合同所必需的设备和专业技术能力的书面声明</w:t>
      </w:r>
      <w:r>
        <w:rPr>
          <w:rFonts w:hint="eastAsia" w:ascii="黑体" w:hAnsi="宋体" w:eastAsia="黑体" w:cs="黑体"/>
          <w:i/>
          <w:color w:val="auto"/>
          <w:sz w:val="32"/>
          <w:szCs w:val="32"/>
          <w:highlight w:val="none"/>
          <w:u w:val="single"/>
          <w:lang w:eastAsia="zh-CN"/>
        </w:rPr>
        <w:t>；</w:t>
      </w:r>
    </w:p>
    <w:p w14:paraId="428E7D45">
      <w:pPr>
        <w:pStyle w:val="13"/>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747A054B">
      <w:pPr>
        <w:pStyle w:val="13"/>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7F085CE0">
      <w:pPr>
        <w:pStyle w:val="1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686B3EC2">
      <w:pPr>
        <w:pStyle w:val="13"/>
        <w:spacing w:beforeAutospacing="0" w:afterAutospacing="0"/>
        <w:jc w:val="both"/>
        <w:rPr>
          <w:rFonts w:hint="eastAsia" w:ascii="黑体" w:hAnsi="宋体" w:eastAsia="黑体" w:cs="黑体"/>
          <w:i/>
          <w:color w:val="auto"/>
          <w:sz w:val="32"/>
          <w:szCs w:val="32"/>
          <w:highlight w:val="none"/>
          <w:u w:val="single"/>
          <w:lang w:val="en-US" w:eastAsia="zh-CN"/>
        </w:rPr>
      </w:pPr>
    </w:p>
    <w:p w14:paraId="60D6FBC8">
      <w:pPr>
        <w:pStyle w:val="13"/>
        <w:spacing w:beforeAutospacing="0" w:afterAutospacing="0"/>
        <w:jc w:val="both"/>
        <w:outlineLvl w:val="0"/>
        <w:rPr>
          <w:rFonts w:hint="eastAsia" w:eastAsia="黑体"/>
          <w:color w:val="auto"/>
          <w:highlight w:val="none"/>
          <w:lang w:eastAsia="zh-CN"/>
        </w:rPr>
      </w:pPr>
      <w:r>
        <w:rPr>
          <w:rFonts w:hint="eastAsia" w:ascii="黑体" w:hAnsi="宋体" w:eastAsia="黑体" w:cs="黑体"/>
          <w:i/>
          <w:color w:val="auto"/>
          <w:sz w:val="32"/>
          <w:szCs w:val="32"/>
          <w:highlight w:val="none"/>
          <w:u w:val="single"/>
          <w:lang w:val="en-US" w:eastAsia="zh-CN"/>
        </w:rPr>
        <w:t>四</w:t>
      </w:r>
      <w:r>
        <w:rPr>
          <w:rFonts w:hint="eastAsia" w:ascii="黑体" w:hAnsi="宋体" w:eastAsia="黑体" w:cs="黑体"/>
          <w:i/>
          <w:color w:val="auto"/>
          <w:sz w:val="32"/>
          <w:szCs w:val="32"/>
          <w:highlight w:val="none"/>
          <w:u w:val="single"/>
        </w:rPr>
        <w:t>、依法缴纳税收和社会保障资金的相关材料</w:t>
      </w:r>
      <w:r>
        <w:rPr>
          <w:rFonts w:hint="eastAsia" w:ascii="黑体" w:hAnsi="宋体" w:eastAsia="黑体" w:cs="黑体"/>
          <w:i/>
          <w:color w:val="auto"/>
          <w:sz w:val="32"/>
          <w:szCs w:val="32"/>
          <w:highlight w:val="none"/>
          <w:u w:val="single"/>
          <w:lang w:eastAsia="zh-CN"/>
        </w:rPr>
        <w:t>；</w:t>
      </w:r>
    </w:p>
    <w:p w14:paraId="32AE7CD6">
      <w:pPr>
        <w:pStyle w:val="13"/>
        <w:spacing w:beforeAutospacing="0" w:afterAutospacing="0" w:line="0" w:lineRule="atLeast"/>
        <w:ind w:firstLine="480" w:firstLineChars="200"/>
        <w:jc w:val="both"/>
        <w:rPr>
          <w:color w:val="auto"/>
          <w:highlight w:val="none"/>
        </w:rPr>
      </w:pPr>
      <w:r>
        <w:rPr>
          <w:rFonts w:hint="eastAsia" w:ascii="宋体" w:hAnsi="宋体" w:eastAsia="宋体" w:cs="宋体"/>
          <w:color w:val="auto"/>
          <w:highlight w:val="none"/>
        </w:rPr>
        <w:t xml:space="preserve">提供提交磋商响应文件截止时间前一年内至少一个月依法缴纳税收及缴纳社会保障资金的证明材料。磋商供应商依法享受缓缴、免缴税收、社会保障资金的提供证明材料。                                   </w:t>
      </w:r>
    </w:p>
    <w:p w14:paraId="19B3CD8B">
      <w:pPr>
        <w:pStyle w:val="13"/>
        <w:spacing w:beforeAutospacing="0" w:afterAutospacing="0"/>
        <w:jc w:val="both"/>
        <w:rPr>
          <w:color w:val="auto"/>
          <w:highlight w:val="none"/>
        </w:rPr>
      </w:pPr>
      <w:r>
        <w:rPr>
          <w:color w:val="auto"/>
          <w:highlight w:val="none"/>
        </w:rPr>
        <w:t> </w:t>
      </w:r>
    </w:p>
    <w:p w14:paraId="209B1D0A">
      <w:pPr>
        <w:pStyle w:val="13"/>
        <w:spacing w:beforeAutospacing="0" w:afterAutospacing="0"/>
        <w:jc w:val="both"/>
        <w:outlineLvl w:val="0"/>
        <w:rPr>
          <w:rFonts w:hint="eastAsia" w:eastAsia="黑体"/>
          <w:color w:val="auto"/>
          <w:highlight w:val="none"/>
          <w:lang w:eastAsia="zh-CN"/>
        </w:rPr>
      </w:pPr>
      <w:r>
        <w:rPr>
          <w:rFonts w:hint="eastAsia" w:ascii="黑体" w:hAnsi="宋体" w:eastAsia="黑体" w:cs="黑体"/>
          <w:i/>
          <w:color w:val="auto"/>
          <w:sz w:val="32"/>
          <w:szCs w:val="32"/>
          <w:highlight w:val="none"/>
          <w:u w:val="single"/>
        </w:rPr>
        <w:t>五、参加政府采购活动前 3 年内在经营活动中没有重大违法记录的书面声明</w:t>
      </w:r>
      <w:r>
        <w:rPr>
          <w:rFonts w:hint="eastAsia" w:ascii="黑体" w:hAnsi="宋体" w:eastAsia="黑体" w:cs="黑体"/>
          <w:i/>
          <w:color w:val="auto"/>
          <w:sz w:val="32"/>
          <w:szCs w:val="32"/>
          <w:highlight w:val="none"/>
          <w:u w:val="single"/>
          <w:lang w:eastAsia="zh-CN"/>
        </w:rPr>
        <w:t>；</w:t>
      </w:r>
    </w:p>
    <w:p w14:paraId="75D2D4F6">
      <w:pPr>
        <w:pStyle w:val="13"/>
        <w:spacing w:beforeAutospacing="0" w:afterAutospacing="0" w:line="0" w:lineRule="atLeast"/>
        <w:jc w:val="center"/>
        <w:rPr>
          <w:color w:val="auto"/>
          <w:highlight w:val="none"/>
        </w:rPr>
      </w:pPr>
      <w:r>
        <w:rPr>
          <w:rFonts w:hint="eastAsia" w:ascii="宋体" w:hAnsi="宋体" w:eastAsia="宋体" w:cs="宋体"/>
          <w:b/>
          <w:color w:val="auto"/>
          <w:sz w:val="44"/>
          <w:szCs w:val="44"/>
          <w:highlight w:val="none"/>
        </w:rPr>
        <w:t>声  明</w:t>
      </w:r>
    </w:p>
    <w:p w14:paraId="594187FD">
      <w:pPr>
        <w:pStyle w:val="13"/>
        <w:spacing w:beforeAutospacing="0" w:afterAutospacing="0" w:line="0" w:lineRule="atLeast"/>
        <w:jc w:val="both"/>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57EC01F9">
      <w:pPr>
        <w:pStyle w:val="13"/>
        <w:spacing w:beforeAutospacing="0" w:afterAutospacing="0"/>
        <w:jc w:val="both"/>
        <w:rPr>
          <w:color w:val="auto"/>
          <w:highlight w:val="none"/>
        </w:rPr>
      </w:pPr>
      <w:r>
        <w:rPr>
          <w:color w:val="auto"/>
          <w:highlight w:val="none"/>
        </w:rPr>
        <w:t> </w:t>
      </w:r>
    </w:p>
    <w:p w14:paraId="6915DF1F">
      <w:pPr>
        <w:pStyle w:val="13"/>
        <w:spacing w:beforeAutospacing="0" w:afterAutospacing="0"/>
        <w:jc w:val="both"/>
        <w:outlineLvl w:val="0"/>
        <w:rPr>
          <w:rFonts w:hint="eastAsia" w:eastAsia="黑体"/>
          <w:color w:val="auto"/>
          <w:highlight w:val="none"/>
          <w:lang w:eastAsia="zh-CN"/>
        </w:rPr>
      </w:pPr>
      <w:r>
        <w:rPr>
          <w:rFonts w:hint="eastAsia" w:ascii="黑体" w:hAnsi="宋体" w:eastAsia="黑体" w:cs="黑体"/>
          <w:i/>
          <w:color w:val="auto"/>
          <w:sz w:val="32"/>
          <w:szCs w:val="32"/>
          <w:highlight w:val="none"/>
          <w:u w:val="single"/>
        </w:rPr>
        <w:t>六、特定资格要求的证明文件</w:t>
      </w:r>
      <w:r>
        <w:rPr>
          <w:rFonts w:hint="eastAsia" w:ascii="黑体" w:hAnsi="宋体" w:eastAsia="黑体" w:cs="黑体"/>
          <w:i/>
          <w:color w:val="auto"/>
          <w:sz w:val="32"/>
          <w:szCs w:val="32"/>
          <w:highlight w:val="none"/>
          <w:u w:val="single"/>
          <w:lang w:eastAsia="zh-CN"/>
        </w:rPr>
        <w:t>；</w:t>
      </w:r>
    </w:p>
    <w:p w14:paraId="341D5A73">
      <w:pPr>
        <w:pStyle w:val="13"/>
        <w:spacing w:beforeAutospacing="0" w:afterAutospacing="0" w:line="0" w:lineRule="atLeast"/>
        <w:jc w:val="both"/>
        <w:rPr>
          <w:color w:val="auto"/>
          <w:highlight w:val="none"/>
        </w:rPr>
      </w:pPr>
      <w:r>
        <w:rPr>
          <w:rFonts w:hint="eastAsia" w:ascii="宋体" w:hAnsi="宋体" w:eastAsia="宋体" w:cs="宋体"/>
          <w:color w:val="auto"/>
          <w:highlight w:val="none"/>
        </w:rPr>
        <w:t>   如果本项目申请人的特定资格要求中要求提供的，必须提供。</w:t>
      </w:r>
    </w:p>
    <w:p w14:paraId="0713F367">
      <w:pPr>
        <w:pStyle w:val="13"/>
        <w:spacing w:beforeAutospacing="0" w:afterAutospacing="0"/>
        <w:jc w:val="center"/>
        <w:rPr>
          <w:rFonts w:ascii="黑体" w:hAnsi="宋体" w:eastAsia="黑体" w:cs="黑体"/>
          <w:i/>
          <w:color w:val="auto"/>
          <w:sz w:val="32"/>
          <w:szCs w:val="32"/>
          <w:highlight w:val="none"/>
          <w:u w:val="single"/>
        </w:rPr>
      </w:pPr>
      <w:bookmarkStart w:id="171" w:name="_Toc120614284"/>
    </w:p>
    <w:p w14:paraId="3C90CF51">
      <w:pPr>
        <w:pStyle w:val="13"/>
        <w:spacing w:beforeAutospacing="0" w:afterAutospacing="0"/>
        <w:jc w:val="center"/>
        <w:rPr>
          <w:rFonts w:ascii="黑体" w:hAnsi="宋体" w:eastAsia="黑体" w:cs="黑体"/>
          <w:i/>
          <w:color w:val="auto"/>
          <w:sz w:val="32"/>
          <w:szCs w:val="32"/>
          <w:highlight w:val="none"/>
          <w:u w:val="single"/>
        </w:rPr>
      </w:pPr>
    </w:p>
    <w:p w14:paraId="50AD0CCD">
      <w:pPr>
        <w:pStyle w:val="13"/>
        <w:spacing w:beforeAutospacing="0" w:afterAutospacing="0"/>
        <w:jc w:val="center"/>
        <w:rPr>
          <w:rFonts w:ascii="黑体" w:hAnsi="宋体" w:eastAsia="黑体" w:cs="黑体"/>
          <w:i/>
          <w:color w:val="auto"/>
          <w:sz w:val="32"/>
          <w:szCs w:val="32"/>
          <w:highlight w:val="none"/>
          <w:u w:val="single"/>
        </w:rPr>
      </w:pPr>
    </w:p>
    <w:p w14:paraId="16653F3F">
      <w:pPr>
        <w:pStyle w:val="13"/>
        <w:spacing w:beforeAutospacing="0" w:afterAutospacing="0"/>
        <w:jc w:val="center"/>
        <w:rPr>
          <w:rFonts w:ascii="黑体" w:hAnsi="宋体" w:eastAsia="黑体" w:cs="黑体"/>
          <w:i/>
          <w:color w:val="auto"/>
          <w:sz w:val="32"/>
          <w:szCs w:val="32"/>
          <w:highlight w:val="none"/>
          <w:u w:val="single"/>
        </w:rPr>
      </w:pPr>
    </w:p>
    <w:p w14:paraId="1CB820D6">
      <w:pPr>
        <w:pStyle w:val="13"/>
        <w:spacing w:beforeAutospacing="0" w:afterAutospacing="0"/>
        <w:jc w:val="center"/>
        <w:rPr>
          <w:rFonts w:ascii="黑体" w:hAnsi="宋体" w:eastAsia="黑体" w:cs="黑体"/>
          <w:i/>
          <w:color w:val="auto"/>
          <w:sz w:val="32"/>
          <w:szCs w:val="32"/>
          <w:highlight w:val="none"/>
          <w:u w:val="single"/>
        </w:rPr>
      </w:pPr>
    </w:p>
    <w:p w14:paraId="7A7AC958">
      <w:pPr>
        <w:pStyle w:val="13"/>
        <w:spacing w:beforeAutospacing="0" w:afterAutospacing="0"/>
        <w:jc w:val="center"/>
        <w:rPr>
          <w:rFonts w:ascii="黑体" w:hAnsi="宋体" w:eastAsia="黑体" w:cs="黑体"/>
          <w:i/>
          <w:color w:val="auto"/>
          <w:sz w:val="32"/>
          <w:szCs w:val="32"/>
          <w:highlight w:val="none"/>
          <w:u w:val="single"/>
        </w:rPr>
      </w:pPr>
    </w:p>
    <w:p w14:paraId="40086493">
      <w:pPr>
        <w:pStyle w:val="13"/>
        <w:spacing w:beforeAutospacing="0" w:afterAutospacing="0"/>
        <w:jc w:val="center"/>
        <w:outlineLvl w:val="0"/>
        <w:rPr>
          <w:color w:val="auto"/>
          <w:highlight w:val="none"/>
        </w:rPr>
      </w:pPr>
      <w:r>
        <w:rPr>
          <w:rFonts w:hint="eastAsia" w:ascii="黑体" w:hAnsi="宋体" w:eastAsia="黑体" w:cs="黑体"/>
          <w:i/>
          <w:color w:val="auto"/>
          <w:sz w:val="32"/>
          <w:szCs w:val="32"/>
          <w:highlight w:val="none"/>
          <w:u w:val="single"/>
        </w:rPr>
        <w:t>七、法人授权书</w:t>
      </w:r>
    </w:p>
    <w:p w14:paraId="28BE4F7C">
      <w:pPr>
        <w:tabs>
          <w:tab w:val="left" w:pos="360"/>
        </w:tabs>
        <w:spacing w:line="480" w:lineRule="auto"/>
        <w:ind w:firstLine="480"/>
        <w:rPr>
          <w:rFonts w:hint="eastAsia" w:hAnsi="宋体" w:eastAsia="宋体" w:cs="宋体"/>
          <w:sz w:val="24"/>
        </w:rPr>
      </w:pPr>
      <w:bookmarkStart w:id="172" w:name="_Hlt26955070"/>
      <w:bookmarkStart w:id="173" w:name="_Hlt26671380"/>
      <w:bookmarkStart w:id="174" w:name="_格式3__银行出具的资信证明"/>
      <w:r>
        <w:rPr>
          <w:rFonts w:hint="eastAsia" w:hAnsi="宋体" w:eastAsia="宋体" w:cs="宋体"/>
          <w:sz w:val="24"/>
        </w:rPr>
        <w:t>本授权书声明：</w:t>
      </w:r>
      <w:r>
        <w:rPr>
          <w:rFonts w:hint="eastAsia" w:hAnsi="宋体" w:eastAsia="宋体" w:cs="宋体"/>
          <w:sz w:val="24"/>
          <w:u w:val="single"/>
        </w:rPr>
        <w:t>（供应商名称）</w:t>
      </w:r>
      <w:r>
        <w:rPr>
          <w:rFonts w:hint="eastAsia" w:hAnsi="宋体" w:eastAsia="宋体" w:cs="宋体"/>
          <w:sz w:val="24"/>
          <w:u w:val="single"/>
          <w:lang w:val="en-US" w:eastAsia="zh-CN"/>
        </w:rPr>
        <w:t xml:space="preserve">   </w:t>
      </w:r>
      <w:r>
        <w:rPr>
          <w:rFonts w:hint="eastAsia" w:hAnsi="宋体" w:eastAsia="宋体" w:cs="宋体"/>
          <w:sz w:val="24"/>
        </w:rPr>
        <w:t>授权__</w:t>
      </w:r>
      <w:r>
        <w:rPr>
          <w:rFonts w:hint="eastAsia" w:hAnsi="宋体" w:eastAsia="宋体" w:cs="宋体"/>
          <w:sz w:val="24"/>
          <w:u w:val="single"/>
        </w:rPr>
        <w:t>_（被授权人的姓名）</w:t>
      </w:r>
      <w:r>
        <w:rPr>
          <w:rFonts w:hint="eastAsia" w:hAnsi="宋体" w:eastAsia="宋体" w:cs="宋体"/>
          <w:sz w:val="24"/>
          <w:u w:val="single"/>
          <w:lang w:val="en-US" w:eastAsia="zh-CN"/>
        </w:rPr>
        <w:t xml:space="preserve">  </w:t>
      </w:r>
      <w:r>
        <w:rPr>
          <w:rFonts w:hint="eastAsia" w:hAnsi="宋体" w:eastAsia="宋体" w:cs="宋体"/>
          <w:sz w:val="24"/>
        </w:rPr>
        <w:t>为我方就</w:t>
      </w:r>
      <w:r>
        <w:rPr>
          <w:rFonts w:hint="eastAsia" w:hAnsi="宋体" w:eastAsia="宋体" w:cs="宋体"/>
          <w:sz w:val="24"/>
          <w:u w:val="single"/>
        </w:rPr>
        <w:t xml:space="preserve"> （项目名称、项目编号）  </w:t>
      </w:r>
      <w:r>
        <w:rPr>
          <w:rFonts w:hint="eastAsia" w:hAnsi="宋体" w:eastAsia="宋体" w:cs="宋体"/>
          <w:sz w:val="24"/>
        </w:rPr>
        <w:t>项目采购活动的合法代理人，以本单位名义全权处理一切与该项目采购有关的事务。</w:t>
      </w:r>
    </w:p>
    <w:p w14:paraId="6111E1C9">
      <w:pPr>
        <w:tabs>
          <w:tab w:val="left" w:pos="360"/>
        </w:tabs>
        <w:spacing w:line="480" w:lineRule="auto"/>
        <w:ind w:firstLine="480"/>
        <w:rPr>
          <w:rFonts w:hint="eastAsia" w:hAnsi="宋体" w:eastAsia="宋体" w:cs="宋体"/>
          <w:sz w:val="24"/>
        </w:rPr>
      </w:pPr>
      <w:r>
        <w:rPr>
          <w:rFonts w:hint="eastAsia" w:hAnsi="宋体" w:eastAsia="宋体" w:cs="宋体"/>
          <w:sz w:val="24"/>
        </w:rPr>
        <w:t>本授权书于______年____月____日起生效，特此声明。</w:t>
      </w:r>
    </w:p>
    <w:p w14:paraId="519F0EE3">
      <w:pPr>
        <w:tabs>
          <w:tab w:val="left" w:pos="360"/>
        </w:tabs>
        <w:spacing w:line="480" w:lineRule="auto"/>
        <w:rPr>
          <w:rFonts w:hint="eastAsia" w:hAnsi="宋体" w:eastAsia="宋体" w:cs="宋体"/>
          <w:sz w:val="24"/>
          <w:u w:val="single"/>
        </w:rPr>
      </w:pPr>
      <w:r>
        <w:rPr>
          <w:rFonts w:hint="eastAsia" w:hAnsi="宋体" w:eastAsia="宋体" w:cs="宋体"/>
          <w:sz w:val="24"/>
        </w:rPr>
        <w:t xml:space="preserve">          被授权人身份证号码：</w:t>
      </w:r>
    </w:p>
    <w:p w14:paraId="605FDF7F">
      <w:pPr>
        <w:tabs>
          <w:tab w:val="left" w:pos="360"/>
        </w:tabs>
        <w:spacing w:line="480" w:lineRule="auto"/>
        <w:rPr>
          <w:rFonts w:hint="eastAsia" w:hAnsi="宋体" w:eastAsia="宋体" w:cs="宋体"/>
          <w:sz w:val="24"/>
          <w:u w:val="single"/>
        </w:rPr>
      </w:pPr>
      <w:r>
        <w:rPr>
          <w:rFonts w:hint="eastAsia" w:hAnsi="宋体" w:eastAsia="宋体" w:cs="宋体"/>
          <w:sz w:val="24"/>
        </w:rPr>
        <w:t xml:space="preserve">          被授权人联系电话：（手机）</w:t>
      </w:r>
    </w:p>
    <w:p w14:paraId="3F44DFA5">
      <w:pPr>
        <w:tabs>
          <w:tab w:val="left" w:pos="360"/>
        </w:tabs>
        <w:spacing w:line="480" w:lineRule="auto"/>
        <w:ind w:firstLine="1200"/>
        <w:rPr>
          <w:rFonts w:hint="eastAsia" w:hAnsi="宋体" w:eastAsia="宋体" w:cs="宋体"/>
          <w:sz w:val="24"/>
        </w:rPr>
      </w:pPr>
      <w:r>
        <w:rPr>
          <w:rFonts w:hint="eastAsia" w:hAnsi="宋体" w:eastAsia="宋体" w:cs="宋体"/>
          <w:sz w:val="24"/>
        </w:rPr>
        <w:t>授权单位名称：</w:t>
      </w:r>
      <w:r>
        <w:rPr>
          <w:rFonts w:hint="eastAsia" w:hAnsi="宋体" w:eastAsia="宋体" w:cs="宋体"/>
          <w:sz w:val="24"/>
          <w:u w:val="single"/>
        </w:rPr>
        <w:t>（加盖CA电子公章）</w:t>
      </w:r>
    </w:p>
    <w:p w14:paraId="407A0B13">
      <w:pPr>
        <w:tabs>
          <w:tab w:val="left" w:pos="360"/>
        </w:tabs>
        <w:spacing w:line="480" w:lineRule="auto"/>
        <w:ind w:firstLine="480"/>
        <w:rPr>
          <w:rFonts w:hint="eastAsia" w:hAnsi="宋体" w:eastAsia="宋体" w:cs="宋体"/>
          <w:sz w:val="24"/>
          <w:u w:val="single"/>
        </w:rPr>
      </w:pPr>
      <w:r>
        <w:rPr>
          <w:rFonts w:hint="eastAsia" w:hAnsi="宋体" w:eastAsia="宋体" w:cs="宋体"/>
          <w:sz w:val="24"/>
        </w:rPr>
        <w:t xml:space="preserve">      单位地址：</w:t>
      </w:r>
    </w:p>
    <w:p w14:paraId="7FC4EA76">
      <w:pPr>
        <w:tabs>
          <w:tab w:val="left" w:pos="360"/>
        </w:tabs>
        <w:spacing w:line="480" w:lineRule="auto"/>
        <w:ind w:firstLine="480"/>
        <w:rPr>
          <w:rFonts w:hint="eastAsia" w:hAnsi="宋体" w:eastAsia="宋体"/>
          <w:color w:val="000000"/>
        </w:rPr>
      </w:pPr>
      <w:r>
        <w:rPr>
          <w:rFonts w:hint="eastAsia" w:hAnsi="宋体" w:eastAsia="宋体" w:cs="宋体"/>
          <w:sz w:val="24"/>
        </w:rPr>
        <w:t xml:space="preserve">      日期：</w:t>
      </w:r>
    </w:p>
    <w:p w14:paraId="435B6E1F">
      <w:pPr>
        <w:rPr>
          <w:rFonts w:hint="eastAsia" w:hAnsi="宋体" w:eastAsia="宋体"/>
          <w:color w:val="000000"/>
        </w:rPr>
      </w:pP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81"/>
        <w:gridCol w:w="4981"/>
      </w:tblGrid>
      <w:tr w14:paraId="48A87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4981" w:type="dxa"/>
            <w:tcBorders>
              <w:top w:val="single" w:color="auto" w:sz="4" w:space="0"/>
              <w:left w:val="single" w:color="auto" w:sz="4" w:space="0"/>
              <w:bottom w:val="single" w:color="auto" w:sz="4" w:space="0"/>
              <w:right w:val="single" w:color="auto" w:sz="4" w:space="0"/>
            </w:tcBorders>
            <w:vAlign w:val="center"/>
          </w:tcPr>
          <w:p w14:paraId="265ADB36">
            <w:pPr>
              <w:spacing w:line="600" w:lineRule="exact"/>
              <w:jc w:val="center"/>
              <w:rPr>
                <w:color w:val="000000"/>
                <w:sz w:val="24"/>
              </w:rPr>
            </w:pPr>
            <w:r>
              <w:rPr>
                <w:rFonts w:hint="eastAsia"/>
                <w:color w:val="000000"/>
                <w:sz w:val="24"/>
              </w:rPr>
              <w:t>法定代表人有效身份证明</w:t>
            </w:r>
          </w:p>
        </w:tc>
        <w:tc>
          <w:tcPr>
            <w:tcW w:w="4981" w:type="dxa"/>
            <w:tcBorders>
              <w:top w:val="single" w:color="auto" w:sz="4" w:space="0"/>
              <w:left w:val="single" w:color="auto" w:sz="4" w:space="0"/>
              <w:bottom w:val="single" w:color="auto" w:sz="4" w:space="0"/>
              <w:right w:val="single" w:color="auto" w:sz="4" w:space="0"/>
            </w:tcBorders>
            <w:vAlign w:val="center"/>
          </w:tcPr>
          <w:p w14:paraId="0700F3C4">
            <w:pPr>
              <w:spacing w:line="600" w:lineRule="exact"/>
              <w:jc w:val="center"/>
              <w:rPr>
                <w:color w:val="000000"/>
                <w:sz w:val="24"/>
              </w:rPr>
            </w:pPr>
            <w:r>
              <w:rPr>
                <w:rFonts w:hint="eastAsia"/>
                <w:color w:val="000000"/>
                <w:sz w:val="24"/>
              </w:rPr>
              <w:t>委托代理人（被授权人）有效身份证明</w:t>
            </w:r>
          </w:p>
        </w:tc>
      </w:tr>
      <w:tr w14:paraId="2FF29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4" w:hRule="atLeast"/>
          <w:jc w:val="center"/>
        </w:trPr>
        <w:tc>
          <w:tcPr>
            <w:tcW w:w="4981" w:type="dxa"/>
            <w:tcBorders>
              <w:top w:val="single" w:color="auto" w:sz="4" w:space="0"/>
              <w:left w:val="single" w:color="auto" w:sz="4" w:space="0"/>
              <w:bottom w:val="single" w:color="auto" w:sz="4" w:space="0"/>
              <w:right w:val="single" w:color="auto" w:sz="4" w:space="0"/>
            </w:tcBorders>
            <w:vAlign w:val="center"/>
          </w:tcPr>
          <w:p w14:paraId="11507177">
            <w:pPr>
              <w:spacing w:line="600" w:lineRule="exact"/>
              <w:jc w:val="center"/>
              <w:rPr>
                <w:color w:val="000000"/>
                <w:sz w:val="24"/>
              </w:rPr>
            </w:pPr>
            <w:r>
              <w:rPr>
                <w:rFonts w:hint="eastAsia"/>
                <w:color w:val="000000"/>
                <w:sz w:val="24"/>
              </w:rPr>
              <w:t>身份证原件（正反）彩色扫描件粘贴处</w:t>
            </w:r>
          </w:p>
          <w:p w14:paraId="325DC0CE">
            <w:pPr>
              <w:spacing w:line="600" w:lineRule="exact"/>
              <w:jc w:val="center"/>
              <w:rPr>
                <w:color w:val="000000"/>
                <w:sz w:val="24"/>
              </w:rPr>
            </w:pPr>
            <w:r>
              <w:rPr>
                <w:rFonts w:hint="eastAsia"/>
                <w:color w:val="000000"/>
                <w:sz w:val="24"/>
              </w:rPr>
              <w:t>（可电子粘贴）</w:t>
            </w:r>
          </w:p>
        </w:tc>
        <w:tc>
          <w:tcPr>
            <w:tcW w:w="4981" w:type="dxa"/>
            <w:tcBorders>
              <w:top w:val="single" w:color="auto" w:sz="4" w:space="0"/>
              <w:left w:val="single" w:color="auto" w:sz="4" w:space="0"/>
              <w:bottom w:val="single" w:color="auto" w:sz="4" w:space="0"/>
              <w:right w:val="single" w:color="auto" w:sz="4" w:space="0"/>
            </w:tcBorders>
            <w:vAlign w:val="center"/>
          </w:tcPr>
          <w:p w14:paraId="21AA3C38">
            <w:pPr>
              <w:spacing w:line="600" w:lineRule="exact"/>
              <w:jc w:val="center"/>
              <w:rPr>
                <w:color w:val="000000"/>
                <w:sz w:val="24"/>
              </w:rPr>
            </w:pPr>
            <w:r>
              <w:rPr>
                <w:rFonts w:hint="eastAsia"/>
                <w:color w:val="000000"/>
                <w:sz w:val="24"/>
              </w:rPr>
              <w:t>身份证原件（正反）彩色扫描件粘贴处</w:t>
            </w:r>
          </w:p>
          <w:p w14:paraId="16C17F69">
            <w:pPr>
              <w:spacing w:line="600" w:lineRule="exact"/>
              <w:jc w:val="center"/>
              <w:rPr>
                <w:color w:val="000000"/>
                <w:sz w:val="24"/>
              </w:rPr>
            </w:pPr>
            <w:r>
              <w:rPr>
                <w:rFonts w:hint="eastAsia"/>
                <w:color w:val="000000"/>
                <w:sz w:val="24"/>
              </w:rPr>
              <w:t>（可电子粘贴）</w:t>
            </w:r>
          </w:p>
        </w:tc>
      </w:tr>
    </w:tbl>
    <w:p w14:paraId="213200B4">
      <w:pPr>
        <w:pStyle w:val="13"/>
        <w:tabs>
          <w:tab w:val="left" w:pos="360"/>
        </w:tabs>
        <w:spacing w:beforeAutospacing="0" w:afterAutospacing="0"/>
        <w:ind w:firstLine="480"/>
        <w:jc w:val="both"/>
        <w:rPr>
          <w:color w:val="auto"/>
          <w:highlight w:val="none"/>
          <w:shd w:val="clear" w:color="auto" w:fill="auto"/>
        </w:rPr>
      </w:pPr>
      <w:r>
        <w:rPr>
          <w:color w:val="auto"/>
          <w:highlight w:val="none"/>
          <w:shd w:val="clear" w:color="auto" w:fill="auto"/>
        </w:rPr>
        <w:t> </w:t>
      </w:r>
    </w:p>
    <w:p w14:paraId="2984EDBE">
      <w:pPr>
        <w:pStyle w:val="13"/>
        <w:tabs>
          <w:tab w:val="left" w:pos="360"/>
        </w:tabs>
        <w:spacing w:beforeAutospacing="0" w:afterAutospacing="0"/>
        <w:ind w:firstLine="480"/>
        <w:jc w:val="both"/>
        <w:rPr>
          <w:color w:val="auto"/>
          <w:highlight w:val="none"/>
          <w:shd w:val="clear" w:color="auto" w:fill="auto"/>
        </w:rPr>
      </w:pPr>
      <w:r>
        <w:rPr>
          <w:color w:val="auto"/>
          <w:highlight w:val="none"/>
          <w:shd w:val="clear" w:color="auto" w:fill="auto"/>
        </w:rPr>
        <w:t> </w:t>
      </w:r>
    </w:p>
    <w:p w14:paraId="282CC826">
      <w:pPr>
        <w:pStyle w:val="13"/>
        <w:spacing w:beforeAutospacing="0" w:afterAutospacing="0"/>
        <w:ind w:firstLine="420"/>
        <w:jc w:val="both"/>
        <w:rPr>
          <w:color w:val="auto"/>
          <w:highlight w:val="none"/>
          <w:shd w:val="clear" w:color="auto" w:fill="auto"/>
        </w:rPr>
      </w:pPr>
      <w:r>
        <w:rPr>
          <w:color w:val="auto"/>
          <w:highlight w:val="none"/>
          <w:shd w:val="clear" w:color="auto" w:fill="auto"/>
        </w:rPr>
        <w:t> </w:t>
      </w:r>
    </w:p>
    <w:p w14:paraId="224B66EC">
      <w:pPr>
        <w:pStyle w:val="13"/>
        <w:spacing w:beforeAutospacing="0" w:afterAutospacing="0"/>
        <w:ind w:firstLine="420"/>
        <w:jc w:val="both"/>
        <w:rPr>
          <w:color w:val="auto"/>
          <w:highlight w:val="none"/>
          <w:shd w:val="clear" w:color="auto" w:fill="auto"/>
        </w:rPr>
      </w:pPr>
    </w:p>
    <w:p w14:paraId="2E75BD95">
      <w:pPr>
        <w:pStyle w:val="13"/>
        <w:spacing w:beforeAutospacing="0" w:afterAutospacing="0"/>
        <w:ind w:firstLine="420"/>
        <w:jc w:val="both"/>
        <w:rPr>
          <w:color w:val="auto"/>
          <w:highlight w:val="none"/>
          <w:shd w:val="clear" w:color="auto" w:fill="auto"/>
        </w:rPr>
      </w:pPr>
    </w:p>
    <w:p w14:paraId="740436B3">
      <w:pPr>
        <w:pStyle w:val="13"/>
        <w:spacing w:beforeAutospacing="0" w:afterAutospacing="0"/>
        <w:ind w:firstLine="420"/>
        <w:jc w:val="both"/>
        <w:rPr>
          <w:color w:val="auto"/>
          <w:highlight w:val="none"/>
          <w:shd w:val="clear" w:color="auto" w:fill="auto"/>
        </w:rPr>
      </w:pPr>
    </w:p>
    <w:p w14:paraId="62DF9684">
      <w:pPr>
        <w:pStyle w:val="13"/>
        <w:spacing w:beforeAutospacing="0" w:afterAutospacing="0"/>
        <w:jc w:val="both"/>
        <w:rPr>
          <w:color w:val="auto"/>
          <w:highlight w:val="none"/>
        </w:rPr>
      </w:pPr>
      <w:r>
        <w:rPr>
          <w:color w:val="auto"/>
          <w:highlight w:val="none"/>
        </w:rPr>
        <w:t> </w:t>
      </w:r>
    </w:p>
    <w:p w14:paraId="120A64CC">
      <w:pPr>
        <w:pStyle w:val="13"/>
        <w:keepNext/>
        <w:keepLines/>
        <w:spacing w:before="260" w:beforeAutospacing="0" w:after="260" w:afterAutospacing="0" w:line="415" w:lineRule="auto"/>
        <w:jc w:val="center"/>
        <w:outlineLvl w:val="0"/>
        <w:rPr>
          <w:color w:val="auto"/>
          <w:highlight w:val="none"/>
        </w:rPr>
      </w:pPr>
      <w:r>
        <w:rPr>
          <w:rFonts w:hint="eastAsia" w:ascii="黑体" w:hAnsi="宋体" w:eastAsia="黑体" w:cs="黑体"/>
          <w:b/>
          <w:i/>
          <w:color w:val="auto"/>
          <w:sz w:val="32"/>
          <w:szCs w:val="32"/>
          <w:highlight w:val="none"/>
          <w:u w:val="single"/>
        </w:rPr>
        <w:t>八、磋商响应函</w:t>
      </w:r>
    </w:p>
    <w:p w14:paraId="14648364">
      <w:pPr>
        <w:pStyle w:val="13"/>
        <w:keepNext w:val="0"/>
        <w:keepLines w:val="0"/>
        <w:pageBreakBefore w:val="0"/>
        <w:widowControl w:val="0"/>
        <w:kinsoku/>
        <w:wordWrap/>
        <w:overflowPunct/>
        <w:topLinePunct w:val="0"/>
        <w:autoSpaceDE/>
        <w:autoSpaceDN/>
        <w:bidi w:val="0"/>
        <w:adjustRightInd/>
        <w:snapToGrid/>
        <w:spacing w:beforeAutospacing="0" w:afterAutospacing="0" w:line="440" w:lineRule="exact"/>
        <w:textAlignment w:val="auto"/>
        <w:rPr>
          <w:color w:val="auto"/>
          <w:highlight w:val="none"/>
        </w:rPr>
      </w:pPr>
      <w:r>
        <w:rPr>
          <w:rFonts w:hint="eastAsia" w:ascii="宋体" w:hAnsi="宋体" w:eastAsia="宋体" w:cs="宋体"/>
          <w:color w:val="auto"/>
          <w:highlight w:val="none"/>
        </w:rPr>
        <w:t>致：射阳县自然资源和规划局</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射阳宏远财会服务有限公司</w:t>
      </w:r>
    </w:p>
    <w:p w14:paraId="432CAACC">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textAlignment w:val="auto"/>
        <w:rPr>
          <w:color w:val="auto"/>
          <w:highlight w:val="none"/>
        </w:rPr>
      </w:pPr>
      <w:r>
        <w:rPr>
          <w:rFonts w:hint="eastAsia" w:ascii="宋体" w:hAnsi="宋体" w:eastAsia="宋体" w:cs="宋体"/>
          <w:color w:val="auto"/>
          <w:highlight w:val="none"/>
        </w:rPr>
        <w:t>根据贵方的</w:t>
      </w:r>
      <w:r>
        <w:rPr>
          <w:rFonts w:hint="eastAsia" w:ascii="宋体" w:hAnsi="宋体" w:eastAsia="宋体" w:cs="宋体"/>
          <w:color w:val="auto"/>
          <w:highlight w:val="none"/>
          <w:u w:val="single"/>
        </w:rPr>
        <w:t>JSZC-320924-SYHY-C2026-0006</w:t>
      </w:r>
      <w:r>
        <w:rPr>
          <w:rFonts w:hint="eastAsia" w:ascii="宋体" w:hAnsi="宋体" w:eastAsia="宋体" w:cs="宋体"/>
          <w:color w:val="auto"/>
          <w:highlight w:val="none"/>
        </w:rPr>
        <w:t>号磋商文件，正式授权下述签字人</w:t>
      </w:r>
      <w:r>
        <w:rPr>
          <w:rFonts w:hint="eastAsia" w:ascii="宋体" w:hAnsi="宋体" w:eastAsia="宋体" w:cs="宋体"/>
          <w:color w:val="auto"/>
          <w:highlight w:val="none"/>
          <w:u w:val="single"/>
        </w:rPr>
        <w:t>(姓名)</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代表我方</w:t>
      </w:r>
      <w:r>
        <w:rPr>
          <w:rFonts w:hint="eastAsia" w:ascii="宋体" w:hAnsi="宋体" w:eastAsia="宋体" w:cs="宋体"/>
          <w:color w:val="auto"/>
          <w:highlight w:val="none"/>
          <w:u w:val="single"/>
        </w:rPr>
        <w:t>（供应商的名称）</w:t>
      </w:r>
      <w:r>
        <w:rPr>
          <w:rFonts w:hint="eastAsia" w:ascii="宋体" w:hAnsi="宋体" w:eastAsia="宋体" w:cs="宋体"/>
          <w:color w:val="auto"/>
          <w:highlight w:val="none"/>
        </w:rPr>
        <w:t>，全权处理本次项目磋商的有关事宜。</w:t>
      </w:r>
    </w:p>
    <w:p w14:paraId="5B0D4D7B">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textAlignment w:val="auto"/>
        <w:rPr>
          <w:color w:val="auto"/>
          <w:highlight w:val="none"/>
        </w:rPr>
      </w:pPr>
      <w:r>
        <w:rPr>
          <w:rFonts w:hint="eastAsia" w:ascii="宋体" w:hAnsi="宋体" w:eastAsia="宋体" w:cs="宋体"/>
          <w:color w:val="auto"/>
          <w:highlight w:val="none"/>
        </w:rPr>
        <w:t>据此函，__________签字人兹宣布同意如下：</w:t>
      </w:r>
    </w:p>
    <w:p w14:paraId="5393B004">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textAlignment w:val="auto"/>
        <w:rPr>
          <w:color w:val="auto"/>
          <w:highlight w:val="none"/>
        </w:rPr>
      </w:pPr>
      <w:r>
        <w:rPr>
          <w:rFonts w:hint="eastAsia" w:ascii="宋体" w:hAnsi="宋体" w:eastAsia="宋体" w:cs="宋体"/>
          <w:color w:val="auto"/>
          <w:highlight w:val="none"/>
        </w:rPr>
        <w:t>1.按磋商文件规定的各项要求，向买方提供所需服务（包含与服务相关的货物）。</w:t>
      </w:r>
    </w:p>
    <w:p w14:paraId="79B6BF02">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textAlignment w:val="auto"/>
        <w:rPr>
          <w:color w:val="auto"/>
          <w:highlight w:val="none"/>
        </w:rPr>
      </w:pPr>
      <w:r>
        <w:rPr>
          <w:rFonts w:hint="eastAsia" w:ascii="宋体" w:hAnsi="宋体" w:eastAsia="宋体" w:cs="宋体"/>
          <w:color w:val="auto"/>
          <w:highlight w:val="none"/>
        </w:rPr>
        <w:t>2.我们完全理解贵方不一定将合同授予最低报价的供应商。</w:t>
      </w:r>
    </w:p>
    <w:p w14:paraId="5D38E218">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textAlignment w:val="auto"/>
        <w:rPr>
          <w:color w:val="auto"/>
          <w:highlight w:val="none"/>
        </w:rPr>
      </w:pPr>
      <w:r>
        <w:rPr>
          <w:rFonts w:hint="eastAsia" w:ascii="宋体" w:hAnsi="宋体" w:eastAsia="宋体" w:cs="宋体"/>
          <w:color w:val="auto"/>
          <w:highlight w:val="none"/>
        </w:rPr>
        <w:t>3.我们已详细审核全部磋商文件及其有效补充文件，我们知道必须放弃提出含糊不清或误解问题的权利。</w:t>
      </w:r>
    </w:p>
    <w:p w14:paraId="056F4984">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textAlignment w:val="auto"/>
        <w:rPr>
          <w:color w:val="auto"/>
          <w:highlight w:val="none"/>
        </w:rPr>
      </w:pPr>
      <w:r>
        <w:rPr>
          <w:rFonts w:hint="eastAsia" w:ascii="宋体" w:hAnsi="宋体" w:eastAsia="宋体" w:cs="宋体"/>
          <w:color w:val="auto"/>
          <w:highlight w:val="none"/>
        </w:rPr>
        <w:t>4.我们同意从规定的开标日期起遵循本响应文件，并在规定的磋商有效期期满之前均具有约束力。</w:t>
      </w:r>
    </w:p>
    <w:p w14:paraId="05181D00">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textAlignment w:val="auto"/>
        <w:rPr>
          <w:color w:val="auto"/>
          <w:highlight w:val="none"/>
        </w:rPr>
      </w:pPr>
      <w:r>
        <w:rPr>
          <w:rFonts w:hint="eastAsia" w:ascii="宋体" w:hAnsi="宋体" w:eastAsia="宋体" w:cs="宋体"/>
          <w:color w:val="auto"/>
          <w:highlight w:val="none"/>
        </w:rPr>
        <w:t>5.同意向贵方提供贵方可能另外要求的与磋商有关的任何证据或资料，并保证我方已提供和将要提供的文件是真实的、准确的。</w:t>
      </w:r>
    </w:p>
    <w:p w14:paraId="4696985E">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textAlignment w:val="auto"/>
        <w:rPr>
          <w:color w:val="auto"/>
          <w:highlight w:val="none"/>
        </w:rPr>
      </w:pPr>
      <w:r>
        <w:rPr>
          <w:rFonts w:hint="eastAsia" w:ascii="宋体" w:hAnsi="宋体" w:eastAsia="宋体" w:cs="宋体"/>
          <w:color w:val="auto"/>
          <w:highlight w:val="none"/>
        </w:rPr>
        <w:t>6.一旦我方成交,我方将根据磋商文件的规定，严格履行合同的责任和义务,并保证在磋商文件规定的时间完成项目，交付买方验收、使用。</w:t>
      </w:r>
    </w:p>
    <w:p w14:paraId="3F51194B">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exact"/>
        <w:ind w:left="425"/>
        <w:textAlignment w:val="auto"/>
        <w:rPr>
          <w:color w:val="auto"/>
          <w:highlight w:val="none"/>
        </w:rPr>
      </w:pPr>
      <w:r>
        <w:rPr>
          <w:rFonts w:hint="eastAsia" w:ascii="宋体" w:hAnsi="宋体" w:eastAsia="宋体" w:cs="宋体"/>
          <w:color w:val="auto"/>
          <w:highlight w:val="none"/>
        </w:rPr>
        <w:t>7.我方与本磋商有关的正式通讯地址为：</w:t>
      </w:r>
    </w:p>
    <w:p w14:paraId="1D6A4F9A">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exact"/>
        <w:ind w:left="420" w:firstLine="480"/>
        <w:textAlignment w:val="auto"/>
        <w:rPr>
          <w:color w:val="auto"/>
          <w:highlight w:val="none"/>
        </w:rPr>
      </w:pPr>
      <w:r>
        <w:rPr>
          <w:rFonts w:hint="eastAsia" w:ascii="宋体" w:hAnsi="宋体" w:eastAsia="宋体" w:cs="宋体"/>
          <w:color w:val="auto"/>
          <w:highlight w:val="none"/>
        </w:rPr>
        <w:t>地          址：</w:t>
      </w:r>
    </w:p>
    <w:p w14:paraId="5C8EA732">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exact"/>
        <w:ind w:left="420" w:firstLine="480"/>
        <w:textAlignment w:val="auto"/>
        <w:rPr>
          <w:color w:val="auto"/>
          <w:highlight w:val="none"/>
        </w:rPr>
      </w:pPr>
      <w:r>
        <w:rPr>
          <w:rFonts w:hint="eastAsia" w:ascii="宋体" w:hAnsi="宋体" w:eastAsia="宋体" w:cs="宋体"/>
          <w:color w:val="auto"/>
          <w:highlight w:val="none"/>
        </w:rPr>
        <w:t>邮          编：</w:t>
      </w:r>
    </w:p>
    <w:p w14:paraId="09658CED">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exact"/>
        <w:ind w:left="420" w:firstLine="480"/>
        <w:textAlignment w:val="auto"/>
        <w:rPr>
          <w:color w:val="auto"/>
          <w:highlight w:val="none"/>
        </w:rPr>
      </w:pPr>
      <w:r>
        <w:rPr>
          <w:rFonts w:hint="eastAsia" w:ascii="宋体" w:hAnsi="宋体" w:eastAsia="宋体" w:cs="宋体"/>
          <w:color w:val="auto"/>
          <w:highlight w:val="none"/>
        </w:rPr>
        <w:t>电          话：</w:t>
      </w:r>
    </w:p>
    <w:p w14:paraId="4213DB8F">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exact"/>
        <w:ind w:left="420" w:firstLine="480"/>
        <w:textAlignment w:val="auto"/>
        <w:rPr>
          <w:color w:val="auto"/>
          <w:highlight w:val="none"/>
        </w:rPr>
      </w:pPr>
      <w:r>
        <w:rPr>
          <w:rFonts w:hint="eastAsia" w:ascii="宋体" w:hAnsi="宋体" w:eastAsia="宋体" w:cs="宋体"/>
          <w:color w:val="auto"/>
          <w:highlight w:val="none"/>
        </w:rPr>
        <w:t>传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真：</w:t>
      </w:r>
    </w:p>
    <w:p w14:paraId="3453934B">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exact"/>
        <w:ind w:left="420" w:firstLine="480"/>
        <w:textAlignment w:val="auto"/>
        <w:rPr>
          <w:color w:val="auto"/>
          <w:highlight w:val="none"/>
        </w:rPr>
      </w:pPr>
      <w:r>
        <w:rPr>
          <w:rFonts w:hint="eastAsia" w:ascii="宋体" w:hAnsi="宋体" w:eastAsia="宋体" w:cs="宋体"/>
          <w:color w:val="auto"/>
          <w:highlight w:val="none"/>
        </w:rPr>
        <w:t>供</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应</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商</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开</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户</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行：</w:t>
      </w:r>
    </w:p>
    <w:p w14:paraId="771BA470">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exact"/>
        <w:ind w:left="420" w:firstLine="480"/>
        <w:textAlignment w:val="auto"/>
        <w:rPr>
          <w:color w:val="auto"/>
          <w:highlight w:val="none"/>
        </w:rPr>
      </w:pPr>
      <w:r>
        <w:rPr>
          <w:rFonts w:hint="eastAsia" w:ascii="宋体" w:hAnsi="宋体" w:eastAsia="宋体" w:cs="宋体"/>
          <w:color w:val="auto"/>
          <w:highlight w:val="none"/>
        </w:rPr>
        <w:t xml:space="preserve">账          号： </w:t>
      </w:r>
    </w:p>
    <w:p w14:paraId="23323059">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exact"/>
        <w:ind w:left="420" w:firstLine="480"/>
        <w:textAlignment w:val="auto"/>
        <w:rPr>
          <w:color w:val="auto"/>
          <w:highlight w:val="none"/>
        </w:rPr>
      </w:pPr>
      <w:r>
        <w:rPr>
          <w:rFonts w:hint="eastAsia" w:ascii="宋体" w:hAnsi="宋体" w:eastAsia="宋体" w:cs="宋体"/>
          <w:color w:val="auto"/>
          <w:highlight w:val="none"/>
        </w:rPr>
        <w:t>日           期：________年____月____日</w:t>
      </w:r>
    </w:p>
    <w:p w14:paraId="455B6897">
      <w:pPr>
        <w:pStyle w:val="13"/>
        <w:spacing w:beforeAutospacing="0" w:afterAutospacing="0" w:line="0" w:lineRule="atLeast"/>
        <w:ind w:firstLine="240"/>
        <w:jc w:val="center"/>
        <w:rPr>
          <w:color w:val="auto"/>
          <w:highlight w:val="none"/>
        </w:rPr>
      </w:pPr>
      <w:r>
        <w:rPr>
          <w:color w:val="auto"/>
          <w:highlight w:val="none"/>
        </w:rPr>
        <w:t> </w:t>
      </w:r>
    </w:p>
    <w:p w14:paraId="14152783">
      <w:pPr>
        <w:pStyle w:val="13"/>
        <w:spacing w:beforeAutospacing="0" w:afterAutospacing="0" w:line="0" w:lineRule="atLeast"/>
        <w:ind w:firstLine="240"/>
        <w:jc w:val="center"/>
        <w:rPr>
          <w:color w:val="auto"/>
          <w:highlight w:val="none"/>
        </w:rPr>
      </w:pPr>
    </w:p>
    <w:p w14:paraId="0A163F86">
      <w:pPr>
        <w:pStyle w:val="13"/>
        <w:spacing w:beforeAutospacing="0" w:afterAutospacing="0" w:line="0" w:lineRule="atLeast"/>
        <w:ind w:firstLine="240"/>
        <w:jc w:val="center"/>
        <w:rPr>
          <w:color w:val="auto"/>
          <w:highlight w:val="none"/>
        </w:rPr>
      </w:pPr>
    </w:p>
    <w:p w14:paraId="3EBAC7A8">
      <w:pPr>
        <w:pStyle w:val="13"/>
        <w:spacing w:beforeAutospacing="0" w:afterAutospacing="0" w:line="0" w:lineRule="atLeast"/>
        <w:ind w:firstLine="240"/>
        <w:jc w:val="center"/>
        <w:rPr>
          <w:color w:val="auto"/>
          <w:highlight w:val="none"/>
        </w:rPr>
      </w:pPr>
    </w:p>
    <w:p w14:paraId="115AEC3B">
      <w:pPr>
        <w:pStyle w:val="13"/>
        <w:spacing w:beforeAutospacing="0" w:afterAutospacing="0" w:line="0" w:lineRule="atLeast"/>
        <w:ind w:firstLine="240"/>
        <w:jc w:val="center"/>
        <w:rPr>
          <w:color w:val="auto"/>
          <w:highlight w:val="none"/>
        </w:rPr>
      </w:pPr>
    </w:p>
    <w:p w14:paraId="260518F8">
      <w:pPr>
        <w:pStyle w:val="13"/>
        <w:spacing w:beforeAutospacing="0" w:afterAutospacing="0" w:line="0" w:lineRule="atLeast"/>
        <w:ind w:firstLine="240"/>
        <w:jc w:val="center"/>
        <w:rPr>
          <w:color w:val="auto"/>
          <w:highlight w:val="none"/>
        </w:rPr>
      </w:pPr>
    </w:p>
    <w:p w14:paraId="52557489">
      <w:pPr>
        <w:pStyle w:val="13"/>
        <w:spacing w:beforeAutospacing="0" w:afterAutospacing="0" w:line="0" w:lineRule="atLeast"/>
        <w:ind w:firstLine="240"/>
        <w:jc w:val="center"/>
        <w:rPr>
          <w:color w:val="auto"/>
          <w:highlight w:val="none"/>
        </w:rPr>
      </w:pPr>
    </w:p>
    <w:p w14:paraId="03BBC382">
      <w:pPr>
        <w:pStyle w:val="13"/>
        <w:spacing w:beforeAutospacing="0" w:afterAutospacing="0" w:line="0" w:lineRule="atLeast"/>
        <w:ind w:firstLine="240"/>
        <w:jc w:val="center"/>
        <w:rPr>
          <w:color w:val="auto"/>
          <w:highlight w:val="none"/>
        </w:rPr>
      </w:pPr>
    </w:p>
    <w:p w14:paraId="30B670C7">
      <w:pPr>
        <w:pStyle w:val="13"/>
        <w:spacing w:beforeAutospacing="0" w:afterAutospacing="0" w:line="0" w:lineRule="atLeast"/>
        <w:ind w:firstLine="240"/>
        <w:jc w:val="center"/>
        <w:rPr>
          <w:color w:val="auto"/>
          <w:highlight w:val="none"/>
        </w:rPr>
      </w:pPr>
    </w:p>
    <w:p w14:paraId="55E21C35">
      <w:pPr>
        <w:pStyle w:val="13"/>
        <w:spacing w:beforeAutospacing="0" w:afterAutospacing="0" w:line="0" w:lineRule="atLeast"/>
        <w:ind w:firstLine="240"/>
        <w:jc w:val="center"/>
        <w:rPr>
          <w:color w:val="auto"/>
          <w:highlight w:val="none"/>
        </w:rPr>
      </w:pPr>
    </w:p>
    <w:p w14:paraId="79EA58AC">
      <w:pPr>
        <w:pStyle w:val="13"/>
        <w:spacing w:beforeAutospacing="0" w:afterAutospacing="0" w:line="0" w:lineRule="atLeast"/>
        <w:ind w:firstLine="240"/>
        <w:jc w:val="center"/>
        <w:rPr>
          <w:color w:val="auto"/>
          <w:highlight w:val="none"/>
        </w:rPr>
      </w:pPr>
    </w:p>
    <w:p w14:paraId="67ECC80E">
      <w:pPr>
        <w:pStyle w:val="13"/>
        <w:spacing w:beforeAutospacing="0" w:afterAutospacing="0" w:line="0" w:lineRule="atLeast"/>
        <w:ind w:firstLine="240"/>
        <w:jc w:val="center"/>
        <w:rPr>
          <w:color w:val="auto"/>
          <w:highlight w:val="none"/>
        </w:rPr>
      </w:pPr>
    </w:p>
    <w:p w14:paraId="5F3CF85A">
      <w:pPr>
        <w:pStyle w:val="13"/>
        <w:spacing w:beforeAutospacing="0" w:afterAutospacing="0" w:line="0" w:lineRule="atLeast"/>
        <w:ind w:firstLine="240"/>
        <w:jc w:val="center"/>
        <w:rPr>
          <w:color w:val="auto"/>
          <w:highlight w:val="none"/>
        </w:rPr>
      </w:pPr>
    </w:p>
    <w:p w14:paraId="1B163787">
      <w:pPr>
        <w:pStyle w:val="13"/>
        <w:spacing w:beforeAutospacing="0" w:afterAutospacing="0" w:line="0" w:lineRule="atLeast"/>
        <w:ind w:firstLine="240"/>
        <w:jc w:val="center"/>
        <w:rPr>
          <w:color w:val="auto"/>
          <w:highlight w:val="none"/>
        </w:rPr>
      </w:pPr>
      <w:r>
        <w:rPr>
          <w:color w:val="auto"/>
          <w:highlight w:val="none"/>
        </w:rPr>
        <w:t> </w:t>
      </w:r>
    </w:p>
    <w:p w14:paraId="3AB4CDF8">
      <w:pPr>
        <w:pStyle w:val="13"/>
        <w:spacing w:beforeAutospacing="0" w:afterAutospacing="0" w:line="0" w:lineRule="atLeast"/>
        <w:ind w:firstLine="240"/>
        <w:jc w:val="center"/>
        <w:rPr>
          <w:color w:val="auto"/>
          <w:highlight w:val="none"/>
        </w:rPr>
      </w:pPr>
      <w:r>
        <w:rPr>
          <w:color w:val="auto"/>
          <w:highlight w:val="none"/>
        </w:rPr>
        <w:t> </w:t>
      </w:r>
    </w:p>
    <w:p w14:paraId="68A32F43">
      <w:pPr>
        <w:pStyle w:val="13"/>
        <w:spacing w:beforeAutospacing="0" w:afterAutospacing="0" w:line="0" w:lineRule="atLeast"/>
        <w:ind w:firstLine="240"/>
        <w:jc w:val="center"/>
        <w:rPr>
          <w:color w:val="auto"/>
          <w:highlight w:val="none"/>
        </w:rPr>
      </w:pPr>
      <w:r>
        <w:rPr>
          <w:color w:val="auto"/>
          <w:highlight w:val="none"/>
        </w:rPr>
        <w:t> </w:t>
      </w:r>
    </w:p>
    <w:p w14:paraId="0E57DBF6">
      <w:pPr>
        <w:pStyle w:val="13"/>
        <w:spacing w:beforeAutospacing="0" w:afterAutospacing="0" w:line="0" w:lineRule="atLeast"/>
        <w:ind w:firstLine="240"/>
        <w:jc w:val="center"/>
        <w:rPr>
          <w:color w:val="auto"/>
          <w:highlight w:val="none"/>
        </w:rPr>
      </w:pPr>
      <w:r>
        <w:rPr>
          <w:color w:val="auto"/>
          <w:highlight w:val="none"/>
        </w:rPr>
        <w:t> </w:t>
      </w:r>
    </w:p>
    <w:p w14:paraId="29F185B6">
      <w:pPr>
        <w:pStyle w:val="13"/>
        <w:spacing w:beforeAutospacing="0" w:afterAutospacing="0" w:line="0" w:lineRule="atLeast"/>
        <w:jc w:val="center"/>
        <w:rPr>
          <w:color w:val="auto"/>
          <w:highlight w:val="none"/>
        </w:rPr>
      </w:pPr>
      <w:r>
        <w:rPr>
          <w:color w:val="auto"/>
          <w:highlight w:val="none"/>
        </w:rPr>
        <w:t> </w:t>
      </w:r>
    </w:p>
    <w:p w14:paraId="76E9D5C9">
      <w:pPr>
        <w:pStyle w:val="13"/>
        <w:spacing w:beforeAutospacing="0" w:afterAutospacing="0" w:line="0" w:lineRule="atLeast"/>
        <w:jc w:val="center"/>
        <w:outlineLvl w:val="0"/>
        <w:rPr>
          <w:i/>
          <w:iCs/>
          <w:color w:val="auto"/>
          <w:highlight w:val="none"/>
          <w:u w:val="single"/>
        </w:rPr>
      </w:pPr>
      <w:r>
        <w:rPr>
          <w:i/>
          <w:iCs/>
          <w:color w:val="auto"/>
          <w:highlight w:val="none"/>
          <w:u w:val="single"/>
        </w:rPr>
        <w:t> </w:t>
      </w:r>
      <w:r>
        <w:rPr>
          <w:rFonts w:hint="eastAsia" w:ascii="黑体" w:hAnsi="宋体" w:eastAsia="黑体" w:cs="黑体"/>
          <w:b/>
          <w:i/>
          <w:iCs/>
          <w:color w:val="auto"/>
          <w:sz w:val="32"/>
          <w:szCs w:val="32"/>
          <w:highlight w:val="none"/>
          <w:u w:val="single"/>
        </w:rPr>
        <w:t>九、</w:t>
      </w:r>
      <w:r>
        <w:rPr>
          <w:rFonts w:hint="eastAsia" w:ascii="黑体" w:hAnsi="宋体" w:eastAsia="黑体" w:cs="黑体"/>
          <w:b/>
          <w:i/>
          <w:iCs/>
          <w:color w:val="auto"/>
          <w:sz w:val="32"/>
          <w:szCs w:val="32"/>
          <w:highlight w:val="none"/>
          <w:u w:val="single"/>
          <w:lang w:val="en-US" w:eastAsia="zh-CN"/>
        </w:rPr>
        <w:t>中小</w:t>
      </w:r>
      <w:r>
        <w:rPr>
          <w:rFonts w:hint="eastAsia" w:ascii="黑体" w:hAnsi="宋体" w:eastAsia="黑体" w:cs="黑体"/>
          <w:b/>
          <w:i/>
          <w:iCs/>
          <w:color w:val="auto"/>
          <w:sz w:val="32"/>
          <w:szCs w:val="32"/>
          <w:highlight w:val="none"/>
          <w:u w:val="single"/>
        </w:rPr>
        <w:t>企业声明函（服务）</w:t>
      </w:r>
    </w:p>
    <w:p w14:paraId="1DCF832C">
      <w:pPr>
        <w:spacing w:line="500" w:lineRule="exact"/>
        <w:ind w:firstLine="480"/>
        <w:jc w:val="both"/>
        <w:rPr>
          <w:rFonts w:hint="eastAsia"/>
          <w:color w:val="auto"/>
          <w:sz w:val="24"/>
          <w:highlight w:val="none"/>
        </w:rPr>
      </w:pPr>
      <w:r>
        <w:rPr>
          <w:rFonts w:hint="eastAsia"/>
          <w:color w:val="auto"/>
          <w:sz w:val="24"/>
          <w:highlight w:val="none"/>
        </w:rPr>
        <w:t>本公司郑重声明，根据《政府采购促进中小企业发展管理办法》（财库﹝2020﹞46 号）的规定，本公司参加</w:t>
      </w:r>
      <w:r>
        <w:rPr>
          <w:rFonts w:hint="eastAsia"/>
          <w:color w:val="auto"/>
          <w:sz w:val="24"/>
          <w:highlight w:val="none"/>
          <w:u w:val="single"/>
        </w:rPr>
        <w:t>射阳宏远财会服务有限公司</w:t>
      </w:r>
      <w:r>
        <w:rPr>
          <w:rFonts w:hint="eastAsia"/>
          <w:color w:val="auto"/>
          <w:sz w:val="24"/>
          <w:highlight w:val="none"/>
        </w:rPr>
        <w:t>组织的</w:t>
      </w:r>
      <w:r>
        <w:rPr>
          <w:rFonts w:hint="eastAsia"/>
          <w:i w:val="0"/>
          <w:iCs w:val="0"/>
          <w:color w:val="auto"/>
          <w:sz w:val="24"/>
          <w:szCs w:val="24"/>
          <w:highlight w:val="none"/>
          <w:u w:val="single"/>
        </w:rPr>
        <w:t>射阳县自然资源和规划局</w:t>
      </w:r>
      <w:r>
        <w:rPr>
          <w:rFonts w:hint="eastAsia"/>
          <w:i w:val="0"/>
          <w:iCs w:val="0"/>
          <w:color w:val="auto"/>
          <w:sz w:val="24"/>
          <w:szCs w:val="20"/>
          <w:highlight w:val="none"/>
        </w:rPr>
        <w:t>，</w:t>
      </w:r>
      <w:r>
        <w:rPr>
          <w:rFonts w:hint="eastAsia"/>
          <w:color w:val="auto"/>
          <w:sz w:val="24"/>
          <w:highlight w:val="none"/>
        </w:rPr>
        <w:t>采购编号为</w:t>
      </w:r>
      <w:r>
        <w:rPr>
          <w:rFonts w:hint="eastAsia"/>
          <w:color w:val="auto"/>
          <w:sz w:val="24"/>
          <w:highlight w:val="none"/>
          <w:u w:val="single"/>
          <w:lang w:val="en-US" w:eastAsia="zh-CN"/>
        </w:rPr>
        <w:t xml:space="preserve"> JSZC-320924-SYHY-C2026-0006 </w:t>
      </w:r>
      <w:r>
        <w:rPr>
          <w:rFonts w:hint="eastAsia"/>
          <w:color w:val="auto"/>
          <w:sz w:val="24"/>
          <w:highlight w:val="none"/>
          <w:lang w:val="en-US" w:eastAsia="zh-CN"/>
        </w:rPr>
        <w:t>的</w:t>
      </w:r>
      <w:r>
        <w:rPr>
          <w:rFonts w:hint="eastAsia"/>
          <w:i w:val="0"/>
          <w:iCs w:val="0"/>
          <w:color w:val="auto"/>
          <w:sz w:val="24"/>
          <w:highlight w:val="none"/>
          <w:u w:val="single"/>
        </w:rPr>
        <w:t>射阳县自然资源和规划局2026年度耕地占补平衡、城乡建设用地增减挂钩项目入库和竣工测绘服务采购项目</w:t>
      </w:r>
      <w:r>
        <w:rPr>
          <w:rFonts w:hint="eastAsia"/>
          <w:color w:val="auto"/>
          <w:sz w:val="24"/>
          <w:highlight w:val="none"/>
        </w:rPr>
        <w:t>的采购活动，服务全部由符合政策要求的中小企业承接。相关企业的具体情况如下：</w:t>
      </w:r>
    </w:p>
    <w:p w14:paraId="32604D9A">
      <w:pPr>
        <w:numPr>
          <w:ilvl w:val="0"/>
          <w:numId w:val="2"/>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asciiTheme="minorEastAsia" w:hAnsiTheme="minorEastAsia" w:eastAsiaTheme="minorEastAsia" w:cstheme="minorEastAsia"/>
          <w:color w:val="auto"/>
          <w:sz w:val="24"/>
          <w:szCs w:val="24"/>
          <w:highlight w:val="none"/>
          <w:u w:val="single"/>
          <w:shd w:val="clear" w:color="auto" w:fill="auto"/>
        </w:rPr>
        <w:t>其他未列明行业</w:t>
      </w:r>
      <w:r>
        <w:rPr>
          <w:rFonts w:hint="eastAsia"/>
          <w:color w:val="auto"/>
          <w:sz w:val="24"/>
          <w:highlight w:val="none"/>
        </w:rPr>
        <w:t>；承接企业为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139DC9F7">
      <w:pPr>
        <w:numPr>
          <w:ilvl w:val="0"/>
          <w:numId w:val="2"/>
        </w:numPr>
        <w:spacing w:line="500" w:lineRule="exact"/>
        <w:ind w:left="0" w:leftChars="0" w:firstLine="480" w:firstLineChars="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w:t>
      </w:r>
      <w:r>
        <w:rPr>
          <w:rFonts w:hint="eastAsia"/>
          <w:i/>
          <w:iCs/>
          <w:color w:val="auto"/>
          <w:sz w:val="24"/>
          <w:highlight w:val="none"/>
          <w:u w:val="single"/>
          <w:lang w:val="en-US" w:eastAsia="zh-CN"/>
        </w:rPr>
        <w:t>磋商</w:t>
      </w:r>
      <w:r>
        <w:rPr>
          <w:rFonts w:hint="eastAsia"/>
          <w:i/>
          <w:iCs/>
          <w:color w:val="auto"/>
          <w:sz w:val="24"/>
          <w:highlight w:val="none"/>
          <w:u w:val="single"/>
        </w:rPr>
        <w:t>文件中明确的所属行业）</w:t>
      </w:r>
      <w:r>
        <w:rPr>
          <w:rFonts w:hint="eastAsia"/>
          <w:color w:val="auto"/>
          <w:sz w:val="24"/>
          <w:highlight w:val="none"/>
        </w:rPr>
        <w:t>；承接企业为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768A76B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w:t>
      </w:r>
    </w:p>
    <w:p w14:paraId="34FA3AC3">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2479C3C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0FE19C0D">
      <w:pPr>
        <w:pStyle w:val="13"/>
        <w:spacing w:beforeAutospacing="0" w:afterAutospacing="0" w:line="0" w:lineRule="atLeast"/>
        <w:ind w:right="720"/>
        <w:jc w:val="both"/>
        <w:rPr>
          <w:color w:val="auto"/>
          <w:highlight w:val="none"/>
        </w:rPr>
      </w:pPr>
      <w:r>
        <w:rPr>
          <w:color w:val="auto"/>
          <w:highlight w:val="none"/>
        </w:rPr>
        <w:t> </w:t>
      </w:r>
    </w:p>
    <w:p w14:paraId="6CD49601">
      <w:pPr>
        <w:pStyle w:val="13"/>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19405A62">
      <w:pPr>
        <w:pStyle w:val="13"/>
        <w:spacing w:beforeAutospacing="0" w:afterAutospacing="0" w:line="0" w:lineRule="atLeast"/>
        <w:ind w:right="480" w:firstLine="7128" w:firstLineChars="2970"/>
        <w:jc w:val="both"/>
        <w:rPr>
          <w:color w:val="auto"/>
          <w:highlight w:val="none"/>
        </w:rPr>
      </w:pPr>
      <w:r>
        <w:rPr>
          <w:rFonts w:hint="eastAsia" w:ascii="宋体" w:hAnsi="宋体" w:eastAsia="宋体" w:cs="宋体"/>
          <w:color w:val="auto"/>
          <w:highlight w:val="none"/>
        </w:rPr>
        <w:t>日  期：</w:t>
      </w:r>
    </w:p>
    <w:p w14:paraId="09B20EFD">
      <w:pPr>
        <w:pStyle w:val="13"/>
        <w:spacing w:beforeAutospacing="0" w:afterAutospacing="0" w:line="0" w:lineRule="atLeast"/>
        <w:ind w:firstLine="240"/>
        <w:jc w:val="both"/>
        <w:rPr>
          <w:color w:val="auto"/>
          <w:highlight w:val="none"/>
        </w:rPr>
      </w:pPr>
      <w:r>
        <w:rPr>
          <w:color w:val="auto"/>
          <w:highlight w:val="none"/>
        </w:rPr>
        <w:t> </w:t>
      </w:r>
    </w:p>
    <w:p w14:paraId="5FD8B9FE">
      <w:pPr>
        <w:pStyle w:val="13"/>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4181A3D1">
      <w:pPr>
        <w:pStyle w:val="13"/>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5F737D97">
      <w:pPr>
        <w:pStyle w:val="13"/>
        <w:spacing w:beforeAutospacing="0" w:afterAutospacing="0" w:line="0" w:lineRule="atLeast"/>
        <w:jc w:val="center"/>
        <w:outlineLvl w:val="0"/>
        <w:rPr>
          <w:color w:val="auto"/>
          <w:highlight w:val="none"/>
        </w:rPr>
      </w:pPr>
      <w:r>
        <w:rPr>
          <w:rFonts w:hint="eastAsia" w:ascii="黑体" w:hAnsi="宋体" w:eastAsia="黑体" w:cs="黑体"/>
          <w:b/>
          <w:color w:val="auto"/>
          <w:sz w:val="32"/>
          <w:szCs w:val="32"/>
          <w:highlight w:val="none"/>
        </w:rPr>
        <w:br w:type="page"/>
      </w:r>
      <w:r>
        <w:rPr>
          <w:rFonts w:hint="eastAsia" w:ascii="黑体" w:hAnsi="宋体" w:eastAsia="黑体" w:cs="黑体"/>
          <w:b/>
          <w:color w:val="auto"/>
          <w:sz w:val="32"/>
          <w:szCs w:val="32"/>
          <w:highlight w:val="none"/>
        </w:rPr>
        <w:t> 十、残疾人福利性单位声明函</w:t>
      </w:r>
    </w:p>
    <w:p w14:paraId="40AD2CD4">
      <w:pPr>
        <w:pStyle w:val="13"/>
        <w:keepNext w:val="0"/>
        <w:keepLines w:val="0"/>
        <w:pageBreakBefore w:val="0"/>
        <w:widowControl w:val="0"/>
        <w:kinsoku/>
        <w:wordWrap w:val="0"/>
        <w:overflowPunct/>
        <w:topLinePunct w:val="0"/>
        <w:autoSpaceDE/>
        <w:autoSpaceDN/>
        <w:bidi w:val="0"/>
        <w:adjustRightInd/>
        <w:snapToGrid/>
        <w:spacing w:beforeAutospacing="0" w:afterAutospacing="0" w:line="360" w:lineRule="exact"/>
        <w:ind w:firstLine="482"/>
        <w:jc w:val="both"/>
        <w:textAlignment w:val="auto"/>
        <w:rPr>
          <w:sz w:val="24"/>
          <w:szCs w:val="24"/>
          <w:highlight w:val="none"/>
        </w:rPr>
      </w:pPr>
      <w:r>
        <w:rPr>
          <w:rFonts w:hint="eastAsia" w:ascii="宋体" w:hAnsi="宋体" w:eastAsia="宋体" w:cs="宋体"/>
          <w:color w:val="000000"/>
          <w:sz w:val="24"/>
          <w:szCs w:val="24"/>
          <w:highlight w:val="none"/>
        </w:rPr>
        <w:t>本单位郑重声明，根据《财政部 民政部 中国残疾人联合会关于促进残疾人就业政府采购政策的通知》（财库</w:t>
      </w:r>
      <w:r>
        <w:rPr>
          <w:rFonts w:hint="eastAsia" w:ascii="宋体" w:hAnsi="宋体" w:eastAsia="宋体" w:cs="宋体"/>
          <w:color w:val="000000"/>
          <w:sz w:val="24"/>
          <w:szCs w:val="24"/>
          <w:highlight w:val="none"/>
          <w:lang w:eastAsia="zh-CN"/>
        </w:rPr>
        <w:t>〔2017〕141号</w:t>
      </w:r>
      <w:r>
        <w:rPr>
          <w:rFonts w:hint="eastAsia" w:ascii="宋体" w:hAnsi="宋体" w:eastAsia="宋体" w:cs="宋体"/>
          <w:color w:val="000000"/>
          <w:sz w:val="24"/>
          <w:szCs w:val="24"/>
          <w:highlight w:val="none"/>
        </w:rPr>
        <w:t>）的规定，本单位为符合条件的残疾人福利性单位，且本单位参加</w:t>
      </w:r>
      <w:r>
        <w:rPr>
          <w:rFonts w:hint="eastAsia" w:ascii="宋体" w:hAnsi="宋体" w:eastAsia="宋体" w:cs="宋体"/>
          <w:color w:val="000000"/>
          <w:sz w:val="24"/>
          <w:szCs w:val="24"/>
          <w:highlight w:val="none"/>
          <w:u w:val="single"/>
        </w:rPr>
        <w:t>射阳县自然资源和规划局</w:t>
      </w:r>
      <w:r>
        <w:rPr>
          <w:rFonts w:hint="eastAsia" w:ascii="宋体" w:hAnsi="宋体" w:eastAsia="宋体" w:cs="宋体"/>
          <w:color w:val="000000"/>
          <w:sz w:val="24"/>
          <w:szCs w:val="24"/>
          <w:highlight w:val="none"/>
        </w:rPr>
        <w:t>单位的采购文件编号为</w:t>
      </w:r>
      <w:r>
        <w:rPr>
          <w:rFonts w:hint="eastAsia" w:ascii="宋体" w:hAnsi="宋体" w:eastAsia="宋体" w:cs="宋体"/>
          <w:color w:val="000000"/>
          <w:sz w:val="24"/>
          <w:szCs w:val="24"/>
          <w:highlight w:val="none"/>
          <w:u w:val="single"/>
        </w:rPr>
        <w:t>JSZC-320924-SYHY-C2026-0006</w:t>
      </w:r>
      <w:r>
        <w:rPr>
          <w:rFonts w:hint="eastAsia" w:ascii="宋体" w:hAnsi="宋体" w:eastAsia="宋体" w:cs="宋体"/>
          <w:color w:val="000000"/>
          <w:sz w:val="24"/>
          <w:szCs w:val="24"/>
          <w:highlight w:val="none"/>
        </w:rPr>
        <w:t>的</w:t>
      </w:r>
      <w:r>
        <w:rPr>
          <w:rFonts w:hint="eastAsia" w:ascii="宋体" w:hAnsi="宋体" w:eastAsia="宋体" w:cs="宋体"/>
          <w:color w:val="000000"/>
          <w:sz w:val="24"/>
          <w:szCs w:val="24"/>
          <w:highlight w:val="none"/>
          <w:u w:val="single"/>
        </w:rPr>
        <w:t>射阳县自然资源和规划局2026年度耕地占补平衡、城乡建设用地增减挂钩项目入库和竣工测绘服务采购项目</w:t>
      </w:r>
      <w:r>
        <w:rPr>
          <w:rFonts w:hint="eastAsia" w:ascii="宋体" w:hAnsi="宋体" w:eastAsia="宋体" w:cs="宋体"/>
          <w:color w:val="000000"/>
          <w:sz w:val="24"/>
          <w:szCs w:val="24"/>
          <w:highlight w:val="none"/>
        </w:rPr>
        <w:t>项目采购活动由本单位提供服务。</w:t>
      </w:r>
    </w:p>
    <w:p w14:paraId="7214428A">
      <w:pPr>
        <w:pStyle w:val="13"/>
        <w:keepNext w:val="0"/>
        <w:keepLines w:val="0"/>
        <w:pageBreakBefore w:val="0"/>
        <w:widowControl w:val="0"/>
        <w:kinsoku/>
        <w:overflowPunct/>
        <w:topLinePunct w:val="0"/>
        <w:autoSpaceDE/>
        <w:autoSpaceDN/>
        <w:bidi w:val="0"/>
        <w:adjustRightInd/>
        <w:snapToGrid/>
        <w:spacing w:beforeAutospacing="0" w:afterAutospacing="0" w:line="360" w:lineRule="exact"/>
        <w:ind w:firstLine="480"/>
        <w:jc w:val="both"/>
        <w:textAlignment w:val="auto"/>
        <w:rPr>
          <w:sz w:val="24"/>
          <w:szCs w:val="24"/>
          <w:highlight w:val="none"/>
        </w:rPr>
      </w:pPr>
      <w:r>
        <w:rPr>
          <w:rFonts w:hint="eastAsia" w:ascii="宋体" w:hAnsi="宋体" w:eastAsia="宋体" w:cs="宋体"/>
          <w:color w:val="000000"/>
          <w:sz w:val="24"/>
          <w:szCs w:val="24"/>
          <w:highlight w:val="none"/>
        </w:rPr>
        <w:t>本单位对上述声明的真实性负责。如有虚假，将依法承担相应责任。</w:t>
      </w:r>
    </w:p>
    <w:p w14:paraId="79207B58">
      <w:pPr>
        <w:pStyle w:val="13"/>
        <w:keepNext w:val="0"/>
        <w:keepLines w:val="0"/>
        <w:pageBreakBefore w:val="0"/>
        <w:widowControl w:val="0"/>
        <w:kinsoku/>
        <w:overflowPunct/>
        <w:topLinePunct w:val="0"/>
        <w:autoSpaceDE/>
        <w:autoSpaceDN/>
        <w:bidi w:val="0"/>
        <w:adjustRightInd/>
        <w:snapToGrid/>
        <w:spacing w:beforeAutospacing="0" w:afterAutospacing="0" w:line="360" w:lineRule="exact"/>
        <w:ind w:firstLine="480"/>
        <w:jc w:val="both"/>
        <w:textAlignment w:val="auto"/>
        <w:rPr>
          <w:color w:val="auto"/>
          <w:sz w:val="24"/>
          <w:szCs w:val="24"/>
          <w:highlight w:val="none"/>
        </w:rPr>
      </w:pPr>
      <w:r>
        <w:rPr>
          <w:color w:val="auto"/>
          <w:sz w:val="24"/>
          <w:szCs w:val="24"/>
          <w:highlight w:val="none"/>
        </w:rPr>
        <w:t> </w:t>
      </w:r>
    </w:p>
    <w:p w14:paraId="748D2CB6">
      <w:pPr>
        <w:pStyle w:val="13"/>
        <w:keepNext w:val="0"/>
        <w:keepLines w:val="0"/>
        <w:pageBreakBefore w:val="0"/>
        <w:widowControl w:val="0"/>
        <w:kinsoku/>
        <w:overflowPunct/>
        <w:topLinePunct w:val="0"/>
        <w:autoSpaceDE/>
        <w:autoSpaceDN/>
        <w:bidi w:val="0"/>
        <w:adjustRightInd/>
        <w:snapToGrid/>
        <w:spacing w:beforeAutospacing="0" w:afterAutospacing="0" w:line="360" w:lineRule="exact"/>
        <w:ind w:firstLine="480"/>
        <w:jc w:val="both"/>
        <w:textAlignment w:val="auto"/>
        <w:rPr>
          <w:color w:val="auto"/>
          <w:sz w:val="24"/>
          <w:szCs w:val="24"/>
          <w:highlight w:val="none"/>
        </w:rPr>
      </w:pPr>
      <w:r>
        <w:rPr>
          <w:rFonts w:hint="eastAsia" w:ascii="宋体" w:hAnsi="宋体" w:eastAsia="宋体" w:cs="宋体"/>
          <w:color w:val="auto"/>
          <w:sz w:val="24"/>
          <w:szCs w:val="24"/>
          <w:highlight w:val="none"/>
        </w:rPr>
        <w:t>（备注：1、供应商如不提供此声明函，价格将不做相应扣除</w:t>
      </w:r>
      <w:r>
        <w:rPr>
          <w:rFonts w:hint="eastAsia" w:ascii="宋体" w:hAnsi="宋体" w:eastAsia="宋体" w:cs="宋体"/>
          <w:color w:val="auto"/>
          <w:sz w:val="24"/>
          <w:szCs w:val="24"/>
          <w:highlight w:val="none"/>
          <w:lang w:eastAsia="zh-CN"/>
        </w:rPr>
        <w:t>（如项目全面面向中小企业，则资格审查不通过）</w:t>
      </w:r>
      <w:r>
        <w:rPr>
          <w:rFonts w:hint="eastAsia" w:ascii="宋体" w:hAnsi="宋体" w:eastAsia="宋体" w:cs="宋体"/>
          <w:color w:val="auto"/>
          <w:sz w:val="24"/>
          <w:szCs w:val="24"/>
          <w:highlight w:val="none"/>
        </w:rPr>
        <w:t>。2、成交供应商为残疾人福利单位的，此声明函将随成交结果同时公告，接受社会监督）</w:t>
      </w:r>
    </w:p>
    <w:p w14:paraId="20A8B68E">
      <w:pPr>
        <w:pStyle w:val="13"/>
        <w:keepNext w:val="0"/>
        <w:keepLines w:val="0"/>
        <w:pageBreakBefore w:val="0"/>
        <w:widowControl w:val="0"/>
        <w:kinsoku/>
        <w:overflowPunct/>
        <w:topLinePunct w:val="0"/>
        <w:autoSpaceDE/>
        <w:autoSpaceDN/>
        <w:bidi w:val="0"/>
        <w:adjustRightInd/>
        <w:snapToGrid/>
        <w:spacing w:beforeAutospacing="0" w:afterAutospacing="0" w:line="360" w:lineRule="exact"/>
        <w:ind w:firstLine="624"/>
        <w:jc w:val="both"/>
        <w:textAlignment w:val="auto"/>
        <w:rPr>
          <w:color w:val="auto"/>
          <w:sz w:val="24"/>
          <w:szCs w:val="24"/>
          <w:highlight w:val="none"/>
        </w:rPr>
      </w:pPr>
      <w:r>
        <w:rPr>
          <w:color w:val="auto"/>
          <w:sz w:val="24"/>
          <w:szCs w:val="24"/>
          <w:highlight w:val="none"/>
        </w:rPr>
        <w:t> </w:t>
      </w:r>
    </w:p>
    <w:p w14:paraId="64B7C548">
      <w:pPr>
        <w:pStyle w:val="13"/>
        <w:keepNext w:val="0"/>
        <w:keepLines w:val="0"/>
        <w:pageBreakBefore w:val="0"/>
        <w:widowControl w:val="0"/>
        <w:tabs>
          <w:tab w:val="left" w:pos="4864"/>
        </w:tabs>
        <w:kinsoku/>
        <w:overflowPunct/>
        <w:topLinePunct w:val="0"/>
        <w:autoSpaceDE/>
        <w:autoSpaceDN/>
        <w:bidi w:val="0"/>
        <w:adjustRightInd/>
        <w:snapToGrid/>
        <w:spacing w:beforeAutospacing="0" w:afterAutospacing="0" w:line="360" w:lineRule="exact"/>
        <w:ind w:right="1560" w:firstLine="624"/>
        <w:jc w:val="center"/>
        <w:textAlignment w:val="auto"/>
        <w:rPr>
          <w:color w:val="auto"/>
          <w:sz w:val="24"/>
          <w:szCs w:val="24"/>
          <w:highlight w:val="none"/>
        </w:rPr>
      </w:pPr>
      <w:r>
        <w:rPr>
          <w:rFonts w:ascii="仿宋_GB2312" w:eastAsia="仿宋_GB2312" w:cs="仿宋_GB2312"/>
          <w:color w:val="auto"/>
          <w:sz w:val="24"/>
          <w:szCs w:val="24"/>
          <w:highlight w:val="none"/>
        </w:rPr>
        <w:t xml:space="preserve">             </w:t>
      </w:r>
      <w:r>
        <w:rPr>
          <w:rFonts w:hint="eastAsia" w:ascii="宋体" w:hAnsi="宋体" w:eastAsia="宋体" w:cs="宋体"/>
          <w:color w:val="auto"/>
          <w:sz w:val="24"/>
          <w:szCs w:val="24"/>
          <w:highlight w:val="none"/>
        </w:rPr>
        <w:t>          供应商全称（加盖CA电子公章）：</w:t>
      </w:r>
    </w:p>
    <w:p w14:paraId="12759A72">
      <w:pPr>
        <w:pStyle w:val="13"/>
        <w:keepNext w:val="0"/>
        <w:keepLines w:val="0"/>
        <w:pageBreakBefore w:val="0"/>
        <w:widowControl w:val="0"/>
        <w:tabs>
          <w:tab w:val="left" w:pos="4864"/>
        </w:tabs>
        <w:kinsoku/>
        <w:overflowPunct/>
        <w:topLinePunct w:val="0"/>
        <w:autoSpaceDE/>
        <w:autoSpaceDN/>
        <w:bidi w:val="0"/>
        <w:adjustRightInd/>
        <w:snapToGrid/>
        <w:spacing w:beforeAutospacing="0" w:afterAutospacing="0" w:line="360" w:lineRule="exact"/>
        <w:ind w:right="1560" w:firstLine="480"/>
        <w:jc w:val="center"/>
        <w:textAlignment w:val="auto"/>
        <w:rPr>
          <w:color w:val="auto"/>
          <w:sz w:val="24"/>
          <w:szCs w:val="24"/>
          <w:highlight w:val="none"/>
        </w:rPr>
      </w:pPr>
      <w:r>
        <w:rPr>
          <w:rFonts w:hint="eastAsia" w:ascii="宋体" w:hAnsi="宋体" w:eastAsia="宋体" w:cs="宋体"/>
          <w:color w:val="auto"/>
          <w:sz w:val="24"/>
          <w:szCs w:val="24"/>
          <w:highlight w:val="none"/>
        </w:rPr>
        <w:t>        日  期：</w:t>
      </w:r>
    </w:p>
    <w:p w14:paraId="605AB47E">
      <w:pPr>
        <w:pStyle w:val="13"/>
        <w:spacing w:beforeAutospacing="0" w:afterAutospacing="0" w:line="0" w:lineRule="atLeast"/>
        <w:jc w:val="center"/>
        <w:rPr>
          <w:color w:val="auto"/>
          <w:highlight w:val="none"/>
        </w:rPr>
      </w:pPr>
      <w:r>
        <w:rPr>
          <w:color w:val="auto"/>
          <w:highlight w:val="none"/>
        </w:rPr>
        <w:t> </w:t>
      </w:r>
    </w:p>
    <w:p w14:paraId="2DAC0C71">
      <w:pPr>
        <w:pStyle w:val="13"/>
        <w:spacing w:beforeAutospacing="0" w:afterAutospacing="0" w:line="0" w:lineRule="atLeast"/>
        <w:jc w:val="center"/>
        <w:rPr>
          <w:color w:val="auto"/>
          <w:highlight w:val="none"/>
        </w:rPr>
      </w:pPr>
      <w:r>
        <w:rPr>
          <w:color w:val="auto"/>
          <w:highlight w:val="none"/>
        </w:rPr>
        <w:t> </w:t>
      </w:r>
    </w:p>
    <w:p w14:paraId="2F354FC5">
      <w:pPr>
        <w:pStyle w:val="13"/>
        <w:spacing w:beforeAutospacing="0" w:afterAutospacing="0" w:line="0" w:lineRule="atLeast"/>
        <w:jc w:val="center"/>
        <w:rPr>
          <w:color w:val="auto"/>
          <w:highlight w:val="none"/>
        </w:rPr>
      </w:pPr>
      <w:r>
        <w:rPr>
          <w:color w:val="auto"/>
          <w:highlight w:val="none"/>
        </w:rPr>
        <w:t> </w:t>
      </w:r>
    </w:p>
    <w:p w14:paraId="71DA123F">
      <w:pPr>
        <w:pStyle w:val="13"/>
        <w:spacing w:beforeAutospacing="0" w:afterAutospacing="0" w:line="0" w:lineRule="atLeast"/>
        <w:jc w:val="center"/>
        <w:rPr>
          <w:color w:val="auto"/>
          <w:highlight w:val="none"/>
        </w:rPr>
      </w:pPr>
      <w:r>
        <w:rPr>
          <w:color w:val="auto"/>
          <w:highlight w:val="none"/>
        </w:rPr>
        <w:t> </w:t>
      </w:r>
    </w:p>
    <w:p w14:paraId="1A9A3829">
      <w:pPr>
        <w:pStyle w:val="13"/>
        <w:spacing w:beforeAutospacing="0" w:afterAutospacing="0" w:line="0" w:lineRule="atLeast"/>
        <w:jc w:val="center"/>
        <w:rPr>
          <w:color w:val="auto"/>
          <w:highlight w:val="none"/>
        </w:rPr>
      </w:pPr>
      <w:r>
        <w:rPr>
          <w:color w:val="auto"/>
          <w:highlight w:val="none"/>
        </w:rPr>
        <w:t> </w:t>
      </w:r>
    </w:p>
    <w:p w14:paraId="35CA2509">
      <w:pPr>
        <w:pStyle w:val="13"/>
        <w:spacing w:beforeAutospacing="0" w:afterAutospacing="0" w:line="0" w:lineRule="atLeast"/>
        <w:jc w:val="center"/>
        <w:rPr>
          <w:color w:val="auto"/>
          <w:highlight w:val="none"/>
        </w:rPr>
      </w:pPr>
      <w:r>
        <w:rPr>
          <w:color w:val="auto"/>
          <w:highlight w:val="none"/>
        </w:rPr>
        <w:t> </w:t>
      </w:r>
    </w:p>
    <w:p w14:paraId="1F4B7953">
      <w:pPr>
        <w:pStyle w:val="13"/>
        <w:spacing w:beforeAutospacing="0" w:afterAutospacing="0" w:line="0" w:lineRule="atLeast"/>
        <w:jc w:val="center"/>
        <w:rPr>
          <w:color w:val="auto"/>
          <w:highlight w:val="none"/>
        </w:rPr>
      </w:pPr>
      <w:r>
        <w:rPr>
          <w:color w:val="auto"/>
          <w:highlight w:val="none"/>
        </w:rPr>
        <w:t> </w:t>
      </w:r>
    </w:p>
    <w:p w14:paraId="5C92A01D">
      <w:pPr>
        <w:pStyle w:val="13"/>
        <w:spacing w:beforeAutospacing="0" w:afterAutospacing="0" w:line="0" w:lineRule="atLeast"/>
        <w:jc w:val="center"/>
        <w:rPr>
          <w:color w:val="auto"/>
          <w:highlight w:val="none"/>
        </w:rPr>
      </w:pPr>
      <w:r>
        <w:rPr>
          <w:color w:val="auto"/>
          <w:highlight w:val="none"/>
        </w:rPr>
        <w:t> </w:t>
      </w:r>
    </w:p>
    <w:p w14:paraId="1838436E">
      <w:pPr>
        <w:pStyle w:val="13"/>
        <w:spacing w:beforeAutospacing="0" w:afterAutospacing="0" w:line="0" w:lineRule="atLeast"/>
        <w:jc w:val="center"/>
        <w:rPr>
          <w:color w:val="auto"/>
          <w:highlight w:val="none"/>
        </w:rPr>
      </w:pPr>
      <w:r>
        <w:rPr>
          <w:color w:val="auto"/>
          <w:highlight w:val="none"/>
        </w:rPr>
        <w:t> </w:t>
      </w:r>
    </w:p>
    <w:p w14:paraId="27D03E28">
      <w:pPr>
        <w:pStyle w:val="13"/>
        <w:spacing w:beforeAutospacing="0" w:afterAutospacing="0" w:line="0" w:lineRule="atLeast"/>
        <w:jc w:val="center"/>
        <w:rPr>
          <w:color w:val="auto"/>
          <w:highlight w:val="none"/>
        </w:rPr>
      </w:pPr>
    </w:p>
    <w:p w14:paraId="39F718F5">
      <w:pPr>
        <w:rPr>
          <w:rFonts w:hint="eastAsia" w:ascii="黑体" w:hAnsi="黑体" w:eastAsia="黑体" w:cs="黑体"/>
          <w:b/>
          <w:color w:val="FF0000"/>
          <w:sz w:val="32"/>
          <w:szCs w:val="32"/>
          <w:lang w:val="en-US" w:eastAsia="zh-CN"/>
        </w:rPr>
      </w:pPr>
      <w:r>
        <w:rPr>
          <w:rFonts w:hint="eastAsia" w:ascii="黑体" w:hAnsi="黑体" w:eastAsia="黑体" w:cs="黑体"/>
          <w:b/>
          <w:color w:val="FF0000"/>
          <w:sz w:val="32"/>
          <w:szCs w:val="32"/>
          <w:lang w:val="en-US" w:eastAsia="zh-CN"/>
        </w:rPr>
        <w:br w:type="page"/>
      </w:r>
    </w:p>
    <w:p w14:paraId="5C74B25B">
      <w:pPr>
        <w:spacing w:line="241" w:lineRule="auto"/>
        <w:rPr>
          <w:rFonts w:ascii="Arial"/>
          <w:sz w:val="21"/>
        </w:rPr>
      </w:pPr>
    </w:p>
    <w:p w14:paraId="5DE1357B">
      <w:pPr>
        <w:pStyle w:val="13"/>
        <w:numPr>
          <w:ilvl w:val="0"/>
          <w:numId w:val="3"/>
        </w:numPr>
        <w:spacing w:beforeAutospacing="0" w:afterAutospacing="0" w:line="0" w:lineRule="atLeast"/>
        <w:jc w:val="center"/>
        <w:outlineLvl w:val="0"/>
        <w:rPr>
          <w:rFonts w:hint="eastAsia" w:ascii="黑体" w:hAnsi="宋体" w:eastAsia="黑体" w:cs="黑体"/>
          <w:b/>
          <w:i/>
          <w:iCs/>
          <w:color w:val="auto"/>
          <w:sz w:val="32"/>
          <w:szCs w:val="32"/>
          <w:highlight w:val="none"/>
          <w:u w:val="single"/>
        </w:rPr>
      </w:pPr>
      <w:r>
        <w:rPr>
          <w:rFonts w:hint="eastAsia" w:ascii="黑体" w:hAnsi="宋体" w:eastAsia="黑体" w:cs="黑体"/>
          <w:b/>
          <w:i/>
          <w:iCs/>
          <w:color w:val="auto"/>
          <w:sz w:val="32"/>
          <w:szCs w:val="32"/>
          <w:highlight w:val="none"/>
          <w:u w:val="single"/>
        </w:rPr>
        <w:t>分项报价表（服务类）</w:t>
      </w:r>
    </w:p>
    <w:p w14:paraId="7AF0119C">
      <w:pPr>
        <w:ind w:firstLine="210"/>
        <w:jc w:val="right"/>
        <w:rPr>
          <w:rFonts w:hint="default" w:ascii="黑体" w:hAnsi="宋体" w:eastAsia="黑体" w:cs="黑体"/>
          <w:b/>
          <w:i/>
          <w:iCs/>
          <w:color w:val="auto"/>
          <w:sz w:val="40"/>
          <w:szCs w:val="40"/>
          <w:highlight w:val="none"/>
          <w:u w:val="single"/>
          <w:lang w:val="en-US" w:eastAsia="zh-CN"/>
        </w:rPr>
      </w:pPr>
      <w:r>
        <w:rPr>
          <w:rFonts w:hint="eastAsia" w:cs="宋体"/>
          <w:sz w:val="24"/>
          <w:szCs w:val="36"/>
          <w:lang w:val="en-US" w:eastAsia="zh-CN"/>
        </w:rPr>
        <w:t>单位（元）</w:t>
      </w:r>
    </w:p>
    <w:tbl>
      <w:tblPr>
        <w:tblStyle w:val="16"/>
        <w:tblW w:w="9778" w:type="dxa"/>
        <w:tblCellSpacing w:w="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4"/>
        <w:gridCol w:w="2208"/>
        <w:gridCol w:w="1640"/>
        <w:gridCol w:w="1600"/>
        <w:gridCol w:w="1546"/>
        <w:gridCol w:w="1860"/>
      </w:tblGrid>
      <w:tr w14:paraId="5CC60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tblCellSpacing w:w="0" w:type="dxa"/>
        </w:trPr>
        <w:tc>
          <w:tcPr>
            <w:tcW w:w="924" w:type="dxa"/>
            <w:vMerge w:val="restart"/>
            <w:shd w:val="clear" w:color="auto" w:fill="auto"/>
            <w:vAlign w:val="center"/>
          </w:tcPr>
          <w:p w14:paraId="6DF3D1E1">
            <w:pPr>
              <w:pStyle w:val="31"/>
              <w:spacing w:line="0" w:lineRule="atLeast"/>
              <w:rPr>
                <w:b w:val="0"/>
                <w:bCs w:val="0"/>
                <w:color w:val="auto"/>
                <w:sz w:val="24"/>
                <w:szCs w:val="24"/>
                <w:highlight w:val="none"/>
              </w:rPr>
            </w:pPr>
            <w:r>
              <w:rPr>
                <w:rFonts w:hint="eastAsia" w:ascii="宋体" w:hAnsi="宋体" w:eastAsia="宋体" w:cs="宋体"/>
                <w:b w:val="0"/>
                <w:bCs w:val="0"/>
                <w:sz w:val="24"/>
                <w:szCs w:val="24"/>
              </w:rPr>
              <w:t>序号</w:t>
            </w:r>
          </w:p>
        </w:tc>
        <w:tc>
          <w:tcPr>
            <w:tcW w:w="2208" w:type="dxa"/>
            <w:shd w:val="clear" w:color="auto" w:fill="auto"/>
            <w:vAlign w:val="center"/>
          </w:tcPr>
          <w:p w14:paraId="6C8E6D00">
            <w:pPr>
              <w:pStyle w:val="31"/>
              <w:spacing w:line="0" w:lineRule="atLeast"/>
              <w:ind w:firstLine="720" w:firstLineChars="300"/>
              <w:jc w:val="both"/>
              <w:rPr>
                <w:b w:val="0"/>
                <w:bCs w:val="0"/>
                <w:color w:val="auto"/>
                <w:sz w:val="24"/>
                <w:szCs w:val="24"/>
                <w:highlight w:val="none"/>
              </w:rPr>
            </w:pPr>
            <w:r>
              <w:rPr>
                <w:rFonts w:hint="eastAsia" w:ascii="宋体" w:hAnsi="宋体" w:eastAsia="宋体" w:cs="宋体"/>
                <w:b w:val="0"/>
                <w:bCs w:val="0"/>
                <w:sz w:val="24"/>
                <w:szCs w:val="24"/>
              </w:rPr>
              <w:t>1</w:t>
            </w:r>
          </w:p>
        </w:tc>
        <w:tc>
          <w:tcPr>
            <w:tcW w:w="1640" w:type="dxa"/>
            <w:shd w:val="clear" w:color="auto" w:fill="auto"/>
            <w:vAlign w:val="center"/>
          </w:tcPr>
          <w:p w14:paraId="2C3D735F">
            <w:pPr>
              <w:pStyle w:val="31"/>
              <w:spacing w:line="0" w:lineRule="atLeast"/>
              <w:ind w:firstLine="480" w:firstLineChars="200"/>
              <w:jc w:val="both"/>
              <w:rPr>
                <w:rFonts w:hint="eastAsia" w:eastAsiaTheme="minorEastAsia"/>
                <w:b w:val="0"/>
                <w:bCs w:val="0"/>
                <w:color w:val="auto"/>
                <w:sz w:val="24"/>
                <w:szCs w:val="24"/>
                <w:highlight w:val="none"/>
                <w:lang w:eastAsia="zh-CN"/>
              </w:rPr>
            </w:pPr>
            <w:r>
              <w:rPr>
                <w:rFonts w:hint="eastAsia" w:ascii="宋体" w:hAnsi="宋体" w:eastAsia="宋体" w:cs="宋体"/>
                <w:b w:val="0"/>
                <w:bCs w:val="0"/>
                <w:sz w:val="24"/>
                <w:szCs w:val="24"/>
              </w:rPr>
              <w:t>2</w:t>
            </w:r>
          </w:p>
        </w:tc>
        <w:tc>
          <w:tcPr>
            <w:tcW w:w="1600" w:type="dxa"/>
            <w:shd w:val="clear" w:color="auto" w:fill="auto"/>
            <w:vAlign w:val="center"/>
          </w:tcPr>
          <w:p w14:paraId="3990CBDE">
            <w:pPr>
              <w:pStyle w:val="31"/>
              <w:spacing w:line="0" w:lineRule="atLeast"/>
              <w:ind w:firstLine="480" w:firstLineChars="200"/>
              <w:jc w:val="both"/>
              <w:rPr>
                <w:rFonts w:hint="eastAsia" w:eastAsiaTheme="minorEastAsia"/>
                <w:b w:val="0"/>
                <w:bCs w:val="0"/>
                <w:color w:val="auto"/>
                <w:sz w:val="24"/>
                <w:szCs w:val="24"/>
                <w:highlight w:val="none"/>
                <w:lang w:eastAsia="zh-CN"/>
              </w:rPr>
            </w:pPr>
            <w:r>
              <w:rPr>
                <w:rFonts w:hint="eastAsia" w:ascii="宋体" w:hAnsi="宋体" w:eastAsia="宋体" w:cs="宋体"/>
                <w:b w:val="0"/>
                <w:bCs w:val="0"/>
                <w:sz w:val="24"/>
                <w:szCs w:val="24"/>
                <w:lang w:val="en-US" w:eastAsia="zh-CN"/>
              </w:rPr>
              <w:t>3</w:t>
            </w:r>
          </w:p>
        </w:tc>
        <w:tc>
          <w:tcPr>
            <w:tcW w:w="1546" w:type="dxa"/>
            <w:shd w:val="clear" w:color="auto" w:fill="auto"/>
            <w:vAlign w:val="center"/>
          </w:tcPr>
          <w:p w14:paraId="12D8DFEE">
            <w:pPr>
              <w:pStyle w:val="31"/>
              <w:spacing w:line="0" w:lineRule="atLeast"/>
              <w:ind w:firstLine="720" w:firstLineChars="300"/>
              <w:jc w:val="both"/>
              <w:rPr>
                <w:rFonts w:hint="eastAsia" w:eastAsiaTheme="minorEastAsia"/>
                <w:b w:val="0"/>
                <w:bCs w:val="0"/>
                <w:color w:val="auto"/>
                <w:sz w:val="24"/>
                <w:szCs w:val="24"/>
                <w:highlight w:val="none"/>
                <w:lang w:eastAsia="zh-CN"/>
              </w:rPr>
            </w:pPr>
            <w:r>
              <w:rPr>
                <w:rFonts w:hint="eastAsia" w:ascii="宋体" w:hAnsi="宋体" w:eastAsia="宋体" w:cs="宋体"/>
                <w:b w:val="0"/>
                <w:bCs w:val="0"/>
                <w:sz w:val="24"/>
                <w:szCs w:val="24"/>
              </w:rPr>
              <w:t>4</w:t>
            </w:r>
          </w:p>
        </w:tc>
        <w:tc>
          <w:tcPr>
            <w:tcW w:w="1860" w:type="dxa"/>
            <w:shd w:val="clear" w:color="auto" w:fill="auto"/>
            <w:vAlign w:val="center"/>
          </w:tcPr>
          <w:p w14:paraId="005E35B9">
            <w:pPr>
              <w:pStyle w:val="31"/>
              <w:spacing w:line="0" w:lineRule="atLeast"/>
              <w:ind w:firstLine="720" w:firstLineChars="300"/>
              <w:jc w:val="both"/>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5</w:t>
            </w:r>
          </w:p>
        </w:tc>
      </w:tr>
      <w:tr w14:paraId="1673C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blCellSpacing w:w="0" w:type="dxa"/>
        </w:trPr>
        <w:tc>
          <w:tcPr>
            <w:tcW w:w="924" w:type="dxa"/>
            <w:vMerge w:val="continue"/>
            <w:shd w:val="clear" w:color="auto" w:fill="auto"/>
            <w:vAlign w:val="center"/>
          </w:tcPr>
          <w:p w14:paraId="0D6978F5">
            <w:pPr>
              <w:rPr>
                <w:rFonts w:ascii="宋体"/>
                <w:b w:val="0"/>
                <w:bCs w:val="0"/>
                <w:color w:val="auto"/>
                <w:sz w:val="24"/>
                <w:szCs w:val="24"/>
                <w:highlight w:val="none"/>
              </w:rPr>
            </w:pPr>
          </w:p>
        </w:tc>
        <w:tc>
          <w:tcPr>
            <w:tcW w:w="2208" w:type="dxa"/>
            <w:shd w:val="clear" w:color="auto" w:fill="auto"/>
            <w:vAlign w:val="center"/>
          </w:tcPr>
          <w:p w14:paraId="72B2F038">
            <w:pPr>
              <w:pStyle w:val="31"/>
              <w:spacing w:line="0" w:lineRule="atLeast"/>
              <w:jc w:val="center"/>
              <w:rPr>
                <w:b w:val="0"/>
                <w:bCs w:val="0"/>
                <w:color w:val="auto"/>
                <w:sz w:val="24"/>
                <w:szCs w:val="24"/>
                <w:highlight w:val="none"/>
              </w:rPr>
            </w:pPr>
            <w:r>
              <w:rPr>
                <w:rFonts w:hint="eastAsia" w:ascii="宋体" w:hAnsi="宋体" w:eastAsia="宋体" w:cs="宋体"/>
                <w:b w:val="0"/>
                <w:bCs w:val="0"/>
                <w:sz w:val="24"/>
                <w:szCs w:val="24"/>
              </w:rPr>
              <w:t>分项服务名称</w:t>
            </w:r>
          </w:p>
        </w:tc>
        <w:tc>
          <w:tcPr>
            <w:tcW w:w="1640" w:type="dxa"/>
            <w:shd w:val="clear" w:color="auto" w:fill="auto"/>
            <w:vAlign w:val="center"/>
          </w:tcPr>
          <w:p w14:paraId="662AF1DE">
            <w:pPr>
              <w:pStyle w:val="31"/>
              <w:spacing w:line="0" w:lineRule="atLeast"/>
              <w:jc w:val="center"/>
              <w:rPr>
                <w:rFonts w:hint="default" w:eastAsia="宋体"/>
                <w:b w:val="0"/>
                <w:bCs w:val="0"/>
                <w:color w:val="auto"/>
                <w:sz w:val="24"/>
                <w:szCs w:val="24"/>
                <w:highlight w:val="none"/>
                <w:lang w:val="en-US" w:eastAsia="zh-CN"/>
              </w:rPr>
            </w:pPr>
            <w:r>
              <w:rPr>
                <w:rFonts w:hint="eastAsia" w:ascii="宋体" w:hAnsi="宋体" w:eastAsia="宋体" w:cs="宋体"/>
                <w:b w:val="0"/>
                <w:bCs w:val="0"/>
                <w:sz w:val="24"/>
                <w:szCs w:val="24"/>
              </w:rPr>
              <w:t>分项单位</w:t>
            </w:r>
          </w:p>
        </w:tc>
        <w:tc>
          <w:tcPr>
            <w:tcW w:w="1600" w:type="dxa"/>
            <w:shd w:val="clear" w:color="auto" w:fill="auto"/>
            <w:vAlign w:val="center"/>
          </w:tcPr>
          <w:p w14:paraId="0BFAE5D1">
            <w:pPr>
              <w:pStyle w:val="31"/>
              <w:spacing w:line="0" w:lineRule="atLeast"/>
              <w:jc w:val="center"/>
              <w:rPr>
                <w:b w:val="0"/>
                <w:bCs w:val="0"/>
                <w:color w:val="auto"/>
                <w:sz w:val="24"/>
                <w:szCs w:val="24"/>
                <w:highlight w:val="none"/>
              </w:rPr>
            </w:pPr>
            <w:r>
              <w:rPr>
                <w:rFonts w:hint="eastAsia" w:ascii="宋体" w:hAnsi="宋体" w:eastAsia="宋体" w:cs="宋体"/>
                <w:b w:val="0"/>
                <w:bCs w:val="0"/>
                <w:sz w:val="24"/>
                <w:szCs w:val="24"/>
              </w:rPr>
              <w:t>数量</w:t>
            </w:r>
          </w:p>
        </w:tc>
        <w:tc>
          <w:tcPr>
            <w:tcW w:w="1546" w:type="dxa"/>
            <w:shd w:val="clear" w:color="auto" w:fill="auto"/>
            <w:vAlign w:val="center"/>
          </w:tcPr>
          <w:p w14:paraId="520A7BF4">
            <w:pPr>
              <w:pStyle w:val="31"/>
              <w:spacing w:line="0" w:lineRule="atLeast"/>
              <w:jc w:val="center"/>
              <w:rPr>
                <w:rFonts w:hint="default" w:eastAsia="宋体"/>
                <w:b w:val="0"/>
                <w:bCs w:val="0"/>
                <w:color w:val="auto"/>
                <w:sz w:val="24"/>
                <w:szCs w:val="24"/>
                <w:highlight w:val="none"/>
                <w:lang w:val="en-US" w:eastAsia="zh-CN"/>
              </w:rPr>
            </w:pPr>
            <w:r>
              <w:rPr>
                <w:rFonts w:hint="eastAsia" w:ascii="宋体" w:hAnsi="宋体" w:eastAsia="宋体" w:cs="宋体"/>
                <w:b w:val="0"/>
                <w:bCs w:val="0"/>
                <w:sz w:val="24"/>
                <w:szCs w:val="24"/>
                <w:lang w:val="en-US" w:eastAsia="zh-CN"/>
              </w:rPr>
              <w:t>分项单价</w:t>
            </w:r>
          </w:p>
        </w:tc>
        <w:tc>
          <w:tcPr>
            <w:tcW w:w="1860" w:type="dxa"/>
            <w:shd w:val="clear" w:color="auto" w:fill="auto"/>
            <w:vAlign w:val="center"/>
          </w:tcPr>
          <w:p w14:paraId="6521ED95">
            <w:pPr>
              <w:pStyle w:val="31"/>
              <w:spacing w:line="0" w:lineRule="atLeast"/>
              <w:jc w:val="center"/>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分项总价</w:t>
            </w:r>
          </w:p>
        </w:tc>
      </w:tr>
      <w:tr w14:paraId="19586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blCellSpacing w:w="0" w:type="dxa"/>
        </w:trPr>
        <w:tc>
          <w:tcPr>
            <w:tcW w:w="924" w:type="dxa"/>
            <w:shd w:val="clear" w:color="auto" w:fill="auto"/>
            <w:vAlign w:val="center"/>
          </w:tcPr>
          <w:p w14:paraId="645CE601">
            <w:pPr>
              <w:pStyle w:val="31"/>
              <w:spacing w:line="0" w:lineRule="atLeast"/>
              <w:jc w:val="center"/>
              <w:rPr>
                <w:b w:val="0"/>
                <w:bCs w:val="0"/>
                <w:color w:val="auto"/>
                <w:sz w:val="24"/>
                <w:szCs w:val="24"/>
                <w:highlight w:val="none"/>
              </w:rPr>
            </w:pPr>
            <w:r>
              <w:rPr>
                <w:rFonts w:hint="eastAsia" w:ascii="宋体" w:hAnsi="宋体" w:eastAsia="宋体" w:cs="宋体"/>
                <w:b w:val="0"/>
                <w:bCs w:val="0"/>
                <w:sz w:val="24"/>
                <w:szCs w:val="24"/>
              </w:rPr>
              <w:t>1</w:t>
            </w:r>
          </w:p>
        </w:tc>
        <w:tc>
          <w:tcPr>
            <w:tcW w:w="2208" w:type="dxa"/>
            <w:shd w:val="clear" w:color="auto" w:fill="auto"/>
            <w:vAlign w:val="center"/>
          </w:tcPr>
          <w:p w14:paraId="4356EB6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eastAsiaTheme="minorEastAsia"/>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shd w:val="clear" w:color="auto" w:fill="auto"/>
              </w:rPr>
              <w:t>项目入库测绘</w:t>
            </w:r>
          </w:p>
        </w:tc>
        <w:tc>
          <w:tcPr>
            <w:tcW w:w="1640" w:type="dxa"/>
            <w:shd w:val="clear" w:color="auto" w:fill="auto"/>
            <w:vAlign w:val="center"/>
          </w:tcPr>
          <w:p w14:paraId="7BFDFCE4">
            <w:pPr>
              <w:pStyle w:val="31"/>
              <w:spacing w:line="0" w:lineRule="atLeast"/>
              <w:jc w:val="center"/>
              <w:rPr>
                <w:rFonts w:hint="default" w:eastAsiaTheme="minorEastAsia"/>
                <w:b w:val="0"/>
                <w:bCs w:val="0"/>
                <w:color w:val="auto"/>
                <w:sz w:val="24"/>
                <w:szCs w:val="24"/>
                <w:highlight w:val="none"/>
                <w:lang w:val="en-US" w:eastAsia="zh-CN"/>
              </w:rPr>
            </w:pPr>
            <w:r>
              <w:rPr>
                <w:rFonts w:hint="eastAsia"/>
                <w:b w:val="0"/>
                <w:bCs w:val="0"/>
                <w:color w:val="auto"/>
                <w:sz w:val="24"/>
                <w:szCs w:val="24"/>
                <w:highlight w:val="none"/>
                <w:lang w:val="en-US" w:eastAsia="zh-CN"/>
              </w:rPr>
              <w:t>亩</w:t>
            </w:r>
          </w:p>
        </w:tc>
        <w:tc>
          <w:tcPr>
            <w:tcW w:w="1600" w:type="dxa"/>
            <w:shd w:val="clear" w:color="auto" w:fill="auto"/>
            <w:vAlign w:val="center"/>
          </w:tcPr>
          <w:p w14:paraId="3DFEB7FF">
            <w:pPr>
              <w:pStyle w:val="31"/>
              <w:spacing w:line="0" w:lineRule="atLeast"/>
              <w:ind w:firstLine="480" w:firstLineChars="0"/>
              <w:jc w:val="both"/>
              <w:rPr>
                <w:b w:val="0"/>
                <w:bCs w:val="0"/>
                <w:color w:val="auto"/>
                <w:sz w:val="24"/>
                <w:szCs w:val="24"/>
                <w:highlight w:val="none"/>
              </w:rPr>
            </w:pPr>
            <w:r>
              <w:rPr>
                <w:rFonts w:hint="eastAsia" w:ascii="宋体" w:hAnsi="宋体" w:eastAsia="宋体" w:cs="宋体"/>
                <w:b w:val="0"/>
                <w:bCs w:val="0"/>
                <w:sz w:val="24"/>
                <w:szCs w:val="24"/>
                <w:lang w:val="en-US" w:eastAsia="zh-CN"/>
              </w:rPr>
              <w:t>3000</w:t>
            </w:r>
          </w:p>
        </w:tc>
        <w:tc>
          <w:tcPr>
            <w:tcW w:w="1546" w:type="dxa"/>
            <w:shd w:val="clear" w:color="auto" w:fill="auto"/>
            <w:vAlign w:val="center"/>
          </w:tcPr>
          <w:p w14:paraId="6CC4D8FC">
            <w:pPr>
              <w:pStyle w:val="31"/>
              <w:spacing w:line="0" w:lineRule="atLeast"/>
              <w:ind w:firstLine="480" w:firstLineChars="0"/>
              <w:jc w:val="center"/>
              <w:rPr>
                <w:b w:val="0"/>
                <w:bCs w:val="0"/>
                <w:color w:val="auto"/>
                <w:sz w:val="24"/>
                <w:szCs w:val="24"/>
                <w:highlight w:val="none"/>
              </w:rPr>
            </w:pPr>
          </w:p>
        </w:tc>
        <w:tc>
          <w:tcPr>
            <w:tcW w:w="1860" w:type="dxa"/>
            <w:shd w:val="clear" w:color="auto" w:fill="auto"/>
            <w:vAlign w:val="center"/>
          </w:tcPr>
          <w:p w14:paraId="36C1068D">
            <w:pPr>
              <w:pStyle w:val="31"/>
              <w:spacing w:line="0" w:lineRule="atLeast"/>
              <w:ind w:firstLine="480" w:firstLineChars="0"/>
              <w:jc w:val="center"/>
              <w:rPr>
                <w:rFonts w:hint="eastAsia" w:ascii="宋体" w:hAnsi="宋体" w:eastAsia="宋体" w:cs="宋体"/>
                <w:b w:val="0"/>
                <w:bCs w:val="0"/>
                <w:sz w:val="24"/>
                <w:szCs w:val="24"/>
              </w:rPr>
            </w:pPr>
          </w:p>
        </w:tc>
      </w:tr>
      <w:tr w14:paraId="69A43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blCellSpacing w:w="0" w:type="dxa"/>
        </w:trPr>
        <w:tc>
          <w:tcPr>
            <w:tcW w:w="924" w:type="dxa"/>
            <w:shd w:val="clear" w:color="auto" w:fill="auto"/>
            <w:vAlign w:val="center"/>
          </w:tcPr>
          <w:p w14:paraId="1D412C61">
            <w:pPr>
              <w:pStyle w:val="31"/>
              <w:spacing w:line="0" w:lineRule="atLeast"/>
              <w:jc w:val="center"/>
              <w:rPr>
                <w:b w:val="0"/>
                <w:bCs w:val="0"/>
                <w:color w:val="auto"/>
                <w:sz w:val="24"/>
                <w:szCs w:val="24"/>
                <w:highlight w:val="none"/>
              </w:rPr>
            </w:pPr>
            <w:r>
              <w:rPr>
                <w:rFonts w:hint="eastAsia" w:ascii="宋体" w:hAnsi="宋体" w:eastAsia="宋体" w:cs="宋体"/>
                <w:b w:val="0"/>
                <w:bCs w:val="0"/>
                <w:sz w:val="24"/>
                <w:szCs w:val="24"/>
              </w:rPr>
              <w:t>2</w:t>
            </w:r>
          </w:p>
        </w:tc>
        <w:tc>
          <w:tcPr>
            <w:tcW w:w="2208" w:type="dxa"/>
            <w:shd w:val="clear" w:color="auto" w:fill="auto"/>
            <w:vAlign w:val="center"/>
          </w:tcPr>
          <w:p w14:paraId="4A391EB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eastAsia="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shd w:val="clear" w:color="auto" w:fill="auto"/>
                <w:lang w:val="en-US" w:eastAsia="zh-CN"/>
              </w:rPr>
              <w:t>项目</w:t>
            </w:r>
            <w:r>
              <w:rPr>
                <w:rFonts w:hint="eastAsia" w:ascii="宋体" w:hAnsi="宋体" w:eastAsia="宋体" w:cs="宋体"/>
                <w:b w:val="0"/>
                <w:bCs w:val="0"/>
                <w:color w:val="auto"/>
                <w:sz w:val="24"/>
                <w:szCs w:val="24"/>
                <w:highlight w:val="none"/>
                <w:shd w:val="clear" w:color="auto" w:fill="auto"/>
              </w:rPr>
              <w:t>竣工测绘</w:t>
            </w:r>
          </w:p>
        </w:tc>
        <w:tc>
          <w:tcPr>
            <w:tcW w:w="1640" w:type="dxa"/>
            <w:shd w:val="clear" w:color="auto" w:fill="auto"/>
            <w:vAlign w:val="center"/>
          </w:tcPr>
          <w:p w14:paraId="3698AA65">
            <w:pPr>
              <w:pStyle w:val="31"/>
              <w:spacing w:line="0" w:lineRule="atLeast"/>
              <w:jc w:val="center"/>
              <w:rPr>
                <w:rFonts w:hint="eastAsia" w:eastAsiaTheme="minorEastAsia"/>
                <w:b w:val="0"/>
                <w:bCs w:val="0"/>
                <w:color w:val="auto"/>
                <w:sz w:val="24"/>
                <w:szCs w:val="24"/>
                <w:highlight w:val="none"/>
                <w:lang w:val="en-US" w:eastAsia="zh-CN"/>
              </w:rPr>
            </w:pPr>
            <w:r>
              <w:rPr>
                <w:rFonts w:hint="eastAsia"/>
                <w:b w:val="0"/>
                <w:bCs w:val="0"/>
                <w:color w:val="auto"/>
                <w:sz w:val="24"/>
                <w:szCs w:val="24"/>
                <w:highlight w:val="none"/>
                <w:lang w:val="en-US" w:eastAsia="zh-CN"/>
              </w:rPr>
              <w:t>亩</w:t>
            </w:r>
          </w:p>
        </w:tc>
        <w:tc>
          <w:tcPr>
            <w:tcW w:w="1600" w:type="dxa"/>
            <w:shd w:val="clear" w:color="auto" w:fill="auto"/>
            <w:vAlign w:val="center"/>
          </w:tcPr>
          <w:p w14:paraId="6FADC2C9">
            <w:pPr>
              <w:pStyle w:val="31"/>
              <w:spacing w:line="0" w:lineRule="atLeast"/>
              <w:ind w:firstLine="480" w:firstLineChars="0"/>
              <w:jc w:val="both"/>
              <w:rPr>
                <w:rFonts w:hint="default" w:eastAsia="宋体"/>
                <w:b w:val="0"/>
                <w:bCs w:val="0"/>
                <w:color w:val="auto"/>
                <w:sz w:val="24"/>
                <w:szCs w:val="24"/>
                <w:highlight w:val="none"/>
                <w:lang w:val="en-US" w:eastAsia="zh-CN"/>
              </w:rPr>
            </w:pPr>
            <w:r>
              <w:rPr>
                <w:rFonts w:hint="eastAsia" w:ascii="宋体" w:hAnsi="宋体" w:eastAsia="宋体" w:cs="宋体"/>
                <w:b w:val="0"/>
                <w:bCs w:val="0"/>
                <w:sz w:val="24"/>
                <w:szCs w:val="24"/>
                <w:lang w:val="en-US" w:eastAsia="zh-CN"/>
              </w:rPr>
              <w:t>3000</w:t>
            </w:r>
          </w:p>
        </w:tc>
        <w:tc>
          <w:tcPr>
            <w:tcW w:w="1546" w:type="dxa"/>
            <w:shd w:val="clear" w:color="auto" w:fill="auto"/>
            <w:vAlign w:val="center"/>
          </w:tcPr>
          <w:p w14:paraId="2CE593D3">
            <w:pPr>
              <w:pStyle w:val="31"/>
              <w:spacing w:line="0" w:lineRule="atLeast"/>
              <w:ind w:firstLine="480" w:firstLineChars="0"/>
              <w:jc w:val="center"/>
              <w:rPr>
                <w:b w:val="0"/>
                <w:bCs w:val="0"/>
                <w:color w:val="auto"/>
                <w:sz w:val="24"/>
                <w:szCs w:val="24"/>
                <w:highlight w:val="none"/>
              </w:rPr>
            </w:pPr>
          </w:p>
        </w:tc>
        <w:tc>
          <w:tcPr>
            <w:tcW w:w="1860" w:type="dxa"/>
            <w:shd w:val="clear" w:color="auto" w:fill="auto"/>
            <w:vAlign w:val="center"/>
          </w:tcPr>
          <w:p w14:paraId="56D56B79">
            <w:pPr>
              <w:pStyle w:val="31"/>
              <w:spacing w:line="0" w:lineRule="atLeast"/>
              <w:ind w:firstLine="480" w:firstLineChars="0"/>
              <w:jc w:val="center"/>
              <w:rPr>
                <w:rFonts w:hint="eastAsia" w:ascii="宋体" w:hAnsi="宋体" w:eastAsia="宋体" w:cs="宋体"/>
                <w:b w:val="0"/>
                <w:bCs w:val="0"/>
                <w:sz w:val="24"/>
                <w:szCs w:val="24"/>
              </w:rPr>
            </w:pPr>
          </w:p>
        </w:tc>
      </w:tr>
      <w:tr w14:paraId="12B29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3" w:hRule="atLeast"/>
          <w:tblCellSpacing w:w="0" w:type="dxa"/>
        </w:trPr>
        <w:tc>
          <w:tcPr>
            <w:tcW w:w="9778" w:type="dxa"/>
            <w:gridSpan w:val="6"/>
            <w:shd w:val="clear" w:color="auto" w:fill="auto"/>
            <w:vAlign w:val="center"/>
          </w:tcPr>
          <w:p w14:paraId="57D23E3E">
            <w:pPr>
              <w:pStyle w:val="31"/>
              <w:spacing w:line="0" w:lineRule="atLeast"/>
              <w:ind w:firstLine="480" w:firstLineChars="0"/>
              <w:jc w:val="center"/>
              <w:rPr>
                <w:sz w:val="24"/>
                <w:szCs w:val="24"/>
              </w:rPr>
            </w:pPr>
            <w:r>
              <w:rPr>
                <w:rFonts w:hint="eastAsia" w:ascii="宋体" w:hAnsi="宋体" w:eastAsia="宋体" w:cs="宋体"/>
                <w:sz w:val="24"/>
                <w:szCs w:val="24"/>
              </w:rPr>
              <w:t> </w:t>
            </w:r>
          </w:p>
          <w:p w14:paraId="1F9FFA60">
            <w:pPr>
              <w:pStyle w:val="31"/>
              <w:spacing w:line="0" w:lineRule="atLeast"/>
              <w:ind w:firstLine="480" w:firstLineChars="0"/>
              <w:jc w:val="center"/>
              <w:rPr>
                <w:rFonts w:hint="eastAsia" w:ascii="宋体" w:hAnsi="宋体" w:eastAsia="宋体" w:cs="宋体"/>
                <w:sz w:val="24"/>
                <w:szCs w:val="24"/>
                <w:lang w:val="en-US" w:eastAsia="zh-CN"/>
              </w:rPr>
            </w:pPr>
          </w:p>
          <w:p w14:paraId="2BD783B3">
            <w:pPr>
              <w:pStyle w:val="31"/>
              <w:spacing w:line="0" w:lineRule="atLeast"/>
              <w:ind w:firstLine="480" w:firstLineChars="0"/>
              <w:jc w:val="center"/>
              <w:rPr>
                <w:sz w:val="24"/>
                <w:szCs w:val="24"/>
              </w:rPr>
            </w:pPr>
            <w:r>
              <w:rPr>
                <w:rFonts w:hint="eastAsia" w:ascii="宋体" w:hAnsi="宋体" w:eastAsia="宋体" w:cs="宋体"/>
                <w:sz w:val="24"/>
                <w:szCs w:val="24"/>
                <w:lang w:val="en-US" w:eastAsia="zh-CN"/>
              </w:rPr>
              <w:t>投标</w:t>
            </w:r>
            <w:r>
              <w:rPr>
                <w:rFonts w:hint="eastAsia" w:ascii="宋体" w:hAnsi="宋体" w:eastAsia="宋体" w:cs="宋体"/>
                <w:sz w:val="24"/>
                <w:szCs w:val="24"/>
              </w:rPr>
              <w:t>总</w:t>
            </w:r>
            <w:r>
              <w:rPr>
                <w:rFonts w:hint="eastAsia" w:ascii="宋体" w:hAnsi="宋体" w:eastAsia="宋体" w:cs="宋体"/>
                <w:sz w:val="24"/>
                <w:szCs w:val="24"/>
                <w:lang w:val="en-US" w:eastAsia="zh-CN"/>
              </w:rPr>
              <w:t>报</w:t>
            </w:r>
            <w:r>
              <w:rPr>
                <w:rFonts w:hint="eastAsia" w:ascii="宋体" w:hAnsi="宋体" w:eastAsia="宋体" w:cs="宋体"/>
                <w:sz w:val="24"/>
                <w:szCs w:val="24"/>
              </w:rPr>
              <w:t>价</w:t>
            </w:r>
            <w:r>
              <w:rPr>
                <w:rFonts w:hint="eastAsia" w:ascii="宋体" w:hAnsi="宋体" w:eastAsia="宋体" w:cs="宋体"/>
                <w:sz w:val="24"/>
                <w:szCs w:val="24"/>
                <w:lang w:eastAsia="zh-CN"/>
              </w:rPr>
              <w:t>：</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（人民币：</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元） </w:t>
            </w:r>
          </w:p>
          <w:p w14:paraId="291C466C">
            <w:pPr>
              <w:pStyle w:val="31"/>
              <w:spacing w:line="0" w:lineRule="atLeast"/>
              <w:ind w:firstLine="480" w:firstLineChars="0"/>
              <w:jc w:val="center"/>
              <w:rPr>
                <w:sz w:val="24"/>
                <w:szCs w:val="24"/>
              </w:rPr>
            </w:pPr>
            <w:r>
              <w:rPr>
                <w:rFonts w:hint="eastAsia" w:ascii="宋体" w:hAnsi="宋体" w:eastAsia="宋体" w:cs="宋体"/>
                <w:sz w:val="24"/>
                <w:szCs w:val="24"/>
              </w:rPr>
              <w:t> </w:t>
            </w:r>
          </w:p>
          <w:p w14:paraId="7017BB87">
            <w:pPr>
              <w:pStyle w:val="31"/>
              <w:spacing w:line="0" w:lineRule="atLeast"/>
              <w:ind w:firstLine="480" w:firstLineChars="0"/>
              <w:jc w:val="center"/>
              <w:rPr>
                <w:rFonts w:hint="eastAsia" w:ascii="宋体" w:hAnsi="宋体" w:eastAsia="宋体" w:cs="宋体"/>
                <w:sz w:val="24"/>
                <w:szCs w:val="24"/>
              </w:rPr>
            </w:pPr>
            <w:r>
              <w:rPr>
                <w:rFonts w:hint="eastAsia" w:ascii="宋体" w:hAnsi="宋体" w:eastAsia="宋体" w:cs="宋体"/>
                <w:sz w:val="24"/>
                <w:szCs w:val="24"/>
              </w:rPr>
              <w:t> </w:t>
            </w:r>
          </w:p>
        </w:tc>
      </w:tr>
    </w:tbl>
    <w:p w14:paraId="7BAD6679">
      <w:pPr>
        <w:pStyle w:val="13"/>
        <w:spacing w:beforeAutospacing="0" w:afterAutospacing="0"/>
        <w:jc w:val="both"/>
        <w:rPr>
          <w:rFonts w:hint="eastAsia" w:ascii="宋体" w:hAnsi="宋体" w:eastAsia="宋体" w:cs="宋体"/>
          <w:color w:val="auto"/>
          <w:highlight w:val="none"/>
        </w:rPr>
      </w:pPr>
    </w:p>
    <w:p w14:paraId="5A5E5D1F">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exact"/>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备注：</w:t>
      </w:r>
    </w:p>
    <w:p w14:paraId="66232E6C">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color w:val="auto"/>
          <w:highlight w:val="none"/>
          <w:shd w:val="clear" w:color="auto" w:fill="auto"/>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磋商报价采用总承包方式，</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的“分项单价和</w:t>
      </w:r>
      <w:r>
        <w:rPr>
          <w:rFonts w:hint="eastAsia" w:ascii="宋体" w:hAnsi="宋体" w:eastAsia="宋体" w:cs="宋体"/>
          <w:sz w:val="24"/>
        </w:rPr>
        <w:t>分项总价</w:t>
      </w:r>
      <w:r>
        <w:rPr>
          <w:rFonts w:hint="eastAsia" w:ascii="宋体" w:hAnsi="宋体" w:eastAsia="宋体" w:cs="宋体"/>
          <w:color w:val="auto"/>
          <w:highlight w:val="none"/>
        </w:rPr>
        <w:t>”</w:t>
      </w:r>
      <w:r>
        <w:rPr>
          <w:rFonts w:hint="eastAsia" w:ascii="宋体" w:hAnsi="宋体" w:eastAsia="宋体" w:cs="宋体"/>
          <w:sz w:val="24"/>
          <w:szCs w:val="24"/>
        </w:rPr>
        <w:t>均</w:t>
      </w:r>
      <w:r>
        <w:rPr>
          <w:rFonts w:hint="eastAsia" w:ascii="宋体" w:hAnsi="宋体" w:eastAsia="宋体" w:cs="宋体"/>
          <w:spacing w:val="10"/>
          <w:position w:val="2"/>
          <w:sz w:val="24"/>
          <w:szCs w:val="24"/>
        </w:rPr>
        <w:t>应</w:t>
      </w:r>
      <w:r>
        <w:rPr>
          <w:rFonts w:hint="eastAsia" w:ascii="宋体" w:hAnsi="宋体" w:eastAsia="宋体" w:cs="宋体"/>
          <w:color w:val="auto"/>
          <w:highlight w:val="none"/>
        </w:rPr>
        <w:t>包括采购人需求的服务（包含与服务相关的</w:t>
      </w:r>
      <w:r>
        <w:rPr>
          <w:rFonts w:hint="eastAsia" w:ascii="宋体" w:hAnsi="宋体" w:eastAsia="宋体" w:cs="宋体"/>
          <w:color w:val="auto"/>
          <w:highlight w:val="none"/>
          <w:lang w:val="en-US" w:eastAsia="zh-CN"/>
        </w:rPr>
        <w:t>货物</w:t>
      </w:r>
      <w:r>
        <w:rPr>
          <w:rFonts w:hint="eastAsia" w:ascii="宋体" w:hAnsi="宋体" w:eastAsia="宋体" w:cs="宋体"/>
          <w:color w:val="auto"/>
          <w:highlight w:val="none"/>
        </w:rPr>
        <w:t>）价格、质量保证费用、培训费用及售后服务费用，项</w:t>
      </w:r>
      <w:r>
        <w:rPr>
          <w:rFonts w:hint="eastAsia" w:ascii="宋体" w:hAnsi="宋体" w:eastAsia="宋体" w:cs="宋体"/>
          <w:color w:val="auto"/>
          <w:highlight w:val="none"/>
          <w:shd w:val="clear" w:color="auto" w:fill="auto"/>
        </w:rPr>
        <w:t>目在指定地点、环境交付</w:t>
      </w:r>
      <w:r>
        <w:rPr>
          <w:rFonts w:hint="eastAsia" w:ascii="宋体" w:hAnsi="宋体" w:eastAsia="宋体" w:cs="宋体"/>
          <w:color w:val="auto"/>
          <w:highlight w:val="none"/>
          <w:shd w:val="clear" w:color="auto" w:fill="auto"/>
          <w:lang w:eastAsia="zh-CN"/>
        </w:rPr>
        <w:t>、</w:t>
      </w:r>
      <w:r>
        <w:rPr>
          <w:rFonts w:hint="eastAsia" w:ascii="宋体" w:hAnsi="宋体" w:eastAsia="宋体" w:cs="宋体"/>
          <w:color w:val="auto"/>
          <w:highlight w:val="none"/>
          <w:shd w:val="clear" w:color="auto" w:fill="auto"/>
        </w:rPr>
        <w:t>验收所需费用和所有相关税金费用及为完成整个项目所产生的</w:t>
      </w:r>
      <w:r>
        <w:rPr>
          <w:rFonts w:hint="eastAsia" w:ascii="宋体" w:hAnsi="宋体" w:eastAsia="宋体" w:cs="宋体"/>
          <w:color w:val="auto"/>
          <w:highlight w:val="none"/>
          <w:shd w:val="clear" w:color="auto" w:fill="auto"/>
          <w:lang w:eastAsia="zh-CN"/>
        </w:rPr>
        <w:t>其他所有</w:t>
      </w:r>
      <w:r>
        <w:rPr>
          <w:rFonts w:hint="eastAsia" w:ascii="宋体" w:hAnsi="宋体" w:eastAsia="宋体" w:cs="宋体"/>
          <w:color w:val="auto"/>
          <w:highlight w:val="none"/>
          <w:shd w:val="clear" w:color="auto" w:fill="auto"/>
        </w:rPr>
        <w:t>费用。</w:t>
      </w:r>
    </w:p>
    <w:p w14:paraId="5CBF482E">
      <w:pPr>
        <w:pStyle w:val="13"/>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exact"/>
        <w:ind w:firstLine="720" w:firstLineChars="300"/>
        <w:jc w:val="both"/>
        <w:textAlignment w:val="auto"/>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rPr>
        <w:t>2.</w:t>
      </w:r>
      <w:r>
        <w:rPr>
          <w:rFonts w:ascii="Times New Roman" w:hAnsi="Times New Roman"/>
          <w:b w:val="0"/>
          <w:bCs w:val="0"/>
          <w:color w:val="auto"/>
          <w:sz w:val="21"/>
          <w:szCs w:val="21"/>
          <w:highlight w:val="none"/>
        </w:rPr>
        <w:t xml:space="preserve"> “</w:t>
      </w:r>
      <w:r>
        <w:rPr>
          <w:rFonts w:hint="eastAsia" w:ascii="宋体" w:hAnsi="宋体" w:eastAsia="宋体" w:cs="宋体"/>
          <w:b w:val="0"/>
          <w:bCs w:val="0"/>
          <w:color w:val="auto"/>
          <w:highlight w:val="none"/>
        </w:rPr>
        <w:t>分项报价表</w:t>
      </w:r>
      <w:r>
        <w:rPr>
          <w:rFonts w:ascii="Times New Roman" w:hAnsi="Times New Roman"/>
          <w:b w:val="0"/>
          <w:bCs w:val="0"/>
          <w:color w:val="auto"/>
          <w:sz w:val="21"/>
          <w:szCs w:val="21"/>
          <w:highlight w:val="none"/>
        </w:rPr>
        <w:t>”</w:t>
      </w:r>
      <w:r>
        <w:rPr>
          <w:rFonts w:hint="eastAsia" w:ascii="宋体" w:hAnsi="宋体" w:eastAsia="宋体" w:cs="宋体"/>
          <w:b w:val="0"/>
          <w:bCs w:val="0"/>
          <w:color w:val="auto"/>
          <w:highlight w:val="none"/>
          <w:shd w:val="clear" w:color="auto" w:fill="auto"/>
        </w:rPr>
        <w:t>中“</w:t>
      </w:r>
      <w:r>
        <w:rPr>
          <w:rFonts w:hint="eastAsia" w:ascii="宋体" w:hAnsi="宋体" w:eastAsia="宋体" w:cs="宋体"/>
          <w:sz w:val="24"/>
        </w:rPr>
        <w:t>投标总报价</w:t>
      </w:r>
      <w:r>
        <w:rPr>
          <w:rFonts w:hint="eastAsia" w:ascii="宋体" w:hAnsi="宋体" w:eastAsia="宋体" w:cs="宋体"/>
          <w:b w:val="0"/>
          <w:bCs w:val="0"/>
          <w:color w:val="auto"/>
          <w:highlight w:val="none"/>
          <w:shd w:val="clear" w:color="auto" w:fill="auto"/>
        </w:rPr>
        <w:t>”数额应当与“开标一览表”中“投标总</w:t>
      </w:r>
      <w:r>
        <w:rPr>
          <w:rFonts w:hint="eastAsia" w:ascii="宋体" w:hAnsi="宋体" w:eastAsia="宋体" w:cs="宋体"/>
          <w:b w:val="0"/>
          <w:bCs w:val="0"/>
          <w:color w:val="auto"/>
          <w:highlight w:val="none"/>
          <w:shd w:val="clear" w:color="auto" w:fill="auto"/>
          <w:lang w:val="en-US" w:eastAsia="zh-CN"/>
        </w:rPr>
        <w:t>报</w:t>
      </w:r>
      <w:r>
        <w:rPr>
          <w:rFonts w:hint="eastAsia" w:ascii="宋体" w:hAnsi="宋体" w:eastAsia="宋体" w:cs="宋体"/>
          <w:b w:val="0"/>
          <w:bCs w:val="0"/>
          <w:color w:val="auto"/>
          <w:highlight w:val="none"/>
          <w:shd w:val="clear" w:color="auto" w:fill="auto"/>
        </w:rPr>
        <w:t>价”数额一致。</w:t>
      </w:r>
    </w:p>
    <w:p w14:paraId="557CDBCA">
      <w:pPr>
        <w:pStyle w:val="13"/>
        <w:spacing w:beforeAutospacing="0" w:afterAutospacing="0"/>
        <w:jc w:val="both"/>
        <w:rPr>
          <w:b w:val="0"/>
          <w:bCs w:val="0"/>
          <w:color w:val="FF0000"/>
          <w:highlight w:val="none"/>
          <w:shd w:val="clear" w:color="auto" w:fill="auto"/>
        </w:rPr>
      </w:pPr>
      <w:r>
        <w:rPr>
          <w:b w:val="0"/>
          <w:bCs w:val="0"/>
          <w:color w:val="FF0000"/>
          <w:highlight w:val="none"/>
          <w:shd w:val="clear" w:color="auto" w:fill="auto"/>
        </w:rPr>
        <w:t> </w:t>
      </w:r>
    </w:p>
    <w:p w14:paraId="5C3CDF56">
      <w:pPr>
        <w:pStyle w:val="13"/>
        <w:spacing w:beforeAutospacing="0" w:afterAutospacing="0"/>
        <w:jc w:val="both"/>
        <w:rPr>
          <w:b/>
          <w:bCs/>
          <w:color w:val="FF0000"/>
          <w:highlight w:val="none"/>
        </w:rPr>
      </w:pPr>
      <w:r>
        <w:rPr>
          <w:b/>
          <w:bCs/>
          <w:color w:val="FF0000"/>
          <w:highlight w:val="none"/>
        </w:rPr>
        <w:t> </w:t>
      </w:r>
    </w:p>
    <w:p w14:paraId="5E083E08">
      <w:pPr>
        <w:pStyle w:val="13"/>
        <w:spacing w:beforeAutospacing="0" w:afterAutospacing="0"/>
        <w:jc w:val="center"/>
        <w:rPr>
          <w:rFonts w:hint="eastAsia"/>
          <w:highlight w:val="none"/>
        </w:rPr>
      </w:pPr>
      <w:r>
        <w:rPr>
          <w:rFonts w:hint="eastAsia"/>
          <w:highlight w:val="none"/>
          <w:lang w:val="en-US" w:eastAsia="zh-CN"/>
        </w:rPr>
        <w:t xml:space="preserve">                                </w:t>
      </w:r>
      <w:r>
        <w:rPr>
          <w:rFonts w:hint="eastAsia"/>
          <w:highlight w:val="none"/>
        </w:rPr>
        <w:t>供应商全称（加盖CA电子公章）：</w:t>
      </w:r>
    </w:p>
    <w:p w14:paraId="391D295D">
      <w:pPr>
        <w:pStyle w:val="13"/>
        <w:spacing w:beforeAutospacing="0" w:afterAutospacing="0"/>
        <w:jc w:val="center"/>
        <w:rPr>
          <w:highlight w:val="none"/>
        </w:rPr>
      </w:pPr>
      <w:r>
        <w:rPr>
          <w:rFonts w:hint="eastAsia"/>
          <w:highlight w:val="none"/>
          <w:lang w:val="en-US" w:eastAsia="zh-CN"/>
        </w:rPr>
        <w:t xml:space="preserve">                                                        </w:t>
      </w:r>
      <w:r>
        <w:rPr>
          <w:rFonts w:hint="eastAsia"/>
          <w:highlight w:val="none"/>
        </w:rPr>
        <w:t>日  期：</w:t>
      </w:r>
    </w:p>
    <w:p w14:paraId="1D6F1B95">
      <w:pPr>
        <w:pStyle w:val="13"/>
        <w:spacing w:beforeAutospacing="0" w:afterAutospacing="0"/>
        <w:jc w:val="both"/>
        <w:rPr>
          <w:color w:val="auto"/>
          <w:highlight w:val="none"/>
          <w:shd w:val="clear" w:color="auto" w:fill="auto"/>
        </w:rPr>
      </w:pPr>
    </w:p>
    <w:p w14:paraId="766DF30B">
      <w:pPr>
        <w:pStyle w:val="13"/>
        <w:spacing w:beforeAutospacing="0" w:afterAutospacing="0"/>
        <w:jc w:val="both"/>
        <w:rPr>
          <w:color w:val="auto"/>
          <w:highlight w:val="none"/>
        </w:rPr>
      </w:pPr>
      <w:r>
        <w:rPr>
          <w:color w:val="auto"/>
          <w:highlight w:val="none"/>
        </w:rPr>
        <w:t> </w:t>
      </w:r>
    </w:p>
    <w:p w14:paraId="0918A2FB">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r>
    </w:p>
    <w:p w14:paraId="55F1432A">
      <w:pPr>
        <w:pStyle w:val="13"/>
        <w:spacing w:beforeAutospacing="0" w:afterAutospacing="0"/>
        <w:jc w:val="center"/>
        <w:outlineLvl w:val="0"/>
        <w:rPr>
          <w:rFonts w:hint="eastAsia" w:ascii="黑体" w:hAnsi="宋体" w:eastAsia="黑体" w:cs="黑体"/>
          <w:b/>
          <w:i/>
          <w:iCs/>
          <w:color w:val="000000"/>
          <w:sz w:val="32"/>
          <w:szCs w:val="32"/>
          <w:u w:val="single"/>
        </w:rPr>
      </w:pPr>
      <w:r>
        <w:rPr>
          <w:rFonts w:hint="eastAsia" w:ascii="黑体" w:hAnsi="宋体" w:eastAsia="黑体" w:cs="黑体"/>
          <w:b/>
          <w:i/>
          <w:iCs/>
          <w:color w:val="000000"/>
          <w:sz w:val="32"/>
          <w:szCs w:val="32"/>
          <w:u w:val="single"/>
          <w:lang w:val="en-US" w:eastAsia="zh-CN"/>
        </w:rPr>
        <w:t>十二、</w:t>
      </w:r>
      <w:r>
        <w:rPr>
          <w:rFonts w:hint="eastAsia" w:ascii="黑体" w:hAnsi="宋体" w:eastAsia="黑体" w:cs="黑体"/>
          <w:b/>
          <w:i/>
          <w:iCs/>
          <w:color w:val="000000"/>
          <w:sz w:val="32"/>
          <w:szCs w:val="32"/>
          <w:u w:val="single"/>
        </w:rPr>
        <w:t>资格性审查响应对照表</w:t>
      </w:r>
    </w:p>
    <w:tbl>
      <w:tblPr>
        <w:tblStyle w:val="16"/>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320"/>
        <w:gridCol w:w="1807"/>
        <w:gridCol w:w="1785"/>
      </w:tblGrid>
      <w:tr w14:paraId="23CBA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noWrap w:val="0"/>
            <w:vAlign w:val="center"/>
          </w:tcPr>
          <w:p w14:paraId="36FE2055">
            <w:pPr>
              <w:spacing w:line="240" w:lineRule="atLeast"/>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序号</w:t>
            </w:r>
          </w:p>
        </w:tc>
        <w:tc>
          <w:tcPr>
            <w:tcW w:w="5320" w:type="dxa"/>
            <w:noWrap w:val="0"/>
            <w:vAlign w:val="center"/>
          </w:tcPr>
          <w:p w14:paraId="239F7F4B">
            <w:pPr>
              <w:spacing w:line="240" w:lineRule="atLeast"/>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资格性审查响应内容</w:t>
            </w:r>
          </w:p>
        </w:tc>
        <w:tc>
          <w:tcPr>
            <w:tcW w:w="1807" w:type="dxa"/>
            <w:noWrap w:val="0"/>
            <w:vAlign w:val="center"/>
          </w:tcPr>
          <w:p w14:paraId="35644A90">
            <w:pPr>
              <w:spacing w:line="240" w:lineRule="atLeast"/>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是否响应</w:t>
            </w:r>
          </w:p>
          <w:p w14:paraId="37BC8091">
            <w:pPr>
              <w:spacing w:line="240" w:lineRule="atLeast"/>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（填是或者否）</w:t>
            </w:r>
          </w:p>
        </w:tc>
        <w:tc>
          <w:tcPr>
            <w:tcW w:w="1785" w:type="dxa"/>
            <w:noWrap w:val="0"/>
            <w:vAlign w:val="center"/>
          </w:tcPr>
          <w:p w14:paraId="0A4BF6E8">
            <w:pPr>
              <w:spacing w:line="240" w:lineRule="atLeast"/>
              <w:jc w:val="center"/>
              <w:rPr>
                <w:rFonts w:hint="eastAsia" w:asciiTheme="minorEastAsia" w:hAnsiTheme="minorEastAsia" w:eastAsiaTheme="minorEastAsia" w:cstheme="minorEastAsia"/>
                <w:b/>
                <w:sz w:val="24"/>
                <w:szCs w:val="24"/>
              </w:rPr>
            </w:pPr>
            <w:r>
              <w:rPr>
                <w:rFonts w:hint="eastAsia" w:asciiTheme="minorEastAsia" w:hAnsiTheme="minorEastAsia" w:cstheme="minorEastAsia"/>
                <w:b/>
                <w:sz w:val="24"/>
                <w:szCs w:val="24"/>
                <w:lang w:val="en-US" w:eastAsia="zh-CN"/>
              </w:rPr>
              <w:t>响应文件</w:t>
            </w:r>
            <w:r>
              <w:rPr>
                <w:rFonts w:hint="eastAsia" w:asciiTheme="minorEastAsia" w:hAnsiTheme="minorEastAsia" w:eastAsiaTheme="minorEastAsia" w:cstheme="minorEastAsia"/>
                <w:b/>
                <w:sz w:val="24"/>
                <w:szCs w:val="24"/>
              </w:rPr>
              <w:t>中的</w:t>
            </w:r>
          </w:p>
          <w:p w14:paraId="6FA947A5">
            <w:pPr>
              <w:spacing w:line="240" w:lineRule="atLeast"/>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页码位置</w:t>
            </w:r>
          </w:p>
        </w:tc>
      </w:tr>
      <w:tr w14:paraId="57B3F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08AEB253">
            <w:pPr>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1</w:t>
            </w:r>
          </w:p>
        </w:tc>
        <w:tc>
          <w:tcPr>
            <w:tcW w:w="5320" w:type="dxa"/>
            <w:noWrap w:val="0"/>
            <w:vAlign w:val="center"/>
          </w:tcPr>
          <w:p w14:paraId="4242A281">
            <w:pPr>
              <w:jc w:val="left"/>
              <w:rPr>
                <w:rFonts w:hint="eastAsia" w:asciiTheme="minorEastAsia" w:hAnsiTheme="minorEastAsia" w:eastAsiaTheme="minorEastAsia" w:cstheme="minorEastAsia"/>
                <w:b w:val="0"/>
                <w:bCs/>
                <w:iCs/>
                <w:sz w:val="24"/>
                <w:szCs w:val="24"/>
              </w:rPr>
            </w:pPr>
            <w:r>
              <w:rPr>
                <w:rFonts w:hint="eastAsia" w:asciiTheme="minorEastAsia" w:hAnsiTheme="minorEastAsia" w:eastAsiaTheme="minorEastAsia" w:cstheme="minorEastAsia"/>
                <w:b w:val="0"/>
                <w:bCs/>
                <w:i w:val="0"/>
                <w:iCs/>
                <w:color w:val="000000"/>
                <w:sz w:val="24"/>
                <w:szCs w:val="24"/>
                <w:highlight w:val="none"/>
                <w:u w:val="none"/>
              </w:rPr>
              <w:t>法人或者其他组织的营业执照等证明文件，自然人的身份证明</w:t>
            </w:r>
            <w:r>
              <w:rPr>
                <w:rFonts w:hint="eastAsia" w:asciiTheme="minorEastAsia" w:hAnsiTheme="minorEastAsia" w:eastAsiaTheme="minorEastAsia" w:cstheme="minorEastAsia"/>
                <w:b w:val="0"/>
                <w:bCs/>
                <w:i w:val="0"/>
                <w:iCs/>
                <w:color w:val="000000"/>
                <w:sz w:val="24"/>
                <w:szCs w:val="24"/>
                <w:highlight w:val="none"/>
                <w:u w:val="none"/>
                <w:lang w:eastAsia="zh-CN"/>
              </w:rPr>
              <w:t>；</w:t>
            </w:r>
          </w:p>
        </w:tc>
        <w:tc>
          <w:tcPr>
            <w:tcW w:w="1807" w:type="dxa"/>
            <w:noWrap w:val="0"/>
            <w:vAlign w:val="center"/>
          </w:tcPr>
          <w:p w14:paraId="48BD0B36">
            <w:pPr>
              <w:rPr>
                <w:rFonts w:hint="eastAsia" w:asciiTheme="minorEastAsia" w:hAnsiTheme="minorEastAsia" w:eastAsiaTheme="minorEastAsia" w:cstheme="minorEastAsia"/>
                <w:b/>
                <w:sz w:val="24"/>
                <w:szCs w:val="24"/>
              </w:rPr>
            </w:pPr>
          </w:p>
        </w:tc>
        <w:tc>
          <w:tcPr>
            <w:tcW w:w="1785" w:type="dxa"/>
            <w:noWrap w:val="0"/>
            <w:vAlign w:val="center"/>
          </w:tcPr>
          <w:p w14:paraId="15D1B351">
            <w:pPr>
              <w:rPr>
                <w:rFonts w:hint="eastAsia" w:asciiTheme="minorEastAsia" w:hAnsiTheme="minorEastAsia" w:eastAsiaTheme="minorEastAsia" w:cstheme="minorEastAsia"/>
                <w:b/>
                <w:sz w:val="24"/>
                <w:szCs w:val="24"/>
              </w:rPr>
            </w:pPr>
          </w:p>
        </w:tc>
      </w:tr>
      <w:tr w14:paraId="11496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6C24FF42">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5320" w:type="dxa"/>
            <w:noWrap w:val="0"/>
            <w:vAlign w:val="center"/>
          </w:tcPr>
          <w:p w14:paraId="18427094">
            <w:pPr>
              <w:jc w:val="left"/>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i w:val="0"/>
                <w:iCs/>
                <w:color w:val="000000"/>
                <w:kern w:val="0"/>
                <w:sz w:val="24"/>
                <w:szCs w:val="24"/>
                <w:highlight w:val="none"/>
                <w:u w:val="none"/>
                <w:lang w:val="en-US" w:eastAsia="zh-CN" w:bidi="ar-SA"/>
              </w:rPr>
              <w:t>上一年度的财务状况报表（至少提供资产负债表、利润表、现金流量表，投标人成立不满一年无需提供）</w:t>
            </w:r>
            <w:r>
              <w:rPr>
                <w:rFonts w:hint="eastAsia" w:asciiTheme="minorEastAsia" w:hAnsiTheme="minorEastAsia" w:cstheme="minorEastAsia"/>
                <w:i w:val="0"/>
                <w:iCs/>
                <w:color w:val="000000"/>
                <w:kern w:val="0"/>
                <w:sz w:val="24"/>
                <w:szCs w:val="24"/>
                <w:highlight w:val="none"/>
                <w:u w:val="none"/>
                <w:lang w:val="en-US" w:eastAsia="zh-CN" w:bidi="ar-SA"/>
              </w:rPr>
              <w:t>；</w:t>
            </w:r>
          </w:p>
        </w:tc>
        <w:tc>
          <w:tcPr>
            <w:tcW w:w="1807" w:type="dxa"/>
            <w:noWrap w:val="0"/>
            <w:vAlign w:val="center"/>
          </w:tcPr>
          <w:p w14:paraId="2953BB47">
            <w:pPr>
              <w:rPr>
                <w:rFonts w:hint="eastAsia" w:asciiTheme="minorEastAsia" w:hAnsiTheme="minorEastAsia" w:eastAsiaTheme="minorEastAsia" w:cstheme="minorEastAsia"/>
                <w:sz w:val="24"/>
                <w:szCs w:val="24"/>
              </w:rPr>
            </w:pPr>
          </w:p>
        </w:tc>
        <w:tc>
          <w:tcPr>
            <w:tcW w:w="1785" w:type="dxa"/>
            <w:noWrap w:val="0"/>
            <w:vAlign w:val="center"/>
          </w:tcPr>
          <w:p w14:paraId="2DBE0CC3">
            <w:pPr>
              <w:rPr>
                <w:rFonts w:hint="eastAsia" w:asciiTheme="minorEastAsia" w:hAnsiTheme="minorEastAsia" w:eastAsiaTheme="minorEastAsia" w:cstheme="minorEastAsia"/>
                <w:sz w:val="24"/>
                <w:szCs w:val="24"/>
              </w:rPr>
            </w:pPr>
          </w:p>
        </w:tc>
      </w:tr>
      <w:tr w14:paraId="2C14A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16E7AFC8">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5320" w:type="dxa"/>
            <w:noWrap w:val="0"/>
            <w:vAlign w:val="center"/>
          </w:tcPr>
          <w:p w14:paraId="51D6D606">
            <w:pPr>
              <w:jc w:val="left"/>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i w:val="0"/>
                <w:iCs/>
                <w:color w:val="auto"/>
                <w:sz w:val="24"/>
                <w:szCs w:val="24"/>
                <w:highlight w:val="none"/>
                <w:u w:val="none"/>
              </w:rPr>
              <w:t>具备履行合同所必需的设备和专业技术能力的书面声明</w:t>
            </w:r>
            <w:r>
              <w:rPr>
                <w:rFonts w:hint="eastAsia" w:asciiTheme="minorEastAsia" w:hAnsiTheme="minorEastAsia" w:cstheme="minorEastAsia"/>
                <w:i w:val="0"/>
                <w:iCs/>
                <w:color w:val="auto"/>
                <w:sz w:val="24"/>
                <w:szCs w:val="24"/>
                <w:highlight w:val="none"/>
                <w:u w:val="none"/>
                <w:lang w:eastAsia="zh-CN"/>
              </w:rPr>
              <w:t>；</w:t>
            </w:r>
          </w:p>
        </w:tc>
        <w:tc>
          <w:tcPr>
            <w:tcW w:w="1807" w:type="dxa"/>
            <w:noWrap w:val="0"/>
            <w:vAlign w:val="center"/>
          </w:tcPr>
          <w:p w14:paraId="7E7E4FE5">
            <w:pPr>
              <w:rPr>
                <w:rFonts w:hint="eastAsia" w:asciiTheme="minorEastAsia" w:hAnsiTheme="minorEastAsia" w:eastAsiaTheme="minorEastAsia" w:cstheme="minorEastAsia"/>
                <w:sz w:val="24"/>
                <w:szCs w:val="24"/>
              </w:rPr>
            </w:pPr>
          </w:p>
        </w:tc>
        <w:tc>
          <w:tcPr>
            <w:tcW w:w="1785" w:type="dxa"/>
            <w:noWrap w:val="0"/>
            <w:vAlign w:val="center"/>
          </w:tcPr>
          <w:p w14:paraId="694CBE56">
            <w:pPr>
              <w:rPr>
                <w:rFonts w:hint="eastAsia" w:asciiTheme="minorEastAsia" w:hAnsiTheme="minorEastAsia" w:eastAsiaTheme="minorEastAsia" w:cstheme="minorEastAsia"/>
                <w:sz w:val="24"/>
                <w:szCs w:val="24"/>
              </w:rPr>
            </w:pPr>
          </w:p>
        </w:tc>
      </w:tr>
      <w:tr w14:paraId="7D566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646" w:type="dxa"/>
            <w:noWrap w:val="0"/>
            <w:vAlign w:val="center"/>
          </w:tcPr>
          <w:p w14:paraId="609DE6DD">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5320" w:type="dxa"/>
            <w:noWrap w:val="0"/>
            <w:vAlign w:val="center"/>
          </w:tcPr>
          <w:p w14:paraId="796AD735">
            <w:pPr>
              <w:jc w:val="left"/>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i w:val="0"/>
                <w:iCs/>
                <w:color w:val="000000"/>
                <w:sz w:val="24"/>
                <w:szCs w:val="24"/>
                <w:highlight w:val="none"/>
                <w:u w:val="none"/>
              </w:rPr>
              <w:t>依法缴纳税收和社会保障资金的相关材料（</w:t>
            </w:r>
            <w:r>
              <w:rPr>
                <w:rFonts w:hint="eastAsia" w:asciiTheme="minorEastAsia" w:hAnsiTheme="minorEastAsia" w:eastAsiaTheme="minorEastAsia" w:cstheme="minorEastAsia"/>
                <w:i w:val="0"/>
                <w:iCs/>
                <w:color w:val="auto"/>
                <w:sz w:val="24"/>
                <w:szCs w:val="24"/>
                <w:highlight w:val="none"/>
                <w:u w:val="none"/>
              </w:rPr>
              <w:t>提供提交磋商响应文件截止时间前一年内至少一个月依法缴纳税收及缴纳社会保障资金的证明材料。磋商供应商依法享受缓缴、免缴税收、社会保障资金的提供证明材料。</w:t>
            </w:r>
            <w:r>
              <w:rPr>
                <w:rFonts w:hint="eastAsia" w:asciiTheme="minorEastAsia" w:hAnsiTheme="minorEastAsia" w:eastAsiaTheme="minorEastAsia" w:cstheme="minorEastAsia"/>
                <w:i w:val="0"/>
                <w:iCs/>
                <w:color w:val="000000"/>
                <w:sz w:val="24"/>
                <w:szCs w:val="24"/>
                <w:highlight w:val="none"/>
                <w:u w:val="none"/>
              </w:rPr>
              <w:t>）</w:t>
            </w:r>
            <w:r>
              <w:rPr>
                <w:rFonts w:hint="eastAsia" w:asciiTheme="minorEastAsia" w:hAnsiTheme="minorEastAsia" w:eastAsiaTheme="minorEastAsia" w:cstheme="minorEastAsia"/>
                <w:i w:val="0"/>
                <w:iCs/>
                <w:color w:val="000000"/>
                <w:sz w:val="24"/>
                <w:szCs w:val="24"/>
                <w:highlight w:val="none"/>
                <w:u w:val="none"/>
                <w:lang w:eastAsia="zh-CN"/>
              </w:rPr>
              <w:t>；</w:t>
            </w:r>
          </w:p>
        </w:tc>
        <w:tc>
          <w:tcPr>
            <w:tcW w:w="1807" w:type="dxa"/>
            <w:noWrap w:val="0"/>
            <w:vAlign w:val="center"/>
          </w:tcPr>
          <w:p w14:paraId="7F0CC483">
            <w:pPr>
              <w:rPr>
                <w:rFonts w:hint="eastAsia" w:asciiTheme="minorEastAsia" w:hAnsiTheme="minorEastAsia" w:eastAsiaTheme="minorEastAsia" w:cstheme="minorEastAsia"/>
                <w:sz w:val="24"/>
                <w:szCs w:val="24"/>
              </w:rPr>
            </w:pPr>
          </w:p>
        </w:tc>
        <w:tc>
          <w:tcPr>
            <w:tcW w:w="1785" w:type="dxa"/>
            <w:noWrap w:val="0"/>
            <w:vAlign w:val="center"/>
          </w:tcPr>
          <w:p w14:paraId="34B47AAF">
            <w:pPr>
              <w:rPr>
                <w:rFonts w:hint="eastAsia" w:asciiTheme="minorEastAsia" w:hAnsiTheme="minorEastAsia" w:eastAsiaTheme="minorEastAsia" w:cstheme="minorEastAsia"/>
                <w:sz w:val="24"/>
                <w:szCs w:val="24"/>
              </w:rPr>
            </w:pPr>
          </w:p>
        </w:tc>
      </w:tr>
      <w:tr w14:paraId="03B51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646" w:type="dxa"/>
            <w:noWrap w:val="0"/>
            <w:vAlign w:val="center"/>
          </w:tcPr>
          <w:p w14:paraId="552A5D69">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5320" w:type="dxa"/>
            <w:noWrap w:val="0"/>
            <w:vAlign w:val="center"/>
          </w:tcPr>
          <w:p w14:paraId="1959BD4E">
            <w:pPr>
              <w:jc w:val="left"/>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i w:val="0"/>
                <w:iCs/>
                <w:color w:val="000000"/>
                <w:sz w:val="24"/>
                <w:szCs w:val="24"/>
                <w:highlight w:val="none"/>
                <w:u w:val="none"/>
              </w:rPr>
              <w:t>参加政府采购活动前 3 年内在经营活动中没有重大违法记录的书面声明</w:t>
            </w:r>
            <w:r>
              <w:rPr>
                <w:rFonts w:hint="eastAsia" w:asciiTheme="minorEastAsia" w:hAnsiTheme="minorEastAsia" w:eastAsiaTheme="minorEastAsia" w:cstheme="minorEastAsia"/>
                <w:i w:val="0"/>
                <w:iCs/>
                <w:color w:val="000000"/>
                <w:sz w:val="24"/>
                <w:szCs w:val="24"/>
                <w:highlight w:val="none"/>
                <w:u w:val="none"/>
                <w:lang w:eastAsia="zh-CN"/>
              </w:rPr>
              <w:t>；</w:t>
            </w:r>
          </w:p>
        </w:tc>
        <w:tc>
          <w:tcPr>
            <w:tcW w:w="1807" w:type="dxa"/>
            <w:noWrap w:val="0"/>
            <w:vAlign w:val="center"/>
          </w:tcPr>
          <w:p w14:paraId="762E8E31">
            <w:pPr>
              <w:rPr>
                <w:rFonts w:hint="eastAsia" w:asciiTheme="minorEastAsia" w:hAnsiTheme="minorEastAsia" w:eastAsiaTheme="minorEastAsia" w:cstheme="minorEastAsia"/>
                <w:sz w:val="24"/>
                <w:szCs w:val="24"/>
              </w:rPr>
            </w:pPr>
          </w:p>
        </w:tc>
        <w:tc>
          <w:tcPr>
            <w:tcW w:w="1785" w:type="dxa"/>
            <w:noWrap w:val="0"/>
            <w:vAlign w:val="center"/>
          </w:tcPr>
          <w:p w14:paraId="49575EE4">
            <w:pPr>
              <w:rPr>
                <w:rFonts w:hint="eastAsia" w:asciiTheme="minorEastAsia" w:hAnsiTheme="minorEastAsia" w:eastAsiaTheme="minorEastAsia" w:cstheme="minorEastAsia"/>
                <w:sz w:val="24"/>
                <w:szCs w:val="24"/>
              </w:rPr>
            </w:pPr>
          </w:p>
        </w:tc>
      </w:tr>
      <w:tr w14:paraId="2BF0A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646" w:type="dxa"/>
            <w:noWrap w:val="0"/>
            <w:vAlign w:val="center"/>
          </w:tcPr>
          <w:p w14:paraId="28435D25">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w:t>
            </w:r>
          </w:p>
        </w:tc>
        <w:tc>
          <w:tcPr>
            <w:tcW w:w="5320" w:type="dxa"/>
            <w:noWrap w:val="0"/>
            <w:vAlign w:val="center"/>
          </w:tcPr>
          <w:p w14:paraId="0AA0AB72">
            <w:pPr>
              <w:jc w:val="left"/>
              <w:rPr>
                <w:rFonts w:hint="eastAsia" w:asciiTheme="minorEastAsia" w:hAnsiTheme="minorEastAsia" w:eastAsiaTheme="minorEastAsia" w:cstheme="minorEastAsia"/>
                <w:iCs/>
                <w:sz w:val="24"/>
                <w:szCs w:val="24"/>
              </w:rPr>
            </w:pPr>
            <w:r>
              <w:rPr>
                <w:rFonts w:hint="eastAsia" w:asciiTheme="minorEastAsia" w:hAnsiTheme="minorEastAsia" w:cstheme="minorEastAsia"/>
                <w:i w:val="0"/>
                <w:iCs/>
                <w:color w:val="000000"/>
                <w:sz w:val="24"/>
                <w:szCs w:val="24"/>
                <w:highlight w:val="none"/>
                <w:u w:val="none"/>
                <w:lang w:eastAsia="zh-CN"/>
              </w:rPr>
              <w:t>供应商</w:t>
            </w:r>
            <w:r>
              <w:rPr>
                <w:rFonts w:hint="eastAsia" w:asciiTheme="minorEastAsia" w:hAnsiTheme="minorEastAsia" w:eastAsiaTheme="minorEastAsia" w:cstheme="minorEastAsia"/>
                <w:i w:val="0"/>
                <w:iCs/>
                <w:color w:val="000000"/>
                <w:sz w:val="24"/>
                <w:szCs w:val="24"/>
                <w:highlight w:val="none"/>
                <w:u w:val="none"/>
              </w:rPr>
              <w:t>须具有有效期内的测绘乙级及以上资质（专业范围必须包括测绘航空摄影和工程测量）。</w:t>
            </w:r>
          </w:p>
        </w:tc>
        <w:tc>
          <w:tcPr>
            <w:tcW w:w="1807" w:type="dxa"/>
            <w:noWrap w:val="0"/>
            <w:vAlign w:val="center"/>
          </w:tcPr>
          <w:p w14:paraId="26E79327">
            <w:pPr>
              <w:rPr>
                <w:rFonts w:hint="eastAsia" w:asciiTheme="minorEastAsia" w:hAnsiTheme="minorEastAsia" w:eastAsiaTheme="minorEastAsia" w:cstheme="minorEastAsia"/>
                <w:sz w:val="24"/>
                <w:szCs w:val="24"/>
              </w:rPr>
            </w:pPr>
          </w:p>
        </w:tc>
        <w:tc>
          <w:tcPr>
            <w:tcW w:w="1785" w:type="dxa"/>
            <w:noWrap w:val="0"/>
            <w:vAlign w:val="center"/>
          </w:tcPr>
          <w:p w14:paraId="1E1ECD3A">
            <w:pPr>
              <w:rPr>
                <w:rFonts w:hint="eastAsia" w:asciiTheme="minorEastAsia" w:hAnsiTheme="minorEastAsia" w:eastAsiaTheme="minorEastAsia" w:cstheme="minorEastAsia"/>
                <w:sz w:val="24"/>
                <w:szCs w:val="24"/>
              </w:rPr>
            </w:pPr>
          </w:p>
        </w:tc>
      </w:tr>
      <w:tr w14:paraId="3E0D2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646" w:type="dxa"/>
            <w:noWrap w:val="0"/>
            <w:vAlign w:val="center"/>
          </w:tcPr>
          <w:p w14:paraId="499A5974">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w:t>
            </w:r>
          </w:p>
        </w:tc>
        <w:tc>
          <w:tcPr>
            <w:tcW w:w="5320" w:type="dxa"/>
            <w:noWrap w:val="0"/>
            <w:vAlign w:val="center"/>
          </w:tcPr>
          <w:p w14:paraId="0B5FEE20">
            <w:pPr>
              <w:jc w:val="left"/>
              <w:rPr>
                <w:rFonts w:hint="default" w:asciiTheme="minorEastAsia" w:hAnsiTheme="minorEastAsia" w:eastAsiaTheme="minorEastAsia" w:cstheme="minorEastAsia"/>
                <w:iCs/>
                <w:sz w:val="24"/>
                <w:szCs w:val="24"/>
                <w:lang w:val="en-US" w:eastAsia="zh-CN"/>
              </w:rPr>
            </w:pPr>
            <w:r>
              <w:rPr>
                <w:rFonts w:hint="eastAsia" w:asciiTheme="minorEastAsia" w:hAnsiTheme="minorEastAsia" w:cstheme="minorEastAsia"/>
                <w:iCs/>
                <w:sz w:val="24"/>
                <w:szCs w:val="24"/>
                <w:lang w:val="en-US" w:eastAsia="zh-CN"/>
              </w:rPr>
              <w:t>中小企业声明函</w:t>
            </w:r>
          </w:p>
        </w:tc>
        <w:tc>
          <w:tcPr>
            <w:tcW w:w="1807" w:type="dxa"/>
            <w:noWrap w:val="0"/>
            <w:vAlign w:val="center"/>
          </w:tcPr>
          <w:p w14:paraId="659CF2DC">
            <w:pPr>
              <w:rPr>
                <w:rFonts w:hint="eastAsia" w:asciiTheme="minorEastAsia" w:hAnsiTheme="minorEastAsia" w:eastAsiaTheme="minorEastAsia" w:cstheme="minorEastAsia"/>
                <w:sz w:val="24"/>
                <w:szCs w:val="24"/>
              </w:rPr>
            </w:pPr>
          </w:p>
        </w:tc>
        <w:tc>
          <w:tcPr>
            <w:tcW w:w="1785" w:type="dxa"/>
            <w:noWrap w:val="0"/>
            <w:vAlign w:val="center"/>
          </w:tcPr>
          <w:p w14:paraId="5FBB78A7">
            <w:pPr>
              <w:rPr>
                <w:rFonts w:hint="eastAsia" w:asciiTheme="minorEastAsia" w:hAnsiTheme="minorEastAsia" w:eastAsiaTheme="minorEastAsia" w:cstheme="minorEastAsia"/>
                <w:sz w:val="24"/>
                <w:szCs w:val="24"/>
              </w:rPr>
            </w:pPr>
          </w:p>
        </w:tc>
      </w:tr>
      <w:tr w14:paraId="64629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646" w:type="dxa"/>
            <w:noWrap w:val="0"/>
            <w:vAlign w:val="center"/>
          </w:tcPr>
          <w:p w14:paraId="28D31E40">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8</w:t>
            </w:r>
          </w:p>
        </w:tc>
        <w:tc>
          <w:tcPr>
            <w:tcW w:w="5320" w:type="dxa"/>
            <w:noWrap w:val="0"/>
            <w:vAlign w:val="center"/>
          </w:tcPr>
          <w:p w14:paraId="6A29DB20">
            <w:pPr>
              <w:jc w:val="left"/>
              <w:rPr>
                <w:rFonts w:hint="default" w:asciiTheme="minorEastAsia" w:hAnsiTheme="minorEastAsia" w:cstheme="minorEastAsia"/>
                <w:iCs/>
                <w:sz w:val="24"/>
                <w:szCs w:val="24"/>
                <w:lang w:val="en-US" w:eastAsia="zh-CN"/>
              </w:rPr>
            </w:pPr>
            <w:r>
              <w:rPr>
                <w:rFonts w:hint="eastAsia" w:asciiTheme="minorEastAsia" w:hAnsiTheme="minorEastAsia" w:cstheme="minorEastAsia"/>
                <w:iCs/>
                <w:sz w:val="24"/>
                <w:szCs w:val="24"/>
                <w:lang w:val="en-US" w:eastAsia="zh-CN"/>
              </w:rPr>
              <w:t>......</w:t>
            </w:r>
          </w:p>
        </w:tc>
        <w:tc>
          <w:tcPr>
            <w:tcW w:w="1807" w:type="dxa"/>
            <w:noWrap w:val="0"/>
            <w:vAlign w:val="center"/>
          </w:tcPr>
          <w:p w14:paraId="4D3852A7">
            <w:pPr>
              <w:rPr>
                <w:rFonts w:hint="eastAsia" w:asciiTheme="minorEastAsia" w:hAnsiTheme="minorEastAsia" w:eastAsiaTheme="minorEastAsia" w:cstheme="minorEastAsia"/>
                <w:sz w:val="24"/>
                <w:szCs w:val="24"/>
              </w:rPr>
            </w:pPr>
          </w:p>
        </w:tc>
        <w:tc>
          <w:tcPr>
            <w:tcW w:w="1785" w:type="dxa"/>
            <w:noWrap w:val="0"/>
            <w:vAlign w:val="center"/>
          </w:tcPr>
          <w:p w14:paraId="3F607E2B">
            <w:pPr>
              <w:rPr>
                <w:rFonts w:hint="eastAsia" w:asciiTheme="minorEastAsia" w:hAnsiTheme="minorEastAsia" w:eastAsiaTheme="minorEastAsia" w:cstheme="minorEastAsia"/>
                <w:sz w:val="24"/>
                <w:szCs w:val="24"/>
              </w:rPr>
            </w:pPr>
          </w:p>
        </w:tc>
      </w:tr>
    </w:tbl>
    <w:p w14:paraId="1DEB26D6">
      <w:pPr>
        <w:ind w:firstLine="210"/>
        <w:rPr>
          <w:rFonts w:cs="宋体"/>
          <w:szCs w:val="28"/>
          <w:lang w:val="zh-CN"/>
        </w:rPr>
      </w:pPr>
    </w:p>
    <w:p w14:paraId="3ED85D6C">
      <w:pPr>
        <w:rPr>
          <w:rFonts w:hAnsi="宋体" w:eastAsia="宋体" w:cs="宋体"/>
          <w:iCs/>
          <w:sz w:val="24"/>
          <w:szCs w:val="24"/>
          <w:lang w:val="zh-CN"/>
        </w:rPr>
      </w:pPr>
      <w:r>
        <w:rPr>
          <w:rFonts w:hint="eastAsia" w:hAnsi="宋体" w:eastAsia="宋体" w:cs="宋体"/>
          <w:iCs/>
          <w:sz w:val="24"/>
          <w:szCs w:val="24"/>
          <w:lang w:val="zh-CN"/>
        </w:rPr>
        <w:t>注：本表须明确填写并按</w:t>
      </w:r>
      <w:r>
        <w:rPr>
          <w:rFonts w:hint="eastAsia" w:hAnsi="宋体" w:eastAsia="宋体" w:cs="宋体"/>
          <w:iCs/>
          <w:sz w:val="24"/>
          <w:szCs w:val="24"/>
          <w:lang w:val="en-US" w:eastAsia="zh-CN"/>
        </w:rPr>
        <w:t>磋商</w:t>
      </w:r>
      <w:r>
        <w:rPr>
          <w:rFonts w:hint="eastAsia" w:hAnsi="宋体" w:eastAsia="宋体" w:cs="宋体"/>
          <w:iCs/>
          <w:sz w:val="24"/>
          <w:szCs w:val="24"/>
          <w:lang w:val="zh-CN"/>
        </w:rPr>
        <w:t>文件要求提供材料，否则资格性检查无法通过。</w:t>
      </w:r>
    </w:p>
    <w:p w14:paraId="4406C43B">
      <w:pPr>
        <w:spacing w:line="560" w:lineRule="exact"/>
        <w:ind w:firstLine="3780"/>
        <w:rPr>
          <w:rFonts w:hAnsi="宋体"/>
          <w:bCs/>
          <w:szCs w:val="28"/>
        </w:rPr>
      </w:pPr>
    </w:p>
    <w:p w14:paraId="4BB7C68D">
      <w:pPr>
        <w:pStyle w:val="13"/>
        <w:tabs>
          <w:tab w:val="left" w:pos="4864"/>
        </w:tabs>
        <w:spacing w:line="0" w:lineRule="atLeast"/>
        <w:ind w:right="1560" w:firstLine="624"/>
        <w:jc w:val="right"/>
        <w:rPr>
          <w:rFonts w:ascii="宋体" w:hAnsi="宋体" w:eastAsia="宋体" w:cs="宋体"/>
          <w:color w:val="000000"/>
        </w:rPr>
      </w:pPr>
    </w:p>
    <w:p w14:paraId="5280E099">
      <w:pPr>
        <w:pStyle w:val="13"/>
        <w:tabs>
          <w:tab w:val="left" w:pos="4864"/>
        </w:tabs>
        <w:spacing w:line="0" w:lineRule="atLeast"/>
        <w:ind w:right="1560" w:firstLine="624"/>
        <w:jc w:val="right"/>
      </w:pPr>
      <w:r>
        <w:rPr>
          <w:rFonts w:hint="eastAsia" w:ascii="宋体" w:hAnsi="宋体" w:eastAsia="宋体" w:cs="宋体"/>
          <w:color w:val="000000"/>
        </w:rPr>
        <w:t xml:space="preserve"> </w:t>
      </w:r>
      <w:r>
        <w:rPr>
          <w:rFonts w:hint="eastAsia" w:ascii="宋体" w:hAnsi="宋体" w:eastAsia="宋体" w:cs="宋体"/>
          <w:color w:val="000000"/>
          <w:lang w:val="en-US" w:eastAsia="zh-CN"/>
        </w:rPr>
        <w:t>供应商</w:t>
      </w:r>
      <w:r>
        <w:rPr>
          <w:rFonts w:hint="eastAsia" w:ascii="宋体" w:hAnsi="宋体" w:eastAsia="宋体" w:cs="宋体"/>
          <w:color w:val="000000"/>
        </w:rPr>
        <w:t>全称（加盖CA电子公章）：</w:t>
      </w:r>
    </w:p>
    <w:p w14:paraId="7A3848CA">
      <w:pPr>
        <w:pStyle w:val="13"/>
        <w:tabs>
          <w:tab w:val="left" w:pos="4864"/>
        </w:tabs>
        <w:spacing w:line="0" w:lineRule="atLeast"/>
        <w:ind w:right="1560"/>
        <w:rPr>
          <w:rFonts w:ascii="宋体" w:hAnsi="宋体" w:eastAsia="宋体" w:cs="宋体"/>
          <w:color w:val="000000"/>
        </w:rPr>
      </w:pPr>
    </w:p>
    <w:p w14:paraId="057A06BD">
      <w:pPr>
        <w:pStyle w:val="13"/>
        <w:tabs>
          <w:tab w:val="left" w:pos="4864"/>
        </w:tabs>
        <w:spacing w:line="0" w:lineRule="atLeast"/>
        <w:ind w:right="1560" w:firstLine="480"/>
        <w:jc w:val="right"/>
        <w:rPr>
          <w:rFonts w:ascii="宋体" w:hAnsi="宋体" w:eastAsia="宋体" w:cs="宋体"/>
          <w:color w:val="000000"/>
          <w:sz w:val="30"/>
          <w:szCs w:val="30"/>
        </w:rPr>
      </w:pPr>
      <w:r>
        <w:rPr>
          <w:rFonts w:hint="eastAsia" w:ascii="宋体" w:hAnsi="宋体" w:eastAsia="宋体" w:cs="宋体"/>
          <w:color w:val="000000"/>
        </w:rPr>
        <w:t>        日  期：</w:t>
      </w:r>
    </w:p>
    <w:p w14:paraId="4017D545">
      <w:pPr>
        <w:pStyle w:val="13"/>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1932B2C9">
      <w:pPr>
        <w:pStyle w:val="13"/>
        <w:spacing w:beforeAutospacing="0" w:afterAutospacing="0"/>
        <w:jc w:val="center"/>
        <w:rPr>
          <w:color w:val="auto"/>
          <w:highlight w:val="none"/>
        </w:rPr>
      </w:pPr>
      <w:r>
        <w:rPr>
          <w:color w:val="auto"/>
          <w:highlight w:val="none"/>
        </w:rPr>
        <w:t> </w:t>
      </w:r>
    </w:p>
    <w:p w14:paraId="728B1623">
      <w:pPr>
        <w:pStyle w:val="13"/>
        <w:spacing w:beforeAutospacing="0" w:afterAutospacing="0"/>
        <w:jc w:val="center"/>
        <w:rPr>
          <w:color w:val="auto"/>
          <w:highlight w:val="none"/>
        </w:rPr>
      </w:pPr>
      <w:r>
        <w:rPr>
          <w:color w:val="auto"/>
          <w:highlight w:val="none"/>
        </w:rPr>
        <w:t> </w:t>
      </w:r>
    </w:p>
    <w:p w14:paraId="39FFD35A">
      <w:pPr>
        <w:pStyle w:val="13"/>
        <w:spacing w:beforeAutospacing="0" w:afterAutospacing="0"/>
        <w:jc w:val="center"/>
        <w:rPr>
          <w:color w:val="auto"/>
          <w:highlight w:val="none"/>
        </w:rPr>
      </w:pPr>
      <w:r>
        <w:rPr>
          <w:color w:val="auto"/>
          <w:highlight w:val="none"/>
        </w:rPr>
        <w:t> </w:t>
      </w:r>
    </w:p>
    <w:p w14:paraId="195C3A87">
      <w:pPr>
        <w:pStyle w:val="13"/>
        <w:spacing w:beforeAutospacing="0" w:afterAutospacing="0"/>
        <w:jc w:val="center"/>
        <w:rPr>
          <w:color w:val="auto"/>
          <w:highlight w:val="none"/>
        </w:rPr>
      </w:pPr>
      <w:r>
        <w:rPr>
          <w:color w:val="auto"/>
          <w:highlight w:val="none"/>
        </w:rPr>
        <w:t> </w:t>
      </w:r>
    </w:p>
    <w:p w14:paraId="5A3F37A3">
      <w:pPr>
        <w:pStyle w:val="13"/>
        <w:spacing w:beforeAutospacing="0" w:afterAutospacing="0"/>
        <w:jc w:val="both"/>
        <w:rPr>
          <w:color w:val="auto"/>
          <w:highlight w:val="none"/>
        </w:rPr>
      </w:pPr>
      <w:r>
        <w:rPr>
          <w:color w:val="auto"/>
          <w:highlight w:val="none"/>
        </w:rPr>
        <w:t> </w:t>
      </w:r>
    </w:p>
    <w:p w14:paraId="07EF449B">
      <w:pPr>
        <w:pStyle w:val="13"/>
        <w:spacing w:beforeAutospacing="0" w:afterAutospacing="0"/>
        <w:jc w:val="both"/>
        <w:rPr>
          <w:color w:val="auto"/>
          <w:highlight w:val="none"/>
        </w:rPr>
      </w:pPr>
      <w:r>
        <w:rPr>
          <w:color w:val="auto"/>
          <w:highlight w:val="none"/>
        </w:rPr>
        <w:t> </w:t>
      </w:r>
    </w:p>
    <w:p w14:paraId="2D66A686">
      <w:pPr>
        <w:pStyle w:val="13"/>
        <w:spacing w:beforeAutospacing="0" w:afterAutospacing="0"/>
        <w:jc w:val="both"/>
        <w:rPr>
          <w:color w:val="auto"/>
          <w:highlight w:val="none"/>
        </w:rPr>
      </w:pPr>
      <w:r>
        <w:rPr>
          <w:color w:val="auto"/>
          <w:highlight w:val="none"/>
        </w:rPr>
        <w:t> </w:t>
      </w:r>
    </w:p>
    <w:p w14:paraId="79A93E91">
      <w:pPr>
        <w:pStyle w:val="3"/>
        <w:numPr>
          <w:ilvl w:val="1"/>
          <w:numId w:val="0"/>
        </w:numPr>
        <w:tabs>
          <w:tab w:val="left" w:pos="851"/>
        </w:tabs>
        <w:ind w:left="0" w:leftChars="0" w:firstLine="0" w:firstLineChars="0"/>
        <w:jc w:val="center"/>
        <w:outlineLvl w:val="0"/>
      </w:pPr>
      <w:r>
        <w:rPr>
          <w:color w:val="auto"/>
          <w:highlight w:val="none"/>
        </w:rPr>
        <w:t> </w:t>
      </w:r>
      <w:r>
        <w:rPr>
          <w:rFonts w:hint="eastAsia" w:ascii="黑体" w:hAnsi="宋体" w:eastAsia="黑体" w:cs="黑体"/>
          <w:b/>
          <w:i/>
          <w:iCs/>
          <w:color w:val="000000"/>
          <w:sz w:val="32"/>
          <w:szCs w:val="32"/>
          <w:highlight w:val="none"/>
        </w:rPr>
        <w:t>十</w:t>
      </w:r>
      <w:r>
        <w:rPr>
          <w:rFonts w:hint="eastAsia" w:ascii="黑体" w:eastAsia="黑体" w:cs="黑体"/>
          <w:b/>
          <w:i/>
          <w:iCs/>
          <w:color w:val="000000"/>
          <w:sz w:val="32"/>
          <w:szCs w:val="32"/>
          <w:highlight w:val="none"/>
          <w:lang w:eastAsia="zh-CN"/>
        </w:rPr>
        <w:t>三</w:t>
      </w:r>
      <w:r>
        <w:rPr>
          <w:rFonts w:hint="eastAsia" w:ascii="黑体" w:hAnsi="宋体" w:eastAsia="黑体" w:cs="黑体"/>
          <w:b/>
          <w:i/>
          <w:iCs/>
          <w:color w:val="000000"/>
          <w:sz w:val="32"/>
          <w:szCs w:val="32"/>
          <w:highlight w:val="none"/>
        </w:rPr>
        <w:t>、</w:t>
      </w:r>
      <w:r>
        <w:rPr>
          <w:rFonts w:hint="eastAsia" w:ascii="黑体" w:hAnsi="宋体" w:eastAsia="黑体" w:cs="黑体"/>
          <w:b/>
          <w:i/>
          <w:iCs/>
          <w:color w:val="000000"/>
          <w:sz w:val="32"/>
          <w:szCs w:val="32"/>
          <w:u w:val="single"/>
          <w:lang w:val="en-US" w:eastAsia="zh-CN" w:bidi="ar-SA"/>
        </w:rPr>
        <w:t>符合性检查响应对照表</w:t>
      </w:r>
    </w:p>
    <w:tbl>
      <w:tblPr>
        <w:tblStyle w:val="16"/>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
        <w:gridCol w:w="4650"/>
        <w:gridCol w:w="2085"/>
        <w:gridCol w:w="2021"/>
      </w:tblGrid>
      <w:tr w14:paraId="343BB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802" w:type="dxa"/>
            <w:noWrap w:val="0"/>
            <w:vAlign w:val="center"/>
          </w:tcPr>
          <w:p w14:paraId="6B183F34">
            <w:pPr>
              <w:spacing w:line="240" w:lineRule="atLeast"/>
              <w:jc w:val="center"/>
              <w:rPr>
                <w:rFonts w:hAnsi="宋体" w:eastAsia="宋体" w:cs="宋体"/>
                <w:b/>
                <w:sz w:val="24"/>
                <w:szCs w:val="24"/>
              </w:rPr>
            </w:pPr>
            <w:r>
              <w:rPr>
                <w:rFonts w:hint="eastAsia" w:hAnsi="宋体" w:eastAsia="宋体" w:cs="宋体"/>
                <w:b/>
                <w:sz w:val="24"/>
                <w:szCs w:val="24"/>
              </w:rPr>
              <w:t>序号</w:t>
            </w:r>
          </w:p>
        </w:tc>
        <w:tc>
          <w:tcPr>
            <w:tcW w:w="4650" w:type="dxa"/>
            <w:noWrap w:val="0"/>
            <w:vAlign w:val="center"/>
          </w:tcPr>
          <w:p w14:paraId="3CD7B5FD">
            <w:pPr>
              <w:spacing w:line="240" w:lineRule="atLeast"/>
              <w:jc w:val="center"/>
              <w:rPr>
                <w:rFonts w:hAnsi="宋体" w:eastAsia="宋体" w:cs="宋体"/>
                <w:b/>
                <w:sz w:val="24"/>
                <w:szCs w:val="24"/>
              </w:rPr>
            </w:pPr>
            <w:r>
              <w:rPr>
                <w:rFonts w:hint="eastAsia" w:hAnsi="宋体" w:eastAsia="宋体" w:cs="宋体"/>
                <w:b/>
                <w:sz w:val="24"/>
                <w:szCs w:val="24"/>
              </w:rPr>
              <w:t>符合性检查响应内容</w:t>
            </w:r>
          </w:p>
        </w:tc>
        <w:tc>
          <w:tcPr>
            <w:tcW w:w="2085" w:type="dxa"/>
            <w:noWrap w:val="0"/>
            <w:vAlign w:val="center"/>
          </w:tcPr>
          <w:p w14:paraId="6E672C2C">
            <w:pPr>
              <w:spacing w:line="240" w:lineRule="atLeast"/>
              <w:jc w:val="center"/>
              <w:rPr>
                <w:rFonts w:hAnsi="宋体" w:eastAsia="宋体" w:cs="宋体"/>
                <w:b/>
                <w:sz w:val="24"/>
                <w:szCs w:val="24"/>
              </w:rPr>
            </w:pPr>
            <w:r>
              <w:rPr>
                <w:rFonts w:hint="eastAsia" w:hAnsi="宋体" w:eastAsia="宋体" w:cs="宋体"/>
                <w:b/>
                <w:sz w:val="24"/>
                <w:szCs w:val="24"/>
              </w:rPr>
              <w:t>是否响应</w:t>
            </w:r>
          </w:p>
          <w:p w14:paraId="6219C6AB">
            <w:pPr>
              <w:spacing w:line="240" w:lineRule="atLeast"/>
              <w:jc w:val="center"/>
              <w:rPr>
                <w:rFonts w:hAnsi="宋体" w:eastAsia="宋体" w:cs="宋体"/>
                <w:b/>
                <w:sz w:val="24"/>
                <w:szCs w:val="24"/>
              </w:rPr>
            </w:pPr>
            <w:r>
              <w:rPr>
                <w:rFonts w:hint="eastAsia" w:hAnsi="宋体" w:eastAsia="宋体" w:cs="宋体"/>
                <w:b/>
                <w:sz w:val="24"/>
                <w:szCs w:val="24"/>
              </w:rPr>
              <w:t>（填是或者否）</w:t>
            </w:r>
          </w:p>
        </w:tc>
        <w:tc>
          <w:tcPr>
            <w:tcW w:w="2021" w:type="dxa"/>
            <w:noWrap w:val="0"/>
            <w:vAlign w:val="center"/>
          </w:tcPr>
          <w:p w14:paraId="7C8668EA">
            <w:pPr>
              <w:spacing w:line="240" w:lineRule="atLeast"/>
              <w:jc w:val="center"/>
              <w:rPr>
                <w:rFonts w:hAnsi="宋体" w:eastAsia="宋体" w:cs="宋体"/>
                <w:b/>
                <w:sz w:val="24"/>
                <w:szCs w:val="24"/>
              </w:rPr>
            </w:pPr>
            <w:r>
              <w:rPr>
                <w:rFonts w:hint="eastAsia" w:hAnsi="宋体" w:cs="宋体"/>
                <w:b/>
                <w:sz w:val="24"/>
                <w:szCs w:val="24"/>
                <w:lang w:val="en-US" w:eastAsia="zh-CN"/>
              </w:rPr>
              <w:t>响应文件</w:t>
            </w:r>
            <w:r>
              <w:rPr>
                <w:rFonts w:hint="eastAsia" w:hAnsi="宋体" w:eastAsia="宋体" w:cs="宋体"/>
                <w:b/>
                <w:sz w:val="24"/>
                <w:szCs w:val="24"/>
              </w:rPr>
              <w:t>中的</w:t>
            </w:r>
          </w:p>
          <w:p w14:paraId="362D6258">
            <w:pPr>
              <w:spacing w:line="240" w:lineRule="atLeast"/>
              <w:jc w:val="center"/>
              <w:rPr>
                <w:rFonts w:hAnsi="宋体" w:eastAsia="宋体" w:cs="宋体"/>
                <w:b/>
                <w:sz w:val="24"/>
                <w:szCs w:val="24"/>
              </w:rPr>
            </w:pPr>
            <w:r>
              <w:rPr>
                <w:rFonts w:hint="eastAsia" w:hAnsi="宋体" w:eastAsia="宋体" w:cs="宋体"/>
                <w:b/>
                <w:sz w:val="24"/>
                <w:szCs w:val="24"/>
              </w:rPr>
              <w:t>页码位置</w:t>
            </w:r>
          </w:p>
        </w:tc>
      </w:tr>
      <w:tr w14:paraId="4C141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802" w:type="dxa"/>
            <w:noWrap w:val="0"/>
            <w:vAlign w:val="center"/>
          </w:tcPr>
          <w:p w14:paraId="03605419">
            <w:pPr>
              <w:spacing w:line="240" w:lineRule="auto"/>
              <w:jc w:val="center"/>
              <w:rPr>
                <w:rFonts w:hint="eastAsia" w:hAnsi="宋体" w:eastAsia="宋体" w:cs="宋体"/>
                <w:iCs/>
                <w:sz w:val="24"/>
                <w:szCs w:val="24"/>
                <w:lang w:val="en-US" w:eastAsia="zh-CN"/>
              </w:rPr>
            </w:pPr>
            <w:r>
              <w:rPr>
                <w:rFonts w:hint="eastAsia" w:hAnsi="宋体" w:eastAsia="宋体" w:cs="宋体"/>
                <w:iCs/>
                <w:sz w:val="24"/>
                <w:szCs w:val="24"/>
                <w:lang w:val="en-US" w:eastAsia="zh-CN"/>
              </w:rPr>
              <w:t>1</w:t>
            </w:r>
          </w:p>
        </w:tc>
        <w:tc>
          <w:tcPr>
            <w:tcW w:w="4650" w:type="dxa"/>
            <w:noWrap w:val="0"/>
            <w:vAlign w:val="center"/>
          </w:tcPr>
          <w:p w14:paraId="60AFF3CB">
            <w:pPr>
              <w:spacing w:line="240" w:lineRule="auto"/>
              <w:jc w:val="left"/>
              <w:rPr>
                <w:rFonts w:hint="eastAsia" w:hAnsi="宋体" w:eastAsia="宋体" w:cs="宋体"/>
                <w:iCs/>
                <w:sz w:val="24"/>
                <w:szCs w:val="24"/>
              </w:rPr>
            </w:pPr>
            <w:r>
              <w:rPr>
                <w:rFonts w:hint="eastAsia" w:hAnsi="宋体" w:eastAsia="宋体" w:cs="宋体"/>
                <w:iCs/>
                <w:sz w:val="24"/>
                <w:szCs w:val="24"/>
              </w:rPr>
              <w:t>最高限价 </w:t>
            </w:r>
          </w:p>
        </w:tc>
        <w:tc>
          <w:tcPr>
            <w:tcW w:w="2085" w:type="dxa"/>
            <w:noWrap w:val="0"/>
            <w:vAlign w:val="center"/>
          </w:tcPr>
          <w:p w14:paraId="13774274">
            <w:pPr>
              <w:rPr>
                <w:rFonts w:hAnsi="宋体" w:eastAsia="宋体" w:cs="宋体"/>
                <w:b/>
                <w:sz w:val="24"/>
                <w:szCs w:val="24"/>
              </w:rPr>
            </w:pPr>
          </w:p>
        </w:tc>
        <w:tc>
          <w:tcPr>
            <w:tcW w:w="2021" w:type="dxa"/>
            <w:noWrap w:val="0"/>
            <w:vAlign w:val="center"/>
          </w:tcPr>
          <w:p w14:paraId="6E1538C5">
            <w:pPr>
              <w:rPr>
                <w:rFonts w:hAnsi="宋体" w:eastAsia="宋体" w:cs="宋体"/>
                <w:b/>
                <w:sz w:val="24"/>
                <w:szCs w:val="24"/>
              </w:rPr>
            </w:pPr>
          </w:p>
        </w:tc>
      </w:tr>
      <w:tr w14:paraId="19A13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802" w:type="dxa"/>
            <w:noWrap w:val="0"/>
            <w:vAlign w:val="center"/>
          </w:tcPr>
          <w:p w14:paraId="28821CF4">
            <w:pPr>
              <w:spacing w:line="240" w:lineRule="auto"/>
              <w:jc w:val="center"/>
              <w:rPr>
                <w:rFonts w:hint="eastAsia" w:hAnsi="宋体" w:eastAsia="宋体" w:cs="宋体"/>
                <w:iCs/>
                <w:sz w:val="24"/>
                <w:szCs w:val="24"/>
                <w:lang w:val="en-US" w:eastAsia="zh-CN"/>
              </w:rPr>
            </w:pPr>
            <w:r>
              <w:rPr>
                <w:rFonts w:hint="eastAsia" w:hAnsi="宋体" w:eastAsia="宋体" w:cs="宋体"/>
                <w:iCs/>
                <w:sz w:val="24"/>
                <w:szCs w:val="24"/>
                <w:lang w:val="en-US" w:eastAsia="zh-CN"/>
              </w:rPr>
              <w:t>2</w:t>
            </w:r>
          </w:p>
        </w:tc>
        <w:tc>
          <w:tcPr>
            <w:tcW w:w="4650" w:type="dxa"/>
            <w:noWrap w:val="0"/>
            <w:vAlign w:val="center"/>
          </w:tcPr>
          <w:p w14:paraId="582E126B">
            <w:pPr>
              <w:spacing w:line="240" w:lineRule="auto"/>
              <w:jc w:val="left"/>
              <w:rPr>
                <w:rFonts w:hAnsi="宋体" w:eastAsia="宋体" w:cs="宋体"/>
                <w:iCs/>
                <w:sz w:val="24"/>
                <w:szCs w:val="24"/>
              </w:rPr>
            </w:pPr>
            <w:r>
              <w:rPr>
                <w:rFonts w:hint="eastAsia" w:hAnsi="宋体" w:eastAsia="宋体" w:cs="宋体"/>
                <w:iCs/>
                <w:sz w:val="24"/>
                <w:szCs w:val="24"/>
              </w:rPr>
              <w:t>合同履行期限</w:t>
            </w:r>
          </w:p>
        </w:tc>
        <w:tc>
          <w:tcPr>
            <w:tcW w:w="2085" w:type="dxa"/>
            <w:noWrap w:val="0"/>
            <w:vAlign w:val="center"/>
          </w:tcPr>
          <w:p w14:paraId="12436BD9">
            <w:pPr>
              <w:rPr>
                <w:rFonts w:hAnsi="宋体" w:eastAsia="宋体" w:cs="宋体"/>
                <w:b/>
                <w:sz w:val="24"/>
                <w:szCs w:val="24"/>
              </w:rPr>
            </w:pPr>
          </w:p>
        </w:tc>
        <w:tc>
          <w:tcPr>
            <w:tcW w:w="2021" w:type="dxa"/>
            <w:noWrap w:val="0"/>
            <w:vAlign w:val="center"/>
          </w:tcPr>
          <w:p w14:paraId="182C38D8">
            <w:pPr>
              <w:rPr>
                <w:rFonts w:hAnsi="宋体" w:eastAsia="宋体" w:cs="宋体"/>
                <w:b/>
                <w:sz w:val="24"/>
                <w:szCs w:val="24"/>
              </w:rPr>
            </w:pPr>
          </w:p>
        </w:tc>
      </w:tr>
      <w:tr w14:paraId="309EF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802" w:type="dxa"/>
            <w:noWrap w:val="0"/>
            <w:vAlign w:val="center"/>
          </w:tcPr>
          <w:p w14:paraId="52493EE4">
            <w:pPr>
              <w:spacing w:line="240" w:lineRule="auto"/>
              <w:jc w:val="center"/>
              <w:rPr>
                <w:rFonts w:hint="eastAsia" w:hAnsi="宋体" w:eastAsia="宋体" w:cs="宋体"/>
                <w:iCs/>
                <w:sz w:val="24"/>
                <w:szCs w:val="24"/>
                <w:lang w:val="en-US" w:eastAsia="zh-CN"/>
              </w:rPr>
            </w:pPr>
            <w:r>
              <w:rPr>
                <w:rFonts w:hint="eastAsia" w:hAnsi="宋体" w:eastAsia="宋体" w:cs="宋体"/>
                <w:iCs/>
                <w:sz w:val="24"/>
                <w:szCs w:val="24"/>
                <w:lang w:val="en-US" w:eastAsia="zh-CN"/>
              </w:rPr>
              <w:t>3</w:t>
            </w:r>
          </w:p>
        </w:tc>
        <w:tc>
          <w:tcPr>
            <w:tcW w:w="4650" w:type="dxa"/>
            <w:noWrap w:val="0"/>
            <w:vAlign w:val="center"/>
          </w:tcPr>
          <w:p w14:paraId="68C68E48">
            <w:pPr>
              <w:spacing w:line="240" w:lineRule="auto"/>
              <w:jc w:val="left"/>
              <w:rPr>
                <w:rFonts w:hAnsi="宋体" w:eastAsia="宋体" w:cs="宋体"/>
                <w:iCs/>
                <w:sz w:val="24"/>
                <w:szCs w:val="24"/>
              </w:rPr>
            </w:pPr>
            <w:r>
              <w:rPr>
                <w:rFonts w:hint="eastAsia" w:hAnsi="宋体" w:eastAsia="宋体" w:cs="宋体"/>
                <w:iCs/>
                <w:sz w:val="24"/>
                <w:szCs w:val="24"/>
              </w:rPr>
              <w:t>付款方式</w:t>
            </w:r>
          </w:p>
        </w:tc>
        <w:tc>
          <w:tcPr>
            <w:tcW w:w="2085" w:type="dxa"/>
            <w:noWrap w:val="0"/>
            <w:vAlign w:val="center"/>
          </w:tcPr>
          <w:p w14:paraId="5AAC2C88">
            <w:pPr>
              <w:rPr>
                <w:rFonts w:hAnsi="宋体" w:eastAsia="宋体" w:cs="宋体"/>
                <w:sz w:val="24"/>
                <w:szCs w:val="24"/>
              </w:rPr>
            </w:pPr>
          </w:p>
        </w:tc>
        <w:tc>
          <w:tcPr>
            <w:tcW w:w="2021" w:type="dxa"/>
            <w:noWrap w:val="0"/>
            <w:vAlign w:val="center"/>
          </w:tcPr>
          <w:p w14:paraId="51E3DAB1">
            <w:pPr>
              <w:rPr>
                <w:rFonts w:hAnsi="宋体" w:eastAsia="宋体" w:cs="宋体"/>
                <w:sz w:val="24"/>
                <w:szCs w:val="24"/>
              </w:rPr>
            </w:pPr>
          </w:p>
        </w:tc>
      </w:tr>
      <w:tr w14:paraId="60BCB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802" w:type="dxa"/>
            <w:noWrap w:val="0"/>
            <w:vAlign w:val="center"/>
          </w:tcPr>
          <w:p w14:paraId="7FE72DB7">
            <w:pPr>
              <w:spacing w:line="240" w:lineRule="auto"/>
              <w:jc w:val="center"/>
              <w:rPr>
                <w:rFonts w:hint="eastAsia" w:hAnsi="宋体" w:eastAsia="宋体" w:cs="宋体"/>
                <w:iCs/>
                <w:sz w:val="24"/>
                <w:szCs w:val="24"/>
                <w:lang w:val="en-US" w:eastAsia="zh-CN"/>
              </w:rPr>
            </w:pPr>
            <w:r>
              <w:rPr>
                <w:rFonts w:hint="eastAsia" w:hAnsi="宋体" w:eastAsia="宋体" w:cs="宋体"/>
                <w:iCs/>
                <w:sz w:val="24"/>
                <w:szCs w:val="24"/>
                <w:lang w:val="en-US" w:eastAsia="zh-CN"/>
              </w:rPr>
              <w:t>4</w:t>
            </w:r>
          </w:p>
        </w:tc>
        <w:tc>
          <w:tcPr>
            <w:tcW w:w="4650" w:type="dxa"/>
            <w:noWrap w:val="0"/>
            <w:vAlign w:val="center"/>
          </w:tcPr>
          <w:p w14:paraId="72DDB48B">
            <w:pPr>
              <w:spacing w:line="240" w:lineRule="auto"/>
              <w:jc w:val="left"/>
              <w:rPr>
                <w:rFonts w:hAnsi="宋体" w:eastAsia="宋体" w:cs="宋体"/>
                <w:iCs/>
                <w:sz w:val="24"/>
                <w:szCs w:val="24"/>
              </w:rPr>
            </w:pPr>
            <w:r>
              <w:rPr>
                <w:rFonts w:hint="eastAsia" w:hAnsi="宋体" w:eastAsia="宋体" w:cs="宋体"/>
                <w:iCs/>
                <w:sz w:val="24"/>
                <w:szCs w:val="24"/>
                <w:lang w:val="en-US" w:eastAsia="zh-CN"/>
              </w:rPr>
              <w:t>实质性响应内容（附件1）</w:t>
            </w:r>
          </w:p>
        </w:tc>
        <w:tc>
          <w:tcPr>
            <w:tcW w:w="2085" w:type="dxa"/>
            <w:noWrap w:val="0"/>
            <w:vAlign w:val="center"/>
          </w:tcPr>
          <w:p w14:paraId="211B6F7B">
            <w:pPr>
              <w:rPr>
                <w:rFonts w:hAnsi="宋体" w:eastAsia="宋体" w:cs="宋体"/>
                <w:sz w:val="24"/>
                <w:szCs w:val="24"/>
              </w:rPr>
            </w:pPr>
          </w:p>
        </w:tc>
        <w:tc>
          <w:tcPr>
            <w:tcW w:w="2021" w:type="dxa"/>
            <w:noWrap w:val="0"/>
            <w:vAlign w:val="center"/>
          </w:tcPr>
          <w:p w14:paraId="796FD3CA">
            <w:pPr>
              <w:rPr>
                <w:rFonts w:hAnsi="宋体" w:eastAsia="宋体" w:cs="宋体"/>
                <w:sz w:val="24"/>
                <w:szCs w:val="24"/>
              </w:rPr>
            </w:pPr>
          </w:p>
        </w:tc>
      </w:tr>
      <w:tr w14:paraId="5D1F6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802" w:type="dxa"/>
            <w:noWrap w:val="0"/>
            <w:vAlign w:val="center"/>
          </w:tcPr>
          <w:p w14:paraId="0E537638">
            <w:pPr>
              <w:jc w:val="center"/>
              <w:rPr>
                <w:rFonts w:hint="eastAsia" w:hAnsi="宋体" w:eastAsia="宋体" w:cs="宋体"/>
                <w:sz w:val="24"/>
                <w:szCs w:val="24"/>
                <w:lang w:val="en-US" w:eastAsia="zh-CN"/>
              </w:rPr>
            </w:pPr>
            <w:r>
              <w:rPr>
                <w:rFonts w:hint="eastAsia" w:hAnsi="宋体" w:eastAsia="宋体" w:cs="宋体"/>
                <w:sz w:val="24"/>
                <w:szCs w:val="24"/>
                <w:lang w:val="en-US" w:eastAsia="zh-CN"/>
              </w:rPr>
              <w:t>5</w:t>
            </w:r>
          </w:p>
        </w:tc>
        <w:tc>
          <w:tcPr>
            <w:tcW w:w="4650" w:type="dxa"/>
            <w:noWrap w:val="0"/>
            <w:vAlign w:val="center"/>
          </w:tcPr>
          <w:p w14:paraId="78F304DD">
            <w:pPr>
              <w:spacing w:line="590" w:lineRule="atLeast"/>
              <w:rPr>
                <w:rFonts w:hAnsi="宋体" w:eastAsia="宋体" w:cs="宋体"/>
                <w:iCs/>
                <w:sz w:val="24"/>
                <w:szCs w:val="24"/>
              </w:rPr>
            </w:pPr>
          </w:p>
        </w:tc>
        <w:tc>
          <w:tcPr>
            <w:tcW w:w="2085" w:type="dxa"/>
            <w:noWrap w:val="0"/>
            <w:vAlign w:val="center"/>
          </w:tcPr>
          <w:p w14:paraId="5B991617">
            <w:pPr>
              <w:rPr>
                <w:rFonts w:hAnsi="宋体" w:eastAsia="宋体" w:cs="宋体"/>
                <w:sz w:val="24"/>
                <w:szCs w:val="24"/>
              </w:rPr>
            </w:pPr>
          </w:p>
        </w:tc>
        <w:tc>
          <w:tcPr>
            <w:tcW w:w="2021" w:type="dxa"/>
            <w:noWrap w:val="0"/>
            <w:vAlign w:val="center"/>
          </w:tcPr>
          <w:p w14:paraId="12CC1FF0">
            <w:pPr>
              <w:rPr>
                <w:rFonts w:hAnsi="宋体" w:eastAsia="宋体" w:cs="宋体"/>
                <w:sz w:val="24"/>
                <w:szCs w:val="24"/>
              </w:rPr>
            </w:pPr>
          </w:p>
        </w:tc>
      </w:tr>
      <w:tr w14:paraId="78418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802" w:type="dxa"/>
            <w:noWrap w:val="0"/>
            <w:vAlign w:val="center"/>
          </w:tcPr>
          <w:p w14:paraId="507A68FB">
            <w:pPr>
              <w:jc w:val="center"/>
              <w:rPr>
                <w:rFonts w:hint="eastAsia" w:hAnsi="宋体" w:eastAsia="宋体" w:cs="宋体"/>
                <w:sz w:val="24"/>
                <w:szCs w:val="24"/>
                <w:lang w:val="en-US" w:eastAsia="zh-CN"/>
              </w:rPr>
            </w:pPr>
            <w:r>
              <w:rPr>
                <w:rFonts w:hint="eastAsia" w:hAnsi="宋体" w:eastAsia="宋体" w:cs="宋体"/>
                <w:sz w:val="24"/>
                <w:szCs w:val="24"/>
                <w:lang w:val="en-US" w:eastAsia="zh-CN"/>
              </w:rPr>
              <w:t>6</w:t>
            </w:r>
          </w:p>
        </w:tc>
        <w:tc>
          <w:tcPr>
            <w:tcW w:w="4650" w:type="dxa"/>
            <w:noWrap w:val="0"/>
            <w:vAlign w:val="center"/>
          </w:tcPr>
          <w:p w14:paraId="2E843F47">
            <w:pPr>
              <w:spacing w:line="590" w:lineRule="atLeast"/>
              <w:rPr>
                <w:rFonts w:hAnsi="宋体" w:eastAsia="宋体" w:cs="宋体"/>
                <w:iCs/>
                <w:sz w:val="24"/>
                <w:szCs w:val="24"/>
              </w:rPr>
            </w:pPr>
          </w:p>
        </w:tc>
        <w:tc>
          <w:tcPr>
            <w:tcW w:w="2085" w:type="dxa"/>
            <w:noWrap w:val="0"/>
            <w:vAlign w:val="center"/>
          </w:tcPr>
          <w:p w14:paraId="75054BFA">
            <w:pPr>
              <w:rPr>
                <w:rFonts w:hAnsi="宋体" w:eastAsia="宋体" w:cs="宋体"/>
                <w:sz w:val="24"/>
                <w:szCs w:val="24"/>
              </w:rPr>
            </w:pPr>
          </w:p>
        </w:tc>
        <w:tc>
          <w:tcPr>
            <w:tcW w:w="2021" w:type="dxa"/>
            <w:noWrap w:val="0"/>
            <w:vAlign w:val="center"/>
          </w:tcPr>
          <w:p w14:paraId="3BEFF04E">
            <w:pPr>
              <w:rPr>
                <w:rFonts w:hAnsi="宋体" w:eastAsia="宋体" w:cs="宋体"/>
                <w:sz w:val="24"/>
                <w:szCs w:val="24"/>
              </w:rPr>
            </w:pPr>
          </w:p>
        </w:tc>
      </w:tr>
    </w:tbl>
    <w:p w14:paraId="32078105">
      <w:pPr>
        <w:ind w:firstLine="210"/>
        <w:rPr>
          <w:rFonts w:hAnsi="宋体" w:eastAsia="宋体" w:cs="宋体"/>
          <w:sz w:val="24"/>
          <w:szCs w:val="24"/>
          <w:lang w:val="zh-CN"/>
        </w:rPr>
      </w:pPr>
    </w:p>
    <w:p w14:paraId="60A4D9CD">
      <w:pPr>
        <w:ind w:firstLine="210"/>
        <w:rPr>
          <w:rFonts w:hAnsi="宋体" w:eastAsia="宋体" w:cs="宋体"/>
          <w:color w:val="000000"/>
          <w:sz w:val="24"/>
          <w:szCs w:val="22"/>
          <w:lang w:val="zh-CN"/>
        </w:rPr>
      </w:pPr>
      <w:r>
        <w:rPr>
          <w:rFonts w:hint="eastAsia" w:hAnsi="宋体" w:eastAsia="宋体" w:cs="宋体"/>
          <w:color w:val="000000"/>
          <w:sz w:val="24"/>
          <w:szCs w:val="22"/>
          <w:lang w:val="zh-CN"/>
        </w:rPr>
        <w:t>注：本表须明确填写并按</w:t>
      </w:r>
      <w:r>
        <w:rPr>
          <w:rFonts w:hint="eastAsia" w:hAnsi="宋体" w:eastAsia="宋体" w:cs="宋体"/>
          <w:color w:val="000000"/>
          <w:sz w:val="24"/>
          <w:szCs w:val="22"/>
          <w:lang w:val="en-US" w:eastAsia="zh-CN"/>
        </w:rPr>
        <w:t>磋商</w:t>
      </w:r>
      <w:r>
        <w:rPr>
          <w:rFonts w:hint="eastAsia" w:hAnsi="宋体" w:eastAsia="宋体" w:cs="宋体"/>
          <w:color w:val="000000"/>
          <w:sz w:val="24"/>
          <w:szCs w:val="22"/>
          <w:lang w:val="zh-CN"/>
        </w:rPr>
        <w:t>文件要求提供材料，否则符合性检查无法通过。</w:t>
      </w:r>
    </w:p>
    <w:p w14:paraId="467B0107">
      <w:pPr>
        <w:ind w:firstLine="210"/>
        <w:rPr>
          <w:rFonts w:hAnsi="宋体" w:eastAsia="宋体" w:cs="宋体"/>
          <w:color w:val="000000"/>
          <w:sz w:val="24"/>
          <w:szCs w:val="22"/>
          <w:lang w:val="zh-CN"/>
        </w:rPr>
      </w:pPr>
    </w:p>
    <w:p w14:paraId="6666C20A">
      <w:pPr>
        <w:ind w:firstLine="210"/>
        <w:rPr>
          <w:rFonts w:cs="宋体"/>
          <w:szCs w:val="28"/>
          <w:lang w:val="zh-CN"/>
        </w:rPr>
      </w:pPr>
    </w:p>
    <w:p w14:paraId="6B639E81">
      <w:pPr>
        <w:pStyle w:val="13"/>
        <w:tabs>
          <w:tab w:val="left" w:pos="4864"/>
        </w:tabs>
        <w:spacing w:line="0" w:lineRule="atLeast"/>
        <w:ind w:right="1560" w:firstLine="624"/>
        <w:jc w:val="right"/>
        <w:rPr>
          <w:rFonts w:ascii="宋体" w:hAnsi="宋体" w:eastAsia="宋体" w:cs="宋体"/>
          <w:color w:val="000000"/>
        </w:rPr>
      </w:pPr>
      <w:r>
        <w:rPr>
          <w:rFonts w:hint="eastAsia" w:ascii="宋体" w:hAnsi="宋体" w:eastAsia="宋体" w:cs="宋体"/>
          <w:color w:val="000000"/>
        </w:rPr>
        <w:t xml:space="preserve">             </w:t>
      </w:r>
    </w:p>
    <w:p w14:paraId="03A4223E">
      <w:pPr>
        <w:pStyle w:val="13"/>
        <w:tabs>
          <w:tab w:val="left" w:pos="4864"/>
        </w:tabs>
        <w:spacing w:line="0" w:lineRule="atLeast"/>
        <w:ind w:right="1560" w:firstLine="624"/>
        <w:jc w:val="right"/>
        <w:rPr>
          <w:rFonts w:ascii="宋体" w:hAnsi="宋体" w:eastAsia="宋体" w:cs="宋体"/>
          <w:color w:val="000000"/>
        </w:rPr>
      </w:pPr>
    </w:p>
    <w:p w14:paraId="1CF97020">
      <w:pPr>
        <w:pStyle w:val="13"/>
        <w:tabs>
          <w:tab w:val="left" w:pos="4864"/>
        </w:tabs>
        <w:spacing w:line="0" w:lineRule="atLeast"/>
        <w:ind w:right="1560" w:firstLine="624"/>
        <w:jc w:val="right"/>
      </w:pPr>
      <w:r>
        <w:rPr>
          <w:rFonts w:hint="eastAsia" w:ascii="宋体" w:hAnsi="宋体" w:eastAsia="宋体" w:cs="宋体"/>
          <w:color w:val="000000"/>
        </w:rPr>
        <w:t xml:space="preserve"> </w:t>
      </w:r>
      <w:r>
        <w:rPr>
          <w:rFonts w:hint="eastAsia" w:ascii="宋体" w:hAnsi="宋体" w:eastAsia="宋体" w:cs="宋体"/>
          <w:color w:val="000000"/>
          <w:lang w:val="en-US" w:eastAsia="zh-CN"/>
        </w:rPr>
        <w:t>供应商</w:t>
      </w:r>
      <w:r>
        <w:rPr>
          <w:rFonts w:hint="eastAsia" w:ascii="宋体" w:hAnsi="宋体" w:eastAsia="宋体" w:cs="宋体"/>
          <w:color w:val="000000"/>
        </w:rPr>
        <w:t>全称（加盖CA电子公章）：</w:t>
      </w:r>
    </w:p>
    <w:p w14:paraId="128C3EA1">
      <w:pPr>
        <w:pStyle w:val="13"/>
        <w:tabs>
          <w:tab w:val="left" w:pos="4864"/>
        </w:tabs>
        <w:spacing w:line="0" w:lineRule="atLeast"/>
        <w:ind w:right="1560" w:firstLine="480"/>
        <w:jc w:val="right"/>
      </w:pPr>
      <w:r>
        <w:rPr>
          <w:rFonts w:hint="eastAsia" w:ascii="宋体" w:hAnsi="宋体" w:eastAsia="宋体" w:cs="宋体"/>
          <w:color w:val="000000"/>
        </w:rPr>
        <w:t>        日  期：</w:t>
      </w:r>
    </w:p>
    <w:p w14:paraId="49873458">
      <w:pPr>
        <w:pStyle w:val="13"/>
        <w:spacing w:beforeAutospacing="0" w:afterAutospacing="0"/>
        <w:jc w:val="both"/>
        <w:rPr>
          <w:color w:val="auto"/>
          <w:highlight w:val="none"/>
        </w:rPr>
      </w:pPr>
    </w:p>
    <w:p w14:paraId="06EE8CBE">
      <w:pPr>
        <w:pStyle w:val="13"/>
        <w:spacing w:beforeAutospacing="0" w:afterAutospacing="0"/>
        <w:jc w:val="both"/>
        <w:rPr>
          <w:color w:val="auto"/>
          <w:highlight w:val="none"/>
        </w:rPr>
      </w:pPr>
      <w:r>
        <w:rPr>
          <w:color w:val="auto"/>
          <w:highlight w:val="none"/>
        </w:rPr>
        <w:t> </w:t>
      </w:r>
    </w:p>
    <w:p w14:paraId="64BB1926">
      <w:pPr>
        <w:pStyle w:val="13"/>
        <w:spacing w:beforeAutospacing="0" w:afterAutospacing="0"/>
        <w:jc w:val="both"/>
        <w:rPr>
          <w:color w:val="auto"/>
          <w:highlight w:val="none"/>
        </w:rPr>
      </w:pPr>
      <w:r>
        <w:rPr>
          <w:color w:val="auto"/>
          <w:highlight w:val="none"/>
        </w:rPr>
        <w:t> </w:t>
      </w:r>
    </w:p>
    <w:p w14:paraId="0BC400FA">
      <w:pPr>
        <w:pStyle w:val="13"/>
        <w:spacing w:beforeAutospacing="0" w:afterAutospacing="0"/>
        <w:jc w:val="both"/>
        <w:rPr>
          <w:color w:val="auto"/>
          <w:highlight w:val="none"/>
        </w:rPr>
      </w:pPr>
      <w:r>
        <w:rPr>
          <w:color w:val="auto"/>
          <w:highlight w:val="none"/>
        </w:rPr>
        <w:t> </w:t>
      </w:r>
    </w:p>
    <w:p w14:paraId="5819F4D6">
      <w:pPr>
        <w:pStyle w:val="13"/>
        <w:spacing w:beforeAutospacing="0" w:afterAutospacing="0"/>
        <w:jc w:val="both"/>
        <w:rPr>
          <w:color w:val="auto"/>
          <w:highlight w:val="none"/>
        </w:rPr>
      </w:pPr>
      <w:r>
        <w:rPr>
          <w:color w:val="auto"/>
          <w:highlight w:val="none"/>
        </w:rPr>
        <w:t> </w:t>
      </w:r>
    </w:p>
    <w:p w14:paraId="24D0B32D">
      <w:pPr>
        <w:pStyle w:val="2"/>
        <w:spacing w:line="360" w:lineRule="auto"/>
        <w:jc w:val="left"/>
        <w:rPr>
          <w:rFonts w:hint="eastAsia" w:hAnsi="宋体" w:eastAsia="宋体"/>
          <w:b/>
          <w:bCs/>
          <w:sz w:val="32"/>
          <w:szCs w:val="32"/>
        </w:rPr>
      </w:pPr>
      <w:bookmarkStart w:id="175" w:name="_Hlt26955054"/>
      <w:r>
        <w:rPr>
          <w:rFonts w:hint="eastAsia" w:ascii="黑体" w:hAnsi="宋体" w:eastAsia="黑体" w:cs="黑体"/>
          <w:b/>
          <w:color w:val="auto"/>
          <w:sz w:val="32"/>
          <w:szCs w:val="32"/>
          <w:highlight w:val="none"/>
        </w:rPr>
        <w:br w:type="page"/>
      </w:r>
      <w:r>
        <w:rPr>
          <w:rFonts w:hint="eastAsia" w:hAnsi="宋体" w:eastAsia="宋体"/>
          <w:b/>
          <w:bCs/>
          <w:sz w:val="32"/>
          <w:szCs w:val="32"/>
        </w:rPr>
        <w:t xml:space="preserve">附件1、            </w:t>
      </w:r>
    </w:p>
    <w:p w14:paraId="115C4FD3">
      <w:pPr>
        <w:pStyle w:val="2"/>
        <w:spacing w:line="360" w:lineRule="auto"/>
        <w:jc w:val="center"/>
        <w:outlineLvl w:val="9"/>
        <w:rPr>
          <w:rFonts w:hint="eastAsia" w:hAnsi="宋体" w:cs="Times New Roman"/>
          <w:sz w:val="28"/>
          <w:szCs w:val="28"/>
        </w:rPr>
      </w:pPr>
      <w:r>
        <w:rPr>
          <w:rFonts w:hint="eastAsia" w:hAnsi="宋体" w:eastAsia="宋体"/>
          <w:b/>
          <w:bCs/>
          <w:sz w:val="32"/>
          <w:szCs w:val="32"/>
        </w:rPr>
        <w:t>实质性响应内容</w:t>
      </w:r>
    </w:p>
    <w:p w14:paraId="47B0C5E6">
      <w:pPr>
        <w:pStyle w:val="27"/>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ascii="宋体" w:hAnsi="宋体" w:cs="宋体"/>
          <w:b w:val="0"/>
          <w:bCs w:val="0"/>
          <w:sz w:val="24"/>
          <w:szCs w:val="24"/>
          <w:highlight w:val="none"/>
        </w:rPr>
      </w:pPr>
      <w:r>
        <w:rPr>
          <w:rFonts w:hint="eastAsia" w:ascii="宋体" w:hAnsi="宋体" w:cs="宋体"/>
          <w:b w:val="0"/>
          <w:bCs w:val="0"/>
          <w:sz w:val="24"/>
          <w:szCs w:val="24"/>
          <w:highlight w:val="none"/>
        </w:rPr>
        <w:t>一、项目概况</w:t>
      </w:r>
    </w:p>
    <w:p w14:paraId="6E552812">
      <w:pPr>
        <w:pStyle w:val="27"/>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二、项目工作内容</w:t>
      </w:r>
    </w:p>
    <w:p w14:paraId="201656D4">
      <w:pPr>
        <w:pStyle w:val="27"/>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三、成果要求</w:t>
      </w:r>
    </w:p>
    <w:p w14:paraId="62BC6A77">
      <w:pPr>
        <w:pStyle w:val="27"/>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四、合同履行期限及地点</w:t>
      </w:r>
    </w:p>
    <w:p w14:paraId="77F09376">
      <w:pPr>
        <w:widowControl/>
        <w:spacing w:line="520" w:lineRule="exact"/>
        <w:ind w:firstLine="567" w:firstLineChars="0"/>
        <w:jc w:val="left"/>
        <w:outlineLvl w:val="9"/>
        <w:rPr>
          <w:rFonts w:hint="eastAsia" w:ascii="宋体" w:hAnsi="宋体" w:eastAsia="宋体" w:cs="宋体"/>
          <w:b w:val="0"/>
          <w:bCs w:val="0"/>
          <w:sz w:val="24"/>
          <w:szCs w:val="24"/>
          <w:lang w:bidi="ar"/>
        </w:rPr>
      </w:pPr>
      <w:r>
        <w:rPr>
          <w:rFonts w:hint="eastAsia" w:ascii="宋体" w:hAnsi="宋体" w:eastAsia="宋体" w:cs="宋体"/>
          <w:b w:val="0"/>
          <w:bCs w:val="0"/>
          <w:sz w:val="24"/>
          <w:szCs w:val="24"/>
          <w:lang w:val="en-US" w:eastAsia="zh-CN" w:bidi="ar"/>
        </w:rPr>
        <w:t>六</w:t>
      </w:r>
      <w:r>
        <w:rPr>
          <w:rFonts w:hint="eastAsia" w:ascii="宋体" w:hAnsi="宋体" w:eastAsia="宋体" w:cs="宋体"/>
          <w:b w:val="0"/>
          <w:bCs w:val="0"/>
          <w:sz w:val="24"/>
          <w:szCs w:val="24"/>
          <w:lang w:bidi="ar"/>
        </w:rPr>
        <w:t>、安全管理要求</w:t>
      </w:r>
    </w:p>
    <w:p w14:paraId="15D18A59">
      <w:pPr>
        <w:widowControl/>
        <w:spacing w:line="520" w:lineRule="exact"/>
        <w:ind w:firstLine="567" w:firstLineChars="0"/>
        <w:jc w:val="left"/>
        <w:outlineLvl w:val="9"/>
        <w:rPr>
          <w:rFonts w:hint="eastAsia" w:ascii="宋体" w:hAnsi="宋体" w:eastAsia="宋体" w:cs="宋体"/>
          <w:b w:val="0"/>
          <w:bCs w:val="0"/>
          <w:sz w:val="24"/>
          <w:szCs w:val="24"/>
          <w:lang w:bidi="ar"/>
        </w:rPr>
      </w:pPr>
      <w:r>
        <w:rPr>
          <w:rFonts w:hint="eastAsia" w:ascii="宋体" w:hAnsi="宋体" w:eastAsia="宋体" w:cs="宋体"/>
          <w:b w:val="0"/>
          <w:bCs w:val="0"/>
          <w:sz w:val="24"/>
          <w:szCs w:val="24"/>
          <w:lang w:val="en-US" w:eastAsia="zh-CN" w:bidi="ar"/>
        </w:rPr>
        <w:t>七</w:t>
      </w:r>
      <w:r>
        <w:rPr>
          <w:rFonts w:hint="eastAsia" w:ascii="宋体" w:hAnsi="宋体" w:eastAsia="宋体" w:cs="宋体"/>
          <w:b w:val="0"/>
          <w:bCs w:val="0"/>
          <w:sz w:val="24"/>
          <w:szCs w:val="24"/>
          <w:lang w:bidi="ar"/>
        </w:rPr>
        <w:t>、特别说明</w:t>
      </w:r>
    </w:p>
    <w:p w14:paraId="34527ED5">
      <w:pPr>
        <w:pStyle w:val="30"/>
        <w:ind w:firstLine="560"/>
        <w:rPr>
          <w:rFonts w:hAnsi="宋体" w:cs="Times New Roman"/>
          <w:sz w:val="28"/>
          <w:szCs w:val="28"/>
        </w:rPr>
      </w:pPr>
      <w:r>
        <w:rPr>
          <w:rFonts w:hint="eastAsia" w:hAnsi="宋体" w:cs="Times New Roman"/>
          <w:sz w:val="28"/>
          <w:szCs w:val="28"/>
        </w:rPr>
        <w:t>我公司承诺响应磋商文件采购需求</w:t>
      </w:r>
      <w:r>
        <w:rPr>
          <w:rFonts w:hint="eastAsia" w:hAnsi="宋体" w:cs="Times New Roman"/>
          <w:sz w:val="28"/>
          <w:szCs w:val="28"/>
          <w:lang w:eastAsia="zh-CN"/>
        </w:rPr>
        <w:t>中</w:t>
      </w:r>
      <w:r>
        <w:rPr>
          <w:rFonts w:hint="eastAsia" w:hAnsi="宋体" w:cs="Times New Roman"/>
          <w:sz w:val="28"/>
          <w:szCs w:val="28"/>
          <w:lang w:val="en-US" w:eastAsia="zh-CN"/>
        </w:rPr>
        <w:t>以上内容中</w:t>
      </w:r>
      <w:r>
        <w:rPr>
          <w:rFonts w:hint="eastAsia" w:hAnsi="宋体" w:cs="Times New Roman"/>
          <w:sz w:val="28"/>
          <w:szCs w:val="28"/>
        </w:rPr>
        <w:t>的全部内容。</w:t>
      </w:r>
    </w:p>
    <w:p w14:paraId="62E27A50">
      <w:pPr>
        <w:autoSpaceDE w:val="0"/>
        <w:autoSpaceDN w:val="0"/>
        <w:spacing w:line="560" w:lineRule="exact"/>
        <w:ind w:firstLine="3080" w:firstLineChars="1100"/>
        <w:rPr>
          <w:rFonts w:hint="eastAsia" w:hAnsi="宋体" w:cs="Times New Roman"/>
          <w:kern w:val="2"/>
          <w:sz w:val="28"/>
          <w:szCs w:val="28"/>
          <w:lang w:val="en-US" w:eastAsia="zh-CN" w:bidi="ar-SA"/>
        </w:rPr>
      </w:pPr>
    </w:p>
    <w:p w14:paraId="3906F3E1">
      <w:pPr>
        <w:autoSpaceDE w:val="0"/>
        <w:autoSpaceDN w:val="0"/>
        <w:spacing w:line="560" w:lineRule="exact"/>
        <w:ind w:firstLine="2640" w:firstLineChars="1100"/>
        <w:rPr>
          <w:rFonts w:hint="eastAsia" w:hAnsi="宋体" w:cs="Times New Roman"/>
          <w:kern w:val="2"/>
          <w:sz w:val="24"/>
          <w:szCs w:val="24"/>
          <w:lang w:val="en-US" w:eastAsia="zh-CN" w:bidi="ar-SA"/>
        </w:rPr>
      </w:pPr>
    </w:p>
    <w:p w14:paraId="5D1F170C">
      <w:pPr>
        <w:autoSpaceDE w:val="0"/>
        <w:autoSpaceDN w:val="0"/>
        <w:spacing w:line="560" w:lineRule="exact"/>
        <w:ind w:firstLine="4320" w:firstLineChars="1800"/>
        <w:rPr>
          <w:rFonts w:hint="eastAsia" w:hAnsi="宋体" w:cs="Times New Roman" w:asciiTheme="minorHAnsi" w:eastAsiaTheme="minorEastAsia"/>
          <w:kern w:val="2"/>
          <w:sz w:val="24"/>
          <w:szCs w:val="24"/>
          <w:lang w:val="en-US" w:eastAsia="zh-CN" w:bidi="ar-SA"/>
        </w:rPr>
      </w:pPr>
      <w:r>
        <w:rPr>
          <w:rFonts w:hint="eastAsia" w:hAnsi="宋体" w:cs="Times New Roman"/>
          <w:kern w:val="2"/>
          <w:sz w:val="24"/>
          <w:szCs w:val="24"/>
          <w:lang w:val="en-US" w:eastAsia="zh-CN" w:bidi="ar-SA"/>
        </w:rPr>
        <w:t>供应商全称（加盖CA电子公章）</w:t>
      </w:r>
      <w:r>
        <w:rPr>
          <w:rFonts w:hint="eastAsia" w:hAnsi="宋体" w:cs="Times New Roman" w:asciiTheme="minorHAnsi" w:eastAsiaTheme="minorEastAsia"/>
          <w:kern w:val="2"/>
          <w:sz w:val="24"/>
          <w:szCs w:val="24"/>
          <w:lang w:val="en-US" w:eastAsia="zh-CN" w:bidi="ar-SA"/>
        </w:rPr>
        <w:t>：</w:t>
      </w:r>
    </w:p>
    <w:p w14:paraId="7AA25ABC">
      <w:pPr>
        <w:pStyle w:val="10"/>
        <w:spacing w:line="560" w:lineRule="exact"/>
        <w:ind w:right="0" w:firstLine="4068" w:firstLineChars="1695"/>
        <w:rPr>
          <w:rFonts w:hint="eastAsia" w:hAnsi="宋体" w:cs="Times New Roman" w:asciiTheme="minorHAnsi" w:eastAsiaTheme="minorEastAsia"/>
          <w:kern w:val="2"/>
          <w:sz w:val="24"/>
          <w:szCs w:val="24"/>
          <w:lang w:val="en-US" w:eastAsia="zh-CN" w:bidi="ar-SA"/>
        </w:rPr>
      </w:pPr>
      <w:r>
        <w:rPr>
          <w:rFonts w:hint="eastAsia" w:hAnsi="宋体" w:cs="Times New Roman" w:asciiTheme="minorHAnsi" w:eastAsiaTheme="minorEastAsia"/>
          <w:kern w:val="2"/>
          <w:sz w:val="24"/>
          <w:szCs w:val="24"/>
          <w:lang w:val="en-US" w:eastAsia="zh-CN" w:bidi="ar-SA"/>
        </w:rPr>
        <w:t>日期：      年     月     日</w:t>
      </w:r>
    </w:p>
    <w:p w14:paraId="7D209881">
      <w:pPr>
        <w:pStyle w:val="10"/>
        <w:spacing w:line="560" w:lineRule="exact"/>
        <w:ind w:right="0" w:firstLine="4746" w:firstLineChars="1695"/>
        <w:rPr>
          <w:rFonts w:hint="eastAsia" w:hAnsi="宋体" w:cs="Times New Roman" w:asciiTheme="minorHAnsi" w:eastAsiaTheme="minorEastAsia"/>
          <w:kern w:val="2"/>
          <w:sz w:val="28"/>
          <w:szCs w:val="28"/>
          <w:lang w:val="en-US" w:eastAsia="zh-CN" w:bidi="ar-SA"/>
        </w:rPr>
      </w:pPr>
    </w:p>
    <w:p w14:paraId="70CCC470">
      <w:pPr>
        <w:pStyle w:val="10"/>
        <w:spacing w:line="560" w:lineRule="exact"/>
        <w:ind w:right="0" w:firstLine="4746" w:firstLineChars="1695"/>
        <w:rPr>
          <w:rFonts w:hint="eastAsia" w:hAnsi="宋体" w:cs="Times New Roman" w:asciiTheme="minorHAnsi" w:eastAsiaTheme="minorEastAsia"/>
          <w:kern w:val="2"/>
          <w:sz w:val="28"/>
          <w:szCs w:val="28"/>
          <w:lang w:val="en-US" w:eastAsia="zh-CN" w:bidi="ar-SA"/>
        </w:rPr>
      </w:pPr>
    </w:p>
    <w:p w14:paraId="4A97E683">
      <w:pPr>
        <w:pStyle w:val="10"/>
        <w:spacing w:line="560" w:lineRule="exact"/>
        <w:ind w:right="0" w:firstLine="4746" w:firstLineChars="1695"/>
        <w:rPr>
          <w:rFonts w:hint="eastAsia" w:hAnsi="宋体" w:cs="Times New Roman" w:asciiTheme="minorHAnsi" w:eastAsiaTheme="minorEastAsia"/>
          <w:kern w:val="2"/>
          <w:sz w:val="28"/>
          <w:szCs w:val="28"/>
          <w:lang w:val="en-US" w:eastAsia="zh-CN" w:bidi="ar-SA"/>
        </w:rPr>
      </w:pPr>
    </w:p>
    <w:p w14:paraId="1D43947F">
      <w:pPr>
        <w:pStyle w:val="10"/>
        <w:spacing w:line="560" w:lineRule="exact"/>
        <w:ind w:right="0" w:firstLine="4746" w:firstLineChars="1695"/>
        <w:rPr>
          <w:rFonts w:hint="eastAsia" w:hAnsi="宋体" w:cs="Times New Roman" w:asciiTheme="minorHAnsi" w:eastAsiaTheme="minorEastAsia"/>
          <w:kern w:val="2"/>
          <w:sz w:val="28"/>
          <w:szCs w:val="28"/>
          <w:lang w:val="en-US" w:eastAsia="zh-CN" w:bidi="ar-SA"/>
        </w:rPr>
      </w:pPr>
    </w:p>
    <w:p w14:paraId="6483836B">
      <w:pPr>
        <w:pStyle w:val="10"/>
        <w:spacing w:line="560" w:lineRule="exact"/>
        <w:ind w:right="0" w:firstLine="4746" w:firstLineChars="1695"/>
        <w:rPr>
          <w:rFonts w:hint="eastAsia" w:hAnsi="宋体" w:cs="Times New Roman" w:asciiTheme="minorHAnsi" w:eastAsiaTheme="minorEastAsia"/>
          <w:kern w:val="2"/>
          <w:sz w:val="28"/>
          <w:szCs w:val="28"/>
          <w:lang w:val="en-US" w:eastAsia="zh-CN" w:bidi="ar-SA"/>
        </w:rPr>
      </w:pPr>
    </w:p>
    <w:p w14:paraId="36C956D8">
      <w:pPr>
        <w:pStyle w:val="20"/>
        <w:numPr>
          <w:ilvl w:val="2"/>
          <w:numId w:val="0"/>
        </w:numPr>
        <w:ind w:left="0" w:leftChars="0" w:firstLine="0" w:firstLineChars="0"/>
        <w:outlineLvl w:val="9"/>
        <w:rPr>
          <w:rFonts w:hint="eastAsia"/>
        </w:rPr>
      </w:pPr>
      <w:bookmarkStart w:id="176" w:name="_Hlt26955066"/>
      <w:bookmarkStart w:id="177" w:name="_Hlt26671374"/>
      <w:bookmarkStart w:id="178" w:name="_格式2__法定代表人授权书"/>
      <w:bookmarkStart w:id="179" w:name="_Toc462564146"/>
      <w:bookmarkStart w:id="180" w:name="_Hlt26609389"/>
    </w:p>
    <w:p w14:paraId="70A2E607">
      <w:pPr>
        <w:pStyle w:val="13"/>
        <w:spacing w:beforeAutospacing="0" w:afterAutospacing="0"/>
        <w:jc w:val="both"/>
        <w:rPr>
          <w:rFonts w:hint="eastAsia" w:ascii="黑体" w:hAnsi="宋体" w:eastAsia="黑体" w:cs="黑体"/>
          <w:b/>
          <w:i/>
          <w:color w:val="auto"/>
          <w:sz w:val="32"/>
          <w:szCs w:val="32"/>
          <w:highlight w:val="none"/>
          <w:u w:val="single"/>
        </w:rPr>
      </w:pPr>
    </w:p>
    <w:p w14:paraId="37D1E873">
      <w:pPr>
        <w:pStyle w:val="13"/>
        <w:numPr>
          <w:ilvl w:val="0"/>
          <w:numId w:val="0"/>
        </w:numPr>
        <w:spacing w:beforeAutospacing="0" w:afterAutospacing="0"/>
        <w:jc w:val="center"/>
        <w:outlineLvl w:val="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lang w:val="en-US" w:eastAsia="zh-CN"/>
        </w:rPr>
        <w:t>十四、</w:t>
      </w:r>
      <w:r>
        <w:rPr>
          <w:rFonts w:hint="eastAsia" w:ascii="黑体" w:hAnsi="宋体" w:eastAsia="黑体" w:cs="黑体"/>
          <w:b/>
          <w:i/>
          <w:color w:val="auto"/>
          <w:sz w:val="32"/>
          <w:szCs w:val="32"/>
          <w:highlight w:val="none"/>
          <w:u w:val="single"/>
        </w:rPr>
        <w:t>开标一览表</w:t>
      </w:r>
    </w:p>
    <w:p w14:paraId="72CA5A2B">
      <w:pPr>
        <w:pStyle w:val="13"/>
        <w:spacing w:beforeAutospacing="0" w:afterAutospacing="0"/>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（一轮报价表）</w:t>
      </w:r>
    </w:p>
    <w:p w14:paraId="70B14AA4">
      <w:pPr>
        <w:pStyle w:val="13"/>
        <w:spacing w:beforeAutospacing="0" w:afterAutospacing="0"/>
        <w:ind w:firstLine="480"/>
        <w:jc w:val="both"/>
        <w:rPr>
          <w:color w:val="auto"/>
          <w:highlight w:val="none"/>
        </w:rPr>
      </w:pP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全称（加盖CA电子签章）：</w:t>
      </w:r>
    </w:p>
    <w:p w14:paraId="4361FD6A">
      <w:pPr>
        <w:pStyle w:val="13"/>
        <w:spacing w:beforeAutospacing="0" w:afterAutospacing="0"/>
        <w:ind w:firstLine="480"/>
        <w:jc w:val="both"/>
        <w:rPr>
          <w:color w:val="auto"/>
          <w:highlight w:val="none"/>
        </w:rPr>
      </w:pPr>
      <w:r>
        <w:rPr>
          <w:rFonts w:hint="eastAsia" w:ascii="宋体" w:hAnsi="宋体" w:eastAsia="宋体" w:cs="宋体"/>
          <w:color w:val="auto"/>
          <w:highlight w:val="none"/>
        </w:rPr>
        <w:t>项目名称：</w:t>
      </w:r>
    </w:p>
    <w:p w14:paraId="3003A85B">
      <w:pPr>
        <w:pStyle w:val="13"/>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编号：</w:t>
      </w:r>
    </w:p>
    <w:tbl>
      <w:tblPr>
        <w:tblStyle w:val="16"/>
        <w:tblW w:w="9653" w:type="dxa"/>
        <w:tblCellSpacing w:w="0" w:type="dxa"/>
        <w:tblInd w:w="118" w:type="dxa"/>
        <w:tblLayout w:type="fixed"/>
        <w:tblCellMar>
          <w:top w:w="0" w:type="dxa"/>
          <w:left w:w="108" w:type="dxa"/>
          <w:bottom w:w="0" w:type="dxa"/>
          <w:right w:w="108" w:type="dxa"/>
        </w:tblCellMar>
      </w:tblPr>
      <w:tblGrid>
        <w:gridCol w:w="9653"/>
      </w:tblGrid>
      <w:tr w14:paraId="7E2950EC">
        <w:tblPrEx>
          <w:tblCellMar>
            <w:top w:w="0" w:type="dxa"/>
            <w:left w:w="108" w:type="dxa"/>
            <w:bottom w:w="0" w:type="dxa"/>
            <w:right w:w="108" w:type="dxa"/>
          </w:tblCellMar>
        </w:tblPrEx>
        <w:trPr>
          <w:trHeight w:val="725" w:hRule="atLeast"/>
          <w:tblCellSpacing w:w="0" w:type="dxa"/>
        </w:trPr>
        <w:tc>
          <w:tcPr>
            <w:tcW w:w="9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75B03">
            <w:pPr>
              <w:pStyle w:val="13"/>
              <w:spacing w:beforeAutospacing="0" w:afterAutospacing="0"/>
              <w:jc w:val="center"/>
              <w:rPr>
                <w:color w:val="auto"/>
                <w:highlight w:val="none"/>
              </w:rPr>
            </w:pPr>
            <w:r>
              <w:rPr>
                <w:rFonts w:hint="eastAsia" w:ascii="宋体" w:hAnsi="宋体" w:eastAsia="宋体" w:cs="宋体"/>
                <w:color w:val="auto"/>
                <w:highlight w:val="none"/>
              </w:rPr>
              <w:t>投标总</w:t>
            </w:r>
            <w:r>
              <w:rPr>
                <w:rFonts w:hint="eastAsia" w:ascii="宋体" w:hAnsi="宋体" w:eastAsia="宋体" w:cs="宋体"/>
                <w:color w:val="auto"/>
                <w:highlight w:val="none"/>
                <w:lang w:val="en-US" w:eastAsia="zh-CN"/>
              </w:rPr>
              <w:t>报</w:t>
            </w:r>
            <w:r>
              <w:rPr>
                <w:rFonts w:hint="eastAsia" w:ascii="宋体" w:hAnsi="宋体" w:eastAsia="宋体" w:cs="宋体"/>
                <w:color w:val="auto"/>
                <w:highlight w:val="none"/>
              </w:rPr>
              <w:t>价</w:t>
            </w:r>
          </w:p>
        </w:tc>
      </w:tr>
      <w:tr w14:paraId="22A141A0">
        <w:tblPrEx>
          <w:tblCellMar>
            <w:top w:w="0" w:type="dxa"/>
            <w:left w:w="108" w:type="dxa"/>
            <w:bottom w:w="0" w:type="dxa"/>
            <w:right w:w="108" w:type="dxa"/>
          </w:tblCellMar>
        </w:tblPrEx>
        <w:trPr>
          <w:trHeight w:val="612" w:hRule="atLeast"/>
          <w:tblCellSpacing w:w="0" w:type="dxa"/>
        </w:trPr>
        <w:tc>
          <w:tcPr>
            <w:tcW w:w="9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C6054">
            <w:pPr>
              <w:pStyle w:val="13"/>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大写：</w:t>
            </w:r>
          </w:p>
        </w:tc>
      </w:tr>
      <w:tr w14:paraId="28EF8FAC">
        <w:tblPrEx>
          <w:tblCellMar>
            <w:top w:w="0" w:type="dxa"/>
            <w:left w:w="108" w:type="dxa"/>
            <w:bottom w:w="0" w:type="dxa"/>
            <w:right w:w="108" w:type="dxa"/>
          </w:tblCellMar>
        </w:tblPrEx>
        <w:trPr>
          <w:trHeight w:val="612" w:hRule="atLeast"/>
          <w:tblCellSpacing w:w="0" w:type="dxa"/>
        </w:trPr>
        <w:tc>
          <w:tcPr>
            <w:tcW w:w="9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90BC8">
            <w:pPr>
              <w:pStyle w:val="13"/>
              <w:spacing w:beforeAutospacing="0" w:afterAutospacing="0" w:line="0" w:lineRule="atLeast"/>
              <w:rPr>
                <w:color w:val="auto"/>
                <w:highlight w:val="none"/>
              </w:rPr>
            </w:pPr>
            <w:r>
              <w:rPr>
                <w:rFonts w:hint="eastAsia" w:ascii="宋体" w:hAnsi="宋体" w:eastAsia="宋体" w:cs="宋体"/>
                <w:color w:val="auto"/>
                <w:highlight w:val="none"/>
              </w:rPr>
              <w:t>小写：                        （人民币：元）</w:t>
            </w:r>
          </w:p>
        </w:tc>
      </w:tr>
    </w:tbl>
    <w:p w14:paraId="083F367D">
      <w:pPr>
        <w:pStyle w:val="13"/>
        <w:spacing w:beforeAutospacing="0" w:afterAutospacing="0"/>
        <w:jc w:val="both"/>
        <w:rPr>
          <w:color w:val="auto"/>
          <w:highlight w:val="none"/>
        </w:rPr>
      </w:pPr>
      <w:r>
        <w:rPr>
          <w:color w:val="auto"/>
          <w:highlight w:val="none"/>
        </w:rPr>
        <w:t> </w:t>
      </w:r>
    </w:p>
    <w:p w14:paraId="15F53820">
      <w:pPr>
        <w:pStyle w:val="13"/>
        <w:spacing w:beforeAutospacing="0" w:afterAutospacing="0"/>
        <w:ind w:firstLine="480"/>
        <w:jc w:val="both"/>
        <w:rPr>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B5D6B9D">
      <w:pPr>
        <w:pStyle w:val="13"/>
        <w:spacing w:beforeAutospacing="0" w:afterAutospacing="0"/>
        <w:ind w:firstLine="480"/>
        <w:jc w:val="both"/>
        <w:rPr>
          <w:highlight w:val="none"/>
        </w:rPr>
      </w:pPr>
      <w:r>
        <w:rPr>
          <w:highlight w:val="none"/>
        </w:rPr>
        <w:t> </w:t>
      </w:r>
    </w:p>
    <w:p w14:paraId="283320CC">
      <w:pPr>
        <w:pStyle w:val="13"/>
        <w:spacing w:beforeAutospacing="0" w:afterAutospacing="0" w:line="0" w:lineRule="atLeast"/>
        <w:ind w:firstLine="480"/>
        <w:jc w:val="both"/>
        <w:rPr>
          <w:rFonts w:hint="eastAsia" w:ascii="宋体" w:hAnsi="宋体" w:eastAsia="宋体" w:cs="宋体"/>
          <w:color w:val="000000"/>
          <w:highlight w:val="none"/>
          <w:lang w:val="en-US" w:eastAsia="zh-CN"/>
        </w:rPr>
      </w:pPr>
    </w:p>
    <w:p w14:paraId="29D1AF51">
      <w:pPr>
        <w:widowControl/>
        <w:spacing w:before="50" w:after="50"/>
        <w:jc w:val="center"/>
        <w:rPr>
          <w:highlight w:val="none"/>
        </w:rPr>
      </w:pPr>
      <w:r>
        <w:rPr>
          <w:highlight w:val="none"/>
        </w:rPr>
        <w:tab/>
      </w:r>
    </w:p>
    <w:p w14:paraId="32A3A5EB">
      <w:pPr>
        <w:widowControl/>
        <w:spacing w:before="50" w:after="50"/>
        <w:jc w:val="center"/>
        <w:rPr>
          <w:rFonts w:hint="eastAsia" w:ascii="黑体" w:hAnsi="宋体" w:eastAsia="黑体" w:cs="黑体"/>
          <w:b/>
          <w:color w:val="auto"/>
          <w:kern w:val="0"/>
          <w:sz w:val="32"/>
          <w:szCs w:val="32"/>
          <w:highlight w:val="none"/>
          <w:lang w:val="en-US" w:eastAsia="zh-CN" w:bidi="ar-SA"/>
        </w:rPr>
      </w:pPr>
    </w:p>
    <w:p w14:paraId="3A0616EF">
      <w:pPr>
        <w:widowControl/>
        <w:spacing w:before="50" w:after="50"/>
        <w:jc w:val="center"/>
        <w:rPr>
          <w:rFonts w:hint="eastAsia" w:ascii="黑体" w:hAnsi="宋体" w:eastAsia="黑体" w:cs="黑体"/>
          <w:b/>
          <w:color w:val="auto"/>
          <w:kern w:val="0"/>
          <w:sz w:val="32"/>
          <w:szCs w:val="32"/>
          <w:highlight w:val="none"/>
          <w:lang w:val="en-US" w:eastAsia="zh-CN" w:bidi="ar-SA"/>
        </w:rPr>
      </w:pPr>
    </w:p>
    <w:p w14:paraId="1B023FD6">
      <w:pPr>
        <w:widowControl/>
        <w:spacing w:before="50" w:after="50"/>
        <w:jc w:val="center"/>
        <w:rPr>
          <w:rFonts w:hint="eastAsia" w:ascii="黑体" w:hAnsi="宋体" w:eastAsia="黑体" w:cs="黑体"/>
          <w:b/>
          <w:color w:val="auto"/>
          <w:kern w:val="0"/>
          <w:sz w:val="32"/>
          <w:szCs w:val="32"/>
          <w:highlight w:val="none"/>
          <w:lang w:val="en-US" w:eastAsia="zh-CN" w:bidi="ar-SA"/>
        </w:rPr>
      </w:pPr>
    </w:p>
    <w:p w14:paraId="4AC3261F">
      <w:pPr>
        <w:widowControl/>
        <w:spacing w:before="50" w:after="50"/>
        <w:jc w:val="center"/>
        <w:rPr>
          <w:rFonts w:hint="eastAsia" w:ascii="黑体" w:hAnsi="宋体" w:eastAsia="黑体" w:cs="黑体"/>
          <w:b/>
          <w:color w:val="auto"/>
          <w:kern w:val="0"/>
          <w:sz w:val="32"/>
          <w:szCs w:val="32"/>
          <w:highlight w:val="none"/>
          <w:lang w:val="en-US" w:eastAsia="zh-CN" w:bidi="ar-SA"/>
        </w:rPr>
      </w:pPr>
    </w:p>
    <w:p w14:paraId="14A0DF17">
      <w:pPr>
        <w:widowControl/>
        <w:spacing w:before="50" w:after="50"/>
        <w:jc w:val="center"/>
        <w:rPr>
          <w:rFonts w:hint="eastAsia" w:ascii="黑体" w:hAnsi="宋体" w:eastAsia="黑体" w:cs="黑体"/>
          <w:b/>
          <w:color w:val="auto"/>
          <w:kern w:val="0"/>
          <w:sz w:val="32"/>
          <w:szCs w:val="32"/>
          <w:highlight w:val="none"/>
          <w:lang w:val="en-US" w:eastAsia="zh-CN" w:bidi="ar-SA"/>
        </w:rPr>
      </w:pPr>
    </w:p>
    <w:p w14:paraId="1CAF7A9E">
      <w:pPr>
        <w:rPr>
          <w:rFonts w:hint="eastAsia" w:ascii="黑体" w:hAnsi="宋体" w:eastAsia="黑体" w:cs="黑体"/>
          <w:b/>
          <w:color w:val="auto"/>
          <w:kern w:val="0"/>
          <w:sz w:val="32"/>
          <w:szCs w:val="32"/>
          <w:highlight w:val="none"/>
          <w:lang w:val="en-US" w:eastAsia="zh-CN" w:bidi="ar-SA"/>
        </w:rPr>
      </w:pPr>
    </w:p>
    <w:p w14:paraId="0EB1DD36">
      <w:pPr>
        <w:pStyle w:val="20"/>
        <w:numPr>
          <w:ilvl w:val="2"/>
          <w:numId w:val="0"/>
        </w:numPr>
        <w:ind w:left="288" w:leftChars="0" w:firstLine="0" w:firstLineChars="0"/>
        <w:outlineLvl w:val="9"/>
        <w:rPr>
          <w:rFonts w:hint="eastAsia"/>
          <w:lang w:val="en-US" w:eastAsia="zh-CN"/>
        </w:rPr>
      </w:pPr>
    </w:p>
    <w:p w14:paraId="4544E133">
      <w:pPr>
        <w:widowControl/>
        <w:spacing w:before="50" w:after="50"/>
        <w:jc w:val="center"/>
        <w:rPr>
          <w:rFonts w:hint="eastAsia" w:ascii="黑体" w:hAnsi="宋体" w:eastAsia="黑体" w:cs="黑体"/>
          <w:b/>
          <w:color w:val="auto"/>
          <w:kern w:val="0"/>
          <w:sz w:val="32"/>
          <w:szCs w:val="32"/>
          <w:highlight w:val="none"/>
          <w:lang w:val="en-US" w:eastAsia="zh-CN" w:bidi="ar-SA"/>
        </w:rPr>
      </w:pPr>
    </w:p>
    <w:p w14:paraId="2CE7C8A9">
      <w:pPr>
        <w:widowControl/>
        <w:spacing w:before="50" w:after="50"/>
        <w:jc w:val="center"/>
        <w:rPr>
          <w:rFonts w:hint="eastAsia" w:ascii="黑体" w:hAnsi="宋体" w:eastAsia="黑体" w:cs="黑体"/>
          <w:b/>
          <w:color w:val="auto"/>
          <w:kern w:val="0"/>
          <w:sz w:val="32"/>
          <w:szCs w:val="32"/>
          <w:highlight w:val="none"/>
          <w:lang w:val="en-US" w:eastAsia="zh-CN" w:bidi="ar-SA"/>
        </w:rPr>
      </w:pPr>
    </w:p>
    <w:p w14:paraId="6E3C07EE">
      <w:pPr>
        <w:widowControl/>
        <w:spacing w:before="50" w:after="50"/>
        <w:jc w:val="center"/>
        <w:rPr>
          <w:rFonts w:hint="eastAsia" w:ascii="黑体" w:hAnsi="宋体" w:eastAsia="黑体" w:cs="黑体"/>
          <w:b/>
          <w:color w:val="auto"/>
          <w:kern w:val="0"/>
          <w:sz w:val="32"/>
          <w:szCs w:val="32"/>
          <w:highlight w:val="none"/>
          <w:lang w:val="en-US" w:eastAsia="zh-CN" w:bidi="ar-SA"/>
        </w:rPr>
      </w:pPr>
    </w:p>
    <w:p w14:paraId="34CB50B8">
      <w:pPr>
        <w:widowControl/>
        <w:spacing w:before="50" w:after="50"/>
        <w:jc w:val="center"/>
        <w:rPr>
          <w:rFonts w:hint="eastAsia" w:ascii="黑体" w:hAnsi="宋体" w:eastAsia="黑体" w:cs="黑体"/>
          <w:b/>
          <w:color w:val="auto"/>
          <w:kern w:val="0"/>
          <w:sz w:val="32"/>
          <w:szCs w:val="32"/>
          <w:highlight w:val="none"/>
          <w:lang w:val="en-US" w:eastAsia="zh-CN" w:bidi="ar-SA"/>
        </w:rPr>
      </w:pPr>
    </w:p>
    <w:p w14:paraId="441CB360">
      <w:pPr>
        <w:widowControl/>
        <w:spacing w:before="50" w:after="50"/>
        <w:jc w:val="center"/>
        <w:rPr>
          <w:rFonts w:hint="eastAsia" w:ascii="黑体" w:hAnsi="宋体" w:eastAsia="黑体" w:cs="黑体"/>
          <w:b/>
          <w:color w:val="auto"/>
          <w:kern w:val="0"/>
          <w:sz w:val="32"/>
          <w:szCs w:val="32"/>
          <w:highlight w:val="none"/>
          <w:lang w:val="en-US" w:eastAsia="zh-CN" w:bidi="ar-SA"/>
        </w:rPr>
      </w:pPr>
    </w:p>
    <w:p w14:paraId="30B16ED2">
      <w:pPr>
        <w:widowControl/>
        <w:spacing w:before="50" w:after="50"/>
        <w:jc w:val="center"/>
        <w:rPr>
          <w:rFonts w:hint="eastAsia" w:ascii="黑体" w:hAnsi="宋体" w:eastAsia="黑体" w:cs="黑体"/>
          <w:b/>
          <w:color w:val="auto"/>
          <w:kern w:val="0"/>
          <w:sz w:val="32"/>
          <w:szCs w:val="32"/>
          <w:highlight w:val="none"/>
          <w:lang w:val="en-US" w:eastAsia="zh-CN" w:bidi="ar-SA"/>
        </w:rPr>
      </w:pPr>
    </w:p>
    <w:p w14:paraId="646D1662">
      <w:pPr>
        <w:widowControl/>
        <w:spacing w:before="50" w:after="50"/>
        <w:jc w:val="center"/>
        <w:outlineLvl w:val="0"/>
        <w:rPr>
          <w:rFonts w:hint="eastAsia" w:ascii="黑体" w:hAnsi="宋体" w:eastAsia="黑体" w:cs="黑体"/>
          <w:b/>
          <w:color w:val="auto"/>
          <w:kern w:val="0"/>
          <w:sz w:val="32"/>
          <w:szCs w:val="32"/>
          <w:highlight w:val="none"/>
          <w:lang w:val="en-US" w:eastAsia="zh-CN" w:bidi="ar-SA"/>
        </w:rPr>
      </w:pPr>
      <w:r>
        <w:rPr>
          <w:rFonts w:hint="eastAsia" w:ascii="黑体" w:hAnsi="宋体" w:eastAsia="黑体" w:cs="黑体"/>
          <w:b/>
          <w:color w:val="auto"/>
          <w:kern w:val="0"/>
          <w:sz w:val="32"/>
          <w:szCs w:val="32"/>
          <w:highlight w:val="none"/>
          <w:lang w:val="en-US" w:eastAsia="zh-CN" w:bidi="ar-SA"/>
        </w:rPr>
        <w:t>十五、技术方案、服务承诺、培训承诺等</w:t>
      </w:r>
    </w:p>
    <w:p w14:paraId="28D9935E">
      <w:pPr>
        <w:pStyle w:val="13"/>
        <w:tabs>
          <w:tab w:val="left" w:pos="2160"/>
        </w:tabs>
        <w:spacing w:beforeAutospacing="0" w:afterAutospacing="0"/>
        <w:jc w:val="both"/>
        <w:rPr>
          <w:color w:val="auto"/>
          <w:highlight w:val="none"/>
        </w:rPr>
      </w:pPr>
    </w:p>
    <w:p w14:paraId="02F9CD0D">
      <w:pPr>
        <w:widowControl/>
        <w:spacing w:line="499" w:lineRule="atLeast"/>
        <w:ind w:firstLine="1600"/>
        <w:rPr>
          <w:rFonts w:ascii="宋体" w:hAnsi="宋体" w:eastAsia="宋体" w:cs="宋体"/>
          <w:color w:val="auto"/>
          <w:sz w:val="32"/>
          <w:szCs w:val="32"/>
          <w:highlight w:val="none"/>
        </w:rPr>
      </w:pPr>
    </w:p>
    <w:p w14:paraId="7AA19623">
      <w:pPr>
        <w:widowControl/>
        <w:spacing w:line="499" w:lineRule="atLeast"/>
        <w:ind w:firstLine="1600"/>
        <w:rPr>
          <w:rFonts w:ascii="宋体" w:hAnsi="宋体" w:eastAsia="宋体" w:cs="宋体"/>
          <w:color w:val="auto"/>
          <w:sz w:val="32"/>
          <w:szCs w:val="32"/>
          <w:highlight w:val="none"/>
        </w:rPr>
      </w:pPr>
    </w:p>
    <w:p w14:paraId="31658210">
      <w:pPr>
        <w:widowControl/>
        <w:spacing w:line="499" w:lineRule="atLeast"/>
        <w:ind w:firstLine="1600"/>
        <w:rPr>
          <w:rFonts w:ascii="宋体" w:hAnsi="宋体" w:eastAsia="宋体" w:cs="宋体"/>
          <w:color w:val="auto"/>
          <w:sz w:val="32"/>
          <w:szCs w:val="32"/>
          <w:highlight w:val="none"/>
        </w:rPr>
      </w:pPr>
    </w:p>
    <w:p w14:paraId="6BC32E43">
      <w:pPr>
        <w:widowControl/>
        <w:spacing w:line="499" w:lineRule="atLeast"/>
        <w:ind w:firstLine="1600"/>
        <w:rPr>
          <w:rFonts w:ascii="宋体" w:hAnsi="宋体" w:eastAsia="宋体" w:cs="宋体"/>
          <w:color w:val="auto"/>
          <w:sz w:val="32"/>
          <w:szCs w:val="32"/>
          <w:highlight w:val="none"/>
        </w:rPr>
      </w:pPr>
    </w:p>
    <w:p w14:paraId="3C68865B">
      <w:pPr>
        <w:widowControl/>
        <w:spacing w:line="499" w:lineRule="atLeast"/>
        <w:ind w:firstLine="1600"/>
        <w:rPr>
          <w:rFonts w:ascii="宋体" w:hAnsi="宋体" w:eastAsia="宋体" w:cs="宋体"/>
          <w:color w:val="auto"/>
          <w:sz w:val="32"/>
          <w:szCs w:val="32"/>
          <w:highlight w:val="none"/>
        </w:rPr>
      </w:pPr>
    </w:p>
    <w:p w14:paraId="58C8BDB0">
      <w:pPr>
        <w:widowControl/>
        <w:spacing w:line="499" w:lineRule="atLeast"/>
        <w:ind w:firstLine="1600"/>
        <w:rPr>
          <w:rFonts w:ascii="宋体" w:hAnsi="宋体" w:eastAsia="宋体" w:cs="宋体"/>
          <w:color w:val="auto"/>
          <w:sz w:val="32"/>
          <w:szCs w:val="32"/>
          <w:highlight w:val="none"/>
        </w:rPr>
      </w:pPr>
    </w:p>
    <w:p w14:paraId="593A446F">
      <w:pPr>
        <w:widowControl/>
        <w:spacing w:line="499" w:lineRule="atLeast"/>
        <w:ind w:firstLine="1600"/>
        <w:rPr>
          <w:rFonts w:ascii="宋体" w:hAnsi="宋体" w:eastAsia="宋体" w:cs="宋体"/>
          <w:color w:val="auto"/>
          <w:sz w:val="32"/>
          <w:szCs w:val="32"/>
          <w:highlight w:val="none"/>
        </w:rPr>
      </w:pPr>
    </w:p>
    <w:p w14:paraId="07794BED">
      <w:pPr>
        <w:widowControl/>
        <w:spacing w:line="499" w:lineRule="atLeast"/>
        <w:ind w:firstLine="1600"/>
        <w:rPr>
          <w:rFonts w:ascii="宋体" w:hAnsi="宋体" w:eastAsia="宋体" w:cs="宋体"/>
          <w:color w:val="auto"/>
          <w:sz w:val="32"/>
          <w:szCs w:val="32"/>
          <w:highlight w:val="none"/>
        </w:rPr>
      </w:pPr>
    </w:p>
    <w:p w14:paraId="27B13C10">
      <w:pPr>
        <w:widowControl/>
        <w:spacing w:line="499" w:lineRule="atLeast"/>
        <w:ind w:firstLine="1600"/>
        <w:rPr>
          <w:rFonts w:ascii="宋体" w:hAnsi="宋体" w:eastAsia="宋体" w:cs="宋体"/>
          <w:color w:val="auto"/>
          <w:sz w:val="32"/>
          <w:szCs w:val="32"/>
          <w:highlight w:val="none"/>
        </w:rPr>
      </w:pPr>
    </w:p>
    <w:p w14:paraId="13C3A386">
      <w:pPr>
        <w:widowControl/>
        <w:spacing w:line="499" w:lineRule="atLeast"/>
        <w:ind w:firstLine="1600"/>
        <w:rPr>
          <w:rFonts w:ascii="宋体" w:hAnsi="宋体" w:eastAsia="宋体" w:cs="宋体"/>
          <w:color w:val="auto"/>
          <w:sz w:val="32"/>
          <w:szCs w:val="32"/>
          <w:highlight w:val="none"/>
        </w:rPr>
      </w:pPr>
    </w:p>
    <w:p w14:paraId="2C74F68B">
      <w:pPr>
        <w:widowControl/>
        <w:spacing w:line="499" w:lineRule="atLeast"/>
        <w:ind w:firstLine="1600"/>
        <w:rPr>
          <w:rFonts w:ascii="宋体" w:hAnsi="宋体" w:eastAsia="宋体" w:cs="宋体"/>
          <w:color w:val="auto"/>
          <w:sz w:val="32"/>
          <w:szCs w:val="32"/>
          <w:highlight w:val="none"/>
        </w:rPr>
      </w:pPr>
    </w:p>
    <w:p w14:paraId="64017080">
      <w:pPr>
        <w:widowControl/>
        <w:spacing w:line="499" w:lineRule="atLeast"/>
        <w:ind w:firstLine="1600"/>
        <w:rPr>
          <w:rFonts w:ascii="宋体" w:hAnsi="宋体" w:eastAsia="宋体" w:cs="宋体"/>
          <w:color w:val="auto"/>
          <w:sz w:val="32"/>
          <w:szCs w:val="32"/>
          <w:highlight w:val="none"/>
        </w:rPr>
      </w:pPr>
    </w:p>
    <w:p w14:paraId="3966CDFA">
      <w:pPr>
        <w:widowControl/>
        <w:spacing w:line="499" w:lineRule="atLeast"/>
        <w:ind w:firstLine="1600"/>
        <w:rPr>
          <w:rFonts w:ascii="宋体" w:hAnsi="宋体" w:eastAsia="宋体" w:cs="宋体"/>
          <w:color w:val="auto"/>
          <w:sz w:val="32"/>
          <w:szCs w:val="32"/>
          <w:highlight w:val="none"/>
        </w:rPr>
      </w:pPr>
    </w:p>
    <w:p w14:paraId="79424832">
      <w:pPr>
        <w:widowControl/>
        <w:spacing w:line="499" w:lineRule="atLeast"/>
        <w:ind w:firstLine="1600"/>
        <w:rPr>
          <w:rFonts w:ascii="宋体" w:hAnsi="宋体" w:eastAsia="宋体" w:cs="宋体"/>
          <w:color w:val="auto"/>
          <w:sz w:val="32"/>
          <w:szCs w:val="32"/>
          <w:highlight w:val="none"/>
        </w:rPr>
      </w:pPr>
    </w:p>
    <w:p w14:paraId="2AA4278C">
      <w:pPr>
        <w:widowControl/>
        <w:spacing w:line="499" w:lineRule="atLeast"/>
        <w:ind w:firstLine="1600"/>
        <w:rPr>
          <w:rFonts w:ascii="宋体" w:hAnsi="宋体" w:eastAsia="宋体" w:cs="宋体"/>
          <w:color w:val="auto"/>
          <w:sz w:val="32"/>
          <w:szCs w:val="32"/>
          <w:highlight w:val="none"/>
        </w:rPr>
      </w:pPr>
    </w:p>
    <w:p w14:paraId="0A99C98C">
      <w:pPr>
        <w:widowControl/>
        <w:spacing w:line="499" w:lineRule="atLeast"/>
        <w:ind w:firstLine="1600"/>
        <w:rPr>
          <w:rFonts w:ascii="宋体" w:hAnsi="宋体" w:eastAsia="宋体" w:cs="宋体"/>
          <w:color w:val="auto"/>
          <w:sz w:val="32"/>
          <w:szCs w:val="32"/>
          <w:highlight w:val="none"/>
        </w:rPr>
      </w:pPr>
    </w:p>
    <w:p w14:paraId="14AA607D">
      <w:pPr>
        <w:widowControl/>
        <w:spacing w:line="499" w:lineRule="atLeast"/>
        <w:ind w:firstLine="1600"/>
        <w:rPr>
          <w:rFonts w:ascii="宋体" w:hAnsi="宋体" w:eastAsia="宋体" w:cs="宋体"/>
          <w:color w:val="auto"/>
          <w:sz w:val="32"/>
          <w:szCs w:val="32"/>
          <w:highlight w:val="none"/>
        </w:rPr>
      </w:pPr>
    </w:p>
    <w:p w14:paraId="0BFF09C9">
      <w:pPr>
        <w:widowControl/>
        <w:spacing w:line="499" w:lineRule="atLeast"/>
        <w:ind w:firstLine="1600"/>
        <w:rPr>
          <w:rFonts w:ascii="宋体" w:hAnsi="宋体" w:eastAsia="宋体" w:cs="宋体"/>
          <w:color w:val="auto"/>
          <w:sz w:val="32"/>
          <w:szCs w:val="32"/>
          <w:highlight w:val="none"/>
        </w:rPr>
      </w:pPr>
    </w:p>
    <w:p w14:paraId="0983B32A">
      <w:pPr>
        <w:widowControl/>
        <w:spacing w:line="499" w:lineRule="atLeast"/>
        <w:ind w:firstLine="1600"/>
        <w:rPr>
          <w:rFonts w:ascii="宋体" w:hAnsi="宋体" w:eastAsia="宋体" w:cs="宋体"/>
          <w:color w:val="auto"/>
          <w:sz w:val="32"/>
          <w:szCs w:val="32"/>
          <w:highlight w:val="none"/>
        </w:rPr>
      </w:pPr>
    </w:p>
    <w:p w14:paraId="662287E2">
      <w:pPr>
        <w:widowControl/>
        <w:spacing w:line="499" w:lineRule="atLeast"/>
        <w:ind w:firstLine="1600"/>
        <w:rPr>
          <w:rFonts w:ascii="宋体" w:hAnsi="宋体" w:eastAsia="宋体" w:cs="宋体"/>
          <w:color w:val="auto"/>
          <w:sz w:val="32"/>
          <w:szCs w:val="32"/>
          <w:highlight w:val="none"/>
        </w:rPr>
      </w:pPr>
    </w:p>
    <w:p w14:paraId="7F80BB01">
      <w:pPr>
        <w:widowControl/>
        <w:spacing w:before="50" w:after="50"/>
        <w:jc w:val="center"/>
        <w:rPr>
          <w:rFonts w:hint="eastAsia" w:ascii="黑体" w:hAnsi="宋体" w:eastAsia="黑体" w:cs="黑体"/>
          <w:b/>
          <w:color w:val="auto"/>
          <w:kern w:val="0"/>
          <w:sz w:val="32"/>
          <w:szCs w:val="32"/>
          <w:highlight w:val="none"/>
          <w:lang w:val="en-US" w:eastAsia="zh-CN" w:bidi="ar-SA"/>
        </w:rPr>
      </w:pPr>
    </w:p>
    <w:p w14:paraId="3D56904B">
      <w:pPr>
        <w:widowControl/>
        <w:spacing w:before="50" w:after="50"/>
        <w:jc w:val="center"/>
        <w:outlineLvl w:val="0"/>
        <w:rPr>
          <w:rFonts w:ascii="宋体" w:hAnsi="宋体" w:eastAsia="宋体" w:cs="宋体"/>
          <w:color w:val="auto"/>
          <w:sz w:val="24"/>
          <w:highlight w:val="none"/>
        </w:rPr>
      </w:pPr>
      <w:r>
        <w:rPr>
          <w:rFonts w:hint="eastAsia" w:ascii="黑体" w:hAnsi="宋体" w:eastAsia="黑体" w:cs="黑体"/>
          <w:b/>
          <w:color w:val="auto"/>
          <w:kern w:val="0"/>
          <w:sz w:val="32"/>
          <w:szCs w:val="32"/>
          <w:highlight w:val="none"/>
          <w:lang w:val="en-US" w:eastAsia="zh-CN" w:bidi="ar-SA"/>
        </w:rPr>
        <w:t>十六、盐城市政府采购事前信用承诺书</w:t>
      </w:r>
    </w:p>
    <w:p w14:paraId="1A73DC38">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5D78B5DD">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虚假成分</w:t>
      </w:r>
      <w:r>
        <w:rPr>
          <w:rFonts w:hint="eastAsia" w:ascii="宋体" w:hAnsi="宋体" w:eastAsia="宋体" w:cs="宋体"/>
          <w:color w:val="auto"/>
          <w:sz w:val="24"/>
          <w:highlight w:val="none"/>
        </w:rPr>
        <w:t>，并对所提供资料的真实性负责；</w:t>
      </w:r>
    </w:p>
    <w:p w14:paraId="5E36E09B">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03FA5BF">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p>
    <w:p w14:paraId="6A437CFB">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（四）严格遵守即时信息公示规定，及时</w:t>
      </w:r>
      <w:r>
        <w:rPr>
          <w:rFonts w:hint="eastAsia" w:ascii="宋体" w:hAnsi="宋体" w:eastAsia="宋体" w:cs="宋体"/>
          <w:color w:val="auto"/>
          <w:sz w:val="24"/>
          <w:highlight w:val="none"/>
          <w:lang w:eastAsia="zh-CN"/>
        </w:rPr>
        <w:t>维护和更新</w:t>
      </w:r>
      <w:r>
        <w:rPr>
          <w:rFonts w:hint="eastAsia" w:ascii="宋体" w:hAnsi="宋体" w:eastAsia="宋体" w:cs="宋体"/>
          <w:color w:val="auto"/>
          <w:sz w:val="24"/>
          <w:highlight w:val="none"/>
        </w:rPr>
        <w:t>盐城市政府采购网中与本单位相关的信息；</w:t>
      </w:r>
    </w:p>
    <w:p w14:paraId="75BF0283">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31C3CDD4">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（六）自觉接受政府、行业组织、社会公众、新闻舆论的监督；</w:t>
      </w:r>
    </w:p>
    <w:p w14:paraId="3389B576">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66F9181E">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（八）本人已认真阅读了上述承诺，并向本单位员工作了宣传教育。</w:t>
      </w:r>
    </w:p>
    <w:p w14:paraId="66F3779A">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法定代表人签名：</w:t>
      </w:r>
    </w:p>
    <w:p w14:paraId="204A50F5">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69E80341">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年月日</w:t>
      </w:r>
    </w:p>
    <w:p w14:paraId="22DA320C">
      <w:pPr>
        <w:pStyle w:val="13"/>
        <w:spacing w:beforeAutospacing="0" w:afterAutospacing="0"/>
        <w:jc w:val="center"/>
        <w:rPr>
          <w:color w:val="auto"/>
          <w:highlight w:val="none"/>
        </w:rPr>
      </w:pPr>
    </w:p>
    <w:p w14:paraId="58E58F66">
      <w:pPr>
        <w:rPr>
          <w:color w:val="auto"/>
          <w:highlight w:val="none"/>
        </w:rPr>
      </w:pPr>
    </w:p>
    <w:p w14:paraId="3CE80E6D">
      <w:pPr>
        <w:pStyle w:val="13"/>
        <w:spacing w:beforeAutospacing="0" w:afterAutospacing="0"/>
        <w:jc w:val="center"/>
        <w:rPr>
          <w:rFonts w:hint="eastAsia" w:ascii="宋体" w:hAnsi="宋体" w:eastAsia="宋体" w:cs="宋体"/>
          <w:b/>
          <w:color w:val="auto"/>
          <w:sz w:val="32"/>
          <w:szCs w:val="32"/>
          <w:highlight w:val="none"/>
        </w:rPr>
      </w:pPr>
    </w:p>
    <w:p w14:paraId="29FE9F27">
      <w:pPr>
        <w:pStyle w:val="13"/>
        <w:spacing w:beforeAutospacing="0" w:afterAutospacing="0"/>
        <w:jc w:val="center"/>
        <w:rPr>
          <w:rFonts w:hint="eastAsia" w:ascii="宋体" w:hAnsi="宋体" w:eastAsia="宋体" w:cs="宋体"/>
          <w:b/>
          <w:color w:val="auto"/>
          <w:sz w:val="32"/>
          <w:szCs w:val="32"/>
          <w:highlight w:val="none"/>
        </w:rPr>
      </w:pPr>
    </w:p>
    <w:p w14:paraId="07E01BB0">
      <w:pPr>
        <w:pStyle w:val="13"/>
        <w:spacing w:beforeAutospacing="0" w:afterAutospacing="0"/>
        <w:jc w:val="center"/>
        <w:rPr>
          <w:rFonts w:hint="eastAsia" w:ascii="宋体" w:hAnsi="宋体" w:eastAsia="宋体" w:cs="宋体"/>
          <w:b/>
          <w:color w:val="auto"/>
          <w:sz w:val="32"/>
          <w:szCs w:val="32"/>
          <w:highlight w:val="none"/>
        </w:rPr>
      </w:pPr>
    </w:p>
    <w:p w14:paraId="7A39BF98">
      <w:pPr>
        <w:pStyle w:val="13"/>
        <w:spacing w:beforeAutospacing="0" w:afterAutospacing="0"/>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386628B6">
      <w:pPr>
        <w:pStyle w:val="13"/>
        <w:spacing w:before="290" w:beforeAutospacing="0" w:afterAutospacing="0" w:line="360" w:lineRule="auto"/>
        <w:jc w:val="both"/>
        <w:outlineLvl w:val="0"/>
        <w:rPr>
          <w:rFonts w:ascii="宋体" w:hAnsi="宋体" w:eastAsia="宋体" w:cs="宋体"/>
          <w:color w:val="auto"/>
          <w:highlight w:val="none"/>
        </w:rPr>
      </w:pPr>
      <w:r>
        <w:rPr>
          <w:rFonts w:hint="eastAsia" w:ascii="宋体" w:hAnsi="宋体" w:eastAsia="宋体" w:cs="宋体"/>
          <w:color w:val="auto"/>
          <w:highlight w:val="none"/>
        </w:rPr>
        <w:t>一、质疑供应商基本信息</w:t>
      </w:r>
    </w:p>
    <w:p w14:paraId="31CCB093">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B27368C">
      <w:pPr>
        <w:pStyle w:val="1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1A3DD351">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8DFFD04">
      <w:pPr>
        <w:pStyle w:val="1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B68A9BB">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4B52E9FC">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5C6DE67">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845BA02">
      <w:pPr>
        <w:pStyle w:val="1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B924261">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5A2FDD54">
      <w:pPr>
        <w:pStyle w:val="13"/>
        <w:spacing w:beforeAutospacing="0" w:afterAutospacing="0" w:line="360" w:lineRule="auto"/>
        <w:jc w:val="both"/>
        <w:outlineLvl w:val="0"/>
        <w:rPr>
          <w:rFonts w:ascii="宋体" w:hAnsi="宋体" w:eastAsia="宋体" w:cs="宋体"/>
          <w:color w:val="auto"/>
          <w:highlight w:val="none"/>
        </w:rPr>
      </w:pPr>
      <w:r>
        <w:rPr>
          <w:rFonts w:hint="eastAsia" w:ascii="宋体" w:hAnsi="宋体" w:eastAsia="宋体" w:cs="宋体"/>
          <w:color w:val="auto"/>
          <w:highlight w:val="none"/>
        </w:rPr>
        <w:t>二、质疑项目基本情况</w:t>
      </w:r>
    </w:p>
    <w:p w14:paraId="726433BD">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09AE9929">
      <w:pPr>
        <w:pStyle w:val="1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03E41B08">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5468CFE">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1DCED034">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lang w:val="en-US" w:eastAsia="zh-CN"/>
        </w:rPr>
        <w:t>磋商</w:t>
      </w:r>
      <w:r>
        <w:rPr>
          <w:rFonts w:hint="eastAsia" w:ascii="宋体" w:hAnsi="宋体" w:eastAsia="宋体" w:cs="宋体"/>
          <w:color w:val="auto"/>
          <w:highlight w:val="none"/>
        </w:rPr>
        <w:t>文件获取日期：</w:t>
      </w:r>
      <w:r>
        <w:rPr>
          <w:rFonts w:hint="eastAsia" w:ascii="宋体" w:hAnsi="宋体" w:eastAsia="宋体" w:cs="宋体"/>
          <w:color w:val="auto"/>
          <w:highlight w:val="none"/>
          <w:u w:val="single"/>
        </w:rPr>
        <w:t xml:space="preserve">                             </w:t>
      </w:r>
    </w:p>
    <w:p w14:paraId="3D1EFEF0">
      <w:pPr>
        <w:pStyle w:val="13"/>
        <w:spacing w:beforeAutospacing="0" w:afterAutospacing="0" w:line="360" w:lineRule="auto"/>
        <w:jc w:val="both"/>
        <w:outlineLvl w:val="0"/>
        <w:rPr>
          <w:rFonts w:ascii="宋体" w:hAnsi="宋体" w:eastAsia="宋体" w:cs="宋体"/>
          <w:color w:val="auto"/>
          <w:highlight w:val="none"/>
        </w:rPr>
      </w:pPr>
      <w:r>
        <w:rPr>
          <w:rFonts w:hint="eastAsia" w:ascii="宋体" w:hAnsi="宋体" w:eastAsia="宋体" w:cs="宋体"/>
          <w:color w:val="auto"/>
          <w:highlight w:val="none"/>
        </w:rPr>
        <w:t>三、质疑事项具体内容</w:t>
      </w:r>
    </w:p>
    <w:p w14:paraId="46043221">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2BEA6041">
      <w:pPr>
        <w:pStyle w:val="13"/>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2C720598">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33F79D14">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质疑事项2</w:t>
      </w:r>
    </w:p>
    <w:p w14:paraId="20671B2B">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w:t>
      </w:r>
    </w:p>
    <w:p w14:paraId="2EE896A2">
      <w:pPr>
        <w:pStyle w:val="13"/>
        <w:spacing w:beforeAutospacing="0" w:afterAutospacing="0" w:line="360" w:lineRule="auto"/>
        <w:jc w:val="both"/>
        <w:outlineLvl w:val="0"/>
        <w:rPr>
          <w:rFonts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3D34869A">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4C2A48DF">
      <w:pPr>
        <w:pStyle w:val="13"/>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337B948A">
      <w:pPr>
        <w:pStyle w:val="13"/>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b/>
          <w:color w:val="auto"/>
          <w:highlight w:val="none"/>
        </w:rPr>
        <w:t>质疑函制作说明：</w:t>
      </w:r>
    </w:p>
    <w:p w14:paraId="1F9F995A">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6A90D8D0">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D426DE7">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699B444D">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2686FE79">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41CC85A3">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2557C6C0">
      <w:pPr>
        <w:pStyle w:val="13"/>
        <w:spacing w:beforeAutospacing="0" w:afterAutospacing="0"/>
        <w:ind w:firstLine="420"/>
        <w:jc w:val="both"/>
        <w:rPr>
          <w:rFonts w:ascii="宋体" w:hAnsi="宋体" w:eastAsia="宋体" w:cs="宋体"/>
          <w:color w:val="auto"/>
          <w:highlight w:val="none"/>
        </w:rPr>
      </w:pPr>
      <w:r>
        <w:rPr>
          <w:rFonts w:hint="eastAsia" w:ascii="宋体" w:hAnsi="宋体" w:eastAsia="宋体" w:cs="宋体"/>
          <w:color w:val="auto"/>
          <w:highlight w:val="none"/>
        </w:rPr>
        <w:t> </w:t>
      </w:r>
    </w:p>
    <w:p w14:paraId="1CDAE952">
      <w:pPr>
        <w:rPr>
          <w:color w:val="auto"/>
          <w:highlight w:val="none"/>
        </w:rPr>
      </w:pPr>
    </w:p>
    <w:p w14:paraId="214D313A">
      <w:pPr>
        <w:pStyle w:val="13"/>
        <w:spacing w:beforeAutospacing="0" w:afterAutospacing="0"/>
        <w:ind w:firstLine="420"/>
        <w:jc w:val="both"/>
        <w:rPr>
          <w:color w:val="auto"/>
          <w:highlight w:val="none"/>
        </w:rPr>
      </w:pPr>
      <w:r>
        <w:rPr>
          <w:color w:val="auto"/>
          <w:highlight w:val="none"/>
        </w:rPr>
        <w:t> </w:t>
      </w:r>
    </w:p>
    <w:bookmarkEnd w:id="6"/>
    <w:bookmarkEnd w:id="41"/>
    <w:bookmarkEnd w:id="88"/>
    <w:bookmarkEnd w:id="89"/>
    <w:bookmarkEnd w:id="90"/>
    <w:bookmarkEnd w:id="91"/>
    <w:bookmarkEnd w:id="92"/>
    <w:bookmarkEnd w:id="93"/>
    <w:bookmarkEnd w:id="94"/>
    <w:bookmarkEnd w:id="95"/>
    <w:bookmarkEnd w:id="104"/>
    <w:bookmarkEnd w:id="105"/>
    <w:bookmarkEnd w:id="112"/>
    <w:bookmarkEnd w:id="161"/>
    <w:bookmarkEnd w:id="162"/>
    <w:bookmarkEnd w:id="168"/>
    <w:bookmarkEnd w:id="169"/>
    <w:bookmarkEnd w:id="170"/>
    <w:bookmarkEnd w:id="171"/>
    <w:bookmarkEnd w:id="172"/>
    <w:bookmarkEnd w:id="173"/>
    <w:bookmarkEnd w:id="174"/>
    <w:bookmarkEnd w:id="175"/>
    <w:bookmarkEnd w:id="176"/>
    <w:bookmarkEnd w:id="177"/>
    <w:bookmarkEnd w:id="178"/>
    <w:bookmarkEnd w:id="179"/>
    <w:bookmarkEnd w:id="180"/>
    <w:p w14:paraId="40029B73">
      <w:pPr>
        <w:rPr>
          <w:color w:val="auto"/>
          <w:highlight w:val="none"/>
        </w:rPr>
      </w:pPr>
    </w:p>
    <w:sectPr>
      <w:footerReference r:id="rId3" w:type="default"/>
      <w:pgSz w:w="11906" w:h="16838"/>
      <w:pgMar w:top="1134" w:right="1134" w:bottom="1134" w:left="1134"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方正魏碑_GBK">
    <w:altName w:val="宋体"/>
    <w:panose1 w:val="03000509000000000000"/>
    <w:charset w:val="86"/>
    <w:family w:val="script"/>
    <w:pitch w:val="default"/>
    <w:sig w:usb0="00000000" w:usb1="00000000" w:usb2="00000010" w:usb3="00000000" w:csb0="00040000"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F8959">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B984B8">
                          <w:pPr>
                            <w:pStyle w:val="11"/>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1B984B8">
                    <w:pPr>
                      <w:pStyle w:val="11"/>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83BCD2"/>
    <w:multiLevelType w:val="singleLevel"/>
    <w:tmpl w:val="8583BCD2"/>
    <w:lvl w:ilvl="0" w:tentative="0">
      <w:start w:val="11"/>
      <w:numFmt w:val="chineseCounting"/>
      <w:suff w:val="nothing"/>
      <w:lvlText w:val="%1、"/>
      <w:lvlJc w:val="left"/>
      <w:rPr>
        <w:rFonts w:hint="eastAsia"/>
      </w:rPr>
    </w:lvl>
  </w:abstractNum>
  <w:abstractNum w:abstractNumId="1">
    <w:nsid w:val="C6EBBEA5"/>
    <w:multiLevelType w:val="singleLevel"/>
    <w:tmpl w:val="C6EBBEA5"/>
    <w:lvl w:ilvl="0" w:tentative="0">
      <w:start w:val="1"/>
      <w:numFmt w:val="decimal"/>
      <w:suff w:val="space"/>
      <w:lvlText w:val="%1."/>
      <w:lvlJc w:val="left"/>
    </w:lvl>
  </w:abstractNum>
  <w:abstractNum w:abstractNumId="2">
    <w:nsid w:val="0053208E"/>
    <w:multiLevelType w:val="multilevel"/>
    <w:tmpl w:val="0053208E"/>
    <w:lvl w:ilvl="0" w:tentative="0">
      <w:start w:val="1"/>
      <w:numFmt w:val="decimal"/>
      <w:lvlText w:val="第%1章"/>
      <w:lvlJc w:val="left"/>
      <w:pPr>
        <w:tabs>
          <w:tab w:val="left" w:pos="851"/>
        </w:tabs>
        <w:ind w:left="0" w:firstLine="0"/>
      </w:pPr>
      <w:rPr>
        <w:rFonts w:hint="eastAsia"/>
      </w:rPr>
    </w:lvl>
    <w:lvl w:ilvl="1" w:tentative="0">
      <w:start w:val="1"/>
      <w:numFmt w:val="decimalZero"/>
      <w:lvlText w:val="节 %1.%2"/>
      <w:lvlJc w:val="left"/>
      <w:pPr>
        <w:tabs>
          <w:tab w:val="left" w:pos="720"/>
        </w:tabs>
        <w:ind w:left="0" w:firstLine="0"/>
      </w:pPr>
      <w:rPr>
        <w:rFonts w:hint="eastAsia"/>
      </w:rPr>
    </w:lvl>
    <w:lvl w:ilvl="2" w:tentative="0">
      <w:start w:val="1"/>
      <w:numFmt w:val="lowerLetter"/>
      <w:pStyle w:val="20"/>
      <w:lvlText w:val="(%3)"/>
      <w:lvlJc w:val="left"/>
      <w:pPr>
        <w:tabs>
          <w:tab w:val="left" w:pos="720"/>
        </w:tabs>
        <w:ind w:left="720" w:hanging="432"/>
      </w:pPr>
      <w:rPr>
        <w:rFonts w:hint="eastAsia"/>
      </w:rPr>
    </w:lvl>
    <w:lvl w:ilvl="3" w:tentative="0">
      <w:start w:val="1"/>
      <w:numFmt w:val="lowerRoman"/>
      <w:lvlText w:val="(%4)"/>
      <w:lvlJc w:val="right"/>
      <w:pPr>
        <w:tabs>
          <w:tab w:val="left" w:pos="864"/>
        </w:tabs>
        <w:ind w:left="864" w:hanging="144"/>
      </w:pPr>
      <w:rPr>
        <w:rFonts w:hint="eastAsia"/>
      </w:rPr>
    </w:lvl>
    <w:lvl w:ilvl="4" w:tentative="0">
      <w:start w:val="1"/>
      <w:numFmt w:val="decimal"/>
      <w:lvlText w:val="%5)"/>
      <w:lvlJc w:val="left"/>
      <w:pPr>
        <w:tabs>
          <w:tab w:val="left" w:pos="1008"/>
        </w:tabs>
        <w:ind w:left="1008" w:hanging="432"/>
      </w:pPr>
      <w:rPr>
        <w:rFonts w:hint="eastAsia"/>
      </w:rPr>
    </w:lvl>
    <w:lvl w:ilvl="5" w:tentative="0">
      <w:start w:val="1"/>
      <w:numFmt w:val="lowerLetter"/>
      <w:lvlText w:val="%6)"/>
      <w:lvlJc w:val="left"/>
      <w:pPr>
        <w:tabs>
          <w:tab w:val="left" w:pos="1152"/>
        </w:tabs>
        <w:ind w:left="1152" w:hanging="432"/>
      </w:pPr>
      <w:rPr>
        <w:rFonts w:hint="eastAsia"/>
      </w:rPr>
    </w:lvl>
    <w:lvl w:ilvl="6" w:tentative="0">
      <w:start w:val="1"/>
      <w:numFmt w:val="lowerRoman"/>
      <w:lvlText w:val="%7)"/>
      <w:lvlJc w:val="right"/>
      <w:pPr>
        <w:tabs>
          <w:tab w:val="left" w:pos="1296"/>
        </w:tabs>
        <w:ind w:left="1296" w:hanging="288"/>
      </w:pPr>
      <w:rPr>
        <w:rFonts w:hint="eastAsia"/>
      </w:rPr>
    </w:lvl>
    <w:lvl w:ilvl="7" w:tentative="0">
      <w:start w:val="1"/>
      <w:numFmt w:val="lowerLetter"/>
      <w:lvlText w:val="%8."/>
      <w:lvlJc w:val="left"/>
      <w:pPr>
        <w:tabs>
          <w:tab w:val="left" w:pos="1440"/>
        </w:tabs>
        <w:ind w:left="1440" w:hanging="432"/>
      </w:pPr>
      <w:rPr>
        <w:rFonts w:hint="eastAsia"/>
      </w:rPr>
    </w:lvl>
    <w:lvl w:ilvl="8" w:tentative="0">
      <w:start w:val="1"/>
      <w:numFmt w:val="lowerRoman"/>
      <w:lvlText w:val="%9."/>
      <w:lvlJc w:val="right"/>
      <w:pPr>
        <w:tabs>
          <w:tab w:val="left" w:pos="1584"/>
        </w:tabs>
        <w:ind w:left="1584" w:hanging="144"/>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0526B"/>
    <w:rsid w:val="000D1236"/>
    <w:rsid w:val="001157CE"/>
    <w:rsid w:val="00137369"/>
    <w:rsid w:val="00172A27"/>
    <w:rsid w:val="001B0A39"/>
    <w:rsid w:val="001D3737"/>
    <w:rsid w:val="001E339B"/>
    <w:rsid w:val="001F4DB3"/>
    <w:rsid w:val="0021548B"/>
    <w:rsid w:val="00243914"/>
    <w:rsid w:val="00247343"/>
    <w:rsid w:val="002652C7"/>
    <w:rsid w:val="004529E6"/>
    <w:rsid w:val="004E30FC"/>
    <w:rsid w:val="00505279"/>
    <w:rsid w:val="00574956"/>
    <w:rsid w:val="0057550E"/>
    <w:rsid w:val="005A6106"/>
    <w:rsid w:val="005D0090"/>
    <w:rsid w:val="005E27FF"/>
    <w:rsid w:val="006A7CB5"/>
    <w:rsid w:val="006C3327"/>
    <w:rsid w:val="007255D8"/>
    <w:rsid w:val="00772667"/>
    <w:rsid w:val="008731E3"/>
    <w:rsid w:val="00895AD0"/>
    <w:rsid w:val="0092109E"/>
    <w:rsid w:val="00953741"/>
    <w:rsid w:val="00A103BF"/>
    <w:rsid w:val="00A840E7"/>
    <w:rsid w:val="00AD22C6"/>
    <w:rsid w:val="00AE219B"/>
    <w:rsid w:val="00B62979"/>
    <w:rsid w:val="00BA17CD"/>
    <w:rsid w:val="00C577B1"/>
    <w:rsid w:val="00D04E7E"/>
    <w:rsid w:val="00D33C33"/>
    <w:rsid w:val="00D550E3"/>
    <w:rsid w:val="00DA5DBE"/>
    <w:rsid w:val="00E27CDE"/>
    <w:rsid w:val="00E551A0"/>
    <w:rsid w:val="00EB03C2"/>
    <w:rsid w:val="00EB1C0E"/>
    <w:rsid w:val="00F63BA2"/>
    <w:rsid w:val="00F71987"/>
    <w:rsid w:val="00FD0513"/>
    <w:rsid w:val="00FD2A7E"/>
    <w:rsid w:val="00FE5DE6"/>
    <w:rsid w:val="01343DDD"/>
    <w:rsid w:val="014036E0"/>
    <w:rsid w:val="015C3D17"/>
    <w:rsid w:val="01AA53CD"/>
    <w:rsid w:val="01AC62C4"/>
    <w:rsid w:val="023A2E4D"/>
    <w:rsid w:val="02714395"/>
    <w:rsid w:val="027817E3"/>
    <w:rsid w:val="02851591"/>
    <w:rsid w:val="02BD5381"/>
    <w:rsid w:val="02CE17E8"/>
    <w:rsid w:val="02D505AD"/>
    <w:rsid w:val="02EF2C78"/>
    <w:rsid w:val="034A325D"/>
    <w:rsid w:val="034E4AD1"/>
    <w:rsid w:val="037E0789"/>
    <w:rsid w:val="03A964DC"/>
    <w:rsid w:val="03CD7E04"/>
    <w:rsid w:val="04241DDC"/>
    <w:rsid w:val="04335DA6"/>
    <w:rsid w:val="044C0C16"/>
    <w:rsid w:val="047B6996"/>
    <w:rsid w:val="047C2E20"/>
    <w:rsid w:val="04846602"/>
    <w:rsid w:val="04926F71"/>
    <w:rsid w:val="04934A97"/>
    <w:rsid w:val="049820AD"/>
    <w:rsid w:val="04CF1FA6"/>
    <w:rsid w:val="05187CD7"/>
    <w:rsid w:val="05405E19"/>
    <w:rsid w:val="056E5657"/>
    <w:rsid w:val="05AC43F4"/>
    <w:rsid w:val="06163BD1"/>
    <w:rsid w:val="062C42CE"/>
    <w:rsid w:val="065D710A"/>
    <w:rsid w:val="068A6E34"/>
    <w:rsid w:val="06B259C3"/>
    <w:rsid w:val="075410AD"/>
    <w:rsid w:val="0764271A"/>
    <w:rsid w:val="07670DE9"/>
    <w:rsid w:val="07994E3B"/>
    <w:rsid w:val="07A02A3F"/>
    <w:rsid w:val="07A2101C"/>
    <w:rsid w:val="07A40F48"/>
    <w:rsid w:val="07E0789C"/>
    <w:rsid w:val="07EB1CF4"/>
    <w:rsid w:val="080F08D8"/>
    <w:rsid w:val="08230FB8"/>
    <w:rsid w:val="0854758E"/>
    <w:rsid w:val="08992D34"/>
    <w:rsid w:val="09132265"/>
    <w:rsid w:val="096D1D5A"/>
    <w:rsid w:val="0ABC363A"/>
    <w:rsid w:val="0AD8294B"/>
    <w:rsid w:val="0AF12517"/>
    <w:rsid w:val="0B397A56"/>
    <w:rsid w:val="0B4B3B00"/>
    <w:rsid w:val="0B82629A"/>
    <w:rsid w:val="0B8A23C1"/>
    <w:rsid w:val="0B9903D2"/>
    <w:rsid w:val="0BAE3813"/>
    <w:rsid w:val="0BD04822"/>
    <w:rsid w:val="0C953DB4"/>
    <w:rsid w:val="0CBA5610"/>
    <w:rsid w:val="0CC442CE"/>
    <w:rsid w:val="0CF32576"/>
    <w:rsid w:val="0D374B59"/>
    <w:rsid w:val="0D4D2FC1"/>
    <w:rsid w:val="0DA25D4B"/>
    <w:rsid w:val="0E0362D5"/>
    <w:rsid w:val="0E402C25"/>
    <w:rsid w:val="0E966A8C"/>
    <w:rsid w:val="0EBC61A8"/>
    <w:rsid w:val="0EC7047D"/>
    <w:rsid w:val="0ECA7307"/>
    <w:rsid w:val="0EDB5D44"/>
    <w:rsid w:val="0EE61CD2"/>
    <w:rsid w:val="0F074C7E"/>
    <w:rsid w:val="0F580754"/>
    <w:rsid w:val="0F6D24BC"/>
    <w:rsid w:val="0F7D537E"/>
    <w:rsid w:val="0F803E6A"/>
    <w:rsid w:val="10007707"/>
    <w:rsid w:val="10152804"/>
    <w:rsid w:val="10817822"/>
    <w:rsid w:val="10A903E1"/>
    <w:rsid w:val="10CD1330"/>
    <w:rsid w:val="10D97CD5"/>
    <w:rsid w:val="11063FEA"/>
    <w:rsid w:val="113B44EC"/>
    <w:rsid w:val="113F222E"/>
    <w:rsid w:val="114523E5"/>
    <w:rsid w:val="117864CE"/>
    <w:rsid w:val="11904838"/>
    <w:rsid w:val="11AB711C"/>
    <w:rsid w:val="11AC2382"/>
    <w:rsid w:val="11BB562D"/>
    <w:rsid w:val="11CC3396"/>
    <w:rsid w:val="11CC5FDB"/>
    <w:rsid w:val="126943A9"/>
    <w:rsid w:val="12712B77"/>
    <w:rsid w:val="127C439D"/>
    <w:rsid w:val="128738E2"/>
    <w:rsid w:val="12B409FA"/>
    <w:rsid w:val="12F015A0"/>
    <w:rsid w:val="12FE1529"/>
    <w:rsid w:val="134C3538"/>
    <w:rsid w:val="136D7EF3"/>
    <w:rsid w:val="13984494"/>
    <w:rsid w:val="13AF03BF"/>
    <w:rsid w:val="13CB1888"/>
    <w:rsid w:val="13CB7DA9"/>
    <w:rsid w:val="14477BA7"/>
    <w:rsid w:val="146124BC"/>
    <w:rsid w:val="15031585"/>
    <w:rsid w:val="1517701E"/>
    <w:rsid w:val="15245B82"/>
    <w:rsid w:val="15656E31"/>
    <w:rsid w:val="15B305AF"/>
    <w:rsid w:val="16005D04"/>
    <w:rsid w:val="169263C8"/>
    <w:rsid w:val="16A61788"/>
    <w:rsid w:val="16CE195E"/>
    <w:rsid w:val="16E178E4"/>
    <w:rsid w:val="17411414"/>
    <w:rsid w:val="17666D47"/>
    <w:rsid w:val="177A5491"/>
    <w:rsid w:val="17AE0784"/>
    <w:rsid w:val="17F21A0E"/>
    <w:rsid w:val="18657359"/>
    <w:rsid w:val="187D3DBA"/>
    <w:rsid w:val="18820C52"/>
    <w:rsid w:val="18A22011"/>
    <w:rsid w:val="18BC4109"/>
    <w:rsid w:val="18C82B09"/>
    <w:rsid w:val="18E77AF5"/>
    <w:rsid w:val="1904629A"/>
    <w:rsid w:val="190D49C0"/>
    <w:rsid w:val="193260E4"/>
    <w:rsid w:val="19793E03"/>
    <w:rsid w:val="197E58BE"/>
    <w:rsid w:val="19835197"/>
    <w:rsid w:val="198D5B01"/>
    <w:rsid w:val="19996254"/>
    <w:rsid w:val="199A25AF"/>
    <w:rsid w:val="19C702DF"/>
    <w:rsid w:val="1A44251C"/>
    <w:rsid w:val="1A4F2C83"/>
    <w:rsid w:val="1A98216B"/>
    <w:rsid w:val="1AD2708F"/>
    <w:rsid w:val="1ADA5BDA"/>
    <w:rsid w:val="1AE62F2F"/>
    <w:rsid w:val="1B291859"/>
    <w:rsid w:val="1B5F5046"/>
    <w:rsid w:val="1B9509DF"/>
    <w:rsid w:val="1BA002D8"/>
    <w:rsid w:val="1BCA587C"/>
    <w:rsid w:val="1BF12377"/>
    <w:rsid w:val="1C0604EE"/>
    <w:rsid w:val="1C2E1D71"/>
    <w:rsid w:val="1C3D55BC"/>
    <w:rsid w:val="1CAC4347"/>
    <w:rsid w:val="1D1C1092"/>
    <w:rsid w:val="1D605A5A"/>
    <w:rsid w:val="1D693CD4"/>
    <w:rsid w:val="1DA72B46"/>
    <w:rsid w:val="1DB57558"/>
    <w:rsid w:val="1DBC4C07"/>
    <w:rsid w:val="1DEC20C9"/>
    <w:rsid w:val="1DFD1285"/>
    <w:rsid w:val="1E4F5A7B"/>
    <w:rsid w:val="1E761D31"/>
    <w:rsid w:val="1EC70509"/>
    <w:rsid w:val="1EE95587"/>
    <w:rsid w:val="1EF1152D"/>
    <w:rsid w:val="1F4A0271"/>
    <w:rsid w:val="1F6D61B8"/>
    <w:rsid w:val="1F7F5EEC"/>
    <w:rsid w:val="1F901EA7"/>
    <w:rsid w:val="1FBF1C4A"/>
    <w:rsid w:val="1FC7762D"/>
    <w:rsid w:val="1FF56C89"/>
    <w:rsid w:val="20360CA0"/>
    <w:rsid w:val="20733730"/>
    <w:rsid w:val="20955535"/>
    <w:rsid w:val="20A83FAF"/>
    <w:rsid w:val="212854F7"/>
    <w:rsid w:val="215025DE"/>
    <w:rsid w:val="216D4499"/>
    <w:rsid w:val="217E28FF"/>
    <w:rsid w:val="21AF47B7"/>
    <w:rsid w:val="21CC717D"/>
    <w:rsid w:val="22424AA4"/>
    <w:rsid w:val="22B660C8"/>
    <w:rsid w:val="22C977AC"/>
    <w:rsid w:val="22F62B8A"/>
    <w:rsid w:val="23062B64"/>
    <w:rsid w:val="23254D08"/>
    <w:rsid w:val="23343DB4"/>
    <w:rsid w:val="23534E2B"/>
    <w:rsid w:val="23C86484"/>
    <w:rsid w:val="23D9527B"/>
    <w:rsid w:val="23F453AC"/>
    <w:rsid w:val="241C01AD"/>
    <w:rsid w:val="242157C3"/>
    <w:rsid w:val="242C02D7"/>
    <w:rsid w:val="245014DA"/>
    <w:rsid w:val="24533DC2"/>
    <w:rsid w:val="253024AD"/>
    <w:rsid w:val="2532334D"/>
    <w:rsid w:val="2548065A"/>
    <w:rsid w:val="258C17E7"/>
    <w:rsid w:val="259F2E44"/>
    <w:rsid w:val="25A51DF6"/>
    <w:rsid w:val="262034AF"/>
    <w:rsid w:val="26750FF7"/>
    <w:rsid w:val="268F110A"/>
    <w:rsid w:val="26E96B7F"/>
    <w:rsid w:val="27005C27"/>
    <w:rsid w:val="270B45D7"/>
    <w:rsid w:val="27194423"/>
    <w:rsid w:val="27290FC5"/>
    <w:rsid w:val="275A1F7C"/>
    <w:rsid w:val="275D4D64"/>
    <w:rsid w:val="278F02DB"/>
    <w:rsid w:val="28FE41FC"/>
    <w:rsid w:val="292F2731"/>
    <w:rsid w:val="29345C52"/>
    <w:rsid w:val="295166A2"/>
    <w:rsid w:val="298F67F1"/>
    <w:rsid w:val="2996274E"/>
    <w:rsid w:val="29A7676B"/>
    <w:rsid w:val="2A187669"/>
    <w:rsid w:val="2A4648B7"/>
    <w:rsid w:val="2A4D53A0"/>
    <w:rsid w:val="2A8F792B"/>
    <w:rsid w:val="2AEF273F"/>
    <w:rsid w:val="2B005440"/>
    <w:rsid w:val="2B006F1E"/>
    <w:rsid w:val="2B367DA6"/>
    <w:rsid w:val="2BC22802"/>
    <w:rsid w:val="2BC96E6C"/>
    <w:rsid w:val="2BF31BC3"/>
    <w:rsid w:val="2C03574A"/>
    <w:rsid w:val="2C0F2F6A"/>
    <w:rsid w:val="2C210CC9"/>
    <w:rsid w:val="2C7B3B05"/>
    <w:rsid w:val="2C9878F1"/>
    <w:rsid w:val="2CC277F5"/>
    <w:rsid w:val="2CCD64E8"/>
    <w:rsid w:val="2CD01D46"/>
    <w:rsid w:val="2CDD22AB"/>
    <w:rsid w:val="2CE37ABA"/>
    <w:rsid w:val="2CF558C1"/>
    <w:rsid w:val="2CFD71B2"/>
    <w:rsid w:val="2D243056"/>
    <w:rsid w:val="2D263D7D"/>
    <w:rsid w:val="2DDD6EF4"/>
    <w:rsid w:val="2DEA4E78"/>
    <w:rsid w:val="2E2B7074"/>
    <w:rsid w:val="2E5E7AF7"/>
    <w:rsid w:val="2E61561B"/>
    <w:rsid w:val="2E9D013C"/>
    <w:rsid w:val="2EE73822"/>
    <w:rsid w:val="2F1E74CF"/>
    <w:rsid w:val="2F4709E3"/>
    <w:rsid w:val="2F9B28BE"/>
    <w:rsid w:val="2FAD4FD9"/>
    <w:rsid w:val="2FB346FB"/>
    <w:rsid w:val="2FEE50F3"/>
    <w:rsid w:val="2FFA5778"/>
    <w:rsid w:val="30441A12"/>
    <w:rsid w:val="30495C84"/>
    <w:rsid w:val="30650005"/>
    <w:rsid w:val="310333AD"/>
    <w:rsid w:val="311C17EC"/>
    <w:rsid w:val="31367EA1"/>
    <w:rsid w:val="31450619"/>
    <w:rsid w:val="31522189"/>
    <w:rsid w:val="31EE27EE"/>
    <w:rsid w:val="31F06D7C"/>
    <w:rsid w:val="31F91B2E"/>
    <w:rsid w:val="329E6CD8"/>
    <w:rsid w:val="32A83BE9"/>
    <w:rsid w:val="33150BE9"/>
    <w:rsid w:val="333D53E2"/>
    <w:rsid w:val="33440753"/>
    <w:rsid w:val="337551E4"/>
    <w:rsid w:val="33773E42"/>
    <w:rsid w:val="3381627F"/>
    <w:rsid w:val="33E136A3"/>
    <w:rsid w:val="33F425AD"/>
    <w:rsid w:val="345179FF"/>
    <w:rsid w:val="346314E0"/>
    <w:rsid w:val="3494459C"/>
    <w:rsid w:val="349618B6"/>
    <w:rsid w:val="34A57D4B"/>
    <w:rsid w:val="34CB0B62"/>
    <w:rsid w:val="34E14EA2"/>
    <w:rsid w:val="34E346A0"/>
    <w:rsid w:val="34FF745B"/>
    <w:rsid w:val="35062A17"/>
    <w:rsid w:val="35494B7A"/>
    <w:rsid w:val="356B4AF0"/>
    <w:rsid w:val="359758E5"/>
    <w:rsid w:val="359B1151"/>
    <w:rsid w:val="35AD49A2"/>
    <w:rsid w:val="35CD7559"/>
    <w:rsid w:val="35F03248"/>
    <w:rsid w:val="36150393"/>
    <w:rsid w:val="36172BC3"/>
    <w:rsid w:val="3623361D"/>
    <w:rsid w:val="362804CC"/>
    <w:rsid w:val="36501005"/>
    <w:rsid w:val="36625EF3"/>
    <w:rsid w:val="36CC7C95"/>
    <w:rsid w:val="36EA20AF"/>
    <w:rsid w:val="36EB650A"/>
    <w:rsid w:val="37135440"/>
    <w:rsid w:val="372413FB"/>
    <w:rsid w:val="376149D7"/>
    <w:rsid w:val="378133A9"/>
    <w:rsid w:val="3793123B"/>
    <w:rsid w:val="37A6339A"/>
    <w:rsid w:val="37AC319E"/>
    <w:rsid w:val="381559B5"/>
    <w:rsid w:val="382E4D8D"/>
    <w:rsid w:val="383A233E"/>
    <w:rsid w:val="389B008E"/>
    <w:rsid w:val="38C73172"/>
    <w:rsid w:val="38EE1CC0"/>
    <w:rsid w:val="39101F1B"/>
    <w:rsid w:val="392D7EB3"/>
    <w:rsid w:val="393618B9"/>
    <w:rsid w:val="39720FC7"/>
    <w:rsid w:val="398443D3"/>
    <w:rsid w:val="39B203A1"/>
    <w:rsid w:val="39BA4298"/>
    <w:rsid w:val="39BF0BE5"/>
    <w:rsid w:val="39CD52E9"/>
    <w:rsid w:val="39ED2D0E"/>
    <w:rsid w:val="39FC21BB"/>
    <w:rsid w:val="3A0D2A18"/>
    <w:rsid w:val="3A1B59B7"/>
    <w:rsid w:val="3A30175E"/>
    <w:rsid w:val="3A323E2F"/>
    <w:rsid w:val="3A64388F"/>
    <w:rsid w:val="3A776764"/>
    <w:rsid w:val="3B0B043D"/>
    <w:rsid w:val="3B4E4C98"/>
    <w:rsid w:val="3B606C7C"/>
    <w:rsid w:val="3B6F13E2"/>
    <w:rsid w:val="3B8F6DC0"/>
    <w:rsid w:val="3B943152"/>
    <w:rsid w:val="3BCA6CDA"/>
    <w:rsid w:val="3BDF2457"/>
    <w:rsid w:val="3BE253E0"/>
    <w:rsid w:val="3C207F53"/>
    <w:rsid w:val="3C2519AA"/>
    <w:rsid w:val="3C4E0CC8"/>
    <w:rsid w:val="3C7D5D17"/>
    <w:rsid w:val="3CAB7EC8"/>
    <w:rsid w:val="3CD236A7"/>
    <w:rsid w:val="3D23372C"/>
    <w:rsid w:val="3D53681F"/>
    <w:rsid w:val="3D600CB3"/>
    <w:rsid w:val="3D7155E5"/>
    <w:rsid w:val="3DF31B27"/>
    <w:rsid w:val="3DF80C94"/>
    <w:rsid w:val="3E064F5A"/>
    <w:rsid w:val="3E161B6B"/>
    <w:rsid w:val="3E7F5998"/>
    <w:rsid w:val="3EA54112"/>
    <w:rsid w:val="3ECD2378"/>
    <w:rsid w:val="3EF01478"/>
    <w:rsid w:val="3F0056DB"/>
    <w:rsid w:val="3F185CE9"/>
    <w:rsid w:val="3F1A3023"/>
    <w:rsid w:val="3F243A9D"/>
    <w:rsid w:val="3F5860E5"/>
    <w:rsid w:val="3F5E1D7C"/>
    <w:rsid w:val="3F6902F3"/>
    <w:rsid w:val="3F6E5909"/>
    <w:rsid w:val="3F820E92"/>
    <w:rsid w:val="3FA7706D"/>
    <w:rsid w:val="3FC97621"/>
    <w:rsid w:val="4001677D"/>
    <w:rsid w:val="400C5122"/>
    <w:rsid w:val="4011754D"/>
    <w:rsid w:val="40350295"/>
    <w:rsid w:val="403723ED"/>
    <w:rsid w:val="406E1D8D"/>
    <w:rsid w:val="40C377CE"/>
    <w:rsid w:val="40D64434"/>
    <w:rsid w:val="4104239D"/>
    <w:rsid w:val="41401AF8"/>
    <w:rsid w:val="418036D2"/>
    <w:rsid w:val="41A35612"/>
    <w:rsid w:val="41BB6E00"/>
    <w:rsid w:val="41BC7337"/>
    <w:rsid w:val="42053C57"/>
    <w:rsid w:val="42214BD9"/>
    <w:rsid w:val="42246753"/>
    <w:rsid w:val="42324DFA"/>
    <w:rsid w:val="424961B9"/>
    <w:rsid w:val="4281234B"/>
    <w:rsid w:val="428A2F34"/>
    <w:rsid w:val="429B2ADF"/>
    <w:rsid w:val="42E4524A"/>
    <w:rsid w:val="42EE327C"/>
    <w:rsid w:val="431353F3"/>
    <w:rsid w:val="432B58BF"/>
    <w:rsid w:val="43332EF2"/>
    <w:rsid w:val="43397FDC"/>
    <w:rsid w:val="433B5086"/>
    <w:rsid w:val="43455446"/>
    <w:rsid w:val="436F4174"/>
    <w:rsid w:val="43AC4C52"/>
    <w:rsid w:val="43BF62B5"/>
    <w:rsid w:val="43DE0DC5"/>
    <w:rsid w:val="446B2788"/>
    <w:rsid w:val="449F556B"/>
    <w:rsid w:val="44DA072F"/>
    <w:rsid w:val="452D1446"/>
    <w:rsid w:val="454D0F8E"/>
    <w:rsid w:val="4565696F"/>
    <w:rsid w:val="456C2437"/>
    <w:rsid w:val="45893B31"/>
    <w:rsid w:val="45E05087"/>
    <w:rsid w:val="45ED3300"/>
    <w:rsid w:val="45F61C6A"/>
    <w:rsid w:val="45FC0A54"/>
    <w:rsid w:val="45FE572D"/>
    <w:rsid w:val="461D469A"/>
    <w:rsid w:val="463278E8"/>
    <w:rsid w:val="466976E6"/>
    <w:rsid w:val="46B8390E"/>
    <w:rsid w:val="46CD0E89"/>
    <w:rsid w:val="46DD0C7A"/>
    <w:rsid w:val="46EA0CE7"/>
    <w:rsid w:val="47022DDB"/>
    <w:rsid w:val="470D4256"/>
    <w:rsid w:val="472208AE"/>
    <w:rsid w:val="47271A40"/>
    <w:rsid w:val="472C4785"/>
    <w:rsid w:val="47704C41"/>
    <w:rsid w:val="479A2435"/>
    <w:rsid w:val="47A9209E"/>
    <w:rsid w:val="47B925F3"/>
    <w:rsid w:val="480F755D"/>
    <w:rsid w:val="488A12DA"/>
    <w:rsid w:val="48910AEC"/>
    <w:rsid w:val="48B3170D"/>
    <w:rsid w:val="48C52312"/>
    <w:rsid w:val="49200DA1"/>
    <w:rsid w:val="493C7DE9"/>
    <w:rsid w:val="49731D6E"/>
    <w:rsid w:val="49885819"/>
    <w:rsid w:val="49BD5661"/>
    <w:rsid w:val="49E620C2"/>
    <w:rsid w:val="4A1E13B4"/>
    <w:rsid w:val="4A2C49B0"/>
    <w:rsid w:val="4A555101"/>
    <w:rsid w:val="4A7D1B0F"/>
    <w:rsid w:val="4AA3517B"/>
    <w:rsid w:val="4AAC50D1"/>
    <w:rsid w:val="4AED108F"/>
    <w:rsid w:val="4B5D2903"/>
    <w:rsid w:val="4C0B03D0"/>
    <w:rsid w:val="4C5A2B74"/>
    <w:rsid w:val="4D2D20D9"/>
    <w:rsid w:val="4D3320F2"/>
    <w:rsid w:val="4D436182"/>
    <w:rsid w:val="4D45598D"/>
    <w:rsid w:val="4DA074F7"/>
    <w:rsid w:val="4DA33F07"/>
    <w:rsid w:val="4DB210B7"/>
    <w:rsid w:val="4DD126F1"/>
    <w:rsid w:val="4DDA060D"/>
    <w:rsid w:val="4DDE52C0"/>
    <w:rsid w:val="4DFD18D1"/>
    <w:rsid w:val="4E01203E"/>
    <w:rsid w:val="4E086E18"/>
    <w:rsid w:val="4E1565FF"/>
    <w:rsid w:val="4E6A7057"/>
    <w:rsid w:val="4EC93013"/>
    <w:rsid w:val="4ECC7F56"/>
    <w:rsid w:val="4F44601A"/>
    <w:rsid w:val="4F820F5D"/>
    <w:rsid w:val="4F8E345D"/>
    <w:rsid w:val="50243DC2"/>
    <w:rsid w:val="5080549C"/>
    <w:rsid w:val="50A1397F"/>
    <w:rsid w:val="50EB33EE"/>
    <w:rsid w:val="50EC0741"/>
    <w:rsid w:val="50F32112"/>
    <w:rsid w:val="51257DF2"/>
    <w:rsid w:val="51401959"/>
    <w:rsid w:val="51581F75"/>
    <w:rsid w:val="51583D23"/>
    <w:rsid w:val="515908C0"/>
    <w:rsid w:val="51C75DFE"/>
    <w:rsid w:val="51F24178"/>
    <w:rsid w:val="52424793"/>
    <w:rsid w:val="52741FCB"/>
    <w:rsid w:val="527E1EAF"/>
    <w:rsid w:val="529C490C"/>
    <w:rsid w:val="52C2367B"/>
    <w:rsid w:val="52D06B10"/>
    <w:rsid w:val="52EE38DF"/>
    <w:rsid w:val="532F4F57"/>
    <w:rsid w:val="53536515"/>
    <w:rsid w:val="5358785F"/>
    <w:rsid w:val="53697013"/>
    <w:rsid w:val="536B21BA"/>
    <w:rsid w:val="53A862CC"/>
    <w:rsid w:val="542A0FDA"/>
    <w:rsid w:val="545F27DC"/>
    <w:rsid w:val="547A6F15"/>
    <w:rsid w:val="54935924"/>
    <w:rsid w:val="54A12DC7"/>
    <w:rsid w:val="54AB4AB2"/>
    <w:rsid w:val="54BA4CF5"/>
    <w:rsid w:val="54CE1930"/>
    <w:rsid w:val="54ED53D0"/>
    <w:rsid w:val="55091CCC"/>
    <w:rsid w:val="55446880"/>
    <w:rsid w:val="5549554B"/>
    <w:rsid w:val="556C4241"/>
    <w:rsid w:val="558620D2"/>
    <w:rsid w:val="55A559A5"/>
    <w:rsid w:val="55AC0AE1"/>
    <w:rsid w:val="55BD4A9D"/>
    <w:rsid w:val="55E34225"/>
    <w:rsid w:val="55F54EAA"/>
    <w:rsid w:val="562E599A"/>
    <w:rsid w:val="56307253"/>
    <w:rsid w:val="56382375"/>
    <w:rsid w:val="56453199"/>
    <w:rsid w:val="56705FB3"/>
    <w:rsid w:val="56E16569"/>
    <w:rsid w:val="56F52014"/>
    <w:rsid w:val="570C5CDB"/>
    <w:rsid w:val="576D42A0"/>
    <w:rsid w:val="57723665"/>
    <w:rsid w:val="578C5187"/>
    <w:rsid w:val="57947A7F"/>
    <w:rsid w:val="57B2722D"/>
    <w:rsid w:val="57D56221"/>
    <w:rsid w:val="582F6DAB"/>
    <w:rsid w:val="58AD45AF"/>
    <w:rsid w:val="58BF28DA"/>
    <w:rsid w:val="58C16652"/>
    <w:rsid w:val="58D4718C"/>
    <w:rsid w:val="590169F7"/>
    <w:rsid w:val="59162E41"/>
    <w:rsid w:val="591C7D2C"/>
    <w:rsid w:val="59575208"/>
    <w:rsid w:val="599B3347"/>
    <w:rsid w:val="59A53FC9"/>
    <w:rsid w:val="59A82CA5"/>
    <w:rsid w:val="59AC10B0"/>
    <w:rsid w:val="5A45201E"/>
    <w:rsid w:val="5A6776CD"/>
    <w:rsid w:val="5AA251EA"/>
    <w:rsid w:val="5AD20FEA"/>
    <w:rsid w:val="5AD536B4"/>
    <w:rsid w:val="5ADF7263"/>
    <w:rsid w:val="5AEA4CCC"/>
    <w:rsid w:val="5B031B11"/>
    <w:rsid w:val="5B44356A"/>
    <w:rsid w:val="5B562681"/>
    <w:rsid w:val="5B7B3430"/>
    <w:rsid w:val="5B96574B"/>
    <w:rsid w:val="5BE81608"/>
    <w:rsid w:val="5C10686F"/>
    <w:rsid w:val="5C384E7D"/>
    <w:rsid w:val="5C390BF5"/>
    <w:rsid w:val="5C3D6937"/>
    <w:rsid w:val="5C5A652B"/>
    <w:rsid w:val="5C841E70"/>
    <w:rsid w:val="5C8C6F1F"/>
    <w:rsid w:val="5CE53377"/>
    <w:rsid w:val="5CE565AC"/>
    <w:rsid w:val="5D290C69"/>
    <w:rsid w:val="5D5F230E"/>
    <w:rsid w:val="5D701F00"/>
    <w:rsid w:val="5DB449D7"/>
    <w:rsid w:val="5DD07337"/>
    <w:rsid w:val="5DD52E4C"/>
    <w:rsid w:val="5DE138D8"/>
    <w:rsid w:val="5DEA73A2"/>
    <w:rsid w:val="5E113BD7"/>
    <w:rsid w:val="5E1921ED"/>
    <w:rsid w:val="5E5D6E1D"/>
    <w:rsid w:val="5E9F0F96"/>
    <w:rsid w:val="5E9F5687"/>
    <w:rsid w:val="5EB822A5"/>
    <w:rsid w:val="5EFE7A06"/>
    <w:rsid w:val="5F085EA8"/>
    <w:rsid w:val="5F426012"/>
    <w:rsid w:val="5F7D5E8E"/>
    <w:rsid w:val="5F7F522A"/>
    <w:rsid w:val="5FAF36A8"/>
    <w:rsid w:val="5FF3732F"/>
    <w:rsid w:val="601337BB"/>
    <w:rsid w:val="604A33D1"/>
    <w:rsid w:val="614F54B5"/>
    <w:rsid w:val="61D92C5E"/>
    <w:rsid w:val="621041A6"/>
    <w:rsid w:val="624274A0"/>
    <w:rsid w:val="624A76B8"/>
    <w:rsid w:val="629551D8"/>
    <w:rsid w:val="62A87E16"/>
    <w:rsid w:val="62CA561A"/>
    <w:rsid w:val="6313315F"/>
    <w:rsid w:val="63AB687C"/>
    <w:rsid w:val="63CD6C1F"/>
    <w:rsid w:val="640D6BEF"/>
    <w:rsid w:val="64A56430"/>
    <w:rsid w:val="64AA193A"/>
    <w:rsid w:val="64CD45D0"/>
    <w:rsid w:val="653F59A1"/>
    <w:rsid w:val="65445A0D"/>
    <w:rsid w:val="65774F85"/>
    <w:rsid w:val="65815AE7"/>
    <w:rsid w:val="658B24C1"/>
    <w:rsid w:val="658D1CF4"/>
    <w:rsid w:val="65B81F72"/>
    <w:rsid w:val="65BB2793"/>
    <w:rsid w:val="65E72A9D"/>
    <w:rsid w:val="663A2E80"/>
    <w:rsid w:val="667016B7"/>
    <w:rsid w:val="667027CF"/>
    <w:rsid w:val="6688694C"/>
    <w:rsid w:val="66D02156"/>
    <w:rsid w:val="66FB3677"/>
    <w:rsid w:val="6716225F"/>
    <w:rsid w:val="67D85766"/>
    <w:rsid w:val="67ED1F29"/>
    <w:rsid w:val="681D761D"/>
    <w:rsid w:val="68245589"/>
    <w:rsid w:val="682D3D04"/>
    <w:rsid w:val="686E1C26"/>
    <w:rsid w:val="68777DD2"/>
    <w:rsid w:val="68D91796"/>
    <w:rsid w:val="690E1BE8"/>
    <w:rsid w:val="692755DB"/>
    <w:rsid w:val="69344055"/>
    <w:rsid w:val="69362DD6"/>
    <w:rsid w:val="693C2619"/>
    <w:rsid w:val="69797303"/>
    <w:rsid w:val="697F058F"/>
    <w:rsid w:val="69983CE0"/>
    <w:rsid w:val="69E677B3"/>
    <w:rsid w:val="6A1C1694"/>
    <w:rsid w:val="6A4315BC"/>
    <w:rsid w:val="6A751DB0"/>
    <w:rsid w:val="6AB95533"/>
    <w:rsid w:val="6ACE03A9"/>
    <w:rsid w:val="6ADC67EC"/>
    <w:rsid w:val="6AE21FF0"/>
    <w:rsid w:val="6B037E0E"/>
    <w:rsid w:val="6B144E28"/>
    <w:rsid w:val="6B2018FE"/>
    <w:rsid w:val="6B396B3B"/>
    <w:rsid w:val="6BDE41BB"/>
    <w:rsid w:val="6BDE548A"/>
    <w:rsid w:val="6BE9361A"/>
    <w:rsid w:val="6BEE7306"/>
    <w:rsid w:val="6C44786E"/>
    <w:rsid w:val="6C5462A8"/>
    <w:rsid w:val="6C917FD7"/>
    <w:rsid w:val="6CA87DFD"/>
    <w:rsid w:val="6CCF18B6"/>
    <w:rsid w:val="6CE4695B"/>
    <w:rsid w:val="6CE7438A"/>
    <w:rsid w:val="6D1F7993"/>
    <w:rsid w:val="6D911E54"/>
    <w:rsid w:val="6D9E4D5C"/>
    <w:rsid w:val="6DA575B4"/>
    <w:rsid w:val="6DB2091A"/>
    <w:rsid w:val="6DBA3A09"/>
    <w:rsid w:val="6DCC3677"/>
    <w:rsid w:val="6E0E0133"/>
    <w:rsid w:val="6E18607D"/>
    <w:rsid w:val="6E470176"/>
    <w:rsid w:val="6EA0521F"/>
    <w:rsid w:val="6EAA68BE"/>
    <w:rsid w:val="6EDB46DC"/>
    <w:rsid w:val="6EFC6F14"/>
    <w:rsid w:val="6F0155A2"/>
    <w:rsid w:val="6F7F5C40"/>
    <w:rsid w:val="6F997ED1"/>
    <w:rsid w:val="6FF62C2D"/>
    <w:rsid w:val="708E2E66"/>
    <w:rsid w:val="709D754D"/>
    <w:rsid w:val="70D65056"/>
    <w:rsid w:val="70F839F0"/>
    <w:rsid w:val="70FA04FB"/>
    <w:rsid w:val="712D08D1"/>
    <w:rsid w:val="71382C2B"/>
    <w:rsid w:val="71BB7860"/>
    <w:rsid w:val="722F17E6"/>
    <w:rsid w:val="72440385"/>
    <w:rsid w:val="72F64258"/>
    <w:rsid w:val="730B44D4"/>
    <w:rsid w:val="736C3AED"/>
    <w:rsid w:val="73761484"/>
    <w:rsid w:val="743F3C99"/>
    <w:rsid w:val="74835482"/>
    <w:rsid w:val="74877DC7"/>
    <w:rsid w:val="748F53FE"/>
    <w:rsid w:val="74EB6FEC"/>
    <w:rsid w:val="74F80974"/>
    <w:rsid w:val="75053960"/>
    <w:rsid w:val="75090455"/>
    <w:rsid w:val="751A356F"/>
    <w:rsid w:val="7520560E"/>
    <w:rsid w:val="75890D8F"/>
    <w:rsid w:val="75B043EA"/>
    <w:rsid w:val="75B4336E"/>
    <w:rsid w:val="76473B19"/>
    <w:rsid w:val="76B80876"/>
    <w:rsid w:val="76B949B4"/>
    <w:rsid w:val="76D90F68"/>
    <w:rsid w:val="770B16B4"/>
    <w:rsid w:val="775A1CF3"/>
    <w:rsid w:val="77680E8A"/>
    <w:rsid w:val="77C1540B"/>
    <w:rsid w:val="77D61377"/>
    <w:rsid w:val="77DD1CAC"/>
    <w:rsid w:val="77EC2A14"/>
    <w:rsid w:val="783E7320"/>
    <w:rsid w:val="78425A99"/>
    <w:rsid w:val="788039DC"/>
    <w:rsid w:val="78952D76"/>
    <w:rsid w:val="78A64529"/>
    <w:rsid w:val="78CB19C0"/>
    <w:rsid w:val="78F35EFE"/>
    <w:rsid w:val="78FF5669"/>
    <w:rsid w:val="792A1B99"/>
    <w:rsid w:val="793275BA"/>
    <w:rsid w:val="79A724F1"/>
    <w:rsid w:val="79CC1922"/>
    <w:rsid w:val="79E44032"/>
    <w:rsid w:val="79FD047F"/>
    <w:rsid w:val="7A4B7878"/>
    <w:rsid w:val="7A6D100D"/>
    <w:rsid w:val="7A7B26AD"/>
    <w:rsid w:val="7AA15E8B"/>
    <w:rsid w:val="7B3135E6"/>
    <w:rsid w:val="7BCC4934"/>
    <w:rsid w:val="7BE14791"/>
    <w:rsid w:val="7C0D37D8"/>
    <w:rsid w:val="7C144639"/>
    <w:rsid w:val="7C3A7485"/>
    <w:rsid w:val="7C5F16F8"/>
    <w:rsid w:val="7C75312C"/>
    <w:rsid w:val="7C9D3E10"/>
    <w:rsid w:val="7CAF2E48"/>
    <w:rsid w:val="7CB122FF"/>
    <w:rsid w:val="7CD95DB0"/>
    <w:rsid w:val="7D3245ED"/>
    <w:rsid w:val="7D372EC7"/>
    <w:rsid w:val="7D697134"/>
    <w:rsid w:val="7D6C09D3"/>
    <w:rsid w:val="7DBA67DE"/>
    <w:rsid w:val="7DF53ACA"/>
    <w:rsid w:val="7E2458E7"/>
    <w:rsid w:val="7E4B2405"/>
    <w:rsid w:val="7EA2525B"/>
    <w:rsid w:val="7EF7251E"/>
    <w:rsid w:val="7F0E4C61"/>
    <w:rsid w:val="7F2552DD"/>
    <w:rsid w:val="7F356741"/>
    <w:rsid w:val="7F7F4C0B"/>
    <w:rsid w:val="7F9C0AC3"/>
    <w:rsid w:val="7FD44F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4"/>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8">
    <w:name w:val="Default Paragraph Font"/>
    <w:autoRedefine/>
    <w:semiHidden/>
    <w:unhideWhenUsed/>
    <w:qFormat/>
    <w:uiPriority w:val="1"/>
  </w:style>
  <w:style w:type="table" w:default="1" w:styleId="16">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rPr>
      <w:rFonts w:ascii="Times New Roman" w:eastAsia="宋体"/>
      <w:szCs w:val="20"/>
    </w:rPr>
  </w:style>
  <w:style w:type="paragraph" w:styleId="5">
    <w:name w:val="Note Heading"/>
    <w:basedOn w:val="1"/>
    <w:next w:val="1"/>
    <w:qFormat/>
    <w:uiPriority w:val="0"/>
    <w:rPr>
      <w:rFonts w:ascii="Verdana" w:hAnsi="Verdana"/>
      <w:szCs w:val="20"/>
    </w:rPr>
  </w:style>
  <w:style w:type="paragraph" w:styleId="6">
    <w:name w:val="annotation text"/>
    <w:basedOn w:val="1"/>
    <w:qFormat/>
    <w:uiPriority w:val="0"/>
    <w:pPr>
      <w:jc w:val="left"/>
    </w:pPr>
  </w:style>
  <w:style w:type="paragraph" w:styleId="7">
    <w:name w:val="Body Text"/>
    <w:basedOn w:val="1"/>
    <w:next w:val="1"/>
    <w:qFormat/>
    <w:uiPriority w:val="0"/>
    <w:pPr>
      <w:spacing w:after="120"/>
    </w:pPr>
  </w:style>
  <w:style w:type="paragraph" w:styleId="8">
    <w:name w:val="Body Text Indent"/>
    <w:basedOn w:val="1"/>
    <w:next w:val="9"/>
    <w:qFormat/>
    <w:uiPriority w:val="0"/>
    <w:pPr>
      <w:spacing w:after="120"/>
      <w:ind w:left="420"/>
    </w:pPr>
    <w:rPr>
      <w:sz w:val="24"/>
    </w:rPr>
  </w:style>
  <w:style w:type="paragraph" w:styleId="9">
    <w:name w:val="envelope return"/>
    <w:basedOn w:val="1"/>
    <w:qFormat/>
    <w:uiPriority w:val="99"/>
    <w:rPr>
      <w:rFonts w:ascii="Arial" w:hAnsi="Arial" w:cs="Arial"/>
    </w:rPr>
  </w:style>
  <w:style w:type="paragraph" w:styleId="10">
    <w:name w:val="Block Text"/>
    <w:basedOn w:val="1"/>
    <w:unhideWhenUsed/>
    <w:qFormat/>
    <w:uiPriority w:val="99"/>
    <w:pPr>
      <w:spacing w:before="100" w:beforeAutospacing="1" w:after="100" w:afterAutospacing="1"/>
      <w:ind w:left="256" w:right="6" w:firstLine="624"/>
    </w:pPr>
    <w:rPr>
      <w:rFonts w:ascii="Times New Roman" w:hAnsi="Times New Roman" w:eastAsia="仿宋"/>
      <w:szCs w:val="28"/>
    </w:rPr>
  </w:style>
  <w:style w:type="paragraph" w:styleId="11">
    <w:name w:val="footer"/>
    <w:basedOn w:val="1"/>
    <w:link w:val="23"/>
    <w:autoRedefine/>
    <w:qFormat/>
    <w:uiPriority w:val="0"/>
    <w:pPr>
      <w:tabs>
        <w:tab w:val="center" w:pos="4153"/>
        <w:tab w:val="right" w:pos="8306"/>
      </w:tabs>
      <w:snapToGrid w:val="0"/>
      <w:jc w:val="left"/>
    </w:pPr>
    <w:rPr>
      <w:sz w:val="18"/>
      <w:szCs w:val="18"/>
    </w:rPr>
  </w:style>
  <w:style w:type="paragraph" w:styleId="12">
    <w:name w:val="header"/>
    <w:basedOn w:val="1"/>
    <w:link w:val="22"/>
    <w:autoRedefine/>
    <w:qFormat/>
    <w:uiPriority w:val="0"/>
    <w:pPr>
      <w:pBdr>
        <w:bottom w:val="single" w:color="auto" w:sz="6" w:space="1"/>
      </w:pBdr>
      <w:tabs>
        <w:tab w:val="center" w:pos="4153"/>
        <w:tab w:val="right" w:pos="8306"/>
      </w:tabs>
      <w:snapToGrid w:val="0"/>
      <w:jc w:val="center"/>
    </w:pPr>
    <w:rPr>
      <w:sz w:val="18"/>
      <w:szCs w:val="18"/>
    </w:rPr>
  </w:style>
  <w:style w:type="paragraph" w:styleId="13">
    <w:name w:val="Normal (Web)"/>
    <w:basedOn w:val="1"/>
    <w:autoRedefine/>
    <w:qFormat/>
    <w:uiPriority w:val="0"/>
    <w:pPr>
      <w:spacing w:beforeAutospacing="1" w:afterAutospacing="1"/>
      <w:jc w:val="left"/>
    </w:pPr>
    <w:rPr>
      <w:rFonts w:cs="Times New Roman"/>
      <w:kern w:val="0"/>
      <w:sz w:val="24"/>
    </w:rPr>
  </w:style>
  <w:style w:type="paragraph" w:styleId="14">
    <w:name w:val="Body Text First Indent"/>
    <w:basedOn w:val="7"/>
    <w:qFormat/>
    <w:uiPriority w:val="0"/>
    <w:pPr>
      <w:ind w:firstLine="420"/>
    </w:pPr>
    <w:rPr>
      <w:sz w:val="24"/>
    </w:rPr>
  </w:style>
  <w:style w:type="paragraph" w:styleId="15">
    <w:name w:val="Body Text First Indent 2"/>
    <w:basedOn w:val="8"/>
    <w:qFormat/>
    <w:uiPriority w:val="0"/>
    <w:pPr>
      <w:ind w:firstLine="420"/>
    </w:pPr>
  </w:style>
  <w:style w:type="table" w:styleId="17">
    <w:name w:val="Table Grid"/>
    <w:basedOn w:val="1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9">
    <w:name w:val="Emphasis"/>
    <w:qFormat/>
    <w:uiPriority w:val="0"/>
    <w:rPr>
      <w:i/>
    </w:rPr>
  </w:style>
  <w:style w:type="paragraph" w:customStyle="1" w:styleId="20">
    <w:name w:val="标题 31"/>
    <w:basedOn w:val="1"/>
    <w:next w:val="1"/>
    <w:qFormat/>
    <w:uiPriority w:val="0"/>
    <w:pPr>
      <w:keepNext/>
      <w:keepLines/>
      <w:numPr>
        <w:ilvl w:val="2"/>
        <w:numId w:val="1"/>
      </w:numPr>
      <w:spacing w:before="260" w:after="260" w:line="416" w:lineRule="atLeast"/>
      <w:outlineLvl w:val="2"/>
    </w:pPr>
    <w:rPr>
      <w:b/>
      <w:bCs/>
      <w:sz w:val="32"/>
      <w:szCs w:val="32"/>
    </w:rPr>
  </w:style>
  <w:style w:type="paragraph" w:customStyle="1" w:styleId="21">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22">
    <w:name w:val="页眉 Char"/>
    <w:basedOn w:val="18"/>
    <w:link w:val="12"/>
    <w:autoRedefine/>
    <w:qFormat/>
    <w:uiPriority w:val="0"/>
    <w:rPr>
      <w:rFonts w:asciiTheme="minorHAnsi" w:hAnsiTheme="minorHAnsi" w:eastAsiaTheme="minorEastAsia" w:cstheme="minorBidi"/>
      <w:kern w:val="2"/>
      <w:sz w:val="18"/>
      <w:szCs w:val="18"/>
    </w:rPr>
  </w:style>
  <w:style w:type="character" w:customStyle="1" w:styleId="23">
    <w:name w:val="页脚 Char"/>
    <w:basedOn w:val="18"/>
    <w:link w:val="11"/>
    <w:autoRedefine/>
    <w:qFormat/>
    <w:uiPriority w:val="0"/>
    <w:rPr>
      <w:rFonts w:asciiTheme="minorHAnsi" w:hAnsiTheme="minorHAnsi" w:eastAsiaTheme="minorEastAsia" w:cstheme="minorBidi"/>
      <w:kern w:val="2"/>
      <w:sz w:val="18"/>
      <w:szCs w:val="18"/>
    </w:rPr>
  </w:style>
  <w:style w:type="paragraph" w:customStyle="1" w:styleId="24">
    <w:name w:val="普通正文"/>
    <w:basedOn w:val="1"/>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25">
    <w:name w:val="正文首行缩进 21"/>
    <w:basedOn w:val="26"/>
    <w:qFormat/>
    <w:uiPriority w:val="0"/>
    <w:pPr>
      <w:ind w:firstLine="420"/>
    </w:pPr>
  </w:style>
  <w:style w:type="paragraph" w:customStyle="1" w:styleId="26">
    <w:name w:val="正文文本缩进1"/>
    <w:basedOn w:val="1"/>
    <w:qFormat/>
    <w:uiPriority w:val="0"/>
    <w:pPr>
      <w:spacing w:after="120"/>
      <w:ind w:left="420"/>
    </w:pPr>
  </w:style>
  <w:style w:type="paragraph" w:styleId="27">
    <w:name w:val="List Paragraph"/>
    <w:basedOn w:val="1"/>
    <w:qFormat/>
    <w:uiPriority w:val="34"/>
    <w:pPr>
      <w:spacing w:line="240" w:lineRule="auto"/>
      <w:ind w:firstLine="420"/>
    </w:pPr>
    <w:rPr>
      <w:rFonts w:ascii="Times New Roman" w:eastAsia="宋体"/>
      <w:sz w:val="20"/>
      <w:szCs w:val="24"/>
    </w:rPr>
  </w:style>
  <w:style w:type="paragraph" w:customStyle="1" w:styleId="28">
    <w:name w:val="1 正文"/>
    <w:basedOn w:val="1"/>
    <w:qFormat/>
    <w:uiPriority w:val="0"/>
    <w:pPr>
      <w:ind w:firstLine="420"/>
    </w:pPr>
    <w:rPr>
      <w:rFonts w:hAnsi="宋体"/>
      <w:sz w:val="24"/>
    </w:rPr>
  </w:style>
  <w:style w:type="paragraph" w:customStyle="1" w:styleId="29">
    <w:name w:val="首行缩进"/>
    <w:basedOn w:val="1"/>
    <w:qFormat/>
    <w:uiPriority w:val="0"/>
    <w:pPr>
      <w:spacing w:line="360" w:lineRule="auto"/>
      <w:ind w:firstLine="480" w:firstLineChars="200"/>
    </w:pPr>
    <w:rPr>
      <w:rFonts w:ascii="宋体" w:hAnsi="宋体" w:cs="宋体"/>
      <w:kern w:val="0"/>
      <w:sz w:val="24"/>
    </w:rPr>
  </w:style>
  <w:style w:type="paragraph" w:customStyle="1" w:styleId="30">
    <w:name w:val="正文空2格  1."/>
    <w:basedOn w:val="1"/>
    <w:qFormat/>
    <w:uiPriority w:val="0"/>
    <w:pPr>
      <w:ind w:firstLine="480" w:firstLineChars="200"/>
    </w:pPr>
    <w:rPr>
      <w:rFonts w:cs="宋体"/>
      <w:szCs w:val="20"/>
    </w:rPr>
  </w:style>
  <w:style w:type="paragraph" w:customStyle="1" w:styleId="31">
    <w:name w:val="普通(网站)1"/>
    <w:basedOn w:val="1"/>
    <w:qFormat/>
    <w:uiPriority w:val="0"/>
    <w:rPr>
      <w:rFonts w:ascii="Times New Roman"/>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44</Pages>
  <Words>27193</Words>
  <Characters>28749</Characters>
  <Lines>173</Lines>
  <Paragraphs>48</Paragraphs>
  <TotalTime>81</TotalTime>
  <ScaleCrop>false</ScaleCrop>
  <LinksUpToDate>false</LinksUpToDate>
  <CharactersWithSpaces>30690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Lee-BoxeR</cp:lastModifiedBy>
  <cp:lastPrinted>2026-06-03T03:58:00Z</cp:lastPrinted>
  <dcterms:modified xsi:type="dcterms:W3CDTF">2026-06-03T08:01:54Z</dcterms:modified>
  <cp:revision>190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8C617C946F6B4629A6FB1DE111DFEB7B_13</vt:lpwstr>
  </property>
  <property fmtid="{D5CDD505-2E9C-101B-9397-08002B2CF9AE}" pid="4" name="KSOTemplateDocerSaveRecord">
    <vt:lpwstr>eyJoZGlkIjoiM2Y0ODFmNDM2NTVkMTc3MGRiOTY0ZTRmZWY1ZjUyY2IiLCJ1c2VySWQiOiI2NzEzMjE2OTMifQ==</vt:lpwstr>
  </property>
</Properties>
</file>