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jc w:val="center"/>
        <w:spacing w:before="120" w:beforeAutospacing="0" w:after="120" w:afterAutospacing="0" w:line="480" w:lineRule="auto"/>
        <w:rPr>
          <w:rFonts w:ascii="Arial" w:hAnsi="Arial" w:eastAsia="宋体" w:cs="Arial"/>
          <w:b/>
          <w:color w:val="auto"/>
          <w:sz w:val="48"/>
          <w:szCs w:val="48"/>
          <w:highlight w:val="none"/>
        </w:rPr>
      </w:pPr>
      <w:r>
        <w:rPr>
          <w:rFonts w:ascii="Arial" w:hAnsi="Arial" w:eastAsia="宋体" w:cs="Arial"/>
          <w:b/>
          <w:color w:val="auto"/>
          <w:sz w:val="48"/>
          <w:szCs w:val="48"/>
          <w:highlight w:val="none"/>
        </w:rPr>
      </w:r>
      <w:r/>
    </w:p>
    <w:p>
      <w:pPr>
        <w:pStyle w:val="755"/>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56"/>
          <w:szCs w:val="56"/>
          <w:highlight w:val="none"/>
          <w:lang w:eastAsia="zh-CN"/>
        </w:rPr>
        <w:t xml:space="preserve">东台市博物馆馆藏文物预防性保护项目（</w:t>
      </w:r>
      <w:r>
        <w:rPr>
          <w:rFonts w:hint="eastAsia" w:ascii="Arial" w:hAnsi="Arial" w:eastAsia="宋体" w:cs="Arial"/>
          <w:b/>
          <w:color w:val="auto"/>
          <w:sz w:val="56"/>
          <w:szCs w:val="56"/>
          <w:highlight w:val="none"/>
          <w:lang w:val="en-US" w:eastAsia="zh-CN"/>
        </w:rPr>
        <w:t xml:space="preserve">第二次</w:t>
      </w:r>
      <w:r>
        <w:rPr>
          <w:rFonts w:hint="eastAsia" w:ascii="Arial" w:hAnsi="Arial" w:eastAsia="宋体" w:cs="Arial"/>
          <w:b/>
          <w:color w:val="auto"/>
          <w:sz w:val="56"/>
          <w:szCs w:val="56"/>
          <w:highlight w:val="none"/>
          <w:lang w:eastAsia="zh-CN"/>
        </w:rPr>
        <w:t xml:space="preserve">）</w:t>
      </w:r>
      <w:r/>
    </w:p>
    <w:p>
      <w:pPr>
        <w:pStyle w:val="75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5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55"/>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84"/>
          <w:szCs w:val="84"/>
          <w:highlight w:val="none"/>
        </w:rPr>
        <w:t xml:space="preserve">招标文件</w:t>
      </w:r>
      <w:r/>
    </w:p>
    <w:p>
      <w:pPr>
        <w:pStyle w:val="75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55"/>
        <w:jc w:val="center"/>
        <w:spacing w:before="120" w:beforeAutospacing="0" w:after="120" w:afterAutospacing="0" w:line="360" w:lineRule="auto"/>
        <w:rPr>
          <w:rFonts w:ascii="Arial" w:hAnsi="Arial" w:eastAsia="宋体" w:cs="Arial"/>
          <w:b/>
          <w:color w:val="auto"/>
          <w:sz w:val="36"/>
          <w:szCs w:val="36"/>
          <w:highlight w:val="none"/>
        </w:rPr>
      </w:pPr>
      <w:r>
        <w:rPr>
          <w:rFonts w:hint="eastAsia" w:ascii="Arial" w:hAnsi="Arial" w:cs="Arial"/>
          <w:b/>
          <w:color w:val="auto"/>
          <w:sz w:val="36"/>
          <w:szCs w:val="36"/>
          <w:highlight w:val="none"/>
        </w:rPr>
        <w:t xml:space="preserve">编号：JSZC-320981-JZCG-G2026-0001</w:t>
      </w:r>
      <w:r>
        <w:rPr>
          <w:rFonts w:hint="eastAsia" w:ascii="Arial" w:hAnsi="Arial" w:eastAsia="宋体" w:cs="Arial"/>
          <w:b/>
          <w:color w:val="auto"/>
          <w:sz w:val="36"/>
          <w:szCs w:val="36"/>
          <w:highlight w:val="none"/>
        </w:rPr>
        <w:t xml:space="preserve"> </w:t>
      </w:r>
      <w:r/>
    </w:p>
    <w:p>
      <w:pPr>
        <w:pStyle w:val="755"/>
        <w:ind w:firstLine="2249"/>
        <w:jc w:val="both"/>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 xml:space="preserve"> </w:t>
      </w:r>
      <w:r/>
    </w:p>
    <w:p>
      <w:pPr>
        <w:pStyle w:val="755"/>
        <w:spacing w:beforeAutospacing="0" w:afterAutospacing="0" w:line="360" w:lineRule="auto"/>
        <w:rPr>
          <w:color w:val="auto"/>
          <w:highlight w:val="none"/>
        </w:rPr>
      </w:pPr>
      <w:r>
        <w:rPr>
          <w:color w:val="auto"/>
          <w:highlight w:val="none"/>
        </w:rPr>
        <w:t xml:space="preserve"> </w:t>
      </w:r>
      <w:r/>
    </w:p>
    <w:p>
      <w:pPr>
        <w:pStyle w:val="755"/>
        <w:spacing w:beforeAutospacing="0" w:afterAutospacing="0" w:line="360" w:lineRule="auto"/>
        <w:rPr>
          <w:color w:val="auto"/>
          <w:highlight w:val="none"/>
        </w:rPr>
      </w:pPr>
      <w:r>
        <w:rPr>
          <w:color w:val="auto"/>
          <w:highlight w:val="none"/>
        </w:rPr>
        <w:t xml:space="preserve"> </w:t>
      </w:r>
      <w:r/>
    </w:p>
    <w:p>
      <w:pPr>
        <w:pStyle w:val="755"/>
        <w:spacing w:beforeAutospacing="0" w:afterAutospacing="0" w:line="360" w:lineRule="auto"/>
        <w:rPr>
          <w:color w:val="auto"/>
          <w:highlight w:val="none"/>
        </w:rPr>
      </w:pPr>
      <w:r>
        <w:rPr>
          <w:color w:val="auto"/>
          <w:highlight w:val="none"/>
        </w:rPr>
        <w:t xml:space="preserve"> </w:t>
      </w:r>
      <w:r/>
    </w:p>
    <w:p>
      <w:pPr>
        <w:pStyle w:val="755"/>
        <w:spacing w:beforeAutospacing="0" w:afterAutospacing="0" w:line="360" w:lineRule="auto"/>
        <w:rPr>
          <w:color w:val="auto"/>
          <w:highlight w:val="none"/>
        </w:rPr>
      </w:pPr>
      <w:r>
        <w:rPr>
          <w:color w:val="auto"/>
          <w:highlight w:val="none"/>
        </w:rPr>
      </w:r>
      <w:r/>
    </w:p>
    <w:p>
      <w:pPr>
        <w:pStyle w:val="755"/>
        <w:spacing w:beforeAutospacing="0" w:afterAutospacing="0" w:line="360" w:lineRule="auto"/>
        <w:rPr>
          <w:rFonts w:hint="eastAsia" w:ascii="Arial" w:hAnsi="Arial" w:cs="Arial" w:eastAsiaTheme="minorEastAsia"/>
          <w:b/>
          <w:color w:val="auto"/>
          <w:sz w:val="36"/>
          <w:szCs w:val="36"/>
          <w:highlight w:val="none"/>
          <w:lang w:eastAsia="zh-CN"/>
        </w:rPr>
      </w:pPr>
      <w:r>
        <w:rPr>
          <w:color w:val="auto"/>
          <w:highlight w:val="none"/>
        </w:rPr>
        <w:t xml:space="preserve"> </w:t>
      </w:r>
      <w:r>
        <w:rPr>
          <w:rFonts w:hint="eastAsia"/>
          <w:color w:val="auto"/>
          <w:highlight w:val="none"/>
        </w:rPr>
        <w:t xml:space="preserve">                        </w:t>
      </w:r>
      <w:r>
        <w:rPr>
          <w:rFonts w:hint="eastAsia" w:ascii="Arial" w:hAnsi="Arial" w:cs="Arial"/>
          <w:b/>
          <w:color w:val="auto"/>
          <w:sz w:val="36"/>
          <w:szCs w:val="36"/>
          <w:highlight w:val="none"/>
          <w:lang w:eastAsia="zh-CN"/>
        </w:rPr>
        <w:t xml:space="preserve">东台市博物馆</w:t>
      </w:r>
      <w:r/>
    </w:p>
    <w:p>
      <w:pPr>
        <w:pStyle w:val="755"/>
        <w:jc w:val="center"/>
        <w:spacing w:before="120" w:beforeAutospacing="0" w:after="120" w:afterAutospacing="0" w:line="360" w:lineRule="auto"/>
        <w:rPr>
          <w:color w:val="auto"/>
          <w:highlight w:val="none"/>
          <w:u w:val="single"/>
        </w:rPr>
      </w:pPr>
      <w:r>
        <w:rPr>
          <w:rFonts w:hint="eastAsia" w:ascii="Arial" w:hAnsi="Arial" w:cs="Arial"/>
          <w:b/>
          <w:color w:val="auto"/>
          <w:sz w:val="36"/>
          <w:szCs w:val="36"/>
          <w:highlight w:val="none"/>
          <w:u w:val="single"/>
        </w:rPr>
        <w:t xml:space="preserve"> 202</w:t>
      </w:r>
      <w:r>
        <w:rPr>
          <w:rFonts w:hint="eastAsia" w:ascii="Arial" w:hAnsi="Arial" w:cs="Arial"/>
          <w:b/>
          <w:color w:val="auto"/>
          <w:sz w:val="36"/>
          <w:szCs w:val="36"/>
          <w:highlight w:val="none"/>
          <w:u w:val="single"/>
          <w:lang w:val="en-US" w:eastAsia="zh-CN"/>
        </w:rPr>
        <w:t xml:space="preserve">6</w:t>
      </w:r>
      <w:r>
        <w:rPr>
          <w:rFonts w:hint="eastAsia" w:ascii="Arial" w:hAnsi="Arial" w:cs="Arial"/>
          <w:b/>
          <w:color w:val="auto"/>
          <w:sz w:val="36"/>
          <w:szCs w:val="36"/>
          <w:highlight w:val="none"/>
          <w:u w:val="single"/>
        </w:rPr>
        <w:t xml:space="preserve"> </w:t>
      </w:r>
      <w:r>
        <w:rPr>
          <w:rFonts w:ascii="Arial" w:hAnsi="Arial" w:cs="Arial"/>
          <w:b/>
          <w:color w:val="auto"/>
          <w:sz w:val="36"/>
          <w:szCs w:val="36"/>
          <w:highlight w:val="none"/>
        </w:rPr>
        <w:t xml:space="preserve">年</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1</w:t>
      </w:r>
      <w:r>
        <w:rPr>
          <w:rFonts w:hint="eastAsia" w:ascii="Arial" w:hAnsi="Arial" w:cs="Arial"/>
          <w:b/>
          <w:color w:val="auto"/>
          <w:sz w:val="36"/>
          <w:szCs w:val="36"/>
          <w:highlight w:val="none"/>
          <w:u w:val="single"/>
        </w:rPr>
        <w:t xml:space="preserve"> </w:t>
      </w:r>
      <w:r>
        <w:rPr>
          <w:rFonts w:ascii="Arial" w:hAnsi="Arial" w:cs="Arial"/>
          <w:b/>
          <w:color w:val="auto"/>
          <w:sz w:val="36"/>
          <w:szCs w:val="36"/>
          <w:highlight w:val="none"/>
        </w:rPr>
        <w:t xml:space="preserve">月</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u w:val="single"/>
          <w:lang w:val="en-US" w:eastAsia="zh-CN"/>
        </w:rPr>
        <w:t xml:space="preserve">21</w:t>
      </w:r>
      <w:r>
        <w:rPr>
          <w:rFonts w:hint="eastAsia" w:ascii="Arial" w:hAnsi="Arial" w:cs="Arial"/>
          <w:b/>
          <w:color w:val="auto"/>
          <w:sz w:val="36"/>
          <w:szCs w:val="36"/>
          <w:highlight w:val="none"/>
          <w:u w:val="single"/>
        </w:rPr>
        <w:t xml:space="preserve"> </w:t>
      </w:r>
      <w:r>
        <w:rPr>
          <w:rFonts w:hint="eastAsia" w:ascii="Arial" w:hAnsi="Arial" w:cs="Arial"/>
          <w:b/>
          <w:color w:val="auto"/>
          <w:sz w:val="36"/>
          <w:szCs w:val="36"/>
          <w:highlight w:val="none"/>
        </w:rPr>
        <w:t xml:space="preserve">日</w:t>
      </w:r>
      <w:r/>
    </w:p>
    <w:p>
      <w:pPr>
        <w:pStyle w:val="75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t xml:space="preserve"> </w:t>
      </w:r>
      <w:bookmarkStart w:id="0" w:name="_Toc16938516"/>
      <w:r/>
      <w:bookmarkStart w:id="1" w:name="_Toc20823272"/>
      <w:r/>
      <w:bookmarkStart w:id="2" w:name="_Toc120614210"/>
      <w:r/>
      <w:bookmarkStart w:id="3" w:name="_Toc479757206"/>
      <w:r/>
      <w:bookmarkStart w:id="4" w:name="_Toc513029200"/>
      <w:r/>
      <w:bookmarkStart w:id="5" w:name="_Toc523127445"/>
      <w:r/>
      <w:r/>
    </w:p>
    <w:p>
      <w:pPr>
        <w:pStyle w:val="75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755"/>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55"/>
        <w:jc w:val="both"/>
        <w:spacing w:beforeAutospacing="0" w:afterAutospacing="0" w:line="480" w:lineRule="auto"/>
        <w:rPr>
          <w:color w:val="auto"/>
          <w:highlight w:val="none"/>
        </w:rPr>
      </w:pPr>
      <w:r>
        <w:rPr>
          <w:color w:val="auto"/>
          <w:highlight w:val="none"/>
        </w:rPr>
        <w:t xml:space="preserve"> </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合同条款……………………………………</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5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color w:val="auto"/>
          <w:highlight w:val="none"/>
        </w:rPr>
        <w:t xml:space="preserve"> </w:t>
      </w:r>
      <w:r/>
    </w:p>
    <w:p>
      <w:pPr>
        <w:pStyle w:val="755"/>
        <w:jc w:val="center"/>
        <w:keepNext/>
        <w:spacing w:beforeAutospacing="0" w:afterAutospacing="0"/>
        <w:rPr>
          <w:rFonts w:eastAsia="黑体"/>
          <w:color w:val="auto"/>
          <w:highlight w:val="none"/>
        </w:rPr>
      </w:pPr>
      <w:r/>
      <w:bookmarkStart w:id="6" w:name="_Toc28359086"/>
      <w:r>
        <w:rPr>
          <w:rFonts w:hint="eastAsia" w:ascii="黑体" w:hAnsi="宋体" w:eastAsia="黑体" w:cs="黑体"/>
          <w:color w:val="auto"/>
          <w:sz w:val="44"/>
          <w:szCs w:val="44"/>
          <w:highlight w:val="none"/>
        </w:rPr>
        <w:t xml:space="preserve">第一章 招标公告</w:t>
      </w:r>
      <w:r/>
    </w:p>
    <w:p>
      <w:pPr>
        <w:pStyle w:val="755"/>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55"/>
        <w:ind w:firstLine="480"/>
        <w:jc w:val="both"/>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东台市博物馆馆藏文物预防性保护项目（第二次）</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11 </w:t>
      </w:r>
      <w:r>
        <w:rPr>
          <w:rFonts w:hint="eastAsia" w:ascii="宋体" w:hAnsi="宋体" w:eastAsia="宋体" w:cs="宋体"/>
          <w:color w:val="auto"/>
          <w:highlight w:val="none"/>
        </w:rPr>
        <w:t xml:space="preserve">日</w:t>
      </w:r>
      <w:r>
        <w:rPr>
          <w:rFonts w:hint="eastAsia" w:ascii="宋体" w:hAnsi="宋体" w:eastAsia="宋体" w:cs="宋体"/>
          <w:color w:val="auto"/>
          <w:highlight w:val="none"/>
          <w:u w:val="single"/>
          <w:lang w:val="en-US" w:eastAsia="zh-CN"/>
        </w:rPr>
        <w:t xml:space="preserve"> 9 </w:t>
      </w:r>
      <w:r>
        <w:rPr>
          <w:rFonts w:hint="eastAsia" w:ascii="宋体" w:hAnsi="宋体" w:eastAsia="宋体" w:cs="宋体"/>
          <w:color w:val="auto"/>
          <w:highlight w:val="none"/>
        </w:rPr>
        <w:t xml:space="preserve">点</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分（北京时间）前递交投标文件。</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7" w:name="_Toc28359079"/>
      <w:r/>
      <w:bookmarkStart w:id="8" w:name="_Hlk24379207"/>
      <w:r/>
      <w:bookmarkStart w:id="9" w:name="_Toc35393621"/>
      <w:r/>
      <w:bookmarkStart w:id="10" w:name="_Toc28359002"/>
      <w:r/>
      <w:bookmarkStart w:id="11" w:name="_Toc35393790"/>
      <w:r/>
      <w:bookmarkStart w:id="12" w:name="_Toc38985263"/>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55"/>
        <w:ind w:firstLine="480"/>
        <w:jc w:val="both"/>
        <w:spacing w:beforeAutospacing="0" w:afterAutospacing="0" w:line="48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1.项目编号：JSZC-320981-JZCG-G2026-0001</w:t>
      </w:r>
      <w:r/>
    </w:p>
    <w:p>
      <w:pPr>
        <w:pStyle w:val="755"/>
        <w:ind w:firstLine="480"/>
        <w:jc w:val="both"/>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东台市博物馆馆藏文物预防性保护项目（第二次）</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4.预算金额：16</w:t>
      </w:r>
      <w:r>
        <w:rPr>
          <w:rFonts w:hint="eastAsia" w:ascii="宋体" w:hAnsi="宋体" w:eastAsia="宋体" w:cs="宋体"/>
          <w:color w:val="auto"/>
          <w:highlight w:val="none"/>
          <w:lang w:val="en-US" w:eastAsia="zh-CN"/>
        </w:rPr>
        <w:t xml:space="preserve">7.00</w:t>
      </w:r>
      <w:r>
        <w:rPr>
          <w:rFonts w:hint="eastAsia" w:ascii="宋体" w:hAnsi="宋体" w:eastAsia="宋体" w:cs="宋体"/>
          <w:color w:val="auto"/>
          <w:highlight w:val="none"/>
        </w:rPr>
        <w:t xml:space="preserve">万元</w:t>
      </w:r>
      <w:r/>
    </w:p>
    <w:p>
      <w:pPr>
        <w:pStyle w:val="755"/>
        <w:ind w:firstLine="480"/>
        <w:jc w:val="both"/>
        <w:spacing w:beforeAutospacing="0" w:afterAutospacing="0" w:line="480" w:lineRule="exact"/>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7.00</w:t>
      </w:r>
      <w:r>
        <w:rPr>
          <w:rFonts w:hint="eastAsia" w:ascii="宋体" w:hAnsi="宋体" w:eastAsia="宋体" w:cs="宋体"/>
          <w:color w:val="auto"/>
          <w:highlight w:val="none"/>
          <w:shd w:val="clear" w:color="auto" w:fill="ffffff"/>
        </w:rPr>
        <w:t xml:space="preserve">万元</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6.采购需求：</w:t>
      </w:r>
      <w:r>
        <w:rPr>
          <w:rFonts w:hint="eastAsia" w:ascii="宋体" w:hAnsi="宋体" w:eastAsia="宋体" w:cs="宋体"/>
          <w:color w:val="auto"/>
          <w:highlight w:val="none"/>
          <w:lang w:eastAsia="zh-CN"/>
        </w:rPr>
        <w:t xml:space="preserve">东台市博物馆新馆建于2012年，馆址位于江苏省盐城市东台市历史文化博览馆，即市民广场南（广场路10号），占地面积约16000平方米，建筑面积8000平方米，布展总面积3100平方米。本项目针对博物馆三层临时展厅展柜气密性差、不具备调控能力、展柜灯光、使用单层钢化玻璃存在安全隐患等问题，为三层临时展厅更换文物展柜；并配备各类型净化调湿机，以确保珍贵文物展柜微环境的稳定、洁净；为展厅配备智慧安全用电系统，保障展厅用电安全，防止发生意外对文物造成损伤；同时配备一些离线检测设备检测环境质量。</w:t>
      </w:r>
      <w:r>
        <w:rPr>
          <w:rFonts w:hint="eastAsia" w:ascii="宋体" w:hAnsi="宋体" w:eastAsia="宋体" w:cs="宋体"/>
          <w:color w:val="auto"/>
          <w:highlight w:val="none"/>
        </w:rPr>
        <w:t xml:space="preserve">（详细内容见本招标文件第四章）</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7.合同履行期限：合同签订后</w:t>
      </w:r>
      <w:r>
        <w:rPr>
          <w:rFonts w:hint="eastAsia" w:ascii="宋体" w:hAnsi="宋体" w:eastAsia="宋体" w:cs="宋体"/>
          <w:color w:val="auto"/>
          <w:highlight w:val="none"/>
          <w:u w:val="single"/>
          <w:lang w:val="en-US" w:eastAsia="zh-CN"/>
        </w:rPr>
        <w:t xml:space="preserve">90</w:t>
      </w:r>
      <w:r>
        <w:rPr>
          <w:rFonts w:hint="eastAsia" w:ascii="宋体" w:hAnsi="宋体" w:eastAsia="宋体" w:cs="宋体"/>
          <w:color w:val="auto"/>
          <w:highlight w:val="none"/>
          <w:u w:val="single"/>
        </w:rPr>
        <w:t xml:space="preserve">日</w:t>
      </w:r>
      <w:r>
        <w:rPr>
          <w:rFonts w:hint="eastAsia" w:ascii="宋体" w:hAnsi="宋体" w:eastAsia="宋体" w:cs="宋体"/>
          <w:color w:val="auto"/>
          <w:highlight w:val="none"/>
        </w:rPr>
        <w:t xml:space="preserve">内货物全部送达招标人指定地点，并安装调试完毕。</w:t>
      </w:r>
      <w:r/>
    </w:p>
    <w:p>
      <w:pPr>
        <w:pStyle w:val="755"/>
        <w:ind w:firstLine="480"/>
        <w:jc w:val="both"/>
        <w:spacing w:beforeAutospacing="0" w:afterAutospacing="0" w:line="480" w:lineRule="exact"/>
        <w:rPr>
          <w:rFonts w:hint="eastAsia"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 xml:space="preserve">8.本项目不接受联合体参与投标。</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13" w:name="_Toc28359080"/>
      <w:r/>
      <w:bookmarkStart w:id="14" w:name="_Toc35393622"/>
      <w:r/>
      <w:bookmarkStart w:id="15" w:name="_Toc28359003"/>
      <w:r/>
      <w:bookmarkStart w:id="16" w:name="_Toc35393791"/>
      <w:r/>
      <w:bookmarkStart w:id="17" w:name="_Toc38985264"/>
      <w:r>
        <w:rPr>
          <w:rFonts w:hint="eastAsia" w:ascii="宋体" w:hAnsi="宋体" w:eastAsia="宋体" w:cs="宋体"/>
          <w:b/>
          <w:color w:val="auto"/>
          <w:highlight w:val="none"/>
        </w:rPr>
        <w:t xml:space="preserve">二、申请人的资格要求：</w:t>
      </w:r>
      <w:bookmarkEnd w:id="13"/>
      <w:r/>
      <w:bookmarkEnd w:id="14"/>
      <w:r/>
      <w:bookmarkEnd w:id="15"/>
      <w:r/>
      <w:bookmarkEnd w:id="16"/>
      <w:r/>
      <w:bookmarkEnd w:id="17"/>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1.2上一年度或上上年度的财务状况报表（成立不满一年无需提供）；</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截止时间前一年内至少一个月依法缴纳税收及缴纳社会保障资金的证明材料。供应商依法享受缓缴、免缴税收、社会保障资金的提供证明材料）；</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中无需提供证明材料）</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eastAsia="宋体" w:cs="宋体"/>
          <w:color w:val="auto"/>
          <w:highlight w:val="none"/>
          <w:lang w:val="en-US" w:eastAsia="zh-CN"/>
        </w:rPr>
        <w:t xml:space="preserve">无</w:t>
      </w:r>
      <w:r>
        <w:rPr>
          <w:rFonts w:hint="eastAsia" w:ascii="宋体" w:hAnsi="宋体" w:eastAsia="宋体" w:cs="宋体"/>
          <w:color w:val="auto"/>
          <w:highlight w:val="none"/>
        </w:rPr>
        <w:t xml:space="preserve">。</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3.本项目的特定资格要求：投标人如委托被授权人参与，则被授权人须为本单位正式职工并提供投标人为被授权人缴纳的社会养老保险证明。</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bookmarkStart w:id="18" w:name="_Toc28359005"/>
      <w:r/>
      <w:bookmarkStart w:id="19" w:name="_Toc35393793"/>
      <w:r/>
      <w:bookmarkStart w:id="20" w:name="_Toc35393624"/>
      <w:r/>
      <w:bookmarkStart w:id="21" w:name="_Toc28359082"/>
      <w:r/>
      <w:bookmarkStart w:id="22" w:name="_Toc38985266"/>
      <w:r>
        <w:rPr>
          <w:rFonts w:hint="eastAsia" w:ascii="宋体" w:hAnsi="宋体" w:eastAsia="宋体" w:cs="宋体"/>
          <w:color w:val="auto"/>
          <w:highlight w:val="none"/>
        </w:rPr>
        <w:t xml:space="preserve">1.时间：</w:t>
      </w:r>
      <w:bookmarkEnd w:id="18"/>
      <w:r/>
      <w:bookmarkEnd w:id="19"/>
      <w:r/>
      <w:bookmarkEnd w:id="20"/>
      <w:r/>
      <w:bookmarkEnd w:id="21"/>
      <w:r/>
      <w:bookmarkEnd w:id="22"/>
      <w:r>
        <w:rPr>
          <w:rFonts w:hint="eastAsia" w:ascii="宋体" w:hAnsi="宋体" w:eastAsia="宋体" w:cs="宋体"/>
          <w:color w:val="auto"/>
          <w:highlight w:val="none"/>
        </w:rPr>
        <w:t xml:space="preserve">自招标文件公告发布之日起5个工作日</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1.时间：</w:t>
      </w:r>
      <w:r>
        <w:rPr>
          <w:rFonts w:hint="eastAsia" w:ascii="宋体" w:hAnsi="宋体" w:eastAsia="宋体" w:cs="宋体"/>
          <w:color w:val="auto"/>
          <w:highlight w:val="none"/>
          <w:u w:val="single"/>
        </w:rPr>
        <w:t xml:space="preserve">202</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11</w:t>
      </w:r>
      <w:r>
        <w:rPr>
          <w:rFonts w:hint="eastAsia" w:ascii="宋体" w:hAnsi="宋体" w:eastAsia="宋体" w:cs="宋体"/>
          <w:color w:val="auto"/>
          <w:highlight w:val="none"/>
        </w:rPr>
        <w:t xml:space="preserve">日</w:t>
      </w:r>
      <w:r>
        <w:rPr>
          <w:rFonts w:hint="eastAsia" w:ascii="宋体" w:hAnsi="宋体" w:eastAsia="宋体" w:cs="宋体"/>
          <w:color w:val="auto"/>
          <w:highlight w:val="none"/>
          <w:u w:val="single"/>
          <w:lang w:val="en-US" w:eastAsia="zh-CN"/>
        </w:rPr>
        <w:t xml:space="preserve">9</w:t>
      </w:r>
      <w:r>
        <w:rPr>
          <w:rFonts w:hint="eastAsia" w:ascii="宋体" w:hAnsi="宋体" w:eastAsia="宋体" w:cs="宋体"/>
          <w:color w:val="auto"/>
          <w:highlight w:val="none"/>
        </w:rPr>
        <w:t xml:space="preserve">点</w:t>
      </w:r>
      <w:r>
        <w:rPr>
          <w:rFonts w:hint="eastAsia" w:ascii="宋体" w:hAnsi="宋体" w:eastAsia="宋体" w:cs="宋体"/>
          <w:color w:val="auto"/>
          <w:highlight w:val="none"/>
          <w:u w:val="single"/>
        </w:rPr>
        <w:t xml:space="preserve">00</w:t>
      </w:r>
      <w:r>
        <w:rPr>
          <w:rFonts w:hint="eastAsia" w:ascii="宋体" w:hAnsi="宋体" w:eastAsia="宋体" w:cs="宋体"/>
          <w:color w:val="auto"/>
          <w:highlight w:val="none"/>
        </w:rPr>
        <w:t xml:space="preserve">分（</w:t>
      </w:r>
      <w:bookmarkStart w:id="193" w:name="_GoBack"/>
      <w:r/>
      <w:bookmarkEnd w:id="193"/>
      <w:r>
        <w:rPr>
          <w:rFonts w:hint="eastAsia" w:ascii="宋体" w:hAnsi="宋体" w:eastAsia="宋体" w:cs="宋体"/>
          <w:color w:val="auto"/>
          <w:highlight w:val="none"/>
        </w:rPr>
        <w:t xml:space="preserve">北京时间）</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 </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23" w:name="_Toc28359007"/>
      <w:r/>
      <w:bookmarkStart w:id="24" w:name="_Toc38985267"/>
      <w:r/>
      <w:bookmarkStart w:id="25" w:name="_Toc35393794"/>
      <w:r/>
      <w:bookmarkStart w:id="26" w:name="_Toc35393625"/>
      <w:r/>
      <w:bookmarkStart w:id="27" w:name="_Toc28359084"/>
      <w:r>
        <w:rPr>
          <w:rFonts w:hint="eastAsia" w:ascii="宋体" w:hAnsi="宋体" w:eastAsia="宋体" w:cs="宋体"/>
          <w:b/>
          <w:color w:val="auto"/>
          <w:highlight w:val="none"/>
        </w:rPr>
        <w:t xml:space="preserve">五、公告期限</w:t>
      </w:r>
      <w:bookmarkEnd w:id="23"/>
      <w:r/>
      <w:bookmarkEnd w:id="24"/>
      <w:r/>
      <w:bookmarkEnd w:id="25"/>
      <w:r/>
      <w:bookmarkEnd w:id="26"/>
      <w:r/>
      <w:bookmarkEnd w:id="27"/>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28" w:name="_Toc35393626"/>
      <w:r/>
      <w:bookmarkStart w:id="29" w:name="_Toc38985268"/>
      <w:r/>
      <w:bookmarkStart w:id="30" w:name="_Toc35393795"/>
      <w:r>
        <w:rPr>
          <w:rFonts w:hint="eastAsia" w:ascii="宋体" w:hAnsi="宋体" w:eastAsia="宋体" w:cs="宋体"/>
          <w:color w:val="auto"/>
          <w:highlight w:val="none"/>
          <w:shd w:val="clear" w:color="auto" w:fill="ffffff"/>
        </w:rPr>
        <w:t xml:space="preserve">自本公告发布之日起5个工作日</w:t>
      </w:r>
      <w:bookmarkEnd w:id="28"/>
      <w:r/>
      <w:bookmarkEnd w:id="29"/>
      <w:r/>
      <w:bookmarkEnd w:id="30"/>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bookmarkStart w:id="31"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--导出加密的</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（后缀名为 zip）--通过“苏采云”系统上传</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。具体见《“苏采云”系统供应商操作手册》 （手册下载地址：苏采云系统-右侧消息通知栏）。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3.有关本次招标的事项若存在变动或修改，敬请及时关注在“</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江苏政府采购网”“盐城市政府采购网”发布的更正公告。</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25"/>
        <w:ind w:firstLine="480"/>
        <w:jc w:val="both"/>
        <w:spacing w:beforeAutospacing="0" w:afterAutospacing="0" w:line="480" w:lineRule="exact"/>
        <w:shd w:val="clear" w:color="auto" w:fill="ffffff"/>
        <w:widowControl/>
        <w:rPr>
          <w:rFonts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31"/>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东台市博物馆</w:t>
      </w:r>
      <w:r>
        <w:rPr>
          <w:rFonts w:hint="eastAsia" w:ascii="宋体" w:hAnsi="宋体" w:eastAsia="宋体" w:cs="宋体"/>
          <w:color w:val="auto"/>
          <w:highlight w:val="none"/>
        </w:rPr>
        <w:t xml:space="preserve">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址：东台市广场路10号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  系人：</w:t>
      </w:r>
      <w:r>
        <w:rPr>
          <w:rFonts w:hint="eastAsia" w:ascii="宋体" w:hAnsi="宋体" w:eastAsia="宋体" w:cs="宋体"/>
          <w:color w:val="auto"/>
          <w:highlight w:val="none"/>
          <w:lang w:val="en-US" w:eastAsia="zh-CN"/>
        </w:rPr>
        <w:t xml:space="preserve">陈女士</w:t>
      </w:r>
      <w:r>
        <w:rPr>
          <w:rFonts w:hint="eastAsia" w:ascii="宋体" w:hAnsi="宋体" w:eastAsia="宋体" w:cs="宋体"/>
          <w:color w:val="auto"/>
          <w:highlight w:val="none"/>
        </w:rPr>
        <w:t xml:space="preserve">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联系方式：17798777205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2.采购代理机构信息（如有）</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称：东台市</w:t>
      </w:r>
      <w:r>
        <w:rPr>
          <w:rFonts w:hint="eastAsia" w:ascii="宋体" w:hAnsi="宋体" w:eastAsia="宋体" w:cs="宋体"/>
          <w:color w:val="auto"/>
          <w:highlight w:val="none"/>
          <w:lang w:val="en-US" w:eastAsia="zh-CN"/>
        </w:rPr>
        <w:t xml:space="preserve">公共资源交易中心</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址：东台市北海西路8号</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 系 人：刘先生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联系方式：13921850520                   </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项目联系人：刘先生</w:t>
      </w:r>
      <w:r/>
    </w:p>
    <w:p>
      <w:pPr>
        <w:pStyle w:val="755"/>
        <w:ind w:firstLine="480"/>
        <w:jc w:val="both"/>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电　 　 话：13921850520</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2" w:name="_Toc120614211"/>
      <w:r/>
      <w:r/>
    </w:p>
    <w:p>
      <w:pPr>
        <w:pStyle w:val="755"/>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2"/>
      <w:r/>
      <w:bookmarkStart w:id="33" w:name="_Toc16938518"/>
      <w:r/>
      <w:bookmarkStart w:id="34" w:name="_Toc513029202"/>
      <w:r/>
      <w:bookmarkStart w:id="35" w:name="_Toc120614213"/>
      <w:r/>
      <w:bookmarkStart w:id="36" w:name="_Toc20823274"/>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37" w:name="_Toc120614214"/>
      <w:r/>
      <w:bookmarkStart w:id="38" w:name="_Toc16938519"/>
      <w:r/>
      <w:bookmarkStart w:id="39" w:name="_Toc513029203"/>
      <w:r/>
      <w:bookmarkStart w:id="40" w:name="_Toc20823275"/>
      <w:r>
        <w:rPr>
          <w:rFonts w:hint="eastAsia" w:ascii="宋体" w:hAnsi="宋体" w:eastAsia="宋体" w:cs="宋体"/>
          <w:b/>
          <w:color w:val="auto"/>
          <w:highlight w:val="none"/>
        </w:rPr>
        <w:t xml:space="preserve">一、总则</w:t>
      </w:r>
      <w:bookmarkEnd w:id="37"/>
      <w:r/>
      <w:bookmarkEnd w:id="38"/>
      <w:r/>
      <w:bookmarkEnd w:id="39"/>
      <w:r/>
      <w:bookmarkEnd w:id="40"/>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color w:val="auto"/>
          <w:highlight w:val="none"/>
        </w:rPr>
        <w:t xml:space="preserve">1</w:t>
      </w:r>
      <w:bookmarkEnd w:id="41"/>
      <w:r>
        <w:rPr>
          <w:rFonts w:hint="eastAsia" w:ascii="宋体" w:hAnsi="宋体" w:eastAsia="宋体" w:cs="宋体"/>
          <w:color w:val="auto"/>
          <w:highlight w:val="none"/>
        </w:rPr>
        <w:t xml:space="preserve">.招标方式</w:t>
      </w:r>
      <w:bookmarkEnd w:id="42"/>
      <w:r/>
      <w:bookmarkEnd w:id="43"/>
      <w:r/>
      <w:bookmarkEnd w:id="44"/>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46" w:name="_Toc513029205"/>
      <w:r/>
      <w:bookmarkStart w:id="47" w:name="_Toc20823277"/>
      <w:r/>
      <w:bookmarkStart w:id="48" w:name="_Toc16938521"/>
      <w:r>
        <w:rPr>
          <w:rFonts w:hint="eastAsia" w:ascii="宋体" w:hAnsi="宋体" w:eastAsia="宋体" w:cs="宋体"/>
          <w:color w:val="auto"/>
          <w:highlight w:val="none"/>
        </w:rPr>
        <w:t xml:space="preserve">2.合格的投标人</w:t>
      </w:r>
      <w:bookmarkEnd w:id="46"/>
      <w:r/>
      <w:bookmarkEnd w:id="47"/>
      <w:r/>
      <w:bookmarkEnd w:id="48"/>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满足本文件实质性要求和条件的规定。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适用法律和标准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 在本项目政府采购活动过程中，如果所执行的标准有更新的，按照最新标准执行。</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49" w:name="_Toc513029207"/>
      <w:r/>
      <w:bookmarkStart w:id="50" w:name="_Toc16938523"/>
      <w:r/>
      <w:bookmarkStart w:id="51" w:name="_Toc462564067"/>
      <w:r/>
      <w:bookmarkStart w:id="52" w:name="_Toc20823279"/>
      <w:r>
        <w:rPr>
          <w:rFonts w:hint="eastAsia" w:ascii="宋体" w:hAnsi="宋体" w:eastAsia="宋体" w:cs="宋体"/>
          <w:color w:val="auto"/>
          <w:highlight w:val="none"/>
        </w:rPr>
        <w:t xml:space="preserve">4.投标费用</w:t>
      </w:r>
      <w:bookmarkEnd w:id="49"/>
      <w:r/>
      <w:bookmarkEnd w:id="50"/>
      <w:r/>
      <w:bookmarkEnd w:id="51"/>
      <w:r/>
      <w:bookmarkEnd w:id="52"/>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投标人应自行承担所有与参加投标有关的费用，无论投标过程中的做法和结果如何，采购人及代理机构在任何情况下均无义务和责任承担这些费用。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4.2本次招标采购人和代理机构不收取标书工本费与中标服务费。</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53" w:name="_Toc120614215"/>
      <w:r/>
      <w:bookmarkStart w:id="54" w:name="_Toc513029209"/>
      <w:r/>
      <w:bookmarkStart w:id="55" w:name="_Toc20823281"/>
      <w:r/>
      <w:bookmarkStart w:id="56" w:name="_Toc16938525"/>
      <w:r>
        <w:rPr>
          <w:rFonts w:hint="eastAsia" w:ascii="宋体" w:hAnsi="宋体" w:eastAsia="宋体" w:cs="宋体"/>
          <w:b/>
          <w:color w:val="auto"/>
          <w:highlight w:val="none"/>
        </w:rPr>
        <w:t xml:space="preserve">二、招标文件</w:t>
      </w:r>
      <w:bookmarkEnd w:id="53"/>
      <w:r/>
      <w:bookmarkEnd w:id="54"/>
      <w:r/>
      <w:bookmarkEnd w:id="55"/>
      <w:r/>
      <w:bookmarkEnd w:id="56"/>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57" w:name="_Toc20823282"/>
      <w:r/>
      <w:bookmarkStart w:id="58" w:name="_Toc16938526"/>
      <w:r/>
      <w:bookmarkStart w:id="59" w:name="_Toc513029210"/>
      <w:r>
        <w:rPr>
          <w:rFonts w:hint="eastAsia" w:ascii="宋体" w:hAnsi="宋体" w:eastAsia="宋体" w:cs="宋体"/>
          <w:color w:val="auto"/>
          <w:highlight w:val="none"/>
        </w:rPr>
        <w:t xml:space="preserve">6.招标文件构成</w:t>
      </w:r>
      <w:bookmarkEnd w:id="57"/>
      <w:r/>
      <w:bookmarkEnd w:id="58"/>
      <w:r/>
      <w:bookmarkEnd w:id="59"/>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请仔细检查招标文件是否齐全，如有缺漏请立即与采购人联系解决。</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60" w:name="_Toc513029211"/>
      <w:r/>
      <w:bookmarkStart w:id="61" w:name="_Toc462564070"/>
      <w:r/>
      <w:bookmarkStart w:id="62" w:name="_Toc16938527"/>
      <w:r/>
      <w:bookmarkStart w:id="63" w:name="_Toc20823283"/>
      <w:r>
        <w:rPr>
          <w:rFonts w:hint="eastAsia" w:ascii="宋体" w:hAnsi="宋体" w:eastAsia="宋体" w:cs="宋体"/>
          <w:color w:val="auto"/>
          <w:highlight w:val="none"/>
        </w:rPr>
        <w:t xml:space="preserve">7.招标文件的澄清</w:t>
      </w:r>
      <w:bookmarkEnd w:id="60"/>
      <w:r/>
      <w:bookmarkEnd w:id="61"/>
      <w:r/>
      <w:bookmarkEnd w:id="62"/>
      <w:r/>
      <w:bookmarkEnd w:id="63"/>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64" w:name="_Toc20823284"/>
      <w:r/>
      <w:bookmarkStart w:id="65" w:name="_Toc16938528"/>
      <w:r/>
      <w:bookmarkStart w:id="66" w:name="_Toc462564071"/>
      <w:r/>
      <w:bookmarkStart w:id="67" w:name="_Toc513029212"/>
      <w:r>
        <w:rPr>
          <w:rFonts w:hint="eastAsia" w:ascii="宋体" w:hAnsi="宋体" w:eastAsia="宋体" w:cs="宋体"/>
          <w:color w:val="auto"/>
          <w:highlight w:val="none"/>
        </w:rPr>
        <w:t xml:space="preserve">8.招标文件的修改</w:t>
      </w:r>
      <w:bookmarkEnd w:id="64"/>
      <w:r/>
      <w:bookmarkEnd w:id="65"/>
      <w:r/>
      <w:bookmarkEnd w:id="66"/>
      <w:r/>
      <w:bookmarkEnd w:id="67"/>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8.1 在投标截止时间前，采购人可以对招标文件进行修改。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 采购人有权按照法定的要求推迟投标截止日期和开标日期。</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8.3 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68" w:name="_Toc20823285"/>
      <w:r/>
      <w:bookmarkStart w:id="69" w:name="_Toc513029213"/>
      <w:r/>
      <w:bookmarkStart w:id="70" w:name="_Toc120614216"/>
      <w:r/>
      <w:bookmarkStart w:id="71" w:name="_Toc16938529"/>
      <w:r/>
      <w:bookmarkStart w:id="72" w:name="_Toc462564072"/>
      <w:r>
        <w:rPr>
          <w:rFonts w:hint="eastAsia" w:ascii="宋体" w:hAnsi="宋体" w:eastAsia="宋体" w:cs="宋体"/>
          <w:b/>
          <w:color w:val="auto"/>
          <w:highlight w:val="none"/>
        </w:rPr>
        <w:t xml:space="preserve">三、投标文件的编制</w:t>
      </w:r>
      <w:bookmarkEnd w:id="68"/>
      <w:r/>
      <w:bookmarkEnd w:id="69"/>
      <w:r/>
      <w:bookmarkEnd w:id="70"/>
      <w:r/>
      <w:bookmarkEnd w:id="71"/>
      <w:r/>
      <w:bookmarkEnd w:id="72"/>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73" w:name="_Toc462564073"/>
      <w:r/>
      <w:bookmarkStart w:id="74" w:name="_Toc16938530"/>
      <w:r/>
      <w:bookmarkStart w:id="75" w:name="_Toc513029214"/>
      <w:r/>
      <w:bookmarkStart w:id="76" w:name="_Toc20823286"/>
      <w:r>
        <w:rPr>
          <w:rFonts w:hint="eastAsia" w:ascii="宋体" w:hAnsi="宋体" w:eastAsia="宋体" w:cs="宋体"/>
          <w:color w:val="auto"/>
          <w:highlight w:val="none"/>
        </w:rPr>
        <w:t xml:space="preserve">9.投标文件的语言及度量衡单位</w:t>
      </w:r>
      <w:bookmarkEnd w:id="73"/>
      <w:r/>
      <w:bookmarkEnd w:id="74"/>
      <w:r/>
      <w:bookmarkEnd w:id="75"/>
      <w:r/>
      <w:bookmarkEnd w:id="76"/>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9.1 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77" w:name="_Toc16938531"/>
      <w:r/>
      <w:bookmarkStart w:id="78" w:name="_Toc462564074"/>
      <w:r/>
      <w:bookmarkStart w:id="79" w:name="_Toc513029215"/>
      <w:r/>
      <w:bookmarkStart w:id="80" w:name="_Toc20823287"/>
      <w:r>
        <w:rPr>
          <w:rFonts w:hint="eastAsia" w:ascii="宋体" w:hAnsi="宋体" w:eastAsia="宋体" w:cs="宋体"/>
          <w:color w:val="auto"/>
          <w:highlight w:val="none"/>
        </w:rPr>
        <w:t xml:space="preserve">10.投标文件构成</w:t>
      </w:r>
      <w:bookmarkEnd w:id="77"/>
      <w:r/>
      <w:bookmarkEnd w:id="78"/>
      <w:r/>
      <w:bookmarkEnd w:id="79"/>
      <w:r/>
      <w:bookmarkEnd w:id="80"/>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10.2 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81" w:name="_Toc49090508"/>
      <w:r/>
      <w:bookmarkStart w:id="82" w:name="_Toc14577357"/>
      <w:r/>
      <w:bookmarkStart w:id="83" w:name="_Toc14577355"/>
      <w:r/>
      <w:bookmarkStart w:id="84" w:name="_Toc14577354"/>
      <w:r/>
      <w:bookmarkStart w:id="85" w:name="_Toc49090507"/>
      <w:r/>
      <w:bookmarkStart w:id="86" w:name="_Toc513029219"/>
      <w:r/>
      <w:bookmarkStart w:id="87" w:name="_Toc513029216"/>
      <w:r/>
      <w:bookmarkStart w:id="88" w:name="_Toc49090509"/>
      <w:r/>
      <w:bookmarkStart w:id="89" w:name="_Hlt26668975"/>
      <w:r/>
      <w:bookmarkStart w:id="90" w:name="_Hlt26954838"/>
      <w:r/>
      <w:bookmarkStart w:id="91" w:name="_Hlt26670360"/>
      <w:r>
        <w:rPr>
          <w:rFonts w:hint="eastAsia" w:ascii="宋体" w:hAnsi="宋体" w:eastAsia="宋体" w:cs="宋体"/>
          <w:color w:val="auto"/>
          <w:highlight w:val="none"/>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11.1 投标人应按照招标文件要求提交证明文件，证明其及投标标的符合招标文件规定。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 投标人应按照招标文件规定格式填报投标分项报价表。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92" w:name="_Hlt26670482"/>
      <w:r/>
      <w:bookmarkStart w:id="93" w:name="_Hlt26954731"/>
      <w:r/>
      <w:bookmarkStart w:id="94" w:name="_Hlt26670486"/>
      <w:r/>
      <w:bookmarkStart w:id="95" w:name="_Hlt26954846"/>
      <w:r/>
      <w:bookmarkStart w:id="96" w:name="_Hlt26954848"/>
      <w:r>
        <w:rPr>
          <w:rFonts w:hint="eastAsia" w:ascii="宋体" w:hAnsi="宋体" w:eastAsia="宋体" w:cs="宋体"/>
          <w:color w:val="auto"/>
          <w:highlight w:val="none"/>
        </w:rPr>
        <w:t xml:space="preserve">13.技术要求响应及偏离表、商务要求响应及偏离表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 投标人需对招标文件中的技术要求与商务要求逐项作出响应或偏离，并说明原因。</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 投标人可在投标文件中提供认为需要的其他技术文件或说明。</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 投标人需根据招标文件要求提供有关售后服务的管理制度，售后服务机构的分布情况，售后服务人员的数量、素质、技术水平及售后服务的反应能力等。</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 投标人需根据招标文件要求提供培训计划。</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14.3 投标人需根据招标文件要求提供所投标的主要组成部分、功能设计、实现思路及关键技术等。</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97" w:name="_Toc14577359"/>
      <w:r/>
      <w:bookmarkStart w:id="98" w:name="_Toc49090510"/>
      <w:r>
        <w:rPr>
          <w:rFonts w:hint="eastAsia" w:ascii="宋体" w:hAnsi="宋体" w:eastAsia="宋体" w:cs="宋体"/>
          <w:color w:val="auto"/>
          <w:highlight w:val="none"/>
        </w:rPr>
        <w:t xml:space="preserve">15.投标函和开标一览表</w:t>
      </w:r>
      <w:bookmarkEnd w:id="97"/>
      <w:r/>
      <w:bookmarkEnd w:id="98"/>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15.1 投标人应按照招标文件中提供的格式完整、正确填写投标函、开标一览表。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99" w:name="_Toc49090511"/>
      <w:r/>
      <w:bookmarkStart w:id="100" w:name="_Toc14577360"/>
      <w:r>
        <w:rPr>
          <w:rFonts w:hint="eastAsia" w:ascii="宋体" w:hAnsi="宋体" w:eastAsia="宋体" w:cs="宋体"/>
          <w:color w:val="auto"/>
          <w:highlight w:val="none"/>
        </w:rPr>
        <w:t xml:space="preserve">16.投标有效期</w:t>
      </w:r>
      <w:bookmarkEnd w:id="99"/>
      <w:r/>
      <w:bookmarkEnd w:id="100"/>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101" w:name="_Toc513029224"/>
      <w:r/>
      <w:bookmarkStart w:id="102" w:name="_Toc16938540"/>
      <w:r/>
      <w:bookmarkStart w:id="103" w:name="_Toc120614217"/>
      <w:r/>
      <w:bookmarkStart w:id="104" w:name="_Toc20823296"/>
      <w:r/>
      <w:bookmarkStart w:id="105" w:name="_Hlt26954852"/>
      <w:r/>
      <w:bookmarkStart w:id="106" w:name="_Hlt26954739"/>
      <w:r>
        <w:rPr>
          <w:rFonts w:hint="eastAsia" w:ascii="宋体" w:hAnsi="宋体" w:eastAsia="宋体" w:cs="宋体"/>
          <w:b/>
          <w:color w:val="auto"/>
          <w:highlight w:val="none"/>
        </w:rPr>
        <w:t xml:space="preserve">四、投标文件的递交</w:t>
      </w:r>
      <w:bookmarkEnd w:id="101"/>
      <w:r/>
      <w:bookmarkEnd w:id="102"/>
      <w:r/>
      <w:bookmarkEnd w:id="103"/>
      <w:r/>
      <w:bookmarkEnd w:id="104"/>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07" w:name="_Toc20823297"/>
      <w:r/>
      <w:bookmarkStart w:id="108" w:name="_Toc513029225"/>
      <w:r/>
      <w:bookmarkStart w:id="109" w:name="_Toc462564084"/>
      <w:r/>
      <w:bookmarkStart w:id="110" w:name="_Toc16938541"/>
      <w:r>
        <w:rPr>
          <w:rFonts w:hint="eastAsia" w:ascii="宋体" w:hAnsi="宋体" w:eastAsia="宋体" w:cs="宋体"/>
          <w:color w:val="auto"/>
          <w:highlight w:val="none"/>
        </w:rPr>
        <w:t xml:space="preserve">18.电子投标文件</w:t>
      </w:r>
      <w:bookmarkEnd w:id="107"/>
      <w:r/>
      <w:bookmarkEnd w:id="108"/>
      <w:r/>
      <w:bookmarkEnd w:id="109"/>
      <w:r/>
      <w:bookmarkEnd w:id="110"/>
      <w:r>
        <w:rPr>
          <w:rFonts w:hint="eastAsia" w:ascii="宋体" w:hAnsi="宋体" w:eastAsia="宋体" w:cs="宋体"/>
          <w:color w:val="auto"/>
          <w:highlight w:val="none"/>
        </w:rPr>
        <w:t xml:space="preserve">的递交</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18.1投标人应当按照《操作手册》规定，在投标截止时间前制作并上传电子投标文件。</w:t>
      </w:r>
      <w:bookmarkStart w:id="111" w:name="_Toc16938542"/>
      <w:r/>
      <w:bookmarkEnd w:id="111"/>
      <w:r/>
      <w:bookmarkStart w:id="112" w:name="_Toc20823298"/>
      <w:r/>
      <w:bookmarkEnd w:id="112"/>
      <w:r/>
      <w:bookmarkStart w:id="113" w:name="_Toc513029226"/>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19.投标截止日期</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Cs/>
          <w:color w:val="auto"/>
          <w:highlight w:val="none"/>
          <w:u w:val="single"/>
        </w:rPr>
        <w:t xml:space="preserve">19.1 投标人上传电子投标文件的时间不得迟于招标公告中规定的投标截止时间。</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网络环境、网络带宽等风险因素，如因投标人自身原因造成的电子投标文件上传不成功的，按照本招标文件第二章第27.1.2条规定做无效投标处理。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14" w:name="_Toc16938543"/>
      <w:r/>
      <w:bookmarkStart w:id="115" w:name="_Toc20823299"/>
      <w:r/>
      <w:bookmarkStart w:id="116" w:name="_Toc513029227"/>
      <w:r>
        <w:rPr>
          <w:rFonts w:hint="eastAsia" w:ascii="宋体" w:hAnsi="宋体" w:eastAsia="宋体" w:cs="宋体"/>
          <w:color w:val="auto"/>
          <w:highlight w:val="none"/>
        </w:rPr>
        <w:t xml:space="preserve">20.投标文件</w:t>
      </w:r>
      <w:bookmarkEnd w:id="114"/>
      <w:r/>
      <w:bookmarkEnd w:id="115"/>
      <w:r/>
      <w:bookmarkEnd w:id="116"/>
      <w:r>
        <w:rPr>
          <w:rFonts w:hint="eastAsia" w:ascii="宋体" w:hAnsi="宋体" w:eastAsia="宋体" w:cs="宋体"/>
          <w:color w:val="auto"/>
          <w:highlight w:val="none"/>
        </w:rPr>
        <w:t xml:space="preserve">的拒收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 采购人拒绝接收在其规定的投标截止时间后上传的任何投标文件。</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17" w:name="_Toc16938544"/>
      <w:r/>
      <w:bookmarkStart w:id="118" w:name="_Toc20823300"/>
      <w:r/>
      <w:bookmarkStart w:id="119" w:name="_Toc513029228"/>
      <w:r>
        <w:rPr>
          <w:rFonts w:hint="eastAsia" w:ascii="宋体" w:hAnsi="宋体" w:eastAsia="宋体" w:cs="宋体"/>
          <w:color w:val="auto"/>
          <w:highlight w:val="none"/>
        </w:rPr>
        <w:t xml:space="preserve">21.投标文件的撤回和修改</w:t>
      </w:r>
      <w:bookmarkEnd w:id="117"/>
      <w:r/>
      <w:bookmarkEnd w:id="118"/>
      <w:r/>
      <w:bookmarkEnd w:id="119"/>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 投标文件的撤回</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21.1.1 电子投标文件的撤回</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21.1.2 投标人撤回电子投标文件，则认为其不再参与本项目投标活动。</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 投标文件的修改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21.2.2 在投标截止时间之后，投标人不得对其电子投标文件作任何修改。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 在投标截止时间至招标文件中规定的投标有效期满之间的这段时间内，投标人不得撤回其投标。</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120" w:name="_Toc120614218"/>
      <w:r/>
      <w:bookmarkStart w:id="121" w:name="_Toc513029229"/>
      <w:r/>
      <w:bookmarkStart w:id="122" w:name="_Toc20823301"/>
      <w:r/>
      <w:bookmarkStart w:id="123" w:name="_Toc16938545"/>
      <w:r>
        <w:rPr>
          <w:rFonts w:hint="eastAsia" w:ascii="宋体" w:hAnsi="宋体" w:eastAsia="宋体" w:cs="宋体"/>
          <w:b/>
          <w:color w:val="auto"/>
          <w:highlight w:val="none"/>
        </w:rPr>
        <w:t xml:space="preserve">五、开标与评标</w:t>
      </w:r>
      <w:bookmarkEnd w:id="120"/>
      <w:r/>
      <w:bookmarkEnd w:id="121"/>
      <w:r/>
      <w:bookmarkEnd w:id="122"/>
      <w:r/>
      <w:bookmarkEnd w:id="123"/>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24" w:name="_Toc513029230"/>
      <w:r/>
      <w:bookmarkStart w:id="125" w:name="_Toc16938546"/>
      <w:r/>
      <w:bookmarkStart w:id="126" w:name="_Toc20823302"/>
      <w:r>
        <w:rPr>
          <w:rFonts w:hint="eastAsia" w:ascii="宋体" w:hAnsi="宋体" w:eastAsia="宋体" w:cs="宋体"/>
          <w:color w:val="auto"/>
          <w:highlight w:val="none"/>
        </w:rPr>
        <w:t xml:space="preserve">22.开标</w:t>
      </w:r>
      <w:bookmarkEnd w:id="124"/>
      <w:r/>
      <w:bookmarkEnd w:id="125"/>
      <w:r/>
      <w:bookmarkEnd w:id="126"/>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 采购人将在招标公告中规定的时间和地点组织公开开标。投标人应当按照《操作手册》规定，参加开标活动和在苏采云系统规定的时间内对投标文件进行解密。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22.2开标仪式由采购人组织。苏采云系统将自动对项目进行开标，并宣布各投标人名称和投标价格。</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22.3 投标人在开标过程中涉及的投标文件解密、开标结果确认等工作，应按照《操作手册》规定执行。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27" w:name="_Toc20823303"/>
      <w:r/>
      <w:bookmarkStart w:id="128" w:name="_Toc513029231"/>
      <w:r/>
      <w:bookmarkStart w:id="129" w:name="_Toc16938547"/>
      <w:r>
        <w:rPr>
          <w:rFonts w:hint="eastAsia" w:ascii="宋体" w:hAnsi="宋体" w:eastAsia="宋体" w:cs="宋体"/>
          <w:color w:val="auto"/>
          <w:highlight w:val="none"/>
        </w:rPr>
        <w:t xml:space="preserve">23.评标委员会</w:t>
      </w:r>
      <w:bookmarkEnd w:id="127"/>
      <w:r/>
      <w:bookmarkEnd w:id="128"/>
      <w:r/>
      <w:bookmarkEnd w:id="129"/>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23.1</w:t>
      </w: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开标后，采购人将立即组织评标委员会（以下简称评委会）进行评标。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23.2 评委会由采购人代表和有关技术、经济等方面的专家组成，且人员构成符合政府采购有关规定。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23.3评委会独立工作，负责评审所有投标文件并确定中标候选人。</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24.1凡是与审查、澄清、评价和比较投标的有关资料以及授标建议等，采购人、评委均不得向投标人或与评标无关的其他人员透露。</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24.3 采购人和评标委员会不向未中标的投标人解释未中标原因，也不公布评标过程中的相关细节。</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24.4 采用综合评分法的项目，未中标的投标人可于中标结果公告期限届满之日起通过苏采云系统查看自己的评审得分及排序情况。</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30" w:name="_Toc20823304"/>
      <w:r/>
      <w:bookmarkStart w:id="131" w:name="_Toc16938548"/>
      <w:r/>
      <w:bookmarkStart w:id="132" w:name="_Toc513029232"/>
      <w:r>
        <w:rPr>
          <w:rFonts w:hint="eastAsia" w:ascii="宋体" w:hAnsi="宋体" w:eastAsia="宋体" w:cs="宋体"/>
          <w:color w:val="auto"/>
          <w:highlight w:val="none"/>
        </w:rPr>
        <w:t xml:space="preserve">25.投标文件的澄清</w:t>
      </w:r>
      <w:bookmarkEnd w:id="130"/>
      <w:r/>
      <w:bookmarkEnd w:id="131"/>
      <w:r/>
      <w:bookmarkEnd w:id="132"/>
      <w:r/>
      <w:r/>
    </w:p>
    <w:p>
      <w:pPr>
        <w:pStyle w:val="755"/>
        <w:ind w:firstLine="480"/>
        <w:jc w:val="both"/>
        <w:spacing w:beforeAutospacing="0" w:afterAutospacing="0" w:line="480" w:lineRule="exact"/>
        <w:rPr>
          <w:rFonts w:hint="eastAsia" w:ascii="宋体" w:hAnsi="宋体" w:eastAsia="宋体" w:cs="宋体"/>
          <w:color w:val="auto"/>
          <w:highlight w:val="none"/>
        </w:rPr>
      </w:pPr>
      <w:r/>
      <w:bookmarkStart w:id="133" w:name="_Toc16938549"/>
      <w:r/>
      <w:bookmarkStart w:id="134" w:name="_Toc20823305"/>
      <w:r/>
      <w:bookmarkStart w:id="135" w:name="_Toc513029233"/>
      <w:r>
        <w:rPr>
          <w:rFonts w:hint="eastAsia" w:ascii="宋体" w:hAnsi="宋体" w:eastAsia="宋体" w:cs="宋体"/>
          <w:color w:val="auto"/>
          <w:highlight w:val="none"/>
        </w:rPr>
        <w:t xml:space="preserve">25.1 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25.3 接到评委会澄清、说明和补正要求的投标人如未按规定作出澄清、说明和补正，其风险由投标人自行承担。</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26.对投标文件的初审</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26.1.1 资格审查：依据法律法规和招标文件的规定，由采购人对投标文件中的资格证明文件进行审查。资格审查的结论，采购人以书面形式向评委会进行反馈。</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26.1.2 符合性审查：依据招标文件的规定，由评委会从投标文件的有效性、完整性和对招标文件的响应程度进行审查，以确定是否对招标文件的实质性要求作出响应。</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26.1.3 未通过资格审查或符合性审查的投标人，采购人将在苏采云系统中告知未通过资格审查或符合性审查的原因，评审结束后，采购人将不再告知未通过资格审查或符合性审查的原因。</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w:t>
      </w:r>
      <w:r>
        <w:rPr>
          <w:rFonts w:hint="eastAsia" w:ascii="宋体" w:hAnsi="宋体" w:eastAsia="宋体" w:cs="宋体"/>
          <w:color w:val="auto"/>
          <w:highlight w:val="none"/>
          <w:lang w:eastAsia="zh-CN"/>
        </w:rPr>
        <w:t xml:space="preserve">不符</w:t>
      </w:r>
      <w:r>
        <w:rPr>
          <w:rFonts w:hint="eastAsia" w:ascii="宋体" w:hAnsi="宋体" w:eastAsia="宋体" w:cs="宋体"/>
          <w:color w:val="auto"/>
          <w:highlight w:val="none"/>
        </w:rPr>
        <w:t xml:space="preserve">合要求的偏离或保留而使其投标成为实质性响应的投标。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5"/>
        <w:ind w:firstLine="480"/>
        <w:jc w:val="both"/>
        <w:spacing w:beforeAutospacing="0" w:afterAutospacing="0" w:line="480" w:lineRule="exact"/>
        <w:rPr>
          <w:rFonts w:hint="eastAsia" w:ascii="宋体" w:hAnsi="宋体" w:eastAsia="宋体" w:cs="宋体"/>
          <w:color w:val="auto"/>
          <w:highlight w:val="none"/>
        </w:rPr>
      </w:pPr>
      <w:r/>
      <w:bookmarkStart w:id="136" w:name="_Toc513029234"/>
      <w:r/>
      <w:bookmarkStart w:id="137" w:name="_Toc20823306"/>
      <w:r/>
      <w:bookmarkStart w:id="138" w:name="_Toc16938550"/>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26.7投标人在开、评标全过程中应保持通信畅通，及时登录苏采云系统查阅、答复相关信息，并安排专人与采购人及评标委员会联系。</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27.无效投标条款和废标条款</w:t>
      </w:r>
      <w:r/>
    </w:p>
    <w:p>
      <w:pPr>
        <w:pStyle w:val="755"/>
        <w:ind w:firstLine="480"/>
        <w:jc w:val="both"/>
        <w:spacing w:beforeAutospacing="0" w:afterAutospacing="0" w:line="480" w:lineRule="exact"/>
        <w:rPr>
          <w:rFonts w:hint="eastAsia" w:ascii="宋体" w:hAnsi="宋体" w:eastAsia="宋体" w:cs="宋体"/>
          <w:color w:val="auto"/>
          <w:highlight w:val="none"/>
        </w:rPr>
      </w:pPr>
      <w:r/>
      <w:bookmarkStart w:id="139" w:name="_Toc513029235"/>
      <w:r/>
      <w:bookmarkStart w:id="140" w:name="_Toc16938551"/>
      <w:r/>
      <w:bookmarkStart w:id="141" w:name="_Toc20823307"/>
      <w:r>
        <w:rPr>
          <w:rFonts w:hint="eastAsia" w:ascii="宋体" w:hAnsi="宋体" w:eastAsia="宋体" w:cs="宋体"/>
          <w:color w:val="auto"/>
          <w:highlight w:val="none"/>
        </w:rPr>
        <w:t xml:space="preserve">27.1无效投标条款</w:t>
      </w:r>
      <w:bookmarkEnd w:id="139"/>
      <w:r/>
      <w:bookmarkEnd w:id="140"/>
      <w:r/>
      <w:bookmarkEnd w:id="141"/>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 投标人在苏采云系统规定的时间内未成功解密电子投标文件的。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27.1.2 投标人未按照招标文件要求上传电子投标文件的。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27.1.4投标人不具备招标文件中规定资格要求的。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27.1.6未通过符合性审查的。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27.1.9 投标文件含有采购人不能接受的附加条件的。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27.1.10投标人不能证明其报价合理性的，评标委员会应当将其作为无效投标处理。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（1）评审过程中出现下列情形之一的，评标委员会应当启动异常低价投标审查程序：</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①投标报价低于采购项目预算50%的，即投标报价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采购项目预算×50%；</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②投标报价低于采购项目最高限价45%的，即投标报价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采购项目最高限价×45%；</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③评标委员会认定的供应商报价过低、有可能影响产品质量或者不能诚信履约的其他情形。</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27.1.12 投标文件未按照招标文件要求加盖CA电子公章的。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27.1.13其他法律法规及本招标文件规定的</w:t>
      </w:r>
      <w:r>
        <w:rPr>
          <w:rFonts w:hint="eastAsia" w:ascii="宋体" w:hAnsi="宋体" w:eastAsia="宋体" w:cs="宋体"/>
          <w:color w:val="auto"/>
          <w:highlight w:val="none"/>
          <w:lang w:eastAsia="zh-CN"/>
        </w:rPr>
        <w:t xml:space="preserve">属于</w:t>
      </w:r>
      <w:r>
        <w:rPr>
          <w:rFonts w:hint="eastAsia" w:ascii="宋体" w:hAnsi="宋体" w:eastAsia="宋体" w:cs="宋体"/>
          <w:color w:val="auto"/>
          <w:highlight w:val="none"/>
        </w:rPr>
        <w:t xml:space="preserve">无效投标的情形。</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27.2废标条款</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27.2.1符合专业条件的供应商或者对招标文件做实质响应的供应商不足三家的。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27.2.2出现影响采购公正的违法、违规行为的。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27.2.3因重大变故，采购任务取消的。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27.2.5 因苏采云系统故障原因造成开标不成功的。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142" w:name="_Toc120614219"/>
      <w:r>
        <w:rPr>
          <w:rFonts w:hint="eastAsia" w:ascii="宋体" w:hAnsi="宋体" w:eastAsia="宋体" w:cs="宋体"/>
          <w:b/>
          <w:color w:val="auto"/>
          <w:highlight w:val="none"/>
        </w:rPr>
        <w:t xml:space="preserve">六、定标</w:t>
      </w:r>
      <w:bookmarkEnd w:id="142"/>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43" w:name="_Toc20823310"/>
      <w:r/>
      <w:bookmarkStart w:id="144" w:name="_Toc513029238"/>
      <w:r/>
      <w:bookmarkStart w:id="145" w:name="_Toc16938554"/>
      <w:r>
        <w:rPr>
          <w:rFonts w:hint="eastAsia" w:ascii="宋体" w:hAnsi="宋体" w:eastAsia="宋体" w:cs="宋体"/>
          <w:color w:val="auto"/>
          <w:highlight w:val="none"/>
        </w:rPr>
        <w:t xml:space="preserve">28</w:t>
      </w:r>
      <w:bookmarkEnd w:id="143"/>
      <w:r>
        <w:rPr>
          <w:rFonts w:hint="eastAsia" w:ascii="宋体" w:hAnsi="宋体" w:eastAsia="宋体" w:cs="宋体"/>
          <w:color w:val="auto"/>
          <w:highlight w:val="none"/>
        </w:rPr>
        <w:t xml:space="preserve">.确定</w:t>
      </w:r>
      <w:bookmarkEnd w:id="144"/>
      <w:r/>
      <w:bookmarkEnd w:id="145"/>
      <w:r>
        <w:rPr>
          <w:rFonts w:hint="eastAsia" w:ascii="宋体" w:hAnsi="宋体" w:eastAsia="宋体" w:cs="宋体"/>
          <w:color w:val="auto"/>
          <w:highlight w:val="none"/>
        </w:rPr>
        <w:t xml:space="preserve">中标单位</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采购人应根据评委会推荐的中标候选人确定中标人。</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28.3 采购人将在“中国政府采购网”“江苏政府采购网”“盐城市政府采购网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若有充分证据证明，中标人出现下列情况之一的，一经查实，将被取消中标资格：</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28.4.1提供虚假材料谋取中标的。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28.4.2向采购人行贿或者提供其他不正当利益的。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28.4.4与采购人或者其他供应商恶意串通的。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28.4.5采取不正当手段诋毁、排挤其他供应商的。</w:t>
      </w:r>
      <w:r/>
    </w:p>
    <w:p>
      <w:pPr>
        <w:pStyle w:val="755"/>
        <w:ind w:firstLine="480"/>
        <w:jc w:val="both"/>
        <w:spacing w:beforeAutospacing="0" w:afterAutospacing="0" w:line="480" w:lineRule="exact"/>
        <w:rPr>
          <w:rFonts w:hint="eastAsia" w:ascii="宋体" w:hAnsi="宋体" w:eastAsia="宋体" w:cs="宋体"/>
          <w:color w:val="auto"/>
          <w:highlight w:val="none"/>
        </w:rPr>
      </w:pPr>
      <w:r/>
      <w:bookmarkStart w:id="146" w:name="_Toc200451960"/>
      <w:r>
        <w:rPr>
          <w:rFonts w:hint="eastAsia" w:ascii="宋体" w:hAnsi="宋体" w:eastAsia="宋体" w:cs="宋体"/>
          <w:color w:val="auto"/>
          <w:highlight w:val="none"/>
        </w:rPr>
        <w:t xml:space="preserve">28.5. 有下列情形之一的，视为投标人串通投标，投标无效：</w:t>
      </w:r>
      <w:bookmarkEnd w:id="146"/>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28.5.3 不同投标人的投标文件载明的项目管理成员或者联系人员为同一人；</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29.质疑处理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29.1 提出质疑的供应商应当是参与所质疑项目采购活动的供应商。潜在供应商依法获取其可质疑的采购文件的，可以对采购文件提出质疑。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55"/>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29.2.3对中标或者成交结果提出质疑的，为中标或者成交结果公告期限届满之日。</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采购人只接收以纸质原件形式送达的质疑，采购人不接受未填写快递运单的快件。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 以下情形的质疑不予受理</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29.5.1 内容不符合《政府采购质疑和投诉办法》第十二条规定的质疑。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29.5.2 超出政府采购法定期限的质疑。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29.5.3 以传真、电子邮件等方式递交的非原件形式的质疑。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29.5.4 未参加投标活动的供应商或在投标活动中自身权益未受到损害的供应商所提出的质疑。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30.中标通知书</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55"/>
        <w:ind w:firstLine="482"/>
        <w:jc w:val="both"/>
        <w:keepLines/>
        <w:keepNext/>
        <w:spacing w:beforeAutospacing="0" w:afterAutospacing="0" w:line="480" w:lineRule="exact"/>
        <w:rPr>
          <w:rFonts w:hint="eastAsia" w:ascii="宋体" w:hAnsi="宋体" w:eastAsia="宋体" w:cs="宋体"/>
          <w:color w:val="auto"/>
          <w:highlight w:val="none"/>
        </w:rPr>
      </w:pPr>
      <w:r/>
      <w:bookmarkStart w:id="147" w:name="_Toc513029236"/>
      <w:r/>
      <w:bookmarkStart w:id="148" w:name="_Toc16938552"/>
      <w:r/>
      <w:bookmarkStart w:id="149" w:name="_Toc120614220"/>
      <w:r/>
      <w:bookmarkStart w:id="150" w:name="_Toc20823308"/>
      <w:r>
        <w:rPr>
          <w:rFonts w:hint="eastAsia" w:ascii="宋体" w:hAnsi="宋体" w:eastAsia="宋体" w:cs="宋体"/>
          <w:b/>
          <w:color w:val="auto"/>
          <w:highlight w:val="none"/>
        </w:rPr>
        <w:t xml:space="preserve">七、授予合同</w:t>
      </w:r>
      <w:bookmarkEnd w:id="147"/>
      <w:r/>
      <w:bookmarkEnd w:id="148"/>
      <w:r/>
      <w:bookmarkEnd w:id="149"/>
      <w:r/>
      <w:bookmarkEnd w:id="150"/>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bookmarkStart w:id="151" w:name="_Toc513029237"/>
      <w:r/>
      <w:bookmarkStart w:id="152" w:name="_Toc20823309"/>
      <w:r/>
      <w:bookmarkStart w:id="153" w:name="_Toc16938553"/>
      <w:r>
        <w:rPr>
          <w:rFonts w:hint="eastAsia" w:ascii="宋体" w:hAnsi="宋体" w:eastAsia="宋体" w:cs="宋体"/>
          <w:color w:val="auto"/>
          <w:highlight w:val="none"/>
        </w:rPr>
        <w:t xml:space="preserve">31.签订合同</w:t>
      </w:r>
      <w:bookmarkEnd w:id="151"/>
      <w:r/>
      <w:bookmarkEnd w:id="152"/>
      <w:r/>
      <w:bookmarkEnd w:id="153"/>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31.2招标文件、中标人的投标文件及招标过程中有关澄清、承诺文件均应作为合同附件。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31.3 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32.货物（包含与货物相关的服务）的追加</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755"/>
        <w:ind w:firstLine="480"/>
        <w:jc w:val="both"/>
        <w:keepLines/>
        <w:keepNext/>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中小</w:t>
      </w:r>
      <w:r>
        <w:rPr>
          <w:rFonts w:hint="eastAsia" w:ascii="宋体" w:hAnsi="宋体" w:eastAsia="宋体" w:cs="宋体"/>
          <w:color w:val="auto"/>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w:t>
      </w:r>
      <w:r>
        <w:rPr>
          <w:rFonts w:hint="eastAsia" w:ascii="宋体" w:hAnsi="宋体" w:eastAsia="宋体" w:cs="宋体"/>
          <w:color w:val="auto"/>
          <w:highlight w:val="none"/>
          <w:lang w:eastAsia="zh-CN"/>
        </w:rPr>
        <w:t xml:space="preserve">福利</w:t>
      </w:r>
      <w:r>
        <w:rPr>
          <w:rFonts w:hint="eastAsia" w:ascii="宋体" w:hAnsi="宋体" w:eastAsia="宋体" w:cs="宋体"/>
          <w:color w:val="auto"/>
          <w:highlight w:val="none"/>
        </w:rPr>
        <w:t xml:space="preserve">单位应当同时满足以下条件：</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33.3.7本项目是否专门面向中小企业预留采购份额见第一章《招标公告》。</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33.4.3本项目中《节能产品政府采购品目清单》中的产品无。《环境标志产品政府采购品目清单》中的产品</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商品包装政府采购需求标准（试行）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80"/>
        <w:spacing w:line="48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采购人优先采购各级政府部门公开发布的有效期内的创新产品、创新服务、首台套、首购首用等《目录》中的创新产品。</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本文件中若涉及数据中心采购，采购人应依据《绿色数据中心政府采购需</w:t>
      </w:r>
      <w:r>
        <w:rPr>
          <w:rFonts w:hint="eastAsia" w:ascii="宋体" w:hAnsi="宋体" w:eastAsia="宋体" w:cs="宋体"/>
          <w:color w:val="auto"/>
          <w:sz w:val="24"/>
          <w:highlight w:val="none"/>
        </w:rPr>
        <w:t xml:space="preserve">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w:t>
      </w:r>
      <w:r>
        <w:rPr>
          <w:rFonts w:hint="eastAsia" w:ascii="宋体" w:hAnsi="宋体" w:eastAsia="宋体" w:cs="宋体"/>
          <w:color w:val="auto"/>
          <w:sz w:val="24"/>
          <w:highlight w:val="none"/>
          <w:lang w:eastAsia="zh-CN"/>
        </w:rPr>
        <w:t xml:space="preserve">可以</w:t>
      </w:r>
      <w:r>
        <w:rPr>
          <w:rFonts w:hint="eastAsia" w:ascii="宋体" w:hAnsi="宋体" w:eastAsia="宋体" w:cs="宋体"/>
          <w:color w:val="auto"/>
          <w:sz w:val="24"/>
          <w:highlight w:val="none"/>
        </w:rPr>
        <w:t xml:space="preserve">要求供应商在验收阶段提供相关检测报告、认证报告。</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33.8实施本国产品标准及相关政策</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33.8.1</w:t>
      </w:r>
      <w:r>
        <w:rPr>
          <w:rFonts w:hint="eastAsia" w:ascii="宋体" w:hAnsi="宋体" w:eastAsia="宋体" w:cs="宋体"/>
          <w:color w:val="auto"/>
          <w:sz w:val="24"/>
          <w:highlight w:val="none"/>
        </w:rPr>
        <w:t xml:space="preserve">本项目对采购本国产品给予政策支持，具体内容见招标文件“第五章 评标方法与评标标准”。</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33.8.2</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33.8.3</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履约保证金政策</w:t>
      </w:r>
      <w:r/>
    </w:p>
    <w:p>
      <w:pPr>
        <w:pStyle w:val="918"/>
        <w:ind w:left="0" w:firstLine="480"/>
        <w:spacing w:after="0"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33.9</w:t>
      </w:r>
      <w:r>
        <w:rPr>
          <w:rFonts w:hint="eastAsia" w:ascii="宋体" w:hAnsi="宋体" w:eastAsia="宋体" w:cs="宋体"/>
          <w:color w:val="auto"/>
          <w:sz w:val="24"/>
          <w:highlight w:val="none"/>
        </w:rPr>
        <w:t xml:space="preserve">确需收取履约保证金的，履约保证金的缴纳形式：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34.预付款制度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0%。在签订合同时，中标供应商明确书面表示无需预付款或者主动要求降低预付款比例的，采购人可就预付款比例做相应调整。</w:t>
      </w:r>
      <w:r/>
    </w:p>
    <w:p>
      <w:pPr>
        <w:jc w:val="left"/>
        <w:widowControl/>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cs="宋体"/>
          <w:b/>
          <w:color w:val="auto"/>
          <w:sz w:val="48"/>
          <w:szCs w:val="44"/>
          <w:highlight w:val="none"/>
        </w:rPr>
      </w:pPr>
      <w:r>
        <w:rPr>
          <w:color w:val="auto"/>
          <w:sz w:val="36"/>
          <w:szCs w:val="44"/>
          <w:highlight w:val="none"/>
        </w:rPr>
        <w:t xml:space="preserve"> </w:t>
      </w:r>
      <w:bookmarkStart w:id="154" w:name="_Toc479757211"/>
      <w:r/>
      <w:bookmarkStart w:id="155" w:name="_Toc20823346"/>
      <w:r/>
      <w:bookmarkStart w:id="156" w:name="_Hlt16619350"/>
      <w:r/>
      <w:bookmarkStart w:id="157" w:name="_Toc120614244"/>
      <w:r/>
      <w:bookmarkStart w:id="158" w:name="_Toc16938590"/>
      <w:r/>
      <w:bookmarkStart w:id="159" w:name="_Toc462564139"/>
      <w:r/>
      <w:bookmarkStart w:id="160" w:name="_Hlt16619369"/>
      <w:r>
        <w:rPr>
          <w:rFonts w:hint="eastAsia" w:ascii="宋体" w:hAnsi="宋体" w:cs="宋体"/>
          <w:b/>
          <w:color w:val="auto"/>
          <w:sz w:val="48"/>
          <w:szCs w:val="44"/>
          <w:highlight w:val="none"/>
        </w:rPr>
        <w:t xml:space="preserve">第三章  合同条款</w:t>
      </w:r>
      <w:r/>
    </w:p>
    <w:p>
      <w:pPr>
        <w:rPr>
          <w:rFonts w:hint="eastAsia" w:ascii="宋体" w:hAnsi="宋体" w:cs="宋体"/>
          <w:color w:val="auto"/>
          <w:highlight w:val="none"/>
        </w:rPr>
      </w:pPr>
      <w:r/>
      <w:bookmarkStart w:id="161" w:name="EB6d2006462e294de090c16e672cecc3bd"/>
      <w:r/>
      <w:bookmarkEnd w:id="161"/>
      <w:r/>
      <w:r/>
    </w:p>
    <w:p>
      <w:pPr>
        <w:jc w:val="center"/>
        <w:rPr>
          <w:rFonts w:hint="eastAsia" w:ascii="宋体" w:hAnsi="宋体" w:cs="宋体"/>
          <w:b/>
          <w:bCs/>
          <w:color w:val="auto"/>
          <w:spacing w:val="-20"/>
          <w:sz w:val="48"/>
          <w:szCs w:val="48"/>
          <w:highlight w:val="none"/>
        </w:rPr>
      </w:pPr>
      <w:r/>
      <w:bookmarkStart w:id="162" w:name="_Toc3995"/>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bookmarkEnd w:id="162"/>
      <w:r/>
      <w:r/>
    </w:p>
    <w:p>
      <w:pPr>
        <w:jc w:val="center"/>
        <w:keepLines/>
        <w:keepNext/>
        <w:spacing w:line="400" w:lineRule="exact"/>
        <w:rPr>
          <w:rFonts w:hint="eastAsia" w:ascii="黑体" w:hAnsi="华文中宋" w:eastAsia="黑体"/>
          <w:color w:val="auto"/>
          <w:sz w:val="28"/>
          <w:szCs w:val="28"/>
          <w:highlight w:val="none"/>
        </w:rPr>
        <w:outlineLvl w:val="1"/>
      </w:pPr>
      <w:r/>
      <w:bookmarkStart w:id="163"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3"/>
      <w:r/>
      <w:r/>
    </w:p>
    <w:p>
      <w:pPr>
        <w:jc w:val="center"/>
        <w:keepLines/>
        <w:keepNext/>
        <w:spacing w:line="360" w:lineRule="auto"/>
        <w:rPr>
          <w:rFonts w:hint="eastAsia" w:ascii="黑体" w:hAnsi="华文中宋" w:eastAsia="黑体"/>
          <w:color w:val="auto"/>
          <w:sz w:val="28"/>
          <w:szCs w:val="28"/>
          <w:highlight w:val="none"/>
        </w:rPr>
        <w:outlineLvl w:val="1"/>
      </w:pPr>
      <w:r>
        <w:rPr>
          <w:rFonts w:hint="eastAsia" w:ascii="黑体" w:hAnsi="华文中宋" w:eastAsia="黑体"/>
          <w:color w:val="auto"/>
          <w:sz w:val="28"/>
          <w:szCs w:val="28"/>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甲方（全称）：</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乙方（全称）：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1.项目信息</w:t>
      </w:r>
      <w:r/>
    </w:p>
    <w:p>
      <w:pPr>
        <w:numPr>
          <w:ilvl w:val="0"/>
          <w:numId w:val="1"/>
        </w:num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采购项目名称：</w:t>
      </w:r>
      <w:r/>
    </w:p>
    <w:p>
      <w:pPr>
        <w:numPr>
          <w:ilvl w:val="255"/>
          <w:numId w:val="0"/>
        </w:numPr>
        <w:spacing w:line="480" w:lineRule="exact"/>
        <w:tabs>
          <w:tab w:val="left" w:pos="99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采购项目编号：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（2）采购计划编号：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采购标的及数量：</w:t>
      </w:r>
      <w:r/>
    </w:p>
    <w:p>
      <w:pPr>
        <w:numPr>
          <w:ilvl w:val="255"/>
          <w:numId w:val="0"/>
        </w:num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品牌及规格型号：</w:t>
      </w:r>
      <w:r/>
    </w:p>
    <w:p>
      <w:pPr>
        <w:ind w:firstLine="10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采购标的的技术要求、商务要求具体见</w:t>
      </w:r>
      <w:r>
        <w:rPr>
          <w:rFonts w:hint="eastAsia" w:ascii="宋体" w:hAnsi="宋体" w:eastAsia="宋体" w:cs="宋体"/>
          <w:color w:val="auto"/>
          <w:sz w:val="24"/>
          <w:highlight w:val="none"/>
          <w:lang w:val="en-US" w:eastAsia="zh-CN"/>
        </w:rPr>
        <w:t xml:space="preserve">招标文件</w:t>
      </w:r>
      <w:r>
        <w:rPr>
          <w:rFonts w:hint="eastAsia" w:ascii="宋体" w:hAnsi="宋体" w:eastAsia="宋体" w:cs="宋体"/>
          <w:color w:val="auto"/>
          <w:sz w:val="24"/>
          <w:highlight w:val="none"/>
        </w:rPr>
        <w:t xml:space="preserve">。</w:t>
      </w:r>
      <w:r/>
    </w:p>
    <w:p>
      <w:pPr>
        <w:numPr>
          <w:ilvl w:val="255"/>
          <w:numId w:val="0"/>
        </w:numPr>
        <w:ind w:firstLine="480"/>
        <w:jc w:val="left"/>
        <w:spacing w:line="4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（4）政府采购组织形式：</w:t>
      </w:r>
      <w:r>
        <w:rPr>
          <w:rFonts w:hint="eastAsia" w:ascii="宋体" w:hAnsi="宋体" w:eastAsia="宋体" w:cs="宋体"/>
          <w:color w:val="auto"/>
          <w:sz w:val="24"/>
          <w:highlight w:val="none"/>
          <w:lang w:eastAsia="zh-CN"/>
        </w:rPr>
        <w:t xml:space="preserve">集中采购</w:t>
      </w:r>
      <w:r/>
    </w:p>
    <w:p>
      <w:pPr>
        <w:numPr>
          <w:ilvl w:val="255"/>
          <w:numId w:val="0"/>
        </w:numPr>
        <w:ind w:firstLine="480"/>
        <w:jc w:val="left"/>
        <w:spacing w:line="48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（5）政府采购方式：公开招标</w:t>
      </w:r>
      <w:r/>
    </w:p>
    <w:p>
      <w:pPr>
        <w:numPr>
          <w:ilvl w:val="255"/>
          <w:numId w:val="0"/>
        </w:num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（6）中标采购标的制造商是否为中小企业：是 否</w:t>
      </w:r>
      <w:r/>
    </w:p>
    <w:p>
      <w:pPr>
        <w:numPr>
          <w:ilvl w:val="255"/>
          <w:numId w:val="0"/>
        </w:numPr>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   本合同是否为专门面向中小企业的采购合同：</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若本项目不专门面向中小企业采购，是否给予小微企业评审优惠：</w:t>
      </w:r>
      <w:r>
        <w:rPr>
          <w:rFonts w:hint="eastAsia" w:ascii="宋体" w:hAnsi="宋体" w:eastAsia="宋体" w:cs="宋体"/>
          <w:iCs/>
          <w:color w:val="auto"/>
          <w:sz w:val="24"/>
          <w:highlight w:val="none"/>
        </w:rPr>
        <w:t xml:space="preserve">是</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（7）合同是否分包：</w:t>
      </w:r>
      <w:r>
        <w:rPr>
          <w:rFonts w:hint="eastAsia" w:ascii="宋体" w:hAnsi="宋体" w:eastAsia="宋体" w:cs="宋体"/>
          <w:iCs/>
          <w:color w:val="auto"/>
          <w:sz w:val="24"/>
          <w:highlight w:val="none"/>
        </w:rPr>
        <w:t xml:space="preserve">否</w:t>
      </w:r>
      <w:r/>
    </w:p>
    <w:p>
      <w:pPr>
        <w:numPr>
          <w:ilvl w:val="255"/>
          <w:numId w:val="0"/>
        </w:numPr>
        <w:ind w:firstLine="480"/>
        <w:spacing w:line="48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（8）中标供应商是否为外商投资企业：</w:t>
      </w:r>
      <w:r>
        <w:rPr>
          <w:rFonts w:hint="eastAsia" w:ascii="宋体" w:hAnsi="宋体" w:eastAsia="宋体" w:cs="宋体"/>
          <w:iCs/>
          <w:color w:val="auto"/>
          <w:sz w:val="24"/>
          <w:highlight w:val="none"/>
        </w:rPr>
        <w:t xml:space="preserve">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（9）是否涉及进口产品：否</w:t>
      </w:r>
      <w:r/>
    </w:p>
    <w:p>
      <w:pPr>
        <w:numPr>
          <w:ilvl w:val="255"/>
          <w:numId w:val="0"/>
        </w:numPr>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（10）是否涉及节能产品：否</w:t>
      </w:r>
      <w:r/>
    </w:p>
    <w:p>
      <w:pPr>
        <w:numPr>
          <w:ilvl w:val="255"/>
          <w:numId w:val="0"/>
        </w:numPr>
        <w:ind w:firstLine="480"/>
        <w:spacing w:line="480" w:lineRule="exact"/>
        <w:tabs>
          <w:tab w:val="left" w:pos="7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是否涉及环境标志产品：</w:t>
      </w:r>
      <w:r>
        <w:rPr>
          <w:rFonts w:hint="eastAsia" w:ascii="宋体" w:hAnsi="宋体" w:eastAsia="宋体" w:cs="宋体"/>
          <w:color w:val="auto"/>
          <w:sz w:val="24"/>
          <w:highlight w:val="none"/>
          <w:lang w:val="en-US" w:eastAsia="zh-CN"/>
        </w:rPr>
        <w:t xml:space="preserve">否</w:t>
      </w:r>
      <w:r/>
    </w:p>
    <w:p>
      <w:pPr>
        <w:numPr>
          <w:ilvl w:val="255"/>
          <w:numId w:val="0"/>
        </w:numPr>
        <w:ind w:firstLine="480"/>
        <w:jc w:val="left"/>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是否涉及绿色产品：</w:t>
      </w:r>
      <w:r>
        <w:rPr>
          <w:rFonts w:hint="eastAsia" w:ascii="宋体" w:hAnsi="宋体" w:eastAsia="宋体" w:cs="宋体"/>
          <w:color w:val="auto"/>
          <w:sz w:val="24"/>
          <w:highlight w:val="none"/>
          <w:lang w:val="en-US" w:eastAsia="zh-CN"/>
        </w:rPr>
        <w:t xml:space="preserve">否</w:t>
      </w:r>
      <w:r/>
    </w:p>
    <w:p>
      <w:pPr>
        <w:numPr>
          <w:ilvl w:val="255"/>
          <w:numId w:val="0"/>
        </w:numP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）涉及商品包装和快递包装的，是否参考《商品包装政府采购需求标准（试行）》《快递包装政府采购需求标准（试行）》明确产品及相关快递服务的具体包装要求：是</w:t>
      </w:r>
      <w:r>
        <w:rPr>
          <w:rFonts w:hint="eastAsia" w:ascii="宋体" w:hAnsi="宋体" w:eastAsia="宋体" w:cs="宋体"/>
          <w:color w:val="auto"/>
          <w:sz w:val="24"/>
          <w:highlight w:val="none"/>
          <w:lang w:eastAsia="zh-CN"/>
        </w:rPr>
        <w:t xml:space="preserve">。</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2.合同金额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（1）合同金额小写：</w:t>
      </w:r>
      <w:r/>
    </w:p>
    <w:p>
      <w:pPr>
        <w:ind w:firstLine="60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分包金额（如有）小写：</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（2）付款方式：</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①合同签订后支付</w:t>
      </w:r>
      <w:r>
        <w:rPr>
          <w:rFonts w:hint="eastAsia" w:ascii="宋体" w:hAnsi="宋体" w:eastAsia="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0%的预付款。</w:t>
      </w:r>
      <w:r/>
    </w:p>
    <w:p>
      <w:pPr>
        <w:ind w:firstLine="720"/>
        <w:spacing w:line="48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②</w:t>
      </w:r>
      <w:r>
        <w:rPr>
          <w:rFonts w:hint="eastAsia" w:ascii="宋体" w:hAnsi="宋体" w:eastAsia="宋体" w:cs="宋体"/>
          <w:color w:val="auto"/>
          <w:sz w:val="24"/>
          <w:highlight w:val="none"/>
          <w:u w:val="single"/>
          <w:lang w:val="en-US" w:eastAsia="zh-CN"/>
        </w:rPr>
        <w:t xml:space="preserve">货物全部到达、安装完成后，支付至合同价的60%（含已付）</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③验收合格后付至合同价款的90%</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含已付</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④验收合格之日起算满</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年后支付清余款。</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⑤在签订合同时，乙方明确表示无需预付款或者主动要求降低预付款比例的，甲方可不适用上述关于预付款的规定。</w:t>
      </w:r>
      <w:r/>
    </w:p>
    <w:p>
      <w:pPr>
        <w:ind w:firstLine="72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⑥结算款项时乙方须出具相应金额的有效票据。</w:t>
      </w:r>
      <w:r/>
    </w:p>
    <w:p>
      <w:pPr>
        <w:ind w:firstLine="7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⑦</w:t>
      </w:r>
      <w:r>
        <w:rPr>
          <w:rFonts w:hint="eastAsia" w:ascii="宋体" w:hAnsi="宋体" w:eastAsia="宋体" w:cs="宋体"/>
          <w:color w:val="auto"/>
          <w:sz w:val="24"/>
          <w:highlight w:val="none"/>
          <w:u w:val="single"/>
        </w:rPr>
        <w:t xml:space="preserve">甲方原则上自收到发票后</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个工作日内将资金支付到乙方账户。</w:t>
      </w:r>
      <w:r/>
    </w:p>
    <w:p>
      <w:pPr>
        <w:ind w:firstLine="482"/>
        <w:spacing w:line="48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（1）起始日期：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日，完成日期：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（2）履约地点</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甲方指定地点 </w:t>
      </w:r>
      <w:r>
        <w:rPr>
          <w:rFonts w:hint="eastAsia" w:ascii="宋体" w:hAnsi="宋体" w:eastAsia="宋体" w:cs="宋体"/>
          <w:bCs/>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þ</w:t>
      </w:r>
      <w:r>
        <w:rPr>
          <w:rFonts w:hint="eastAsia" w:ascii="宋体" w:hAnsi="宋体" w:eastAsia="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收取履约保证金形式：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收取履约保证金金额：</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中标金额的8%</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     履约担保期限：</w:t>
      </w:r>
      <w:r>
        <w:rPr>
          <w:rFonts w:hint="eastAsia" w:ascii="宋体" w:hAnsi="宋体" w:eastAsia="宋体" w:cs="宋体"/>
          <w:bCs/>
          <w:color w:val="auto"/>
          <w:sz w:val="24"/>
          <w:highlight w:val="none"/>
          <w:u w:val="single"/>
        </w:rPr>
        <w:t xml:space="preserve">                                    </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（4）确需收取履约保证金的，履约保证金的缴纳形式：</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如以履约保函（保险）形式缴纳履约保证金，供应商可通过政府采购电子履约保函（保险）平台（www.jsdzbh.com）在线申请履约保函（保险）。</w:t>
      </w:r>
      <w:r/>
    </w:p>
    <w:p>
      <w:pPr>
        <w:pStyle w:val="755"/>
        <w:ind w:firstLine="480"/>
        <w:jc w:val="both"/>
        <w:spacing w:before="120" w:beforeAutospacing="0" w:after="12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乙方如为</w:t>
      </w:r>
      <w:r>
        <w:rPr>
          <w:rFonts w:hint="eastAsia" w:ascii="宋体" w:hAnsi="宋体" w:eastAsia="宋体" w:cs="宋体"/>
          <w:color w:val="auto"/>
          <w:highlight w:val="none"/>
        </w:rPr>
        <w:t xml:space="preserve">第三方信用服务机构依据标准规范评定</w:t>
      </w:r>
      <w:r>
        <w:rPr>
          <w:rFonts w:hint="eastAsia" w:ascii="宋体" w:hAnsi="宋体" w:eastAsia="宋体" w:cs="宋体"/>
          <w:color w:val="auto"/>
          <w:highlight w:val="none"/>
          <w:lang w:eastAsia="zh-CN"/>
        </w:rPr>
        <w:t xml:space="preserve">的</w:t>
      </w:r>
      <w:r>
        <w:rPr>
          <w:rFonts w:hint="eastAsia" w:ascii="宋体" w:hAnsi="宋体" w:eastAsia="宋体" w:cs="宋体"/>
          <w:color w:val="auto"/>
          <w:highlight w:val="none"/>
        </w:rPr>
        <w:t xml:space="preserve">AA 级及以上的政府采购供应商（需在签订采购合同前提供信用管理部门备案的第三方信用报告，且信用报告通过“信用盐城网”可查实），免收履约保证金。</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t xml:space="preserve">                                 </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4.合同验收</w:t>
      </w:r>
      <w:r/>
    </w:p>
    <w:p>
      <w:pPr>
        <w:numPr>
          <w:ilvl w:val="0"/>
          <w:numId w:val="2"/>
        </w:num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委托第三方组织</w:t>
      </w:r>
      <w:r/>
    </w:p>
    <w:p>
      <w:pPr>
        <w:ind w:firstLine="96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验收主体：</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东台市博物馆</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否抽查比例：</w:t>
      </w:r>
      <w:r/>
    </w:p>
    <w:p>
      <w:pPr>
        <w:ind w:firstLine="9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96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验收组织的其他事项：</w:t>
      </w:r>
      <w:r/>
    </w:p>
    <w:p>
      <w:pPr>
        <w:ind w:firstLine="480"/>
        <w:spacing w:line="48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（2）履约验收时间：</w:t>
      </w:r>
      <w:r>
        <w:rPr>
          <w:rFonts w:hint="eastAsia" w:ascii="宋体" w:hAnsi="宋体" w:eastAsia="宋体" w:cs="宋体"/>
          <w:bCs/>
          <w:color w:val="auto"/>
          <w:sz w:val="24"/>
          <w:highlight w:val="none"/>
          <w:u w:val="single"/>
        </w:rPr>
        <w:t xml:space="preserve">供应商提出验收申请之日</w:t>
      </w:r>
      <w:r>
        <w:rPr>
          <w:rFonts w:hint="eastAsia" w:ascii="宋体" w:hAnsi="宋体" w:eastAsia="宋体" w:cs="宋体"/>
          <w:bCs/>
          <w:color w:val="auto"/>
          <w:sz w:val="24"/>
          <w:highlight w:val="none"/>
          <w:u w:val="single"/>
          <w:lang w:val="en-US" w:eastAsia="zh-CN"/>
        </w:rPr>
        <w:t xml:space="preserve">后由甲方</w:t>
      </w:r>
      <w:r>
        <w:rPr>
          <w:rFonts w:hint="eastAsia" w:ascii="宋体" w:hAnsi="宋体" w:eastAsia="宋体" w:cs="宋体"/>
          <w:bCs/>
          <w:color w:val="auto"/>
          <w:sz w:val="24"/>
          <w:highlight w:val="none"/>
          <w:u w:val="single"/>
        </w:rPr>
        <w:t xml:space="preserve">组织</w:t>
      </w:r>
      <w:r>
        <w:rPr>
          <w:rFonts w:hint="eastAsia" w:ascii="宋体" w:hAnsi="宋体" w:eastAsia="宋体" w:cs="宋体"/>
          <w:bCs/>
          <w:color w:val="auto"/>
          <w:sz w:val="24"/>
          <w:highlight w:val="none"/>
          <w:u w:val="single"/>
          <w:lang w:val="en-US" w:eastAsia="zh-CN"/>
        </w:rPr>
        <w:t xml:space="preserve">专家进行</w:t>
      </w:r>
      <w:r>
        <w:rPr>
          <w:rFonts w:hint="eastAsia" w:ascii="宋体" w:hAnsi="宋体" w:eastAsia="宋体" w:cs="宋体"/>
          <w:bCs/>
          <w:color w:val="auto"/>
          <w:sz w:val="24"/>
          <w:highlight w:val="none"/>
          <w:u w:val="single"/>
        </w:rPr>
        <w:t xml:space="preserve">验收 </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（3）履约验收方式：一次性验收         </w:t>
      </w:r>
      <w:r/>
    </w:p>
    <w:p>
      <w:pPr>
        <w:ind w:firstLine="480"/>
        <w:spacing w:line="48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（4）履约验收标准：</w:t>
      </w:r>
      <w:r>
        <w:rPr>
          <w:rFonts w:hint="eastAsia" w:ascii="宋体" w:hAnsi="宋体" w:eastAsia="宋体" w:cs="宋体"/>
          <w:bCs/>
          <w:color w:val="auto"/>
          <w:sz w:val="24"/>
          <w:highlight w:val="none"/>
          <w:lang w:val="en-US" w:eastAsia="zh-CN"/>
        </w:rPr>
        <w:t xml:space="preserve">合格，设备产品须为全新未使用过的原装合格正品，安装质量应符合各项技术标准和国家强制性标准，并通过上级主管部门的验收，同时满足甲方的使用需求。</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eastAsia="宋体" w:cs="宋体"/>
          <w:bCs/>
          <w:color w:val="auto"/>
          <w:sz w:val="24"/>
          <w:highlight w:val="none"/>
        </w:rPr>
        <w:t xml:space="preserve">否</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5.组成合同的文件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本协议书与下列文件一起构成合同文件，如下述文件之间有任何抵触、矛盾或歧义，应按以下顺序解释：</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（1）政府采购合同协议书及其变更、补充协议</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（2）政府采购合同专用条款</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（3）政府采购合同通用条款</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（4）中标通知书</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（5）投标文件</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（6）采购文件</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（7）有关技术文件，图纸</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（8）国家法律、行政法规和规章制度规定或合同约定的作为合同组成部分的其他文件</w:t>
      </w:r>
      <w:r/>
    </w:p>
    <w:p>
      <w:pPr>
        <w:ind w:left="42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6.合同生效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日生效。</w:t>
      </w:r>
      <w:r/>
    </w:p>
    <w:p>
      <w:pPr>
        <w:ind w:left="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7.合同份数</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6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份，均具有同等法律效力。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合同订立时间：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合同订立地点：</w:t>
      </w:r>
      <w:r>
        <w:rPr>
          <w:rFonts w:hint="eastAsia" w:ascii="宋体" w:hAnsi="宋体" w:eastAsia="宋体" w:cs="宋体"/>
          <w:color w:val="auto"/>
          <w:sz w:val="24"/>
          <w:highlight w:val="none"/>
          <w:u w:val="single"/>
        </w:rPr>
        <w:t xml:space="preserve">                       </w:t>
      </w:r>
      <w:r/>
    </w:p>
    <w:p>
      <w:pPr>
        <w:ind w:firstLine="480"/>
        <w:spacing w:line="480" w:lineRule="exact"/>
        <w:rPr>
          <w:color w:val="auto"/>
          <w:highlight w:val="none"/>
        </w:rPr>
      </w:pPr>
      <w:r>
        <w:rPr>
          <w:rFonts w:hint="eastAsia" w:ascii="宋体" w:hAnsi="宋体" w:eastAsia="宋体" w:cs="宋体"/>
          <w:color w:val="auto"/>
          <w:sz w:val="24"/>
          <w:highlight w:val="none"/>
        </w:rPr>
        <w:t xml:space="preserve">附件：具体标的及其技术要求和商务要求、联合协议、分包意向协议等。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360" w:lineRule="auto"/>
        <w:rPr>
          <w:rFonts w:hint="eastAsia"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73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2160"/>
        <w:gridCol w:w="2189"/>
        <w:gridCol w:w="1911"/>
      </w:tblGrid>
      <w:tr>
        <w:trPr>
          <w:jc w:val="cente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（公章或合同章）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jc w:val="center"/>
          <w:trHeight w:val="1171"/>
        </w:trPr>
        <w:tc>
          <w:tcPr>
            <w:tcBorders>
              <w:top w:val="single" w:color="000000" w:sz="2" w:space="0"/>
              <w:right w:val="single" w:color="000000" w:sz="2" w:space="0"/>
            </w:tcBorders>
            <w:tcW w:w="2138"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115"/>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right w:val="single" w:color="000000" w:sz="2" w:space="0"/>
            </w:tcBorders>
            <w:tcW w:w="216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83"/>
        </w:trPr>
        <w:tc>
          <w:tcPr>
            <w:tcBorders>
              <w:bottom w:val="single" w:color="000000" w:sz="2" w:space="0"/>
              <w:right w:val="single" w:color="000000" w:sz="2" w:space="0"/>
            </w:tcBorders>
            <w:tcW w:w="2138"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000000" w:sz="2" w:space="0"/>
              <w:bottom w:val="single" w:color="000000" w:sz="2" w:space="0"/>
              <w:right w:val="single" w:color="000000" w:sz="2" w:space="0"/>
            </w:tcBorders>
            <w:tcW w:w="2160"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拥有者性别</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住所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开户名称</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1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Borders>
              <w:top w:val="single" w:color="000000" w:sz="2" w:space="0"/>
              <w:left w:val="single" w:color="000000" w:sz="2" w:space="0"/>
              <w:bottom w:val="single" w:color="000000" w:sz="2" w:space="0"/>
            </w:tcBorders>
            <w:tcW w:w="1911" w:type="dxa"/>
            <w:vAlign w:val="center"/>
            <w:textDirection w:val="lrTb"/>
            <w:noWrap w:val="false"/>
          </w:tcPr>
          <w:p>
            <w:pPr>
              <w:jc w:val="center"/>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jc w:val="center"/>
          <w:trHeight w:val="586"/>
        </w:trPr>
        <w:tc>
          <w:tcPr>
            <w:gridSpan w:val="4"/>
            <w:tcBorders>
              <w:top w:val="single" w:color="000000" w:sz="2" w:space="0"/>
            </w:tcBorders>
            <w:tcW w:w="8398" w:type="dxa"/>
            <w:vAlign w:val="center"/>
            <w:textDirection w:val="lrTb"/>
            <w:noWrap w:val="false"/>
          </w:tcPr>
          <w:p>
            <w:pPr>
              <w:jc w:val="left"/>
              <w:spacing w:line="360" w:lineRule="auto"/>
              <w:rPr>
                <w:rFonts w:hint="eastAsia" w:ascii="宋体" w:hAnsi="宋体" w:eastAsia="宋体" w:cs="宋体"/>
                <w:color w:val="auto"/>
                <w:spacing w:val="20"/>
                <w:sz w:val="24"/>
                <w:highlight w:val="none"/>
              </w:rPr>
            </w:pPr>
            <w:r>
              <w:rPr>
                <w:rFonts w:hint="eastAsia" w:ascii="宋体" w:hAnsi="宋体" w:eastAsia="宋体" w:cs="宋体"/>
                <w:color w:val="auto"/>
                <w:sz w:val="24"/>
                <w:highlight w:val="none"/>
              </w:rPr>
              <w:t xml:space="preserve">注：涉及联合体或其他合同主体的信息应按上表格式加列。</w:t>
            </w:r>
            <w:r/>
          </w:p>
        </w:tc>
      </w:tr>
    </w:tbl>
    <w:p>
      <w:pPr>
        <w:pStyle w:val="725"/>
        <w:jc w:val="center"/>
        <w:spacing w:before="156"/>
        <w:rPr>
          <w:rFonts w:ascii="黑体" w:hAnsi="黑体" w:eastAsia="黑体"/>
          <w:color w:val="auto"/>
          <w:sz w:val="28"/>
          <w:szCs w:val="28"/>
          <w:highlight w:val="none"/>
        </w:rPr>
      </w:pPr>
      <w:r>
        <w:rPr>
          <w:color w:val="auto"/>
          <w:highlight w:val="none"/>
          <w:u w:val="single"/>
        </w:rPr>
        <w:br w:type="page" w:clear="all"/>
      </w:r>
      <w:bookmarkStart w:id="164" w:name="_Toc27624"/>
      <w:r/>
      <w:bookmarkStart w:id="165" w:name="_Toc20313"/>
      <w:r>
        <w:rPr>
          <w:rFonts w:ascii="黑体" w:hAnsi="黑体" w:eastAsia="黑体"/>
          <w:b w:val="0"/>
          <w:bCs w:val="0"/>
          <w:color w:val="auto"/>
          <w:sz w:val="28"/>
          <w:szCs w:val="28"/>
          <w:highlight w:val="none"/>
        </w:rPr>
        <w:t xml:space="preserve">第二节 政府采购合同通用条款</w:t>
      </w:r>
      <w:bookmarkEnd w:id="164"/>
      <w:r/>
      <w:r/>
    </w:p>
    <w:p>
      <w:pPr>
        <w:ind w:firstLine="482"/>
        <w:jc w:val="left"/>
        <w:spacing w:line="480" w:lineRule="exact"/>
        <w:tabs>
          <w:tab w:val="left" w:pos="8820" w:leader="none"/>
          <w:tab w:val="left" w:pos="9345" w:leader="none"/>
          <w:tab w:val="left" w:pos="9765" w:leader="none"/>
        </w:tabs>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highlight w:val="none"/>
        </w:rPr>
        <w:t xml:space="preserve">定义</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1.1合同当事人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（1）采购人（以下称甲方）是指使用财政性资金，通过政府采购方式向供应商购买货物及其相关服务的国家机关、事业单位、团体组织。</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（3）其他合同主体是指除采购人和供应商以外，</w:t>
      </w:r>
      <w:r>
        <w:rPr>
          <w:rFonts w:hint="eastAsia" w:ascii="宋体" w:hAnsi="宋体" w:eastAsia="宋体" w:cs="宋体"/>
          <w:bCs/>
          <w:color w:val="auto"/>
          <w:sz w:val="24"/>
          <w:highlight w:val="none"/>
        </w:rPr>
        <w:t xml:space="preserve">依法参与合同缔结或履行，享有权利、承担义务的合同当事人</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1.2本合同下列术语应解释为：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（1）“合同”系指</w:t>
      </w:r>
      <w:r>
        <w:rPr>
          <w:rFonts w:hint="eastAsia" w:ascii="宋体" w:hAnsi="宋体" w:eastAsia="宋体" w:cs="宋体"/>
          <w:bCs/>
          <w:color w:val="auto"/>
          <w:sz w:val="24"/>
          <w:highlight w:val="none"/>
        </w:rPr>
        <w:t xml:space="preserve">合同当事人意思表示达成一致的任何协议，包括签署的</w:t>
      </w:r>
      <w:r>
        <w:rPr>
          <w:rFonts w:hint="eastAsia" w:ascii="宋体" w:hAnsi="宋体" w:eastAsia="宋体" w:cs="宋体"/>
          <w:color w:val="auto"/>
          <w:sz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（2）“合同价款”系指根据本合同规定乙方在全面履行合同义务后甲方应支付给乙方的价款。</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（3）“货物”系指乙方根据本合同规定须向甲方提供的各种形态和种类的物品，包括原材料、设备、产品（包括软件）及相关的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备品备件、工具、手册及</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技术资料和材料等。</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（4）“相关服务”系指根据合同规定，乙方应提供的与货物有关的技术、管理和</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0"/>
        <w:jc w:val="left"/>
        <w:spacing w:line="480" w:lineRule="exact"/>
        <w:tabs>
          <w:tab w:val="left" w:pos="570" w:leader="none"/>
          <w:tab w:val="left" w:pos="9240" w:leader="none"/>
          <w:tab w:val="left" w:pos="95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（7）其他术语解释，见【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color w:val="auto"/>
          <w:sz w:val="24"/>
          <w:highlight w:val="none"/>
        </w:rPr>
        <w:t xml:space="preserve">合同标的及金额</w:t>
      </w:r>
      <w:r/>
    </w:p>
    <w:p>
      <w:pPr>
        <w:ind w:firstLine="480"/>
        <w:jc w:val="left"/>
        <w:spacing w:line="480" w:lineRule="exact"/>
        <w:rPr>
          <w:rFonts w:hint="eastAsia" w:ascii="宋体" w:hAnsi="宋体" w:eastAsia="宋体" w:cs="宋体"/>
          <w:b/>
          <w:bCs/>
          <w:i/>
          <w:iCs/>
          <w:color w:val="auto"/>
          <w:sz w:val="24"/>
          <w:highlight w:val="none"/>
        </w:rPr>
      </w:pPr>
      <w:r>
        <w:rPr>
          <w:rFonts w:hint="eastAsia" w:ascii="宋体" w:hAnsi="宋体" w:eastAsia="宋体" w:cs="宋体"/>
          <w:color w:val="auto"/>
          <w:sz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highlight w:val="none"/>
          <w:lang w:val="en"/>
        </w:rPr>
        <w:t xml:space="preserve">其他</w:t>
      </w:r>
      <w:r>
        <w:rPr>
          <w:rFonts w:hint="eastAsia" w:ascii="宋体" w:hAnsi="宋体" w:eastAsia="宋体" w:cs="宋体"/>
          <w:color w:val="auto"/>
          <w:sz w:val="24"/>
          <w:highlight w:val="none"/>
        </w:rPr>
        <w:t xml:space="preserve">任何费用。</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乙方应当在约定的时间、地点，按照约定方式履行合同。</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甲方有权要求乙方对缺陷部分予以修复，并按合同约定享有货物保修及其他合同约定的权利。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甲方应当按照合同约定及时对交付的货物进行验收，未在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约定的期限内对乙方履约提出任何异议或者向乙方作出任何说明的，视为验收通过。</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 甲方应当根据合同约定及时向乙方支付合同价款，不得以内部人员变更、履行内部付款流程等为由，拒绝或迟延支付。</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国家法律法规规定及</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约定应由甲方承担的其他义务和责任。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签署合同后，乙方应确定项目负责人（或项目联系人），负责与本合同有关的事务。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9"/>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39"/>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0"/>
        </w:numPr>
        <w:ind w:left="0"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
          <w:bCs/>
          <w:color w:val="auto"/>
          <w:sz w:val="24"/>
          <w:highlight w:val="none"/>
        </w:rPr>
        <w:t xml:space="preserve">合同履行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甲乙双方应当按照</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约定顺序履行合同义务；如果没有先后顺序的，应当同时履行。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w:t>
      </w:r>
      <w:r>
        <w:rPr>
          <w:rFonts w:hint="eastAsia" w:ascii="宋体" w:hAnsi="宋体" w:eastAsia="宋体" w:cs="宋体"/>
          <w:bCs/>
          <w:color w:val="auto"/>
          <w:sz w:val="24"/>
          <w:highlight w:val="none"/>
        </w:rPr>
        <w:t xml:space="preserve">涉及商品包装、快递包装的，</w:t>
      </w:r>
      <w:r>
        <w:rPr>
          <w:rFonts w:hint="eastAsia" w:ascii="宋体" w:hAnsi="宋体" w:eastAsia="宋体" w:cs="宋体"/>
          <w:color w:val="auto"/>
          <w:sz w:val="24"/>
          <w:highlight w:val="none"/>
        </w:rPr>
        <w:t xml:space="preserve">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包装应适应远距离运输、防潮、防震、防锈和防野蛮装卸等要求，确保货物安全无损地运抵</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约定的</w:t>
      </w:r>
      <w:r>
        <w:rPr>
          <w:rFonts w:hint="eastAsia" w:ascii="宋体" w:hAnsi="宋体" w:eastAsia="宋体" w:cs="宋体"/>
          <w:color w:val="auto"/>
          <w:sz w:val="24"/>
          <w:highlight w:val="none"/>
        </w:rPr>
        <w:t xml:space="preserve">指定现场。</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乙方负责办理将货物运抵本合同规定的交货地点，并装卸、交付至甲方的一切运输事项，相关费用应包含在合同价款中。</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货物保险要求按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规定执行</w:t>
      </w:r>
      <w:r>
        <w:rPr>
          <w:rFonts w:hint="eastAsia" w:ascii="宋体" w:hAnsi="宋体" w:eastAsia="宋体" w:cs="宋体"/>
          <w:color w:val="auto"/>
          <w:sz w:val="24"/>
          <w:highlight w:val="none"/>
        </w:rPr>
        <w:t xml:space="preserve">。</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乙方在运输到达之前应提前通知甲方，并提示货物运输装卸的注意事项，甲方配合乙方做好货物的接收工作。</w:t>
      </w:r>
      <w:r/>
    </w:p>
    <w:p>
      <w:pPr>
        <w:pStyle w:val="915"/>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742"/>
        <w:ind w:firstLine="480"/>
        <w:jc w:val="left"/>
        <w:spacing w:line="480" w:lineRule="exact"/>
        <w:rPr>
          <w:rFonts w:hint="eastAsia" w:hAnsi="宋体" w:eastAsia="宋体" w:cs="宋体"/>
          <w:b/>
          <w:color w:val="auto"/>
          <w:sz w:val="24"/>
          <w:szCs w:val="24"/>
          <w:highlight w:val="none"/>
        </w:rPr>
      </w:pPr>
      <w:r>
        <w:rPr>
          <w:rFonts w:hint="eastAsia" w:hAnsi="宋体" w:eastAsia="宋体" w:cs="宋体"/>
          <w:color w:val="auto"/>
          <w:sz w:val="24"/>
          <w:szCs w:val="24"/>
          <w:highlight w:val="none"/>
        </w:rPr>
        <w:t xml:space="preserve">8.1 质量标准</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2"/>
        <w:ind w:firstLine="480"/>
        <w:jc w:val="left"/>
        <w:spacing w:line="48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（2）采用中华人民共和国法定计量单位。</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（3）乙方所提供的货物应符合国家有关安全、环保、卫生的规定。</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保证</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规定或乙方书面承诺（两者以较长的为准）的质量保证期内，本保证保持有效。</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（2）在质量保证期内所发现的缺陷，甲方应尽快以书面形式通知乙方。</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（3）乙方收到通知后，应在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规定的响应时间内以合理的速度免费维修或更换有缺陷的货物或部件。</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（5）乙方在约定的时间内未能弥补缺陷，甲方</w:t>
      </w:r>
      <w:r>
        <w:rPr>
          <w:rFonts w:hint="eastAsia" w:ascii="宋体" w:hAnsi="宋体" w:eastAsia="宋体" w:cs="宋体"/>
          <w:color w:val="auto"/>
          <w:sz w:val="24"/>
          <w:highlight w:val="none"/>
          <w:lang w:eastAsia="zh-CN"/>
        </w:rPr>
        <w:t xml:space="preserve">可以</w:t>
      </w:r>
      <w:r>
        <w:rPr>
          <w:rFonts w:hint="eastAsia" w:ascii="宋体" w:hAnsi="宋体" w:eastAsia="宋体" w:cs="宋体"/>
          <w:color w:val="auto"/>
          <w:sz w:val="24"/>
          <w:highlight w:val="none"/>
        </w:rPr>
        <w:t xml:space="preserve">采取必要的补救措施，但其风险和费用将由乙方承担，甲方根据合同约定对乙方行使的其他权利不受影响。</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权利瑕疵担保</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乙方保证对其出售的货物享有合法的权利。</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乙方保证在交付的货物上不存在抵押权等担保物权。</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 如甲方使用上述货物构成对第三人侵权的，则由乙方承担全部责任。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乙方对其所销售的货物应当享有知识产权或经权利人合法授权，保证没有侵犯任何第三人的知识产权等权利。</w:t>
      </w:r>
      <w:bookmarkStart w:id="166" w:name="_Hlk163047038"/>
      <w:r>
        <w:rPr>
          <w:rFonts w:hint="eastAsia" w:ascii="宋体" w:hAnsi="宋体" w:eastAsia="宋体" w:cs="宋体"/>
          <w:color w:val="auto"/>
          <w:sz w:val="24"/>
          <w:highlight w:val="none"/>
        </w:rPr>
        <w:t xml:space="preserve">因违反前述约定对第三人构成侵权的，应当由乙方向第三人承担法律责任；甲方依法向第三人赔偿后，有权向乙方追偿。甲方有其他损失的，乙方应当赔偿</w:t>
      </w:r>
      <w:bookmarkEnd w:id="166"/>
      <w:r>
        <w:rPr>
          <w:rFonts w:hint="eastAsia" w:ascii="宋体" w:hAnsi="宋体" w:eastAsia="宋体" w:cs="宋体"/>
          <w:color w:val="auto"/>
          <w:sz w:val="24"/>
          <w:highlight w:val="none"/>
        </w:rPr>
        <w:t xml:space="preserve">。</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中约定。</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合同价款支付按照国库集中支付制度及财政管理相关规定执行。</w:t>
      </w:r>
      <w:r/>
    </w:p>
    <w:p>
      <w:pPr>
        <w:pStyle w:val="725"/>
        <w:ind w:firstLine="480"/>
        <w:spacing w:beforeAutospacing="0" w:afterAutospacing="0" w:line="480" w:lineRule="exact"/>
        <w:rPr>
          <w:rFonts w:cs="宋体"/>
          <w:color w:val="auto"/>
          <w:sz w:val="24"/>
          <w:szCs w:val="24"/>
          <w:highlight w:val="none"/>
        </w:rPr>
      </w:pPr>
      <w:r>
        <w:rPr>
          <w:rFonts w:cs="宋体"/>
          <w:b w:val="0"/>
          <w:bCs w:val="0"/>
          <w:color w:val="auto"/>
          <w:sz w:val="24"/>
          <w:szCs w:val="24"/>
          <w:highlight w:val="none"/>
        </w:rPr>
        <w:t xml:space="preserve">12.2 对于满足合同约定支付条件的，甲方原则上应当自收到发票后</w:t>
      </w:r>
      <w:r>
        <w:rPr>
          <w:rFonts w:hint="eastAsia" w:cs="宋体"/>
          <w:b w:val="0"/>
          <w:bCs w:val="0"/>
          <w:color w:val="auto"/>
          <w:sz w:val="24"/>
          <w:szCs w:val="24"/>
          <w:highlight w:val="none"/>
          <w:lang w:val="en-US" w:eastAsia="zh-CN"/>
        </w:rPr>
        <w:t xml:space="preserve">1</w:t>
      </w:r>
      <w:r>
        <w:rPr>
          <w:rFonts w:cs="宋体"/>
          <w:b w:val="0"/>
          <w:bCs w:val="0"/>
          <w:color w:val="auto"/>
          <w:sz w:val="24"/>
          <w:szCs w:val="24"/>
          <w:highlight w:val="none"/>
        </w:rPr>
        <w:t xml:space="preserve">0个工作日内将资金支付到合同约定的乙方账户，不得以机构变动、人员更替、政策调整等为由迟延付款，不得将采购文件和合同中未规定的义务作为向乙方付款的条件。具体合同价款支付时间在【</w:t>
      </w:r>
      <w:r>
        <w:rPr>
          <w:rFonts w:cs="宋体"/>
          <w:color w:val="auto"/>
          <w:sz w:val="24"/>
          <w:szCs w:val="24"/>
          <w:highlight w:val="none"/>
        </w:rPr>
        <w:t xml:space="preserve">政府采购合同专用条款</w:t>
      </w:r>
      <w:r>
        <w:rPr>
          <w:rFonts w:cs="宋体"/>
          <w:b w:val="0"/>
          <w:bCs w:val="0"/>
          <w:color w:val="auto"/>
          <w:sz w:val="24"/>
          <w:szCs w:val="24"/>
          <w:highlight w:val="none"/>
        </w:rPr>
        <w:t xml:space="preserve">】中约定。</w:t>
      </w:r>
      <w:r/>
    </w:p>
    <w:p>
      <w:pPr>
        <w:pStyle w:val="739"/>
        <w:ind w:firstLine="482"/>
        <w:spacing w:after="0"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乙方应当以支票、汇票、本票或者金融机构、担保机构出具的保函等非现金形式提交。</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如果乙方出现</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甲方在项目通过验收后按照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规定的时间内将履约保证金退还乙方；逾期退还的，乙方</w:t>
      </w:r>
      <w:r>
        <w:rPr>
          <w:rFonts w:hint="eastAsia" w:ascii="宋体" w:hAnsi="宋体" w:eastAsia="宋体" w:cs="宋体"/>
          <w:color w:val="auto"/>
          <w:sz w:val="24"/>
          <w:highlight w:val="none"/>
          <w:lang w:eastAsia="zh-CN"/>
        </w:rPr>
        <w:t xml:space="preserve">可以</w:t>
      </w:r>
      <w:r>
        <w:rPr>
          <w:rFonts w:hint="eastAsia" w:ascii="宋体" w:hAnsi="宋体" w:eastAsia="宋体" w:cs="宋体"/>
          <w:color w:val="auto"/>
          <w:sz w:val="24"/>
          <w:highlight w:val="none"/>
        </w:rPr>
        <w:t xml:space="preserve">要求甲方支付违约金，违约金按照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规定支付。</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除项目不涉及或采购活动中明确约定无须承担外，乙方还应提供下列服务：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（1）货物的现场移动、安装、调试、启动监督及技术支持；</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（2）提供货物组装和维修所需的专用工具和辅助材料；</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约定的期限内对所有的货物实施运行监督、维修，但前提条件是该服务并不能免除乙方在质量保证期内所承担的义务；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（4）在制造商所在地或指定现场就货物的安装、启动、运营、维护、废弃处置等对甲方操作人员进行培训；</w:t>
      </w:r>
      <w:r/>
    </w:p>
    <w:p>
      <w:pPr>
        <w:pStyle w:val="915"/>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规定由乙方提供的其他服务。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乙方提供的售后服务的费用已包含在合同价款中，甲方不再另行支付。</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15.1质量瑕疵的违约责任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要求</w:t>
      </w:r>
      <w:r>
        <w:rPr>
          <w:rFonts w:hint="eastAsia" w:ascii="宋体" w:hAnsi="宋体" w:eastAsia="宋体" w:cs="宋体"/>
          <w:color w:val="auto"/>
          <w:sz w:val="24"/>
          <w:highlight w:val="none"/>
        </w:rPr>
        <w:t xml:space="preserve">及时修理、重作、更换，并承担由此给甲方造成的损失。</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15.2 迟延交货的违约责任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规定执行。如果涉及公共利益，且赔偿金额无法弥补公共利益损失，甲方可要求继续履行或者采取其他补救措施。</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迟延支付的违约责任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甲方存在迟延支付乙方合同款项的，应当承担</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规定的逾期付款利息。</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15.4其他违约责任根据项目实际需要按</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规定执行。</w:t>
      </w:r>
      <w:r/>
    </w:p>
    <w:p>
      <w:pPr>
        <w:ind w:firstLine="482"/>
        <w:jc w:val="left"/>
        <w:spacing w:line="480" w:lineRule="exact"/>
        <w:rPr>
          <w:rFonts w:hint="eastAsia" w:ascii="宋体" w:hAnsi="宋体" w:eastAsia="宋体" w:cs="宋体"/>
          <w:b/>
          <w:color w:val="auto"/>
          <w:sz w:val="24"/>
          <w:highlight w:val="none"/>
        </w:rPr>
      </w:pPr>
      <w:r>
        <w:rPr>
          <w:rFonts w:ascii="宋体" w:hAnsi="宋体" w:eastAsia="宋体" w:cs="宋体"/>
          <w:b/>
          <w:color w:val="auto"/>
          <w:sz w:val="24"/>
          <w:highlight w:val="none"/>
        </w:rPr>
        <w:t xml:space="preserve">16.</w:t>
      </w:r>
      <w:r>
        <w:rPr>
          <w:rFonts w:hint="eastAsia" w:ascii="宋体" w:hAnsi="宋体" w:eastAsia="宋体" w:cs="宋体"/>
          <w:b/>
          <w:color w:val="auto"/>
          <w:sz w:val="24"/>
          <w:highlight w:val="none"/>
        </w:rPr>
        <w:t xml:space="preserve">合同变更、中止与终止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16.1合同的变更</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16.2合同的中止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（1）合同履行过程中因供应商就采购文件、采购过程或结果提起投诉的，甲方认为有必要的，可以中止合同的履行。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（4）甲方不得以行政区划调整、政府换届、机构或者职能调整以及相关责任人更替为由中止合同。</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16.3合同的终止</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（1）合同因有效期限届满而终止；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（2）乙方未按合同约定履行，构成根本性违约的，甲方有权终止合同，并追究乙方的违约责任。</w:t>
      </w:r>
      <w:r/>
    </w:p>
    <w:p>
      <w:pPr>
        <w:pStyle w:val="915"/>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乙方不得将合同转包给其他供应商。涉及合同分包的，乙方应根据采购文件和投标（响应）文件规定进行合同分包。</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不可抗力是指合同双方不能预见、不能避免且不能克服的客观情况。</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任何一方对由于不可抗力造成的部分或全部不能履行合同不承担违约责任。但迟延履行后发生不可抗力的，不能免除责任。</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w:t>
      </w:r>
      <w:r>
        <w:rPr>
          <w:rFonts w:hint="eastAsia" w:ascii="宋体" w:hAnsi="宋体" w:eastAsia="宋体" w:cs="宋体"/>
          <w:color w:val="auto"/>
          <w:sz w:val="24"/>
          <w:highlight w:val="none"/>
          <w:lang w:val="en-GB"/>
        </w:rPr>
        <w:t xml:space="preserve">本合同应当按照规定执行政府采购政策。</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 本合同依法执行政府采购政策的方式和内容，属于合同履约验收的范围。甲乙双方</w:t>
      </w:r>
      <w:r>
        <w:rPr>
          <w:rFonts w:hint="eastAsia" w:ascii="宋体" w:hAnsi="宋体" w:eastAsia="宋体" w:cs="宋体"/>
          <w:color w:val="auto"/>
          <w:sz w:val="24"/>
          <w:highlight w:val="none"/>
          <w:lang w:val="en-GB"/>
        </w:rPr>
        <w:t xml:space="preserve">未按规定要求执行政府采购政策造成损失的</w:t>
      </w:r>
      <w:r>
        <w:rPr>
          <w:rFonts w:hint="eastAsia" w:ascii="宋体" w:hAnsi="宋体" w:eastAsia="宋体" w:cs="宋体"/>
          <w:color w:val="auto"/>
          <w:sz w:val="24"/>
          <w:highlight w:val="none"/>
        </w:rPr>
        <w:t xml:space="preserve">，有过错的一方应当承担赔偿责任，双方都有过错的，各自承担相应的责任。</w:t>
      </w:r>
      <w:r/>
    </w:p>
    <w:p>
      <w:pPr>
        <w:pStyle w:val="739"/>
        <w:ind w:firstLine="48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915"/>
        <w:ind w:firstLine="480"/>
        <w:jc w:val="both"/>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739"/>
        <w:rPr>
          <w:rFonts w:hint="eastAsia"/>
          <w:color w:val="auto"/>
          <w:highlight w:val="none"/>
        </w:rPr>
      </w:pPr>
      <w:r>
        <w:rPr>
          <w:rFonts w:hint="eastAsia"/>
          <w:color w:val="auto"/>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22.3本合同一方给另一方的通知均应采用书面形式，传真或快递</w:t>
      </w:r>
      <w:r>
        <w:rPr>
          <w:rFonts w:hint="eastAsia" w:ascii="宋体" w:hAnsi="宋体" w:eastAsia="宋体" w:cs="宋体"/>
          <w:color w:val="auto"/>
          <w:sz w:val="24"/>
          <w:highlight w:val="none"/>
          <w:lang w:eastAsia="zh-CN"/>
        </w:rPr>
        <w:t xml:space="preserve">送达</w:t>
      </w:r>
      <w:r>
        <w:rPr>
          <w:rFonts w:hint="eastAsia" w:ascii="宋体" w:hAnsi="宋体" w:eastAsia="宋体" w:cs="宋体"/>
          <w:color w:val="auto"/>
          <w:sz w:val="24"/>
          <w:highlight w:val="none"/>
        </w:rPr>
        <w:t xml:space="preserve">本合同中规定的对方的地址和办理签收手续。</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22.4通知以送达之日或通知书中规定的生效之日起生效，两者中以较迟之日为准。</w:t>
      </w:r>
      <w:r/>
    </w:p>
    <w:p>
      <w:pPr>
        <w:numPr>
          <w:ilvl w:val="0"/>
          <w:numId w:val="3"/>
        </w:num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80"/>
        <w:jc w:val="left"/>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23.1合同未尽事项见</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w:t>
      </w:r>
      <w:r/>
    </w:p>
    <w:p>
      <w:pPr>
        <w:ind w:firstLine="480"/>
        <w:jc w:val="left"/>
        <w:spacing w:line="480" w:lineRule="exact"/>
        <w:rPr>
          <w:rFonts w:hint="eastAsia" w:ascii="黑体" w:hAnsi="华文中宋" w:eastAsia="黑体"/>
          <w:color w:val="auto"/>
          <w:sz w:val="28"/>
          <w:szCs w:val="28"/>
          <w:highlight w:val="none"/>
        </w:rPr>
      </w:pPr>
      <w:r>
        <w:rPr>
          <w:rFonts w:hint="eastAsia" w:ascii="宋体" w:hAnsi="宋体" w:eastAsia="宋体" w:cs="宋体"/>
          <w:bCs/>
          <w:color w:val="auto"/>
          <w:sz w:val="24"/>
          <w:highlight w:val="none"/>
        </w:rPr>
        <w:t xml:space="preserve">23.2 合同附件与合同正文具有同等的法律效力。</w:t>
      </w:r>
      <w:r/>
    </w:p>
    <w:p>
      <w:pPr>
        <w:jc w:val="center"/>
        <w:keepLines/>
        <w:keepNext/>
        <w:spacing w:line="360" w:lineRule="auto"/>
        <w:rPr>
          <w:rFonts w:hint="eastAsia"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hint="eastAsia" w:ascii="宋体" w:hAnsi="宋体" w:eastAsia="宋体" w:cs="宋体"/>
          <w:color w:val="auto"/>
          <w:sz w:val="24"/>
          <w:highlight w:val="none"/>
        </w:rPr>
        <w:outlineLvl w:val="1"/>
      </w:pPr>
      <w:r>
        <w:rPr>
          <w:rFonts w:hint="eastAsia" w:ascii="宋体" w:hAnsi="宋体" w:eastAsia="宋体" w:cs="宋体"/>
          <w:b/>
          <w:bCs/>
          <w:color w:val="auto"/>
          <w:sz w:val="28"/>
          <w:szCs w:val="28"/>
          <w:highlight w:val="none"/>
        </w:rPr>
        <w:t xml:space="preserve">第三节 政府采购合同专用条款</w:t>
      </w:r>
      <w:bookmarkEnd w:id="165"/>
      <w:r/>
      <w:r/>
    </w:p>
    <w:tbl>
      <w:tblPr>
        <w:tblStyle w:val="734"/>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91"/>
        <w:gridCol w:w="2098"/>
        <w:gridCol w:w="4530"/>
      </w:tblGrid>
      <w:tr>
        <w:trPr>
          <w:jc w:val="center"/>
          <w:trHeight w:val="196"/>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第1.2（6）项</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联合体具体要求</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6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第1.2（7）项</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其他术语解释</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第4.4款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履约验收中甲方提出异议或作出说明的期限</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第4.6款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约定甲方承担的其他义务和责任</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第5.4款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约定乙方承担的其他义务和责任</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第6.1款</w:t>
            </w:r>
            <w:r/>
          </w:p>
        </w:tc>
        <w:tc>
          <w:tcPr>
            <w:tcW w:w="209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履行合同义务的顺序</w:t>
            </w:r>
            <w:r/>
          </w:p>
        </w:tc>
        <w:tc>
          <w:tcPr>
            <w:tcW w:w="453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0"/>
        </w:trPr>
        <w:tc>
          <w:tcPr>
            <w:tcW w:w="1891"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包装特殊要求</w:t>
            </w:r>
            <w:r/>
          </w:p>
        </w:tc>
        <w:tc>
          <w:tcPr>
            <w:tcW w:w="453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防止碰撞；板式件：不同板件用捆扎带分类打包，边角处用瓦楞纸覆盖，防止损坏；塑料件和五金件： 使用瓦楞纸箱包装。使用包装材料</w:t>
            </w:r>
            <w:r>
              <w:rPr>
                <w:rFonts w:hint="eastAsia"/>
                <w:color w:val="auto"/>
                <w:sz w:val="24"/>
                <w:highlight w:val="none"/>
                <w:lang w:eastAsia="zh-CN"/>
              </w:rPr>
              <w:t xml:space="preserve">应</w:t>
            </w:r>
            <w:r>
              <w:rPr>
                <w:rFonts w:hint="eastAsia"/>
                <w:color w:val="auto"/>
                <w:sz w:val="24"/>
                <w:highlight w:val="none"/>
              </w:rPr>
              <w:t xml:space="preserve">参考《财政部办公厅关于印发</w:t>
            </w:r>
            <w:r>
              <w:rPr>
                <w:rFonts w:hint="eastAsia"/>
                <w:color w:val="auto"/>
                <w:sz w:val="24"/>
                <w:highlight w:val="none"/>
                <w:lang w:val="en-US" w:eastAsia="zh-CN"/>
              </w:rPr>
              <w:t xml:space="preserve">〈</w:t>
            </w:r>
            <w:r>
              <w:rPr>
                <w:rFonts w:hint="eastAsia"/>
                <w:color w:val="auto"/>
                <w:sz w:val="24"/>
                <w:highlight w:val="none"/>
              </w:rPr>
              <w:t xml:space="preserve">商品包装政府采购需求标准（试行）</w:t>
            </w:r>
            <w:r>
              <w:rPr>
                <w:rFonts w:hint="eastAsia"/>
                <w:color w:val="auto"/>
                <w:sz w:val="24"/>
                <w:highlight w:val="none"/>
                <w:lang w:val="en-US" w:eastAsia="zh-CN"/>
              </w:rPr>
              <w:t xml:space="preserve">〉〈</w:t>
            </w:r>
            <w:r>
              <w:rPr>
                <w:rFonts w:hint="eastAsia"/>
                <w:color w:val="auto"/>
                <w:sz w:val="24"/>
                <w:highlight w:val="none"/>
              </w:rPr>
              <w:t xml:space="preserve">快递包装政府采购需求标准（试行）</w:t>
            </w:r>
            <w:r>
              <w:rPr>
                <w:rFonts w:hint="eastAsia"/>
                <w:color w:val="auto"/>
                <w:sz w:val="24"/>
                <w:highlight w:val="none"/>
                <w:lang w:val="en-US" w:eastAsia="zh-CN"/>
              </w:rPr>
              <w:t xml:space="preserve">〉</w:t>
            </w:r>
            <w:r>
              <w:rPr>
                <w:rFonts w:hint="eastAsia"/>
                <w:color w:val="auto"/>
                <w:sz w:val="24"/>
                <w:highlight w:val="none"/>
              </w:rPr>
              <w:t xml:space="preserve">的通知》（财办库〔2020〕123号）规定的包装需求标准，现场包装物</w:t>
            </w:r>
            <w:r>
              <w:rPr>
                <w:rFonts w:hint="eastAsia"/>
                <w:color w:val="auto"/>
                <w:sz w:val="24"/>
                <w:highlight w:val="none"/>
                <w:lang w:eastAsia="zh-CN"/>
              </w:rPr>
              <w:t xml:space="preserve">由</w:t>
            </w:r>
            <w:r>
              <w:rPr>
                <w:rFonts w:hint="eastAsia"/>
                <w:color w:val="auto"/>
                <w:sz w:val="24"/>
                <w:highlight w:val="none"/>
              </w:rPr>
              <w:t xml:space="preserve">供应商负责清理，做到：</w:t>
            </w:r>
            <w:r/>
          </w:p>
          <w:p>
            <w:pPr>
              <w:rPr>
                <w:color w:val="auto"/>
                <w:sz w:val="24"/>
                <w:highlight w:val="none"/>
              </w:rPr>
            </w:pPr>
            <w:r>
              <w:rPr>
                <w:rFonts w:hint="eastAsia"/>
                <w:color w:val="auto"/>
                <w:sz w:val="24"/>
                <w:highlight w:val="none"/>
              </w:rPr>
              <w:t xml:space="preserve">1.商品包装层数不得超过3层，空隙率不大于40%；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rFonts w:hint="eastAsia" w:eastAsiaTheme="minorEastAsia"/>
                <w:color w:val="auto"/>
                <w:sz w:val="24"/>
                <w:highlight w:val="none"/>
                <w:lang w:eastAsia="zh-CN"/>
              </w:rPr>
            </w:pPr>
            <w:r>
              <w:rPr>
                <w:rFonts w:hint="eastAsia"/>
                <w:color w:val="auto"/>
                <w:sz w:val="24"/>
                <w:highlight w:val="none"/>
              </w:rPr>
              <w:t xml:space="preserve">7.木质商品包装的原料应来源于可持续性森林</w:t>
            </w:r>
            <w:r>
              <w:rPr>
                <w:rFonts w:hint="eastAsia"/>
                <w:color w:val="auto"/>
                <w:sz w:val="24"/>
                <w:highlight w:val="none"/>
                <w:lang w:eastAsia="zh-CN"/>
              </w:rPr>
              <w:t xml:space="preserve">；</w:t>
            </w:r>
            <w:r/>
          </w:p>
          <w:p>
            <w:pPr>
              <w:rPr>
                <w:rFonts w:hint="eastAsia" w:eastAsiaTheme="minorEastAsia"/>
                <w:color w:val="auto"/>
                <w:sz w:val="24"/>
                <w:highlight w:val="none"/>
                <w:lang w:eastAsia="zh-CN"/>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color w:val="auto"/>
                <w:sz w:val="24"/>
                <w:highlight w:val="none"/>
                <w:lang w:eastAsia="zh-CN"/>
              </w:rPr>
              <w:t xml:space="preserve">；</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jc w:val="center"/>
          <w:trHeight w:val="179"/>
        </w:trPr>
        <w:tc>
          <w:tcPr>
            <w:tcW w:w="1891"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指定现场</w:t>
            </w:r>
            <w:r/>
          </w:p>
        </w:tc>
        <w:tc>
          <w:tcPr>
            <w:tcW w:w="4530" w:type="dxa"/>
            <w:vAlign w:val="center"/>
            <w:textDirection w:val="lrTb"/>
            <w:noWrap w:val="false"/>
          </w:tcPr>
          <w:p>
            <w:pPr>
              <w:jc w:val="left"/>
              <w:rPr>
                <w:color w:val="auto"/>
                <w:sz w:val="24"/>
                <w:highlight w:val="none"/>
              </w:rPr>
            </w:pPr>
            <w:r>
              <w:rPr>
                <w:color w:val="auto"/>
                <w:sz w:val="24"/>
                <w:highlight w:val="none"/>
              </w:rPr>
            </w:r>
            <w:r/>
          </w:p>
        </w:tc>
      </w:tr>
      <w:tr>
        <w:trPr>
          <w:jc w:val="center"/>
          <w:trHeight w:val="33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运输特殊要求</w:t>
            </w:r>
            <w:r/>
          </w:p>
        </w:tc>
        <w:tc>
          <w:tcPr>
            <w:tcW w:w="453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915"/>
              <w:ind w:firstLine="0"/>
              <w:spacing w:line="24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915"/>
              <w:ind w:firstLine="0"/>
              <w:spacing w:line="240" w:lineRule="auto"/>
              <w:rPr>
                <w:rFonts w:hint="eastAsia"/>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jc w:val="center"/>
          <w:trHeight w:val="179"/>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第7.3款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保险要求</w:t>
            </w:r>
            <w:r/>
          </w:p>
        </w:tc>
        <w:tc>
          <w:tcPr>
            <w:tcW w:w="453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jc w:val="center"/>
          <w:trHeight w:val="414"/>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第8.2（1）项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质量保证期</w:t>
            </w:r>
            <w:r/>
          </w:p>
        </w:tc>
        <w:tc>
          <w:tcPr>
            <w:tcW w:w="4530" w:type="dxa"/>
            <w:vAlign w:val="center"/>
            <w:textDirection w:val="lrTb"/>
            <w:noWrap w:val="false"/>
          </w:tcPr>
          <w:p>
            <w:pPr>
              <w:pStyle w:val="755"/>
              <w:jc w:val="both"/>
              <w:spacing w:beforeAutospacing="0" w:afterAutospacing="0"/>
              <w:rPr>
                <w:rFonts w:hint="eastAsia"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lang w:val="en-US" w:eastAsia="zh-CN"/>
              </w:rPr>
              <w:t xml:space="preserve">1</w:t>
            </w:r>
            <w:r>
              <w:rPr>
                <w:rFonts w:hint="eastAsia" w:ascii="宋体" w:hAnsi="宋体"/>
                <w:color w:val="auto"/>
                <w:highlight w:val="none"/>
              </w:rPr>
              <w:t xml:space="preserve">年。（</w:t>
            </w:r>
            <w:r>
              <w:rPr>
                <w:rFonts w:hint="eastAsia" w:ascii="宋体" w:hAnsi="宋体" w:cs="宋体"/>
                <w:color w:val="auto"/>
                <w:highlight w:val="none"/>
              </w:rPr>
              <w:t xml:space="preserve">自交货验收合格之日起计），因人为因素出现的故障不在免费保修范围内。超过保修期的机器设备，终身维修，维修时只收部件成本费。服务期内提供所有软件产品的免费升级服务和教学应用技术服务。</w:t>
            </w:r>
            <w:r/>
          </w:p>
        </w:tc>
      </w:tr>
      <w:tr>
        <w:trPr>
          <w:jc w:val="center"/>
          <w:trHeight w:val="25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第8.2（3）项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货物质量缺陷</w:t>
            </w:r>
            <w:r/>
          </w:p>
          <w:p>
            <w:pPr>
              <w:jc w:val="left"/>
              <w:rPr>
                <w:rFonts w:hint="eastAsia" w:ascii="宋体" w:hAnsi="宋体"/>
                <w:color w:val="auto"/>
                <w:sz w:val="24"/>
                <w:highlight w:val="none"/>
              </w:rPr>
            </w:pPr>
            <w:r>
              <w:rPr>
                <w:rFonts w:hint="eastAsia" w:ascii="宋体" w:hAnsi="宋体"/>
                <w:color w:val="auto"/>
                <w:sz w:val="24"/>
                <w:highlight w:val="none"/>
              </w:rPr>
              <w:t xml:space="preserve">响应时间</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如在使用过程中发生质量问题，乙方</w:t>
            </w:r>
            <w:r>
              <w:rPr>
                <w:rFonts w:hint="eastAsia" w:ascii="宋体" w:hAnsi="宋体"/>
                <w:color w:val="auto"/>
                <w:sz w:val="24"/>
                <w:highlight w:val="none"/>
                <w:lang w:val="en-US" w:eastAsia="zh-CN"/>
              </w:rPr>
              <w:t xml:space="preserve">需</w:t>
            </w:r>
            <w:r>
              <w:rPr>
                <w:rFonts w:hint="eastAsia" w:ascii="宋体" w:hAnsi="宋体"/>
                <w:color w:val="auto"/>
                <w:sz w:val="24"/>
                <w:highlight w:val="none"/>
              </w:rPr>
              <w:t xml:space="preserve">在</w:t>
            </w:r>
            <w:r>
              <w:rPr>
                <w:rFonts w:hint="eastAsia" w:ascii="宋体" w:hAnsi="宋体"/>
                <w:color w:val="auto"/>
                <w:sz w:val="24"/>
                <w:highlight w:val="none"/>
                <w:lang w:val="en-US" w:eastAsia="zh-CN"/>
              </w:rPr>
              <w:t xml:space="preserve">1小时内响应，</w:t>
            </w:r>
            <w:r>
              <w:rPr>
                <w:rFonts w:hint="eastAsia" w:ascii="宋体" w:hAnsi="宋体"/>
                <w:color w:val="auto"/>
                <w:sz w:val="24"/>
                <w:highlight w:val="none"/>
              </w:rPr>
              <w:t xml:space="preserve">接到甲方通知后在</w:t>
            </w:r>
            <w:r>
              <w:rPr>
                <w:rFonts w:hint="eastAsia" w:ascii="宋体" w:hAnsi="宋体"/>
                <w:color w:val="auto"/>
                <w:sz w:val="24"/>
                <w:highlight w:val="none"/>
                <w:u w:val="single"/>
                <w:lang w:val="en-US" w:eastAsia="zh-CN"/>
              </w:rPr>
              <w:t xml:space="preserve">12</w:t>
            </w:r>
            <w:r>
              <w:rPr>
                <w:rFonts w:hint="eastAsia" w:ascii="宋体" w:hAnsi="宋体"/>
                <w:color w:val="auto"/>
                <w:sz w:val="24"/>
                <w:highlight w:val="none"/>
              </w:rPr>
              <w:t xml:space="preserve">小时内到达甲方现场。</w:t>
            </w:r>
            <w:r/>
          </w:p>
        </w:tc>
      </w:tr>
      <w:tr>
        <w:trPr>
          <w:jc w:val="center"/>
          <w:trHeight w:val="2215"/>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hint="eastAsia"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hint="eastAsia"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55"/>
              <w:spacing w:beforeAutospacing="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198"/>
        </w:trPr>
        <w:tc>
          <w:tcPr>
            <w:tcW w:w="189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第二节</w:t>
            </w:r>
            <w:r/>
          </w:p>
          <w:p>
            <w:pPr>
              <w:jc w:val="center"/>
              <w:widowControl/>
              <w:rPr>
                <w:rFonts w:hint="eastAsia"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098"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其他应当保密的信息</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164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第12.2款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合同价款支付时间及要求</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hint="eastAsia" w:ascii="宋体" w:hAnsi="宋体"/>
                <w:color w:val="auto"/>
                <w:sz w:val="24"/>
                <w:highlight w:val="none"/>
              </w:rPr>
            </w:pPr>
            <w:r>
              <w:rPr>
                <w:rFonts w:hint="eastAsia" w:ascii="宋体" w:hAnsi="宋体"/>
                <w:color w:val="auto"/>
                <w:sz w:val="24"/>
                <w:highlight w:val="none"/>
              </w:rPr>
              <w:t xml:space="preserve">①甲方在合同签订后收到乙方提交的预付款支付申请后</w:t>
            </w:r>
            <w:r>
              <w:rPr>
                <w:rFonts w:hint="eastAsia" w:ascii="宋体" w:hAnsi="宋体"/>
                <w:color w:val="auto"/>
                <w:sz w:val="24"/>
                <w:highlight w:val="none"/>
                <w:lang w:val="en-US" w:eastAsia="zh-CN"/>
              </w:rPr>
              <w:t xml:space="preserve">乙方出具相应金额的有效发票</w:t>
            </w:r>
            <w:r>
              <w:rPr>
                <w:rFonts w:hint="eastAsia" w:ascii="宋体" w:hAnsi="宋体"/>
                <w:color w:val="auto"/>
                <w:sz w:val="24"/>
                <w:highlight w:val="none"/>
              </w:rPr>
              <w:t xml:space="preserve">，原则上在</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个工作日内，向乙方支付合同总价款的</w:t>
            </w:r>
            <w:r>
              <w:rPr>
                <w:rFonts w:hint="eastAsia" w:ascii="宋体" w:hAnsi="宋体"/>
                <w:color w:val="auto"/>
                <w:sz w:val="24"/>
                <w:highlight w:val="none"/>
                <w:lang w:val="en-US" w:eastAsia="zh-CN"/>
              </w:rPr>
              <w:t xml:space="preserve">40</w:t>
            </w:r>
            <w:r>
              <w:rPr>
                <w:rFonts w:hint="eastAsia" w:ascii="宋体" w:hAnsi="宋体"/>
                <w:color w:val="auto"/>
                <w:sz w:val="24"/>
                <w:highlight w:val="none"/>
              </w:rPr>
              <w:t xml:space="preserve">%（计人民币</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）作为项目预付款。乙方放弃预付款需要书面明确表示无需预付款。</w:t>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②所有货物安装完毕，</w:t>
            </w:r>
            <w:r>
              <w:rPr>
                <w:rFonts w:hint="eastAsia" w:ascii="宋体" w:hAnsi="宋体" w:eastAsia="宋体" w:cs="宋体"/>
                <w:color w:val="auto"/>
                <w:sz w:val="24"/>
                <w:highlight w:val="none"/>
                <w:u w:val="single"/>
                <w:lang w:val="en-US" w:eastAsia="zh-CN"/>
              </w:rPr>
              <w:t xml:space="preserve">支付至合同价的60%（含已付）；</w:t>
            </w:r>
            <w:r/>
          </w:p>
          <w:p>
            <w:pPr>
              <w:jc w:val="left"/>
              <w:rPr>
                <w:rFonts w:hint="eastAsia" w:ascii="宋体" w:hAnsi="宋体"/>
                <w:color w:val="auto"/>
                <w:sz w:val="24"/>
                <w:highlight w:val="none"/>
              </w:rPr>
            </w:pPr>
            <w:r>
              <w:rPr>
                <w:rFonts w:hint="eastAsia" w:ascii="宋体" w:hAnsi="宋体"/>
                <w:color w:val="auto"/>
                <w:sz w:val="24"/>
                <w:highlight w:val="none"/>
              </w:rPr>
              <w:t xml:space="preserve">③甲方组织验收，验收合格后原则上在收到乙方发票</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个工作日内甲方向乙方支付至合同总价的90%款项；</w:t>
            </w:r>
            <w:r/>
          </w:p>
          <w:p>
            <w:pPr>
              <w:jc w:val="left"/>
              <w:rPr>
                <w:rFonts w:hint="eastAsia" w:ascii="宋体" w:hAnsi="宋体"/>
                <w:color w:val="auto"/>
                <w:sz w:val="24"/>
                <w:highlight w:val="none"/>
              </w:rPr>
            </w:pPr>
            <w:r>
              <w:rPr>
                <w:rFonts w:hint="eastAsia" w:ascii="宋体" w:hAnsi="宋体"/>
                <w:color w:val="auto"/>
                <w:sz w:val="24"/>
                <w:highlight w:val="none"/>
              </w:rPr>
              <w:t xml:space="preserve">④验收合格之日起算满</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年后支付清余款。</w:t>
            </w:r>
            <w:r/>
          </w:p>
          <w:p>
            <w:pPr>
              <w:jc w:val="left"/>
              <w:rPr>
                <w:rFonts w:hint="eastAsia"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发票；</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制造厂家出具的质量检验证书等；</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装箱单；</w:t>
            </w:r>
            <w:r/>
          </w:p>
          <w:p>
            <w:pPr>
              <w:jc w:val="left"/>
              <w:rPr>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甲方加盖公章证明交付使用合格的验收单。</w:t>
            </w:r>
            <w:r/>
          </w:p>
        </w:tc>
      </w:tr>
      <w:tr>
        <w:trPr>
          <w:jc w:val="center"/>
          <w:trHeight w:val="1642"/>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第13.2款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45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rPr>
                <w:rFonts w:hint="eastAsia"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（4）中标人采取欺骗、弄虚作假方式投标的或与其他投标人串通投标的；</w:t>
            </w:r>
            <w:r/>
          </w:p>
          <w:p>
            <w:pPr>
              <w:rPr>
                <w:rFonts w:hint="eastAsia"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rPr>
                <w:rFonts w:hint="eastAsia"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jc w:val="center"/>
          <w:trHeight w:val="1314"/>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第13.3款</w:t>
            </w:r>
            <w:r/>
          </w:p>
        </w:tc>
        <w:tc>
          <w:tcPr>
            <w:tcW w:w="209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45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合同履行结束后，甲方应及时退还交纳的履约保证金。</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退还方式：退还至投标人缴纳履约保证金的账户。如为保函，在到期时自行失效。</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退还时间：验收合格且甲方收到发票后30日内。</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退还条件：按合同要求全部履约完成并经采购人验收合格，且采购人收到中标人出具的发票。</w:t>
            </w:r>
            <w:r/>
          </w:p>
          <w:p>
            <w:pP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21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第14.1（3）项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运行监督、维修期限</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21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第14.1（5）项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货物回收的约定</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198"/>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第14.1（6）项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乙方提供的其他服务</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r>
            <w:r/>
          </w:p>
        </w:tc>
      </w:tr>
      <w:tr>
        <w:trPr>
          <w:jc w:val="center"/>
          <w:trHeight w:val="823"/>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修理、重做、更换相关具体规定</w:t>
            </w:r>
            <w:r/>
          </w:p>
        </w:tc>
        <w:tc>
          <w:tcPr>
            <w:tcW w:w="4530" w:type="dxa"/>
            <w:vAlign w:val="center"/>
            <w:textDirection w:val="lrTb"/>
            <w:noWrap w:val="false"/>
          </w:tcPr>
          <w:p>
            <w:pPr>
              <w:numPr>
                <w:ilvl w:val="0"/>
                <w:numId w:val="0"/>
              </w:numPr>
              <w:jc w:val="left"/>
              <w:rPr>
                <w:rFonts w:hint="eastAsia" w:ascii="宋体" w:hAnsi="宋体"/>
                <w:color w:val="auto"/>
                <w:sz w:val="24"/>
                <w:highlight w:val="none"/>
              </w:rPr>
            </w:pPr>
            <w:r>
              <w:rPr>
                <w:rFonts w:hint="eastAsia" w:ascii="宋体" w:hAnsi="宋体" w:eastAsiaTheme="minorEastAsia" w:cstheme="minorBidi"/>
                <w:color w:val="auto"/>
                <w:sz w:val="24"/>
                <w:szCs w:val="24"/>
                <w:highlight w:val="none"/>
                <w:lang w:val="en-US" w:eastAsia="zh-CN" w:bidi="ar-SA"/>
              </w:rPr>
              <w:t xml:space="preserve">1</w:t>
            </w:r>
            <w:r>
              <w:rPr>
                <w:rFonts w:hint="eastAsia" w:ascii="宋体" w:hAnsi="宋体" w:cstheme="minorBidi"/>
                <w:color w:val="auto"/>
                <w:sz w:val="24"/>
                <w:szCs w:val="24"/>
                <w:highlight w:val="none"/>
                <w:lang w:val="en-US" w:eastAsia="zh-CN" w:bidi="ar-SA"/>
              </w:rPr>
              <w:t xml:space="preserve">.</w:t>
            </w: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0"/>
              </w:numPr>
              <w:jc w:val="left"/>
              <w:rPr>
                <w:rFonts w:hint="eastAsia" w:ascii="宋体" w:hAnsi="宋体"/>
                <w:color w:val="auto"/>
                <w:sz w:val="24"/>
                <w:highlight w:val="none"/>
              </w:rPr>
            </w:pPr>
            <w:r>
              <w:rPr>
                <w:rFonts w:hint="eastAsia" w:ascii="宋体" w:hAnsi="宋体" w:eastAsiaTheme="minorEastAsia" w:cstheme="minorBidi"/>
                <w:color w:val="auto"/>
                <w:sz w:val="24"/>
                <w:szCs w:val="24"/>
                <w:highlight w:val="none"/>
                <w:lang w:val="en-US" w:eastAsia="zh-CN" w:bidi="ar-SA"/>
              </w:rPr>
              <w:t xml:space="preserve">2</w:t>
            </w:r>
            <w:r>
              <w:rPr>
                <w:rFonts w:hint="eastAsia" w:ascii="宋体" w:hAnsi="宋体" w:cstheme="minorBidi"/>
                <w:color w:val="auto"/>
                <w:sz w:val="24"/>
                <w:szCs w:val="24"/>
                <w:highlight w:val="none"/>
                <w:lang w:val="en-US" w:eastAsia="zh-CN" w:bidi="ar-SA"/>
              </w:rPr>
              <w:t xml:space="preserve">.</w:t>
            </w: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第15.2（2）项</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迟延交货赔偿费</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hint="eastAsia"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hint="eastAsia"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千分之五</w:t>
            </w:r>
            <w:r>
              <w:rPr>
                <w:rFonts w:hint="eastAsia" w:ascii="宋体" w:hAnsi="宋体"/>
                <w:color w:val="auto"/>
                <w:sz w:val="24"/>
                <w:highlight w:val="none"/>
              </w:rPr>
              <w:t xml:space="preserve">向甲方支付违约金，由甲方从待付</w:t>
            </w:r>
            <w:r>
              <w:rPr>
                <w:rFonts w:hint="eastAsia" w:ascii="宋体" w:hAnsi="宋体" w:eastAsia="宋体"/>
                <w:color w:val="auto"/>
                <w:sz w:val="24"/>
                <w:highlight w:val="none"/>
              </w:rPr>
              <w:t xml:space="preserve">款项</w:t>
            </w:r>
            <w:r>
              <w:rPr>
                <w:rFonts w:hint="eastAsia" w:ascii="宋体" w:hAnsi="宋体"/>
                <w:color w:val="auto"/>
                <w:sz w:val="24"/>
                <w:highlight w:val="none"/>
              </w:rPr>
              <w:t xml:space="preserve">中扣除。逾期超过约定日期</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的违约金，如造成甲方损失超过违约金的，超出部分由乙方继续承担赔偿责任。 </w:t>
            </w:r>
            <w:r/>
          </w:p>
          <w:p>
            <w:pPr>
              <w:jc w:val="left"/>
              <w:rPr>
                <w:rFonts w:hint="eastAsia" w:ascii="宋体" w:hAnsi="宋体"/>
                <w:color w:val="auto"/>
                <w:sz w:val="24"/>
                <w:highlight w:val="none"/>
                <w:u w:val="singl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的滞纳金。</w:t>
            </w:r>
            <w:r/>
          </w:p>
        </w:tc>
      </w:tr>
      <w:tr>
        <w:trPr>
          <w:jc w:val="center"/>
          <w:trHeight w:val="496"/>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第15.3款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逾期付款利息</w:t>
            </w:r>
            <w:r/>
          </w:p>
        </w:tc>
        <w:tc>
          <w:tcPr>
            <w:tcW w:w="4530" w:type="dxa"/>
            <w:vAlign w:val="center"/>
            <w:textDirection w:val="lrTb"/>
            <w:noWrap w:val="false"/>
          </w:tcPr>
          <w:p>
            <w:pPr>
              <w:pStyle w:val="755"/>
              <w:jc w:val="both"/>
              <w:spacing w:beforeAutospacing="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10%</w:t>
            </w:r>
            <w:r>
              <w:rPr>
                <w:rFonts w:hint="eastAsia" w:ascii="宋体" w:hAnsi="宋体" w:cs="宋体"/>
                <w:color w:val="auto"/>
                <w:highlight w:val="none"/>
              </w:rPr>
              <w:t xml:space="preserve">的违约金。</w:t>
            </w:r>
            <w:r/>
          </w:p>
          <w:p>
            <w:pPr>
              <w:pStyle w:val="755"/>
              <w:jc w:val="both"/>
              <w:spacing w:beforeAutospacing="0" w:afterAutospacing="0"/>
              <w:rPr>
                <w:rFonts w:hint="eastAsia"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按银行同期利息</w:t>
            </w:r>
            <w:r>
              <w:rPr>
                <w:rFonts w:hint="eastAsia" w:ascii="宋体" w:hAnsi="宋体" w:cs="宋体"/>
                <w:color w:val="auto"/>
                <w:highlight w:val="none"/>
              </w:rPr>
              <w:t xml:space="preserve">向乙方支付违约金。</w:t>
            </w:r>
            <w:r/>
          </w:p>
        </w:tc>
      </w:tr>
      <w:tr>
        <w:trPr>
          <w:jc w:val="center"/>
          <w:trHeight w:val="234"/>
        </w:trPr>
        <w:tc>
          <w:tcPr>
            <w:tcBorders>
              <w:bottom w:val="single" w:color="000000" w:sz="2" w:space="0"/>
              <w:right w:val="single" w:color="000000" w:sz="2" w:space="0"/>
            </w:tcBorders>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4530" w:type="dxa"/>
            <w:vAlign w:val="center"/>
            <w:textDirection w:val="lrTb"/>
            <w:noWrap w:val="false"/>
          </w:tcPr>
          <w:p>
            <w:pPr>
              <w:jc w:val="left"/>
              <w:rPr>
                <w:rFonts w:hint="eastAsia" w:ascii="宋体" w:hAnsi="宋体"/>
                <w:color w:val="auto"/>
                <w:sz w:val="24"/>
                <w:highlight w:val="none"/>
                <w:u w:val="single"/>
              </w:rPr>
            </w:pPr>
            <w:r>
              <w:rPr>
                <w:rFonts w:hint="eastAsia" w:ascii="宋体" w:hAnsi="宋体"/>
                <w:color w:val="auto"/>
                <w:sz w:val="24"/>
                <w:highlight w:val="none"/>
                <w:u w:val="single"/>
              </w:rPr>
            </w:r>
            <w:r/>
          </w:p>
        </w:tc>
      </w:tr>
      <w:tr>
        <w:trPr>
          <w:jc w:val="center"/>
          <w:trHeight w:val="1066"/>
        </w:trPr>
        <w:tc>
          <w:tcPr>
            <w:tcBorders>
              <w:top w:val="single" w:color="000000" w:sz="2" w:space="0"/>
              <w:right w:val="single" w:color="000000" w:sz="2" w:space="0"/>
            </w:tcBorders>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2 </w:t>
            </w:r>
            <w:r>
              <w:rPr>
                <w:rFonts w:hint="eastAsia" w:ascii="宋体" w:hAnsi="宋体"/>
                <w:color w:val="auto"/>
                <w:sz w:val="24"/>
                <w:highlight w:val="none"/>
              </w:rPr>
              <w:t xml:space="preserve">种方式解决：</w:t>
            </w:r>
            <w:r/>
          </w:p>
          <w:p>
            <w:pPr>
              <w:jc w:val="left"/>
              <w:rPr>
                <w:rFonts w:hint="eastAsia"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盐城市 </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hint="eastAsia" w:ascii="宋体" w:hAnsi="宋体"/>
                <w:color w:val="auto"/>
                <w:sz w:val="24"/>
                <w:highlight w:val="none"/>
              </w:rPr>
            </w:pPr>
            <w:r>
              <w:rPr>
                <w:rFonts w:hint="eastAsia" w:ascii="宋体" w:hAnsi="宋体"/>
                <w:color w:val="auto"/>
                <w:sz w:val="24"/>
                <w:highlight w:val="none"/>
              </w:rPr>
              <w:t xml:space="preserve">2.纠纷解决办法</w:t>
            </w:r>
            <w:r/>
          </w:p>
          <w:p>
            <w:pPr>
              <w:jc w:val="left"/>
              <w:rPr>
                <w:rFonts w:hint="eastAsia"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2297"/>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第23.1款</w:t>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bCs/>
                <w:color w:val="auto"/>
                <w:sz w:val="24"/>
                <w:highlight w:val="none"/>
              </w:rPr>
              <w:t xml:space="preserve">其他专用条款</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color w:val="auto"/>
                <w:sz w:val="24"/>
                <w:highlight w:val="none"/>
              </w:rPr>
            </w:pPr>
            <w:r>
              <w:rPr>
                <w:rFonts w:hint="eastAsia" w:ascii="宋体" w:hAnsi="宋体"/>
                <w:color w:val="auto"/>
                <w:sz w:val="24"/>
                <w:highlight w:val="none"/>
              </w:rPr>
              <w:t xml:space="preserve">3.验收不合格的货物，乙方应在履约期限内予以更换，逾期按交货延误予以处罚。乙方所交付的货物品种、型号、规格不符合合同规定的，甲方有权拒收。甲方拒收的，乙方向甲方支付货款总额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color w:val="auto"/>
                <w:sz w:val="24"/>
                <w:highlight w:val="none"/>
              </w:rPr>
            </w:pPr>
            <w:r>
              <w:rPr>
                <w:rFonts w:hint="eastAsia" w:ascii="宋体" w:hAnsi="宋体"/>
                <w:color w:val="auto"/>
                <w:sz w:val="24"/>
                <w:highlight w:val="none"/>
              </w:rPr>
              <w:t xml:space="preserve">4.货物验收要求</w:t>
            </w:r>
            <w:r/>
          </w:p>
          <w:p>
            <w:pPr>
              <w:jc w:val="left"/>
              <w:rPr>
                <w:rFonts w:hint="eastAsia" w:ascii="宋体" w:hAnsi="宋体"/>
                <w:color w:val="auto"/>
                <w:sz w:val="24"/>
                <w:highlight w:val="none"/>
              </w:rPr>
            </w:pPr>
            <w:r>
              <w:rPr>
                <w:rFonts w:hint="eastAsia" w:ascii="宋体" w:hAnsi="宋体"/>
                <w:color w:val="auto"/>
                <w:sz w:val="24"/>
                <w:highlight w:val="none"/>
              </w:rPr>
              <w:t xml:space="preserve">（1）依照招标文件要求对全部货物、型号、规格、数量、</w:t>
            </w:r>
            <w:r>
              <w:rPr>
                <w:rFonts w:hint="eastAsia" w:ascii="宋体" w:hAnsi="宋体"/>
                <w:color w:val="auto"/>
                <w:sz w:val="24"/>
                <w:highlight w:val="none"/>
                <w:lang w:eastAsia="zh-CN"/>
              </w:rPr>
              <w:t xml:space="preserve">外形</w:t>
            </w:r>
            <w:r>
              <w:rPr>
                <w:rFonts w:hint="eastAsia" w:ascii="宋体" w:hAnsi="宋体"/>
                <w:color w:val="auto"/>
                <w:sz w:val="24"/>
                <w:highlight w:val="none"/>
              </w:rPr>
              <w:t xml:space="preserve">、外观、包装及资料、文件（如装箱单、保修单、随箱介质等）进行验收。</w:t>
            </w:r>
            <w:r/>
          </w:p>
          <w:p>
            <w:pPr>
              <w:jc w:val="left"/>
              <w:rPr>
                <w:rFonts w:hint="eastAsia"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hint="eastAsia"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hint="eastAsia"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hint="eastAsia"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甲方指定地点</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hint="eastAsia" w:ascii="宋体" w:hAnsi="宋体"/>
                <w:color w:val="auto"/>
                <w:sz w:val="24"/>
                <w:highlight w:val="none"/>
              </w:rPr>
              <w:t xml:space="preserve">（5）甲方应在全部货物到货安装完毕，乙方提出验收申请</w:t>
            </w:r>
            <w:r>
              <w:rPr>
                <w:rFonts w:hint="eastAsia" w:ascii="宋体" w:hAnsi="宋体"/>
                <w:color w:val="auto"/>
                <w:sz w:val="24"/>
                <w:highlight w:val="none"/>
                <w:lang w:val="en-US" w:eastAsia="zh-CN"/>
              </w:rPr>
              <w:t xml:space="preserve">后组织专家</w:t>
            </w:r>
            <w:r>
              <w:rPr>
                <w:rFonts w:hint="eastAsia" w:ascii="宋体" w:hAnsi="宋体"/>
                <w:color w:val="auto"/>
                <w:sz w:val="24"/>
                <w:highlight w:val="none"/>
              </w:rPr>
              <w:t xml:space="preserve">进行验收，验收包括：型号、规格、数量、外观是否完好，安装调试是否合格等。验收合格后甲方应在验收报告上签字盖章。</w:t>
            </w:r>
            <w:r/>
          </w:p>
          <w:p>
            <w:pPr>
              <w:jc w:val="left"/>
              <w:rPr>
                <w:rFonts w:hint="eastAsia"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78"/>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bCs/>
                <w:color w:val="auto"/>
                <w:sz w:val="24"/>
                <w:highlight w:val="none"/>
              </w:rPr>
            </w:pPr>
            <w:r>
              <w:rPr>
                <w:rFonts w:hint="eastAsia" w:ascii="宋体" w:hAnsi="宋体"/>
                <w:bCs/>
                <w:color w:val="auto"/>
                <w:sz w:val="24"/>
                <w:highlight w:val="none"/>
              </w:rPr>
              <w:t xml:space="preserve">税费</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hint="eastAsia"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jc w:val="center"/>
          <w:trHeight w:val="206"/>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bCs/>
                <w:color w:val="auto"/>
                <w:sz w:val="24"/>
                <w:highlight w:val="none"/>
              </w:rPr>
            </w:pPr>
            <w:r>
              <w:rPr>
                <w:rFonts w:hint="eastAsia" w:ascii="宋体" w:hAnsi="宋体"/>
                <w:bCs/>
                <w:color w:val="auto"/>
                <w:sz w:val="24"/>
                <w:highlight w:val="none"/>
              </w:rPr>
              <w:t xml:space="preserve">伴随服务</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hint="eastAsia"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 招标文件中的“服务要求”所规定的服务内容以及投标文件承诺提供的其他服务内容；</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负责货物的开孔，货物的现场安装；</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提供货物组装和维修所需的工具；</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 在合同中乙方承诺的质保期限内对所提供货物正常使用实施监督、维修，但前提条件是该服务并不能免除乙方在质量保证期内应承担的义务；</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 在货物交货现场就货物的安装、启用、维护等对甲方人员进行培训。</w:t>
            </w:r>
            <w:r/>
          </w:p>
          <w:p>
            <w:pPr>
              <w:jc w:val="left"/>
              <w:rPr>
                <w:rFonts w:hint="eastAsia"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索赔</w:t>
            </w:r>
            <w:r/>
          </w:p>
          <w:p>
            <w:pPr>
              <w:jc w:val="left"/>
              <w:rPr>
                <w:rFonts w:hint="eastAsia" w:ascii="宋体" w:hAnsi="宋体"/>
                <w:color w:val="auto"/>
                <w:sz w:val="24"/>
                <w:highlight w:val="none"/>
              </w:rPr>
            </w:pPr>
            <w:r>
              <w:rPr>
                <w:rFonts w:hint="eastAsia" w:ascii="宋体" w:hAnsi="宋体"/>
                <w:color w:val="auto"/>
                <w:sz w:val="24"/>
                <w:highlight w:val="none"/>
              </w:rPr>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hint="eastAsia"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根据货物的低劣程度、损坏程度以及甲方所遭受损失的数额，乙方必须降低货物的价格。</w:t>
            </w:r>
            <w:r/>
          </w:p>
          <w:p>
            <w:pPr>
              <w:jc w:val="lef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90"/>
        </w:trPr>
        <w:tc>
          <w:tcPr>
            <w:tcW w:w="189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2098" w:type="dxa"/>
            <w:vAlign w:val="center"/>
            <w:textDirection w:val="lrTb"/>
            <w:noWrap w:val="false"/>
          </w:tcPr>
          <w:p>
            <w:pPr>
              <w:jc w:val="left"/>
              <w:rPr>
                <w:rFonts w:hint="eastAsia" w:ascii="宋体" w:hAnsi="宋体"/>
                <w:bCs/>
                <w:color w:val="auto"/>
                <w:sz w:val="24"/>
                <w:highlight w:val="none"/>
              </w:rPr>
            </w:pPr>
            <w:r>
              <w:rPr>
                <w:rFonts w:hint="eastAsia" w:ascii="宋体" w:hAnsi="宋体"/>
                <w:color w:val="auto"/>
                <w:sz w:val="24"/>
                <w:highlight w:val="none"/>
              </w:rPr>
              <w:t xml:space="preserve">合同生效及其它</w:t>
            </w:r>
            <w:r/>
          </w:p>
        </w:tc>
        <w:tc>
          <w:tcPr>
            <w:tcW w:w="4530"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hint="eastAsia"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hint="eastAsia"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color w:val="auto"/>
                <w:sz w:val="24"/>
                <w:highlight w:val="none"/>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color w:val="auto"/>
                <w:sz w:val="24"/>
                <w:highlight w:val="none"/>
                <w:lang w:val="en-US" w:eastAsia="zh-CN"/>
              </w:rPr>
              <w:t xml:space="preserve">中华人民共和国</w:t>
            </w:r>
            <w:r>
              <w:rPr>
                <w:rFonts w:hint="eastAsia" w:ascii="宋体" w:hAnsi="宋体"/>
                <w:color w:val="auto"/>
                <w:sz w:val="24"/>
                <w:highlight w:val="none"/>
              </w:rPr>
              <w:t xml:space="preserve">政府采购法》等有关条文执行。</w:t>
            </w:r>
            <w:r/>
          </w:p>
        </w:tc>
      </w:tr>
    </w:tbl>
    <w:p>
      <w:pPr>
        <w:jc w:val="left"/>
        <w:widowControl/>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55"/>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4"/>
      <w:r>
        <w:rPr>
          <w:rFonts w:hint="eastAsia" w:ascii="黑体" w:hAnsi="宋体" w:eastAsia="黑体" w:cs="黑体"/>
          <w:color w:val="auto"/>
          <w:sz w:val="44"/>
          <w:szCs w:val="44"/>
          <w:highlight w:val="none"/>
        </w:rPr>
        <w:t xml:space="preserve">四章 采购需求</w:t>
      </w:r>
      <w:bookmarkEnd w:id="155"/>
      <w:r/>
      <w:bookmarkEnd w:id="156"/>
      <w:r/>
      <w:bookmarkEnd w:id="157"/>
      <w:r/>
      <w:bookmarkEnd w:id="158"/>
      <w:r/>
      <w:bookmarkEnd w:id="159"/>
      <w:r/>
      <w:r/>
    </w:p>
    <w:p>
      <w:pPr>
        <w:pStyle w:val="755"/>
        <w:jc w:val="both"/>
        <w:spacing w:beforeAutospacing="0" w:afterAutospacing="0" w:line="0" w:lineRule="atLeast"/>
        <w:rPr>
          <w:rFonts w:hint="eastAsia" w:ascii="宋体" w:hAnsi="宋体" w:eastAsia="宋体" w:cs="宋体"/>
          <w:color w:val="auto"/>
          <w:highlight w:val="none"/>
        </w:rPr>
      </w:pPr>
      <w:r/>
      <w:bookmarkStart w:id="167" w:name="_Toc49090575"/>
      <w:r/>
      <w:bookmarkStart w:id="168" w:name="_Toc26554093"/>
      <w:r>
        <w:rPr>
          <w:rFonts w:hint="eastAsia" w:ascii="宋体" w:hAnsi="宋体" w:eastAsia="宋体" w:cs="宋体"/>
          <w:color w:val="auto"/>
          <w:highlight w:val="none"/>
        </w:rPr>
        <w:t xml:space="preserve">项目属性：货物类项目。</w:t>
      </w:r>
      <w:bookmarkEnd w:id="167"/>
      <w:r/>
      <w:bookmarkEnd w:id="168"/>
      <w:r/>
      <w:r/>
    </w:p>
    <w:p>
      <w:pPr>
        <w:pStyle w:val="755"/>
        <w:ind w:left="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bookmarkStart w:id="169" w:name="_Toc120614281"/>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采购内容</w:t>
      </w:r>
      <w:r/>
    </w:p>
    <w:p>
      <w:pPr>
        <w:pStyle w:val="755"/>
        <w:ind w:firstLine="562"/>
        <w:jc w:val="both"/>
        <w:spacing w:beforeAutospacing="0" w:afterAutospacing="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东台市博物馆新馆建于2012年，位于江苏省盐城市东台市广场路10号，占地面积约16000平方米，建筑面积8000平方米，布展总面积3100平方米。本项目</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lang w:eastAsia="zh-CN"/>
        </w:rPr>
        <w:t xml:space="preserve">博物馆</w:t>
      </w:r>
      <w:r>
        <w:rPr>
          <w:rFonts w:hint="eastAsia" w:ascii="宋体" w:hAnsi="宋体" w:eastAsia="宋体" w:cs="宋体"/>
          <w:color w:val="auto"/>
          <w:highlight w:val="none"/>
          <w:lang w:val="en-US" w:eastAsia="zh-CN"/>
        </w:rPr>
        <w:t xml:space="preserve">三楼</w:t>
      </w:r>
      <w:r>
        <w:rPr>
          <w:rFonts w:hint="eastAsia" w:ascii="宋体" w:hAnsi="宋体" w:eastAsia="宋体" w:cs="宋体"/>
          <w:color w:val="auto"/>
          <w:highlight w:val="none"/>
          <w:lang w:eastAsia="zh-CN"/>
        </w:rPr>
        <w:t xml:space="preserve">展厅更换文物展柜；并配备各类型净化调湿机，以确保珍贵文物展柜微环境的稳定、洁净；为展厅配备智慧安全用电系统，保障展厅用电安全，防止发生意外对文物造成损伤；同时配备一些离线检测设备，检测环境质量。</w:t>
      </w:r>
      <w:r>
        <w:rPr>
          <w:rFonts w:hint="eastAsia" w:ascii="宋体" w:hAnsi="宋体" w:eastAsia="宋体" w:cs="宋体"/>
          <w:color w:val="auto"/>
          <w:highlight w:val="none"/>
          <w:lang w:val="en-US" w:eastAsia="zh-CN"/>
        </w:rPr>
        <w:t xml:space="preserve">配备的离线检测设备、微环境调控系统兼容采购人现有的馆藏文物保存环境监测系统。</w:t>
      </w:r>
      <w:r>
        <w:rPr>
          <w:rFonts w:hint="eastAsia" w:ascii="宋体" w:hAnsi="宋体" w:eastAsia="宋体" w:cs="宋体"/>
          <w:color w:val="auto"/>
          <w:highlight w:val="none"/>
          <w:lang w:val="en-US" w:eastAsia="zh-CN"/>
        </w:rPr>
        <w:t xml:space="preserve">本项目涉及的现有展柜拆除及复原工程的相关工作量需投标人实地勘查。联系人：张先生13584785145。</w:t>
      </w:r>
      <w:r/>
    </w:p>
    <w:p>
      <w:pPr>
        <w:pStyle w:val="755"/>
        <w:ind w:firstLine="562"/>
        <w:jc w:val="both"/>
        <w:spacing w:beforeAutospacing="0" w:afterAutospacing="0" w:line="48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lang w:val="en-US" w:eastAsia="zh-CN"/>
        </w:rPr>
        <w:t xml:space="preserve">采购内容</w:t>
      </w:r>
      <w:r/>
    </w:p>
    <w:p>
      <w:pPr>
        <w:pStyle w:val="755"/>
        <w:ind w:firstLine="562"/>
        <w:jc w:val="both"/>
        <w:spacing w:beforeAutospacing="0" w:afterAutospacing="0" w:line="48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2.1 </w:t>
      </w:r>
      <w:r>
        <w:rPr>
          <w:rFonts w:hint="eastAsia" w:ascii="宋体" w:hAnsi="宋体" w:eastAsia="宋体" w:cs="宋体"/>
          <w:b/>
          <w:bCs/>
          <w:color w:val="auto"/>
          <w:sz w:val="28"/>
          <w:szCs w:val="28"/>
          <w:highlight w:val="none"/>
          <w:lang w:val="en-US" w:eastAsia="zh-CN"/>
        </w:rPr>
        <w:t xml:space="preserve">采购产品</w:t>
      </w:r>
      <w:r/>
    </w:p>
    <w:tbl>
      <w:tblPr>
        <w:tblStyle w:val="734"/>
        <w:tblW w:w="89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7"/>
        <w:gridCol w:w="2518"/>
        <w:gridCol w:w="1559"/>
        <w:gridCol w:w="850"/>
        <w:gridCol w:w="797"/>
        <w:gridCol w:w="1367"/>
      </w:tblGrid>
      <w:tr>
        <w:trPr>
          <w:trHeight w:val="353"/>
          <w:tblHeader/>
        </w:trPr>
        <w:tc>
          <w:tcPr>
            <w:gridSpan w:val="2"/>
            <w:shd w:val="clear" w:color="auto" w:fill="auto"/>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jc w:val="center"/>
              <w:spacing w:line="240" w:lineRule="atLeast"/>
              <w:rPr>
                <w:rFonts w:ascii="宋体" w:hAnsi="宋体" w:cs="华文仿宋"/>
                <w:b/>
                <w:color w:val="auto"/>
                <w:szCs w:val="21"/>
                <w:highlight w:val="none"/>
              </w:rPr>
            </w:pPr>
            <w:r>
              <w:rPr>
                <w:rFonts w:hint="eastAsia" w:ascii="宋体" w:hAnsi="宋体" w:cs="华文仿宋"/>
                <w:b/>
                <w:color w:val="auto"/>
                <w:szCs w:val="21"/>
                <w:highlight w:val="none"/>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rFonts w:ascii="宋体" w:hAnsi="宋体" w:cs="华文仿宋"/>
                <w:b/>
                <w:color w:val="auto"/>
                <w:szCs w:val="21"/>
                <w:highlight w:val="none"/>
              </w:rPr>
            </w:pPr>
            <w:r>
              <w:rPr>
                <w:rFonts w:hint="eastAsia" w:ascii="宋体" w:hAnsi="宋体" w:cs="华文仿宋"/>
                <w:b/>
                <w:color w:val="auto"/>
                <w:szCs w:val="21"/>
                <w:highlight w:val="none"/>
              </w:rPr>
              <w:t xml:space="preserve">功能及技术参数要求</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tLeast"/>
              <w:rPr>
                <w:rFonts w:hint="eastAsia" w:ascii="宋体" w:hAnsi="宋体" w:cs="华文仿宋"/>
                <w:b/>
                <w:color w:val="auto"/>
                <w:szCs w:val="21"/>
                <w:highlight w:val="none"/>
              </w:rPr>
            </w:pPr>
            <w:r>
              <w:rPr>
                <w:rFonts w:hint="eastAsia" w:ascii="宋体" w:hAnsi="宋体" w:cs="华文仿宋"/>
                <w:b/>
                <w:color w:val="auto"/>
                <w:szCs w:val="21"/>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240" w:lineRule="atLeast"/>
              <w:rPr>
                <w:rFonts w:ascii="宋体" w:hAnsi="宋体" w:cs="华文仿宋"/>
                <w:b/>
                <w:color w:val="auto"/>
                <w:szCs w:val="21"/>
                <w:highlight w:val="none"/>
              </w:rPr>
            </w:pPr>
            <w:r>
              <w:rPr>
                <w:rFonts w:hint="eastAsia" w:ascii="宋体" w:hAnsi="宋体" w:cs="华文仿宋"/>
                <w:b/>
                <w:color w:val="auto"/>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240" w:lineRule="atLeast"/>
              <w:rPr>
                <w:rFonts w:hint="eastAsia" w:ascii="宋体" w:hAnsi="宋体" w:cs="华文仿宋"/>
                <w:b/>
                <w:color w:val="auto"/>
                <w:szCs w:val="21"/>
                <w:highlight w:val="none"/>
              </w:rPr>
            </w:pPr>
            <w:r>
              <w:rPr>
                <w:rFonts w:hint="eastAsia" w:ascii="宋体" w:hAnsi="宋体" w:cs="华文仿宋"/>
                <w:b/>
                <w:color w:val="auto"/>
                <w:szCs w:val="21"/>
                <w:highlight w:val="none"/>
              </w:rPr>
              <w:t xml:space="preserve">免费质保期</w:t>
            </w:r>
            <w:r/>
          </w:p>
        </w:tc>
      </w:tr>
      <w:tr>
        <w:trPr>
          <w:trHeight w:val="246"/>
        </w:trPr>
        <w:tc>
          <w:tcPr>
            <w:tcBorders>
              <w:top w:val="single" w:color="auto" w:sz="4" w:space="0"/>
              <w:left w:val="single" w:color="auto" w:sz="4" w:space="0"/>
              <w:right w:val="single" w:color="auto" w:sz="4" w:space="0"/>
            </w:tcBorders>
            <w:tcW w:w="1877" w:type="dxa"/>
            <w:vAlign w:val="center"/>
            <w:vMerge w:val="restart"/>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一、离线</w:t>
            </w:r>
            <w:r>
              <w:rPr>
                <w:rFonts w:hint="eastAsia" w:ascii="宋体" w:hAnsi="宋体" w:eastAsia="宋体" w:cs="宋体"/>
                <w:color w:val="auto"/>
                <w:spacing w:val="8"/>
                <w:sz w:val="21"/>
                <w:szCs w:val="21"/>
                <w:highlight w:val="none"/>
              </w:rPr>
              <w:t xml:space="preserve">检测</w:t>
            </w:r>
            <w:r>
              <w:rPr>
                <w:rFonts w:hint="eastAsia" w:ascii="宋体" w:hAnsi="宋体" w:eastAsia="宋体" w:cs="宋体"/>
                <w:color w:val="auto"/>
                <w:spacing w:val="8"/>
                <w:sz w:val="21"/>
                <w:szCs w:val="21"/>
                <w:highlight w:val="none"/>
                <w:lang w:val="en-US" w:eastAsia="zh-CN"/>
              </w:rPr>
              <w:t xml:space="preserve">仪器</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highlight w:val="none"/>
              </w:rPr>
              <w:t xml:space="preserve">便</w:t>
            </w:r>
            <w:r>
              <w:rPr>
                <w:rFonts w:hint="eastAsia" w:ascii="宋体" w:hAnsi="宋体" w:eastAsia="宋体" w:cs="宋体"/>
                <w:color w:val="auto"/>
                <w:sz w:val="21"/>
                <w:szCs w:val="21"/>
                <w:highlight w:val="none"/>
              </w:rPr>
              <w:t xml:space="preserve">携式温湿度检测仪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温湿度记录仪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全数字紫外辐照计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全数字照度计</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restart"/>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环境调控系统</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olor w:val="auto"/>
                <w:szCs w:val="21"/>
                <w:highlight w:val="none"/>
              </w:rPr>
              <w:t xml:space="preserve">◆</w:t>
            </w:r>
            <w:r>
              <w:rPr>
                <w:rFonts w:hint="eastAsia" w:ascii="宋体" w:hAnsi="宋体" w:cs="宋体"/>
                <w:color w:val="auto"/>
                <w:sz w:val="21"/>
                <w:szCs w:val="21"/>
                <w:highlight w:val="none"/>
                <w:lang w:val="en-US" w:eastAsia="zh-CN"/>
              </w:rPr>
              <w:t xml:space="preserve">1.小</w:t>
            </w:r>
            <w:r>
              <w:rPr>
                <w:rFonts w:hint="eastAsia" w:ascii="宋体" w:hAnsi="宋体" w:eastAsia="宋体" w:cs="宋体"/>
                <w:color w:val="auto"/>
                <w:sz w:val="21"/>
                <w:szCs w:val="21"/>
                <w:highlight w:val="none"/>
                <w:lang w:val="en-US" w:eastAsia="zh-CN"/>
              </w:rPr>
              <w:t xml:space="preserve">型净化调湿机</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olor w:val="auto"/>
                <w:szCs w:val="21"/>
                <w:highlight w:val="none"/>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中型净化调湿机</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246"/>
        </w:trPr>
        <w:tc>
          <w:tcPr>
            <w:tcBorders>
              <w:left w:val="single" w:color="auto" w:sz="4" w:space="0"/>
              <w:right w:val="single" w:color="auto" w:sz="4" w:space="0"/>
            </w:tcBorders>
            <w:tcW w:w="1877" w:type="dxa"/>
            <w:vAlign w:val="center"/>
            <w:vMerge w:val="restart"/>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、文物展柜</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1.沿墙柜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米</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49.3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314"/>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2.平柜</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1年</w:t>
            </w:r>
            <w:r/>
          </w:p>
        </w:tc>
      </w:tr>
      <w:tr>
        <w:trPr>
          <w:trHeight w:val="314"/>
        </w:trPr>
        <w:tc>
          <w:tcPr>
            <w:tcBorders>
              <w:left w:val="single" w:color="auto" w:sz="4" w:space="0"/>
              <w:right w:val="single" w:color="auto" w:sz="4" w:space="0"/>
            </w:tcBorders>
            <w:tcW w:w="1877" w:type="dxa"/>
            <w:vAlign w:val="center"/>
            <w:vMerge w:val="restart"/>
            <w:textDirection w:val="lrTb"/>
            <w:noWrap w:val="false"/>
          </w:tcPr>
          <w:p>
            <w:pPr>
              <w:ind w:left="0"/>
              <w:jc w:val="left"/>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四、展厅智慧安全用电</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嵌装式开关电源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314"/>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2P智慧数字断路器（漏电断路器）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314"/>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4P智慧数字断路器（漏电断路器）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314"/>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远程智能用电监测管理系统</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314"/>
        </w:trPr>
        <w:tc>
          <w:tcPr>
            <w:tcBorders>
              <w:left w:val="single" w:color="auto" w:sz="4" w:space="0"/>
              <w:right w:val="single" w:color="auto" w:sz="4" w:space="0"/>
            </w:tcBorders>
            <w:tcW w:w="1877" w:type="dxa"/>
            <w:vAlign w:val="center"/>
            <w:vMerge w:val="continue"/>
            <w:textDirection w:val="lrTb"/>
            <w:noWrap w:val="false"/>
          </w:tcPr>
          <w:p>
            <w:pPr>
              <w:ind w:left="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numPr>
                <w:ilvl w:val="0"/>
                <w:numId w:val="0"/>
              </w:numPr>
              <w:ind w:left="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智慧电箱</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rPr>
              <w:t xml:space="preserve">见附件参数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0"/>
              </w:numPr>
              <w:ind w:left="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numPr>
                <w:ilvl w:val="0"/>
                <w:numId w:val="0"/>
              </w:numPr>
              <w:ind w:left="0"/>
              <w:jc w:val="center"/>
              <w:keepLines w:val="0"/>
              <w:keepNext w:val="0"/>
              <w:pageBreakBefore w:val="0"/>
              <w:spacing w:line="240" w:lineRule="auto"/>
              <w:widowControl w:val="off"/>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bl>
    <w:p>
      <w:pPr>
        <w:pStyle w:val="755"/>
        <w:ind w:firstLine="562"/>
        <w:jc w:val="both"/>
        <w:spacing w:beforeAutospacing="0" w:afterAutospacing="0" w:line="480" w:lineRule="exac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注：以上标注“◆”的产品为核心产品。</w:t>
      </w:r>
      <w:r/>
    </w:p>
    <w:p>
      <w:pPr>
        <w:pStyle w:val="755"/>
        <w:ind w:firstLine="562"/>
        <w:jc w:val="both"/>
        <w:spacing w:beforeAutospacing="0" w:afterAutospacing="0" w:line="48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2.2参数及技术要求</w:t>
      </w:r>
      <w:r/>
    </w:p>
    <w:tbl>
      <w:tblPr>
        <w:tblStyle w:val="734"/>
        <w:tblW w:w="9058"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904"/>
        <w:gridCol w:w="1896"/>
        <w:gridCol w:w="650"/>
        <w:gridCol w:w="650"/>
        <w:gridCol w:w="4412"/>
      </w:tblGrid>
      <w:tr>
        <w:trPr>
          <w:trHeight w:val="449"/>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shd w:val="clear" w:color="auto" w:fill="auto"/>
            <w:tcW w:w="4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r>
      <w:tr>
        <w:trPr>
          <w:trHeight w:val="360"/>
        </w:trPr>
        <w:tc>
          <w:tcPr>
            <w:gridSpan w:val="6"/>
            <w:shd w:val="clear" w:color="auto" w:fill="auto"/>
            <w:tcW w:w="905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一、离线检测</w:t>
            </w:r>
            <w:r>
              <w:rPr>
                <w:rFonts w:hint="eastAsia" w:ascii="宋体" w:hAnsi="宋体" w:eastAsia="宋体" w:cs="宋体"/>
                <w:color w:val="auto"/>
                <w:sz w:val="21"/>
                <w:szCs w:val="21"/>
                <w:highlight w:val="none"/>
                <w:lang w:val="en-US" w:eastAsia="zh-CN"/>
              </w:rPr>
              <w:t xml:space="preserve">仪器</w:t>
            </w:r>
            <w:r/>
          </w:p>
        </w:tc>
      </w:tr>
      <w:tr>
        <w:trPr>
          <w:trHeight w:val="449"/>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便携式温湿度检测仪</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1.测量范围：-20～60℃/0～100 %RH</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2.精度优于±2.5％RH；</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3.分辨率0.1％RH /0.1℃；</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4.长期稳定性＜1％RH；</w:t>
            </w:r>
            <w:r/>
          </w:p>
        </w:tc>
      </w:tr>
      <w:tr>
        <w:trPr>
          <w:trHeight w:val="1111"/>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温湿度记录仪</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1.配温湿度记录仪软件1套；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2.测量范围：-20～55℃/0～100 %RH；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3.精度优于±2％RH /0.4℃；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4.分辨率 0.1％RH /0.1℃；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5.储存容量：100 万个数据。</w:t>
            </w:r>
            <w:r/>
          </w:p>
        </w:tc>
      </w:tr>
      <w:tr>
        <w:trPr>
          <w:trHeight w:val="67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全数字紫外辐照计</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分辨率：0.001μW/cm2；</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测试波长：365nm；</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探头与检测主机分离</w:t>
            </w:r>
            <w:r>
              <w:rPr>
                <w:rFonts w:hint="eastAsia" w:ascii="宋体" w:hAnsi="宋体" w:eastAsia="宋体" w:cs="宋体"/>
                <w:color w:val="auto"/>
                <w:sz w:val="21"/>
                <w:szCs w:val="21"/>
                <w:highlight w:val="none"/>
                <w:lang w:eastAsia="zh-CN"/>
              </w:rPr>
              <w:t xml:space="preserve">。</w:t>
            </w:r>
            <w:r/>
          </w:p>
        </w:tc>
      </w:tr>
      <w:tr>
        <w:trPr>
          <w:trHeight w:val="67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全数字照度计</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numPr>
                <w:ilvl w:val="0"/>
                <w:numId w:val="4"/>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检测范围：0.1-100000lx；</w:t>
            </w:r>
            <w:r/>
          </w:p>
          <w:p>
            <w:pPr>
              <w:numPr>
                <w:ilvl w:val="0"/>
                <w:numId w:val="4"/>
              </w:num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检测精度：精度</w:t>
            </w:r>
            <w:r>
              <w:rPr>
                <w:rFonts w:hint="eastAsia" w:ascii="宋体" w:hAnsi="宋体" w:eastAsia="宋体" w:cs="宋体"/>
                <w:color w:val="auto"/>
                <w:sz w:val="21"/>
                <w:szCs w:val="21"/>
                <w:highlight w:val="none"/>
              </w:rPr>
              <w:t xml:space="preserve">优于±4％</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探头与检测主机分离</w:t>
            </w:r>
            <w:r>
              <w:rPr>
                <w:rFonts w:hint="eastAsia" w:ascii="宋体" w:hAnsi="宋体" w:eastAsia="宋体" w:cs="宋体"/>
                <w:color w:val="auto"/>
                <w:sz w:val="21"/>
                <w:szCs w:val="21"/>
                <w:highlight w:val="none"/>
                <w:lang w:eastAsia="zh-CN"/>
              </w:rPr>
              <w:t xml:space="preserve">。</w:t>
            </w:r>
            <w:r/>
          </w:p>
        </w:tc>
      </w:tr>
      <w:tr>
        <w:trPr>
          <w:trHeight w:val="320"/>
        </w:trPr>
        <w:tc>
          <w:tcPr>
            <w:gridSpan w:val="6"/>
            <w:shd w:val="clear" w:color="auto" w:fill="auto"/>
            <w:tcW w:w="905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环境调控系统</w:t>
            </w:r>
            <w:r/>
          </w:p>
        </w:tc>
      </w:tr>
      <w:tr>
        <w:trPr>
          <w:trHeight w:val="9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小型净化调湿机</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（净化调湿装置）</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1.规格</w:t>
            </w:r>
            <w:r>
              <w:rPr>
                <w:rFonts w:hint="eastAsia" w:ascii="宋体" w:hAnsi="宋体" w:eastAsia="宋体" w:cs="宋体"/>
                <w:color w:val="auto"/>
                <w:sz w:val="21"/>
                <w:szCs w:val="21"/>
                <w:highlight w:val="none"/>
              </w:rPr>
              <w:t xml:space="preserve">：≤W380*D350*H131mm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适用展柜：≤6m³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湿度范围：30%RH-70%RH</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显示精度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±3%RH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使用环境：5-40℃/</w:t>
            </w:r>
            <w:r>
              <w:rPr>
                <w:rFonts w:hint="eastAsia" w:ascii="宋体" w:hAnsi="宋体" w:eastAsia="宋体" w:cs="宋体"/>
                <w:color w:val="auto"/>
                <w:sz w:val="21"/>
                <w:szCs w:val="21"/>
                <w:highlight w:val="none"/>
                <w:lang w:eastAsia="zh-CN"/>
              </w:rPr>
              <w:t xml:space="preserve">10%—90%</w:t>
            </w:r>
            <w:r>
              <w:rPr>
                <w:rFonts w:hint="eastAsia" w:ascii="宋体" w:hAnsi="宋体" w:eastAsia="宋体" w:cs="宋体"/>
                <w:color w:val="auto"/>
                <w:sz w:val="21"/>
                <w:szCs w:val="21"/>
                <w:highlight w:val="none"/>
              </w:rPr>
              <w:t xml:space="preserve">RH</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供电电源：220VAC,50</w:t>
            </w:r>
            <w:r>
              <w:rPr>
                <w:rFonts w:hint="eastAsia" w:ascii="宋体" w:hAnsi="宋体" w:eastAsia="宋体" w:cs="宋体"/>
                <w:color w:val="auto"/>
                <w:sz w:val="21"/>
                <w:szCs w:val="21"/>
                <w:highlight w:val="none"/>
                <w:lang w:eastAsia="zh-CN"/>
              </w:rPr>
              <w:t xml:space="preserve">Hz；</w:t>
            </w:r>
            <w:r>
              <w:rPr>
                <w:rFonts w:hint="eastAsia" w:ascii="宋体" w:hAnsi="宋体" w:eastAsia="宋体" w:cs="宋体"/>
                <w:color w:val="auto"/>
                <w:sz w:val="21"/>
                <w:szCs w:val="21"/>
                <w:highlight w:val="none"/>
              </w:rPr>
              <w:t xml:space="preserve">最小功率：≤30W/H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最大功率：≤120W/H</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净化功能：空气HEPA滤网</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控制系统：应采用PLC控制系统，PLC显示界面应不少于如下功能：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设置及显示：可同步显示湿度目标设定值、展柜内实时温湿度数值、历史数据曲线显示、水位显示、工作状态显示；可设置相对湿度、设置采集频率、设置联网参数；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功能键：设置键、加水键、电源等功能键；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接口：支持无线WIFI、RS232接口（进行通信和联网功能）等；支持USB接口（具备设备温湿度历史数据读取及导出）。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噪声</w:t>
            </w:r>
            <w:r>
              <w:rPr>
                <w:rFonts w:hint="eastAsia" w:ascii="宋体" w:hAnsi="宋体" w:eastAsia="宋体" w:cs="宋体"/>
                <w:color w:val="auto"/>
                <w:sz w:val="21"/>
                <w:szCs w:val="21"/>
                <w:highlight w:val="none"/>
              </w:rPr>
              <w:t xml:space="preserve">要求：应符合中华人民共和国文物保护行业标准 《WW/T 0096—2020 馆藏文物保存环境控制　净化调湿装置》，设备的整体</w:t>
            </w:r>
            <w:r>
              <w:rPr>
                <w:rFonts w:hint="eastAsia" w:ascii="宋体" w:hAnsi="宋体" w:eastAsia="宋体" w:cs="宋体"/>
                <w:color w:val="auto"/>
                <w:sz w:val="21"/>
                <w:szCs w:val="21"/>
                <w:highlight w:val="none"/>
                <w:lang w:eastAsia="zh-CN"/>
              </w:rPr>
              <w:t xml:space="preserve">噪声</w:t>
            </w:r>
            <w:r>
              <w:rPr>
                <w:rFonts w:hint="eastAsia" w:ascii="宋体" w:hAnsi="宋体" w:eastAsia="宋体" w:cs="宋体"/>
                <w:color w:val="auto"/>
                <w:sz w:val="21"/>
                <w:szCs w:val="21"/>
                <w:highlight w:val="none"/>
              </w:rPr>
              <w:t xml:space="preserve">应低于50dB。</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排水方式：免人工排水。</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绝缘强度：应符合《中华人民共和国文物保护行业标准 馆藏文物保存环境控制 净化调湿装置》WW/T 0096-2020要求</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外壳防护等级：应符合《中华人民共和国文物保护行业标准 馆藏文物保存环境控制 净化调湿装置》WW/T 0096-2020要求，设备应符合 GB/T 4208—2017 规定的 IP20 要求直径 12mm、长 80mm 的铰接试指应与危险部件有足够的间隙，直径 12.5mm 的球形物体试具不得进入壳内。</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脉冲群特性：应符合 GB/T 17626.4-2018 中试验等级为3级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B 类判据的要求，装置试验后应能正常工作。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浪涌特性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应符合 GB/T 17626.5-2019 中试验等级为2级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B 类判据的要求，装置试验后应能正常工作。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高湿工作：应符合《中华人民共和国文物保护行业标准 馆藏文物保存环境控制 净化调湿装置》WW/T 0096-2020要求，装置在环境温度 (22±2)℃条件下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湿度从 90%±3%RH、80%±3% RH、70%±3% RH 中选择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调节目标湿度设为50%RH，稳定后工作</w:t>
            </w:r>
            <w:r>
              <w:rPr>
                <w:rFonts w:hint="eastAsia" w:ascii="宋体" w:hAnsi="宋体" w:eastAsia="宋体" w:cs="宋体"/>
                <w:color w:val="auto"/>
                <w:sz w:val="21"/>
                <w:szCs w:val="21"/>
                <w:highlight w:val="none"/>
                <w:lang w:val="en-US" w:eastAsia="zh-CN"/>
              </w:rPr>
              <w:t xml:space="preserve">4h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试验期间应符合试验后应符合调湿误差：≤±1%RH，湿度调控波动度：≤3%RH的要求。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低温工作：应符合《中华人民共和国文物保护行业标准 馆藏文物保存环境控制 净化调湿装置》WW/T 0096-2020要求，装置在环境湿度 60%±3%RH 条件下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温度从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15±2)℃中选择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调节目标湿度设为 50%RH，稳定后工作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h，试验期间应符合调湿误差：≤±1%RH；湿度调控波动度：≤3%RH 的要求。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正常工作条件：应符合《中华人民共和国文物保护行业标准 馆藏文物保存环境控制 净化调湿装置》WW/T 0096-2020要求，设备在环境温度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5℃～40℃，环境湿度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10%～90%RH，大气压力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80kPa～106kPa的条件下可正常工作。</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性能要求：在密封展柜内，5个小时内将柜内湿度从30%RH调控到70%RH，并可在5个小时内将70%RH调控到30%RH。</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工作稳定性：应符合《中华人民共和国文物保护行业标准 馆藏文物保存环境控制 净化调湿装置》WW/T 0096-2020要求，装置通电后正常工作时间不小于2d，试验期间应符合调湿误差：≤±1%RH；湿度调控波动度：≤3%RH 的要求。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18.产品性能标准：符合《中华人民共和国文物保护行业标准 馆藏文物保存环境控制 净化调湿装置》WW/T 0096-2020，具有CMA认证。</w:t>
            </w:r>
            <w:r/>
          </w:p>
        </w:tc>
      </w:tr>
      <w:tr>
        <w:trPr>
          <w:trHeight w:val="229"/>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中型净化调湿机</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（净化调湿装置）</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适用展柜：15～20</w:t>
            </w:r>
            <w:r>
              <w:rPr>
                <w:rFonts w:hint="eastAsia" w:ascii="宋体" w:hAnsi="宋体" w:eastAsia="宋体" w:cs="宋体"/>
                <w:color w:val="auto"/>
                <w:sz w:val="21"/>
                <w:szCs w:val="21"/>
                <w:highlight w:val="none"/>
                <w:lang w:val="en-US" w:eastAsia="zh-CN"/>
              </w:rPr>
              <w:t xml:space="preserve">m³</w:t>
            </w:r>
            <w:r>
              <w:rPr>
                <w:rFonts w:hint="eastAsia" w:ascii="宋体" w:hAnsi="宋体" w:eastAsia="宋体" w:cs="宋体"/>
                <w:color w:val="auto"/>
                <w:sz w:val="21"/>
                <w:szCs w:val="21"/>
                <w:highlight w:val="none"/>
              </w:rPr>
              <w:t xml:space="preserve">；湿度范围：30%～70%RH；</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调控精度：±3%RH；使用环境：5-40℃/</w:t>
            </w:r>
            <w:r>
              <w:rPr>
                <w:rFonts w:hint="eastAsia" w:ascii="宋体" w:hAnsi="宋体" w:eastAsia="宋体" w:cs="宋体"/>
                <w:color w:val="auto"/>
                <w:sz w:val="21"/>
                <w:szCs w:val="21"/>
                <w:highlight w:val="none"/>
                <w:lang w:eastAsia="zh-CN"/>
              </w:rPr>
              <w:t xml:space="preserve">10%—90%</w:t>
            </w:r>
            <w:r>
              <w:rPr>
                <w:rFonts w:hint="eastAsia" w:ascii="宋体" w:hAnsi="宋体" w:eastAsia="宋体" w:cs="宋体"/>
                <w:color w:val="auto"/>
                <w:sz w:val="21"/>
                <w:szCs w:val="21"/>
                <w:highlight w:val="none"/>
              </w:rPr>
              <w:t xml:space="preserve">RH；</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供电电源：AC 220V；耗电量：最大：</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TW"/>
              </w:rPr>
              <w:t xml:space="preserve">0</w:t>
            </w:r>
            <w:r>
              <w:rPr>
                <w:rFonts w:hint="eastAsia" w:ascii="宋体" w:hAnsi="宋体" w:eastAsia="宋体" w:cs="宋体"/>
                <w:color w:val="auto"/>
                <w:sz w:val="21"/>
                <w:szCs w:val="21"/>
                <w:highlight w:val="none"/>
              </w:rPr>
              <w:t xml:space="preserve">W</w:t>
            </w:r>
            <w:r>
              <w:rPr>
                <w:rFonts w:hint="eastAsia" w:ascii="宋体" w:hAnsi="宋体" w:eastAsia="宋体" w:cs="宋体"/>
                <w:color w:val="auto"/>
                <w:sz w:val="21"/>
                <w:szCs w:val="21"/>
                <w:highlight w:val="none"/>
                <w:lang w:eastAsia="zh-TW"/>
              </w:rPr>
              <w:t xml:space="preserve"> / </w:t>
            </w:r>
            <w:r>
              <w:rPr>
                <w:rFonts w:hint="eastAsia" w:ascii="宋体" w:hAnsi="宋体" w:eastAsia="宋体" w:cs="宋体"/>
                <w:color w:val="auto"/>
                <w:sz w:val="21"/>
                <w:szCs w:val="21"/>
                <w:highlight w:val="none"/>
              </w:rPr>
              <w:t xml:space="preserve">平均：30W；</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yellow"/>
                <w:lang w:val="en-US" w:eastAsia="zh-CN"/>
              </w:rPr>
              <w:t xml:space="preserve">4.</w:t>
            </w:r>
            <w:r>
              <w:rPr>
                <w:rFonts w:hint="eastAsia" w:ascii="宋体" w:hAnsi="宋体" w:eastAsia="宋体" w:cs="宋体"/>
                <w:color w:val="auto"/>
                <w:sz w:val="21"/>
                <w:szCs w:val="21"/>
                <w:highlight w:val="yellow"/>
              </w:rPr>
              <w:t xml:space="preserve">尺寸：</w:t>
            </w:r>
            <w:r>
              <w:rPr>
                <w:rFonts w:hint="eastAsia" w:ascii="宋体" w:hAnsi="宋体" w:eastAsia="宋体" w:cs="宋体"/>
                <w:color w:val="auto"/>
                <w:sz w:val="21"/>
                <w:szCs w:val="21"/>
                <w:highlight w:val="yellow"/>
                <w:lang w:val="en-US" w:eastAsia="zh-CN"/>
              </w:rPr>
              <w:t xml:space="preserve">约50</w:t>
            </w:r>
            <w:r>
              <w:rPr>
                <w:rFonts w:hint="eastAsia" w:ascii="宋体" w:hAnsi="宋体" w:eastAsia="宋体" w:cs="宋体"/>
                <w:color w:val="auto"/>
                <w:sz w:val="21"/>
                <w:szCs w:val="21"/>
                <w:highlight w:val="yellow"/>
              </w:rPr>
              <w:t xml:space="preserve">0*4</w:t>
            </w:r>
            <w:r>
              <w:rPr>
                <w:rFonts w:hint="eastAsia" w:ascii="宋体" w:hAnsi="宋体" w:eastAsia="宋体" w:cs="宋体"/>
                <w:color w:val="auto"/>
                <w:sz w:val="21"/>
                <w:szCs w:val="21"/>
                <w:highlight w:val="yellow"/>
                <w:lang w:val="en-US" w:eastAsia="zh-CN"/>
              </w:rPr>
              <w:t xml:space="preserve">00</w:t>
            </w:r>
            <w:r>
              <w:rPr>
                <w:rFonts w:hint="eastAsia" w:ascii="宋体" w:hAnsi="宋体" w:eastAsia="宋体" w:cs="宋体"/>
                <w:color w:val="auto"/>
                <w:sz w:val="21"/>
                <w:szCs w:val="21"/>
                <w:highlight w:val="yellow"/>
              </w:rPr>
              <w:t xml:space="preserve">*1</w:t>
            </w:r>
            <w:r>
              <w:rPr>
                <w:rFonts w:hint="eastAsia" w:ascii="宋体" w:hAnsi="宋体" w:eastAsia="宋体" w:cs="宋体"/>
                <w:color w:val="auto"/>
                <w:sz w:val="21"/>
                <w:szCs w:val="21"/>
                <w:highlight w:val="yellow"/>
                <w:lang w:val="en-US" w:eastAsia="zh-CN"/>
              </w:rPr>
              <w:t xml:space="preserve">70</w:t>
            </w:r>
            <w:r>
              <w:rPr>
                <w:rFonts w:hint="eastAsia" w:ascii="宋体" w:hAnsi="宋体" w:eastAsia="宋体" w:cs="宋体"/>
                <w:color w:val="auto"/>
                <w:sz w:val="21"/>
                <w:szCs w:val="21"/>
                <w:highlight w:val="yellow"/>
              </w:rPr>
              <w:t xml:space="preserve">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净化过滤器：二合一活性炭+HEPA滤网；</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外壳</w:t>
            </w:r>
            <w:r>
              <w:rPr>
                <w:rFonts w:hint="eastAsia" w:ascii="宋体" w:hAnsi="宋体" w:eastAsia="宋体" w:cs="宋体"/>
                <w:color w:val="auto"/>
                <w:sz w:val="21"/>
                <w:szCs w:val="21"/>
                <w:highlight w:val="none"/>
                <w:lang w:val="en-US" w:eastAsia="zh-CN"/>
              </w:rPr>
              <w:t xml:space="preserve">材质及防护等级：应采用304不锈钢，外壳表面应无明显划痕，金属部件不应有锈蚀和变形。</w:t>
            </w:r>
            <w:r>
              <w:rPr>
                <w:rFonts w:hint="eastAsia" w:ascii="宋体" w:hAnsi="宋体" w:eastAsia="宋体" w:cs="宋体"/>
                <w:color w:val="auto"/>
                <w:sz w:val="21"/>
                <w:szCs w:val="21"/>
                <w:highlight w:val="none"/>
              </w:rPr>
              <w:t xml:space="preserve">防护等级：应符合《中华人民共和国文物保护行业标准馆藏文物保存环境控制净化调湿装置》WW/T 0096-2020要求，设备应符合 GB/T 4208—2017 规定的IP20要求直径 12mm、长80mm的铰接试指应与危险部件有足够的间隙，直径12.5mm的球形物体试具不得进入壳内。</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辐射发射：应符合《中华人民共和国文物保护行业标准 馆藏文物保存环境控制 净化调湿装置》WW/T 0096-2020要求，应符合GB/T 9254.1—2021的A级限值要求，装置试验后应能正常工作。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绝缘强度：应符合《中华人民共和国文物保护行业标准 馆藏文物保存环境控制 净化调湿装置》WW/T 0096-2020要求，对于交流供电装置，输入端子与外壳之间施加 1500V、持续 1min 的交流电压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试验期间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无击穿和闪络现象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且漏电电流不大于 5mA</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正常工作条件：应符合《中华人民共和国文物保护行业标准 馆藏文物保存环境控制 净化调湿装置》WW/T 0096-2020要求，环境温度：5℃～40℃；环境湿度：10%～90%RH；大气压力：80kPa～106kPa。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控制系统：应采用PLC控制系统，PLC显示界面应不少于如下功能：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设置及显示：可同步显示湿度目标设定值、展柜内实时温湿度数值、历史数据曲线显示、水位显示、工作状态显示；可设置相对湿度、设置采集频率、设置联网参数；</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功能键：设置键、加水键、电源等功能键；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接口：支持无线WIFI、RS232接口（进行通信和联网功能）等；支持USB接口（具备设备温湿度历史数据读取及导出）。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加湿除湿性能：在温度 25℃±2℃、相对湿度 50%RH±5%RH 的条件下加湿除湿性能及连续运行6小时湿度调控波动值≤3%RH。</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低湿工作：应符合《中华人民共和国文物保护行业标准 馆藏文物保存环境控制 净化调湿装置》WW/T 0096-2020要求，装置在环境温度 （22±2）℃条件下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湿度从 10%±3%RH、20%±3% RH、30%±3% RH 中选择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调节目标湿度设为50%RH，稳定后工作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试验期间应符合试验后应符合调湿误差：≤±1%RH，湿度调控波动度：≤3%RH的要求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高温工作：应符合《中华人民共和国文物保护行业标准 馆藏文物保存环境控制 净化调湿装置》WW/T 0096-2020要求，装置在环境湿度60%±3%RH条件下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温度从（30±2）℃、（35±2）℃、（40±2）℃中选择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调节目标湿度设为50%RH，稳定后工作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试验期间应符合调湿误差：≤±1%RH；湿度调控波动度：≤3%RH 的要求</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▲12.噪声要求：应符合中华人民共和国文物保护行业标准 《WW/T 0096—2020 馆藏文物保存环境控制　净化调湿装置》，设备的整体噪声应低于50dB。</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性能要求：</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个小时内将柜内湿度从</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RH调控到70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RH，并可在</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个小时内将 70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RH 调控到</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RH</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工作稳定性：应符合《中华人民共和国文物保护行业标准 馆藏文物保存环境控制 净化调湿装置》WW/T 0096-2020要求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装置通电后正常工作时间不小于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d</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试验期间应符合调湿误差≤±1%RH</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湿度调控波动度≤3%RH的要求。</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15.产品性能标准：符合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中华人民共和国文物保护行业标准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馆藏文物</w:t>
            </w:r>
            <w:r>
              <w:rPr>
                <w:rFonts w:hint="eastAsia" w:ascii="宋体" w:hAnsi="宋体" w:eastAsia="宋体" w:cs="宋体"/>
                <w:color w:val="auto"/>
                <w:sz w:val="21"/>
                <w:szCs w:val="21"/>
                <w:highlight w:val="none"/>
                <w:lang w:val="en-US" w:eastAsia="zh-CN"/>
              </w:rPr>
              <w:t xml:space="preserve">保存环境控制 净化调湿装置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WW/T 0</w:t>
            </w:r>
            <w:r>
              <w:rPr>
                <w:rFonts w:hint="eastAsia" w:ascii="宋体" w:hAnsi="宋体" w:eastAsia="宋体" w:cs="宋体"/>
                <w:color w:val="auto"/>
                <w:sz w:val="21"/>
                <w:szCs w:val="21"/>
                <w:highlight w:val="none"/>
                <w:lang w:val="en-US" w:eastAsia="zh-CN"/>
              </w:rPr>
              <w:t xml:space="preserve">096</w:t>
            </w:r>
            <w:r>
              <w:rPr>
                <w:rFonts w:hint="eastAsia" w:ascii="宋体" w:hAnsi="宋体" w:eastAsia="宋体" w:cs="宋体"/>
                <w:color w:val="auto"/>
                <w:sz w:val="21"/>
                <w:szCs w:val="21"/>
                <w:highlight w:val="none"/>
              </w:rPr>
              <w:t xml:space="preserve">-2020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具有CMA认证。</w:t>
            </w:r>
            <w:r/>
          </w:p>
        </w:tc>
      </w:tr>
      <w:tr>
        <w:trPr>
          <w:trHeight w:val="345"/>
        </w:trPr>
        <w:tc>
          <w:tcPr>
            <w:gridSpan w:val="6"/>
            <w:shd w:val="clear" w:color="auto" w:fill="auto"/>
            <w:tcW w:w="905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三、文物</w:t>
            </w:r>
            <w:r>
              <w:rPr>
                <w:rFonts w:hint="eastAsia" w:ascii="宋体" w:hAnsi="宋体" w:eastAsia="宋体" w:cs="宋体"/>
                <w:color w:val="auto"/>
                <w:sz w:val="21"/>
                <w:szCs w:val="21"/>
                <w:highlight w:val="none"/>
                <w:lang w:val="en-US" w:eastAsia="zh-CN"/>
              </w:rPr>
              <w:t xml:space="preserve">展柜</w:t>
            </w:r>
            <w:r/>
          </w:p>
        </w:tc>
      </w:tr>
      <w:tr>
        <w:trPr>
          <w:trHeight w:val="1294"/>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904"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沿墙柜</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7050*1300*2800mm</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vMerge w:val="restart"/>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1.展柜骨架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①骨架材料：采用厚度1.5mm</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mm镀锌矩管焊接装配，(产品持久耐用、韧性强、可靠性好，镀锌方管外露表面高温无尘喷涂颜色处理，拥有表面没有桔皮，无皱纹、流痕、鼓泡和裂纹现象，锌层平滑均匀，无漏镀，附着力强，抗腐蚀能力强的特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②骨架工艺:经专业设备的切割、冲压、刨槽、折弯成型后，采用熔焊焊接等工艺；高温无尘喷涂工艺处理。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2.展柜柜体</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①柜体材料：采用厚度1.5mm</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4mm优质冷轧镀锌钢板，外表面静电喷塑处理，表面应平滑均匀，没有桔皮现象，无皱纹、流痕、鼓泡和裂纹。</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柜体工艺：柜体经过专业设备加工制作而成。(运用数控剪、刨、折、铣等工艺成形，保证尺寸精度设计要求，确保展柜重量分布的合理性，柜体表面都是经过严格的防腐、防锈、除油、铬化处理等工艺流程，确保材料表面的附着力。)</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▲③展柜铝型材：采用定制铝材，型材与玻璃连接部分的结构需符合高性能展柜的要求，抗拉强度&gt;160N/mm²,韦氏硬度&gt;8HW。</w:t>
            </w:r>
            <w:r>
              <w:rPr>
                <w:rFonts w:hint="eastAsia" w:ascii="宋体" w:hAnsi="宋体" w:eastAsia="宋体" w:cs="宋体"/>
                <w:color w:val="auto"/>
                <w:sz w:val="21"/>
                <w:szCs w:val="21"/>
                <w:highlight w:val="none"/>
                <w:lang w:val="en-US" w:eastAsia="zh-CN"/>
              </w:rPr>
              <w:t xml:space="preserve">展柜铝型材需符合GB/T5237.1-2017、GB/T 4340.1-2024《金属材料 维氏硬度试验 第1部分: 试验方法》 标准、GB/T 32660.1-2016 《金属材料 韦氏硬度试验 第1部分：试验方法》标准。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玻璃：</w:t>
            </w:r>
            <w:r/>
          </w:p>
          <w:p>
            <w:pPr>
              <w:numPr>
                <w:ilvl w:val="0"/>
                <w:numId w:val="0"/>
              </w:num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①展陈玻璃：采用6+0.76+6夹胶防爆膜、防紫外线的玻璃。展柜玻璃具有3C认证。符合馆藏、展陈专业要求。</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②玻璃耐冲击性能：通过国家安全玻璃及石英玻璃质量监督检验中心落球冲击、霰弹冲击检测。</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③玻璃耐久性：通过国家安全玻璃及石英玻璃质量监督检验中心耐热、耐湿、耐辐照测试。</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④玻璃光学性能：6+0.76+6夹层玻璃成品实测可见光透射比≧91%，实测可见光反射比≤8%，紫外线透射比≤1%。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4.密封胶条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①展柜应具有良好的密封性，</w:t>
            </w:r>
            <w:r>
              <w:rPr>
                <w:rFonts w:hint="eastAsia" w:ascii="宋体" w:hAnsi="宋体" w:eastAsia="宋体" w:cs="宋体"/>
                <w:b w:val="0"/>
                <w:bCs w:val="0"/>
                <w:color w:val="auto"/>
                <w:sz w:val="21"/>
                <w:szCs w:val="21"/>
                <w:highlight w:val="none"/>
                <w:lang w:val="en-US" w:eastAsia="zh-CN"/>
              </w:rPr>
              <w:t xml:space="preserve">密</w:t>
            </w:r>
            <w:r>
              <w:rPr>
                <w:rFonts w:hint="eastAsia" w:ascii="宋体" w:hAnsi="宋体" w:eastAsia="宋体" w:cs="宋体"/>
                <w:color w:val="auto"/>
                <w:sz w:val="21"/>
                <w:szCs w:val="21"/>
                <w:highlight w:val="none"/>
                <w:lang w:val="en-US" w:eastAsia="zh-CN"/>
              </w:rPr>
              <w:t xml:space="preserve">封要求符合GB/T36110-2018《文物展柜密封性能及检测》的展柜密封性，展柜换气率≤</w:t>
            </w:r>
            <w:r>
              <w:rPr>
                <w:rFonts w:hint="default"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vertAlign w:val="superscript"/>
                <w:lang w:val="en-US" w:eastAsia="zh-CN"/>
              </w:rPr>
              <w:t xml:space="preserve">-1</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采用“O”型有机硅胶条。展柜密封条表面要求光滑，无明显的机械杂质，性能稳定，无异味，无毛刺；拉伸强度≥7.0Mpa，断裂伸长率≥300%，撕裂强度≥15KN/M，永久变形率≤8%；密封条密封性能应符合GB/T36110-2018标准。</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rPr>
              <w:t xml:space="preserve">灯具照明：</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博物馆专业安全的展陈照明，除了视觉舒适度和环境氛围外，还应该具备合适的可调光照角度、焦距，确保文物完美真实呈现给大众面前。有些文物质地对灯光要求很高的纸质、绘画文物，必须选择防紫外线的灯具。照度可调，范围为15 lx—500 lx；色温调节范围为2500K—4000K。灯具通用电气安全应满足GB7000.1-2015、GB7000.202-2008标准。灯具需符合GB/T 23863-2024，并提供紫外线含量及光谱分布第三方检测报告。展柜中照明灯具应具有3C认证。</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②通柜灯具：洗墙灯、牛眼射灯</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③平柜灯具：门型灯、牛眼射灯</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展柜背板麻布织物：</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①采用E0级中密度纤维板，其甲醛释放量符合GB/T 39600-2021《人造板及其制品甲醛释放量分级》中E0级最高要求（≤0.050 mg/m</w:t>
            </w:r>
            <w:r>
              <w:rPr>
                <w:rFonts w:hint="eastAsia" w:ascii="宋体" w:hAnsi="宋体" w:eastAsia="宋体" w:cs="宋体"/>
                <w:color w:val="auto"/>
                <w:sz w:val="21"/>
                <w:szCs w:val="21"/>
                <w:highlight w:val="none"/>
                <w:vertAlign w:val="superscript"/>
                <w:lang w:val="en-US" w:eastAsia="zh-CN"/>
              </w:rPr>
              <w:t xml:space="preserve">3</w:t>
            </w:r>
            <w:r>
              <w:rPr>
                <w:rFonts w:hint="eastAsia" w:ascii="宋体" w:hAnsi="宋体" w:eastAsia="宋体" w:cs="宋体"/>
                <w:color w:val="auto"/>
                <w:sz w:val="21"/>
                <w:szCs w:val="21"/>
                <w:highlight w:val="none"/>
                <w:lang w:val="en-US" w:eastAsia="zh-CN"/>
              </w:rPr>
              <w:t xml:space="preserve">）(环保材料，不含甲醛等有害物质，具有防潮、防虫、防霉特性，符合绿色环保标准。</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②背板与托台外包材料采用环保阻燃棉布，具有阻燃性能，而且易于维护。</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③展柜内所使用的织物为100%环保纯天然织物，展柜内纺织物符合GB/18401-2010《国家纺织产品基本安全技术规范》中最高类别（婴幼儿用品A类）要求。</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rPr>
              <w:t xml:space="preserve">开启方式：</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①沿墙通柜开启方式为电动推出，手动平移；平柜开启方式为电动升降开启；其开启方式保证柜内密封性能。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②展柜柜门在关闭情况下，具有防尘、防虫、防烟，高度密闭性能。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③展柜不同材质收口连接处选用专业密封胶条、隔垫等做好密封处理，且密封材料达到国家相关环保标准，不含任何酸性物质，符合文物保护环境要求，密封性能满足GB/T36110-2018标准。</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rPr>
              <w:t xml:space="preserve">底座：</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①水平调节支撑脚。</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②采用60*150水平支撑脚：当地面不是完全水平时候，可微调水平值，以达到展柜整体水平平整度，基座承载能力≥150kg/m2。</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rPr>
              <w:t xml:space="preserve">锁具：</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①锁具安装应按照一柜一锁及编号类型分开管理，一锁一柜不互开保证文物安全性能，符合GB 21556—2008 标准（以上要求提供承诺函，承诺函格式自拟。）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锁具安装位置应具有隐蔽性、防盗性高，不易被人发觉，具有防破坏能力。展柜使用博物馆专用保安性能锁具，锁体及钥匙材料为超硬度的耐磨、防锈材料。展柜应符合行业最新标准。展柜使用的材料不含任何酸性物质，无挥发有害气体。</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③根据需求，展柜内部可加装：防盗报警系统、报警系统、防震底盘、恒温恒湿系统(预留安装位置),提升馆藏文物防护能力。</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10.展柜满足展陈中展板悬挂、镶嵌等展陈要求，展柜内要有展台、展托等展陈附件。</w:t>
            </w:r>
            <w:r/>
          </w:p>
          <w:p>
            <w:pPr>
              <w:numPr>
                <w:ilvl w:val="0"/>
                <w:numId w:val="0"/>
              </w:numP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▲11.展柜内空气要求：所有内部材料（板材、纺织品、粘合剂等）经整合测试，确保展柜在密闭状态下，其内部污染物浓度限值应符合WW/T 0016.1-2023馆藏文物保存环境质量第1部分：指标要求，甲醛≤80μg/m</w:t>
            </w:r>
            <w:r>
              <w:rPr>
                <w:rFonts w:hint="eastAsia" w:ascii="宋体" w:hAnsi="宋体" w:eastAsia="宋体" w:cs="宋体"/>
                <w:color w:val="auto"/>
                <w:sz w:val="21"/>
                <w:szCs w:val="21"/>
                <w:highlight w:val="none"/>
                <w:vertAlign w:val="superscript"/>
                <w:lang w:val="en-US" w:eastAsia="zh-CN"/>
              </w:rPr>
              <w:t xml:space="preserve">3</w:t>
            </w:r>
            <w:r>
              <w:rPr>
                <w:rFonts w:hint="eastAsia" w:ascii="宋体" w:hAnsi="宋体" w:eastAsia="宋体" w:cs="宋体"/>
                <w:color w:val="auto"/>
                <w:sz w:val="21"/>
                <w:szCs w:val="21"/>
                <w:highlight w:val="none"/>
                <w:lang w:val="en-US" w:eastAsia="zh-CN"/>
              </w:rPr>
              <w:t xml:space="preserve">，甲酸≤50μg/m</w:t>
            </w:r>
            <w:r>
              <w:rPr>
                <w:rFonts w:hint="eastAsia" w:ascii="宋体" w:hAnsi="宋体" w:eastAsia="宋体" w:cs="宋体"/>
                <w:color w:val="auto"/>
                <w:sz w:val="21"/>
                <w:szCs w:val="21"/>
                <w:highlight w:val="none"/>
                <w:vertAlign w:val="superscript"/>
                <w:lang w:val="en-US" w:eastAsia="zh-CN"/>
              </w:rPr>
              <w:t xml:space="preserve">3</w:t>
            </w:r>
            <w:r>
              <w:rPr>
                <w:rFonts w:hint="eastAsia" w:ascii="宋体" w:hAnsi="宋体" w:eastAsia="宋体" w:cs="宋体"/>
                <w:color w:val="auto"/>
                <w:sz w:val="21"/>
                <w:szCs w:val="21"/>
                <w:highlight w:val="none"/>
                <w:lang w:val="en-US" w:eastAsia="zh-CN"/>
              </w:rPr>
              <w:t xml:space="preserve">，乙酸≤100μg/m</w:t>
            </w:r>
            <w:r>
              <w:rPr>
                <w:rFonts w:hint="eastAsia" w:ascii="宋体" w:hAnsi="宋体" w:eastAsia="宋体" w:cs="宋体"/>
                <w:color w:val="auto"/>
                <w:sz w:val="21"/>
                <w:szCs w:val="21"/>
                <w:highlight w:val="none"/>
                <w:vertAlign w:val="superscript"/>
                <w:lang w:val="en-US" w:eastAsia="zh-CN"/>
              </w:rPr>
              <w:t xml:space="preserve">3</w:t>
            </w:r>
            <w:r>
              <w:rPr>
                <w:rFonts w:hint="eastAsia" w:ascii="宋体" w:hAnsi="宋体" w:eastAsia="宋体" w:cs="宋体"/>
                <w:color w:val="auto"/>
                <w:sz w:val="21"/>
                <w:szCs w:val="21"/>
                <w:highlight w:val="none"/>
                <w:lang w:val="en-US" w:eastAsia="zh-CN"/>
              </w:rPr>
              <w:t xml:space="preserve">，挥发性有机化合物≤300 10</w:t>
            </w:r>
            <w:r>
              <w:rPr>
                <w:rFonts w:hint="eastAsia" w:ascii="宋体" w:hAnsi="宋体" w:eastAsia="宋体" w:cs="宋体"/>
                <w:color w:val="auto"/>
                <w:sz w:val="21"/>
                <w:szCs w:val="21"/>
                <w:highlight w:val="none"/>
                <w:vertAlign w:val="superscript"/>
                <w:lang w:val="en-US" w:eastAsia="zh-CN"/>
              </w:rPr>
              <w:t xml:space="preserve">-9</w:t>
            </w:r>
            <w:r>
              <w:rPr>
                <w:rFonts w:hint="eastAsia" w:ascii="宋体" w:hAnsi="宋体" w:eastAsia="宋体" w:cs="宋体"/>
                <w:color w:val="auto"/>
                <w:sz w:val="21"/>
                <w:szCs w:val="21"/>
                <w:highlight w:val="none"/>
                <w:vertAlign w:val="baseline"/>
                <w:lang w:val="en-US" w:eastAsia="zh-CN"/>
              </w:rPr>
              <w:t xml:space="preserve">（十亿分比体积浓度）</w:t>
            </w:r>
            <w:r>
              <w:rPr>
                <w:rFonts w:hint="eastAsia" w:ascii="宋体" w:hAnsi="宋体" w:eastAsia="宋体" w:cs="宋体"/>
                <w:color w:val="auto"/>
                <w:sz w:val="21"/>
                <w:szCs w:val="21"/>
                <w:highlight w:val="none"/>
                <w:vertAlign w:val="superscript"/>
                <w:lang w:val="en-US" w:eastAsia="zh-CN"/>
              </w:rPr>
              <w:t xml:space="preserve">b</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投标时提供第三方检测机构出具的加盖CMA标注的检测报告</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w:t>
            </w:r>
            <w:r/>
          </w:p>
        </w:tc>
      </w:tr>
      <w:tr>
        <w:trPr>
          <w:trHeight w:val="1294"/>
        </w:trPr>
        <w:tc>
          <w:tcPr>
            <w:shd w:val="clear" w:color="auto" w:fill="auto"/>
            <w:tcW w:w="546" w:type="dxa"/>
            <w:vAlign w:val="center"/>
            <w:textDirection w:val="lrTb"/>
            <w:noWrap w:val="false"/>
          </w:tcPr>
          <w:p>
            <w:pPr>
              <w:jc w:val="center"/>
              <w:rPr>
                <w:rFonts w:hint="eastAsia" w:eastAsiaTheme="minorEastAsia"/>
                <w:color w:val="auto"/>
                <w:highlight w:val="none"/>
                <w:lang w:val="en-US" w:eastAsia="zh-CN"/>
              </w:rPr>
            </w:pPr>
            <w:r>
              <w:rPr>
                <w:rFonts w:hint="eastAsia"/>
                <w:color w:val="auto"/>
                <w:highlight w:val="none"/>
                <w:lang w:val="en-US" w:eastAsia="zh-CN"/>
              </w:rPr>
              <w:t xml:space="preserve">2</w:t>
            </w:r>
            <w:r/>
          </w:p>
        </w:tc>
        <w:tc>
          <w:tcPr>
            <w:shd w:val="clear" w:color="auto" w:fill="auto"/>
            <w:tcW w:w="904"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6100*1300*2800mm</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shd w:val="clear" w:color="auto" w:fill="auto"/>
            <w:tcW w:w="546"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904"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5450*1300*2800mm</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4412"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shd w:val="clear" w:color="auto" w:fill="auto"/>
            <w:tcW w:w="546"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904"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7100*1300*2800mm</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4412"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shd w:val="clear" w:color="auto" w:fill="auto"/>
            <w:tcW w:w="546"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904"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4500*1300*2800mm</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4412"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shd w:val="clear" w:color="auto" w:fill="auto"/>
            <w:tcW w:w="546"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904"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2000*1300*2800mm</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vMerge w:val="continue"/>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9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9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平面柜</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1896"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2000*800*1100mm</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4412" w:type="dxa"/>
            <w:vAlign w:val="center"/>
            <w:vMerge w:val="continue"/>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229"/>
        </w:trPr>
        <w:tc>
          <w:tcPr>
            <w:gridSpan w:val="6"/>
            <w:shd w:val="clear" w:color="auto" w:fill="auto"/>
            <w:tcW w:w="905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四、展厅智慧安全用电</w:t>
            </w:r>
            <w:r/>
          </w:p>
        </w:tc>
      </w:tr>
      <w:tr>
        <w:trPr>
          <w:trHeight w:val="9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嵌装式开关电源</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1.输入电压：AC100V-250V；输入电流：100mA；额定输出电压：DC12V；额定输出电流MAX DC2A；防雷击浪涌保护最大泄放电流：20kA；工作环境温度：-20℃~70℃。</w:t>
            </w:r>
            <w:r/>
          </w:p>
        </w:tc>
      </w:tr>
      <w:tr>
        <w:trPr>
          <w:trHeight w:val="558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2P智慧数字断路器（漏电断路器）</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1.额定电流：32A；带漏电保护，功率因数检测，额定电压AC230V；</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2.分断能力Icn：≥10000A；</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3.电气寿命：操作循环次数20000次（每个操作循环包括一次闭合操作以及接着的一次断开操作）；机械寿命：操作循环次数（每个操作循环包括一次闭合操作以及接着的一次断开操作）30000次；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支持电压补偿告警：设备加载电压超过或低于设定值时，设备触发补偿告警，该告警不断开断路器；支持电流补偿告警：设备加载电流超过或低于设定值时，设备触发补偿告警，该告警不断开断路器；支持智能开启及关闭：设备具备安全保护功能，除国标强制要求保护外，其余保护功能均可关闭，也可设置仅报警不保护；</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5.过压（欠压）保护：输入电压超过263V，10S内断电保护，超过250V过压预警，低于190V欠压预警；漏电保护功能自动检测：可设置漏电保护功能每月自动检测（仅限带漏保断路器）；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6.自动送电：漏电检测断电5s后自动送电（仅限带漏保断路器）；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7.检修功能：设备在手动分闸后，无需进行“加锁”设置，设备无法通过远程控制进行合闸操作；</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8.具有远程/本地断路器锁定功能：断路器无论是远程还是本地执行了断路器锁定程序，本地及远程均无法合闸；</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9.外壳防火等级：智能断路器外壳采用PA66+玻璃纤维等高规格防火阻燃材料、防火等级达到V0级。                                                                                                                </w:t>
            </w:r>
            <w:r/>
          </w:p>
        </w:tc>
      </w:tr>
      <w:tr>
        <w:trPr>
          <w:trHeight w:val="6214"/>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4P智慧数字断路器（漏电断路器）</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1.额定电流：80A；带漏电检测，便于用电能耗分析，功率因数检测；额定电压：AC380V；</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2.分断能力Icn：≥10000A；</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3.电气寿命：操作循环次数20000次（每个操作循环包括一次闭合操作以及接着的一次断开操作）；机械寿命：操作循环次数（每个操作循环包括一次闭合操作以及接着的一次断开操作）30000次；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4.支持电压补偿告警：设备加载电压超过或低于设定值时，设备触发补偿告警，该告警不断开断路器；支持电流补偿告警：设备加载电流超过或低于设定值时，设备触发补偿告警，该告警不断开断路器；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5.支持智能开启及关闭：设备具备安全保护功能，除国标强制要求保护外，其余保护功能均可关闭，也可设置仅报警不保护；</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6.检修功能：设备在手动分闸后，无需进行“加锁”设置，设备无法通过远程控制进行合闸操作；</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7.具有远程/本地断路器锁定功能：断路器无论是远程还是本地执行了断路器锁定程序，本地及远程均无法合闸；</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8.外壳防火等级：智能断路器外壳采用PA66+玻璃纤维等高规格防火阻燃材料、防火等级达到V0级；</w:t>
            </w:r>
            <w:r/>
          </w:p>
        </w:tc>
      </w:tr>
      <w:tr>
        <w:trPr>
          <w:trHeight w:val="3286"/>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远程智能用电监测管理系统</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1.支持多种客户端应用，包含Web端、手机APP（IOS、Android）。</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2.系统功能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2.1.具备Web端的平台显示、具备实时数据查看、远程控制、报警弹窗提示、参数设置修改等；</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2.2.苹果和安卓APP，具备实时数据查看、远程控制、定时控制、功率最大设定、报警弹窗提示、电量计量及漏电自检等功能；</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2.3.并发用户数与系统性能：性能设计满足项目针对该系统在用户数，响应速度，系统在线并发等性能的需要：</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（1）平均响应速度：全系统按照在标准软硬件环境下允许至少200用户操作，50人并发访问流量；</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（2）业务操作交易平均响应时间小于3秒钟；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（3）复杂查询类平均响应时间小于5秒；</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（4）统计分析类平均响应时间小于1分钟；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（5）容量和吞吐量：系统应支持每个子系统至少50用户的同时并发；</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2.4.需稳定、可靠、安全、实用。信息传递灵活快捷，人机界面友好，图表生成灵活美观，输出、输入方便，检索、查询简单快捷。</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3.安全与身份认证</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3.1.文件存取和系统功能要进行权限控制；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3.2.提供从系统级安全到应用层安全的各级防护措施，最大限度地防止非法入侵和操作，保证数据安全；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3.3.系统必须针对不同岗位实现相关业务内容的权限管理，包括数据的收集、修改、查询、统计等操作；</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3.4.具备用户行为的安全审计和防抵赖能力，提供帮助系统安全管理的安全报表。</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4.系统稳定性</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4.1.避免由于单点故障或系统的升级而影响整个系统的正常运行；</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4.2.支持7*24小时不间断服务。单次系统故障响应时间，严重故障不得超过1小时，一般故障不超过2小时；</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4.3.满足网络不稳定、后台压力较大等特殊情况下，保证软件正常运行。因软件系统自身原因宕机次数每年需少于2次；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4.4.在系统发生失效的情况下，系统应容易重建规定的性能级别并恢复受直接影响的数据；</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4.5.当系统在高负荷运转或出现故障，进入异步工作模式时，必须采用可靠的机制，保证数据的零丢失。</w:t>
            </w:r>
            <w:r/>
          </w:p>
        </w:tc>
      </w:tr>
      <w:tr>
        <w:trPr>
          <w:trHeight w:val="90"/>
        </w:trPr>
        <w:tc>
          <w:tcPr>
            <w:shd w:val="clear" w:color="auto" w:fill="auto"/>
            <w:tcW w:w="546"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gridSpan w:val="2"/>
            <w:shd w:val="clear" w:color="auto" w:fill="auto"/>
            <w:tcW w:w="28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智慧电箱</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c>
          <w:tcPr>
            <w:shd w:val="clear" w:color="auto" w:fill="auto"/>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4412"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rPr>
              <w:t xml:space="preserve">适用于室内，交流 50Hz，额定电压 220V 的建筑物及类似场所的工业、商业、民用建筑及基础设施等领域低压终端配电提供安全用电保护和用电数据监管。系统配置：服务器系统配置：四核处理器，2GB内存，32G存储；人机交互系统配置：10寸1280 x 800分辨率触控屏；配置数据库系统；外接端口配置：RJ45、wifi、4G；采用一体式设计终端，实现监测及控制网内电气状况，监测设备不低于3000台，可在局域网情况下独立运行；</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警铃报警：设备具备警铃报警功能，当用电回路出现警情时，设备可本地弹窗告警信息并发出警铃报警，同时可设定为语音报警通知，语音报警包含报警设备ID、报警设备回路、报警时间、报警内容；提供具有CMA或CNAS标识的第三方检测报告；</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▲3.断电保持：屏幕具备设备锁定功能，点击锁定按钮后，在不解除锁定程序的情况下，无论通过远程指令控制，还是推动手柄，均无法对开关合闸；提供具有CMA或CNAS标识的第三方检测报告。</w:t>
            </w:r>
            <w:r/>
          </w:p>
        </w:tc>
      </w:tr>
    </w:tbl>
    <w:p>
      <w:pPr>
        <w:pStyle w:val="755"/>
        <w:ind w:firstLine="480"/>
        <w:jc w:val="both"/>
        <w:spacing w:beforeAutospacing="0" w:afterAutospacing="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rPr>
          <w:rFonts w:hint="default" w:ascii="宋体" w:hAnsi="宋体" w:eastAsia="宋体" w:cs="宋体"/>
          <w:color w:val="auto"/>
          <w:highlight w:val="none"/>
          <w:lang w:val="en-US" w:eastAsia="zh-CN"/>
        </w:rPr>
        <w:t xml:space="preserve">以上技术要求必须如实依次逐条在“投标产品功能及技术参数偏离表”中填写偏离情况，缺项视为负偏离。中标后如发现虚假应标行为，采购人将取消其中标资格，并作为不良行为予以记载。给采购人造成损失的应予以赔偿，同时承担相应的法律责任。</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履约期限</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lang w:val="en-US" w:eastAsia="zh-CN"/>
        </w:rPr>
        <w:t xml:space="preserve">90</w:t>
      </w:r>
      <w:r>
        <w:rPr>
          <w:rFonts w:hint="eastAsia" w:ascii="宋体" w:hAnsi="宋体" w:eastAsia="宋体" w:cs="宋体"/>
          <w:color w:val="auto"/>
          <w:highlight w:val="none"/>
        </w:rPr>
        <w:t xml:space="preserve">日内货物全部送达甲方指定地点，并安装调试完毕。</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（2）乙方在交货时，货物的品牌型号必须与投标报价单保持一致，必须保证品牌正宗，原始包装并附有合格证、产品安装使用说明书等相关资料。</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履约地点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东台市博物馆</w:t>
      </w:r>
      <w:r>
        <w:rPr>
          <w:rFonts w:hint="eastAsia" w:ascii="宋体" w:hAnsi="宋体" w:eastAsia="宋体" w:cs="宋体"/>
          <w:color w:val="auto"/>
          <w:highlight w:val="none"/>
        </w:rPr>
        <w:t xml:space="preserve">（采购人指定地点）。</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售后服务</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（1）本项目的质量保证期为</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年。在质保期内所供货物发生故障时，中标人须在</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小时内到场维修，无法修复时，须在</w:t>
      </w:r>
      <w:r>
        <w:rPr>
          <w:rFonts w:hint="eastAsia" w:ascii="宋体" w:hAnsi="宋体" w:eastAsia="宋体" w:cs="宋体"/>
          <w:color w:val="auto"/>
          <w:highlight w:val="none"/>
          <w:lang w:val="en-US" w:eastAsia="zh-CN"/>
        </w:rPr>
        <w:t xml:space="preserve">48</w:t>
      </w:r>
      <w:r>
        <w:rPr>
          <w:rFonts w:hint="eastAsia" w:ascii="宋体" w:hAnsi="宋体" w:eastAsia="宋体" w:cs="宋体"/>
          <w:color w:val="auto"/>
          <w:highlight w:val="none"/>
        </w:rPr>
        <w:t xml:space="preserve">小时内提供备用产品，否则甲方有权自行处理，其费用在乙方合同余款中扣除。服务期内提供所有软件产品的免费升级服务和教学应用技术服务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（2）所有货物免费送达甲方指定地点，货物的托运、安装及预装常用软件（如需要）等，均不需另行付费。</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（3）根据厂方的规定对所供货物进行保修，在质量保证期内，乙方不得收取任何费用；质量保证期满后，乙方对用户货物的维修，只收成本费，并提供</w:t>
      </w:r>
      <w:r>
        <w:rPr>
          <w:rFonts w:hint="eastAsia" w:ascii="宋体" w:hAnsi="宋体" w:eastAsia="宋体" w:cs="宋体"/>
          <w:color w:val="auto"/>
          <w:highlight w:val="none"/>
          <w:lang w:eastAsia="zh-CN"/>
        </w:rPr>
        <w:t xml:space="preserve">终身</w:t>
      </w:r>
      <w:r>
        <w:rPr>
          <w:rFonts w:hint="eastAsia" w:ascii="宋体" w:hAnsi="宋体" w:eastAsia="宋体" w:cs="宋体"/>
          <w:color w:val="auto"/>
          <w:highlight w:val="none"/>
        </w:rPr>
        <w:t xml:space="preserve">技术服务。</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（4）如甲方使用不当造成货物的毁损，乙方有义务协助维修。</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lang w:val="en-US" w:eastAsia="zh-CN"/>
        </w:rPr>
        <w:t xml:space="preserve">质量要求</w:t>
      </w:r>
      <w:r/>
    </w:p>
    <w:p>
      <w:pPr>
        <w:pStyle w:val="755"/>
        <w:ind w:firstLine="480"/>
        <w:jc w:val="both"/>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中标单位所供产品须为全新未使用过的原装合格正品，安装质量应符合各项技术标准和国家强制性标准，并通过采购人组织的专家验收，同时满足招标人的使用需求。</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本项目不接受进口产品投标。</w:t>
      </w:r>
      <w:r/>
    </w:p>
    <w:p>
      <w:pPr>
        <w:pStyle w:val="755"/>
        <w:ind w:firstLine="562"/>
        <w:jc w:val="both"/>
        <w:spacing w:beforeAutospacing="0" w:afterAutospacing="0"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采购标的对应的中小企业划分标准所属行业一览表</w:t>
      </w:r>
      <w:r/>
    </w:p>
    <w:tbl>
      <w:tblPr>
        <w:tblStyle w:val="734"/>
        <w:tblW w:w="805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3605"/>
        <w:gridCol w:w="3704"/>
      </w:tblGrid>
      <w:tr>
        <w:trPr>
          <w:jc w:val="center"/>
          <w:tblCellSpacing w:w="0" w:type="dxa"/>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采购标的</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对应中小企业划分标准所属行业</w:t>
            </w:r>
            <w:r/>
          </w:p>
        </w:tc>
      </w:tr>
      <w:tr>
        <w:trPr>
          <w:jc w:val="center"/>
          <w:tblCellSpacing w:w="0" w:type="dxa"/>
          <w:trHeight w:val="291"/>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便携式温湿度检测仪</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35"/>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温湿度记录仪</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全数字紫外辐照计</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全数字照度计</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小型净化调湿机</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中型净化调湿机</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沿墙柜</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平柜</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嵌装式开关电源</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2P智慧数字断路器（漏电断路器）</w:t>
            </w:r>
            <w:r/>
          </w:p>
        </w:tc>
        <w:tc>
          <w:tcPr>
            <w:shd w:val="clear" w:color="auto" w:fill="auto"/>
            <w:tcW w:w="3704"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4P智慧数字断路器（漏电断路器）</w:t>
            </w:r>
            <w:r/>
          </w:p>
        </w:tc>
        <w:tc>
          <w:tcPr>
            <w:shd w:val="clear" w:color="auto" w:fill="auto"/>
            <w:tcW w:w="3704" w:type="dxa"/>
            <w:vAlign w:val="center"/>
            <w:textDirection w:val="lrTb"/>
            <w:noWrap w:val="false"/>
          </w:tcPr>
          <w:p>
            <w:pPr>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r>
        <w:trPr>
          <w:jc w:val="center"/>
          <w:tblCellSpacing w:w="0" w:type="dxa"/>
          <w:trHeight w:val="222"/>
        </w:trPr>
        <w:tc>
          <w:tcPr>
            <w:shd w:val="clear" w:color="auto" w:fill="auto"/>
            <w:tcW w:w="743" w:type="dxa"/>
            <w:vAlign w:val="center"/>
            <w:textDirection w:val="lrTb"/>
            <w:noWrap w:val="false"/>
          </w:tcPr>
          <w:p>
            <w:pPr>
              <w:pStyle w:val="755"/>
              <w:jc w:val="center"/>
              <w:spacing w:beforeAutospacing="0" w:afterAutospacing="0" w:line="0" w:lineRule="atLeas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shd w:val="clear" w:color="auto" w:fill="auto"/>
            <w:tcW w:w="3605" w:type="dxa"/>
            <w:vAlign w:val="center"/>
            <w:textDirection w:val="lrTb"/>
            <w:noWrap w:val="false"/>
          </w:tcPr>
          <w:p>
            <w:pPr>
              <w:pStyle w:val="755"/>
              <w:jc w:val="center"/>
              <w:spacing w:beforeAutospacing="0" w:afterAutospacing="0" w:line="0" w:lineRule="atLeas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智慧电箱</w:t>
            </w:r>
            <w:r/>
          </w:p>
        </w:tc>
        <w:tc>
          <w:tcPr>
            <w:shd w:val="clear" w:color="auto" w:fill="auto"/>
            <w:tcW w:w="3704" w:type="dxa"/>
            <w:vAlign w:val="center"/>
            <w:textDirection w:val="lrTb"/>
            <w:noWrap w:val="false"/>
          </w:tcPr>
          <w:p>
            <w:pPr>
              <w:jc w:val="center"/>
              <w:spacing w:beforeAutospacing="0" w:afterAutospacing="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工业</w:t>
            </w:r>
            <w:r/>
          </w:p>
        </w:tc>
      </w:tr>
    </w:tbl>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55"/>
        <w:jc w:val="both"/>
        <w:spacing w:beforeAutospacing="0" w:afterAutospacing="0"/>
        <w:rPr>
          <w:color w:val="auto"/>
          <w:highlight w:val="none"/>
        </w:rPr>
      </w:pPr>
      <w:r>
        <w:rPr>
          <w:color w:val="auto"/>
          <w:highlight w:val="none"/>
        </w:rPr>
        <w:t xml:space="preserve"> </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名中标候选人。</w:t>
      </w:r>
      <w:r/>
    </w:p>
    <w:p>
      <w:pPr>
        <w:pStyle w:val="755"/>
        <w:ind w:firstLine="482"/>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917"/>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755"/>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755"/>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755"/>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755"/>
        <w:ind w:firstLine="48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7.采购本国产品的支持政策</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7.3 供应商需按照招标文件的要求提供《关于符合本国产品标准的声明函》（以下简称《声明函》），如不提供将不享受本国产品价格评审优惠。</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5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734"/>
        <w:tblW w:w="83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0"/>
        <w:gridCol w:w="1091"/>
        <w:gridCol w:w="6143"/>
        <w:gridCol w:w="551"/>
      </w:tblGrid>
      <w:tr>
        <w:trPr>
          <w:jc w:val="center"/>
          <w:trHeight w:val="559"/>
        </w:trPr>
        <w:tc>
          <w:tcPr>
            <w:tcW w:w="570" w:type="dxa"/>
            <w:vAlign w:val="center"/>
            <w:textDirection w:val="lrTb"/>
            <w:noWrap w:val="false"/>
          </w:tcPr>
          <w:p>
            <w:pPr>
              <w:jc w:val="center"/>
              <w:rPr>
                <w:rFonts w:hint="eastAsia"/>
                <w:b/>
                <w:bCs/>
                <w:color w:val="auto"/>
                <w:highlight w:val="none"/>
              </w:rPr>
            </w:pPr>
            <w:r>
              <w:rPr>
                <w:rFonts w:hint="eastAsia"/>
                <w:b/>
                <w:bCs/>
                <w:color w:val="auto"/>
                <w:highlight w:val="none"/>
              </w:rPr>
              <w:t xml:space="preserve">序号</w:t>
            </w:r>
            <w:r/>
          </w:p>
        </w:tc>
        <w:tc>
          <w:tcPr>
            <w:tcW w:w="1091" w:type="dxa"/>
            <w:vAlign w:val="center"/>
            <w:textDirection w:val="lrTb"/>
            <w:noWrap w:val="false"/>
          </w:tcPr>
          <w:p>
            <w:pPr>
              <w:jc w:val="center"/>
              <w:rPr>
                <w:rFonts w:hint="eastAsia"/>
                <w:b/>
                <w:bCs/>
                <w:color w:val="auto"/>
                <w:highlight w:val="none"/>
              </w:rPr>
            </w:pPr>
            <w:r>
              <w:rPr>
                <w:rFonts w:hint="eastAsia"/>
                <w:b/>
                <w:bCs/>
                <w:color w:val="auto"/>
                <w:highlight w:val="none"/>
              </w:rPr>
              <w:t xml:space="preserve">评审因素</w:t>
            </w:r>
            <w:r/>
          </w:p>
        </w:tc>
        <w:tc>
          <w:tcPr>
            <w:tcW w:w="6143" w:type="dxa"/>
            <w:vAlign w:val="center"/>
            <w:textDirection w:val="lrTb"/>
            <w:noWrap w:val="false"/>
          </w:tcPr>
          <w:p>
            <w:pPr>
              <w:jc w:val="center"/>
              <w:rPr>
                <w:rFonts w:hint="eastAsia"/>
                <w:b/>
                <w:bCs/>
                <w:color w:val="auto"/>
                <w:highlight w:val="none"/>
              </w:rPr>
            </w:pPr>
            <w:r>
              <w:rPr>
                <w:rFonts w:hint="eastAsia"/>
                <w:b/>
                <w:bCs/>
                <w:color w:val="auto"/>
                <w:highlight w:val="none"/>
              </w:rPr>
              <w:t xml:space="preserve">评审细则</w:t>
            </w:r>
            <w:r/>
          </w:p>
        </w:tc>
        <w:tc>
          <w:tcPr>
            <w:tcW w:w="551" w:type="dxa"/>
            <w:vAlign w:val="center"/>
            <w:textDirection w:val="lrTb"/>
            <w:noWrap w:val="false"/>
          </w:tcPr>
          <w:p>
            <w:pPr>
              <w:jc w:val="center"/>
              <w:rPr>
                <w:rFonts w:hint="eastAsia"/>
                <w:b/>
                <w:bCs/>
                <w:color w:val="auto"/>
                <w:highlight w:val="none"/>
              </w:rPr>
            </w:pPr>
            <w:r>
              <w:rPr>
                <w:rFonts w:hint="eastAsia"/>
                <w:b/>
                <w:bCs/>
                <w:color w:val="auto"/>
                <w:highlight w:val="none"/>
              </w:rPr>
              <w:t xml:space="preserve">分值</w:t>
            </w:r>
            <w:r/>
          </w:p>
        </w:tc>
      </w:tr>
      <w:tr>
        <w:trPr>
          <w:jc w:val="center"/>
          <w:trHeight w:val="1142"/>
        </w:trPr>
        <w:tc>
          <w:tcPr>
            <w:tcW w:w="570" w:type="dxa"/>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tcW w:w="1091" w:type="dxa"/>
            <w:vAlign w:val="center"/>
            <w:textDirection w:val="lrTb"/>
            <w:noWrap w:val="false"/>
          </w:tcPr>
          <w:p>
            <w:pPr>
              <w:jc w:val="center"/>
              <w:rPr>
                <w:rFonts w:hint="eastAsia"/>
                <w:color w:val="auto"/>
                <w:highlight w:val="none"/>
              </w:rPr>
            </w:pPr>
            <w:r>
              <w:rPr>
                <w:rFonts w:hint="eastAsia"/>
                <w:color w:val="auto"/>
                <w:highlight w:val="none"/>
              </w:rPr>
              <w:t xml:space="preserve">价格分</w:t>
            </w:r>
            <w:r/>
          </w:p>
        </w:tc>
        <w:tc>
          <w:tcPr>
            <w:tcW w:w="6143" w:type="dxa"/>
            <w:vAlign w:val="center"/>
            <w:textDirection w:val="lrTb"/>
            <w:noWrap w:val="false"/>
          </w:tcPr>
          <w:p>
            <w:pPr>
              <w:ind w:firstLine="420"/>
              <w:rPr>
                <w:rFonts w:hint="eastAsia"/>
                <w:color w:val="auto"/>
                <w:highlight w:val="none"/>
                <w:lang w:eastAsia="zh-CN"/>
              </w:rPr>
            </w:pPr>
            <w:r>
              <w:rPr>
                <w:rFonts w:hint="eastAsia"/>
                <w:color w:val="auto"/>
                <w:highlight w:val="none"/>
                <w:lang w:eastAsia="zh-CN"/>
              </w:rPr>
              <w:t xml:space="preserve">满足</w:t>
            </w:r>
            <w:r>
              <w:rPr>
                <w:rFonts w:hint="eastAsia"/>
                <w:color w:val="auto"/>
                <w:highlight w:val="none"/>
                <w:lang w:val="en-US" w:eastAsia="zh-CN"/>
              </w:rPr>
              <w:t xml:space="preserve">招标</w:t>
            </w:r>
            <w:r>
              <w:rPr>
                <w:rFonts w:hint="eastAsia"/>
                <w:color w:val="auto"/>
                <w:highlight w:val="none"/>
                <w:lang w:eastAsia="zh-CN"/>
              </w:rPr>
              <w:t xml:space="preserve">文件要求且报价最低的报价为</w:t>
            </w:r>
            <w:r>
              <w:rPr>
                <w:rFonts w:hint="eastAsia"/>
                <w:color w:val="auto"/>
                <w:highlight w:val="none"/>
                <w:lang w:val="en-US" w:eastAsia="zh-CN"/>
              </w:rPr>
              <w:t xml:space="preserve">评标</w:t>
            </w:r>
            <w:r>
              <w:rPr>
                <w:rFonts w:hint="eastAsia"/>
                <w:color w:val="auto"/>
                <w:highlight w:val="none"/>
                <w:lang w:eastAsia="zh-CN"/>
              </w:rPr>
              <w:t xml:space="preserve">基准价，其价格分为满分。其他供应商的价格分统一按照下列公式计算：</w:t>
            </w:r>
            <w:r/>
          </w:p>
          <w:p>
            <w:pPr>
              <w:ind w:firstLine="420"/>
              <w:rPr>
                <w:rFonts w:hint="eastAsia"/>
                <w:color w:val="auto"/>
                <w:highlight w:val="none"/>
                <w:lang w:eastAsia="zh-CN"/>
              </w:rPr>
            </w:pPr>
            <w:r>
              <w:rPr>
                <w:rFonts w:hint="eastAsia"/>
                <w:color w:val="auto"/>
                <w:highlight w:val="none"/>
                <w:lang w:val="en-US" w:eastAsia="zh-CN"/>
              </w:rPr>
              <w:t xml:space="preserve">投标</w:t>
            </w:r>
            <w:r>
              <w:rPr>
                <w:rFonts w:hint="eastAsia"/>
                <w:color w:val="auto"/>
                <w:highlight w:val="none"/>
                <w:lang w:eastAsia="zh-CN"/>
              </w:rPr>
              <w:t xml:space="preserve">报价得分=（</w:t>
            </w:r>
            <w:r>
              <w:rPr>
                <w:rFonts w:hint="eastAsia"/>
                <w:color w:val="auto"/>
                <w:highlight w:val="none"/>
                <w:lang w:val="en-US" w:eastAsia="zh-CN"/>
              </w:rPr>
              <w:t xml:space="preserve">评标</w:t>
            </w:r>
            <w:r>
              <w:rPr>
                <w:rFonts w:hint="eastAsia"/>
                <w:color w:val="auto"/>
                <w:highlight w:val="none"/>
                <w:lang w:eastAsia="zh-CN"/>
              </w:rPr>
              <w:t xml:space="preserve">基准价／</w:t>
            </w:r>
            <w:r>
              <w:rPr>
                <w:rFonts w:hint="eastAsia"/>
                <w:color w:val="auto"/>
                <w:highlight w:val="none"/>
                <w:lang w:val="en-US" w:eastAsia="zh-CN"/>
              </w:rPr>
              <w:t xml:space="preserve">投标</w:t>
            </w:r>
            <w:r>
              <w:rPr>
                <w:rFonts w:hint="eastAsia"/>
                <w:color w:val="auto"/>
                <w:highlight w:val="none"/>
                <w:lang w:eastAsia="zh-CN"/>
              </w:rPr>
              <w:t xml:space="preserve">报价）×</w:t>
            </w:r>
            <w:r>
              <w:rPr>
                <w:rFonts w:hint="eastAsia"/>
                <w:color w:val="auto"/>
                <w:highlight w:val="none"/>
                <w:lang w:val="en-US" w:eastAsia="zh-CN"/>
              </w:rPr>
              <w:t xml:space="preserve">30</w:t>
            </w:r>
            <w:r>
              <w:rPr>
                <w:rFonts w:hint="eastAsia"/>
                <w:color w:val="auto"/>
                <w:highlight w:val="none"/>
                <w:lang w:eastAsia="zh-CN"/>
              </w:rPr>
              <w:t xml:space="preserve">，结果保留两位小数。</w:t>
            </w:r>
            <w:r/>
          </w:p>
          <w:p>
            <w:pPr>
              <w:ind w:firstLine="420"/>
              <w:rPr>
                <w:rFonts w:hint="eastAsia"/>
                <w:color w:val="auto"/>
                <w:highlight w:val="none"/>
                <w:lang w:eastAsia="zh-CN"/>
              </w:rPr>
            </w:pPr>
            <w:r>
              <w:rPr>
                <w:rFonts w:hint="eastAsia"/>
                <w:color w:val="auto"/>
                <w:highlight w:val="none"/>
                <w:lang w:val="en-US" w:eastAsia="zh-CN"/>
              </w:rPr>
              <w:t xml:space="preserve">投标</w:t>
            </w:r>
            <w:r>
              <w:rPr>
                <w:rFonts w:hint="eastAsia"/>
                <w:color w:val="auto"/>
                <w:highlight w:val="none"/>
                <w:lang w:eastAsia="zh-CN"/>
              </w:rPr>
              <w:t xml:space="preserve">报价超过最高限价的，其标书作无效标处理。</w:t>
            </w:r>
            <w:r/>
          </w:p>
        </w:tc>
        <w:tc>
          <w:tcPr>
            <w:tcW w:w="55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30</w:t>
            </w:r>
            <w:r/>
          </w:p>
        </w:tc>
      </w:tr>
      <w:tr>
        <w:trPr>
          <w:jc w:val="center"/>
          <w:trHeight w:val="90"/>
        </w:trPr>
        <w:tc>
          <w:tcPr>
            <w:tcW w:w="570" w:type="dxa"/>
            <w:vAlign w:val="center"/>
            <w:textDirection w:val="lrTb"/>
            <w:noWrap w:val="false"/>
          </w:tcPr>
          <w:p>
            <w:pPr>
              <w:jc w:val="center"/>
              <w:rPr>
                <w:rFonts w:hint="eastAsia"/>
                <w:color w:val="auto"/>
                <w:highlight w:val="none"/>
                <w:lang w:val="en-US" w:eastAsia="zh-CN"/>
              </w:rPr>
            </w:pPr>
            <w:r>
              <w:rPr>
                <w:rFonts w:hint="eastAsia"/>
                <w:color w:val="auto"/>
                <w:highlight w:val="none"/>
              </w:rPr>
              <w:t xml:space="preserve">2.</w:t>
            </w:r>
            <w:r>
              <w:rPr>
                <w:rFonts w:hint="eastAsia"/>
                <w:color w:val="auto"/>
                <w:highlight w:val="none"/>
                <w:lang w:val="en-US" w:eastAsia="zh-CN"/>
              </w:rPr>
              <w:t xml:space="preserve">1</w:t>
            </w:r>
            <w:r/>
          </w:p>
        </w:tc>
        <w:tc>
          <w:tcPr>
            <w:tcW w:w="109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整体方案</w:t>
            </w:r>
            <w:r/>
          </w:p>
        </w:tc>
        <w:tc>
          <w:tcPr>
            <w:tcW w:w="6143" w:type="dxa"/>
            <w:vAlign w:val="center"/>
            <w:textDirection w:val="lrTb"/>
            <w:noWrap w:val="false"/>
          </w:tcPr>
          <w:p>
            <w:pPr>
              <w:ind w:firstLine="420"/>
              <w:rPr>
                <w:rFonts w:hint="default"/>
                <w:color w:val="auto"/>
                <w:highlight w:val="none"/>
                <w:lang w:val="en-US" w:eastAsia="zh-CN"/>
              </w:rPr>
            </w:pPr>
            <w:r>
              <w:rPr>
                <w:rFonts w:hint="eastAsia"/>
                <w:color w:val="auto"/>
                <w:highlight w:val="none"/>
                <w:lang w:val="en-US" w:eastAsia="zh-CN"/>
              </w:rPr>
              <w:t xml:space="preserve">评标委员会根据</w:t>
            </w:r>
            <w:r>
              <w:rPr>
                <w:rFonts w:hint="eastAsia"/>
                <w:color w:val="auto"/>
                <w:highlight w:val="none"/>
              </w:rPr>
              <w:t xml:space="preserve">供应商</w:t>
            </w:r>
            <w:r>
              <w:rPr>
                <w:rFonts w:hint="eastAsia"/>
                <w:color w:val="auto"/>
                <w:highlight w:val="none"/>
                <w:lang w:val="en-US" w:eastAsia="zh-CN"/>
              </w:rPr>
              <w:t xml:space="preserve">提供的项目整体方案进行综合评审。</w:t>
            </w:r>
            <w:r/>
          </w:p>
          <w:p>
            <w:pPr>
              <w:numPr>
                <w:ilvl w:val="0"/>
                <w:numId w:val="0"/>
              </w:numPr>
              <w:ind w:firstLine="420"/>
              <w:rPr>
                <w:rFonts w:hint="eastAsia"/>
                <w:color w:val="auto"/>
                <w:highlight w:val="none"/>
                <w:lang w:val="en-US" w:eastAsia="zh-CN"/>
              </w:rPr>
            </w:pPr>
            <w:r>
              <w:rPr>
                <w:rFonts w:hint="eastAsia"/>
                <w:color w:val="auto"/>
                <w:highlight w:val="none"/>
                <w:lang w:val="en-US" w:eastAsia="zh-CN"/>
              </w:rPr>
              <w:t xml:space="preserve">提供项目整体布局图，施工图纸和技术</w:t>
            </w:r>
            <w:r>
              <w:rPr>
                <w:rFonts w:hint="eastAsia"/>
                <w:color w:val="auto"/>
                <w:highlight w:val="none"/>
                <w:lang w:val="en-US" w:eastAsia="zh-CN"/>
              </w:rPr>
              <w:t xml:space="preserve">分析</w:t>
            </w:r>
            <w:r>
              <w:rPr>
                <w:rFonts w:hint="eastAsia"/>
                <w:color w:val="auto"/>
                <w:highlight w:val="none"/>
                <w:lang w:val="en-US" w:eastAsia="zh-CN"/>
              </w:rPr>
              <w:t xml:space="preserve">图纸</w:t>
            </w:r>
            <w:r>
              <w:rPr>
                <w:rFonts w:hint="eastAsia"/>
                <w:color w:val="auto"/>
                <w:highlight w:val="none"/>
                <w:lang w:val="en-US" w:eastAsia="zh-CN"/>
              </w:rPr>
              <w:t xml:space="preserve">等</w:t>
            </w:r>
            <w:r>
              <w:rPr>
                <w:rFonts w:hint="eastAsia"/>
                <w:color w:val="auto"/>
                <w:highlight w:val="none"/>
                <w:lang w:val="en-US" w:eastAsia="zh-CN"/>
              </w:rPr>
              <w:t xml:space="preserve">，内容具体涵盖但不限于</w:t>
            </w:r>
            <w:r>
              <w:rPr>
                <w:rFonts w:hint="eastAsia"/>
                <w:color w:val="auto"/>
                <w:highlight w:val="none"/>
                <w:lang w:val="en-US" w:eastAsia="zh-CN"/>
              </w:rPr>
              <w:t xml:space="preserve">①展柜优化设计图；②展柜节点图；③展柜密封图关键部位放大图；④净化调湿机水循环系统等核心功能细节图；⑤展柜展骨、玻璃、灯光关键部位放大图。</w:t>
            </w:r>
            <w:r/>
          </w:p>
          <w:p>
            <w:pPr>
              <w:numPr>
                <w:ilvl w:val="0"/>
                <w:numId w:val="0"/>
              </w:numPr>
              <w:ind w:firstLine="420"/>
              <w:rPr>
                <w:rFonts w:hint="eastAsia"/>
                <w:color w:val="auto"/>
                <w:highlight w:val="none"/>
                <w:lang w:eastAsia="zh-CN"/>
              </w:rPr>
            </w:pPr>
            <w:r>
              <w:rPr>
                <w:rFonts w:hint="eastAsia"/>
                <w:color w:val="auto"/>
                <w:highlight w:val="none"/>
                <w:lang w:val="en-US" w:eastAsia="zh-CN"/>
              </w:rPr>
              <w:t xml:space="preserve">（1）方案科学性、针对性、操作性强，</w:t>
            </w:r>
            <w:r>
              <w:rPr>
                <w:rFonts w:hint="eastAsia"/>
                <w:color w:val="auto"/>
                <w:highlight w:val="none"/>
                <w:lang w:val="en-US" w:eastAsia="zh-CN"/>
              </w:rPr>
              <w:t xml:space="preserve">且细节说明详实的</w:t>
            </w:r>
            <w:r>
              <w:rPr>
                <w:rFonts w:hint="eastAsia"/>
                <w:color w:val="auto"/>
                <w:highlight w:val="none"/>
                <w:lang w:val="en-US" w:eastAsia="zh-CN"/>
              </w:rPr>
              <w:t xml:space="preserve">得4分；</w:t>
            </w:r>
            <w:r/>
          </w:p>
          <w:p>
            <w:pPr>
              <w:ind w:firstLine="420"/>
              <w:rPr>
                <w:rFonts w:hint="eastAsia"/>
                <w:color w:val="auto"/>
                <w:highlight w:val="none"/>
                <w:lang w:eastAsia="zh-CN"/>
              </w:rPr>
            </w:pPr>
            <w:r>
              <w:rPr>
                <w:rFonts w:hint="eastAsia"/>
                <w:color w:val="auto"/>
                <w:highlight w:val="none"/>
                <w:lang w:val="en-US" w:eastAsia="zh-CN"/>
              </w:rPr>
              <w:t xml:space="preserve">（2）方案针对性、操作性较可行的得2分；</w:t>
            </w:r>
            <w:r/>
          </w:p>
          <w:p>
            <w:pPr>
              <w:ind w:firstLine="420"/>
              <w:rPr>
                <w:rFonts w:hint="eastAsia"/>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lang w:val="en-US" w:eastAsia="zh-CN"/>
              </w:rPr>
              <w:t xml:space="preserve">方案针对性、操作性基本符合采购需求的得1分；</w:t>
            </w:r>
            <w:r/>
          </w:p>
          <w:p>
            <w:pPr>
              <w:ind w:firstLine="420"/>
              <w:rPr>
                <w:rFonts w:hint="eastAsia"/>
                <w:color w:val="auto"/>
                <w:highlight w:val="none"/>
              </w:rPr>
            </w:pPr>
            <w:r>
              <w:rPr>
                <w:rFonts w:hint="eastAsia"/>
                <w:color w:val="auto"/>
                <w:highlight w:val="none"/>
                <w:lang w:val="en-US" w:eastAsia="zh-CN"/>
              </w:rPr>
              <w:t xml:space="preserve">（4）未提供或有重大偏差的得0分。</w:t>
            </w:r>
            <w:r/>
          </w:p>
        </w:tc>
        <w:tc>
          <w:tcPr>
            <w:tcW w:w="551" w:type="dxa"/>
            <w:vAlign w:val="center"/>
            <w:textDirection w:val="lrTb"/>
            <w:noWrap w:val="false"/>
          </w:tcPr>
          <w:p>
            <w:pPr>
              <w:jc w:val="center"/>
              <w:rPr>
                <w:rFonts w:hint="eastAsia"/>
                <w:color w:val="auto"/>
                <w:highlight w:val="none"/>
                <w:lang w:eastAsia="zh-CN"/>
              </w:rPr>
            </w:pPr>
            <w:r>
              <w:rPr>
                <w:rFonts w:hint="eastAsia"/>
                <w:color w:val="auto"/>
                <w:highlight w:val="none"/>
                <w:lang w:val="en-US" w:eastAsia="zh-CN"/>
              </w:rPr>
              <w:t xml:space="preserve">4</w:t>
            </w:r>
            <w:r/>
          </w:p>
        </w:tc>
      </w:tr>
      <w:tr>
        <w:trPr>
          <w:jc w:val="center"/>
          <w:trHeight w:val="1754"/>
        </w:trPr>
        <w:tc>
          <w:tcPr>
            <w:tcW w:w="570" w:type="dxa"/>
            <w:vAlign w:val="center"/>
            <w:vMerge w:val="restart"/>
            <w:textDirection w:val="lrTb"/>
            <w:noWrap w:val="false"/>
          </w:tcPr>
          <w:p>
            <w:pPr>
              <w:jc w:val="center"/>
              <w:rPr>
                <w:rFonts w:hint="eastAsia"/>
                <w:color w:val="auto"/>
                <w:highlight w:val="none"/>
                <w:lang w:val="en-US" w:eastAsia="zh-CN"/>
              </w:rPr>
            </w:pPr>
            <w:r>
              <w:rPr>
                <w:rFonts w:hint="eastAsia"/>
                <w:color w:val="auto"/>
                <w:highlight w:val="none"/>
              </w:rPr>
              <w:t xml:space="preserve">2.</w:t>
            </w:r>
            <w:r>
              <w:rPr>
                <w:rFonts w:hint="eastAsia"/>
                <w:color w:val="auto"/>
                <w:highlight w:val="none"/>
                <w:lang w:val="en-US" w:eastAsia="zh-CN"/>
              </w:rPr>
              <w:t xml:space="preserve">2</w:t>
            </w:r>
            <w:r/>
          </w:p>
        </w:tc>
        <w:tc>
          <w:tcPr>
            <w:tcBorders>
              <w:bottom w:val="single" w:color="auto" w:sz="4" w:space="0"/>
            </w:tcBorders>
            <w:tcW w:w="1091"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环境调控</w:t>
            </w:r>
            <w:r/>
          </w:p>
        </w:tc>
        <w:tc>
          <w:tcPr>
            <w:tcBorders>
              <w:bottom w:val="single" w:color="auto" w:sz="4" w:space="0"/>
            </w:tcBorders>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评标委员会根据</w:t>
            </w:r>
            <w:r>
              <w:rPr>
                <w:rFonts w:hint="eastAsia"/>
                <w:color w:val="auto"/>
                <w:highlight w:val="none"/>
              </w:rPr>
              <w:t xml:space="preserve">供应商</w:t>
            </w:r>
            <w:r>
              <w:rPr>
                <w:rFonts w:hint="eastAsia"/>
                <w:color w:val="auto"/>
                <w:highlight w:val="none"/>
                <w:lang w:val="en-US" w:eastAsia="zh-CN"/>
              </w:rPr>
              <w:t xml:space="preserve">提供的</w:t>
            </w:r>
            <w:r>
              <w:rPr>
                <w:rFonts w:hint="eastAsia"/>
                <w:color w:val="auto"/>
                <w:highlight w:val="none"/>
                <w:lang w:val="en-US" w:eastAsia="zh-CN"/>
              </w:rPr>
              <w:t xml:space="preserve">环境调控方案和安全用电方案</w:t>
            </w:r>
            <w:r>
              <w:rPr>
                <w:rFonts w:hint="eastAsia"/>
                <w:color w:val="auto"/>
                <w:highlight w:val="none"/>
                <w:lang w:val="en-US" w:eastAsia="zh-CN"/>
              </w:rPr>
              <w:t xml:space="preserve">进行综合评审。方案内容包含但不限于：</w:t>
            </w:r>
            <w:r>
              <w:rPr>
                <w:rFonts w:hint="eastAsia"/>
                <w:color w:val="auto"/>
                <w:highlight w:val="none"/>
                <w:lang w:val="en-US" w:eastAsia="zh-CN"/>
              </w:rPr>
              <w:t xml:space="preserve">净化调试机和展柜设备的安装和摆放示意图等内容。</w:t>
            </w:r>
            <w:r/>
          </w:p>
          <w:p>
            <w:pPr>
              <w:ind w:firstLine="420"/>
              <w:rPr>
                <w:rFonts w:hint="eastAsia"/>
                <w:color w:val="auto"/>
                <w:highlight w:val="none"/>
                <w:lang w:val="en-US" w:eastAsia="zh-CN"/>
              </w:rPr>
            </w:pPr>
            <w:r>
              <w:rPr>
                <w:rFonts w:hint="eastAsia"/>
                <w:color w:val="auto"/>
                <w:highlight w:val="none"/>
                <w:lang w:val="en-US" w:eastAsia="zh-CN"/>
              </w:rPr>
              <w:t xml:space="preserve">（1）内容完善，详细全 面，</w:t>
            </w:r>
            <w:r>
              <w:rPr>
                <w:rFonts w:hint="eastAsia"/>
                <w:color w:val="auto"/>
                <w:highlight w:val="none"/>
                <w:lang w:val="en-US" w:eastAsia="zh-CN"/>
              </w:rPr>
              <w:t xml:space="preserve">科学节能和环保，保证安全，</w:t>
            </w:r>
            <w:r>
              <w:rPr>
                <w:rFonts w:hint="eastAsia"/>
                <w:color w:val="auto"/>
                <w:highlight w:val="none"/>
                <w:lang w:val="en-US" w:eastAsia="zh-CN"/>
              </w:rPr>
              <w:t xml:space="preserve">图纸可行的得</w:t>
            </w:r>
            <w:r>
              <w:rPr>
                <w:rFonts w:hint="eastAsia"/>
                <w:color w:val="auto"/>
                <w:highlight w:val="none"/>
                <w:lang w:val="en-US" w:eastAsia="zh-CN"/>
              </w:rPr>
              <w:t xml:space="preserve">2</w:t>
            </w:r>
            <w:r>
              <w:rPr>
                <w:rFonts w:hint="eastAsia"/>
                <w:color w:val="auto"/>
                <w:highlight w:val="none"/>
                <w:lang w:val="en-US" w:eastAsia="zh-CN"/>
              </w:rPr>
              <w:t xml:space="preserve">分；</w:t>
            </w:r>
            <w:r/>
          </w:p>
          <w:p>
            <w:pPr>
              <w:ind w:firstLine="420"/>
              <w:rPr>
                <w:rFonts w:hint="eastAsia"/>
                <w:color w:val="auto"/>
                <w:highlight w:val="none"/>
                <w:lang w:val="en-US" w:eastAsia="zh-CN"/>
              </w:rPr>
            </w:pPr>
            <w:r>
              <w:rPr>
                <w:rFonts w:hint="eastAsia"/>
                <w:color w:val="auto"/>
                <w:highlight w:val="none"/>
                <w:lang w:val="en-US" w:eastAsia="zh-CN"/>
              </w:rPr>
              <w:t xml:space="preserve">（2）内容较简单，涉及科学节能、环保以及安全保障也较简单，仅能得</w:t>
            </w:r>
            <w:r>
              <w:rPr>
                <w:rFonts w:hint="eastAsia"/>
                <w:color w:val="auto"/>
                <w:highlight w:val="none"/>
                <w:lang w:val="en-US" w:eastAsia="zh-CN"/>
              </w:rPr>
              <w:t xml:space="preserve">1</w:t>
            </w:r>
            <w:r>
              <w:rPr>
                <w:rFonts w:hint="eastAsia"/>
                <w:color w:val="auto"/>
                <w:highlight w:val="none"/>
                <w:lang w:val="en-US" w:eastAsia="zh-CN"/>
              </w:rPr>
              <w:t xml:space="preserve">分；</w:t>
            </w:r>
            <w:r/>
          </w:p>
          <w:p>
            <w:pPr>
              <w:ind w:firstLine="420"/>
              <w:rPr>
                <w:rFonts w:hint="eastAsia"/>
                <w:color w:val="auto"/>
                <w:highlight w:val="none"/>
                <w:lang w:val="en-US" w:eastAsia="zh-CN"/>
              </w:rPr>
            </w:pPr>
            <w:r>
              <w:rPr>
                <w:rFonts w:hint="eastAsia"/>
                <w:color w:val="auto"/>
                <w:highlight w:val="none"/>
                <w:lang w:val="en-US" w:eastAsia="zh-CN"/>
              </w:rPr>
              <w:t xml:space="preserve">（3）未提供或有重大偏差不得分。</w:t>
            </w:r>
            <w:r/>
          </w:p>
        </w:tc>
        <w:tc>
          <w:tcPr>
            <w:tcBorders>
              <w:bottom w:val="single" w:color="auto" w:sz="4" w:space="0"/>
            </w:tcBorders>
            <w:tcW w:w="551" w:type="dxa"/>
            <w:vAlign w:val="center"/>
            <w:textDirection w:val="lrTb"/>
            <w:noWrap w:val="false"/>
          </w:tcPr>
          <w:p>
            <w:pPr>
              <w:jc w:val="center"/>
              <w:rPr>
                <w:rFonts w:hint="eastAsia"/>
                <w:color w:val="auto"/>
                <w:highlight w:val="none"/>
                <w:lang w:eastAsia="zh-CN"/>
              </w:rPr>
            </w:pPr>
            <w:r>
              <w:rPr>
                <w:rFonts w:hint="eastAsia"/>
                <w:color w:val="auto"/>
                <w:highlight w:val="none"/>
                <w:lang w:val="en-US" w:eastAsia="zh-CN"/>
              </w:rPr>
              <w:t xml:space="preserve">2</w:t>
            </w:r>
            <w:r/>
          </w:p>
        </w:tc>
      </w:tr>
      <w:tr>
        <w:trPr>
          <w:jc w:val="center"/>
          <w:trHeight w:val="892"/>
        </w:trPr>
        <w:tc>
          <w:tcPr>
            <w:tcW w:w="570" w:type="dxa"/>
            <w:vAlign w:val="center"/>
            <w:vMerge w:val="continue"/>
            <w:textDirection w:val="lrTb"/>
            <w:noWrap w:val="false"/>
          </w:tcPr>
          <w:p>
            <w:pPr>
              <w:jc w:val="center"/>
              <w:rPr>
                <w:rFonts w:hint="default" w:eastAsiaTheme="minorEastAsia"/>
                <w:color w:val="auto"/>
                <w:highlight w:val="none"/>
                <w:lang w:val="en-US" w:eastAsia="zh-CN"/>
              </w:rPr>
            </w:pPr>
            <w:r>
              <w:rPr>
                <w:rFonts w:hint="default" w:eastAsiaTheme="minorEastAsia"/>
                <w:color w:val="auto"/>
                <w:highlight w:val="none"/>
                <w:lang w:val="en-US" w:eastAsia="zh-CN"/>
              </w:rPr>
            </w:r>
            <w:r/>
          </w:p>
        </w:tc>
        <w:tc>
          <w:tcPr>
            <w:tcBorders>
              <w:top w:val="single" w:color="auto" w:sz="4" w:space="0"/>
            </w:tcBorders>
            <w:tcW w:w="109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安全用电</w:t>
            </w:r>
            <w:r/>
          </w:p>
        </w:tc>
        <w:tc>
          <w:tcPr>
            <w:tcBorders>
              <w:top w:val="single" w:color="auto" w:sz="4" w:space="0"/>
            </w:tcBorders>
            <w:tcW w:w="6143" w:type="dxa"/>
            <w:vAlign w:val="center"/>
            <w:textDirection w:val="lrTb"/>
            <w:noWrap w:val="false"/>
          </w:tcPr>
          <w:p>
            <w:pPr>
              <w:ind w:firstLine="420"/>
              <w:rPr>
                <w:rFonts w:hint="default"/>
                <w:color w:val="auto"/>
                <w:highlight w:val="none"/>
                <w:lang w:val="en-US" w:eastAsia="zh-CN"/>
              </w:rPr>
            </w:pPr>
            <w:r>
              <w:rPr>
                <w:rFonts w:hint="eastAsia"/>
                <w:color w:val="auto"/>
                <w:highlight w:val="none"/>
                <w:lang w:val="en-US" w:eastAsia="zh-CN"/>
              </w:rPr>
              <w:t xml:space="preserve">提交经法定代表人签章并加盖公章的《项目承诺函》，承诺有能力严格依据其所提交的安全用电方案组织施工，并确保项目竣工后可长期稳定、安全、可靠运行。</w:t>
            </w:r>
            <w:r/>
          </w:p>
          <w:p>
            <w:pPr>
              <w:ind w:firstLine="420"/>
              <w:rPr>
                <w:rFonts w:hint="eastAsia"/>
                <w:color w:val="auto"/>
                <w:highlight w:val="none"/>
                <w:lang w:val="en-US" w:eastAsia="zh-CN"/>
              </w:rPr>
            </w:pPr>
            <w:r>
              <w:rPr>
                <w:rFonts w:hint="eastAsia"/>
                <w:color w:val="auto"/>
                <w:highlight w:val="none"/>
                <w:lang w:val="en-US" w:eastAsia="zh-CN"/>
              </w:rPr>
              <w:t xml:space="preserve">提供展厅带电设备安装线路图：需提供完整的、可用于现场施工的电气线路设计图纸。</w:t>
            </w:r>
            <w:r/>
          </w:p>
          <w:p>
            <w:pPr>
              <w:ind w:firstLine="420"/>
              <w:rPr>
                <w:rFonts w:hint="eastAsia"/>
                <w:color w:val="auto"/>
                <w:highlight w:val="none"/>
                <w:lang w:val="en-US" w:eastAsia="zh-CN"/>
              </w:rPr>
            </w:pPr>
            <w:r>
              <w:rPr>
                <w:rFonts w:hint="eastAsia"/>
                <w:color w:val="auto"/>
                <w:highlight w:val="none"/>
                <w:lang w:val="en-US" w:eastAsia="zh-CN"/>
              </w:rPr>
              <w:t xml:space="preserve">提供展厅智慧安全用电系统方案，</w:t>
            </w:r>
            <w:r>
              <w:rPr>
                <w:rFonts w:hint="default"/>
                <w:color w:val="auto"/>
                <w:highlight w:val="none"/>
                <w:lang w:val="en-US" w:eastAsia="zh-CN"/>
              </w:rPr>
              <w:t xml:space="preserve">须为一体化解决方案，</w:t>
            </w:r>
            <w:r>
              <w:rPr>
                <w:rFonts w:hint="eastAsia"/>
                <w:color w:val="auto"/>
                <w:highlight w:val="none"/>
                <w:lang w:val="en-US" w:eastAsia="zh-CN"/>
              </w:rPr>
              <w:t xml:space="preserve">系统具有博物馆安全智慧用电综合管理控制平台软著，</w:t>
            </w:r>
            <w:r>
              <w:rPr>
                <w:rFonts w:hint="default"/>
                <w:color w:val="auto"/>
                <w:highlight w:val="none"/>
                <w:lang w:val="en-US" w:eastAsia="zh-CN"/>
              </w:rPr>
              <w:t xml:space="preserve">核心部件应包含且不限于</w:t>
            </w:r>
            <w:r>
              <w:rPr>
                <w:rFonts w:hint="eastAsia"/>
                <w:color w:val="auto"/>
                <w:highlight w:val="none"/>
                <w:lang w:val="en-US" w:eastAsia="zh-CN"/>
              </w:rPr>
              <w:t xml:space="preserve">嵌装式开关电源、2P智慧数字断路器（漏电断路器）、4P智慧数字断路器（漏电断路器）、远程智能用电监测管理系统、智慧电箱等。（参数见采购需求表。投标方根据博物馆实际情况，提供的智慧安全用电系统参数和功能等于或者大于附件参数和功能）</w:t>
            </w:r>
            <w:r/>
          </w:p>
          <w:p>
            <w:pPr>
              <w:ind w:firstLine="420"/>
              <w:rPr>
                <w:rFonts w:hint="eastAsia"/>
                <w:color w:val="auto"/>
                <w:highlight w:val="none"/>
                <w:lang w:val="en-US" w:eastAsia="zh-CN"/>
              </w:rPr>
            </w:pPr>
            <w:r>
              <w:rPr>
                <w:rFonts w:hint="eastAsia"/>
                <w:color w:val="auto"/>
                <w:highlight w:val="none"/>
                <w:lang w:val="en-US" w:eastAsia="zh-CN"/>
              </w:rPr>
              <w:t xml:space="preserve">本项要求全面满足得4分，有偏差不得分。</w:t>
            </w:r>
            <w:r/>
          </w:p>
        </w:tc>
        <w:tc>
          <w:tcPr>
            <w:tcBorders>
              <w:top w:val="single" w:color="auto" w:sz="4" w:space="0"/>
            </w:tcBorders>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4</w:t>
            </w:r>
            <w:r/>
          </w:p>
        </w:tc>
      </w:tr>
      <w:tr>
        <w:trPr>
          <w:jc w:val="center"/>
          <w:trHeight w:val="544"/>
        </w:trPr>
        <w:tc>
          <w:tcPr>
            <w:shd w:val="clear" w:color="auto" w:fill="auto"/>
            <w:tcW w:w="570"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2.3</w:t>
            </w:r>
            <w:r/>
          </w:p>
        </w:tc>
        <w:tc>
          <w:tcPr>
            <w:shd w:val="clear" w:color="auto" w:fill="auto"/>
            <w:tcW w:w="1091"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环境监测</w:t>
            </w:r>
            <w:r/>
          </w:p>
        </w:tc>
        <w:tc>
          <w:tcPr>
            <w:shd w:val="clear" w:color="auto" w:fill="auto"/>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配备的离线检测设备、微环境调控系统兼容采购人现有的馆藏文物保存环境监测系统，提供承诺函</w:t>
            </w:r>
            <w:r>
              <w:rPr>
                <w:rFonts w:hint="eastAsia"/>
                <w:color w:val="auto"/>
                <w:highlight w:val="none"/>
                <w:lang w:val="en-US" w:eastAsia="zh-CN"/>
              </w:rPr>
              <w:t xml:space="preserve">。</w:t>
            </w:r>
            <w:r/>
          </w:p>
          <w:p>
            <w:pPr>
              <w:ind w:firstLine="420"/>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注：供应商需提供承诺函并加盖公章，未提供的不得分</w:t>
            </w:r>
            <w:r>
              <w:rPr>
                <w:rFonts w:hint="eastAsia"/>
                <w:color w:val="auto"/>
                <w:highlight w:val="none"/>
                <w:lang w:val="en-US" w:eastAsia="zh-CN"/>
              </w:rPr>
              <w:t xml:space="preserve">。</w:t>
            </w:r>
            <w:r/>
          </w:p>
        </w:tc>
        <w:tc>
          <w:tcPr>
            <w:shd w:val="clear" w:color="auto" w:fill="auto"/>
            <w:tcW w:w="551" w:type="dxa"/>
            <w:vAlign w:val="center"/>
            <w:textDirection w:val="lrTb"/>
            <w:noWrap w:val="false"/>
          </w:tcPr>
          <w:p>
            <w:pPr>
              <w:jc w:val="center"/>
              <w:rPr>
                <w:rFonts w:hint="eastAsia" w:asciiTheme="minorHAnsi" w:hAnsiTheme="minorHAnsi" w:eastAsiaTheme="minorEastAsia" w:cstheme="minorBidi"/>
                <w:color w:val="auto"/>
                <w:sz w:val="21"/>
                <w:szCs w:val="24"/>
                <w:highlight w:val="none"/>
                <w:lang w:val="en-US" w:eastAsia="zh-CN" w:bidi="ar-SA"/>
              </w:rPr>
            </w:pPr>
            <w:r>
              <w:rPr>
                <w:rFonts w:hint="eastAsia"/>
                <w:color w:val="auto"/>
                <w:highlight w:val="none"/>
                <w:lang w:val="en-US" w:eastAsia="zh-CN"/>
              </w:rPr>
              <w:t xml:space="preserve">2</w:t>
            </w:r>
            <w:r/>
          </w:p>
        </w:tc>
      </w:tr>
      <w:tr>
        <w:trPr>
          <w:jc w:val="center"/>
          <w:trHeight w:val="2170"/>
        </w:trPr>
        <w:tc>
          <w:tcPr>
            <w:tcW w:w="570" w:type="dxa"/>
            <w:vAlign w:val="center"/>
            <w:vMerge w:val="restart"/>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2.4</w:t>
            </w:r>
            <w:r/>
          </w:p>
        </w:tc>
        <w:tc>
          <w:tcPr>
            <w:shd w:val="clear" w:color="auto" w:fill="auto"/>
            <w:tcBorders>
              <w:bottom w:val="single" w:color="auto" w:sz="4" w:space="0"/>
            </w:tcBorders>
            <w:tcW w:w="109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售后服务</w:t>
            </w:r>
            <w:r/>
          </w:p>
          <w:p>
            <w:pPr>
              <w:jc w:val="center"/>
              <w:rPr>
                <w:rFonts w:hint="default"/>
                <w:color w:val="auto"/>
                <w:highlight w:val="none"/>
                <w:lang w:val="en-US" w:eastAsia="zh-CN"/>
              </w:rPr>
            </w:pPr>
            <w:r>
              <w:rPr>
                <w:rFonts w:hint="default"/>
                <w:color w:val="auto"/>
                <w:highlight w:val="none"/>
                <w:lang w:val="en-US" w:eastAsia="zh-CN"/>
              </w:rPr>
            </w:r>
            <w:r/>
          </w:p>
        </w:tc>
        <w:tc>
          <w:tcPr>
            <w:shd w:val="clear" w:color="auto" w:fill="auto"/>
            <w:tcBorders>
              <w:bottom w:val="single" w:color="auto" w:sz="4" w:space="0"/>
            </w:tcBorders>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根据供应商提供的售后服务方案（</w:t>
            </w:r>
            <w:r>
              <w:rPr>
                <w:rFonts w:hint="eastAsia"/>
                <w:color w:val="auto"/>
                <w:highlight w:val="none"/>
                <w:lang w:val="en-US" w:eastAsia="zh-CN"/>
              </w:rPr>
              <w:t xml:space="preserve">包括但不限于①人员配置②售后服务承诺、③售后服务方式、④服务响应制度⑤响应时间、⑥备品备件配置标准等综合评分：</w:t>
            </w:r>
            <w:r/>
          </w:p>
          <w:p>
            <w:pPr>
              <w:ind w:firstLine="420"/>
              <w:rPr>
                <w:rFonts w:hint="eastAsia"/>
                <w:color w:val="auto"/>
                <w:highlight w:val="none"/>
                <w:lang w:val="en-US" w:eastAsia="zh-CN"/>
              </w:rPr>
            </w:pPr>
            <w:r>
              <w:rPr>
                <w:rFonts w:hint="eastAsia"/>
                <w:color w:val="auto"/>
                <w:highlight w:val="none"/>
                <w:lang w:val="en-US" w:eastAsia="zh-CN"/>
              </w:rPr>
              <w:t xml:space="preserve">（1）售后服务方案详细完整，完全匹配采购需求，对本项目保障程度高的得2分；</w:t>
            </w:r>
            <w:r/>
          </w:p>
          <w:p>
            <w:pPr>
              <w:ind w:firstLine="420"/>
              <w:rPr>
                <w:rFonts w:hint="eastAsia"/>
                <w:color w:val="auto"/>
                <w:highlight w:val="none"/>
                <w:lang w:val="en-US" w:eastAsia="zh-CN"/>
              </w:rPr>
            </w:pPr>
            <w:r>
              <w:rPr>
                <w:rFonts w:hint="eastAsia"/>
                <w:color w:val="auto"/>
                <w:highlight w:val="none"/>
                <w:lang w:val="en-US" w:eastAsia="zh-CN"/>
              </w:rPr>
              <w:t xml:space="preserve">（2）售后服务方案较为完整的得1分；</w:t>
            </w:r>
            <w:r/>
          </w:p>
          <w:p>
            <w:pPr>
              <w:ind w:firstLine="420"/>
              <w:rPr>
                <w:rFonts w:hint="eastAsia"/>
                <w:color w:val="auto"/>
                <w:highlight w:val="none"/>
                <w:lang w:val="en-US" w:eastAsia="zh-CN"/>
              </w:rPr>
            </w:pPr>
            <w:r>
              <w:rPr>
                <w:rFonts w:hint="eastAsia"/>
                <w:color w:val="auto"/>
                <w:highlight w:val="none"/>
                <w:lang w:val="en-US" w:eastAsia="zh-CN"/>
              </w:rPr>
              <w:t xml:space="preserve">（3）未能符合采购需求不得分；</w:t>
            </w:r>
            <w:r/>
          </w:p>
          <w:p>
            <w:pPr>
              <w:ind w:firstLine="420"/>
              <w:rPr>
                <w:rFonts w:hint="eastAsia"/>
                <w:color w:val="auto"/>
                <w:highlight w:val="none"/>
                <w:lang w:val="en-US" w:eastAsia="zh-CN"/>
              </w:rPr>
            </w:pPr>
            <w:r>
              <w:rPr>
                <w:rFonts w:hint="eastAsia"/>
                <w:color w:val="auto"/>
                <w:highlight w:val="none"/>
                <w:lang w:val="en-US" w:eastAsia="zh-CN"/>
              </w:rPr>
              <w:t xml:space="preserve">（4）</w:t>
            </w:r>
            <w:r>
              <w:rPr>
                <w:rFonts w:hint="eastAsia"/>
                <w:color w:val="auto"/>
                <w:highlight w:val="none"/>
                <w:lang w:val="en-US" w:eastAsia="zh-CN"/>
              </w:rPr>
              <w:t xml:space="preserve">未提供或有重大偏差不得分。</w:t>
            </w:r>
            <w:r/>
          </w:p>
        </w:tc>
        <w:tc>
          <w:tcPr>
            <w:shd w:val="clear" w:color="auto" w:fill="auto"/>
            <w:tcBorders>
              <w:bottom w:val="single" w:color="auto" w:sz="4" w:space="0"/>
            </w:tcBorders>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w:t>
            </w:r>
            <w:r/>
          </w:p>
        </w:tc>
      </w:tr>
      <w:tr>
        <w:trPr>
          <w:jc w:val="center"/>
          <w:trHeight w:val="1657"/>
        </w:trPr>
        <w:tc>
          <w:tcPr>
            <w:tcW w:w="570" w:type="dxa"/>
            <w:vAlign w:val="center"/>
            <w:vMerge w:val="continue"/>
            <w:textDirection w:val="lrTb"/>
            <w:noWrap w:val="false"/>
          </w:tcPr>
          <w:p>
            <w:pPr>
              <w:jc w:val="center"/>
              <w:rPr>
                <w:rFonts w:hint="eastAsia"/>
                <w:color w:val="auto"/>
                <w:highlight w:val="none"/>
                <w:lang w:val="en-US" w:eastAsia="zh-CN"/>
              </w:rPr>
            </w:pPr>
            <w:r>
              <w:rPr>
                <w:rFonts w:hint="eastAsia"/>
                <w:color w:val="auto"/>
                <w:highlight w:val="none"/>
                <w:lang w:val="en-US" w:eastAsia="zh-CN"/>
              </w:rPr>
            </w:r>
            <w:r/>
          </w:p>
        </w:tc>
        <w:tc>
          <w:tcPr>
            <w:shd w:val="clear" w:color="auto" w:fill="auto"/>
            <w:tcBorders>
              <w:top w:val="single" w:color="auto" w:sz="4" w:space="0"/>
            </w:tcBorders>
            <w:tcW w:w="109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服务承诺</w:t>
            </w:r>
            <w:r/>
          </w:p>
        </w:tc>
        <w:tc>
          <w:tcPr>
            <w:shd w:val="clear" w:color="auto" w:fill="auto"/>
            <w:tcBorders>
              <w:top w:val="single" w:color="auto" w:sz="4" w:space="0"/>
            </w:tcBorders>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（1）投标人在原合同中质保期限的基础上，承诺额外每多提供一年质保期限的得0.5分，本项最多得3分；</w:t>
            </w:r>
            <w:r/>
          </w:p>
          <w:p>
            <w:pPr>
              <w:ind w:firstLine="420"/>
              <w:rPr>
                <w:rFonts w:hint="eastAsia" w:asciiTheme="minorHAnsi" w:hAnsiTheme="minorHAnsi" w:eastAsiaTheme="minorEastAsia" w:cstheme="minorBidi"/>
                <w:color w:val="auto"/>
                <w:sz w:val="21"/>
                <w:szCs w:val="24"/>
                <w:highlight w:val="none"/>
                <w:lang w:val="en-US" w:eastAsia="zh-CN" w:bidi="ar-SA"/>
              </w:rPr>
            </w:pPr>
            <w:r>
              <w:rPr>
                <w:rFonts w:hint="eastAsia" w:asciiTheme="minorHAnsi" w:hAnsiTheme="minorHAnsi" w:eastAsiaTheme="minorEastAsia" w:cstheme="minorBidi"/>
                <w:color w:val="auto"/>
                <w:sz w:val="21"/>
                <w:szCs w:val="24"/>
                <w:highlight w:val="none"/>
                <w:lang w:val="en-US" w:eastAsia="zh-CN" w:bidi="ar-SA"/>
              </w:rPr>
              <w:t xml:space="preserve">（</w:t>
            </w:r>
            <w:r>
              <w:rPr>
                <w:rFonts w:hint="eastAsia" w:cstheme="minorBidi"/>
                <w:color w:val="auto"/>
                <w:sz w:val="21"/>
                <w:szCs w:val="24"/>
                <w:highlight w:val="none"/>
                <w:lang w:val="en-US" w:eastAsia="zh-CN" w:bidi="ar-SA"/>
              </w:rPr>
              <w:t xml:space="preserve">2</w:t>
            </w:r>
            <w:r>
              <w:rPr>
                <w:rFonts w:hint="eastAsia" w:asciiTheme="minorHAnsi" w:hAnsiTheme="minorHAnsi" w:eastAsiaTheme="minorEastAsia" w:cstheme="minorBidi"/>
                <w:color w:val="auto"/>
                <w:sz w:val="21"/>
                <w:szCs w:val="24"/>
                <w:highlight w:val="none"/>
                <w:lang w:val="en-US" w:eastAsia="zh-CN" w:bidi="ar-SA"/>
              </w:rPr>
              <w:t xml:space="preserve">）承诺展柜及配套拆除后展厅修复安装要求。投标人在报价时需综合考虑拆旧及安装时可能对展厅造成的吊顶、地面、电路等造成的破坏进行的修复费用，采购人后期不再对此项增加任何费用。</w:t>
            </w:r>
            <w:r>
              <w:rPr>
                <w:rFonts w:hint="eastAsia" w:cstheme="minorBidi"/>
                <w:color w:val="auto"/>
                <w:sz w:val="21"/>
                <w:szCs w:val="24"/>
                <w:highlight w:val="none"/>
                <w:lang w:val="en-US" w:eastAsia="zh-CN" w:bidi="ar-SA"/>
              </w:rPr>
              <w:t xml:space="preserve">承诺全面完成</w:t>
            </w:r>
            <w:r>
              <w:rPr>
                <w:rFonts w:hint="eastAsia"/>
                <w:color w:val="auto"/>
                <w:highlight w:val="none"/>
                <w:lang w:val="en-US" w:eastAsia="zh-CN"/>
              </w:rPr>
              <w:t xml:space="preserve">得2分。反之不得分。</w:t>
            </w:r>
            <w:r/>
          </w:p>
        </w:tc>
        <w:tc>
          <w:tcPr>
            <w:shd w:val="clear" w:color="auto" w:fill="auto"/>
            <w:tcBorders>
              <w:top w:val="single" w:color="auto" w:sz="4" w:space="0"/>
            </w:tcBorders>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5</w:t>
            </w:r>
            <w:r/>
          </w:p>
        </w:tc>
      </w:tr>
      <w:tr>
        <w:trPr>
          <w:jc w:val="center"/>
          <w:trHeight w:val="418"/>
        </w:trPr>
        <w:tc>
          <w:tcPr>
            <w:tcW w:w="570"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2.5</w:t>
            </w:r>
            <w:r/>
          </w:p>
        </w:tc>
        <w:tc>
          <w:tcPr>
            <w:shd w:val="clear" w:color="auto" w:fill="auto"/>
            <w:tcW w:w="109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培训方案</w:t>
            </w:r>
            <w:r/>
          </w:p>
        </w:tc>
        <w:tc>
          <w:tcPr>
            <w:shd w:val="clear" w:color="auto" w:fill="auto"/>
            <w:tcW w:w="6143" w:type="dxa"/>
            <w:vAlign w:val="center"/>
            <w:textDirection w:val="lrTb"/>
            <w:noWrap w:val="false"/>
          </w:tcPr>
          <w:p>
            <w:pPr>
              <w:ind w:firstLine="420"/>
              <w:rPr>
                <w:rFonts w:hint="eastAsia"/>
                <w:color w:val="auto"/>
                <w:highlight w:val="none"/>
                <w:lang w:eastAsia="zh-CN"/>
              </w:rPr>
            </w:pP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提供的</w:t>
            </w:r>
            <w:r>
              <w:rPr>
                <w:rFonts w:hint="eastAsia"/>
                <w:color w:val="auto"/>
                <w:highlight w:val="none"/>
                <w:lang w:val="en-US" w:eastAsia="zh-CN"/>
              </w:rPr>
              <w:t xml:space="preserve">培训</w:t>
            </w:r>
            <w:r>
              <w:rPr>
                <w:rFonts w:hint="eastAsia"/>
                <w:color w:val="auto"/>
                <w:highlight w:val="none"/>
              </w:rPr>
              <w:t xml:space="preserve">方案（包括培训内容、培训计划、培训方式、培训质量控制等）综合评分</w:t>
            </w:r>
            <w:r>
              <w:rPr>
                <w:rFonts w:hint="eastAsia"/>
                <w:color w:val="auto"/>
                <w:highlight w:val="none"/>
                <w:lang w:eastAsia="zh-CN"/>
              </w:rPr>
              <w:t xml:space="preserve">：</w:t>
            </w:r>
            <w:r/>
          </w:p>
          <w:p>
            <w:pPr>
              <w:ind w:firstLine="420"/>
              <w:rPr>
                <w:rFonts w:hint="eastAsia"/>
                <w:color w:val="auto"/>
                <w:highlight w:val="none"/>
                <w:lang w:val="en-US" w:eastAsia="zh-CN"/>
              </w:rPr>
            </w:pPr>
            <w:r>
              <w:rPr>
                <w:rFonts w:hint="eastAsia"/>
                <w:color w:val="auto"/>
                <w:highlight w:val="none"/>
                <w:lang w:val="en-US" w:eastAsia="zh-CN"/>
              </w:rPr>
              <w:t xml:space="preserve">（1）培训方案全面、详细合理、可行性及实用性强的得</w:t>
            </w:r>
            <w:r>
              <w:rPr>
                <w:rFonts w:hint="eastAsia"/>
                <w:color w:val="auto"/>
                <w:highlight w:val="none"/>
                <w:lang w:val="en-US" w:eastAsia="zh-CN"/>
              </w:rPr>
              <w:t xml:space="preserve">2</w:t>
            </w:r>
            <w:r>
              <w:rPr>
                <w:rFonts w:hint="eastAsia"/>
                <w:color w:val="auto"/>
                <w:highlight w:val="none"/>
                <w:lang w:val="en-US" w:eastAsia="zh-CN"/>
              </w:rPr>
              <w:t xml:space="preserve">分，</w:t>
            </w:r>
            <w:r/>
          </w:p>
          <w:p>
            <w:pPr>
              <w:ind w:firstLine="420"/>
              <w:rPr>
                <w:rFonts w:hint="eastAsia"/>
                <w:color w:val="auto"/>
                <w:highlight w:val="none"/>
              </w:rPr>
            </w:pPr>
            <w:r>
              <w:rPr>
                <w:rFonts w:hint="eastAsia"/>
                <w:color w:val="auto"/>
                <w:highlight w:val="none"/>
                <w:lang w:val="en-US" w:eastAsia="zh-CN"/>
              </w:rPr>
              <w:t xml:space="preserve">（2）</w:t>
            </w:r>
            <w:r>
              <w:rPr>
                <w:rFonts w:hint="eastAsia"/>
                <w:color w:val="auto"/>
                <w:highlight w:val="none"/>
                <w:lang w:val="en-US" w:eastAsia="zh-CN"/>
              </w:rPr>
              <w:t xml:space="preserve">内容基本符合采购需求，思路简单的得</w:t>
            </w:r>
            <w:r>
              <w:rPr>
                <w:rFonts w:hint="eastAsia"/>
                <w:color w:val="auto"/>
                <w:highlight w:val="none"/>
                <w:lang w:val="en-US" w:eastAsia="zh-CN"/>
              </w:rPr>
              <w:t xml:space="preserve">1</w:t>
            </w:r>
            <w:r>
              <w:rPr>
                <w:rFonts w:hint="eastAsia"/>
                <w:color w:val="auto"/>
                <w:highlight w:val="none"/>
                <w:lang w:val="en-US" w:eastAsia="zh-CN"/>
              </w:rPr>
              <w:t xml:space="preserve">分；</w:t>
            </w:r>
            <w:r/>
          </w:p>
          <w:p>
            <w:pPr>
              <w:ind w:firstLine="420"/>
              <w:rPr>
                <w:rFonts w:hint="eastAsia"/>
                <w:color w:val="auto"/>
                <w:highlight w:val="none"/>
                <w:lang w:val="en-US" w:eastAsia="zh-CN"/>
              </w:rPr>
            </w:pPr>
            <w:r>
              <w:rPr>
                <w:rFonts w:hint="eastAsia"/>
                <w:color w:val="auto"/>
                <w:highlight w:val="none"/>
                <w:lang w:val="en-US" w:eastAsia="zh-CN"/>
              </w:rPr>
              <w:t xml:space="preserve">（3）</w:t>
            </w:r>
            <w:r>
              <w:rPr>
                <w:rFonts w:hint="eastAsia"/>
                <w:color w:val="auto"/>
                <w:highlight w:val="none"/>
                <w:lang w:val="en-US" w:eastAsia="zh-CN"/>
              </w:rPr>
              <w:t xml:space="preserve">未提供或有重大偏差不得分。</w:t>
            </w:r>
            <w:r/>
          </w:p>
        </w:tc>
        <w:tc>
          <w:tcPr>
            <w:shd w:val="clear" w:color="auto" w:fill="auto"/>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w:t>
            </w:r>
            <w:r/>
          </w:p>
        </w:tc>
      </w:tr>
      <w:tr>
        <w:trPr>
          <w:jc w:val="center"/>
          <w:trHeight w:val="418"/>
        </w:trPr>
        <w:tc>
          <w:tcPr>
            <w:tcW w:w="570"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2.6</w:t>
            </w:r>
            <w:r/>
          </w:p>
        </w:tc>
        <w:tc>
          <w:tcPr>
            <w:shd w:val="clear" w:color="auto" w:fill="auto"/>
            <w:tcW w:w="1091"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实施方案</w:t>
            </w:r>
            <w:r/>
          </w:p>
        </w:tc>
        <w:tc>
          <w:tcPr>
            <w:shd w:val="clear" w:color="auto" w:fill="auto"/>
            <w:tcW w:w="6143" w:type="dxa"/>
            <w:vAlign w:val="center"/>
            <w:textDirection w:val="lrTb"/>
            <w:noWrap w:val="false"/>
          </w:tcPr>
          <w:p>
            <w:pPr>
              <w:ind w:firstLine="420"/>
              <w:rPr>
                <w:rFonts w:hint="eastAsia"/>
                <w:color w:val="auto"/>
                <w:highlight w:val="none"/>
                <w:lang w:eastAsia="zh-CN"/>
              </w:rPr>
            </w:pP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提供的</w:t>
            </w:r>
            <w:r>
              <w:rPr>
                <w:rFonts w:hint="eastAsia"/>
                <w:color w:val="auto"/>
                <w:highlight w:val="none"/>
                <w:lang w:val="en-US" w:eastAsia="zh-CN"/>
              </w:rPr>
              <w:t xml:space="preserve">实施计划</w:t>
            </w:r>
            <w:r>
              <w:rPr>
                <w:rFonts w:hint="eastAsia"/>
                <w:color w:val="auto"/>
                <w:highlight w:val="none"/>
              </w:rPr>
              <w:t xml:space="preserve">（包括进场安装服务组织计划</w:t>
            </w:r>
            <w:r>
              <w:rPr>
                <w:rFonts w:hint="eastAsia"/>
                <w:color w:val="auto"/>
                <w:highlight w:val="none"/>
                <w:lang w:eastAsia="zh-CN"/>
              </w:rPr>
              <w:t xml:space="preserve">、货物运输计划、场外加工计划、材料采购计划</w:t>
            </w:r>
            <w:r>
              <w:rPr>
                <w:rFonts w:hint="eastAsia"/>
                <w:color w:val="auto"/>
                <w:highlight w:val="none"/>
              </w:rPr>
              <w:t xml:space="preserve">等）综合评分</w:t>
            </w:r>
            <w:r>
              <w:rPr>
                <w:rFonts w:hint="eastAsia"/>
                <w:color w:val="auto"/>
                <w:highlight w:val="none"/>
                <w:lang w:eastAsia="zh-CN"/>
              </w:rPr>
              <w:t xml:space="preserve">：</w:t>
            </w:r>
            <w:r/>
          </w:p>
          <w:p>
            <w:pPr>
              <w:ind w:firstLine="420"/>
              <w:rPr>
                <w:rFonts w:hint="eastAsia"/>
                <w:color w:val="auto"/>
                <w:highlight w:val="none"/>
                <w:lang w:eastAsia="zh-CN"/>
              </w:rPr>
            </w:pPr>
            <w:r>
              <w:rPr>
                <w:rFonts w:hint="eastAsia"/>
                <w:color w:val="auto"/>
                <w:highlight w:val="none"/>
                <w:lang w:val="en-US" w:eastAsia="zh-CN"/>
              </w:rPr>
              <w:t xml:space="preserve">具体包含但是不限于①项目团队（组织架构、成员技术实力、项目经验）；②项目进度计划（总体进度、节点安排、保障措施），③供货方案（生产、包装、运输等）；④项目应急方案；⑤施工方案（安全文明施工、使用的设施设备、拆除的旧设备临时堆放与清理、具体施工方案等）；⑥安装、调试方案等。</w:t>
            </w:r>
            <w:r/>
          </w:p>
          <w:p>
            <w:pPr>
              <w:ind w:firstLine="420"/>
              <w:rPr>
                <w:rFonts w:hint="eastAsia"/>
                <w:color w:val="auto"/>
                <w:highlight w:val="none"/>
              </w:rPr>
            </w:pPr>
            <w:r>
              <w:rPr>
                <w:rFonts w:hint="eastAsia"/>
                <w:color w:val="auto"/>
                <w:highlight w:val="none"/>
                <w:lang w:val="en-US" w:eastAsia="zh-CN"/>
              </w:rPr>
              <w:t xml:space="preserve">（1）进度计划</w:t>
            </w:r>
            <w:r>
              <w:rPr>
                <w:rFonts w:hint="eastAsia"/>
                <w:color w:val="auto"/>
                <w:highlight w:val="none"/>
              </w:rPr>
              <w:t xml:space="preserve">详细完整，</w:t>
            </w:r>
            <w:r>
              <w:rPr>
                <w:rFonts w:hint="eastAsia"/>
                <w:color w:val="auto"/>
                <w:highlight w:val="none"/>
                <w:lang w:val="en-US" w:eastAsia="zh-CN"/>
              </w:rPr>
              <w:t xml:space="preserve">完全匹配采购需求，对本项目保障程度高</w:t>
            </w:r>
            <w:r>
              <w:rPr>
                <w:rFonts w:hint="eastAsia"/>
                <w:color w:val="auto"/>
                <w:highlight w:val="none"/>
                <w:lang w:eastAsia="zh-CN"/>
              </w:rPr>
              <w:t xml:space="preserve">的</w:t>
            </w:r>
            <w:r>
              <w:rPr>
                <w:rFonts w:hint="eastAsia"/>
                <w:color w:val="auto"/>
                <w:highlight w:val="none"/>
              </w:rPr>
              <w:t xml:space="preserve">得</w:t>
            </w:r>
            <w:r>
              <w:rPr>
                <w:rFonts w:hint="eastAsia"/>
                <w:color w:val="auto"/>
                <w:highlight w:val="none"/>
                <w:lang w:val="en-US" w:eastAsia="zh-CN"/>
              </w:rPr>
              <w:t xml:space="preserve">3</w:t>
            </w:r>
            <w:r>
              <w:rPr>
                <w:rFonts w:hint="eastAsia"/>
                <w:color w:val="auto"/>
                <w:highlight w:val="none"/>
              </w:rPr>
              <w:t xml:space="preserve">分；</w:t>
            </w:r>
            <w:r/>
          </w:p>
          <w:p>
            <w:pPr>
              <w:ind w:firstLine="420"/>
              <w:rPr>
                <w:rFonts w:hint="eastAsia"/>
                <w:color w:val="auto"/>
                <w:highlight w:val="none"/>
              </w:rPr>
            </w:pPr>
            <w:r>
              <w:rPr>
                <w:rFonts w:hint="eastAsia"/>
                <w:color w:val="auto"/>
                <w:highlight w:val="none"/>
                <w:lang w:val="en-US" w:eastAsia="zh-CN"/>
              </w:rPr>
              <w:t xml:space="preserve">（2）进度计划</w:t>
            </w:r>
            <w:r>
              <w:rPr>
                <w:rFonts w:hint="eastAsia"/>
                <w:color w:val="auto"/>
                <w:highlight w:val="none"/>
              </w:rPr>
              <w:t xml:space="preserve">较为完整的，得</w:t>
            </w:r>
            <w:r>
              <w:rPr>
                <w:rFonts w:hint="eastAsia"/>
                <w:color w:val="auto"/>
                <w:highlight w:val="none"/>
                <w:lang w:val="en-US" w:eastAsia="zh-CN"/>
              </w:rPr>
              <w:t xml:space="preserve">2</w:t>
            </w:r>
            <w:r>
              <w:rPr>
                <w:rFonts w:hint="eastAsia"/>
                <w:color w:val="auto"/>
                <w:highlight w:val="none"/>
              </w:rPr>
              <w:t xml:space="preserve">分；</w:t>
            </w:r>
            <w:r/>
          </w:p>
          <w:p>
            <w:pPr>
              <w:ind w:firstLine="420"/>
              <w:rPr>
                <w:rFonts w:hint="eastAsia"/>
                <w:color w:val="auto"/>
                <w:highlight w:val="none"/>
              </w:rPr>
            </w:pPr>
            <w:r>
              <w:rPr>
                <w:rFonts w:hint="eastAsia"/>
                <w:color w:val="auto"/>
                <w:highlight w:val="none"/>
                <w:lang w:val="en-US" w:eastAsia="zh-CN"/>
              </w:rPr>
              <w:t xml:space="preserve">（3）内容基本符合采购需求，思路简单的得1分；</w:t>
            </w:r>
            <w:r/>
          </w:p>
          <w:p>
            <w:pPr>
              <w:ind w:firstLine="420"/>
              <w:rPr>
                <w:rFonts w:hint="eastAsia"/>
                <w:color w:val="auto"/>
                <w:highlight w:val="none"/>
                <w:lang w:val="en-US" w:eastAsia="zh-CN"/>
              </w:rPr>
            </w:pPr>
            <w:r>
              <w:rPr>
                <w:rFonts w:hint="eastAsia"/>
                <w:color w:val="auto"/>
                <w:highlight w:val="none"/>
                <w:lang w:val="en-US" w:eastAsia="zh-CN"/>
              </w:rPr>
              <w:t xml:space="preserve">（4）未提供或有重大偏差不得分。</w:t>
            </w:r>
            <w:r/>
          </w:p>
        </w:tc>
        <w:tc>
          <w:tcPr>
            <w:shd w:val="clear" w:color="auto" w:fill="auto"/>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3</w:t>
            </w:r>
            <w:r/>
          </w:p>
        </w:tc>
      </w:tr>
      <w:tr>
        <w:trPr>
          <w:jc w:val="center"/>
          <w:trHeight w:val="90"/>
        </w:trPr>
        <w:tc>
          <w:tcPr>
            <w:tcW w:w="570" w:type="dxa"/>
            <w:vAlign w:val="center"/>
            <w:textDirection w:val="lrTb"/>
            <w:noWrap w:val="false"/>
          </w:tcPr>
          <w:p>
            <w:pPr>
              <w:jc w:val="center"/>
              <w:rPr>
                <w:rFonts w:hint="default" w:eastAsiaTheme="minorEastAsia"/>
                <w:color w:val="auto"/>
                <w:highlight w:val="none"/>
                <w:lang w:val="en-US" w:eastAsia="zh-CN"/>
              </w:rPr>
            </w:pPr>
            <w:r>
              <w:rPr>
                <w:rFonts w:hint="eastAsia"/>
                <w:color w:val="auto"/>
                <w:highlight w:val="none"/>
                <w:lang w:val="en-US" w:eastAsia="zh-CN"/>
              </w:rPr>
              <w:t xml:space="preserve">3.1</w:t>
            </w:r>
            <w:r/>
          </w:p>
        </w:tc>
        <w:tc>
          <w:tcPr>
            <w:tcW w:w="1091" w:type="dxa"/>
            <w:vAlign w:val="center"/>
            <w:textDirection w:val="lrTb"/>
            <w:noWrap w:val="false"/>
          </w:tcPr>
          <w:p>
            <w:pPr>
              <w:jc w:val="center"/>
              <w:rPr>
                <w:rFonts w:hint="eastAsia"/>
                <w:color w:val="auto"/>
                <w:highlight w:val="none"/>
              </w:rPr>
            </w:pPr>
            <w:r>
              <w:rPr>
                <w:rFonts w:hint="eastAsia"/>
                <w:color w:val="auto"/>
                <w:highlight w:val="none"/>
              </w:rPr>
              <w:t xml:space="preserve">演示</w:t>
            </w:r>
            <w:r/>
          </w:p>
        </w:tc>
        <w:tc>
          <w:tcPr>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rPr>
              <w:t xml:space="preserve">供应商对本项目采购需求中</w:t>
            </w:r>
            <w:r>
              <w:rPr>
                <w:rFonts w:hint="eastAsia"/>
                <w:color w:val="auto"/>
                <w:highlight w:val="none"/>
                <w:lang w:val="en-US" w:eastAsia="zh-CN"/>
              </w:rPr>
              <w:t xml:space="preserve">小型净化调湿机</w:t>
            </w:r>
            <w:r>
              <w:rPr>
                <w:rFonts w:hint="eastAsia"/>
                <w:color w:val="auto"/>
                <w:highlight w:val="none"/>
              </w:rPr>
              <w:t xml:space="preserve">设备</w:t>
            </w:r>
            <w:r>
              <w:rPr>
                <w:rFonts w:hint="eastAsia"/>
                <w:color w:val="auto"/>
                <w:highlight w:val="none"/>
                <w:lang w:val="en-US" w:eastAsia="zh-CN"/>
              </w:rPr>
              <w:t xml:space="preserve">功能</w:t>
            </w:r>
            <w:r>
              <w:rPr>
                <w:rFonts w:hint="eastAsia"/>
                <w:color w:val="auto"/>
                <w:highlight w:val="none"/>
              </w:rPr>
              <w:t xml:space="preserve">进行展示</w:t>
            </w:r>
            <w:r>
              <w:rPr>
                <w:rFonts w:hint="eastAsia"/>
                <w:color w:val="auto"/>
                <w:highlight w:val="none"/>
                <w:lang w:eastAsia="zh-CN"/>
              </w:rPr>
              <w:t xml:space="preserve">，</w:t>
            </w:r>
            <w:r>
              <w:rPr>
                <w:rFonts w:hint="eastAsia"/>
                <w:color w:val="auto"/>
                <w:highlight w:val="none"/>
                <w:lang w:val="en-US" w:eastAsia="zh-CN"/>
              </w:rPr>
              <w:t xml:space="preserve">功能包含：</w:t>
            </w:r>
            <w:r/>
          </w:p>
          <w:p>
            <w:pPr>
              <w:ind w:firstLine="420"/>
              <w:rPr>
                <w:rFonts w:hint="eastAsia"/>
                <w:color w:val="auto"/>
                <w:highlight w:val="none"/>
                <w:lang w:val="en-US" w:eastAsia="zh-CN"/>
              </w:rPr>
            </w:pPr>
            <w:r>
              <w:rPr>
                <w:rFonts w:hint="eastAsia"/>
                <w:color w:val="auto"/>
                <w:highlight w:val="none"/>
                <w:lang w:val="en-US" w:eastAsia="zh-CN"/>
              </w:rPr>
              <w:t xml:space="preserve">1.功能键演示：PLC控制面板具有设备实时工作状态功能键及水位加水提醒功能，湿度上下限控制值防止误操作。</w:t>
            </w:r>
            <w:r/>
          </w:p>
          <w:p>
            <w:pPr>
              <w:ind w:firstLine="420"/>
              <w:rPr>
                <w:rFonts w:hint="eastAsia"/>
                <w:color w:val="auto"/>
                <w:highlight w:val="none"/>
                <w:lang w:val="en-US" w:eastAsia="zh-CN"/>
              </w:rPr>
            </w:pPr>
            <w:r>
              <w:rPr>
                <w:rFonts w:hint="eastAsia"/>
                <w:color w:val="auto"/>
                <w:highlight w:val="none"/>
                <w:lang w:val="en-US" w:eastAsia="zh-CN"/>
              </w:rPr>
              <w:t xml:space="preserve">2.曲线显示演示：PLC控制面板具有设备湿度历史数据曲线显示及设定采集频率1～1440分钟内任意值。</w:t>
            </w:r>
            <w:r/>
          </w:p>
          <w:p>
            <w:pPr>
              <w:ind w:firstLine="420"/>
              <w:rPr>
                <w:rFonts w:hint="eastAsia"/>
                <w:color w:val="auto"/>
                <w:highlight w:val="none"/>
                <w:lang w:val="en-US" w:eastAsia="zh-CN"/>
              </w:rPr>
            </w:pPr>
            <w:r>
              <w:rPr>
                <w:rFonts w:hint="eastAsia"/>
                <w:color w:val="auto"/>
                <w:highlight w:val="none"/>
                <w:lang w:val="en-US" w:eastAsia="zh-CN"/>
              </w:rPr>
              <w:t xml:space="preserve">3.联网功能演示：</w:t>
            </w:r>
            <w:r/>
          </w:p>
          <w:p>
            <w:pPr>
              <w:ind w:firstLine="420"/>
              <w:rPr>
                <w:rFonts w:hint="eastAsia"/>
                <w:color w:val="auto"/>
                <w:highlight w:val="none"/>
                <w:lang w:val="en-US" w:eastAsia="zh-CN"/>
              </w:rPr>
            </w:pPr>
            <w:r>
              <w:rPr>
                <w:rFonts w:hint="eastAsia"/>
                <w:color w:val="auto"/>
                <w:highlight w:val="none"/>
                <w:lang w:val="en-US" w:eastAsia="zh-CN"/>
              </w:rPr>
              <w:t xml:space="preserve">支持无线WIFI和RS232接口进行通信和联网，且可以在PLC控制面板上进行联网参数设置；</w:t>
            </w:r>
            <w:r/>
          </w:p>
          <w:p>
            <w:pPr>
              <w:ind w:firstLine="420"/>
              <w:rPr>
                <w:rFonts w:hint="eastAsia"/>
                <w:color w:val="auto"/>
                <w:highlight w:val="none"/>
                <w:lang w:val="en-US" w:eastAsia="zh-CN"/>
              </w:rPr>
            </w:pPr>
            <w:r>
              <w:rPr>
                <w:rFonts w:hint="eastAsia"/>
                <w:color w:val="auto"/>
                <w:highlight w:val="none"/>
                <w:lang w:val="en-US" w:eastAsia="zh-CN"/>
              </w:rPr>
              <w:t xml:space="preserve">数据导出演示：可通过外接接口（USB）读取及导出设备同步时间及双向温湿度历史数据。</w:t>
            </w:r>
            <w:r/>
          </w:p>
          <w:p>
            <w:pPr>
              <w:ind w:firstLine="420"/>
              <w:rPr>
                <w:rFonts w:hint="eastAsia"/>
                <w:color w:val="auto"/>
                <w:highlight w:val="none"/>
                <w:lang w:val="en-US" w:eastAsia="zh-CN"/>
              </w:rPr>
            </w:pPr>
            <w:r>
              <w:rPr>
                <w:rFonts w:hint="eastAsia"/>
                <w:color w:val="auto"/>
                <w:highlight w:val="none"/>
                <w:lang w:val="en-US" w:eastAsia="zh-CN"/>
              </w:rPr>
              <w:t xml:space="preserve">4.免人工排水功能和插线板安装介绍。</w:t>
            </w:r>
            <w:r/>
          </w:p>
          <w:p>
            <w:pPr>
              <w:ind w:firstLine="420"/>
              <w:rPr>
                <w:rFonts w:hint="eastAsia"/>
                <w:color w:val="auto"/>
                <w:highlight w:val="none"/>
                <w:lang w:val="en-US" w:eastAsia="zh-CN"/>
              </w:rPr>
            </w:pPr>
            <w:r>
              <w:rPr>
                <w:rFonts w:hint="eastAsia"/>
                <w:color w:val="auto"/>
                <w:highlight w:val="none"/>
                <w:lang w:val="en-US" w:eastAsia="zh-CN"/>
              </w:rPr>
              <w:t xml:space="preserve">5.供应商对本项目采购需求展柜功能演示：</w:t>
            </w:r>
            <w:r/>
          </w:p>
          <w:p>
            <w:pPr>
              <w:ind w:firstLine="420"/>
              <w:rPr>
                <w:rFonts w:hint="default"/>
                <w:color w:val="auto"/>
                <w:highlight w:val="none"/>
                <w:lang w:val="en-US" w:eastAsia="zh-CN"/>
              </w:rPr>
            </w:pPr>
            <w:r>
              <w:rPr>
                <w:rFonts w:hint="eastAsia"/>
                <w:color w:val="auto"/>
                <w:highlight w:val="none"/>
                <w:lang w:val="en-US" w:eastAsia="zh-CN"/>
              </w:rPr>
              <w:t xml:space="preserve">展柜结构强度和防震指数。锁的使用和隐蔽性。照明功能和效果。展柜开启方式，以及展台、展陈的构件和支架等展陈设施附件，插线线路安装等。</w:t>
            </w:r>
            <w:r/>
          </w:p>
          <w:p>
            <w:pPr>
              <w:ind w:firstLine="420"/>
              <w:rPr>
                <w:rFonts w:hint="eastAsia"/>
                <w:color w:val="auto"/>
                <w:highlight w:val="none"/>
                <w:lang w:val="en-US" w:eastAsia="zh-CN"/>
              </w:rPr>
            </w:pPr>
            <w:r>
              <w:rPr>
                <w:rFonts w:hint="eastAsia"/>
                <w:color w:val="auto"/>
                <w:highlight w:val="none"/>
                <w:lang w:val="en-US" w:eastAsia="zh-CN"/>
              </w:rPr>
              <w:t xml:space="preserve">评委根据上传的演示视频进行评分：</w:t>
            </w:r>
            <w:r/>
          </w:p>
          <w:p>
            <w:pPr>
              <w:ind w:firstLine="420"/>
              <w:rPr>
                <w:rFonts w:hint="eastAsia"/>
                <w:color w:val="auto"/>
                <w:highlight w:val="none"/>
                <w:lang w:val="en-US" w:eastAsia="zh-CN"/>
              </w:rPr>
            </w:pPr>
            <w:r>
              <w:rPr>
                <w:rFonts w:hint="eastAsia"/>
                <w:color w:val="auto"/>
                <w:highlight w:val="none"/>
                <w:lang w:val="en-US" w:eastAsia="zh-CN"/>
              </w:rPr>
              <w:t xml:space="preserve">完全满足上述功能的得</w:t>
            </w:r>
            <w:r>
              <w:rPr>
                <w:rFonts w:hint="eastAsia"/>
                <w:color w:val="auto"/>
                <w:highlight w:val="none"/>
                <w:lang w:val="en-US" w:eastAsia="zh-CN"/>
              </w:rPr>
              <w:t xml:space="preserve">5</w:t>
            </w:r>
            <w:r>
              <w:rPr>
                <w:rFonts w:hint="eastAsia"/>
                <w:color w:val="auto"/>
                <w:highlight w:val="none"/>
                <w:lang w:val="en-US" w:eastAsia="zh-CN"/>
              </w:rPr>
              <w:t xml:space="preserve">分，演示功能缺项或者不满足上述要求的，每项扣</w:t>
            </w:r>
            <w:r>
              <w:rPr>
                <w:rFonts w:hint="eastAsia"/>
                <w:color w:val="auto"/>
                <w:highlight w:val="none"/>
                <w:lang w:val="en-US" w:eastAsia="zh-CN"/>
              </w:rPr>
              <w:t xml:space="preserve">1</w:t>
            </w:r>
            <w:r>
              <w:rPr>
                <w:rFonts w:hint="eastAsia"/>
                <w:color w:val="auto"/>
                <w:highlight w:val="none"/>
                <w:lang w:val="en-US" w:eastAsia="zh-CN"/>
              </w:rPr>
              <w:t xml:space="preserve">分。</w:t>
            </w:r>
            <w:r/>
          </w:p>
          <w:p>
            <w:pPr>
              <w:ind w:firstLine="420"/>
              <w:rPr>
                <w:rFonts w:hint="eastAsia"/>
                <w:color w:val="auto"/>
                <w:highlight w:val="none"/>
                <w:lang w:val="en-US" w:eastAsia="zh-CN"/>
              </w:rPr>
            </w:pPr>
            <w:r>
              <w:rPr>
                <w:rFonts w:hint="eastAsia"/>
                <w:color w:val="auto"/>
                <w:highlight w:val="none"/>
                <w:lang w:val="en-US" w:eastAsia="zh-CN"/>
              </w:rPr>
              <w:t xml:space="preserve">全部优于上述净化器调湿机功能的得0.5分。</w:t>
            </w:r>
            <w:r/>
          </w:p>
          <w:p>
            <w:pPr>
              <w:ind w:firstLine="420"/>
              <w:rPr>
                <w:rFonts w:hint="default"/>
                <w:color w:val="auto"/>
                <w:highlight w:val="none"/>
                <w:lang w:val="en-US" w:eastAsia="zh-CN"/>
              </w:rPr>
            </w:pPr>
            <w:r>
              <w:rPr>
                <w:rFonts w:hint="eastAsia"/>
                <w:color w:val="auto"/>
                <w:highlight w:val="none"/>
                <w:lang w:val="en-US" w:eastAsia="zh-CN"/>
              </w:rPr>
              <w:t xml:space="preserve">展柜安全性、开启便捷性，照明和附件丰富性全部优于此次同行投标功能的得0.5分。</w:t>
            </w:r>
            <w:r/>
          </w:p>
          <w:p>
            <w:pPr>
              <w:ind w:firstLine="420"/>
              <w:rPr>
                <w:rFonts w:hint="eastAsia"/>
                <w:color w:val="auto"/>
                <w:highlight w:val="none"/>
              </w:rPr>
            </w:pPr>
            <w:r>
              <w:rPr>
                <w:rFonts w:hint="eastAsia"/>
                <w:color w:val="auto"/>
                <w:highlight w:val="none"/>
                <w:lang w:val="en-US" w:eastAsia="zh-CN"/>
              </w:rPr>
              <w:t xml:space="preserve">注：供应商需提供完整、清晰的演示视频上传至“苏采云”系统，视频文件需按评审要求分5段上传，单个文件不得大于50M，所有文件合计不得大于500M。上传的演示视频将作为投标文件的组成部分，视频时长总计不超过12分钟。</w:t>
            </w:r>
            <w:r/>
          </w:p>
        </w:tc>
        <w:tc>
          <w:tcPr>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6</w:t>
            </w:r>
            <w:r/>
          </w:p>
        </w:tc>
      </w:tr>
      <w:tr>
        <w:trPr>
          <w:jc w:val="center"/>
          <w:trHeight w:val="90"/>
        </w:trPr>
        <w:tc>
          <w:tcPr>
            <w:tcW w:w="570" w:type="dxa"/>
            <w:vAlign w:val="center"/>
            <w:textDirection w:val="lrTb"/>
            <w:noWrap w:val="false"/>
          </w:tcPr>
          <w:p>
            <w:pPr>
              <w:jc w:val="center"/>
              <w:rPr>
                <w:rFonts w:hint="eastAsia" w:eastAsiaTheme="minorEastAsia"/>
                <w:color w:val="auto"/>
                <w:highlight w:val="none"/>
                <w:lang w:eastAsia="zh-CN"/>
              </w:rPr>
            </w:pPr>
            <w:r>
              <w:rPr>
                <w:rFonts w:hint="eastAsia"/>
                <w:color w:val="auto"/>
                <w:highlight w:val="none"/>
              </w:rPr>
              <w:t xml:space="preserve">3.</w:t>
            </w:r>
            <w:r>
              <w:rPr>
                <w:rFonts w:hint="eastAsia"/>
                <w:color w:val="auto"/>
                <w:highlight w:val="none"/>
                <w:lang w:val="en-US" w:eastAsia="zh-CN"/>
              </w:rPr>
              <w:t xml:space="preserve">2</w:t>
            </w:r>
            <w:r/>
          </w:p>
        </w:tc>
        <w:tc>
          <w:tcPr>
            <w:shd w:val="clear" w:color="auto" w:fill="auto"/>
            <w:tcW w:w="1091" w:type="dxa"/>
            <w:vAlign w:val="center"/>
            <w:textDirection w:val="lrTb"/>
            <w:noWrap w:val="false"/>
          </w:tcPr>
          <w:p>
            <w:pPr>
              <w:jc w:val="center"/>
              <w:rPr>
                <w:rFonts w:hint="eastAsia"/>
                <w:color w:val="auto"/>
                <w:highlight w:val="none"/>
              </w:rPr>
            </w:pPr>
            <w:r>
              <w:rPr>
                <w:rFonts w:hint="eastAsia"/>
                <w:color w:val="auto"/>
                <w:highlight w:val="none"/>
              </w:rPr>
              <w:t xml:space="preserve">产品功能、</w:t>
            </w:r>
            <w:r/>
          </w:p>
          <w:p>
            <w:pPr>
              <w:jc w:val="center"/>
              <w:rPr>
                <w:rFonts w:hint="eastAsia"/>
                <w:color w:val="auto"/>
                <w:highlight w:val="none"/>
              </w:rPr>
            </w:pPr>
            <w:r>
              <w:rPr>
                <w:rFonts w:hint="eastAsia"/>
                <w:color w:val="auto"/>
                <w:highlight w:val="none"/>
              </w:rPr>
              <w:t xml:space="preserve">性能、配置</w:t>
            </w:r>
            <w:r/>
          </w:p>
          <w:p>
            <w:pPr>
              <w:jc w:val="center"/>
              <w:rPr>
                <w:rFonts w:hint="eastAsia"/>
                <w:color w:val="auto"/>
                <w:highlight w:val="none"/>
                <w:lang w:val="en-US" w:eastAsia="zh-CN"/>
              </w:rPr>
            </w:pPr>
            <w:r>
              <w:rPr>
                <w:rFonts w:hint="eastAsia"/>
                <w:color w:val="auto"/>
                <w:highlight w:val="none"/>
              </w:rPr>
              <w:t xml:space="preserve">要求</w:t>
            </w:r>
            <w:r/>
          </w:p>
        </w:tc>
        <w:tc>
          <w:tcPr>
            <w:shd w:val="clear" w:color="auto" w:fill="auto"/>
            <w:tcW w:w="6143" w:type="dxa"/>
            <w:vAlign w:val="center"/>
            <w:textDirection w:val="lrTb"/>
            <w:noWrap w:val="false"/>
          </w:tcPr>
          <w:p>
            <w:pPr>
              <w:ind w:firstLine="420"/>
              <w:rPr>
                <w:rFonts w:hint="eastAsia"/>
                <w:color w:val="auto"/>
                <w:highlight w:val="none"/>
                <w:lang w:eastAsia="zh-CN"/>
              </w:rPr>
            </w:pPr>
            <w:r>
              <w:rPr>
                <w:rFonts w:hint="eastAsia"/>
                <w:color w:val="auto"/>
                <w:highlight w:val="none"/>
              </w:rPr>
              <w:t xml:space="preserve">设备技术参数全部满足</w:t>
            </w:r>
            <w:r>
              <w:rPr>
                <w:rFonts w:hint="eastAsia"/>
                <w:color w:val="auto"/>
                <w:highlight w:val="none"/>
                <w:lang w:eastAsia="zh-CN"/>
              </w:rPr>
              <w:t xml:space="preserve">招标文件</w:t>
            </w:r>
            <w:r>
              <w:rPr>
                <w:rFonts w:hint="eastAsia"/>
                <w:color w:val="auto"/>
                <w:highlight w:val="none"/>
              </w:rPr>
              <w:t xml:space="preserve">要求的得</w:t>
            </w:r>
            <w:r>
              <w:rPr>
                <w:rFonts w:hint="eastAsia"/>
                <w:color w:val="auto"/>
                <w:highlight w:val="none"/>
                <w:lang w:val="en-US" w:eastAsia="zh-CN"/>
              </w:rPr>
              <w:t xml:space="preserve">30</w:t>
            </w:r>
            <w:r>
              <w:rPr>
                <w:rFonts w:hint="eastAsia"/>
                <w:color w:val="auto"/>
                <w:highlight w:val="none"/>
              </w:rPr>
              <w:t xml:space="preserve">分</w:t>
            </w:r>
            <w:r>
              <w:rPr>
                <w:rFonts w:hint="eastAsia"/>
                <w:color w:val="auto"/>
                <w:highlight w:val="none"/>
                <w:lang w:eastAsia="zh-CN"/>
              </w:rPr>
              <w:t xml:space="preserve">。</w:t>
            </w:r>
            <w:r/>
          </w:p>
          <w:p>
            <w:pPr>
              <w:ind w:firstLine="420"/>
              <w:rPr>
                <w:rFonts w:hint="eastAsia"/>
                <w:color w:val="auto"/>
                <w:highlight w:val="none"/>
                <w:lang w:eastAsia="zh-CN"/>
              </w:rPr>
            </w:pPr>
            <w:r>
              <w:rPr>
                <w:rFonts w:hint="eastAsia"/>
                <w:color w:val="auto"/>
                <w:highlight w:val="none"/>
              </w:rPr>
              <w:t xml:space="preserve">有一项▲号指标负偏离扣</w:t>
            </w:r>
            <w:r>
              <w:rPr>
                <w:rFonts w:hint="eastAsia"/>
                <w:color w:val="auto"/>
                <w:highlight w:val="none"/>
                <w:lang w:val="en-US" w:eastAsia="zh-CN"/>
              </w:rPr>
              <w:t xml:space="preserve">1</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在</w:t>
            </w:r>
            <w:r>
              <w:rPr>
                <w:rFonts w:hint="eastAsia"/>
                <w:color w:val="auto"/>
                <w:highlight w:val="none"/>
                <w:lang w:eastAsia="zh-CN"/>
              </w:rPr>
              <w:t xml:space="preserve">投标文件</w:t>
            </w:r>
            <w:r>
              <w:rPr>
                <w:rFonts w:hint="eastAsia"/>
                <w:color w:val="auto"/>
                <w:highlight w:val="none"/>
              </w:rPr>
              <w:t xml:space="preserve">技术参数偏离表备注栏中标注相应证明文件页码，非▲号指标每负偏离一项扣</w:t>
            </w:r>
            <w:r>
              <w:rPr>
                <w:rFonts w:hint="eastAsia"/>
                <w:color w:val="auto"/>
                <w:highlight w:val="none"/>
                <w:lang w:val="en-US" w:eastAsia="zh-CN"/>
              </w:rPr>
              <w:t xml:space="preserve">0.25</w:t>
            </w:r>
            <w:r>
              <w:rPr>
                <w:rFonts w:hint="eastAsia"/>
                <w:color w:val="auto"/>
                <w:highlight w:val="none"/>
              </w:rPr>
              <w:t xml:space="preserve">分</w:t>
            </w:r>
            <w:r>
              <w:rPr>
                <w:rFonts w:hint="eastAsia"/>
                <w:color w:val="auto"/>
                <w:highlight w:val="none"/>
                <w:lang w:eastAsia="zh-CN"/>
              </w:rPr>
              <w:t xml:space="preserve">。</w:t>
            </w:r>
            <w:r/>
          </w:p>
          <w:p>
            <w:pPr>
              <w:ind w:firstLine="420"/>
              <w:rPr>
                <w:rFonts w:hint="eastAsia"/>
                <w:color w:val="auto"/>
                <w:highlight w:val="none"/>
                <w:lang w:val="en-US" w:eastAsia="zh-CN"/>
              </w:rPr>
            </w:pPr>
            <w:r>
              <w:rPr>
                <w:rFonts w:hint="eastAsia"/>
                <w:color w:val="auto"/>
                <w:highlight w:val="none"/>
                <w:lang w:val="en-US" w:eastAsia="zh-CN"/>
              </w:rPr>
              <w:t xml:space="preserve">有一项参数高于指标的得0.25分，或小型净化调湿机数量每增加1台得0.5分，或中型净化调湿机数量每增加1台得1分。</w:t>
            </w:r>
            <w:r/>
          </w:p>
          <w:p>
            <w:pPr>
              <w:ind w:firstLine="420"/>
              <w:rPr>
                <w:rFonts w:hint="default"/>
                <w:color w:val="auto"/>
                <w:highlight w:val="none"/>
                <w:lang w:val="en-US" w:eastAsia="zh-CN"/>
              </w:rPr>
            </w:pPr>
            <w:r>
              <w:rPr>
                <w:rFonts w:hint="eastAsia"/>
                <w:color w:val="auto"/>
                <w:highlight w:val="none"/>
                <w:lang w:val="en-US" w:eastAsia="zh-CN"/>
              </w:rPr>
              <w:t xml:space="preserve">附加分最高得2分。</w:t>
            </w:r>
            <w:r/>
          </w:p>
          <w:p>
            <w:pPr>
              <w:ind w:firstLine="420"/>
              <w:rPr>
                <w:rFonts w:hint="eastAsia"/>
                <w:color w:val="auto"/>
                <w:highlight w:val="none"/>
                <w:lang w:val="en-US" w:eastAsia="zh-CN"/>
              </w:rPr>
            </w:pPr>
            <w:r>
              <w:rPr>
                <w:rFonts w:hint="eastAsia"/>
                <w:color w:val="auto"/>
                <w:highlight w:val="none"/>
              </w:rPr>
              <w:t xml:space="preserve">严重负偏离影响设备性能的</w:t>
            </w:r>
            <w:r>
              <w:rPr>
                <w:rFonts w:hint="eastAsia"/>
                <w:color w:val="auto"/>
                <w:highlight w:val="none"/>
                <w:lang w:eastAsia="zh-CN"/>
              </w:rPr>
              <w:t xml:space="preserve">，</w:t>
            </w:r>
            <w:r>
              <w:rPr>
                <w:rFonts w:hint="eastAsia"/>
                <w:color w:val="auto"/>
                <w:highlight w:val="none"/>
              </w:rPr>
              <w:t xml:space="preserve">经半数以上评委认定，本项得零分。</w:t>
            </w:r>
            <w:r/>
          </w:p>
        </w:tc>
        <w:tc>
          <w:tcPr>
            <w:shd w:val="clear" w:color="auto" w:fill="auto"/>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32</w:t>
            </w:r>
            <w:r/>
          </w:p>
        </w:tc>
      </w:tr>
      <w:tr>
        <w:trPr>
          <w:jc w:val="center"/>
          <w:trHeight w:val="90"/>
        </w:trPr>
        <w:tc>
          <w:tcPr>
            <w:tcW w:w="570"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3.3</w:t>
            </w:r>
            <w:r/>
          </w:p>
        </w:tc>
        <w:tc>
          <w:tcPr>
            <w:tcW w:w="1091" w:type="dxa"/>
            <w:vAlign w:val="center"/>
            <w:textDirection w:val="lrTb"/>
            <w:noWrap w:val="false"/>
          </w:tcPr>
          <w:p>
            <w:pPr>
              <w:jc w:val="center"/>
              <w:rPr>
                <w:rFonts w:hint="eastAsia"/>
                <w:color w:val="auto"/>
                <w:highlight w:val="none"/>
              </w:rPr>
            </w:pPr>
            <w:r>
              <w:rPr>
                <w:rFonts w:hint="eastAsia"/>
                <w:color w:val="auto"/>
                <w:highlight w:val="none"/>
              </w:rPr>
              <w:t xml:space="preserve">业绩</w:t>
            </w:r>
            <w:r/>
          </w:p>
        </w:tc>
        <w:tc>
          <w:tcPr>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2021年5月1日以来，供应商承担的文物预防性保护项目等同类项目，提供1个项目得1分，满分</w:t>
            </w:r>
            <w:r>
              <w:rPr>
                <w:rFonts w:hint="eastAsia"/>
                <w:color w:val="auto"/>
                <w:highlight w:val="none"/>
                <w:lang w:val="en-US" w:eastAsia="zh-CN"/>
              </w:rPr>
              <w:t xml:space="preserve">4</w:t>
            </w:r>
            <w:r>
              <w:rPr>
                <w:rFonts w:hint="eastAsia"/>
                <w:color w:val="auto"/>
                <w:highlight w:val="none"/>
                <w:lang w:val="en-US" w:eastAsia="zh-CN"/>
              </w:rPr>
              <w:t xml:space="preserve">分。</w:t>
            </w:r>
            <w:r/>
          </w:p>
          <w:p>
            <w:pPr>
              <w:ind w:firstLine="420"/>
              <w:rPr>
                <w:rFonts w:hint="eastAsia"/>
                <w:color w:val="auto"/>
                <w:highlight w:val="none"/>
                <w:lang w:val="en-US" w:eastAsia="zh-CN"/>
              </w:rPr>
            </w:pPr>
            <w:r>
              <w:rPr>
                <w:rFonts w:hint="eastAsia"/>
                <w:color w:val="auto"/>
                <w:highlight w:val="none"/>
                <w:lang w:val="en-US" w:eastAsia="zh-CN"/>
              </w:rPr>
              <w:t xml:space="preserve">注：投标文件中需提供合同原件扫描件和通过主管部门验收的结果通知书扫描件，以上材料缺一不可，合同须体现服务内容、日期等相关信息，否则不得分。</w:t>
            </w:r>
            <w:r/>
          </w:p>
        </w:tc>
        <w:tc>
          <w:tcPr>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4</w:t>
            </w:r>
            <w:r/>
          </w:p>
        </w:tc>
      </w:tr>
      <w:tr>
        <w:trPr>
          <w:jc w:val="center"/>
          <w:trHeight w:val="469"/>
        </w:trPr>
        <w:tc>
          <w:tcPr>
            <w:tcW w:w="570"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3.5</w:t>
            </w:r>
            <w:r/>
          </w:p>
        </w:tc>
        <w:tc>
          <w:tcPr>
            <w:tcW w:w="109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项目组成员</w:t>
            </w:r>
            <w:r/>
          </w:p>
        </w:tc>
        <w:tc>
          <w:tcPr>
            <w:tcW w:w="6143" w:type="dxa"/>
            <w:vAlign w:val="center"/>
            <w:textDirection w:val="lrTb"/>
            <w:noWrap w:val="false"/>
          </w:tcPr>
          <w:p>
            <w:pPr>
              <w:ind w:firstLine="420"/>
              <w:rPr>
                <w:rFonts w:hint="eastAsia"/>
                <w:color w:val="auto"/>
                <w:highlight w:val="none"/>
                <w:lang w:val="en-US" w:eastAsia="zh-CN"/>
              </w:rPr>
            </w:pPr>
            <w:r>
              <w:rPr>
                <w:rFonts w:hint="eastAsia"/>
                <w:color w:val="auto"/>
                <w:highlight w:val="none"/>
                <w:lang w:val="en-US" w:eastAsia="zh-CN"/>
              </w:rPr>
              <w:t xml:space="preserve">1.项目负责人具有文博类中级及以上职称或文博专业硕士及以上学位的得2分，满分2分；</w:t>
            </w:r>
            <w:r/>
          </w:p>
          <w:p>
            <w:pPr>
              <w:ind w:firstLine="420"/>
              <w:rPr>
                <w:rFonts w:hint="eastAsia"/>
                <w:color w:val="auto"/>
                <w:highlight w:val="none"/>
                <w:lang w:val="en-US" w:eastAsia="zh-CN"/>
              </w:rPr>
            </w:pPr>
            <w:r>
              <w:rPr>
                <w:rFonts w:hint="eastAsia"/>
                <w:color w:val="auto"/>
                <w:highlight w:val="none"/>
                <w:lang w:val="en-US" w:eastAsia="zh-CN"/>
              </w:rPr>
              <w:t xml:space="preserve">2.项目团队人员（不包括项目负责人）具有文博类初级及以上职称的，每有1人得1分，满分2分。</w:t>
            </w:r>
            <w:r/>
          </w:p>
          <w:p>
            <w:pPr>
              <w:ind w:firstLine="420"/>
              <w:rPr>
                <w:rFonts w:hint="eastAsia"/>
                <w:color w:val="auto"/>
                <w:highlight w:val="none"/>
                <w:lang w:val="en-US" w:eastAsia="zh-CN"/>
              </w:rPr>
            </w:pPr>
            <w:r>
              <w:rPr>
                <w:rFonts w:hint="eastAsia"/>
                <w:color w:val="auto"/>
                <w:highlight w:val="none"/>
                <w:lang w:val="en-US" w:eastAsia="zh-CN"/>
              </w:rPr>
              <w:t xml:space="preserve">注：投标文件中需提供相关人员职称证书扫描件以及本单位为其缴纳的近六个月中任意一个月的社保缴费证明【加盖社保公章或具有可验证的二维码（或验证码）】，上述材料上传至投标文件，否则不得分。</w:t>
            </w:r>
            <w:r/>
          </w:p>
        </w:tc>
        <w:tc>
          <w:tcPr>
            <w:tcW w:w="55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4</w:t>
            </w:r>
            <w:r/>
          </w:p>
        </w:tc>
      </w:tr>
    </w:tbl>
    <w:p>
      <w:pPr>
        <w:pStyle w:val="75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55"/>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5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55"/>
        <w:jc w:val="center"/>
        <w:spacing w:beforeAutospacing="0" w:afterAutospacing="0"/>
        <w:rPr>
          <w:rFonts w:hint="eastAsia" w:ascii="宋体" w:hAnsi="宋体" w:eastAsia="宋体" w:cs="宋体"/>
          <w:b/>
          <w:color w:val="auto"/>
          <w:sz w:val="72"/>
          <w:szCs w:val="72"/>
          <w:highlight w:val="none"/>
        </w:rPr>
      </w:pPr>
      <w:r/>
      <w:bookmarkStart w:id="170" w:name="_Toc120614282"/>
      <w:r/>
      <w:bookmarkEnd w:id="170"/>
      <w:r/>
      <w:bookmarkStart w:id="171" w:name="_Toc49090576"/>
      <w:r/>
      <w:bookmarkEnd w:id="171"/>
      <w:r/>
      <w:bookmarkStart w:id="172" w:name="_Toc26554094"/>
      <w:r/>
      <w:bookmarkStart w:id="173" w:name="_Hlt26671244"/>
      <w:r/>
      <w:bookmarkStart w:id="174" w:name="_Hlt26955039"/>
      <w:r/>
      <w:r/>
    </w:p>
    <w:p>
      <w:pPr>
        <w:pStyle w:val="75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color w:val="auto"/>
          <w:highlight w:val="none"/>
        </w:rPr>
        <w:t xml:space="preserve"> </w:t>
      </w:r>
      <w:r/>
    </w:p>
    <w:p>
      <w:pPr>
        <w:pStyle w:val="75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5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55"/>
        <w:jc w:val="both"/>
        <w:spacing w:beforeAutospacing="0" w:afterAutospacing="0"/>
        <w:rPr>
          <w:rFonts w:eastAsia="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75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一、法人或者其他组织的营业执照等证明文件，自然人的身份证明</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二、上一年度或上上年度的财务状况报表（至少提供资产负债表、利润表、现金流量表，投标人成立不满一年无需提供）</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三、具备履行合同所必需的设备和专业技术能力的书面声明</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五、参加政府采购活动前 3 年内在经营活动中没有重大违法记录的书面声明</w:t>
      </w:r>
      <w:r/>
    </w:p>
    <w:p>
      <w:pPr>
        <w:pStyle w:val="755"/>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六、投标人法定代表人身份证明和投标文件签署授权委托书（另附法定代表人和被授权人的身份证复印件）</w:t>
      </w:r>
      <w:r/>
    </w:p>
    <w:p>
      <w:pPr>
        <w:pStyle w:val="755"/>
        <w:ind w:firstLine="482"/>
        <w:jc w:val="both"/>
        <w:spacing w:beforeAutospacing="0" w:afterAutospacing="0" w:line="480" w:lineRule="exact"/>
        <w:rPr>
          <w:iCs/>
          <w:color w:val="auto"/>
          <w:highlight w:val="none"/>
        </w:rPr>
      </w:pPr>
      <w:r>
        <w:rPr>
          <w:rFonts w:hint="eastAsia" w:ascii="宋体" w:hAnsi="宋体" w:eastAsia="宋体" w:cs="宋体"/>
          <w:color w:val="auto"/>
          <w:highlight w:val="none"/>
        </w:rPr>
        <w:t xml:space="preserve">七、投标人为被授权人缴纳的社会养老保险证明</w:t>
      </w:r>
      <w:r/>
    </w:p>
    <w:p>
      <w:pPr>
        <w:pStyle w:val="755"/>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八、投标函</w:t>
      </w:r>
      <w:r/>
    </w:p>
    <w:p>
      <w:pPr>
        <w:pStyle w:val="755"/>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九、中小企业声明函</w:t>
      </w:r>
      <w:r/>
    </w:p>
    <w:p>
      <w:pPr>
        <w:pStyle w:val="755"/>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十、残疾人福利性单位声明函</w:t>
      </w:r>
      <w:r/>
    </w:p>
    <w:p>
      <w:pPr>
        <w:pStyle w:val="755"/>
        <w:ind w:firstLine="480"/>
        <w:jc w:val="both"/>
        <w:spacing w:beforeAutospacing="0" w:afterAutospacing="0" w:line="480" w:lineRule="exact"/>
        <w:rPr>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一</w:t>
      </w:r>
      <w:r>
        <w:rPr>
          <w:rFonts w:hint="eastAsia" w:ascii="宋体" w:hAnsi="宋体" w:eastAsia="宋体" w:cs="宋体"/>
          <w:iCs/>
          <w:color w:val="auto"/>
          <w:highlight w:val="none"/>
        </w:rPr>
        <w:t xml:space="preserve">、投标分项报价表</w:t>
      </w:r>
      <w:r/>
    </w:p>
    <w:p>
      <w:pPr>
        <w:pStyle w:val="755"/>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十</w:t>
      </w:r>
      <w:r>
        <w:rPr>
          <w:rFonts w:hint="eastAsia" w:ascii="宋体" w:hAnsi="宋体" w:eastAsia="宋体" w:cs="宋体"/>
          <w:iCs/>
          <w:color w:val="auto"/>
          <w:highlight w:val="none"/>
          <w:lang w:val="en-US" w:eastAsia="zh-CN"/>
        </w:rPr>
        <w:t xml:space="preserve">二</w:t>
      </w:r>
      <w:r>
        <w:rPr>
          <w:rFonts w:hint="eastAsia" w:ascii="宋体" w:hAnsi="宋体" w:eastAsia="宋体" w:cs="宋体"/>
          <w:iCs/>
          <w:color w:val="auto"/>
          <w:highlight w:val="none"/>
        </w:rPr>
        <w:t xml:space="preserve">、技术要求响应及偏离表</w:t>
      </w:r>
      <w:r/>
    </w:p>
    <w:p>
      <w:pPr>
        <w:pStyle w:val="755"/>
        <w:ind w:firstLine="480"/>
        <w:jc w:val="both"/>
        <w:spacing w:beforeAutospacing="0" w:afterAutospacing="0" w:line="480" w:lineRule="exact"/>
        <w:rPr>
          <w:rFonts w:hint="eastAsia"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 xml:space="preserve">十三、商务要求响应及偏离表</w:t>
      </w:r>
      <w:r/>
    </w:p>
    <w:p>
      <w:pPr>
        <w:pStyle w:val="755"/>
        <w:ind w:firstLine="480"/>
        <w:jc w:val="both"/>
        <w:spacing w:beforeAutospacing="0" w:afterAutospacing="0" w:line="480" w:lineRule="exact"/>
        <w:rPr>
          <w:rFonts w:hint="eastAsia" w:ascii="宋体" w:hAnsi="宋体" w:eastAsia="宋体" w:cs="宋体"/>
          <w:iCs/>
          <w:color w:val="auto"/>
          <w:highlight w:val="none"/>
          <w:lang w:val="en-US" w:eastAsia="zh-CN"/>
        </w:rPr>
      </w:pPr>
      <w:r>
        <w:rPr>
          <w:rFonts w:hint="eastAsia" w:ascii="宋体" w:hAnsi="宋体" w:eastAsia="宋体" w:cs="宋体"/>
          <w:iCs/>
          <w:color w:val="auto"/>
          <w:highlight w:val="none"/>
          <w:lang w:val="en-US" w:eastAsia="zh-CN"/>
        </w:rPr>
        <w:t xml:space="preserve">十四、关于符合本国产品标准的声明函</w:t>
      </w:r>
      <w:r/>
    </w:p>
    <w:p>
      <w:pPr>
        <w:pStyle w:val="755"/>
        <w:ind w:firstLine="480"/>
        <w:jc w:val="both"/>
        <w:spacing w:beforeAutospacing="0" w:afterAutospacing="0" w:line="480" w:lineRule="exact"/>
        <w:rPr>
          <w:rFonts w:hint="eastAsia" w:ascii="宋体" w:hAnsi="宋体" w:eastAsia="宋体" w:cs="宋体"/>
          <w:iCs/>
          <w:color w:val="auto"/>
          <w:highlight w:val="none"/>
        </w:rPr>
      </w:pPr>
      <w:r>
        <w:rPr>
          <w:rFonts w:hint="eastAsia" w:ascii="宋体" w:hAnsi="宋体" w:eastAsia="宋体" w:cs="宋体"/>
          <w:iCs/>
          <w:color w:val="auto"/>
          <w:highlight w:val="none"/>
          <w:lang w:val="en-US" w:eastAsia="zh-CN"/>
        </w:rPr>
        <w:t xml:space="preserve">十五、</w:t>
      </w:r>
      <w:r>
        <w:rPr>
          <w:rFonts w:hint="eastAsia" w:ascii="宋体" w:hAnsi="宋体" w:eastAsia="宋体" w:cs="宋体"/>
          <w:iCs/>
          <w:color w:val="auto"/>
          <w:highlight w:val="none"/>
        </w:rPr>
        <w:t xml:space="preserve">盐城市政府采购事前信用承诺书</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ind w:firstLine="480"/>
        <w:jc w:val="both"/>
        <w:spacing w:beforeAutospacing="0" w:afterAutospacing="0" w:line="0" w:lineRule="atLeast"/>
        <w:rPr>
          <w:color w:val="auto"/>
          <w:highlight w:val="none"/>
        </w:rPr>
      </w:pPr>
      <w:r>
        <w:rPr>
          <w:color w:val="auto"/>
          <w:highlight w:val="none"/>
        </w:rPr>
      </w:r>
      <w:r/>
    </w:p>
    <w:p>
      <w:pPr>
        <w:pStyle w:val="755"/>
        <w:ind w:firstLine="480"/>
        <w:jc w:val="both"/>
        <w:spacing w:beforeAutospacing="0" w:afterAutospacing="0" w:line="0" w:lineRule="atLeast"/>
        <w:rPr>
          <w:color w:val="auto"/>
          <w:highlight w:val="none"/>
        </w:rPr>
      </w:pPr>
      <w:r>
        <w:rPr>
          <w:color w:val="auto"/>
          <w:highlight w:val="none"/>
        </w:rPr>
      </w:r>
      <w:r/>
    </w:p>
    <w:p>
      <w:pPr>
        <w:pStyle w:val="755"/>
        <w:ind w:firstLine="480"/>
        <w:jc w:val="both"/>
        <w:spacing w:beforeAutospacing="0" w:afterAutospacing="0" w:line="0" w:lineRule="atLeast"/>
        <w:rPr>
          <w:color w:val="auto"/>
          <w:highlight w:val="none"/>
        </w:rPr>
      </w:pPr>
      <w:r>
        <w:rPr>
          <w:color w:val="auto"/>
          <w:highlight w:val="none"/>
        </w:rPr>
      </w:r>
      <w:r/>
    </w:p>
    <w:p>
      <w:pPr>
        <w:pStyle w:val="755"/>
        <w:ind w:firstLine="480"/>
        <w:jc w:val="both"/>
        <w:spacing w:beforeAutospacing="0" w:afterAutospacing="0" w:line="0" w:lineRule="atLeast"/>
        <w:rPr>
          <w:color w:val="auto"/>
          <w:highlight w:val="none"/>
        </w:rPr>
      </w:pPr>
      <w:r>
        <w:rPr>
          <w:color w:val="auto"/>
          <w:highlight w:val="none"/>
        </w:rPr>
      </w:r>
      <w:r/>
    </w:p>
    <w:p>
      <w:pPr>
        <w:pStyle w:val="7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55"/>
        <w:ind w:firstLine="480"/>
        <w:jc w:val="both"/>
        <w:spacing w:beforeAutospacing="0" w:afterAutospacing="0" w:line="0" w:lineRule="atLeast"/>
        <w:rPr>
          <w:color w:val="auto"/>
          <w:highlight w:val="none"/>
        </w:rPr>
      </w:pPr>
      <w:r>
        <w:rPr>
          <w:color w:val="auto"/>
          <w:highlight w:val="none"/>
        </w:rPr>
        <w:t xml:space="preserve"> </w:t>
      </w:r>
      <w:r/>
    </w:p>
    <w:p>
      <w:pPr>
        <w:pStyle w:val="75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7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投标人成立不满一年无需提供</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75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5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5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75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55"/>
        <w:jc w:val="both"/>
        <w:spacing w:beforeAutospacing="0" w:afterAutospacing="0"/>
        <w:rPr>
          <w:color w:val="auto"/>
          <w:highlight w:val="none"/>
        </w:rPr>
      </w:pPr>
      <w:r>
        <w:rPr>
          <w:color w:val="auto"/>
          <w:highlight w:val="none"/>
        </w:rPr>
        <w:t xml:space="preserve"> </w:t>
      </w:r>
      <w:r/>
    </w:p>
    <w:p>
      <w:pPr>
        <w:pStyle w:val="75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55"/>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5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5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55"/>
        <w:jc w:val="both"/>
        <w:spacing w:beforeAutospacing="0" w:afterAutospacing="0"/>
        <w:rPr>
          <w:color w:val="auto"/>
          <w:highlight w:val="none"/>
        </w:rPr>
      </w:pPr>
      <w:r>
        <w:rPr>
          <w:color w:val="auto"/>
          <w:highlight w:val="none"/>
        </w:rPr>
        <w:t xml:space="preserve"> </w:t>
      </w:r>
      <w:r/>
    </w:p>
    <w:p>
      <w:pPr>
        <w:pStyle w:val="755"/>
        <w:jc w:val="center"/>
        <w:spacing w:beforeAutospacing="0" w:afterAutospacing="0"/>
        <w:rPr>
          <w:rFonts w:hint="eastAsia" w:ascii="黑体" w:hAnsi="宋体" w:eastAsia="黑体" w:cs="黑体"/>
          <w:i/>
          <w:color w:val="auto"/>
          <w:sz w:val="32"/>
          <w:szCs w:val="32"/>
          <w:highlight w:val="none"/>
          <w:u w:val="single"/>
        </w:rPr>
      </w:pPr>
      <w:r/>
      <w:bookmarkStart w:id="175" w:name="_Toc120614284"/>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55"/>
        <w:jc w:val="both"/>
        <w:spacing w:beforeAutospacing="0" w:afterAutospacing="0"/>
        <w:rPr>
          <w:color w:val="auto"/>
          <w:highlight w:val="none"/>
        </w:rPr>
      </w:pPr>
      <w:r/>
      <w:bookmarkStart w:id="176" w:name="_Hlt26671380"/>
      <w:r/>
      <w:bookmarkStart w:id="177" w:name="_Hlt26955070"/>
      <w:r/>
      <w:bookmarkStart w:id="178" w:name="_格式3__银行出具的资信证明"/>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ascii="黑体" w:eastAsia="黑体"/>
          <w:b/>
          <w:bCs/>
          <w:color w:val="auto"/>
          <w:sz w:val="32"/>
          <w:szCs w:val="32"/>
          <w:highlight w:val="none"/>
        </w:rPr>
        <w:outlineLvl w:val="1"/>
      </w:pPr>
      <w:r>
        <w:rPr>
          <w:rFonts w:hint="eastAsia" w:ascii="黑体" w:hAnsi="Calibri" w:eastAsia="黑体"/>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ascii="黑体" w:eastAsia="黑体"/>
          <w:b/>
          <w:color w:val="auto"/>
          <w:sz w:val="28"/>
          <w:highlight w:val="none"/>
        </w:rPr>
      </w:pPr>
      <w:r>
        <w:rPr>
          <w:rFonts w:ascii="黑体" w:eastAsia="黑体"/>
          <w:b/>
          <w:color w:val="auto"/>
          <w:sz w:val="28"/>
          <w:highlight w:val="none"/>
        </w:rPr>
      </w:r>
      <w:r/>
    </w:p>
    <w:p>
      <w:pPr>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：（采购人名称）</w:t>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u w:val="single"/>
        </w:rPr>
        <w:t xml:space="preserve">  （法定代表人姓名） </w:t>
      </w:r>
      <w:r>
        <w:rPr>
          <w:rFonts w:hint="eastAsia" w:ascii="仿宋_GB2312" w:eastAsia="仿宋_GB2312"/>
          <w:color w:val="auto"/>
          <w:sz w:val="24"/>
          <w:highlight w:val="none"/>
        </w:rPr>
        <w:t xml:space="preserve">在</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任</w:t>
      </w:r>
      <w:r>
        <w:rPr>
          <w:rFonts w:hint="eastAsia" w:ascii="仿宋_GB2312" w:eastAsia="仿宋_GB2312"/>
          <w:color w:val="auto"/>
          <w:sz w:val="24"/>
          <w:highlight w:val="none"/>
          <w:u w:val="single"/>
        </w:rPr>
        <w:t xml:space="preserve">（职务名称）</w:t>
      </w:r>
      <w:r>
        <w:rPr>
          <w:rFonts w:hint="eastAsia" w:ascii="仿宋_GB2312" w:eastAsia="仿宋_GB2312"/>
          <w:color w:val="auto"/>
          <w:sz w:val="24"/>
          <w:highlight w:val="none"/>
        </w:rPr>
        <w:t xml:space="preserve">职务，是</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的法定代表人，联系电话（手机号码）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特此证明。</w:t>
      </w:r>
      <w:r/>
    </w:p>
    <w:p>
      <w:pPr>
        <w:ind w:firstLine="45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      </w:t>
      </w:r>
      <w:r/>
    </w:p>
    <w:p>
      <w:pPr>
        <w:ind w:firstLine="1200"/>
        <w:spacing w:line="6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 </w:t>
      </w:r>
      <w:r/>
    </w:p>
    <w:p>
      <w:pPr>
        <w:jc w:val="left"/>
        <w:spacing w:line="600" w:lineRule="exact"/>
        <w:rPr>
          <w:rFonts w:ascii="仿宋_GB2312" w:eastAsia="仿宋_GB2312"/>
          <w:b/>
          <w:bCs/>
          <w:color w:val="auto"/>
          <w:sz w:val="24"/>
          <w:highlight w:val="none"/>
        </w:rPr>
      </w:pPr>
      <w:r>
        <w:rPr>
          <w:rFonts w:ascii="仿宋_GB2312" w:eastAsia="仿宋_GB2312"/>
          <w:b/>
          <w:bCs/>
          <w:color w:val="auto"/>
          <w:sz w:val="24"/>
          <w:highlight w:val="none"/>
        </w:rPr>
      </w:r>
      <w:r/>
    </w:p>
    <w:p>
      <w:pPr>
        <w:jc w:val="left"/>
        <w:spacing w:line="6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（附：法定代表人身份证正反面复印件）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spacing w:line="400" w:lineRule="exact"/>
        <w:rPr>
          <w:rFonts w:ascii="黑体" w:eastAsia="黑体"/>
          <w:color w:val="auto"/>
          <w:sz w:val="28"/>
          <w:highlight w:val="none"/>
        </w:rPr>
      </w:pPr>
      <w:r>
        <w:rPr>
          <w:rFonts w:ascii="仿宋_GB2312" w:eastAsia="仿宋_GB2312"/>
          <w:color w:val="auto"/>
          <w:sz w:val="24"/>
          <w:highlight w:val="none"/>
        </w:rPr>
        <w:br w:type="page" w:clear="all"/>
      </w:r>
      <w:r>
        <w:rPr>
          <w:rFonts w:hint="eastAsia" w:ascii="黑体" w:hAnsi="Calibri" w:eastAsia="黑体"/>
          <w:b/>
          <w:bCs/>
          <w:color w:val="auto"/>
          <w:sz w:val="32"/>
          <w:szCs w:val="32"/>
          <w:highlight w:val="none"/>
        </w:rPr>
        <w:t xml:space="preserve">投标文件</w:t>
      </w:r>
      <w:r>
        <w:rPr>
          <w:rFonts w:hint="eastAsia" w:ascii="黑体" w:eastAsia="黑体"/>
          <w:b/>
          <w:bCs/>
          <w:color w:val="auto"/>
          <w:sz w:val="32"/>
          <w:szCs w:val="32"/>
          <w:highlight w:val="none"/>
        </w:rPr>
        <w:t xml:space="preserve">签署授权委托书</w:t>
      </w:r>
      <w:r/>
    </w:p>
    <w:p>
      <w:pPr>
        <w:jc w:val="center"/>
        <w:spacing w:line="400" w:lineRule="exact"/>
        <w:rPr>
          <w:rFonts w:ascii="黑体" w:eastAsia="黑体"/>
          <w:b/>
          <w:color w:val="auto"/>
          <w:sz w:val="28"/>
          <w:highlight w:val="none"/>
        </w:rPr>
      </w:pPr>
      <w:r>
        <w:rPr>
          <w:rFonts w:ascii="黑体" w:eastAsia="黑体"/>
          <w:b/>
          <w:color w:val="auto"/>
          <w:sz w:val="28"/>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本授权委托书声明：我</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系</w:t>
      </w:r>
      <w:r>
        <w:rPr>
          <w:rFonts w:hint="eastAsia" w:ascii="仿宋_GB2312" w:eastAsia="仿宋_GB2312"/>
          <w:color w:val="auto"/>
          <w:sz w:val="24"/>
          <w:highlight w:val="none"/>
          <w:u w:val="single"/>
        </w:rPr>
        <w:t xml:space="preserve">      （投标人名称）        </w:t>
      </w:r>
      <w:r>
        <w:rPr>
          <w:rFonts w:hint="eastAsia" w:ascii="仿宋_GB2312" w:eastAsia="仿宋_GB2312"/>
          <w:color w:val="auto"/>
          <w:sz w:val="24"/>
          <w:highlight w:val="none"/>
        </w:rPr>
        <w:t xml:space="preserve"> 的法定代表人，现授权</w:t>
      </w:r>
      <w:r>
        <w:rPr>
          <w:rFonts w:hint="eastAsia" w:ascii="仿宋_GB2312" w:eastAsia="仿宋_GB2312"/>
          <w:color w:val="auto"/>
          <w:sz w:val="24"/>
          <w:highlight w:val="none"/>
          <w:u w:val="single"/>
        </w:rPr>
        <w:t xml:space="preserve">         （投标人名称）</w:t>
      </w:r>
      <w:r>
        <w:rPr>
          <w:rFonts w:hint="eastAsia" w:ascii="仿宋_GB2312" w:eastAsia="仿宋_GB2312"/>
          <w:color w:val="auto"/>
          <w:sz w:val="24"/>
          <w:highlight w:val="none"/>
        </w:rPr>
        <w:t xml:space="preserve">的</w:t>
      </w:r>
      <w:r>
        <w:rPr>
          <w:rFonts w:hint="eastAsia" w:ascii="仿宋_GB2312" w:eastAsia="仿宋_GB2312"/>
          <w:color w:val="auto"/>
          <w:sz w:val="24"/>
          <w:highlight w:val="none"/>
          <w:u w:val="single"/>
        </w:rPr>
        <w:t xml:space="preserve">        （姓名）         </w:t>
      </w:r>
      <w:r>
        <w:rPr>
          <w:rFonts w:hint="eastAsia" w:ascii="仿宋_GB2312" w:eastAsia="仿宋_GB2312"/>
          <w:color w:val="auto"/>
          <w:sz w:val="24"/>
          <w:highlight w:val="none"/>
        </w:rPr>
        <w:t xml:space="preserve">为我公司签署本项目的投标文件的法定代表人授权委托代理人，我承认被授权人全权代表我所签署的本项目的投标文件的内容。</w:t>
      </w:r>
      <w:r/>
    </w:p>
    <w:p>
      <w:pPr>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特此委托。</w:t>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480"/>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hAnsi="Calibri" w:eastAsia="仿宋_GB2312"/>
          <w:color w:val="auto"/>
          <w:sz w:val="24"/>
          <w:highlight w:val="none"/>
        </w:rPr>
        <w:t xml:space="preserve">代理人（</w:t>
      </w:r>
      <w:r>
        <w:rPr>
          <w:rFonts w:hint="eastAsia" w:ascii="仿宋_GB2312" w:eastAsia="仿宋_GB2312"/>
          <w:color w:val="auto"/>
          <w:sz w:val="24"/>
          <w:highlight w:val="none"/>
        </w:rPr>
        <w:t xml:space="preserve">被授权人</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联系电话：</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身份证号码：</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职务：</w:t>
      </w:r>
      <w:r>
        <w:rPr>
          <w:rFonts w:hint="eastAsia" w:ascii="仿宋_GB2312" w:eastAsia="仿宋_GB2312"/>
          <w:color w:val="auto"/>
          <w:sz w:val="24"/>
          <w:highlight w:val="none"/>
          <w:u w:val="single"/>
        </w:rPr>
        <w:t xml:space="preserve">        </w:t>
      </w:r>
      <w:r/>
    </w:p>
    <w:p>
      <w:pPr>
        <w:pStyle w:val="912"/>
        <w:rPr>
          <w:color w:val="auto"/>
          <w:highlight w:val="none"/>
        </w:rPr>
      </w:pPr>
      <w:r>
        <w:rPr>
          <w:color w:val="auto"/>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szCs w:val="22"/>
          <w:highlight w:val="none"/>
        </w:rPr>
        <w:t xml:space="preserve">联系号码（手机号码）；</w:t>
      </w:r>
      <w:r>
        <w:rPr>
          <w:rFonts w:hint="eastAsia" w:ascii="仿宋_GB2312" w:eastAsia="仿宋_GB2312"/>
          <w:color w:val="auto"/>
          <w:sz w:val="24"/>
          <w:highlight w:val="none"/>
          <w:u w:val="single"/>
        </w:rPr>
        <w:t xml:space="preserve">                               </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（盖单位公章）</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ind w:firstLine="2126"/>
        <w:spacing w:line="4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ind w:firstLine="2126"/>
        <w:spacing w:line="4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ind w:firstLine="2126"/>
        <w:spacing w:line="400" w:lineRule="exact"/>
        <w:rPr>
          <w:rFonts w:ascii="仿宋_GB2312" w:eastAsia="仿宋_GB2312"/>
          <w:color w:val="auto"/>
          <w:sz w:val="24"/>
          <w:highlight w:val="none"/>
        </w:rPr>
      </w:pPr>
      <w:r>
        <w:rPr>
          <w:rFonts w:hint="eastAsia" w:ascii="仿宋_GB2312" w:eastAsia="仿宋_GB2312"/>
          <w:color w:val="auto"/>
          <w:sz w:val="24"/>
          <w:highlight w:val="none"/>
        </w:rPr>
        <w:t xml:space="preserve">授权委托日期：</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ind w:firstLine="2126"/>
        <w:spacing w:line="400" w:lineRule="exact"/>
        <w:rPr>
          <w:rFonts w:ascii="仿宋_GB2312" w:eastAsia="仿宋_GB2312"/>
          <w:color w:val="auto"/>
          <w:sz w:val="24"/>
          <w:highlight w:val="none"/>
        </w:rPr>
      </w:pPr>
      <w:r>
        <w:rPr>
          <w:rFonts w:ascii="仿宋_GB2312" w:eastAsia="仿宋_GB2312"/>
          <w:color w:val="auto"/>
          <w:sz w:val="24"/>
          <w:highlight w:val="none"/>
        </w:rPr>
      </w:r>
      <w:r/>
    </w:p>
    <w:p>
      <w:pPr>
        <w:jc w:val="left"/>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（附：被授权人身份证正反面复印件）</w:t>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left"/>
        <w:rPr>
          <w:rFonts w:ascii="仿宋_GB2312" w:eastAsia="仿宋_GB2312"/>
          <w:color w:val="auto"/>
          <w:sz w:val="24"/>
          <w:highlight w:val="none"/>
        </w:rPr>
      </w:pPr>
      <w:r>
        <w:rPr>
          <w:rFonts w:ascii="仿宋_GB2312" w:eastAsia="仿宋_GB2312"/>
          <w:color w:val="auto"/>
          <w:sz w:val="24"/>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pStyle w:val="763"/>
        <w:rPr>
          <w:rFonts w:hint="default" w:ascii="黑体" w:eastAsia="黑体"/>
          <w:color w:val="auto"/>
          <w:sz w:val="28"/>
          <w:highlight w:val="none"/>
        </w:rPr>
      </w:pPr>
      <w:r>
        <w:rPr>
          <w:rFonts w:hint="default" w:ascii="黑体" w:eastAsia="黑体"/>
          <w:color w:val="auto"/>
          <w:sz w:val="28"/>
          <w:highlight w:val="none"/>
        </w:rPr>
      </w:r>
      <w:r/>
    </w:p>
    <w:p>
      <w:pPr>
        <w:jc w:val="center"/>
        <w:rPr>
          <w:rFonts w:ascii="黑体" w:eastAsia="黑体"/>
          <w:color w:val="auto"/>
          <w:sz w:val="28"/>
          <w:highlight w:val="none"/>
        </w:rPr>
      </w:pPr>
      <w:r>
        <w:rPr>
          <w:rFonts w:ascii="黑体" w:eastAsia="黑体"/>
          <w:color w:val="auto"/>
          <w:sz w:val="28"/>
          <w:highlight w:val="none"/>
        </w:rPr>
      </w:r>
      <w:r/>
    </w:p>
    <w:p>
      <w:pPr>
        <w:pStyle w:val="755"/>
        <w:jc w:val="both"/>
        <w:spacing w:beforeAutospacing="0" w:afterAutospacing="0"/>
        <w:rPr>
          <w:rFonts w:hint="eastAsia" w:ascii="黑体" w:hAnsi="宋体" w:eastAsia="黑体" w:cs="黑体"/>
          <w:iCs/>
          <w:color w:val="auto"/>
          <w:sz w:val="32"/>
          <w:szCs w:val="32"/>
          <w:highlight w:val="none"/>
          <w:u w:val="single"/>
        </w:rPr>
      </w:pPr>
      <w:r>
        <w:rPr>
          <w:rFonts w:hint="eastAsia" w:ascii="黑体" w:hAnsi="宋体" w:eastAsia="黑体" w:cs="黑体"/>
          <w:iCs/>
          <w:color w:val="auto"/>
          <w:sz w:val="32"/>
          <w:szCs w:val="32"/>
          <w:highlight w:val="none"/>
        </w:rPr>
        <w:t xml:space="preserve">七、</w:t>
      </w:r>
      <w:r>
        <w:rPr>
          <w:rFonts w:hint="eastAsia" w:ascii="黑体" w:hAnsi="宋体" w:eastAsia="黑体" w:cs="黑体"/>
          <w:iCs/>
          <w:color w:val="auto"/>
          <w:sz w:val="32"/>
          <w:szCs w:val="32"/>
          <w:highlight w:val="none"/>
          <w:u w:val="single"/>
        </w:rPr>
        <w:t xml:space="preserve">投标人为被授权人缴纳的社会养老保险证明</w:t>
      </w:r>
      <w:r/>
    </w:p>
    <w:p>
      <w:pPr>
        <w:pStyle w:val="755"/>
        <w:jc w:val="both"/>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both"/>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rFonts w:hint="eastAsia" w:ascii="黑体" w:hAnsi="宋体" w:eastAsia="黑体" w:cs="黑体"/>
          <w:b/>
          <w:iCs/>
          <w:color w:val="auto"/>
          <w:sz w:val="32"/>
          <w:szCs w:val="32"/>
          <w:highlight w:val="none"/>
          <w:u w:val="single"/>
        </w:rPr>
      </w:pPr>
      <w:r>
        <w:rPr>
          <w:rFonts w:hint="eastAsia" w:ascii="黑体" w:hAnsi="宋体" w:eastAsia="黑体" w:cs="黑体"/>
          <w:b/>
          <w:iCs/>
          <w:color w:val="auto"/>
          <w:sz w:val="32"/>
          <w:szCs w:val="32"/>
          <w:highlight w:val="none"/>
          <w:u w:val="single"/>
        </w:rPr>
      </w:r>
      <w:r/>
    </w:p>
    <w:p>
      <w:pPr>
        <w:pStyle w:val="755"/>
        <w:jc w:val="center"/>
        <w:spacing w:beforeAutospacing="0" w:afterAutospacing="0"/>
        <w:rPr>
          <w:color w:val="auto"/>
          <w:highlight w:val="none"/>
        </w:rPr>
      </w:pPr>
      <w:r>
        <w:rPr>
          <w:rFonts w:hint="eastAsia" w:ascii="黑体" w:hAnsi="宋体" w:eastAsia="黑体" w:cs="黑体"/>
          <w:b/>
          <w:iCs/>
          <w:color w:val="auto"/>
          <w:sz w:val="32"/>
          <w:szCs w:val="32"/>
          <w:highlight w:val="none"/>
          <w:u w:val="single"/>
        </w:rPr>
        <w:t xml:space="preserve">八、投标函</w:t>
      </w:r>
      <w:r/>
    </w:p>
    <w:p>
      <w:pPr>
        <w:pStyle w:val="755"/>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  </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根据贵方编号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的招标文件，正式授权下述签字人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（投标人的名称），全权处理本次项目投标的有关事宜。</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据此函，</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签字人兹宣布同意如下：</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55"/>
        <w:ind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755"/>
        <w:ind w:left="425"/>
        <w:spacing w:beforeAutospacing="0" w:afterAutospacing="0" w:line="480" w:lineRule="exact"/>
        <w:rPr>
          <w:color w:val="auto"/>
          <w:highlight w:val="none"/>
        </w:rPr>
      </w:pPr>
      <w:r>
        <w:rPr>
          <w:rFonts w:hint="eastAsia" w:ascii="宋体" w:hAnsi="宋体" w:eastAsia="宋体" w:cs="宋体"/>
          <w:color w:val="auto"/>
          <w:highlight w:val="none"/>
        </w:rPr>
        <w:t xml:space="preserve">7.与本投标有关的正式通讯地址为：</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地          址：</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邮          编：</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电          话：</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传          真：</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投标人开户行：</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账          号： </w:t>
      </w:r>
      <w:r/>
    </w:p>
    <w:p>
      <w:pPr>
        <w:pStyle w:val="755"/>
        <w:ind w:left="420" w:firstLine="480"/>
        <w:spacing w:beforeAutospacing="0" w:afterAutospacing="0" w:line="480" w:lineRule="exact"/>
        <w:rPr>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日</w:t>
      </w:r>
      <w:r/>
    </w:p>
    <w:p>
      <w:pPr>
        <w:pStyle w:val="755"/>
        <w:ind w:firstLine="240"/>
        <w:jc w:val="center"/>
        <w:spacing w:beforeAutospacing="0" w:afterAutospacing="0" w:line="0" w:lineRule="atLeast"/>
        <w:rPr>
          <w:color w:val="auto"/>
          <w:highlight w:val="none"/>
        </w:rPr>
      </w:pPr>
      <w:r>
        <w:rPr>
          <w:color w:val="auto"/>
          <w:highlight w:val="none"/>
        </w:rPr>
        <w:t xml:space="preserve"> </w:t>
      </w:r>
      <w:r/>
    </w:p>
    <w:p>
      <w:pPr>
        <w:pStyle w:val="755"/>
        <w:ind w:firstLine="240"/>
        <w:jc w:val="center"/>
        <w:spacing w:beforeAutospacing="0" w:afterAutospacing="0" w:line="0" w:lineRule="atLeast"/>
        <w:rPr>
          <w:color w:val="auto"/>
          <w:highlight w:val="none"/>
        </w:rPr>
      </w:pPr>
      <w:r>
        <w:rPr>
          <w:color w:val="auto"/>
          <w:highlight w:val="none"/>
        </w:rPr>
        <w:t xml:space="preserve"> </w:t>
      </w:r>
      <w:r/>
    </w:p>
    <w:p>
      <w:pPr>
        <w:pStyle w:val="755"/>
        <w:ind w:firstLine="240"/>
        <w:jc w:val="center"/>
        <w:spacing w:beforeAutospacing="0" w:afterAutospacing="0" w:line="0" w:lineRule="atLeast"/>
        <w:rPr>
          <w:color w:val="auto"/>
          <w:highlight w:val="none"/>
        </w:rPr>
      </w:pPr>
      <w:r>
        <w:rPr>
          <w:color w:val="auto"/>
          <w:highlight w:val="none"/>
        </w:rPr>
        <w:t xml:space="preserve"> </w:t>
      </w:r>
      <w:r/>
    </w:p>
    <w:p>
      <w:pPr>
        <w:pStyle w:val="755"/>
        <w:ind w:firstLine="240"/>
        <w:jc w:val="center"/>
        <w:spacing w:beforeAutospacing="0" w:afterAutospacing="0" w:line="0" w:lineRule="atLeast"/>
        <w:rPr>
          <w:color w:val="auto"/>
          <w:highlight w:val="none"/>
        </w:rPr>
      </w:pPr>
      <w:r>
        <w:rPr>
          <w:color w:val="auto"/>
          <w:highlight w:val="none"/>
        </w:rPr>
        <w:t xml:space="preserve"> </w:t>
      </w:r>
      <w:r/>
    </w:p>
    <w:p>
      <w:pPr>
        <w:pStyle w:val="755"/>
        <w:ind w:firstLine="240"/>
        <w:jc w:val="center"/>
        <w:spacing w:beforeAutospacing="0" w:afterAutospacing="0" w:line="0" w:lineRule="atLeast"/>
        <w:rPr>
          <w:color w:val="auto"/>
          <w:highlight w:val="none"/>
        </w:rPr>
      </w:pPr>
      <w:r>
        <w:rPr>
          <w:color w:val="auto"/>
          <w:highlight w:val="none"/>
        </w:rPr>
      </w:r>
      <w:r/>
    </w:p>
    <w:p>
      <w:pPr>
        <w:pStyle w:val="755"/>
        <w:ind w:firstLine="240"/>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九、中小企业声明函（货物）</w:t>
      </w:r>
      <w:r/>
    </w:p>
    <w:p>
      <w:pPr>
        <w:ind w:firstLine="480"/>
        <w:spacing w:line="48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  （采购人）  </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ind w:firstLine="480"/>
        <w:spacing w:line="480" w:lineRule="exact"/>
        <w:rPr>
          <w:color w:val="auto"/>
          <w:sz w:val="24"/>
          <w:highlight w:val="none"/>
        </w:rPr>
      </w:pPr>
      <w:r>
        <w:rPr>
          <w:rFonts w:hint="eastAsia"/>
          <w:color w:val="auto"/>
          <w:sz w:val="24"/>
          <w:highlight w:val="none"/>
        </w:rPr>
        <w:t xml:space="preserve">1.</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2.</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lang w:val="en-US" w:eastAsia="zh-CN"/>
        </w:rPr>
        <w:t xml:space="preserve">12</w:t>
      </w:r>
      <w:r>
        <w:rPr>
          <w:rFonts w:hint="eastAsia"/>
          <w:color w:val="auto"/>
          <w:sz w:val="24"/>
          <w:highlight w:val="none"/>
        </w:rPr>
        <w:t xml:space="preserve">.</w:t>
      </w:r>
      <w:r>
        <w:rPr>
          <w:rFonts w:hint="eastAsia"/>
          <w:color w:val="auto"/>
          <w:sz w:val="24"/>
          <w:highlight w:val="none"/>
          <w:u w:val="single"/>
        </w:rPr>
        <w:t xml:space="preserve">（标的名称）</w:t>
      </w:r>
      <w:r>
        <w:rPr>
          <w:rFonts w:hint="eastAsia"/>
          <w:color w:val="auto"/>
          <w:sz w:val="24"/>
          <w:highlight w:val="none"/>
        </w:rPr>
        <w:t xml:space="preserve"> ，属于</w:t>
      </w:r>
      <w:r>
        <w:rPr>
          <w:rFonts w:hint="eastAsia"/>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48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pStyle w:val="755"/>
        <w:ind w:right="720"/>
        <w:jc w:val="both"/>
        <w:spacing w:beforeAutospacing="0" w:afterAutospacing="0" w:line="480" w:lineRule="exact"/>
        <w:rPr>
          <w:color w:val="auto"/>
          <w:highlight w:val="none"/>
        </w:rPr>
      </w:pPr>
      <w:r>
        <w:rPr>
          <w:color w:val="auto"/>
          <w:highlight w:val="none"/>
        </w:rPr>
        <w:t xml:space="preserve"> </w:t>
      </w:r>
      <w:r/>
    </w:p>
    <w:p>
      <w:pPr>
        <w:pStyle w:val="755"/>
        <w:ind w:right="180" w:firstLine="360"/>
        <w:jc w:val="right"/>
        <w:spacing w:beforeAutospacing="0" w:afterAutospacing="0" w:line="480" w:lineRule="exact"/>
        <w:rPr>
          <w:color w:val="auto"/>
          <w:highlight w:val="none"/>
        </w:rPr>
      </w:pPr>
      <w:r>
        <w:rPr>
          <w:rFonts w:hint="eastAsia" w:ascii="宋体" w:hAnsi="宋体" w:eastAsia="宋体" w:cs="宋体"/>
          <w:color w:val="auto"/>
          <w:highlight w:val="none"/>
        </w:rPr>
        <w:t xml:space="preserve">企业名称（加盖CA电子公章）：</w:t>
      </w:r>
      <w:r/>
    </w:p>
    <w:p>
      <w:pPr>
        <w:pStyle w:val="755"/>
        <w:ind w:right="480" w:firstLine="540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日  期：</w:t>
      </w:r>
      <w:r/>
    </w:p>
    <w:p>
      <w:pPr>
        <w:pStyle w:val="755"/>
        <w:ind w:firstLine="240"/>
        <w:jc w:val="both"/>
        <w:spacing w:beforeAutospacing="0" w:afterAutospacing="0" w:line="480" w:lineRule="exact"/>
        <w:rPr>
          <w:color w:val="auto"/>
          <w:highlight w:val="none"/>
        </w:rPr>
      </w:pPr>
      <w:r>
        <w:rPr>
          <w:color w:val="auto"/>
          <w:highlight w:val="none"/>
        </w:rPr>
        <w:t xml:space="preserve"> </w:t>
      </w:r>
      <w:r/>
    </w:p>
    <w:p>
      <w:pPr>
        <w:pStyle w:val="755"/>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5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55"/>
        <w:ind w:firstLine="480"/>
        <w:jc w:val="both"/>
        <w:spacing w:beforeAutospacing="0" w:afterAutospacing="0" w:line="480" w:lineRule="exact"/>
        <w:rPr>
          <w:rFonts w:eastAsia="宋体"/>
          <w:color w:val="auto"/>
          <w:highlight w:val="none"/>
        </w:rPr>
      </w:pPr>
      <w:r>
        <w:rPr>
          <w:rFonts w:hint="eastAsia" w:ascii="宋体" w:hAnsi="宋体" w:eastAsia="宋体" w:cs="宋体"/>
          <w:color w:val="auto"/>
          <w:highlight w:val="none"/>
        </w:rPr>
        <w:t xml:space="preserve">备注3：仅需填报《采购标的对应的中小企业划分标准所属行业一览表》中列标的。</w:t>
      </w:r>
      <w:r/>
    </w:p>
    <w:p>
      <w:pPr>
        <w:pStyle w:val="7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75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55"/>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55"/>
        <w:ind w:firstLine="480"/>
        <w:jc w:val="both"/>
        <w:spacing w:beforeAutospacing="0" w:afterAutospacing="0" w:line="480" w:lineRule="exact"/>
        <w:rPr>
          <w:color w:val="auto"/>
          <w:highlight w:val="none"/>
        </w:rPr>
      </w:pPr>
      <w:r>
        <w:rPr>
          <w:color w:val="auto"/>
          <w:highlight w:val="none"/>
        </w:rPr>
        <w:t xml:space="preserve"> </w:t>
      </w:r>
      <w:r/>
    </w:p>
    <w:p>
      <w:pPr>
        <w:pStyle w:val="755"/>
        <w:ind w:firstLine="480"/>
        <w:jc w:val="both"/>
        <w:spacing w:beforeAutospacing="0" w:afterAutospacing="0" w:line="480" w:lineRule="exac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55"/>
        <w:ind w:firstLine="624"/>
        <w:jc w:val="both"/>
        <w:spacing w:beforeAutospacing="0" w:afterAutospacing="0" w:line="480" w:lineRule="exact"/>
        <w:rPr>
          <w:color w:val="auto"/>
          <w:highlight w:val="none"/>
        </w:rPr>
      </w:pPr>
      <w:r>
        <w:rPr>
          <w:color w:val="auto"/>
          <w:highlight w:val="none"/>
        </w:rPr>
        <w:t xml:space="preserve"> </w:t>
      </w:r>
      <w:r/>
    </w:p>
    <w:p>
      <w:pPr>
        <w:pStyle w:val="755"/>
        <w:ind w:right="1560" w:firstLine="624"/>
        <w:jc w:val="center"/>
        <w:spacing w:beforeAutospacing="0" w:afterAutospacing="0" w:line="48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55"/>
        <w:ind w:right="1560" w:firstLine="480"/>
        <w:jc w:val="center"/>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55"/>
        <w:ind w:right="1560" w:firstLine="480"/>
        <w:jc w:val="center"/>
        <w:spacing w:beforeAutospacing="0" w:afterAutospacing="0" w:line="480" w:lineRule="exac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t xml:space="preserve"> </w:t>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line="0" w:lineRule="atLeast"/>
        <w:rPr>
          <w:color w:val="auto"/>
          <w:highlight w:val="none"/>
        </w:rPr>
      </w:pPr>
      <w:r>
        <w:rPr>
          <w:color w:val="auto"/>
          <w:highlight w:val="none"/>
        </w:rPr>
      </w:r>
      <w:r/>
    </w:p>
    <w:p>
      <w:pPr>
        <w:pStyle w:val="75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、投标分项报价表</w:t>
      </w:r>
      <w:r/>
    </w:p>
    <w:tbl>
      <w:tblPr>
        <w:tblStyle w:val="734"/>
        <w:tblW w:w="8517"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747"/>
        <w:gridCol w:w="1267"/>
        <w:gridCol w:w="1664"/>
        <w:gridCol w:w="936"/>
        <w:gridCol w:w="1086"/>
        <w:gridCol w:w="1086"/>
      </w:tblGrid>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合价（元）</w:t>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便携式温湿度检测仪</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温湿度记录仪</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全数字紫外辐照计</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全数字照度计</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小型净化调湿机</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7台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中型净化调湿机</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7台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沿墙柜</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49.3米</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平柜</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5台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嵌装式开关电源</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2P智慧数字断路器（漏电断路器）</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2台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4P智慧数字断路器（漏电断路器）</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远程智能用电监测管理系统</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智慧电箱</w:t>
            </w:r>
            <w:r/>
          </w:p>
        </w:tc>
        <w:tc>
          <w:tcPr>
            <w:shd w:val="clear" w:color="auto" w:fill="auto"/>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核心产品品牌：</w:t>
            </w:r>
            <w:r/>
          </w:p>
        </w:tc>
      </w:tr>
      <w:tr>
        <w:trPr>
          <w:tblCellSpacing w:w="0" w:type="dxa"/>
          <w:trHeight w:val="567" w:hRule="exact"/>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                      元）</w:t>
            </w:r>
            <w:r/>
          </w:p>
        </w:tc>
      </w:tr>
    </w:tbl>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备注：1.“投标总报价”应包括所投货物（包含与</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相关的</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）质量保证费用、培训费用及售后服务费用，项目在指定地点、环境交付、安装、调试、验收所需费用和所有相关税金费用及为完成整个项目所产生的其它所有费用。</w:t>
      </w:r>
      <w:r/>
    </w:p>
    <w:p>
      <w:pPr>
        <w:pStyle w:val="755"/>
        <w:numPr>
          <w:ilvl w:val="0"/>
          <w:numId w:val="0"/>
        </w:numPr>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“投标分项报价表”中“投标总报价”数额应当与“开标一览表”中“投标总报价”数额一致。</w:t>
      </w:r>
      <w:r/>
    </w:p>
    <w:p>
      <w:pPr>
        <w:pStyle w:val="755"/>
        <w:numPr>
          <w:ilvl w:val="0"/>
          <w:numId w:val="0"/>
        </w:numPr>
        <w:jc w:val="both"/>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3.专家技术咨询论证会不少于3次，专家人数为3-5人。</w:t>
      </w:r>
      <w:r/>
    </w:p>
    <w:p>
      <w:pPr>
        <w:pStyle w:val="755"/>
        <w:numPr>
          <w:ilvl w:val="0"/>
          <w:numId w:val="0"/>
        </w:numPr>
        <w:jc w:val="both"/>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5"/>
        <w:numPr>
          <w:ilvl w:val="0"/>
          <w:numId w:val="0"/>
        </w:numPr>
        <w:jc w:val="both"/>
        <w:spacing w:beforeAutospacing="0" w:afterAutospacing="0" w:line="48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pStyle w:val="755"/>
        <w:jc w:val="both"/>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73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bl>
    <w:p>
      <w:pPr>
        <w:pStyle w:val="75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color w:val="auto"/>
          <w:highlight w:val="none"/>
        </w:rPr>
        <w:t xml:space="preserve"> </w:t>
      </w:r>
      <w:r/>
    </w:p>
    <w:p>
      <w:pPr>
        <w:pStyle w:val="75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73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bookmarkStart w:id="179" w:name="_Hlt26955056"/>
            <w:r/>
            <w:bookmarkStart w:id="180" w:name="_Hlt26955064"/>
            <w:r/>
            <w:bookmarkStart w:id="181" w:name="_Hlt26782999"/>
            <w:r/>
            <w:bookmarkStart w:id="182" w:name="_Hlt26580838"/>
            <w:r/>
            <w:bookmarkStart w:id="183" w:name="_Hlt26609391"/>
            <w:r/>
            <w:bookmarkStart w:id="184" w:name="_Hlt26671343"/>
            <w:r/>
            <w:bookmarkStart w:id="185" w:name="_Hlt26671372"/>
            <w:r/>
            <w:bookmarkStart w:id="186" w:name="_Hlt24879081"/>
            <w:r>
              <w:rPr>
                <w:rFonts w:hint="eastAsia" w:ascii="宋体" w:hAnsi="宋体" w:eastAsia="宋体" w:cs="宋体"/>
                <w:color w:val="auto"/>
                <w:highlight w:val="none"/>
              </w:rPr>
              <w:t xml:space="preserve">序号</w:t>
            </w:r>
            <w:bookmarkEnd w:id="179"/>
            <w:r/>
            <w:bookmarkEnd w:id="180"/>
            <w:r/>
            <w:bookmarkEnd w:id="181"/>
            <w:r/>
            <w:bookmarkEnd w:id="182"/>
            <w:r/>
            <w:bookmarkEnd w:id="183"/>
            <w:r/>
            <w:bookmarkEnd w:id="184"/>
            <w:r/>
            <w:bookmarkEnd w:id="185"/>
            <w:r/>
            <w:bookmarkEnd w:id="186"/>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5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55"/>
              <w:jc w:val="center"/>
              <w:spacing w:beforeAutospacing="0" w:afterAutospacing="0"/>
              <w:rPr>
                <w:color w:val="auto"/>
                <w:highlight w:val="none"/>
              </w:rPr>
            </w:pPr>
            <w:r>
              <w:rPr>
                <w:color w:val="auto"/>
                <w:highlight w:val="none"/>
              </w:rPr>
              <w:t xml:space="preserve"> </w:t>
            </w:r>
            <w:r/>
          </w:p>
        </w:tc>
      </w:tr>
    </w:tbl>
    <w:p>
      <w:pPr>
        <w:pStyle w:val="75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55"/>
        <w:ind w:left="0" w:right="0"/>
        <w:jc w:val="center"/>
        <w:keepLines w:val="0"/>
        <w:keepNext w:val="0"/>
        <w:spacing w:before="0" w:beforeAutospacing="0" w:after="0" w:afterAutospacing="0"/>
        <w:widowControl w:val="off"/>
        <w:rPr>
          <w:rFonts w:hint="eastAsia" w:ascii="宋体" w:hAnsi="宋体" w:eastAsia="宋体" w:cs="宋体"/>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2"/>
          <w:szCs w:val="32"/>
          <w:highlight w:val="none"/>
          <w:lang w:val="en-US" w:eastAsia="zh-CN"/>
        </w:rPr>
      </w:r>
      <w:r/>
    </w:p>
    <w:p>
      <w:pPr>
        <w:pStyle w:val="755"/>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十四、</w:t>
      </w:r>
      <w:bookmarkStart w:id="187" w:name="_Hlt26671374"/>
      <w:r/>
      <w:bookmarkStart w:id="188" w:name="_Hlt26955066"/>
      <w:r/>
      <w:bookmarkStart w:id="189" w:name="_格式2__法定代表人授权书"/>
      <w:r/>
      <w:bookmarkStart w:id="190" w:name="_Hlt26609389"/>
      <w:r/>
      <w:bookmarkStart w:id="191" w:name="_Toc462564146"/>
      <w:r/>
      <w:bookmarkStart w:id="192" w:name="_Hlt26955054"/>
      <w:r>
        <w:rPr>
          <w:rFonts w:hint="eastAsia" w:ascii="黑体" w:hAnsi="宋体" w:eastAsia="黑体" w:cs="黑体"/>
          <w:b/>
          <w:color w:val="auto"/>
          <w:sz w:val="32"/>
          <w:szCs w:val="32"/>
          <w:highlight w:val="none"/>
        </w:rPr>
        <w:t xml:space="preserve">关于符合本国产品标准的声明函（采购包号：**）</w:t>
      </w:r>
      <w:r/>
    </w:p>
    <w:p>
      <w:pPr>
        <w:pStyle w:val="755"/>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755"/>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w:t>
      </w:r>
      <w:r>
        <w:rPr>
          <w:rFonts w:ascii="宋体" w:hAnsi="宋体" w:eastAsia="宋体" w:cs="宋体"/>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vertAlign w:val="superscript"/>
        </w:rPr>
        <w:t xml:space="preserve">1</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vertAlign w:val="superscript"/>
        </w:rPr>
        <w:t xml:space="preserve">2</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 （产品名称1）</w:t>
      </w:r>
      <w:r>
        <w:rPr>
          <w:rFonts w:ascii="宋体" w:hAnsi="宋体" w:eastAsia="宋体" w:cs="宋体"/>
          <w:color w:val="auto"/>
          <w:sz w:val="24"/>
          <w:szCs w:val="24"/>
          <w:highlight w:val="none"/>
          <w:u w:val="single"/>
          <w:shd w:val="clear" w:color="auto" w:fill="ffffff"/>
        </w:rPr>
        <w:t xml:space="preserve"> </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strike/>
          <w:color w:val="auto"/>
          <w:sz w:val="24"/>
          <w:szCs w:val="24"/>
          <w:highlight w:val="none"/>
          <w:shd w:val="clear" w:color="auto" w:fill="ffffff"/>
          <w:vertAlign w:val="superscript"/>
        </w:rPr>
        <w:t xml:space="preserve">3</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strike/>
          <w:color w:val="auto"/>
          <w:sz w:val="24"/>
          <w:szCs w:val="24"/>
          <w:highlight w:val="none"/>
          <w:shd w:val="clear" w:color="auto" w:fill="ffffff"/>
          <w:vertAlign w:val="superscript"/>
        </w:rPr>
        <w:t xml:space="preserve">4</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strike/>
          <w:color w:val="auto"/>
          <w:sz w:val="24"/>
          <w:szCs w:val="24"/>
          <w:highlight w:val="none"/>
          <w:shd w:val="clear" w:color="auto" w:fill="ffffff"/>
          <w:vertAlign w:val="superscript"/>
        </w:rPr>
        <w:t xml:space="preserve">5</w:t>
      </w:r>
      <w:r>
        <w:rPr>
          <w:rFonts w:ascii="宋体" w:hAnsi="宋体" w:eastAsia="宋体" w:cs="宋体"/>
          <w:color w:val="auto"/>
          <w:sz w:val="24"/>
          <w:szCs w:val="24"/>
          <w:highlight w:val="none"/>
          <w:shd w:val="clear" w:color="auto" w:fill="ffffff"/>
        </w:rPr>
        <w:t xml:space="preserve">在中国境内完成。</w:t>
      </w:r>
      <w:r/>
    </w:p>
    <w:p>
      <w:pPr>
        <w:pStyle w:val="7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w:t>
      </w:r>
      <w:r>
        <w:rPr>
          <w:rFonts w:ascii="宋体" w:hAnsi="宋体" w:eastAsia="宋体" w:cs="宋体"/>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color w:val="auto"/>
          <w:sz w:val="24"/>
          <w:szCs w:val="24"/>
          <w:highlight w:val="none"/>
          <w:shd w:val="clear" w:color="auto" w:fill="ffffff"/>
        </w:rPr>
        <w:t xml:space="preserve">在中国境内完成。</w:t>
      </w:r>
      <w:r/>
    </w:p>
    <w:p>
      <w:pPr>
        <w:pStyle w:val="7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w:t>
      </w:r>
      <w:r/>
    </w:p>
    <w:p>
      <w:pPr>
        <w:pStyle w:val="7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755"/>
        <w:ind w:left="0" w:right="480" w:firstLine="37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公司（单位）名称（盖章）：　</w:t>
      </w:r>
      <w:r/>
    </w:p>
    <w:p>
      <w:pPr>
        <w:pStyle w:val="755"/>
        <w:jc w:val="center"/>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                                日期：　   年　  月　  日         </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__________________</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1.产品如有型号，请在“产品名称”栏一并填写。</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4.该产品的关键组件要求实施前，“关键组件”栏可不填，下同。</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5.该产品的关键工序要求实施前，“关键工序”栏可不填，下同。</w:t>
      </w:r>
      <w:r/>
    </w:p>
    <w:p>
      <w:pPr>
        <w:pStyle w:val="7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6.用</w:t>
      </w:r>
      <w:r>
        <w:rPr>
          <w:rFonts w:hint="eastAsia" w:ascii="宋体" w:hAnsi="宋体" w:eastAsia="宋体" w:cs="宋体"/>
          <w:color w:val="auto"/>
          <w:sz w:val="24"/>
          <w:szCs w:val="24"/>
          <w:highlight w:val="none"/>
          <w:shd w:val="clear" w:color="auto" w:fill="ffffff"/>
          <w:lang w:val="en-US" w:eastAsia="zh-CN"/>
        </w:rPr>
        <w:t xml:space="preserve">横</w:t>
      </w:r>
      <w:r>
        <w:rPr>
          <w:rFonts w:ascii="宋体" w:hAnsi="宋体" w:eastAsia="宋体" w:cs="宋体"/>
          <w:color w:val="auto"/>
          <w:sz w:val="24"/>
          <w:szCs w:val="24"/>
          <w:highlight w:val="none"/>
          <w:shd w:val="clear" w:color="auto" w:fill="ffffff"/>
        </w:rPr>
        <w:t xml:space="preserve">线划除的地方无需填写。</w:t>
      </w:r>
      <w:r/>
    </w:p>
    <w:p>
      <w:pPr>
        <w:pStyle w:val="75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5"/>
        <w:jc w:val="center"/>
        <w:spacing w:beforeAutospacing="0" w:afterAutospacing="0"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jc w:val="center"/>
        <w:spacing w:beforeAutospacing="0" w:afterAutospacing="0"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jc w:val="center"/>
        <w:spacing w:beforeAutospacing="0" w:afterAutospacing="0"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jc w:val="center"/>
        <w:spacing w:beforeAutospacing="0" w:afterAutospacing="0"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jc w:val="center"/>
        <w:spacing w:beforeAutospacing="0" w:afterAutospacing="0"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jc w:val="center"/>
        <w:spacing w:beforeAutospacing="0" w:afterAutospacing="0" w:line="48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 xml:space="preserve">十五、</w:t>
      </w:r>
      <w:r>
        <w:rPr>
          <w:rFonts w:hint="eastAsia" w:ascii="宋体" w:hAnsi="宋体" w:eastAsia="宋体" w:cs="宋体"/>
          <w:color w:val="auto"/>
          <w:sz w:val="32"/>
          <w:szCs w:val="32"/>
          <w:highlight w:val="none"/>
        </w:rPr>
        <w:t xml:space="preserve">盐城市政府采购事前信用承诺书</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（八）本人已认真阅读了上述承诺，并向本单位员工做了宣传教育。</w:t>
      </w:r>
      <w:r/>
    </w:p>
    <w:p>
      <w:pPr>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7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60"/>
      <w:r/>
      <w:bookmarkEnd w:id="169"/>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bookmarkEnd w:id="192"/>
      <w:r/>
      <w:r/>
    </w:p>
    <w:p>
      <w:pPr>
        <w:pStyle w:val="755"/>
        <w:jc w:val="center"/>
        <w:spacing w:beforeAutospacing="0" w:afterAutospacing="0"/>
        <w:rPr>
          <w:color w:val="auto"/>
          <w:highlight w:val="none"/>
        </w:rPr>
      </w:pPr>
      <w:r>
        <w:rPr>
          <w:color w:val="auto"/>
          <w:highlight w:val="none"/>
        </w:rPr>
      </w:r>
      <w:r/>
    </w:p>
    <w:p>
      <w:pPr>
        <w:pStyle w:val="75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5"/>
        <w:jc w:val="both"/>
        <w:spacing w:before="29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55"/>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55"/>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55"/>
        <w:ind w:firstLine="48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55"/>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txbxContent>
              </v:textbox>
            </v:shape>
          </w:pict>
        </mc:Fallback>
      </mc:AlternateContent>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lvlOverride w:ilvl="0">
      <w:startOverride w:val="23"/>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733"/>
    <w:link w:val="724"/>
    <w:uiPriority w:val="9"/>
    <w:rPr>
      <w:rFonts w:ascii="Arial" w:hAnsi="Arial" w:eastAsia="Arial" w:cs="Arial"/>
      <w:sz w:val="40"/>
      <w:szCs w:val="40"/>
    </w:rPr>
  </w:style>
  <w:style w:type="character" w:styleId="690">
    <w:name w:val="Heading 3 Char"/>
    <w:basedOn w:val="733"/>
    <w:link w:val="726"/>
    <w:uiPriority w:val="9"/>
    <w:rPr>
      <w:rFonts w:ascii="Arial" w:hAnsi="Arial" w:eastAsia="Arial" w:cs="Arial"/>
      <w:sz w:val="30"/>
      <w:szCs w:val="30"/>
    </w:rPr>
  </w:style>
  <w:style w:type="character" w:styleId="691">
    <w:name w:val="Heading 4 Char"/>
    <w:basedOn w:val="733"/>
    <w:link w:val="727"/>
    <w:uiPriority w:val="9"/>
    <w:rPr>
      <w:rFonts w:ascii="Arial" w:hAnsi="Arial" w:eastAsia="Arial" w:cs="Arial"/>
      <w:b/>
      <w:bCs/>
      <w:sz w:val="26"/>
      <w:szCs w:val="26"/>
    </w:rPr>
  </w:style>
  <w:style w:type="character" w:styleId="692">
    <w:name w:val="Heading 5 Char"/>
    <w:basedOn w:val="733"/>
    <w:link w:val="728"/>
    <w:uiPriority w:val="9"/>
    <w:rPr>
      <w:rFonts w:ascii="Arial" w:hAnsi="Arial" w:eastAsia="Arial" w:cs="Arial"/>
      <w:b/>
      <w:bCs/>
      <w:sz w:val="24"/>
      <w:szCs w:val="24"/>
    </w:rPr>
  </w:style>
  <w:style w:type="character" w:styleId="693">
    <w:name w:val="Heading 6 Char"/>
    <w:basedOn w:val="733"/>
    <w:link w:val="729"/>
    <w:uiPriority w:val="9"/>
    <w:rPr>
      <w:rFonts w:ascii="Arial" w:hAnsi="Arial" w:eastAsia="Arial" w:cs="Arial"/>
      <w:b/>
      <w:bCs/>
      <w:sz w:val="22"/>
      <w:szCs w:val="22"/>
    </w:rPr>
  </w:style>
  <w:style w:type="character" w:styleId="694">
    <w:name w:val="Heading 7 Char"/>
    <w:basedOn w:val="733"/>
    <w:link w:val="730"/>
    <w:uiPriority w:val="9"/>
    <w:rPr>
      <w:rFonts w:ascii="Arial" w:hAnsi="Arial" w:eastAsia="Arial" w:cs="Arial"/>
      <w:b/>
      <w:bCs/>
      <w:i/>
      <w:iCs/>
      <w:sz w:val="22"/>
      <w:szCs w:val="22"/>
    </w:rPr>
  </w:style>
  <w:style w:type="character" w:styleId="695">
    <w:name w:val="Heading 8 Char"/>
    <w:basedOn w:val="733"/>
    <w:link w:val="731"/>
    <w:uiPriority w:val="9"/>
    <w:rPr>
      <w:rFonts w:ascii="Arial" w:hAnsi="Arial" w:eastAsia="Arial" w:cs="Arial"/>
      <w:i/>
      <w:iCs/>
      <w:sz w:val="22"/>
      <w:szCs w:val="22"/>
    </w:rPr>
  </w:style>
  <w:style w:type="character" w:styleId="696">
    <w:name w:val="Heading 9 Char"/>
    <w:basedOn w:val="733"/>
    <w:link w:val="732"/>
    <w:uiPriority w:val="9"/>
    <w:rPr>
      <w:rFonts w:ascii="Arial" w:hAnsi="Arial" w:eastAsia="Arial" w:cs="Arial"/>
      <w:i/>
      <w:iCs/>
      <w:sz w:val="21"/>
      <w:szCs w:val="21"/>
    </w:rPr>
  </w:style>
  <w:style w:type="character" w:styleId="697">
    <w:name w:val="Title Char"/>
    <w:basedOn w:val="733"/>
    <w:link w:val="756"/>
    <w:uiPriority w:val="10"/>
    <w:rPr>
      <w:sz w:val="48"/>
      <w:szCs w:val="48"/>
    </w:rPr>
  </w:style>
  <w:style w:type="character" w:styleId="698">
    <w:name w:val="Subtitle Char"/>
    <w:basedOn w:val="733"/>
    <w:link w:val="749"/>
    <w:uiPriority w:val="11"/>
    <w:rPr>
      <w:sz w:val="24"/>
      <w:szCs w:val="24"/>
    </w:rPr>
  </w:style>
  <w:style w:type="character" w:styleId="699">
    <w:name w:val="Quote Char"/>
    <w:link w:val="777"/>
    <w:uiPriority w:val="29"/>
    <w:rPr>
      <w:i/>
    </w:rPr>
  </w:style>
  <w:style w:type="character" w:styleId="700">
    <w:name w:val="Intense Quote Char"/>
    <w:link w:val="779"/>
    <w:uiPriority w:val="30"/>
    <w:rPr>
      <w:i/>
    </w:rPr>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0"/>
    <w:uiPriority w:val="99"/>
    <w:rPr>
      <w:sz w:val="18"/>
    </w:rPr>
  </w:style>
  <w:style w:type="character" w:styleId="721">
    <w:name w:val="Endnote Text Char"/>
    <w:link w:val="744"/>
    <w:uiPriority w:val="99"/>
    <w:rPr>
      <w:sz w:val="20"/>
    </w:rPr>
  </w:style>
  <w:style w:type="paragraph" w:styleId="722">
    <w:name w:val="TOC Heading"/>
    <w:uiPriority w:val="39"/>
    <w:unhideWhenUsed/>
  </w:style>
  <w:style w:type="paragraph" w:styleId="72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4">
    <w:name w:val="Heading 1"/>
    <w:basedOn w:val="723"/>
    <w:next w:val="723"/>
    <w:link w:val="764"/>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26">
    <w:name w:val="Heading 3"/>
    <w:basedOn w:val="723"/>
    <w:next w:val="723"/>
    <w:link w:val="766"/>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67"/>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68"/>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769"/>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71"/>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72"/>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Normal Indent"/>
    <w:basedOn w:val="723"/>
    <w:next w:val="723"/>
    <w:uiPriority w:val="99"/>
    <w:semiHidden/>
    <w:unhideWhenUsed/>
    <w:qFormat/>
    <w:pPr>
      <w:ind w:firstLine="420"/>
    </w:pPr>
  </w:style>
  <w:style w:type="paragraph" w:styleId="737">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8">
    <w:name w:val="annotation text"/>
    <w:basedOn w:val="723"/>
    <w:uiPriority w:val="0"/>
    <w:qFormat/>
    <w:pPr>
      <w:jc w:val="left"/>
    </w:pPr>
  </w:style>
  <w:style w:type="paragraph" w:styleId="739">
    <w:name w:val="Body Text"/>
    <w:basedOn w:val="723"/>
    <w:next w:val="723"/>
    <w:uiPriority w:val="0"/>
    <w:unhideWhenUsed/>
    <w:qFormat/>
    <w:pPr>
      <w:spacing w:after="120"/>
    </w:pPr>
    <w:rPr>
      <w:rFonts w:ascii="Calibri" w:hAnsi="Calibri"/>
      <w:szCs w:val="22"/>
    </w:rPr>
  </w:style>
  <w:style w:type="paragraph" w:styleId="740">
    <w:name w:val="toc 5"/>
    <w:basedOn w:val="723"/>
    <w:next w:val="723"/>
    <w:uiPriority w:val="39"/>
    <w:unhideWhenUsed/>
    <w:qFormat/>
    <w:pPr>
      <w:ind w:left="1134"/>
      <w:spacing w:after="57"/>
    </w:pPr>
  </w:style>
  <w:style w:type="paragraph" w:styleId="741">
    <w:name w:val="toc 3"/>
    <w:basedOn w:val="723"/>
    <w:next w:val="723"/>
    <w:uiPriority w:val="39"/>
    <w:unhideWhenUsed/>
    <w:qFormat/>
    <w:pPr>
      <w:ind w:left="567"/>
      <w:spacing w:after="57"/>
    </w:pPr>
  </w:style>
  <w:style w:type="paragraph" w:styleId="742">
    <w:name w:val="Plain Text"/>
    <w:basedOn w:val="723"/>
    <w:uiPriority w:val="0"/>
    <w:unhideWhenUsed/>
    <w:qFormat/>
    <w:rPr>
      <w:rFonts w:ascii="宋体" w:hAnsi="Courier New" w:cs="Courier New"/>
      <w:szCs w:val="21"/>
    </w:rPr>
  </w:style>
  <w:style w:type="paragraph" w:styleId="743">
    <w:name w:val="toc 8"/>
    <w:basedOn w:val="723"/>
    <w:next w:val="723"/>
    <w:uiPriority w:val="39"/>
    <w:unhideWhenUsed/>
    <w:qFormat/>
    <w:pPr>
      <w:ind w:left="1984"/>
      <w:spacing w:after="57"/>
    </w:pPr>
  </w:style>
  <w:style w:type="paragraph" w:styleId="744">
    <w:name w:val="endnote text"/>
    <w:basedOn w:val="723"/>
    <w:link w:val="910"/>
    <w:uiPriority w:val="99"/>
    <w:semiHidden/>
    <w:unhideWhenUsed/>
    <w:qFormat/>
    <w:rPr>
      <w:sz w:val="20"/>
    </w:rPr>
  </w:style>
  <w:style w:type="paragraph" w:styleId="745">
    <w:name w:val="Footer"/>
    <w:basedOn w:val="723"/>
    <w:link w:val="914"/>
    <w:uiPriority w:val="0"/>
    <w:qFormat/>
    <w:pPr>
      <w:jc w:val="left"/>
      <w:tabs>
        <w:tab w:val="center" w:pos="4153" w:leader="none"/>
        <w:tab w:val="right" w:pos="8306" w:leader="none"/>
      </w:tabs>
    </w:pPr>
    <w:rPr>
      <w:sz w:val="18"/>
      <w:szCs w:val="18"/>
    </w:rPr>
  </w:style>
  <w:style w:type="paragraph" w:styleId="746">
    <w:name w:val="Header"/>
    <w:basedOn w:val="723"/>
    <w:link w:val="913"/>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23"/>
    <w:next w:val="723"/>
    <w:uiPriority w:val="39"/>
    <w:unhideWhenUsed/>
    <w:qFormat/>
    <w:pPr>
      <w:spacing w:after="57"/>
    </w:pPr>
  </w:style>
  <w:style w:type="paragraph" w:styleId="748">
    <w:name w:val="toc 4"/>
    <w:basedOn w:val="723"/>
    <w:next w:val="723"/>
    <w:uiPriority w:val="39"/>
    <w:unhideWhenUsed/>
    <w:qFormat/>
    <w:pPr>
      <w:ind w:left="850"/>
      <w:spacing w:after="57"/>
    </w:pPr>
  </w:style>
  <w:style w:type="paragraph" w:styleId="749">
    <w:name w:val="Subtitle"/>
    <w:basedOn w:val="723"/>
    <w:next w:val="723"/>
    <w:link w:val="776"/>
    <w:uiPriority w:val="11"/>
    <w:qFormat/>
    <w:pPr>
      <w:spacing w:before="200" w:after="200"/>
    </w:pPr>
    <w:rPr>
      <w:sz w:val="24"/>
    </w:rPr>
  </w:style>
  <w:style w:type="paragraph" w:styleId="750">
    <w:name w:val="footnote text"/>
    <w:basedOn w:val="723"/>
    <w:link w:val="909"/>
    <w:uiPriority w:val="99"/>
    <w:semiHidden/>
    <w:unhideWhenUsed/>
    <w:qFormat/>
    <w:pPr>
      <w:spacing w:after="40"/>
    </w:pPr>
    <w:rPr>
      <w:sz w:val="18"/>
    </w:rPr>
  </w:style>
  <w:style w:type="paragraph" w:styleId="751">
    <w:name w:val="toc 6"/>
    <w:basedOn w:val="723"/>
    <w:next w:val="723"/>
    <w:uiPriority w:val="39"/>
    <w:unhideWhenUsed/>
    <w:qFormat/>
    <w:pPr>
      <w:ind w:left="1417"/>
      <w:spacing w:after="57"/>
    </w:pPr>
  </w:style>
  <w:style w:type="paragraph" w:styleId="752">
    <w:name w:val="table of figures"/>
    <w:basedOn w:val="723"/>
    <w:next w:val="723"/>
    <w:uiPriority w:val="99"/>
    <w:unhideWhenUsed/>
    <w:qFormat/>
  </w:style>
  <w:style w:type="paragraph" w:styleId="753">
    <w:name w:val="toc 2"/>
    <w:basedOn w:val="723"/>
    <w:next w:val="723"/>
    <w:uiPriority w:val="39"/>
    <w:unhideWhenUsed/>
    <w:qFormat/>
    <w:pPr>
      <w:ind w:left="283"/>
      <w:spacing w:after="57"/>
    </w:pPr>
  </w:style>
  <w:style w:type="paragraph" w:styleId="754">
    <w:name w:val="toc 9"/>
    <w:basedOn w:val="723"/>
    <w:next w:val="723"/>
    <w:uiPriority w:val="39"/>
    <w:unhideWhenUsed/>
    <w:qFormat/>
    <w:pPr>
      <w:ind w:left="2268"/>
      <w:spacing w:after="57"/>
    </w:pPr>
  </w:style>
  <w:style w:type="paragraph" w:styleId="755">
    <w:name w:val="Normal (Web)"/>
    <w:basedOn w:val="723"/>
    <w:uiPriority w:val="0"/>
    <w:qFormat/>
    <w:pPr>
      <w:jc w:val="left"/>
      <w:spacing w:beforeAutospacing="1" w:afterAutospacing="1"/>
    </w:pPr>
    <w:rPr>
      <w:rFonts w:cs="Times New Roman"/>
      <w:sz w:val="24"/>
    </w:rPr>
  </w:style>
  <w:style w:type="paragraph" w:styleId="756">
    <w:name w:val="Title"/>
    <w:basedOn w:val="723"/>
    <w:next w:val="723"/>
    <w:link w:val="775"/>
    <w:uiPriority w:val="10"/>
    <w:qFormat/>
    <w:pPr>
      <w:contextualSpacing/>
      <w:spacing w:before="300" w:after="200"/>
    </w:pPr>
    <w:rPr>
      <w:sz w:val="48"/>
      <w:szCs w:val="48"/>
    </w:rPr>
  </w:style>
  <w:style w:type="table" w:styleId="757">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33"/>
    <w:uiPriority w:val="22"/>
    <w:qFormat/>
    <w:rPr>
      <w:b/>
    </w:rPr>
  </w:style>
  <w:style w:type="character" w:styleId="759">
    <w:name w:val="endnote reference"/>
    <w:basedOn w:val="733"/>
    <w:uiPriority w:val="99"/>
    <w:semiHidden/>
    <w:unhideWhenUsed/>
    <w:qFormat/>
    <w:rPr>
      <w:vertAlign w:val="superscript"/>
    </w:rPr>
  </w:style>
  <w:style w:type="character" w:styleId="760">
    <w:name w:val="Emphasis"/>
    <w:basedOn w:val="733"/>
    <w:uiPriority w:val="20"/>
    <w:qFormat/>
    <w:rPr>
      <w:i/>
    </w:rPr>
  </w:style>
  <w:style w:type="character" w:styleId="761">
    <w:name w:val="Hyperlink"/>
    <w:uiPriority w:val="99"/>
    <w:unhideWhenUsed/>
    <w:qFormat/>
    <w:rPr>
      <w:color w:val="0563c1" w:themeColor="hyperlink"/>
      <w:u w:val="single"/>
      <w14:textFill>
        <w14:solidFill>
          <w14:schemeClr w14:val="hlink"/>
        </w14:solidFill>
      </w14:textFill>
    </w:rPr>
  </w:style>
  <w:style w:type="character" w:styleId="762">
    <w:name w:val="footnote reference"/>
    <w:basedOn w:val="733"/>
    <w:uiPriority w:val="99"/>
    <w:unhideWhenUsed/>
    <w:qFormat/>
    <w:rPr>
      <w:vertAlign w:val="superscript"/>
    </w:rPr>
  </w:style>
  <w:style w:type="paragraph" w:styleId="763" w:customStyle="1">
    <w:name w:val="文本块1"/>
    <w:basedOn w:val="723"/>
    <w:uiPriority w:val="0"/>
    <w:qFormat/>
    <w:pPr>
      <w:ind w:left="1440"/>
      <w:spacing w:after="120"/>
    </w:pPr>
    <w:rPr>
      <w:rFonts w:hint="eastAsia"/>
    </w:rPr>
  </w:style>
  <w:style w:type="character" w:styleId="764" w:customStyle="1">
    <w:name w:val="标题 1 字符"/>
    <w:basedOn w:val="733"/>
    <w:link w:val="724"/>
    <w:uiPriority w:val="9"/>
    <w:qFormat/>
    <w:rPr>
      <w:rFonts w:ascii="Arial" w:hAnsi="Arial" w:eastAsia="Arial" w:cs="Arial"/>
      <w:sz w:val="40"/>
      <w:szCs w:val="40"/>
    </w:rPr>
  </w:style>
  <w:style w:type="character" w:styleId="765" w:customStyle="1">
    <w:name w:val="Heading 2 Char"/>
    <w:basedOn w:val="733"/>
    <w:uiPriority w:val="9"/>
    <w:qFormat/>
    <w:rPr>
      <w:rFonts w:ascii="Arial" w:hAnsi="Arial" w:eastAsia="Arial" w:cs="Arial"/>
      <w:sz w:val="34"/>
    </w:rPr>
  </w:style>
  <w:style w:type="character" w:styleId="766" w:customStyle="1">
    <w:name w:val="标题 3 字符"/>
    <w:basedOn w:val="733"/>
    <w:link w:val="726"/>
    <w:uiPriority w:val="9"/>
    <w:qFormat/>
    <w:rPr>
      <w:rFonts w:ascii="Arial" w:hAnsi="Arial" w:eastAsia="Arial" w:cs="Arial"/>
      <w:sz w:val="30"/>
      <w:szCs w:val="30"/>
    </w:rPr>
  </w:style>
  <w:style w:type="character" w:styleId="767" w:customStyle="1">
    <w:name w:val="标题 4 字符"/>
    <w:basedOn w:val="733"/>
    <w:link w:val="727"/>
    <w:uiPriority w:val="9"/>
    <w:qFormat/>
    <w:rPr>
      <w:rFonts w:ascii="Arial" w:hAnsi="Arial" w:eastAsia="Arial" w:cs="Arial"/>
      <w:b/>
      <w:bCs/>
      <w:sz w:val="26"/>
      <w:szCs w:val="26"/>
    </w:rPr>
  </w:style>
  <w:style w:type="character" w:styleId="768" w:customStyle="1">
    <w:name w:val="标题 5 字符"/>
    <w:basedOn w:val="733"/>
    <w:link w:val="728"/>
    <w:uiPriority w:val="9"/>
    <w:qFormat/>
    <w:rPr>
      <w:rFonts w:ascii="Arial" w:hAnsi="Arial" w:eastAsia="Arial" w:cs="Arial"/>
      <w:b/>
      <w:bCs/>
      <w:sz w:val="24"/>
      <w:szCs w:val="24"/>
    </w:rPr>
  </w:style>
  <w:style w:type="character" w:styleId="769" w:customStyle="1">
    <w:name w:val="标题 6 字符"/>
    <w:basedOn w:val="733"/>
    <w:link w:val="729"/>
    <w:uiPriority w:val="9"/>
    <w:qFormat/>
    <w:rPr>
      <w:rFonts w:ascii="Arial" w:hAnsi="Arial" w:eastAsia="Arial" w:cs="Arial"/>
      <w:b/>
      <w:bCs/>
      <w:sz w:val="22"/>
      <w:szCs w:val="22"/>
    </w:rPr>
  </w:style>
  <w:style w:type="character" w:styleId="770" w:customStyle="1">
    <w:name w:val="标题 7 字符"/>
    <w:basedOn w:val="733"/>
    <w:link w:val="730"/>
    <w:uiPriority w:val="9"/>
    <w:qFormat/>
    <w:rPr>
      <w:rFonts w:ascii="Arial" w:hAnsi="Arial" w:eastAsia="Arial" w:cs="Arial"/>
      <w:b/>
      <w:bCs/>
      <w:i/>
      <w:iCs/>
      <w:sz w:val="22"/>
      <w:szCs w:val="22"/>
    </w:rPr>
  </w:style>
  <w:style w:type="character" w:styleId="771" w:customStyle="1">
    <w:name w:val="标题 8 字符"/>
    <w:basedOn w:val="733"/>
    <w:link w:val="731"/>
    <w:uiPriority w:val="9"/>
    <w:qFormat/>
    <w:rPr>
      <w:rFonts w:ascii="Arial" w:hAnsi="Arial" w:eastAsia="Arial" w:cs="Arial"/>
      <w:i/>
      <w:iCs/>
      <w:sz w:val="22"/>
      <w:szCs w:val="22"/>
    </w:rPr>
  </w:style>
  <w:style w:type="character" w:styleId="772" w:customStyle="1">
    <w:name w:val="标题 9 字符"/>
    <w:basedOn w:val="733"/>
    <w:link w:val="732"/>
    <w:uiPriority w:val="9"/>
    <w:qFormat/>
    <w:rPr>
      <w:rFonts w:ascii="Arial" w:hAnsi="Arial" w:eastAsia="Arial" w:cs="Arial"/>
      <w:i/>
      <w:iCs/>
      <w:sz w:val="21"/>
      <w:szCs w:val="21"/>
    </w:rPr>
  </w:style>
  <w:style w:type="paragraph" w:styleId="773">
    <w:name w:val="List Paragraph"/>
    <w:basedOn w:val="723"/>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basedOn w:val="733"/>
    <w:link w:val="756"/>
    <w:uiPriority w:val="10"/>
    <w:qFormat/>
    <w:rPr>
      <w:sz w:val="48"/>
      <w:szCs w:val="48"/>
    </w:rPr>
  </w:style>
  <w:style w:type="character" w:styleId="776" w:customStyle="1">
    <w:name w:val="副标题 字符"/>
    <w:basedOn w:val="733"/>
    <w:link w:val="749"/>
    <w:uiPriority w:val="11"/>
    <w:qFormat/>
    <w:rPr>
      <w:sz w:val="24"/>
      <w:szCs w:val="24"/>
    </w:rPr>
  </w:style>
  <w:style w:type="paragraph" w:styleId="777">
    <w:name w:val="Quote"/>
    <w:basedOn w:val="723"/>
    <w:next w:val="723"/>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23"/>
    <w:next w:val="723"/>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Header Char"/>
    <w:basedOn w:val="733"/>
    <w:uiPriority w:val="99"/>
    <w:qFormat/>
  </w:style>
  <w:style w:type="character" w:styleId="782" w:customStyle="1">
    <w:name w:val="Footer Char"/>
    <w:basedOn w:val="733"/>
    <w:uiPriority w:val="99"/>
    <w:qFormat/>
  </w:style>
  <w:style w:type="character" w:styleId="783" w:customStyle="1">
    <w:name w:val="Caption Char"/>
    <w:uiPriority w:val="99"/>
    <w:qFormat/>
  </w:style>
  <w:style w:type="table" w:styleId="784"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0"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4"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9"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8"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1"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2"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6"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6"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7"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8"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9"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0"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1"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0"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1"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3"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4"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4"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5"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7"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8"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9" w:customStyle="1">
    <w:name w:val="脚注文本 字符"/>
    <w:link w:val="750"/>
    <w:uiPriority w:val="99"/>
    <w:qFormat/>
    <w:rPr>
      <w:sz w:val="18"/>
    </w:rPr>
  </w:style>
  <w:style w:type="character" w:styleId="910" w:customStyle="1">
    <w:name w:val="尾注文本 字符"/>
    <w:link w:val="744"/>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paragraph" w:styleId="912" w:customStyle="1">
    <w:name w:val="Default"/>
    <w:basedOn w:val="723"/>
    <w:uiPriority w:val="0"/>
    <w:semiHidden/>
    <w:qFormat/>
    <w:pPr>
      <w:jc w:val="left"/>
    </w:pPr>
    <w:rPr>
      <w:rFonts w:ascii="宋体" w:hAnsi="Calibri" w:cs="宋体"/>
      <w:color w:val="000000"/>
      <w:sz w:val="24"/>
    </w:rPr>
  </w:style>
  <w:style w:type="character" w:styleId="913" w:customStyle="1">
    <w:name w:val="页眉 字符"/>
    <w:basedOn w:val="733"/>
    <w:link w:val="746"/>
    <w:uiPriority w:val="0"/>
    <w:qFormat/>
    <w:rPr>
      <w:rFonts w:asciiTheme="minorHAnsi" w:hAnsiTheme="minorHAnsi" w:eastAsiaTheme="minorEastAsia" w:cstheme="minorBidi"/>
      <w:sz w:val="18"/>
      <w:szCs w:val="18"/>
    </w:rPr>
  </w:style>
  <w:style w:type="character" w:styleId="914" w:customStyle="1">
    <w:name w:val="页脚 字符"/>
    <w:basedOn w:val="733"/>
    <w:link w:val="745"/>
    <w:uiPriority w:val="0"/>
    <w:qFormat/>
    <w:rPr>
      <w:rFonts w:asciiTheme="minorHAnsi" w:hAnsiTheme="minorHAnsi" w:eastAsiaTheme="minorEastAsia" w:cstheme="minorBidi"/>
      <w:sz w:val="18"/>
      <w:szCs w:val="18"/>
    </w:rPr>
  </w:style>
  <w:style w:type="paragraph" w:styleId="9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6" w:customStyle="1">
    <w:name w:val="页脚1"/>
    <w:basedOn w:val="723"/>
    <w:uiPriority w:val="99"/>
    <w:unhideWhenUsed/>
    <w:qFormat/>
    <w:pPr>
      <w:jc w:val="left"/>
      <w:tabs>
        <w:tab w:val="center" w:pos="4153" w:leader="none"/>
        <w:tab w:val="right" w:pos="8306" w:leader="none"/>
      </w:tabs>
    </w:pPr>
    <w:rPr>
      <w:sz w:val="18"/>
      <w:szCs w:val="18"/>
    </w:rPr>
  </w:style>
  <w:style w:type="paragraph" w:styleId="917" w:customStyle="1">
    <w:name w:val="普通正文"/>
    <w:basedOn w:val="723"/>
    <w:uiPriority w:val="0"/>
    <w:qFormat/>
    <w:pPr>
      <w:ind w:firstLine="480"/>
      <w:jc w:val="left"/>
      <w:spacing w:before="120" w:after="120" w:line="360" w:lineRule="auto"/>
    </w:pPr>
    <w:rPr>
      <w:rFonts w:ascii="Arial" w:hAnsi="Arial" w:eastAsia="等线" w:cs="Arial"/>
      <w:sz w:val="24"/>
    </w:rPr>
  </w:style>
  <w:style w:type="paragraph" w:styleId="918" w:customStyle="1">
    <w:name w:val="正文首行缩进 21"/>
    <w:basedOn w:val="919"/>
    <w:uiPriority w:val="0"/>
    <w:qFormat/>
    <w:pPr>
      <w:ind w:firstLine="420"/>
    </w:pPr>
  </w:style>
  <w:style w:type="paragraph" w:styleId="919" w:customStyle="1">
    <w:name w:val="正文文本缩进1"/>
    <w:basedOn w:val="723"/>
    <w:uiPriority w:val="0"/>
    <w:qFormat/>
    <w:pPr>
      <w:ind w:left="420"/>
      <w:spacing w:after="120"/>
    </w:pPr>
  </w:style>
  <w:style w:type="paragraph" w:styleId="920" w:customStyle="1">
    <w:name w:val="p0"/>
    <w:basedOn w:val="723"/>
    <w:uiPriority w:val="0"/>
    <w:qFormat/>
    <w:pPr>
      <w:widowControl/>
    </w:pPr>
    <w:rPr>
      <w:rFonts w:ascii="Calibri" w:hAnsi="Calibri" w:eastAsia="宋体" w:cs="Times New Roman"/>
      <w:szCs w:val="21"/>
    </w:rPr>
  </w:style>
  <w:style w:type="paragraph" w:styleId="921"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922" w:customStyle="1">
    <w:name w:val="Revision"/>
    <w:hidden/>
    <w:uiPriority w:val="99"/>
    <w:unhideWhenUsed/>
    <w:qFormat/>
    <w:rPr>
      <w:rFonts w:asciiTheme="minorHAnsi" w:hAnsiTheme="minorHAnsi" w:eastAsiaTheme="minorEastAsia" w:cstheme="minorBidi"/>
      <w:sz w:val="21"/>
      <w:szCs w:val="24"/>
      <w:lang w:val="en-US" w:eastAsia="zh-CN" w:bidi="ar-SA"/>
    </w:rPr>
  </w:style>
  <w:style w:type="paragraph" w:styleId="923" w:customStyle="1">
    <w:name w:val="正文缩进11"/>
    <w:basedOn w:val="723"/>
    <w:uiPriority w:val="0"/>
    <w:unhideWhenUsed/>
    <w:qFormat/>
    <w:pPr>
      <w:ind w:firstLine="420"/>
    </w:pPr>
  </w:style>
  <w:style w:type="paragraph" w:styleId="924" w:customStyle="1">
    <w:name w:val="Table Text"/>
    <w:basedOn w:val="723"/>
    <w:uiPriority w:val="0"/>
    <w:semiHidden/>
    <w:qFormat/>
    <w:rPr>
      <w:rFonts w:ascii="仿宋" w:hAnsi="仿宋" w:eastAsia="仿宋" w:cs="仿宋"/>
      <w:sz w:val="24"/>
      <w:szCs w:val="24"/>
    </w:rPr>
  </w:style>
  <w:style w:type="paragraph" w:styleId="925" w:customStyle="1">
    <w:name w:val="null3"/>
    <w:hidden/>
    <w:uiPriority w:val="0"/>
    <w:qFormat/>
    <w:rPr>
      <w:rFonts w:hint="eastAsia" w:asciiTheme="minorHAnsi" w:hAnsiTheme="minorHAnsi" w:eastAsiaTheme="minorEastAsia" w:cstheme="minorBidi"/>
      <w:lang w:val="en-US" w:eastAsia="zh-Hans"/>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6ea36009-7a10-4494-998b-6e7639d2cd07</errorID>
      <errorWord>证</errorWord>
      <group>L1_Grammar</group>
      <groupName>语法问题</groupName>
      <ability>L2_Order</ability>
      <abilityName>语序不当</abilityName>
      <candidateList>
        <item>（证</item>
      </candidateList>
      <explain>句子可能没有遵循时空、逻辑顺序，或者介词、关联词等位置不当。</explain>
      <paraID>2CF711B2</paraID>
      <start>88</start>
      <end>89</end>
      <status>ignored</status>
      <modifiedWord/>
      <trackRevisions>false</trackRevisions>
    </reviewItem>
    <reviewItem>
      <errorID>2a1b4776-c7dd-419e-8fdb-3db60302c51c</errorID>
      <errorWord>响</errorWord>
      <group>L1_Word</group>
      <groupName>字词问题</groupName>
      <ability>L2_Typo</ability>
      <abilityName>字词错误</abilityName>
      <candidateList>
        <item>响应</item>
      </candidateList>
      <explain>〈动〉回声相应，比喻用言语行动表示赞同、支持某种号召或倡议：～号召。</explain>
      <paraID>5BEA5C8F</paraID>
      <start>42</start>
      <end>44</end>
      <status>modified</status>
      <modifiedWord>响应</modifiedWord>
      <trackRevisions>false</trackRevisions>
    </reviewItem>
    <reviewItem>
      <errorID>2ec1a456-9685-4e05-91b7-42f66bf0c7b4</errorID>
      <errorWord>-</errorWord>
      <group>L1_Format</group>
      <groupName>格式问题</groupName>
      <ability>L2_HalfPunc</ability>
      <abilityName>全半角检查</abilityName>
      <candidateList>
        <item>－</item>
      </candidateList>
      <explain>文本全半角错误。</explain>
      <paraID>626DEBC4</paraID>
      <start>14</start>
      <end>15</end>
      <status>ignored</status>
      <modifiedWord/>
      <trackRevisions>false</trackRevisions>
    </reviewItem>
    <reviewItem>
      <errorID>8fe53e41-846b-4ecd-afe6-2b9627b8cbab</errorID>
      <errorWord>-</errorWord>
      <group>L1_Format</group>
      <groupName>格式问题</groupName>
      <ability>L2_HalfPunc</ability>
      <abilityName>全半角检查</abilityName>
      <candidateList>
        <item>－</item>
      </candidateList>
      <explain>文本全半角错误。</explain>
      <paraID>626DEBC4</paraID>
      <start>15</start>
      <end>16</end>
      <status>ignored</status>
      <modifiedWord/>
      <trackRevisions>false</trackRevisions>
    </reviewItem>
    <reviewItem>
      <errorID>82c35c75-6484-43c7-85a9-261e9a2ffa2a</errorID>
      <errorWord>“.</errorWord>
      <group>L1_Punc</group>
      <groupName>标点问题</groupName>
      <ability>L2_Punc</ability>
      <abilityName>标点符号检查</abilityName>
      <candidateList>
        <item>“</item>
      </candidateList>
      <explain/>
      <paraID>626DEBC4</paraID>
      <start>57</start>
      <end>59</end>
      <status>ignored</status>
      <modifiedWord/>
      <trackRevisions>false</trackRevisions>
    </reviewItem>
    <reviewItem>
      <errorID>79684ca7-9980-48e7-8ba6-d169919b7a9b</errorID>
      <errorWord>“.</errorWord>
      <group>L1_Punc</group>
      <groupName>标点问题</groupName>
      <ability>L2_Punc</ability>
      <abilityName>标点符号检查</abilityName>
      <candidateList>
        <item>“</item>
      </candidateList>
      <explain/>
      <paraID>626DEBC4</paraID>
      <start>72</start>
      <end>74</end>
      <status>ignored</status>
      <modifiedWord/>
      <trackRevisions>false</trackRevisions>
    </reviewItem>
    <reviewItem>
      <errorID>9f6b3495-c764-43e3-896f-42d284f7a60b</errorID>
      <errorWord>-</errorWord>
      <group>L1_Format</group>
      <groupName>格式问题</groupName>
      <ability>L2_HalfPunc</ability>
      <abilityName>全半角检查</abilityName>
      <candidateList>
        <item>－</item>
      </candidateList>
      <explain>文本全半角错误。</explain>
      <paraID>626DEBC4</paraID>
      <start>95</start>
      <end>96</end>
      <status>ignored</status>
      <modifiedWord/>
      <trackRevisions>false</trackRevisions>
    </reviewItem>
    <reviewItem>
      <errorID>8dfaf3b2-aefa-4b72-8e45-8123ebb73305</errorID>
      <errorWord>-</errorWord>
      <group>L1_Format</group>
      <groupName>格式问题</groupName>
      <ability>L2_HalfPunc</ability>
      <abilityName>全半角检查</abilityName>
      <candidateList>
        <item>－</item>
      </candidateList>
      <explain>文本全半角错误。</explain>
      <paraID>626DEBC4</paraID>
      <start>96</start>
      <end>97</end>
      <status>ignored</status>
      <modifiedWord/>
      <trackRevisions>false</trackRevisions>
    </reviewItem>
    <reviewItem>
      <errorID>4da0d90c-7972-421d-810e-36ae05b4d450</errorID>
      <errorWord>-</errorWord>
      <group>L1_Format</group>
      <groupName>格式问题</groupName>
      <ability>L2_HalfPunc</ability>
      <abilityName>全半角检查</abilityName>
      <candidateList>
        <item>－</item>
      </candidateList>
      <explain>文本全半角错误。</explain>
      <paraID>626DEBC4</paraID>
      <start>103</start>
      <end>104</end>
      <status>ignored</status>
      <modifiedWord/>
      <trackRevisions>false</trackRevisions>
    </reviewItem>
    <reviewItem>
      <errorID>caafc349-bdf4-4070-9158-fc66d71fc44c</errorID>
      <errorWord>-</errorWord>
      <group>L1_Format</group>
      <groupName>格式问题</groupName>
      <ability>L2_HalfPunc</ability>
      <abilityName>全半角检查</abilityName>
      <candidateList>
        <item>－</item>
      </candidateList>
      <explain>文本全半角错误。</explain>
      <paraID>626DEBC4</paraID>
      <start>104</start>
      <end>105</end>
      <status>ignored</status>
      <modifiedWord/>
      <trackRevisions>false</trackRevisions>
    </reviewItem>
    <reviewItem>
      <errorID>4f24a90f-c715-464d-8921-a467cc6b6f73</errorID>
      <errorWord>-</errorWord>
      <group>L1_Format</group>
      <groupName>格式问题</groupName>
      <ability>L2_HalfPunc</ability>
      <abilityName>全半角检查</abilityName>
      <candidateList>
        <item>－</item>
      </candidateList>
      <explain>文本全半角错误。</explain>
      <paraID>626DEBC4</paraID>
      <start>175</start>
      <end>176</end>
      <status>ignored</status>
      <modifiedWord/>
      <trackRevisions>false</trackRevisions>
    </reviewItem>
    <reviewItem>
      <errorID>e3e59f3f-0eae-4cff-a538-50e542242fdf</errorID>
      <errorWord>-</errorWord>
      <group>L1_Format</group>
      <groupName>格式问题</groupName>
      <ability>L2_HalfPunc</ability>
      <abilityName>全半角检查</abilityName>
      <candidateList>
        <item>－</item>
      </candidateList>
      <explain>文本全半角错误。</explain>
      <paraID>2DFA9F3D</paraID>
      <start>31</start>
      <end>32</end>
      <status>ignored</status>
      <modifiedWord/>
      <trackRevisions>false</trackRevisions>
    </reviewItem>
    <reviewItem>
      <errorID>5b1f543c-c1a2-434c-972d-2e76aa93c37c</errorID>
      <errorWord>“.</errorWord>
      <group>L1_Punc</group>
      <groupName>标点问题</groupName>
      <ability>L2_Punc</ability>
      <abilityName>标点符号检查</abilityName>
      <candidateList>
        <item>“</item>
      </candidateList>
      <explain/>
      <paraID> 2BBA342</paraID>
      <start>13</start>
      <end>15</end>
      <status>ignored</status>
      <modifiedWord/>
      <trackRevisions>false</trackRevisions>
    </reviewItem>
    <reviewItem>
      <errorID>fe5a2034-6a08-4e89-af98-8dc608186be9</errorID>
      <errorWord>&lt;</errorWord>
      <group>L1_Format</group>
      <groupName>格式问题</groupName>
      <ability>L2_HalfPunc</ability>
      <abilityName>全半角检查</abilityName>
      <candidateList>
        <item>〈</item>
      </candidateList>
      <explain>文本全半角错误。</explain>
      <paraID>2595072C</paraID>
      <start>22</start>
      <end>23</end>
      <status>ignored</status>
      <modifiedWord/>
      <trackRevisions>false</trackRevisions>
    </reviewItem>
    <reviewItem>
      <errorID>9723f570-d7a0-45a0-9f9a-593bcefcb85e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2CFAE1C5</paraID>
      <start>288</start>
      <end>290</end>
      <status>modified</status>
      <modifiedWord>可以</modifiedWord>
      <trackRevisions>false</trackRevisions>
    </reviewItem>
    <reviewItem>
      <errorID>e56bd653-a5a1-4606-801e-c963b85143a1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25FF7AFB</paraID>
      <start>21</start>
      <end>23</end>
      <status>modified</status>
      <modifiedWord>可以</modifiedWord>
      <trackRevisions>false</trackRevisions>
    </reviewItem>
    <reviewItem>
      <errorID>228f5b68-d53a-4df5-93c9-a0b29d1b7062</errorID>
      <errorWord>必需</errorWord>
      <group>L1_Word</group>
      <groupName>字词问题</groupName>
      <ability>L2_Typo</ability>
      <abilityName>字词错误</abilityName>
      <candidateList>
        <item>必须</item>
      </candidateList>
      <explain>存在发音相同字词的误用。</explain>
      <paraID>6B7BE673</paraID>
      <start>27</start>
      <end>29</end>
      <status>ignored</status>
      <modifiedWord/>
      <trackRevisions>false</trackRevisions>
    </reviewItem>
    <reviewItem>
      <errorID>1d56deb1-8d89-4d2e-b853-4929293cccf9</errorID>
      <errorWord>属</errorWord>
      <group>L1_Word</group>
      <groupName>字词问题</groupName>
      <ability>L2_Typo</ability>
      <abilityName>字词错误</abilityName>
      <candidateList>
        <item>属于</item>
      </candidateList>
      <explain/>
      <paraID>479EC3A3</paraID>
      <start>38</start>
      <end>39</end>
      <status>ignored</status>
      <modifiedWord/>
      <trackRevisions>false</trackRevisions>
    </reviewItem>
    <reviewItem>
      <errorID>377606a8-eb3d-4da8-885e-4a7d9a55ca2a</errorID>
      <errorWord>同一地</errorWord>
      <group>L1_Word</group>
      <groupName>字词问题</groupName>
      <ability>L2_Typo</ability>
      <abilityName>字词错误</abilityName>
      <candidateList>
        <item>同一</item>
      </candidateList>
      <explain/>
      <paraID>479EC3A3</paraID>
      <start>45</start>
      <end>48</end>
      <status>ignored</status>
      <modifiedWord/>
      <trackRevisions>false</trackRevisions>
    </reviewItem>
    <reviewItem>
      <errorID>547918a2-3cfa-455e-afc6-a628ee67934b</errorID>
      <errorWord>支付至</errorWord>
      <group>L1_Word</group>
      <groupName>字词问题</groupName>
      <ability>L2_Typo</ability>
      <abilityName>字词错误</abilityName>
      <candidateList>
        <item>支付</item>
      </candidateList>
      <explain/>
      <paraID>65522D54</paraID>
      <start>44</start>
      <end>47</end>
      <status>ignored</status>
      <modifiedWord/>
      <trackRevisions>false</trackRevisions>
    </reviewItem>
    <reviewItem>
      <errorID>dd8d9aa1-0b89-46b3-b782-88bb2d42ca58</errorID>
      <errorWord>地</errorWord>
      <group>L1_Word</group>
      <groupName>字词问题</groupName>
      <ability>L2_DDD</ability>
      <abilityName>的地得用法</abilityName>
      <candidateList>
        <item>的</item>
      </candidateList>
      <explain>“的”常用于连接修饰语与名词性中心语，表示属性、所属或描述。</explain>
      <paraID>293E2052</paraID>
      <start>36</start>
      <end>37</end>
      <status>modified</status>
      <modifiedWord>的</modifiedWord>
      <trackRevisions>false</trackRevisions>
    </reviewItem>
    <reviewItem>
      <errorID>ff983cbb-ba34-4aac-91a4-2ef11842630c</errorID>
      <errorWord>检测仪</errorWord>
      <group>L1_Word</group>
      <groupName>字词问题</groupName>
      <ability>L2_Typo</ability>
      <abilityName>字词错误</abilityName>
      <candidateList>
        <item>监测仪</item>
      </candidateList>
      <explain/>
      <paraID>4212E5C8</paraID>
      <start>8</start>
      <end>11</end>
      <status>ignored</status>
      <modifiedWord/>
      <trackRevisions>false</trackRevisions>
    </reviewItem>
    <reviewItem>
      <errorID>00331703-a321-4b51-9252-541240d6d4e2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35A838A2</paraID>
      <start>10</start>
      <end>11</end>
      <status>ignored</status>
      <modifiedWord/>
      <trackRevisions>false</trackRevisions>
    </reviewItem>
    <reviewItem>
      <errorID>81f364b1-fb09-456c-99c3-0dd08ddce214</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9631C8C</paraID>
      <start>13</start>
      <end>20</end>
      <status>modified</status>
      <modifiedWord>10%—90%</modifiedWord>
      <trackRevisions>false</trackRevisions>
    </reviewItem>
    <reviewItem>
      <errorID>2b5e0516-3a2e-47b8-ab95-200cccbecfd5</errorID>
      <errorWord>HZ</errorWord>
      <group>L1_Word</group>
      <groupName>字词问题</groupName>
      <ability>L2_Typo</ability>
      <abilityName>字词错误</abilityName>
      <candidateList>
        <item>Hz</item>
      </candidateList>
      <explain/>
      <paraID> DAE4BA2</paraID>
      <start>16</start>
      <end>18</end>
      <status>modified</status>
      <modifiedWord>Hz</modifiedWord>
      <trackRevisions>false</trackRevisions>
    </reviewItem>
    <reviewItem>
      <errorID>c80a8ca4-5743-4d40-a9e6-47c1deec5f44</errorID>
      <errorWord>噪音</errorWord>
      <group>L1_Word</group>
      <groupName>字词问题</groupName>
      <ability>L2_Alias</ability>
      <abilityName>也作/曾用词</abilityName>
      <candidateList>
        <item>噪声</item>
      </candidateList>
      <explain>词汇[噪音]为不规范表述或旧称，其规范书面表述为[噪声]。</explain>
      <paraID>1EFC0376</paraID>
      <start>4</start>
      <end>6</end>
      <status>modified</status>
      <modifiedWord>噪声</modifiedWord>
      <trackRevisions>false</trackRevisions>
    </reviewItem>
    <reviewItem>
      <errorID>9f80537f-28a1-40ef-926c-98d9d6bfbd7b</errorID>
      <errorWord>噪音</errorWord>
      <group>L1_Word</group>
      <groupName>字词问题</groupName>
      <ability>L2_Alias</ability>
      <abilityName>也作/曾用词</abilityName>
      <candidateList>
        <item>噪声</item>
      </candidateList>
      <explain>词汇[噪音]为不规范表述或旧称，其规范书面表述为[噪声]。</explain>
      <paraID>1EFC0376</paraID>
      <start>68</start>
      <end>70</end>
      <status>modified</status>
      <modifiedWord>噪声</modifiedWord>
      <trackRevisions>false</trackRevisions>
    </reviewItem>
    <reviewItem>
      <errorID>fd70bb2c-a68a-4887-8966-e13787988f68</errorID>
      <errorWord>；）</errorWord>
      <group>L1_Punc</group>
      <groupName>标点问题</groupName>
      <ability>L2_Punc</ability>
      <abilityName>标点符号检查</abilityName>
      <candidateList>
        <item>）</item>
      </candidateList>
      <explain/>
      <paraID>1EFC0376</paraID>
      <start>201</start>
      <end>202</end>
      <status>modified</status>
      <modifiedWord>）</modifiedWord>
      <trackRevisions>false</trackRevisions>
    </reviewItem>
    <reviewItem>
      <errorID>9a569c50-0aee-4221-b557-36072461d3d1</errorID>
      <errorWord>,</errorWord>
      <group>L1_Format</group>
      <groupName>格式问题</groupName>
      <ability>L2_HalfPunc</ability>
      <abilityName>全半角检查</abilityName>
      <candidateList>
        <item>，</item>
      </candidateList>
      <explain>文本全半角错误。</explain>
      <paraID>72F35B27</paraID>
      <start>42</start>
      <end>43</end>
      <status>modified</status>
      <modifiedWord>，</modifiedWord>
      <trackRevisions>false</trackRevisions>
    </reviewItem>
    <reviewItem>
      <errorID>156e8f5c-fd92-492b-9b0c-51da8978660a</errorID>
      <errorWord>；）</errorWord>
      <group>L1_Punc</group>
      <groupName>标点问题</groupName>
      <ability>L2_Punc</ability>
      <abilityName>标点符号检查</abilityName>
      <candidateList>
        <item>）</item>
      </candidateList>
      <explain/>
      <paraID>72F35B27</paraID>
      <start>187</start>
      <end>188</end>
      <status>modified</status>
      <modifiedWord>）</modifiedWord>
      <trackRevisions>false</trackRevisions>
    </reviewItem>
    <reviewItem>
      <errorID>7cac2a9e-da95-40ab-9e17-ce1b9e07c0e1</errorID>
      <errorWord>:</errorWord>
      <group>L1_Format</group>
      <groupName>格式问题</groupName>
      <ability>L2_HalfPunc</ability>
      <abilityName>全半角检查</abilityName>
      <candidateList>
        <item>：</item>
      </candidateList>
      <explain>文本全半角错误。</explain>
      <paraID> 9A8F477</paraID>
      <start>8</start>
      <end>9</end>
      <status>modified</status>
      <modifiedWord>：</modifiedWord>
      <trackRevisions>false</trackRevisions>
    </reviewItem>
    <reviewItem>
      <errorID>d138dabd-c18a-43a1-8d2d-580310d04db1</errorID>
      <errorWord>,</errorWord>
      <group>L1_Format</group>
      <groupName>格式问题</groupName>
      <ability>L2_HalfPunc</ability>
      <abilityName>全半角检查</abilityName>
      <candidateList>
        <item>，</item>
      </candidateList>
      <explain>文本全半角错误。</explain>
      <paraID> 9A8F477</paraID>
      <start>40</start>
      <end>41</end>
      <status>modified</status>
      <modifiedWord>，</modifiedWord>
      <trackRevisions>false</trackRevisions>
    </reviewItem>
    <reviewItem>
      <errorID>d868a01a-5380-4d85-8936-bc0090db7b00</errorID>
      <errorWord>装置试验</errorWord>
      <group>L1_Knowledge</group>
      <groupName>知识性问题</groupName>
      <ability>L2_Term</ability>
      <abilityName>专业术语</abilityName>
      <candidateList>
        <item>定置试验</item>
      </candidateList>
      <explain/>
      <paraID> 9A8F477</paraID>
      <start>50</start>
      <end>54</end>
      <status>ignored</status>
      <modifiedWord/>
      <trackRevisions>false</trackRevisions>
    </reviewItem>
    <reviewItem>
      <errorID>f27d78bb-d10c-43ac-8190-269610b95ccc</errorID>
      <errorWord>；）</errorWord>
      <group>L1_Punc</group>
      <groupName>标点问题</groupName>
      <ability>L2_Punc</ability>
      <abilityName>标点符号检查</abilityName>
      <candidateList>
        <item>）</item>
      </candidateList>
      <explain/>
      <paraID> 9A8F477</paraID>
      <start>185</start>
      <end>186</end>
      <status>modified</status>
      <modifiedWord>）</modifiedWord>
      <trackRevisions>false</trackRevisions>
    </reviewItem>
    <reviewItem>
      <errorID>323d8922-b9d8-4814-87f0-640d04f2b494</errorID>
      <errorWord>,</errorWord>
      <group>L1_Format</group>
      <groupName>格式问题</groupName>
      <ability>L2_HalfPunc</ability>
      <abilityName>全半角检查</abilityName>
      <candidateList>
        <item>，</item>
      </candidateList>
      <explain>文本全半角错误。</explain>
      <paraID>764B4D97</paraID>
      <start>82</start>
      <end>83</end>
      <status>modified</status>
      <modifiedWord>，</modifiedWord>
      <trackRevisions>false</trackRevisions>
    </reviewItem>
    <reviewItem>
      <errorID>1fd5ea80-877c-436f-bb34-37de0b339165</errorID>
      <errorWord>,</errorWord>
      <group>L1_Format</group>
      <groupName>格式问题</groupName>
      <ability>L2_HalfPunc</ability>
      <abilityName>全半角检查</abilityName>
      <candidateList>
        <item>，</item>
      </candidateList>
      <explain>文本全半角错误。</explain>
      <paraID>764B4D97</paraID>
      <start>119</start>
      <end>120</end>
      <status>modified</status>
      <modifiedWord>，</modifiedWord>
      <trackRevisions>false</trackRevisions>
    </reviewItem>
    <reviewItem>
      <errorID>61a27bf6-553c-42dd-bd1d-3cb47888670b</errorID>
      <errorWord>,</errorWord>
      <group>L1_Format</group>
      <groupName>格式问题</groupName>
      <ability>L2_HalfPunc</ability>
      <abilityName>全半角检查</abilityName>
      <candidateList>
        <item>，</item>
      </candidateList>
      <explain>文本全半角错误。</explain>
      <paraID>764B4D97</paraID>
      <start>141</start>
      <end>142</end>
      <status>modified</status>
      <modifiedWord>，</modifiedWord>
      <trackRevisions>false</trackRevisions>
    </reviewItem>
    <reviewItem>
      <errorID>ecb26b3b-390d-4dbe-8331-541724fd3005</errorID>
      <errorWord>；）</errorWord>
      <group>L1_Punc</group>
      <groupName>标点问题</groupName>
      <ability>L2_Punc</ability>
      <abilityName>标点符号检查</abilityName>
      <candidateList>
        <item>）</item>
      </candidateList>
      <explain/>
      <paraID>764B4D97</paraID>
      <start>307</start>
      <end>308</end>
      <status>modified</status>
      <modifiedWord>）</modifiedWord>
      <trackRevisions>false</trackRevisions>
    </reviewItem>
    <reviewItem>
      <errorID>6998fff6-89e3-4c4f-8319-39ebd3ebf04c</errorID>
      <errorWord>,</errorWord>
      <group>L1_Format</group>
      <groupName>格式问题</groupName>
      <ability>L2_HalfPunc</ability>
      <abilityName>全半角检查</abilityName>
      <candidateList>
        <item>，</item>
      </candidateList>
      <explain>文本全半角错误。</explain>
      <paraID>7DC94316</paraID>
      <start>84</start>
      <end>85</end>
      <status>modified</status>
      <modifiedWord>，</modifiedWord>
      <trackRevisions>false</trackRevisions>
    </reviewItem>
    <reviewItem>
      <errorID>c4083737-b705-4030-a664-694ef5ff1d6e</errorID>
      <errorWord>(</errorWord>
      <group>L1_Format</group>
      <groupName>格式问题</groupName>
      <ability>L2_HalfPunc</ability>
      <abilityName>全半角检查</abilityName>
      <candidateList>
        <item>（</item>
      </candidateList>
      <explain>文本全半角错误。</explain>
      <paraID>7DC94316</paraID>
      <start>88</start>
      <end>89</end>
      <status>modified</status>
      <modifiedWord>（</modifiedWord>
      <trackRevisions>false</trackRevisions>
    </reviewItem>
    <reviewItem>
      <errorID>54a782b5-d62f-48c8-9213-e70bafb1b581</errorID>
      <errorWord>)</errorWord>
      <group>L1_Format</group>
      <groupName>格式问题</groupName>
      <ability>L2_HalfPunc</ability>
      <abilityName>全半角检查</abilityName>
      <candidateList>
        <item>）</item>
      </candidateList>
      <explain>文本全半角错误。</explain>
      <paraID>7DC94316</paraID>
      <start>92</start>
      <end>93</end>
      <status>modified</status>
      <modifiedWord>）</modifiedWord>
      <trackRevisions>false</trackRevisions>
    </reviewItem>
    <reviewItem>
      <errorID>e6db1fab-59dc-430d-93e1-4f1cb06188cf</errorID>
      <errorWord>(</errorWord>
      <group>L1_Format</group>
      <groupName>格式问题</groupName>
      <ability>L2_HalfPunc</ability>
      <abilityName>全半角检查</abilityName>
      <candidateList>
        <item>（</item>
      </candidateList>
      <explain>文本全半角错误。</explain>
      <paraID>7DC94316</paraID>
      <start>95</start>
      <end>96</end>
      <status>modified</status>
      <modifiedWord>（</modifiedWord>
      <trackRevisions>false</trackRevisions>
    </reviewItem>
    <reviewItem>
      <errorID>33f51c54-1f7a-4bc2-902c-fc4a70d65a72</errorID>
      <errorWord>(</errorWord>
      <group>L1_Format</group>
      <groupName>格式问题</groupName>
      <ability>L2_HalfPunc</ability>
      <abilityName>全半角检查</abilityName>
      <candidateList>
        <item>（</item>
      </candidateList>
      <explain>文本全半角错误。</explain>
      <paraID>7DC94316</paraID>
      <start>103</start>
      <end>104</end>
      <status>modified</status>
      <modifiedWord>（</modifiedWord>
      <trackRevisions>false</trackRevisions>
    </reviewItem>
    <reviewItem>
      <errorID>462aab1a-1dc9-4928-a0c4-b06f7471a084</errorID>
      <errorWord>,</errorWord>
      <group>L1_Format</group>
      <groupName>格式问题</groupName>
      <ability>L2_HalfPunc</ability>
      <abilityName>全半角检查</abilityName>
      <candidateList>
        <item>，</item>
      </candidateList>
      <explain>文本全半角错误。</explain>
      <paraID>7DC94316</paraID>
      <start>113</start>
      <end>114</end>
      <status>modified</status>
      <modifiedWord>，</modifiedWord>
      <trackRevisions>false</trackRevisions>
    </reviewItem>
    <reviewItem>
      <errorID>300ff93a-bc7f-460e-a29f-d5b6c2313a61</errorID>
      <errorWord>；）</errorWord>
      <group>L1_Punc</group>
      <groupName>标点问题</groupName>
      <ability>L2_Punc</ability>
      <abilityName>标点符号检查</abilityName>
      <candidateList>
        <item>）</item>
      </candidateList>
      <explain/>
      <paraID>7DC94316</paraID>
      <start>298</start>
      <end>299</end>
      <status>modified</status>
      <modifiedWord>）</modifiedWord>
      <trackRevisions>false</trackRevisions>
    </reviewItem>
    <reviewItem>
      <errorID>8bbd10a2-8976-4650-8342-592857bded10</errorID>
      <errorWord>:</errorWord>
      <group>L1_Format</group>
      <groupName>格式问题</groupName>
      <ability>L2_HalfPunc</ability>
      <abilityName>全半角检查</abilityName>
      <candidateList>
        <item>：</item>
      </candidateList>
      <explain>文本全半角错误。</explain>
      <paraID>79F595A8</paraID>
      <start>72</start>
      <end>73</end>
      <status>modified</status>
      <modifiedWord>：</modifiedWord>
      <trackRevisions>false</trackRevisions>
    </reviewItem>
    <reviewItem>
      <errorID>e9ab7242-923a-4480-9064-d772de30089c</errorID>
      <errorWord>:</errorWord>
      <group>L1_Format</group>
      <groupName>格式问题</groupName>
      <ability>L2_HalfPunc</ability>
      <abilityName>全半角检查</abilityName>
      <candidateList>
        <item>：</item>
      </candidateList>
      <explain>文本全半角错误。</explain>
      <paraID>79F595A8</paraID>
      <start>84</start>
      <end>85</end>
      <status>modified</status>
      <modifiedWord>：</modifiedWord>
      <trackRevisions>false</trackRevisions>
    </reviewItem>
    <reviewItem>
      <errorID>9a36998e-d0d1-45d1-a62d-f58833f75255</errorID>
      <errorWord>:</errorWord>
      <group>L1_Format</group>
      <groupName>格式问题</groupName>
      <ability>L2_HalfPunc</ability>
      <abilityName>全半角检查</abilityName>
      <candidateList>
        <item>：</item>
      </candidateList>
      <explain>文本全半角错误。</explain>
      <paraID>79F595A8</paraID>
      <start>99</start>
      <end>100</end>
      <status>modified</status>
      <modifiedWord>：</modifiedWord>
      <trackRevisions>false</trackRevisions>
    </reviewItem>
    <reviewItem>
      <errorID>7be84961-a780-443c-b981-84e35791de04</errorID>
      <errorWord>；）</errorWord>
      <group>L1_Punc</group>
      <groupName>标点问题</groupName>
      <ability>L2_Punc</ability>
      <abilityName>标点符号检查</abilityName>
      <candidateList>
        <item>）</item>
      </candidateList>
      <explain/>
      <paraID> 98DD919</paraID>
      <start>242</start>
      <end>243</end>
      <status>modified</status>
      <modifiedWord>）</modifiedWord>
      <trackRevisions>false</trackRevisions>
    </reviewItem>
    <reviewItem>
      <errorID>db1ad7a8-bc8a-4418-adda-d8066d260c6b</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583A2177</paraID>
      <start>13</start>
      <end>20</end>
      <status>modified</status>
      <modifiedWord>10%—90%</modifiedWord>
      <trackRevisions>false</trackRevisions>
    </reviewItem>
    <reviewItem>
      <errorID>8c45d925-37cd-4ed7-a6ff-d3f4b73f43b4</errorID>
      <errorWord>装置试验</errorWord>
      <group>L1_Knowledge</group>
      <groupName>知识性问题</groupName>
      <ability>L2_Term</ability>
      <abilityName>专业术语</abilityName>
      <candidateList>
        <item>定置试验</item>
      </candidateList>
      <explain/>
      <paraID>4D53B47E</paraID>
      <start>92</start>
      <end>96</end>
      <status>ignored</status>
      <modifiedWord/>
      <trackRevisions>false</trackRevisions>
    </reviewItem>
    <reviewItem>
      <errorID>55b86ed8-8581-431a-9d37-55b5394d73bc</errorID>
      <errorWord>；）</errorWord>
      <group>L1_Punc</group>
      <groupName>标点问题</groupName>
      <ability>L2_Punc</ability>
      <abilityName>标点符号检查</abilityName>
      <candidateList>
        <item>）</item>
      </candidateList>
      <explain/>
      <paraID>4D53B47E</paraID>
      <start>227</start>
      <end>228</end>
      <status>modified</status>
      <modifiedWord>）</modifiedWord>
      <trackRevisions>false</trackRevisions>
    </reviewItem>
    <reviewItem>
      <errorID>c12c889f-9772-4fd0-866e-6d977aee5615</errorID>
      <errorWord>,</errorWord>
      <group>L1_Format</group>
      <groupName>格式问题</groupName>
      <ability>L2_HalfPunc</ability>
      <abilityName>全半角检查</abilityName>
      <candidateList>
        <item>，</item>
      </candidateList>
      <explain>文本全半角错误。</explain>
      <paraID> 329F12D</paraID>
      <start>103</start>
      <end>104</end>
      <status>modified</status>
      <modifiedWord>，</modifiedWord>
      <trackRevisions>false</trackRevisions>
    </reviewItem>
    <reviewItem>
      <errorID>986293ac-2d72-4e22-a9df-d4b1338702f3</errorID>
      <errorWord>,</errorWord>
      <group>L1_Format</group>
      <groupName>格式问题</groupName>
      <ability>L2_HalfPunc</ability>
      <abilityName>全半角检查</abilityName>
      <candidateList>
        <item>，</item>
      </candidateList>
      <explain>文本全半角错误。</explain>
      <paraID> 329F12D</paraID>
      <start>109</start>
      <end>110</end>
      <status>modified</status>
      <modifiedWord>，</modifiedWord>
      <trackRevisions>false</trackRevisions>
    </reviewItem>
    <reviewItem>
      <errorID>a4e06f31-2361-44e7-97f9-5db58bd10b57</errorID>
      <errorWord>,</errorWord>
      <group>L1_Format</group>
      <groupName>格式问题</groupName>
      <ability>L2_HalfPunc</ability>
      <abilityName>全半角检查</abilityName>
      <candidateList>
        <item>，</item>
      </candidateList>
      <explain>文本全半角错误。</explain>
      <paraID> 329F12D</paraID>
      <start>119</start>
      <end>120</end>
      <status>modified</status>
      <modifiedWord>，</modifiedWord>
      <trackRevisions>false</trackRevisions>
    </reviewItem>
    <reviewItem>
      <errorID>31f3fafc-8839-465e-9b04-47a113936e62</errorID>
      <errorWord>；）</errorWord>
      <group>L1_Punc</group>
      <groupName>标点问题</groupName>
      <ability>L2_Punc</ability>
      <abilityName>标点符号检查</abilityName>
      <candidateList>
        <item>）</item>
      </candidateList>
      <explain/>
      <paraID>29A38969</paraID>
      <start>234</start>
      <end>235</end>
      <status>modified</status>
      <modifiedWord>）</modifiedWord>
      <trackRevisions>false</trackRevisions>
    </reviewItem>
    <reviewItem>
      <errorID>2264aff5-0be9-47ec-8a7e-c064dc7a47e9</errorID>
      <errorWord>,</errorWord>
      <group>L1_Format</group>
      <groupName>格式问题</groupName>
      <ability>L2_HalfPunc</ability>
      <abilityName>全半角检查</abilityName>
      <candidateList>
        <item>，</item>
      </candidateList>
      <explain>文本全半角错误。</explain>
      <paraID>25B3D1E6</paraID>
      <start>81</start>
      <end>82</end>
      <status>modified</status>
      <modifiedWord>，</modifiedWord>
      <trackRevisions>false</trackRevisions>
    </reviewItem>
    <reviewItem>
      <errorID>47e9bf9f-254e-428c-8b97-3454d4aafc9e</errorID>
      <errorWord>,</errorWord>
      <group>L1_Format</group>
      <groupName>格式问题</groupName>
      <ability>L2_HalfPunc</ability>
      <abilityName>全半角检查</abilityName>
      <candidateList>
        <item>，</item>
      </candidateList>
      <explain>文本全半角错误。</explain>
      <paraID>25B3D1E6</paraID>
      <start>118</start>
      <end>119</end>
      <status>modified</status>
      <modifiedWord>，</modifiedWord>
      <trackRevisions>false</trackRevisions>
    </reviewItem>
    <reviewItem>
      <errorID>c63cc23b-54b5-4d00-b757-64b50f3fbd79</errorID>
      <errorWord>,</errorWord>
      <group>L1_Format</group>
      <groupName>格式问题</groupName>
      <ability>L2_HalfPunc</ability>
      <abilityName>全半角检查</abilityName>
      <candidateList>
        <item>，</item>
      </candidateList>
      <explain>文本全半角错误。</explain>
      <paraID>25B3D1E6</paraID>
      <start>140</start>
      <end>141</end>
      <status>modified</status>
      <modifiedWord>，</modifiedWord>
      <trackRevisions>false</trackRevisions>
    </reviewItem>
    <reviewItem>
      <errorID>12386ffc-c8e2-4e54-9af3-0111572d33ce</errorID>
      <errorWord>,</errorWord>
      <group>L1_Format</group>
      <groupName>格式问题</groupName>
      <ability>L2_HalfPunc</ability>
      <abilityName>全半角检查</abilityName>
      <candidateList>
        <item>，</item>
      </candidateList>
      <explain>文本全半角错误。</explain>
      <paraID>1894EF34</paraID>
      <start>81</start>
      <end>82</end>
      <status>modified</status>
      <modifiedWord>，</modifiedWord>
      <trackRevisions>false</trackRevisions>
    </reviewItem>
    <reviewItem>
      <errorID>ffd645f1-23df-4524-8a3e-11f61fae2f87</errorID>
      <errorWord>,</errorWord>
      <group>L1_Format</group>
      <groupName>格式问题</groupName>
      <ability>L2_HalfPunc</ability>
      <abilityName>全半角检查</abilityName>
      <candidateList>
        <item>，</item>
      </candidateList>
      <explain>文本全半角错误。</explain>
      <paraID>1894EF34</paraID>
      <start>111</start>
      <end>112</end>
      <status>modified</status>
      <modifiedWord>，</modifiedWord>
      <trackRevisions>false</trackRevisions>
    </reviewItem>
    <reviewItem>
      <errorID>3d0fb4de-ec5c-411d-8e0d-3d5e848aee16</errorID>
      <errorWord>,</errorWord>
      <group>L1_Format</group>
      <groupName>格式问题</groupName>
      <ability>L2_HalfPunc</ability>
      <abilityName>全半角检查</abilityName>
      <candidateList>
        <item>，</item>
      </candidateList>
      <explain>文本全半角错误。</explain>
      <paraID>1894EF34</paraID>
      <start>134</start>
      <end>135</end>
      <status>modified</status>
      <modifiedWord>，</modifiedWord>
      <trackRevisions>false</trackRevisions>
    </reviewItem>
    <reviewItem>
      <errorID>777ae6d7-4eba-4935-ab24-e63abaa09096</errorID>
      <errorWord>噪音</errorWord>
      <group>L1_Word</group>
      <groupName>字词问题</groupName>
      <ability>L2_Alias</ability>
      <abilityName>也作/曾用词</abilityName>
      <candidateList>
        <item>噪声</item>
      </candidateList>
      <explain>词汇[噪音]为不规范表述或旧称，其规范书面表述为[噪声]。</explain>
      <paraID> 867C822</paraID>
      <start>4</start>
      <end>6</end>
      <status>modified</status>
      <modifiedWord>噪声</modifiedWord>
      <trackRevisions>false</trackRevisions>
    </reviewItem>
    <reviewItem>
      <errorID>051c2c9c-6039-4fd5-be2a-a28cbcf4a046</errorID>
      <errorWord>噪音</errorWord>
      <group>L1_Word</group>
      <groupName>字词问题</groupName>
      <ability>L2_Alias</ability>
      <abilityName>也作/曾用词</abilityName>
      <candidateList>
        <item>噪声</item>
      </candidateList>
      <explain>词汇[噪音]为不规范表述或旧称，其规范书面表述为[噪声]。</explain>
      <paraID> 867C822</paraID>
      <start>68</start>
      <end>70</end>
      <status>modified</status>
      <modifiedWord>噪声</modifiedWord>
      <trackRevisions>false</trackRevisions>
    </reviewItem>
    <reviewItem>
      <errorID>18df3e11-c306-4f02-8bc7-41602a66def6</errorID>
      <errorWord>；）</errorWord>
      <group>L1_Punc</group>
      <groupName>标点问题</groupName>
      <ability>L2_Punc</ability>
      <abilityName>标点符号检查</abilityName>
      <candidateList>
        <item>）</item>
      </candidateList>
      <explain/>
      <paraID> 867C822</paraID>
      <start>201</start>
      <end>202</end>
      <status>modified</status>
      <modifiedWord>）</modifiedWord>
      <trackRevisions>false</trackRevisions>
    </reviewItem>
    <reviewItem>
      <errorID>1d64e204-51ce-46bc-9751-999685c41b7b</errorID>
      <errorWord>:</errorWord>
      <group>L1_Format</group>
      <groupName>格式问题</groupName>
      <ability>L2_HalfPunc</ability>
      <abilityName>全半角检查</abilityName>
      <candidateList>
        <item>：</item>
      </candidateList>
      <explain>文本全半角错误。</explain>
      <paraID>70B42A72</paraID>
      <start>92</start>
      <end>93</end>
      <status>modified</status>
      <modifiedWord>：</modifiedWord>
      <trackRevisions>false</trackRevisions>
    </reviewItem>
    <reviewItem>
      <errorID>463b4c58-0e25-420e-8fdf-fd2cd379cca7</errorID>
      <errorWord>周圈</errorWord>
      <group>L1_Word</group>
      <groupName>字词问题</groupName>
      <ability>L2_Typo</ability>
      <abilityName>字词错误</abilityName>
      <candidateList>
        <item>周围</item>
      </candidateList>
      <explain>存在字形相近字词的误用。</explain>
      <paraID>6FB73415</paraID>
      <start>67</start>
      <end>69</end>
      <status>ignored</status>
      <modifiedWord/>
      <trackRevisions>false</trackRevisions>
    </reviewItem>
    <reviewItem>
      <errorID>3c85274a-0fba-42dd-821f-fc3b4e41a38a</errorID>
      <errorWord>尺寸尺寸</errorWord>
      <group>L1_Word</group>
      <groupName>字词问题</groupName>
      <ability>L2_Typo</ability>
      <abilityName>字词错误</abilityName>
      <candidateList>
        <item>尺寸</item>
      </candidateList>
      <explain/>
      <paraID>47147420</paraID>
      <start>21</start>
      <end>23</end>
      <status>modified</status>
      <modifiedWord>尺寸</modifiedWord>
      <trackRevisions>false</trackRevisions>
    </reviewItem>
    <reviewItem>
      <errorID>f20b9c48-a66d-4af2-a0e2-8c95b42a57fd</errorID>
      <errorWord>尺寸尺寸</errorWord>
      <group>L1_Word</group>
      <groupName>字词问题</groupName>
      <ability>L2_Typo</ability>
      <abilityName>字词错误</abilityName>
      <candidateList>
        <item>尺寸</item>
      </candidateList>
      <explain/>
      <paraID>47147420</paraID>
      <start>51</start>
      <end>53</end>
      <status>modified</status>
      <modifiedWord>尺寸</modifiedWord>
      <trackRevisions>false</trackRevisions>
    </reviewItem>
    <reviewItem>
      <errorID>0c1096d8-0d26-470d-b59e-06ab3fdf0274</errorID>
      <errorWord>尺寸尺寸</errorWord>
      <group>L1_Word</group>
      <groupName>字词问题</groupName>
      <ability>L2_Typo</ability>
      <abilityName>字词错误</abilityName>
      <candidateList>
        <item>尺寸</item>
      </candidateList>
      <explain/>
      <paraID>47147420</paraID>
      <start>91</start>
      <end>93</end>
      <status>modified</status>
      <modifiedWord>尺寸</modifiedWord>
      <trackRevisions>false</trackRevisions>
    </reviewItem>
    <reviewItem>
      <errorID>b057b9dd-b5b9-4b45-98b2-a327fe72a3f3</errorID>
      <errorWord>粘结</errorWord>
      <group>L1_Word</group>
      <groupName>字词问题</groupName>
      <ability>L2_Typo</ability>
      <abilityName>字词错误</abilityName>
      <candidateList>
        <item>黏结</item>
      </candidateList>
      <explain>存在发音相同字词的误用。</explain>
      <paraID>32E0B58F</paraID>
      <start>63</start>
      <end>65</end>
      <status>modified</status>
      <modifiedWord>黏结</modifiedWord>
      <trackRevisions>false</trackRevisions>
    </reviewItem>
    <reviewItem>
      <errorID>3eb5bf34-f614-444e-bb24-2d05d194eeaf</errorID>
      <errorWord>夹层玻璃中</errorWord>
      <group>L1_Word</group>
      <groupName>字词问题</groupName>
      <ability>L2_Typo</ability>
      <abilityName>字词错误</abilityName>
      <candidateList>
        <item>夹层玻璃</item>
      </candidateList>
      <explain/>
      <paraID>55422FE8</paraID>
      <start>33</start>
      <end>37</end>
      <status>modified</status>
      <modifiedWord>夹层玻璃</modifiedWord>
      <trackRevisions>false</trackRevisions>
    </reviewItem>
    <reviewItem>
      <errorID>68137458-ac20-4f1b-93c8-9635fd2b1b71</errorID>
      <errorWord>粘结性</errorWord>
      <group>L1_Word</group>
      <groupName>字词问题</groupName>
      <ability>L2_Typo</ability>
      <abilityName>字词错误</abilityName>
      <candidateList>
        <item>黏结性</item>
      </candidateList>
      <explain>存在发音相同字词的误用。</explain>
      <paraID>1DB32F74</paraID>
      <start>58</start>
      <end>61</end>
      <status>modified</status>
      <modifiedWord>黏结性</modifiedWord>
      <trackRevisions>false</trackRevisions>
    </reviewItem>
    <reviewItem>
      <errorID>51b1ed91-67b8-4198-8791-f16bd9ba7b4e</errorID>
      <errorWord>具</errorWord>
      <group>L1_Word</group>
      <groupName>字词问题</groupName>
      <ability>L2_Typo</ability>
      <abilityName>字词错误</abilityName>
      <candidateList>
        <item>具有</item>
      </candidateList>
      <explain>〈动〉有（多用于抽象事物）：～信心｜～伟大的意义。</explain>
      <paraID>1DB32F74</paraID>
      <start>137</start>
      <end>139</end>
      <status>modified</status>
      <modifiedWord>具有</modifiedWord>
      <trackRevisions>false</trackRevisions>
    </reviewItem>
    <reviewItem>
      <errorID>b272fcae-c3f3-4bca-a6cb-39ec56e479c8</errorID>
      <errorWord>:</errorWord>
      <group>L1_Format</group>
      <groupName>格式问题</groupName>
      <ability>L2_HalfPunc</ability>
      <abilityName>全半角检查</abilityName>
      <candidateList>
        <item>：</item>
      </candidateList>
      <explain>文本全半角错误。</explain>
      <paraID>66CEC247</paraID>
      <start>78</start>
      <end>79</end>
      <status>modified</status>
      <modifiedWord>：</modifiedWord>
      <trackRevisions>false</trackRevisions>
    </reviewItem>
    <reviewItem>
      <errorID>f68b4a22-272a-4afb-a5b5-6b2eca1ea59e</errorID>
      <errorWord>韦氏硬度</errorWord>
      <group>L1_Knowledge</group>
      <groupName>知识性问题</groupName>
      <ability>L2_Term</ability>
      <abilityName>专业术语</abilityName>
      <candidateList>
        <item>里氏硬度</item>
      </candidateList>
      <explain/>
      <paraID>10EB4EE0</paraID>
      <start>77</start>
      <end>81</end>
      <status>ignored</status>
      <modifiedWord/>
      <trackRevisions>false</trackRevisions>
    </reviewItem>
    <reviewItem>
      <errorID>4913fed1-520f-40f2-adba-5dc6c9fff9b3</errorID>
      <errorWord>“U”型</errorWord>
      <group>L1_Word</group>
      <groupName>字词问题</groupName>
      <ability>L2_Typo</ability>
      <abilityName>字词错误</abilityName>
      <candidateList>
        <item>“U”形</item>
      </candidateList>
      <explain/>
      <paraID>2C6ACEE5</paraID>
      <start>29</start>
      <end>33</end>
      <status>modified</status>
      <modifiedWord>“U”形</modifiedWord>
      <trackRevisions>false</trackRevisions>
    </reviewItem>
    <reviewItem>
      <errorID>a019bccd-c04c-4f48-a90a-ac06e48e4c2a</errorID>
      <errorWord>“U”型</errorWord>
      <group>L1_Word</group>
      <groupName>字词问题</groupName>
      <ability>L2_Typo</ability>
      <abilityName>字词错误</abilityName>
      <candidateList>
        <item>“U”形</item>
      </candidateList>
      <explain/>
      <paraID>2C6ACEE5</paraID>
      <start>46</start>
      <end>50</end>
      <status>modified</status>
      <modifiedWord>“U”形</modifiedWord>
      <trackRevisions>false</trackRevisions>
    </reviewItem>
    <reviewItem>
      <errorID>e3c8906f-7e4f-40c5-b9b7-6bf0b39d4a14</errorID>
      <errorWord>“U”型</errorWord>
      <group>L1_Word</group>
      <groupName>字词问题</groupName>
      <ability>L2_Typo</ability>
      <abilityName>字词错误</abilityName>
      <candidateList>
        <item>“U”形</item>
      </candidateList>
      <explain/>
      <paraID>2C6ACEE5</paraID>
      <start>82</start>
      <end>86</end>
      <status>modified</status>
      <modifiedWord>“U”形</modifiedWord>
      <trackRevisions>false</trackRevisions>
    </reviewItem>
    <reviewItem>
      <errorID>2a295e3e-b0f1-4de1-9e1b-a749cf94ebe4</errorID>
      <errorWord>粘接</errorWord>
      <group>L1_Word</group>
      <groupName>字词问题</groupName>
      <ability>L2_Typo</ability>
      <abilityName>字词错误</abilityName>
      <candidateList>
        <item>黏接</item>
      </candidateList>
      <explain>存在发音相同字词的误用。</explain>
      <paraID>2C6ACEE5</paraID>
      <start>169</start>
      <end>171</end>
      <status>modified</status>
      <modifiedWord>黏接</modifiedWord>
      <trackRevisions>false</trackRevisions>
    </reviewItem>
    <reviewItem>
      <errorID>e726acf8-9686-4ece-b512-a0f5f1a8fc65</errorID>
      <errorWord>粘接剂</errorWord>
      <group>L1_Word</group>
      <groupName>字词问题</groupName>
      <ability>L2_Typo</ability>
      <abilityName>字词错误</abilityName>
      <candidateList>
        <item>粘结剂</item>
      </candidateList>
      <explain>存在发音相同字词的误用。</explain>
      <paraID>2C6ACEE5</paraID>
      <start>218</start>
      <end>221</end>
      <status>modified</status>
      <modifiedWord>粘结剂</modifiedWord>
      <trackRevisions>false</trackRevisions>
    </reviewItem>
    <reviewItem>
      <errorID>490f1790-2974-4129-93f7-32c3482d7627</errorID>
      <errorWord>粘接剂</errorWord>
      <group>L1_Word</group>
      <groupName>字词问题</groupName>
      <ability>L2_Typo</ability>
      <abilityName>字词错误</abilityName>
      <candidateList>
        <item>粘结剂</item>
      </candidateList>
      <explain>存在发音相同字词的误用。</explain>
      <paraID>2C6ACEE5</paraID>
      <start>222</start>
      <end>225</end>
      <status>modified</status>
      <modifiedWord>粘结剂</modifiedWord>
      <trackRevisions>false</trackRevisions>
    </reviewItem>
    <reviewItem>
      <errorID>bd674680-5cb4-4c97-b539-738bf5e80366</errorID>
      <errorWord>)</errorWord>
      <group>L1_Format</group>
      <groupName>格式问题</groupName>
      <ability>L2_HalfPunc</ability>
      <abilityName>全半角检查</abilityName>
      <candidateList>
        <item>）</item>
      </candidateList>
      <explain>文本全半角错误。</explain>
      <paraID>7FF96180</paraID>
      <start>52</start>
      <end>53</end>
      <status>modified</status>
      <modifiedWord>）</modifiedWord>
      <trackRevisions>false</trackRevisions>
    </reviewItem>
    <reviewItem>
      <errorID>a4899bad-046d-47fd-b32b-8d289f3a2ab4</errorID>
      <errorWord>订制</errorWord>
      <group>L1_Word</group>
      <groupName>字词问题</groupName>
      <ability>L2_Typo</ability>
      <abilityName>字词错误</abilityName>
      <candidateList>
        <item>定制</item>
      </candidateList>
      <explain>存在发音相同字词的误用。</explain>
      <paraID> 50638CA</paraID>
      <start>7</start>
      <end>9</end>
      <status>modified</status>
      <modifiedWord>定制</modifiedWord>
      <trackRevisions>false</trackRevisions>
    </reviewItem>
    <reviewItem>
      <errorID>1dcdd88d-d790-40c5-85b5-63cb5dd6e015</errorID>
      <errorWord>)</errorWord>
      <group>L1_Format</group>
      <groupName>格式问题</groupName>
      <ability>L2_HalfPunc</ability>
      <abilityName>全半角检查</abilityName>
      <candidateList>
        <item>）</item>
      </candidateList>
      <explain>文本全半角错误。</explain>
      <paraID>45F4BE6E</paraID>
      <start>86</start>
      <end>87</end>
      <status>modified</status>
      <modifiedWord>）</modifiedWord>
      <trackRevisions>false</trackRevisions>
    </reviewItem>
    <reviewItem>
      <errorID>3c2764fc-820f-411c-a466-9ffcaae56c61</errorID>
      <errorWord>(</errorWord>
      <group>L1_Format</group>
      <groupName>格式问题</groupName>
      <ability>L2_HalfPunc</ability>
      <abilityName>全半角检查</abilityName>
      <candidateList>
        <item>（</item>
      </candidateList>
      <explain>文本全半角错误。</explain>
      <paraID>1EBD6921</paraID>
      <start>29</start>
      <end>30</end>
      <status>modified</status>
      <modifiedWord>（</modifiedWord>
      <trackRevisions>false</trackRevisions>
    </reviewItem>
    <reviewItem>
      <errorID>b164ad47-c786-4234-be3d-6b6cbff327a0</errorID>
      <errorWord>)</errorWord>
      <group>L1_Format</group>
      <groupName>格式问题</groupName>
      <ability>L2_HalfPunc</ability>
      <abilityName>全半角检查</abilityName>
      <candidateList>
        <item>）</item>
      </candidateList>
      <explain>文本全半角错误。</explain>
      <paraID>1EBD6921</paraID>
      <start>38</start>
      <end>39</end>
      <status>modified</status>
      <modifiedWord>）</modifiedWord>
      <trackRevisions>false</trackRevisions>
    </reviewItem>
    <reviewItem>
      <errorID>1b1d2abc-6463-487b-b4b8-99efeed15c36</errorID>
      <errorWord>(</errorWord>
      <group>L1_Format</group>
      <groupName>格式问题</groupName>
      <ability>L2_HalfPunc</ability>
      <abilityName>全半角检查</abilityName>
      <candidateList>
        <item>（</item>
      </candidateList>
      <explain>文本全半角错误。</explain>
      <paraID>5F641186</paraID>
      <start>21</start>
      <end>22</end>
      <status>modified</status>
      <modifiedWord>（</modifiedWord>
      <trackRevisions>false</trackRevisions>
    </reviewItem>
    <reviewItem>
      <errorID>96f67c56-fe23-4796-9732-d99b5ef5b87a</errorID>
      <errorWord>)</errorWord>
      <group>L1_Format</group>
      <groupName>格式问题</groupName>
      <ability>L2_HalfPunc</ability>
      <abilityName>全半角检查</abilityName>
      <candidateList>
        <item>）</item>
      </candidateList>
      <explain>文本全半角错误。</explain>
      <paraID>5F641186</paraID>
      <start>30</start>
      <end>31</end>
      <status>modified</status>
      <modifiedWord>）</modifiedWord>
      <trackRevisions>false</trackRevisions>
    </reviewItem>
    <reviewItem>
      <errorID>a538f3a6-1b39-4e2b-ac05-ee1037ae3dbe</errorID>
      <errorWord>锁</errorWord>
      <group>L1_Word</group>
      <groupName>字词问题</groupName>
      <ability>L2_Typo</ability>
      <abilityName>字词错误</abilityName>
      <candidateList>
        <item>锁定</item>
      </candidateList>
      <explain/>
      <paraID>2E19BB0C</paraID>
      <start>31</start>
      <end>33</end>
      <status>modified</status>
      <modifiedWord>锁定</modifiedWord>
      <trackRevisions>false</trackRevisions>
    </reviewItem>
    <reviewItem>
      <errorID>699ede6d-0532-4035-aff7-1d59b7080c65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7B73A175</paraID>
      <start>26</start>
      <end>29</end>
      <status>ignored</status>
      <modifiedWord/>
      <trackRevisions>false</trackRevisions>
    </reviewItem>
    <reviewItem>
      <errorID>fd5c7f46-796b-4cb4-a976-6b8e0873d149</errorID>
      <errorWord>价格分</errorWord>
      <group>L1_Word</group>
      <groupName>字词问题</groupName>
      <ability>L2_Typo</ability>
      <abilityName>字词错误</abilityName>
      <candidateList>
        <item>价格</item>
      </candidateList>
      <explain/>
      <paraID>6746A419</paraID>
      <start>37</start>
      <end>40</end>
      <status>ignored</status>
      <modifiedWord/>
      <trackRevisions>false</trackRevisions>
    </reviewItem>
    <reviewItem>
      <errorID>49ec516b-5a57-485e-85f3-2bf636a6da41</errorID>
      <errorWord>(</errorWord>
      <group>L1_Format</group>
      <groupName>格式问题</groupName>
      <ability>L2_HalfPunc</ability>
      <abilityName>全半角检查</abilityName>
      <candidateList>
        <item>（</item>
      </candidateList>
      <explain>文本全半角错误。</explain>
      <paraID> 2C18BA2</paraID>
      <start>7</start>
      <end>8</end>
      <status>modified</status>
      <modifiedWord>（</modifiedWord>
      <trackRevisions>false</trackRevisions>
    </reviewItem>
    <reviewItem>
      <errorID>8dff5c2b-1d97-4d90-9b7b-824097a97f75</errorID>
      <errorWord>)</errorWord>
      <group>L1_Format</group>
      <groupName>格式问题</groupName>
      <ability>L2_HalfPunc</ability>
      <abilityName>全半角检查</abilityName>
      <candidateList>
        <item>）</item>
      </candidateList>
      <explain>文本全半角错误。</explain>
      <paraID> 2C18BA2</paraID>
      <start>18</start>
      <end>19</end>
      <status>modified</status>
      <modifiedWord>）</modifiedWord>
      <trackRevisions>false</trackRevisions>
    </reviewItem>
    <reviewItem>
      <errorID>f52d8b37-f0ec-44fd-a679-d4ee59561c41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73CA5C25</paraID>
      <start>22</start>
      <end>23</end>
      <status>ignored</status>
      <modifiedWord/>
      <trackRevisions>false</trackRevisions>
    </reviewItem>
    <reviewItem>
      <errorID>fb726064-cbce-4433-9240-65caaa214754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6377C5D3</paraID>
      <start>28</start>
      <end>29</end>
      <status>ignored</status>
      <modifiedWord/>
      <trackRevisions>false</trackRevisions>
    </reviewItem>
    <reviewItem>
      <errorID>010a2a02-9cd1-4d03-88ce-7428ba5b7436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7A13F1DA</paraID>
      <start>0</start>
      <end>2</end>
      <status>modified</status>
      <modifiedWord>1.</modifiedWord>
      <trackRevisions>false</trackRevisions>
    </reviewItem>
    <reviewItem>
      <errorID>2be5580b-fdfd-4716-b493-34d1c298c2d2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5830DA71</paraID>
      <start>0</start>
      <end>2</end>
      <status>modified</status>
      <modifiedWord>2.</modifiedWord>
      <trackRevisions>false</trackRevisions>
    </reviewItem>
    <reviewItem>
      <errorID>6f3a2616-796a-491c-8ec7-c1b5c84a41c0</errorID>
      <errorWord>~</errorWord>
      <group>L1_Format</group>
      <groupName>格式问题</groupName>
      <ability>L2_HalfPunc</ability>
      <abilityName>全半角检查</abilityName>
      <candidateList>
        <item>～</item>
      </candidateList>
      <explain>文本全半角错误。</explain>
      <paraID>5830DA71</paraID>
      <start>38</start>
      <end>39</end>
      <status>modified</status>
      <modifiedWord>～</modifiedWord>
      <trackRevisions>false</trackRevisions>
    </reviewItem>
    <reviewItem>
      <errorID>0bab6183-c4db-416c-bb26-5af79d1d37f1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4889B6D9</paraID>
      <start>0</start>
      <end>2</end>
      <status>modified</status>
      <modifiedWord>3.</modifiedWord>
      <trackRevisions>false</trackRevisions>
    </reviewItem>
    <reviewItem>
      <errorID>bcecfd86-e3ad-4b9d-bcba-8af2eb6dfa19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4D7B3439</paraID>
      <start>0</start>
      <end>2</end>
      <status>modified</status>
      <modifiedWord>4.</modifiedWord>
      <trackRevisions>false</trackRevisions>
    </reviewItem>
    <reviewItem>
      <errorID>36b13ada-fddd-4e68-b2ca-3376959fdc4a</errorID>
      <errorWord>(</errorWord>
      <group>L1_Format</group>
      <groupName>格式问题</groupName>
      <ability>L2_HalfPunc</ability>
      <abilityName>全半角检查</abilityName>
      <candidateList>
        <item>（</item>
      </candidateList>
      <explain>文本全半角错误。</explain>
      <paraID>4D7B3439</paraID>
      <start>16</start>
      <end>17</end>
      <status>modified</status>
      <modifiedWord>（</modifiedWord>
      <trackRevisions>false</trackRevisions>
    </reviewItem>
    <reviewItem>
      <errorID>d05dbd26-47da-4173-839d-623ace8f332b</errorID>
      <errorWord>)</errorWord>
      <group>L1_Format</group>
      <groupName>格式问题</groupName>
      <ability>L2_HalfPunc</ability>
      <abilityName>全半角检查</abilityName>
      <candidateList>
        <item>）</item>
      </candidateList>
      <explain>文本全半角错误。</explain>
      <paraID>4D7B3439</paraID>
      <start>20</start>
      <end>21</end>
      <status>modified</status>
      <modifiedWord>）</modifiedWord>
      <trackRevisions>false</trackRevisions>
    </reviewItem>
    <reviewItem>
      <errorID>aad31968-acc0-494a-951b-57a98719f889</errorID>
      <errorWord>项目的</errorWord>
      <group>L1_Word</group>
      <groupName>字词问题</groupName>
      <ability>L2_Typo</ability>
      <abilityName>字词错误</abilityName>
      <candidateList>
        <item>项目</item>
      </candidateList>
      <explain>〈名〉事物分成的门类：服务～｜体育～｜建设～。</explain>
      <paraID>48479AA8</paraID>
      <start>30</start>
      <end>32</end>
      <status>modified</status>
      <modifiedWord>项目</modifiedWord>
      <trackRevisions>false</trackRevisions>
    </reviewItem>
    <reviewItem>
      <errorID>7a9d8664-1e50-4df4-9b30-18961f8e8390</errorID>
      <errorWord>工做</errorWord>
      <group>L1_Word</group>
      <groupName>字词问题</groupName>
      <ability>L2_Typo</ability>
      <abilityName>字词错误</abilityName>
      <candidateList>
        <item>工作</item>
      </candidateList>
      <explain>存在发音相同字词的误用。</explain>
      <paraID>655F1255</paraID>
      <start>25</start>
      <end>27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FC7881A-C24F-4DD6-BEFD-36CA876DDC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东台市兴华招标代理有限公司</cp:lastModifiedBy>
  <cp:revision>10</cp:revision>
  <dcterms:created xsi:type="dcterms:W3CDTF">2025-08-12T09:48:00Z</dcterms:created>
  <dcterms:modified xsi:type="dcterms:W3CDTF">2026-02-06T08:53:20Z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247DE1E8BED44AFBB6600BA00E912D67_13</vt:lpwstr>
  </property>
  <property fmtid="{D5CDD505-2E9C-101B-9397-08002B2CF9AE}" pid="4" name="KSOTemplateDocerSaveRecord">
    <vt:lpwstr>eyJoZGlkIjoiYjA5ZGM2ZWEzZTFmMTNmZjQ5MzY5NzkxNDYyYzFhMTYiLCJ1c2VySWQiOiIxMzA2NDU5MDMyIn0=</vt:lpwstr>
  </property>
</Properties>
</file>