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25" w:right="-525"/>
        <w:jc w:val="center"/>
        <w:keepLines w:val="0"/>
        <w:keepNext w:val="0"/>
        <w:pageBreakBefore w:val="0"/>
        <w:spacing w:before="314" w:line="360" w:lineRule="auto"/>
        <w:widowControl w:val="off"/>
        <w:rPr>
          <w:rFonts w:hint="eastAsia" w:ascii="宋体" w:hAnsi="宋体" w:cs="宋体"/>
          <w:color w:val="auto"/>
          <w:sz w:val="44"/>
          <w:szCs w:val="44"/>
          <w:highlight w:val="none"/>
        </w:rPr>
      </w:pPr>
      <w:r>
        <w:rPr>
          <w:color w:val="auto"/>
          <w:highlight w:val="none"/>
        </w:rPr>
        <mc:AlternateContent>
          <mc:Choice Requires="wpg">
            <w:drawing>
              <wp:inline xmlns:wp="http://schemas.openxmlformats.org/drawingml/2006/wordprocessingDrawing" distT="0" distB="0" distL="0" distR="0">
                <wp:extent cx="5133975" cy="7582535"/>
                <wp:effectExtent l="0" t="0" r="9525" b="184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5133975" cy="7582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2pt;height:597.0pt;mso-wrap-distance-left:0.0pt;mso-wrap-distance-top:0.0pt;mso-wrap-distance-right:0.0pt;mso-wrap-distance-bottom:0.0pt;" stroked="f">
                <v:path textboxrect="0,0,0,0"/>
                <v:imagedata r:id="rId14" o:title=""/>
              </v:shape>
            </w:pict>
          </mc:Fallback>
        </mc:AlternateContent>
      </w:r>
      <w:r/>
    </w:p>
    <w:p>
      <w:pPr>
        <w:ind w:left="-525" w:right="-525"/>
        <w:jc w:val="center"/>
        <w:keepLines w:val="0"/>
        <w:keepNext w:val="0"/>
        <w:pageBreakBefore w:val="0"/>
        <w:spacing w:before="314" w:line="200" w:lineRule="exact"/>
        <w:widowControl w:val="off"/>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ind w:left="-525" w:right="-525"/>
        <w:jc w:val="center"/>
        <w:keepLines w:val="0"/>
        <w:keepNext w:val="0"/>
        <w:pageBreakBefore w:val="0"/>
        <w:spacing w:before="314" w:line="200" w:lineRule="exact"/>
        <w:widowControl w:val="off"/>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ind w:left="-525" w:right="-525"/>
        <w:jc w:val="center"/>
        <w:keepLines w:val="0"/>
        <w:keepNext w:val="0"/>
        <w:pageBreakBefore w:val="0"/>
        <w:spacing w:before="314" w:line="200" w:lineRule="exact"/>
        <w:widowControl w:val="off"/>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ind w:left="0" w:right="0" w:firstLine="0"/>
        <w:jc w:val="center"/>
        <w:spacing w:before="0" w:after="0" w:line="240" w:lineRule="auto"/>
        <w:rPr>
          <w:rFonts w:ascii="宋体" w:hAnsi="宋体" w:eastAsia="宋体" w:cs="Times New Roman"/>
          <w:b/>
          <w:bCs/>
          <w:color w:val="auto"/>
          <w:sz w:val="30"/>
          <w:szCs w:val="30"/>
          <w:highlight w:val="none"/>
          <w:lang w:val="en-US" w:eastAsia="zh-CN" w:bidi="ar-SA"/>
        </w:rPr>
        <w:sectPr>
          <w:footnotePr/>
          <w:endnotePr/>
          <w:type w:val="nextPage"/>
          <w:pgSz w:w="11906" w:h="16838" w:orient="portrait"/>
          <w:pgMar w:top="1354" w:right="1219" w:bottom="1134" w:left="1219" w:header="851" w:footer="992" w:gutter="284"/>
          <w:pgNumType w:start="1"/>
          <w:cols w:num="1" w:sep="0" w:space="720" w:equalWidth="1"/>
          <w:docGrid w:linePitch="360"/>
          <w:titlePg/>
        </w:sectPr>
      </w:pPr>
      <w:r>
        <w:rPr>
          <w:rFonts w:ascii="宋体" w:hAnsi="宋体" w:eastAsia="宋体" w:cs="Times New Roman"/>
          <w:b/>
          <w:bCs/>
          <w:color w:val="auto"/>
          <w:sz w:val="30"/>
          <w:szCs w:val="30"/>
          <w:highlight w:val="none"/>
          <w:lang w:val="en-US" w:eastAsia="zh-CN" w:bidi="ar-SA"/>
        </w:rPr>
      </w:r>
      <w:r/>
    </w:p>
    <w:sdt>
      <w:sdtPr>
        <w15:appearance w15:val="boundingBox"/>
        <w15:color w:val="dbdbdb"/>
        <w:id w:val="147451031"/>
        <w:docPartObj>
          <w:docPartGallery w:val="Table of Contents"/>
          <w:docPartUnique w:val="true"/>
        </w:docPartObj>
        <w:rPr>
          <w:rFonts w:ascii="宋体" w:hAnsi="宋体" w:eastAsia="宋体" w:cs="Times New Roman"/>
          <w:b/>
          <w:bCs/>
          <w:color w:val="auto"/>
          <w:sz w:val="30"/>
          <w:szCs w:val="30"/>
          <w:highlight w:val="none"/>
          <w:lang w:val="en-US" w:eastAsia="zh-CN" w:bidi="ar-SA"/>
        </w:rPr>
      </w:sdtPr>
      <w:sdtContent>
        <w:p>
          <w:pPr>
            <w:ind w:left="0" w:right="0" w:firstLine="0"/>
            <w:jc w:val="center"/>
            <w:spacing w:before="0" w:after="0" w:line="240" w:lineRule="auto"/>
            <w:rPr>
              <w:b/>
              <w:bCs/>
              <w:color w:val="auto"/>
              <w:sz w:val="30"/>
              <w:szCs w:val="30"/>
              <w:highlight w:val="none"/>
            </w:rPr>
          </w:pPr>
          <w:r>
            <w:rPr>
              <w:rFonts w:ascii="宋体" w:hAnsi="宋体" w:eastAsia="宋体"/>
              <w:b/>
              <w:bCs/>
              <w:color w:val="auto"/>
              <w:sz w:val="30"/>
              <w:szCs w:val="30"/>
              <w:highlight w:val="none"/>
            </w:rPr>
            <w:t xml:space="preserve">目</w:t>
          </w:r>
          <w:r>
            <w:rPr>
              <w:rFonts w:hint="eastAsia" w:ascii="宋体" w:hAnsi="宋体"/>
              <w:b/>
              <w:bCs/>
              <w:color w:val="auto"/>
              <w:sz w:val="30"/>
              <w:szCs w:val="30"/>
              <w:highlight w:val="none"/>
              <w:lang w:val="en-US" w:eastAsia="zh-CN"/>
            </w:rPr>
            <w:t xml:space="preserve"> </w:t>
          </w:r>
          <w:r>
            <w:rPr>
              <w:rFonts w:ascii="宋体" w:hAnsi="宋体" w:eastAsia="宋体"/>
              <w:b/>
              <w:bCs/>
              <w:color w:val="auto"/>
              <w:sz w:val="30"/>
              <w:szCs w:val="30"/>
              <w:highlight w:val="none"/>
            </w:rPr>
            <w:t xml:space="preserve">录</w:t>
          </w:r>
          <w:r/>
        </w:p>
        <w:p>
          <w:pPr>
            <w:pStyle w:val="796"/>
            <w:keepLines w:val="0"/>
            <w:keepNext w:val="0"/>
            <w:pageBreakBefore w:val="0"/>
            <w:spacing w:line="480" w:lineRule="exact"/>
            <w:tabs>
              <w:tab w:val="right" w:pos="9184" w:leader="dot"/>
            </w:tabs>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TOC \o "1-2" \h \u </w:instrText>
          </w:r>
          <w:r>
            <w:rPr>
              <w:color w:val="auto"/>
              <w:sz w:val="24"/>
              <w:szCs w:val="24"/>
              <w:highlight w:val="none"/>
            </w:rPr>
            <w:fldChar w:fldCharType="separate"/>
          </w:r>
          <w:r>
            <w:rPr>
              <w:rFonts w:hint="eastAsia"/>
              <w:color w:val="auto"/>
              <w:sz w:val="24"/>
              <w:szCs w:val="24"/>
              <w:highlight w:val="none"/>
            </w:rPr>
            <w:fldChar w:fldCharType="begin"/>
          </w:r>
          <w:r>
            <w:rPr>
              <w:rFonts w:hint="eastAsia"/>
              <w:color w:val="auto"/>
              <w:sz w:val="24"/>
              <w:szCs w:val="24"/>
              <w:highlight w:val="none"/>
            </w:rPr>
            <w:instrText xml:space="preserve"> HYPERLINK \l _Toc26147 </w:instrText>
          </w:r>
          <w:r>
            <w:rPr>
              <w:rFonts w:hint="eastAsia"/>
              <w:color w:val="auto"/>
              <w:sz w:val="24"/>
              <w:szCs w:val="24"/>
              <w:highlight w:val="none"/>
            </w:rPr>
            <w:fldChar w:fldCharType="separate"/>
          </w:r>
          <w:r>
            <w:rPr>
              <w:rFonts w:hint="eastAsia"/>
              <w:color w:val="auto"/>
              <w:sz w:val="24"/>
              <w:szCs w:val="24"/>
              <w:highlight w:val="none"/>
            </w:rPr>
            <w:t xml:space="preserve">第一章 竞争性磋商公告</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_Toc26147 \h </w:instrText>
          </w:r>
          <w:r>
            <w:rPr>
              <w:rFonts w:hint="eastAsia"/>
              <w:color w:val="auto"/>
              <w:sz w:val="24"/>
              <w:szCs w:val="24"/>
              <w:highlight w:val="none"/>
            </w:rPr>
            <w:fldChar w:fldCharType="separate"/>
          </w:r>
          <w:r>
            <w:rPr>
              <w:rFonts w:hint="eastAsia"/>
              <w:color w:val="auto"/>
              <w:sz w:val="24"/>
              <w:szCs w:val="24"/>
              <w:highlight w:val="none"/>
            </w:rPr>
            <w:t xml:space="preserve">- 1 -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_Toc14954 </w:instrText>
          </w:r>
          <w:r>
            <w:rPr>
              <w:rFonts w:hint="eastAsia"/>
              <w:color w:val="auto"/>
              <w:sz w:val="24"/>
              <w:szCs w:val="24"/>
              <w:highlight w:val="none"/>
            </w:rPr>
            <w:fldChar w:fldCharType="separate"/>
          </w:r>
          <w:r>
            <w:rPr>
              <w:rFonts w:hint="eastAsia"/>
              <w:color w:val="auto"/>
              <w:sz w:val="24"/>
              <w:szCs w:val="24"/>
              <w:highlight w:val="none"/>
            </w:rPr>
            <w:t xml:space="preserve">前附表</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_Toc14954 \h </w:instrText>
          </w:r>
          <w:r>
            <w:rPr>
              <w:rFonts w:hint="eastAsia"/>
              <w:color w:val="auto"/>
              <w:sz w:val="24"/>
              <w:szCs w:val="24"/>
              <w:highlight w:val="none"/>
            </w:rPr>
            <w:fldChar w:fldCharType="separate"/>
          </w:r>
          <w:r>
            <w:rPr>
              <w:rFonts w:hint="eastAsia"/>
              <w:color w:val="auto"/>
              <w:sz w:val="24"/>
              <w:szCs w:val="24"/>
              <w:highlight w:val="none"/>
            </w:rPr>
            <w:t xml:space="preserve">- 6 -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_Toc25598 </w:instrText>
          </w:r>
          <w:r>
            <w:rPr>
              <w:rFonts w:hint="eastAsia"/>
              <w:color w:val="auto"/>
              <w:sz w:val="24"/>
              <w:szCs w:val="24"/>
              <w:highlight w:val="none"/>
            </w:rPr>
            <w:fldChar w:fldCharType="separate"/>
          </w:r>
          <w:r>
            <w:rPr>
              <w:rFonts w:hint="eastAsia"/>
              <w:color w:val="auto"/>
              <w:sz w:val="24"/>
              <w:szCs w:val="24"/>
              <w:highlight w:val="none"/>
            </w:rPr>
            <w:t xml:space="preserve">第二章 供应商须知</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_Toc25598 \h </w:instrText>
          </w:r>
          <w:r>
            <w:rPr>
              <w:rFonts w:hint="eastAsia"/>
              <w:color w:val="auto"/>
              <w:sz w:val="24"/>
              <w:szCs w:val="24"/>
              <w:highlight w:val="none"/>
            </w:rPr>
            <w:fldChar w:fldCharType="separate"/>
          </w:r>
          <w:r>
            <w:rPr>
              <w:rFonts w:hint="eastAsia"/>
              <w:color w:val="auto"/>
              <w:sz w:val="24"/>
              <w:szCs w:val="24"/>
              <w:highlight w:val="none"/>
            </w:rPr>
            <w:t xml:space="preserve">- 7 -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_Toc13174 </w:instrText>
          </w:r>
          <w:r>
            <w:rPr>
              <w:rFonts w:hint="eastAsia"/>
              <w:color w:val="auto"/>
              <w:sz w:val="24"/>
              <w:szCs w:val="24"/>
              <w:highlight w:val="none"/>
            </w:rPr>
            <w:fldChar w:fldCharType="separate"/>
          </w:r>
          <w:r>
            <w:rPr>
              <w:rFonts w:hint="eastAsia"/>
              <w:color w:val="auto"/>
              <w:sz w:val="24"/>
              <w:szCs w:val="24"/>
              <w:highlight w:val="none"/>
            </w:rPr>
            <w:t xml:space="preserve">第三章 合同文本</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_Toc13174 \h </w:instrText>
          </w:r>
          <w:r>
            <w:rPr>
              <w:rFonts w:hint="eastAsia"/>
              <w:color w:val="auto"/>
              <w:sz w:val="24"/>
              <w:szCs w:val="24"/>
              <w:highlight w:val="none"/>
            </w:rPr>
            <w:fldChar w:fldCharType="separate"/>
          </w:r>
          <w:r>
            <w:rPr>
              <w:rFonts w:hint="eastAsia"/>
              <w:color w:val="auto"/>
              <w:sz w:val="24"/>
              <w:szCs w:val="24"/>
              <w:highlight w:val="none"/>
            </w:rPr>
            <w:t xml:space="preserve">- 30 -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_Toc14811 </w:instrText>
          </w:r>
          <w:r>
            <w:rPr>
              <w:rFonts w:hint="eastAsia"/>
              <w:color w:val="auto"/>
              <w:sz w:val="24"/>
              <w:szCs w:val="24"/>
              <w:highlight w:val="none"/>
            </w:rPr>
            <w:fldChar w:fldCharType="separate"/>
          </w:r>
          <w:r>
            <w:rPr>
              <w:rFonts w:hint="eastAsia"/>
              <w:color w:val="auto"/>
              <w:sz w:val="24"/>
              <w:szCs w:val="24"/>
              <w:highlight w:val="none"/>
            </w:rPr>
            <w:t xml:space="preserve">第四章 采购需求</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_Toc14811 \h </w:instrText>
          </w:r>
          <w:r>
            <w:rPr>
              <w:rFonts w:hint="eastAsia"/>
              <w:color w:val="auto"/>
              <w:sz w:val="24"/>
              <w:szCs w:val="24"/>
              <w:highlight w:val="none"/>
            </w:rPr>
            <w:fldChar w:fldCharType="separate"/>
          </w:r>
          <w:r>
            <w:rPr>
              <w:rFonts w:hint="eastAsia"/>
              <w:color w:val="auto"/>
              <w:sz w:val="24"/>
              <w:szCs w:val="24"/>
              <w:highlight w:val="none"/>
            </w:rPr>
            <w:t xml:space="preserve">- 39 -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_Toc5807 </w:instrText>
          </w:r>
          <w:r>
            <w:rPr>
              <w:rFonts w:hint="eastAsia"/>
              <w:color w:val="auto"/>
              <w:sz w:val="24"/>
              <w:szCs w:val="24"/>
              <w:highlight w:val="none"/>
            </w:rPr>
            <w:fldChar w:fldCharType="separate"/>
          </w:r>
          <w:r>
            <w:rPr>
              <w:rFonts w:hint="eastAsia"/>
              <w:color w:val="auto"/>
              <w:sz w:val="24"/>
              <w:szCs w:val="24"/>
              <w:highlight w:val="none"/>
            </w:rPr>
            <w:t xml:space="preserve">第五章 评审方法与评审标准</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_Toc5807 \h </w:instrText>
          </w:r>
          <w:r>
            <w:rPr>
              <w:rFonts w:hint="eastAsia"/>
              <w:color w:val="auto"/>
              <w:sz w:val="24"/>
              <w:szCs w:val="24"/>
              <w:highlight w:val="none"/>
            </w:rPr>
            <w:fldChar w:fldCharType="separate"/>
          </w:r>
          <w:r>
            <w:rPr>
              <w:rFonts w:hint="eastAsia"/>
              <w:color w:val="auto"/>
              <w:sz w:val="24"/>
              <w:szCs w:val="24"/>
              <w:highlight w:val="none"/>
            </w:rPr>
            <w:t xml:space="preserve">- 53 -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_Toc26270 </w:instrText>
          </w:r>
          <w:r>
            <w:rPr>
              <w:rFonts w:hint="eastAsia"/>
              <w:color w:val="auto"/>
              <w:sz w:val="24"/>
              <w:szCs w:val="24"/>
              <w:highlight w:val="none"/>
            </w:rPr>
            <w:fldChar w:fldCharType="separate"/>
          </w:r>
          <w:r>
            <w:rPr>
              <w:rFonts w:hint="eastAsia"/>
              <w:color w:val="auto"/>
              <w:sz w:val="24"/>
              <w:szCs w:val="24"/>
              <w:highlight w:val="none"/>
            </w:rPr>
            <w:t xml:space="preserve">第六章  响应文件格式</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_Toc26270 \h </w:instrText>
          </w:r>
          <w:r>
            <w:rPr>
              <w:rFonts w:hint="eastAsia"/>
              <w:color w:val="auto"/>
              <w:sz w:val="24"/>
              <w:szCs w:val="24"/>
              <w:highlight w:val="none"/>
            </w:rPr>
            <w:fldChar w:fldCharType="separate"/>
          </w:r>
          <w:r>
            <w:rPr>
              <w:rFonts w:hint="eastAsia"/>
              <w:color w:val="auto"/>
              <w:sz w:val="24"/>
              <w:szCs w:val="24"/>
              <w:highlight w:val="none"/>
            </w:rPr>
            <w:t xml:space="preserve">- 57 -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_Toc19522 </w:instrText>
          </w:r>
          <w:r>
            <w:rPr>
              <w:rFonts w:hint="eastAsia"/>
              <w:color w:val="auto"/>
              <w:sz w:val="24"/>
              <w:szCs w:val="24"/>
              <w:highlight w:val="none"/>
            </w:rPr>
            <w:fldChar w:fldCharType="separate"/>
          </w:r>
          <w:r>
            <w:rPr>
              <w:rFonts w:hint="eastAsia"/>
              <w:color w:val="auto"/>
              <w:sz w:val="24"/>
              <w:szCs w:val="24"/>
              <w:highlight w:val="none"/>
            </w:rPr>
            <w:t xml:space="preserve">响应文件相关格式</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_Toc19522 \h </w:instrText>
          </w:r>
          <w:r>
            <w:rPr>
              <w:rFonts w:hint="eastAsia"/>
              <w:color w:val="auto"/>
              <w:sz w:val="24"/>
              <w:szCs w:val="24"/>
              <w:highlight w:val="none"/>
            </w:rPr>
            <w:fldChar w:fldCharType="separate"/>
          </w:r>
          <w:r>
            <w:rPr>
              <w:rFonts w:hint="eastAsia"/>
              <w:color w:val="auto"/>
              <w:sz w:val="24"/>
              <w:szCs w:val="24"/>
              <w:highlight w:val="none"/>
            </w:rPr>
            <w:t xml:space="preserve">- 58 -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_Toc16627 </w:instrText>
          </w:r>
          <w:r>
            <w:rPr>
              <w:rFonts w:hint="eastAsia"/>
              <w:color w:val="auto"/>
              <w:sz w:val="24"/>
              <w:szCs w:val="24"/>
              <w:highlight w:val="none"/>
            </w:rPr>
            <w:fldChar w:fldCharType="separate"/>
          </w:r>
          <w:r>
            <w:rPr>
              <w:rFonts w:hint="eastAsia"/>
              <w:color w:val="auto"/>
              <w:sz w:val="24"/>
              <w:szCs w:val="24"/>
              <w:highlight w:val="none"/>
            </w:rPr>
            <w:t xml:space="preserve">（一）开标一览表</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_Toc16627 \h </w:instrText>
          </w:r>
          <w:r>
            <w:rPr>
              <w:rFonts w:hint="eastAsia"/>
              <w:color w:val="auto"/>
              <w:sz w:val="24"/>
              <w:szCs w:val="24"/>
              <w:highlight w:val="none"/>
            </w:rPr>
            <w:fldChar w:fldCharType="separate"/>
          </w:r>
          <w:r>
            <w:rPr>
              <w:rFonts w:hint="eastAsia"/>
              <w:color w:val="auto"/>
              <w:sz w:val="24"/>
              <w:szCs w:val="24"/>
              <w:highlight w:val="none"/>
            </w:rPr>
            <w:t xml:space="preserve">- 58 -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_Toc16439 </w:instrText>
          </w:r>
          <w:r>
            <w:rPr>
              <w:rFonts w:hint="eastAsia"/>
              <w:color w:val="auto"/>
              <w:sz w:val="24"/>
              <w:szCs w:val="24"/>
              <w:highlight w:val="none"/>
            </w:rPr>
            <w:fldChar w:fldCharType="separate"/>
          </w:r>
          <w:r>
            <w:rPr>
              <w:rFonts w:hint="eastAsia"/>
              <w:color w:val="auto"/>
              <w:sz w:val="24"/>
              <w:szCs w:val="24"/>
              <w:highlight w:val="none"/>
            </w:rPr>
            <w:t xml:space="preserve">（二）投标函</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_Toc16439 \h </w:instrText>
          </w:r>
          <w:r>
            <w:rPr>
              <w:rFonts w:hint="eastAsia"/>
              <w:color w:val="auto"/>
              <w:sz w:val="24"/>
              <w:szCs w:val="24"/>
              <w:highlight w:val="none"/>
            </w:rPr>
            <w:fldChar w:fldCharType="separate"/>
          </w:r>
          <w:r>
            <w:rPr>
              <w:rFonts w:hint="eastAsia"/>
              <w:color w:val="auto"/>
              <w:sz w:val="24"/>
              <w:szCs w:val="24"/>
              <w:highlight w:val="none"/>
            </w:rPr>
            <w:t xml:space="preserve">- 59 -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_Toc32726 </w:instrText>
          </w:r>
          <w:r>
            <w:rPr>
              <w:rFonts w:hint="eastAsia"/>
              <w:color w:val="auto"/>
              <w:sz w:val="24"/>
              <w:szCs w:val="24"/>
              <w:highlight w:val="none"/>
            </w:rPr>
            <w:fldChar w:fldCharType="separate"/>
          </w:r>
          <w:r>
            <w:rPr>
              <w:rFonts w:hint="eastAsia"/>
              <w:color w:val="auto"/>
              <w:sz w:val="24"/>
              <w:szCs w:val="24"/>
              <w:highlight w:val="none"/>
            </w:rPr>
            <w:t xml:space="preserve">（三）无重大违法记录声明函</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_Toc32726 \h </w:instrText>
          </w:r>
          <w:r>
            <w:rPr>
              <w:rFonts w:hint="eastAsia"/>
              <w:color w:val="auto"/>
              <w:sz w:val="24"/>
              <w:szCs w:val="24"/>
              <w:highlight w:val="none"/>
            </w:rPr>
            <w:fldChar w:fldCharType="separate"/>
          </w:r>
          <w:r>
            <w:rPr>
              <w:rFonts w:hint="eastAsia"/>
              <w:color w:val="auto"/>
              <w:sz w:val="24"/>
              <w:szCs w:val="24"/>
              <w:highlight w:val="none"/>
            </w:rPr>
            <w:t xml:space="preserve">- 60 -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_Toc18531 </w:instrText>
          </w:r>
          <w:r>
            <w:rPr>
              <w:rFonts w:hint="eastAsia"/>
              <w:color w:val="auto"/>
              <w:sz w:val="24"/>
              <w:szCs w:val="24"/>
              <w:highlight w:val="none"/>
            </w:rPr>
            <w:fldChar w:fldCharType="separate"/>
          </w:r>
          <w:r>
            <w:rPr>
              <w:rFonts w:hint="eastAsia"/>
              <w:color w:val="auto"/>
              <w:sz w:val="24"/>
              <w:szCs w:val="24"/>
              <w:highlight w:val="none"/>
            </w:rPr>
            <w:t xml:space="preserve">（四）供应商登记表</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_Toc18531 \h </w:instrText>
          </w:r>
          <w:r>
            <w:rPr>
              <w:rFonts w:hint="eastAsia"/>
              <w:color w:val="auto"/>
              <w:sz w:val="24"/>
              <w:szCs w:val="24"/>
              <w:highlight w:val="none"/>
            </w:rPr>
            <w:fldChar w:fldCharType="separate"/>
          </w:r>
          <w:r>
            <w:rPr>
              <w:rFonts w:hint="eastAsia"/>
              <w:color w:val="auto"/>
              <w:sz w:val="24"/>
              <w:szCs w:val="24"/>
              <w:highlight w:val="none"/>
            </w:rPr>
            <w:t xml:space="preserve">- 61 -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_Toc22890 </w:instrText>
          </w:r>
          <w:r>
            <w:rPr>
              <w:rFonts w:hint="eastAsia"/>
              <w:color w:val="auto"/>
              <w:sz w:val="24"/>
              <w:szCs w:val="24"/>
              <w:highlight w:val="none"/>
            </w:rPr>
            <w:fldChar w:fldCharType="separate"/>
          </w:r>
          <w:r>
            <w:rPr>
              <w:rFonts w:hint="eastAsia"/>
              <w:color w:val="auto"/>
              <w:sz w:val="24"/>
              <w:szCs w:val="24"/>
              <w:highlight w:val="none"/>
            </w:rPr>
            <w:t xml:space="preserve">（五）法定代表人身份证明书</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_Toc22890 \h </w:instrText>
          </w:r>
          <w:r>
            <w:rPr>
              <w:rFonts w:hint="eastAsia"/>
              <w:color w:val="auto"/>
              <w:sz w:val="24"/>
              <w:szCs w:val="24"/>
              <w:highlight w:val="none"/>
            </w:rPr>
            <w:fldChar w:fldCharType="separate"/>
          </w:r>
          <w:r>
            <w:rPr>
              <w:rFonts w:hint="eastAsia"/>
              <w:color w:val="auto"/>
              <w:sz w:val="24"/>
              <w:szCs w:val="24"/>
              <w:highlight w:val="none"/>
            </w:rPr>
            <w:t xml:space="preserve">- 62 -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_Toc9085 </w:instrText>
          </w:r>
          <w:r>
            <w:rPr>
              <w:rFonts w:hint="eastAsia"/>
              <w:color w:val="auto"/>
              <w:sz w:val="24"/>
              <w:szCs w:val="24"/>
              <w:highlight w:val="none"/>
            </w:rPr>
            <w:fldChar w:fldCharType="separate"/>
          </w:r>
          <w:r>
            <w:rPr>
              <w:rFonts w:hint="eastAsia"/>
              <w:color w:val="auto"/>
              <w:sz w:val="24"/>
              <w:szCs w:val="24"/>
              <w:highlight w:val="none"/>
            </w:rPr>
            <w:t xml:space="preserve">（六）授权委托书</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_Toc9085 \h </w:instrText>
          </w:r>
          <w:r>
            <w:rPr>
              <w:rFonts w:hint="eastAsia"/>
              <w:color w:val="auto"/>
              <w:sz w:val="24"/>
              <w:szCs w:val="24"/>
              <w:highlight w:val="none"/>
            </w:rPr>
            <w:fldChar w:fldCharType="separate"/>
          </w:r>
          <w:r>
            <w:rPr>
              <w:rFonts w:hint="eastAsia"/>
              <w:color w:val="auto"/>
              <w:sz w:val="24"/>
              <w:szCs w:val="24"/>
              <w:highlight w:val="none"/>
            </w:rPr>
            <w:t xml:space="preserve">- 63 -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_Toc22080 </w:instrText>
          </w:r>
          <w:r>
            <w:rPr>
              <w:rFonts w:hint="eastAsia"/>
              <w:color w:val="auto"/>
              <w:sz w:val="24"/>
              <w:szCs w:val="24"/>
              <w:highlight w:val="none"/>
            </w:rPr>
            <w:fldChar w:fldCharType="separate"/>
          </w:r>
          <w:r>
            <w:rPr>
              <w:rFonts w:hint="eastAsia"/>
              <w:color w:val="auto"/>
              <w:sz w:val="24"/>
              <w:szCs w:val="24"/>
              <w:highlight w:val="none"/>
            </w:rPr>
            <w:t xml:space="preserve">（七）中小企业声明函（工程）</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_Toc22080 \h </w:instrText>
          </w:r>
          <w:r>
            <w:rPr>
              <w:rFonts w:hint="eastAsia"/>
              <w:color w:val="auto"/>
              <w:sz w:val="24"/>
              <w:szCs w:val="24"/>
              <w:highlight w:val="none"/>
            </w:rPr>
            <w:fldChar w:fldCharType="separate"/>
          </w:r>
          <w:r>
            <w:rPr>
              <w:rFonts w:hint="eastAsia"/>
              <w:color w:val="auto"/>
              <w:sz w:val="24"/>
              <w:szCs w:val="24"/>
              <w:highlight w:val="none"/>
            </w:rPr>
            <w:t xml:space="preserve">- 64 -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_Toc12728 </w:instrText>
          </w:r>
          <w:r>
            <w:rPr>
              <w:rFonts w:hint="eastAsia"/>
              <w:color w:val="auto"/>
              <w:sz w:val="24"/>
              <w:szCs w:val="24"/>
              <w:highlight w:val="none"/>
            </w:rPr>
            <w:fldChar w:fldCharType="separate"/>
          </w:r>
          <w:r>
            <w:rPr>
              <w:rFonts w:hint="eastAsia"/>
              <w:color w:val="auto"/>
              <w:sz w:val="24"/>
              <w:szCs w:val="24"/>
              <w:highlight w:val="none"/>
            </w:rPr>
            <w:t xml:space="preserve">（八）残疾人福利性单位声明函（如有）</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_Toc12728 \h </w:instrText>
          </w:r>
          <w:r>
            <w:rPr>
              <w:rFonts w:hint="eastAsia"/>
              <w:color w:val="auto"/>
              <w:sz w:val="24"/>
              <w:szCs w:val="24"/>
              <w:highlight w:val="none"/>
            </w:rPr>
            <w:fldChar w:fldCharType="separate"/>
          </w:r>
          <w:r>
            <w:rPr>
              <w:rFonts w:hint="eastAsia"/>
              <w:color w:val="auto"/>
              <w:sz w:val="24"/>
              <w:szCs w:val="24"/>
              <w:highlight w:val="none"/>
            </w:rPr>
            <w:t xml:space="preserve">- 65 -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_Toc4088 </w:instrText>
          </w:r>
          <w:r>
            <w:rPr>
              <w:rFonts w:hint="eastAsia"/>
              <w:color w:val="auto"/>
              <w:sz w:val="24"/>
              <w:szCs w:val="24"/>
              <w:highlight w:val="none"/>
            </w:rPr>
            <w:fldChar w:fldCharType="separate"/>
          </w:r>
          <w:r>
            <w:rPr>
              <w:rFonts w:hint="eastAsia"/>
              <w:color w:val="auto"/>
              <w:sz w:val="24"/>
              <w:szCs w:val="24"/>
              <w:highlight w:val="none"/>
            </w:rPr>
            <w:t xml:space="preserve">（九）公共资源交易投标信用承诺书</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_Toc4088 \h </w:instrText>
          </w:r>
          <w:r>
            <w:rPr>
              <w:rFonts w:hint="eastAsia"/>
              <w:color w:val="auto"/>
              <w:sz w:val="24"/>
              <w:szCs w:val="24"/>
              <w:highlight w:val="none"/>
            </w:rPr>
            <w:fldChar w:fldCharType="separate"/>
          </w:r>
          <w:r>
            <w:rPr>
              <w:rFonts w:hint="eastAsia"/>
              <w:color w:val="auto"/>
              <w:sz w:val="24"/>
              <w:szCs w:val="24"/>
              <w:highlight w:val="none"/>
            </w:rPr>
            <w:t xml:space="preserve">- 66 -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_Toc32622 </w:instrText>
          </w:r>
          <w:r>
            <w:rPr>
              <w:rFonts w:hint="eastAsia"/>
              <w:color w:val="auto"/>
              <w:sz w:val="24"/>
              <w:szCs w:val="24"/>
              <w:highlight w:val="none"/>
            </w:rPr>
            <w:fldChar w:fldCharType="separate"/>
          </w:r>
          <w:r>
            <w:rPr>
              <w:rFonts w:hint="eastAsia"/>
              <w:color w:val="auto"/>
              <w:sz w:val="24"/>
              <w:szCs w:val="24"/>
              <w:highlight w:val="none"/>
            </w:rPr>
            <w:t xml:space="preserve">（十）建湖县政府采购事前信用承诺书</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_Toc32622 \h </w:instrText>
          </w:r>
          <w:r>
            <w:rPr>
              <w:rFonts w:hint="eastAsia"/>
              <w:color w:val="auto"/>
              <w:sz w:val="24"/>
              <w:szCs w:val="24"/>
              <w:highlight w:val="none"/>
            </w:rPr>
            <w:fldChar w:fldCharType="separate"/>
          </w:r>
          <w:r>
            <w:rPr>
              <w:rFonts w:hint="eastAsia"/>
              <w:color w:val="auto"/>
              <w:sz w:val="24"/>
              <w:szCs w:val="24"/>
              <w:highlight w:val="none"/>
            </w:rPr>
            <w:t xml:space="preserve">- 67 -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_Toc15840 </w:instrText>
          </w:r>
          <w:r>
            <w:rPr>
              <w:rFonts w:hint="eastAsia"/>
              <w:color w:val="auto"/>
              <w:sz w:val="24"/>
              <w:szCs w:val="24"/>
              <w:highlight w:val="none"/>
            </w:rPr>
            <w:fldChar w:fldCharType="separate"/>
          </w:r>
          <w:r>
            <w:rPr>
              <w:rFonts w:hint="eastAsia"/>
              <w:color w:val="auto"/>
              <w:sz w:val="24"/>
              <w:szCs w:val="24"/>
              <w:highlight w:val="none"/>
            </w:rPr>
            <w:t xml:space="preserve">（十一）具备履行合同所必需的设备和专业技术能力的声明函</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_Toc15840 \h </w:instrText>
          </w:r>
          <w:r>
            <w:rPr>
              <w:rFonts w:hint="eastAsia"/>
              <w:color w:val="auto"/>
              <w:sz w:val="24"/>
              <w:szCs w:val="24"/>
              <w:highlight w:val="none"/>
            </w:rPr>
            <w:fldChar w:fldCharType="separate"/>
          </w:r>
          <w:r>
            <w:rPr>
              <w:rFonts w:hint="eastAsia"/>
              <w:color w:val="auto"/>
              <w:sz w:val="24"/>
              <w:szCs w:val="24"/>
              <w:highlight w:val="none"/>
            </w:rPr>
            <w:t xml:space="preserve">- 68 -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_Toc6591 </w:instrText>
          </w:r>
          <w:r>
            <w:rPr>
              <w:rFonts w:hint="eastAsia"/>
              <w:color w:val="auto"/>
              <w:sz w:val="24"/>
              <w:szCs w:val="24"/>
              <w:highlight w:val="none"/>
            </w:rPr>
            <w:fldChar w:fldCharType="separate"/>
          </w:r>
          <w:r>
            <w:rPr>
              <w:rFonts w:hint="eastAsia"/>
              <w:color w:val="auto"/>
              <w:sz w:val="24"/>
              <w:szCs w:val="24"/>
              <w:highlight w:val="none"/>
            </w:rPr>
            <w:t xml:space="preserve">（十二）首轮清单报价表</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_Toc6591 \h </w:instrText>
          </w:r>
          <w:r>
            <w:rPr>
              <w:rFonts w:hint="eastAsia"/>
              <w:color w:val="auto"/>
              <w:sz w:val="24"/>
              <w:szCs w:val="24"/>
              <w:highlight w:val="none"/>
            </w:rPr>
            <w:fldChar w:fldCharType="separate"/>
          </w:r>
          <w:r>
            <w:rPr>
              <w:rFonts w:hint="eastAsia"/>
              <w:color w:val="auto"/>
              <w:sz w:val="24"/>
              <w:szCs w:val="24"/>
              <w:highlight w:val="none"/>
            </w:rPr>
            <w:t xml:space="preserve">- 69 -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_Toc18290 </w:instrText>
          </w:r>
          <w:r>
            <w:rPr>
              <w:rFonts w:hint="eastAsia"/>
              <w:color w:val="auto"/>
              <w:sz w:val="24"/>
              <w:szCs w:val="24"/>
              <w:highlight w:val="none"/>
            </w:rPr>
            <w:fldChar w:fldCharType="separate"/>
          </w:r>
          <w:r>
            <w:rPr>
              <w:rFonts w:hint="eastAsia"/>
              <w:color w:val="auto"/>
              <w:sz w:val="24"/>
              <w:szCs w:val="24"/>
              <w:highlight w:val="none"/>
            </w:rPr>
            <w:t xml:space="preserve">（十三）技术要求响应及偏离表</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_Toc18290 \h </w:instrText>
          </w:r>
          <w:r>
            <w:rPr>
              <w:rFonts w:hint="eastAsia"/>
              <w:color w:val="auto"/>
              <w:sz w:val="24"/>
              <w:szCs w:val="24"/>
              <w:highlight w:val="none"/>
            </w:rPr>
            <w:fldChar w:fldCharType="separate"/>
          </w:r>
          <w:r>
            <w:rPr>
              <w:rFonts w:hint="eastAsia"/>
              <w:color w:val="auto"/>
              <w:sz w:val="24"/>
              <w:szCs w:val="24"/>
              <w:highlight w:val="none"/>
            </w:rPr>
            <w:t xml:space="preserve">- 85 -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_Toc9620 </w:instrText>
          </w:r>
          <w:r>
            <w:rPr>
              <w:rFonts w:hint="eastAsia"/>
              <w:color w:val="auto"/>
              <w:sz w:val="24"/>
              <w:szCs w:val="24"/>
              <w:highlight w:val="none"/>
            </w:rPr>
            <w:fldChar w:fldCharType="separate"/>
          </w:r>
          <w:r>
            <w:rPr>
              <w:rFonts w:hint="eastAsia"/>
              <w:color w:val="auto"/>
              <w:sz w:val="24"/>
              <w:szCs w:val="24"/>
              <w:highlight w:val="none"/>
            </w:rPr>
            <w:t xml:space="preserve">（十四）本单位缴纳养老保险承诺函</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_Toc9620 \h </w:instrText>
          </w:r>
          <w:r>
            <w:rPr>
              <w:rFonts w:hint="eastAsia"/>
              <w:color w:val="auto"/>
              <w:sz w:val="24"/>
              <w:szCs w:val="24"/>
              <w:highlight w:val="none"/>
            </w:rPr>
            <w:fldChar w:fldCharType="separate"/>
          </w:r>
          <w:r>
            <w:rPr>
              <w:rFonts w:hint="eastAsia"/>
              <w:color w:val="auto"/>
              <w:sz w:val="24"/>
              <w:szCs w:val="24"/>
              <w:highlight w:val="none"/>
            </w:rPr>
            <w:t xml:space="preserve">- 86 -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_Toc5095 </w:instrText>
          </w:r>
          <w:r>
            <w:rPr>
              <w:rFonts w:hint="eastAsia"/>
              <w:color w:val="auto"/>
              <w:sz w:val="24"/>
              <w:szCs w:val="24"/>
              <w:highlight w:val="none"/>
            </w:rPr>
            <w:fldChar w:fldCharType="separate"/>
          </w:r>
          <w:r>
            <w:rPr>
              <w:rFonts w:hint="eastAsia"/>
              <w:color w:val="auto"/>
              <w:sz w:val="24"/>
              <w:szCs w:val="24"/>
              <w:highlight w:val="none"/>
            </w:rPr>
            <w:t xml:space="preserve">（十五）服务承诺函</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_Toc5095 \h </w:instrText>
          </w:r>
          <w:r>
            <w:rPr>
              <w:rFonts w:hint="eastAsia"/>
              <w:color w:val="auto"/>
              <w:sz w:val="24"/>
              <w:szCs w:val="24"/>
              <w:highlight w:val="none"/>
            </w:rPr>
            <w:fldChar w:fldCharType="separate"/>
          </w:r>
          <w:r>
            <w:rPr>
              <w:rFonts w:hint="eastAsia"/>
              <w:color w:val="auto"/>
              <w:sz w:val="24"/>
              <w:szCs w:val="24"/>
              <w:highlight w:val="none"/>
            </w:rPr>
            <w:t xml:space="preserve">- 87 -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rFonts w:hint="eastAsia"/>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_Toc13170 </w:instrText>
          </w:r>
          <w:r>
            <w:rPr>
              <w:rFonts w:hint="eastAsia"/>
              <w:color w:val="auto"/>
              <w:sz w:val="24"/>
              <w:szCs w:val="24"/>
              <w:highlight w:val="none"/>
            </w:rPr>
            <w:fldChar w:fldCharType="separate"/>
          </w:r>
          <w:r>
            <w:rPr>
              <w:rFonts w:hint="eastAsia"/>
              <w:color w:val="auto"/>
              <w:sz w:val="24"/>
              <w:szCs w:val="24"/>
              <w:highlight w:val="none"/>
            </w:rPr>
            <w:t xml:space="preserve">（十六）项目业绩汇总表</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_Toc13170 \h </w:instrText>
          </w:r>
          <w:r>
            <w:rPr>
              <w:rFonts w:hint="eastAsia"/>
              <w:color w:val="auto"/>
              <w:sz w:val="24"/>
              <w:szCs w:val="24"/>
              <w:highlight w:val="none"/>
            </w:rPr>
            <w:fldChar w:fldCharType="separate"/>
          </w:r>
          <w:r>
            <w:rPr>
              <w:rFonts w:hint="eastAsia"/>
              <w:color w:val="auto"/>
              <w:sz w:val="24"/>
              <w:szCs w:val="24"/>
              <w:highlight w:val="none"/>
            </w:rPr>
            <w:t xml:space="preserve">- 88 -</w:t>
          </w:r>
          <w:r>
            <w:rPr>
              <w:rFonts w:hint="eastAsia"/>
              <w:color w:val="auto"/>
              <w:sz w:val="24"/>
              <w:szCs w:val="24"/>
              <w:highlight w:val="none"/>
            </w:rPr>
            <w:fldChar w:fldCharType="end"/>
          </w:r>
          <w:r>
            <w:rPr>
              <w:rFonts w:hint="eastAsia"/>
              <w:color w:val="auto"/>
              <w:sz w:val="24"/>
              <w:szCs w:val="24"/>
              <w:highlight w:val="none"/>
            </w:rPr>
            <w:fldChar w:fldCharType="end"/>
          </w:r>
          <w:r/>
        </w:p>
        <w:p>
          <w:pPr>
            <w:pStyle w:val="796"/>
            <w:keepLines w:val="0"/>
            <w:keepNext w:val="0"/>
            <w:pageBreakBefore w:val="0"/>
            <w:spacing w:line="480" w:lineRule="exact"/>
            <w:tabs>
              <w:tab w:val="right" w:pos="9184" w:leader="dot"/>
            </w:tabs>
            <w:rPr>
              <w:color w:val="auto"/>
              <w:sz w:val="24"/>
              <w:szCs w:val="24"/>
              <w:highlight w:val="none"/>
            </w:rPr>
          </w:pPr>
          <w:r>
            <w:rPr>
              <w:rFonts w:hint="eastAsia"/>
              <w:color w:val="auto"/>
              <w:sz w:val="24"/>
              <w:szCs w:val="24"/>
              <w:highlight w:val="none"/>
            </w:rPr>
            <w:fldChar w:fldCharType="begin"/>
          </w:r>
          <w:r>
            <w:rPr>
              <w:rFonts w:hint="eastAsia"/>
              <w:color w:val="auto"/>
              <w:sz w:val="24"/>
              <w:szCs w:val="24"/>
              <w:highlight w:val="none"/>
            </w:rPr>
            <w:instrText xml:space="preserve"> HYPERLINK \l _Toc18231 </w:instrText>
          </w:r>
          <w:r>
            <w:rPr>
              <w:rFonts w:hint="eastAsia"/>
              <w:color w:val="auto"/>
              <w:sz w:val="24"/>
              <w:szCs w:val="24"/>
              <w:highlight w:val="none"/>
            </w:rPr>
            <w:fldChar w:fldCharType="separate"/>
          </w:r>
          <w:r>
            <w:rPr>
              <w:rFonts w:hint="eastAsia"/>
              <w:color w:val="auto"/>
              <w:sz w:val="24"/>
              <w:szCs w:val="24"/>
              <w:highlight w:val="none"/>
            </w:rPr>
            <w:t xml:space="preserve">（十七）实施方案</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_Toc18231 \h </w:instrText>
          </w:r>
          <w:r>
            <w:rPr>
              <w:rFonts w:hint="eastAsia"/>
              <w:color w:val="auto"/>
              <w:sz w:val="24"/>
              <w:szCs w:val="24"/>
              <w:highlight w:val="none"/>
            </w:rPr>
            <w:fldChar w:fldCharType="separate"/>
          </w:r>
          <w:r>
            <w:rPr>
              <w:rFonts w:hint="eastAsia"/>
              <w:color w:val="auto"/>
              <w:sz w:val="24"/>
              <w:szCs w:val="24"/>
              <w:highlight w:val="none"/>
            </w:rPr>
            <w:t xml:space="preserve">- 89 -</w:t>
          </w:r>
          <w:r>
            <w:rPr>
              <w:rFonts w:hint="eastAsia"/>
              <w:color w:val="auto"/>
              <w:sz w:val="24"/>
              <w:szCs w:val="24"/>
              <w:highlight w:val="none"/>
            </w:rPr>
            <w:fldChar w:fldCharType="end"/>
          </w:r>
          <w:r>
            <w:rPr>
              <w:rFonts w:hint="eastAsia"/>
              <w:color w:val="auto"/>
              <w:sz w:val="24"/>
              <w:szCs w:val="24"/>
              <w:highlight w:val="none"/>
            </w:rPr>
            <w:fldChar w:fldCharType="end"/>
          </w:r>
          <w:r/>
        </w:p>
        <w:p>
          <w:pPr>
            <w:keepLines w:val="0"/>
            <w:keepNext w:val="0"/>
            <w:pageBreakBefore w:val="0"/>
            <w:spacing w:line="480" w:lineRule="exact"/>
            <w:rPr>
              <w:color w:val="auto"/>
              <w:highlight w:val="none"/>
            </w:rPr>
          </w:pPr>
          <w:r>
            <w:rPr>
              <w:color w:val="auto"/>
              <w:sz w:val="24"/>
              <w:szCs w:val="24"/>
              <w:highlight w:val="none"/>
            </w:rPr>
            <w:fldChar w:fldCharType="end"/>
          </w:r>
          <w:r/>
        </w:p>
      </w:sdtContent>
    </w:sdt>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before="240" w:after="60"/>
        <w:rPr>
          <w:rFonts w:hint="eastAsia" w:ascii="Calibri Light" w:hAnsi="Calibri Light" w:eastAsia="黑体"/>
          <w:b/>
          <w:bCs/>
          <w:color w:val="auto"/>
          <w:sz w:val="32"/>
          <w:szCs w:val="32"/>
          <w:highlight w:val="none"/>
        </w:rPr>
        <w:sectPr>
          <w:footerReference w:type="default" r:id="rId8"/>
          <w:footerReference w:type="first" r:id="rId9"/>
          <w:footnotePr/>
          <w:endnotePr/>
          <w:type w:val="nextPage"/>
          <w:pgSz w:w="11906" w:h="16838" w:orient="portrait"/>
          <w:pgMar w:top="1354" w:right="1219" w:bottom="1134" w:left="1219" w:header="851" w:footer="992" w:gutter="284"/>
          <w:pgNumType w:start="1"/>
          <w:cols w:num="1" w:sep="0" w:space="720" w:equalWidth="1"/>
          <w:docGrid w:linePitch="360"/>
          <w:titlePg/>
        </w:sectPr>
        <w:outlineLvl w:val="0"/>
      </w:pPr>
      <w:r/>
      <w:bookmarkStart w:id="0" w:name="_Toc26147"/>
      <w:r/>
      <w:bookmarkStart w:id="1" w:name="_Toc32438"/>
      <w:r/>
      <w:bookmarkStart w:id="2" w:name="_Toc28359086"/>
      <w:r/>
      <w:r/>
    </w:p>
    <w:p>
      <w:pPr>
        <w:jc w:val="center"/>
        <w:spacing w:before="240" w:after="60"/>
        <w:rPr>
          <w:rFonts w:hint="eastAsia" w:ascii="Calibri Light" w:hAnsi="Calibri Light" w:eastAsia="黑体"/>
          <w:b/>
          <w:bCs/>
          <w:color w:val="auto"/>
          <w:sz w:val="32"/>
          <w:szCs w:val="32"/>
          <w:highlight w:val="none"/>
        </w:rPr>
        <w:outlineLvl w:val="0"/>
      </w:pPr>
      <w:r>
        <w:rPr>
          <w:rFonts w:hint="eastAsia" w:ascii="Calibri Light" w:hAnsi="Calibri Light" w:eastAsia="黑体"/>
          <w:b/>
          <w:bCs/>
          <w:color w:val="auto"/>
          <w:sz w:val="32"/>
          <w:szCs w:val="32"/>
          <w:highlight w:val="none"/>
        </w:rPr>
        <w:t xml:space="preserve">第一章 竞争性磋商公告</w:t>
      </w:r>
      <w:bookmarkEnd w:id="0"/>
      <w:r/>
      <w:bookmarkEnd w:id="1"/>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c>
          <w:tcPr>
            <w:tcW w:w="9060" w:type="dxa"/>
            <w:textDirection w:val="lrTb"/>
            <w:noWrap w:val="false"/>
          </w:tcPr>
          <w:p>
            <w:pPr>
              <w:ind w:firstLine="480"/>
              <w:keepLines w:val="0"/>
              <w:keepNext w:val="0"/>
              <w:pageBreakBefore w:val="0"/>
              <w:spacing w:line="480" w:lineRule="exact"/>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项目概况</w:t>
            </w:r>
            <w:r/>
          </w:p>
          <w:p>
            <w:pPr>
              <w:ind w:firstLine="476"/>
              <w:keepLines w:val="0"/>
              <w:keepNext w:val="0"/>
              <w:pageBreakBefore w:val="0"/>
              <w:spacing w:line="480" w:lineRule="exact"/>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建湖县社会治安综合治理中心改造项目JSZC-320925-WYGS-C2025-0076</w:t>
            </w:r>
            <w:r>
              <w:rPr>
                <w:rFonts w:ascii="宋体" w:hAnsi="宋体" w:cs="宋体"/>
                <w:color w:val="auto"/>
                <w:sz w:val="24"/>
                <w:highlight w:val="none"/>
              </w:rPr>
              <w:t xml:space="preserve">采购项目的潜在供应商应在“苏采云”系统内免费下载（投标人必须在苏采云系统中获取采购文件，方能参与政府采购项目）获取采购文件，并于</w:t>
            </w:r>
            <w:r>
              <w:rPr>
                <w:rFonts w:ascii="宋体" w:hAnsi="宋体" w:cs="宋体"/>
                <w:color w:val="auto"/>
                <w:sz w:val="24"/>
                <w:highlight w:val="none"/>
                <w:u w:val="single"/>
              </w:rPr>
              <w:t xml:space="preserve">2025-</w:t>
            </w:r>
            <w:r>
              <w:rPr>
                <w:rFonts w:hint="eastAsia" w:ascii="宋体" w:hAnsi="宋体" w:cs="宋体"/>
                <w:color w:val="auto"/>
                <w:sz w:val="24"/>
                <w:highlight w:val="none"/>
                <w:u w:val="single"/>
                <w:lang w:val="en-US" w:eastAsia="zh-CN"/>
              </w:rPr>
              <w:t xml:space="preserve">9-9</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9</w:t>
            </w:r>
            <w:r>
              <w:rPr>
                <w:rFonts w:ascii="宋体" w:hAnsi="宋体" w:cs="宋体"/>
                <w:color w:val="auto"/>
                <w:sz w:val="24"/>
                <w:highlight w:val="none"/>
                <w:u w:val="single"/>
              </w:rPr>
              <w:t xml:space="preserve">:00</w:t>
            </w:r>
            <w:r>
              <w:rPr>
                <w:rFonts w:ascii="宋体" w:hAnsi="宋体" w:cs="宋体"/>
                <w:color w:val="auto"/>
                <w:sz w:val="24"/>
                <w:highlight w:val="none"/>
              </w:rPr>
              <w:t xml:space="preserve">（北京时间）前提交响应文件。</w:t>
            </w:r>
            <w:r/>
          </w:p>
        </w:tc>
      </w:tr>
    </w:tbl>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一、项目基本情况</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JSZC-320925-WYGS-C2025-0076 </w:t>
      </w:r>
      <w:r>
        <w:rPr>
          <w:rFonts w:ascii="宋体" w:hAnsi="宋体" w:cs="宋体"/>
          <w:color w:val="auto"/>
          <w:sz w:val="24"/>
          <w:highlight w:val="none"/>
        </w:rPr>
        <w:t xml:space="preserve"> </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建湖县社会治安综合治理中心改造项目</w:t>
      </w:r>
      <w:r>
        <w:rPr>
          <w:rFonts w:ascii="宋体" w:hAnsi="宋体" w:cs="宋体"/>
          <w:color w:val="auto"/>
          <w:sz w:val="24"/>
          <w:highlight w:val="none"/>
        </w:rPr>
        <w:t xml:space="preserve"> </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采购方式：竞争性磋商 </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预算金额：</w:t>
      </w:r>
      <w:r>
        <w:rPr>
          <w:rFonts w:hint="eastAsia" w:ascii="宋体" w:hAnsi="宋体" w:cs="宋体"/>
          <w:color w:val="auto"/>
          <w:sz w:val="24"/>
          <w:highlight w:val="none"/>
        </w:rPr>
        <w:t xml:space="preserve">本项目预算价为105.95万元，投标报价高于预算价的作无效标论处。</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建湖县社会治安综合治理中心改造项目包含传达室、接建楼、附属停车场及围墙等工程的施工，具体内容详见施工图纸及工程量清单。</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合同履行期限：</w:t>
      </w:r>
      <w:r>
        <w:rPr>
          <w:rFonts w:hint="eastAsia" w:ascii="宋体" w:hAnsi="宋体" w:cs="宋体"/>
          <w:color w:val="auto"/>
          <w:sz w:val="24"/>
          <w:highlight w:val="none"/>
        </w:rPr>
        <w:t xml:space="preserve">合同签订后</w:t>
      </w:r>
      <w:r>
        <w:rPr>
          <w:rFonts w:hint="eastAsia" w:ascii="宋体" w:hAnsi="宋体" w:cs="宋体"/>
          <w:color w:val="auto"/>
          <w:sz w:val="24"/>
          <w:highlight w:val="none"/>
          <w:lang w:eastAsia="zh-CN"/>
        </w:rPr>
        <w:t xml:space="preserve">50日历天</w:t>
      </w:r>
      <w:r>
        <w:rPr>
          <w:rFonts w:hint="eastAsia" w:ascii="宋体" w:hAnsi="宋体" w:cs="宋体"/>
          <w:color w:val="auto"/>
          <w:sz w:val="24"/>
          <w:highlight w:val="none"/>
        </w:rPr>
        <w:t xml:space="preserve">内竣工，完成项目的全部施工内容。</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本项目（是/否）接受联合体：</w:t>
      </w:r>
      <w:r>
        <w:rPr>
          <w:rFonts w:hint="eastAsia" w:ascii="宋体" w:hAnsi="宋体" w:cs="宋体"/>
          <w:color w:val="auto"/>
          <w:sz w:val="24"/>
          <w:highlight w:val="none"/>
        </w:rPr>
        <w:t xml:space="preserve">否。</w:t>
      </w:r>
      <w:r/>
    </w:p>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二、申请人的资格要求</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（一）满足《中华人民共和国政府采购法》第二十二条规定：</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1.法人或者其他组织的营业执照等证明文件，自然人的身份证明；</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2.上一年度的财务状况报告（成立不满一年不需提供）；</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4.具备履行合同所必需的设备和专业技术能力的书面声明；</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5.参加政府采购活动前3年内在经营活动中没有重大违法记录的书面声明。</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（二）落实政府采购政策需满足的资格要求：</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2.政府采购鼓励优先采购节能产品、环境标志产品：严格执行政府采购关于支持</w:t>
      </w:r>
      <w:r>
        <w:rPr>
          <w:rFonts w:ascii="宋体" w:hAnsi="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4.执行数据中心采购相关政策：若涉及到数据中心采购，应按照“关于印发《绿色数据中心政府采购需求标准（试行）》的通知（财库〔2023〕7号）”执行。</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（三）本项目的特定资格要求：</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1.投标申请人应是中华人民共和国境内注册的供应商；</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2.未被“信用中国”网站（www.creditchina.gov.cn）列入失信被执行人、重大税收违法案件当事人名单、政府采购严重失信行为记录名单；</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3.单位负责人为同一人或者存在直接控股、管理关系的不同供应商，不得参加同一合同项下的政府采购活动；</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4.投标人须具有行政主管部门核发的建筑工程施工总承包三级及以上资质的独立法人，并取得有效的企业安全生产许可证；</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5.投标人拟投入本项目的项目负责人须具备建筑工程专业贰级及以上注册建造师资格，并取得建设行政主管部门颁发的有效的建筑施工企业项目负责人B类安全生产考核合格证书。</w:t>
      </w:r>
      <w:r/>
    </w:p>
    <w:p>
      <w:pPr>
        <w:ind w:firstLine="480"/>
        <w:jc w:val="left"/>
        <w:keepLines w:val="0"/>
        <w:keepNext w:val="0"/>
        <w:pageBreakBefore w:val="0"/>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5.1其他要求：</w:t>
      </w:r>
      <w:r/>
    </w:p>
    <w:p>
      <w:pPr>
        <w:ind w:firstLine="480"/>
        <w:jc w:val="left"/>
        <w:keepLines w:val="0"/>
        <w:keepNext w:val="0"/>
        <w:pageBreakBefore w:val="0"/>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5.1.1项目负责人从本工程投标文件递交截止之日起必须满足下列条件：</w:t>
      </w:r>
      <w:r/>
    </w:p>
    <w:p>
      <w:pPr>
        <w:ind w:firstLine="480"/>
        <w:jc w:val="left"/>
        <w:keepLines w:val="0"/>
        <w:keepNext w:val="0"/>
        <w:pageBreakBefore w:val="0"/>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项目负责人不得同时在两个或者两个以上单位受聘或者执业。</w:t>
      </w:r>
      <w:r/>
    </w:p>
    <w:p>
      <w:pPr>
        <w:ind w:firstLine="480"/>
        <w:jc w:val="left"/>
        <w:keepLines w:val="0"/>
        <w:keepNext w:val="0"/>
        <w:pageBreakBefore w:val="0"/>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jc w:val="left"/>
        <w:keepLines w:val="0"/>
        <w:keepNext w:val="0"/>
        <w:pageBreakBefore w:val="0"/>
        <w:spacing w:line="480" w:lineRule="exact"/>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5.1.2投标申请人须保证代理人及投标承诺的项目负责人均为本单位的正式职工，投标时提供</w:t>
      </w:r>
      <w:r>
        <w:rPr>
          <w:rFonts w:ascii="宋体" w:hAnsi="宋体"/>
          <w:color w:val="auto"/>
          <w:sz w:val="24"/>
          <w:highlight w:val="none"/>
        </w:rPr>
        <w:t xml:space="preserve">开标前1个月（不含投标当月）</w:t>
      </w:r>
      <w:r>
        <w:rPr>
          <w:rFonts w:hint="eastAsia" w:ascii="宋体" w:hAnsi="宋体" w:cs="宋体"/>
          <w:bCs/>
          <w:color w:val="auto"/>
          <w:sz w:val="24"/>
          <w:highlight w:val="none"/>
        </w:rPr>
        <w:t xml:space="preserve">在本单位缴纳养老保险承诺函或缴纳养老保险缴费记录证明（退休人员提供在本单位相关证明）。</w:t>
      </w:r>
      <w:r/>
    </w:p>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三、获取采购文件</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时间：自磋商文件公告发布之日起5个工作日 </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地点：“苏采云”系统内免费下载（投标人必须在苏采云系统中获取采购文件，方能参与政府采购项目） </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方式：</w:t>
      </w:r>
      <w:r>
        <w:rPr>
          <w:rFonts w:hint="eastAsia" w:ascii="宋体" w:hAnsi="宋体" w:cs="宋体"/>
          <w:bCs/>
          <w:color w:val="auto"/>
          <w:sz w:val="24"/>
          <w:szCs w:val="22"/>
          <w:highlight w:val="none"/>
        </w:rPr>
        <w:t xml:space="preserve">本项目采用网上注册登记方式</w:t>
      </w:r>
      <w:r>
        <w:rPr>
          <w:rFonts w:ascii="宋体" w:hAnsi="宋体" w:cs="宋体"/>
          <w:color w:val="auto"/>
          <w:sz w:val="24"/>
          <w:highlight w:val="none"/>
        </w:rPr>
        <w:t xml:space="preserve"> </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售价：0.00元 </w:t>
      </w:r>
      <w:r/>
    </w:p>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四、响应文件提交</w:t>
      </w:r>
      <w:r/>
    </w:p>
    <w:p>
      <w:pPr>
        <w:ind w:firstLine="476"/>
        <w:keepLines w:val="0"/>
        <w:keepNext w:val="0"/>
        <w:pageBreakBefore w:val="0"/>
        <w:spacing w:line="480" w:lineRule="exact"/>
        <w:rPr>
          <w:rFonts w:hint="eastAsia"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截止时间：2025-</w:t>
      </w:r>
      <w:r>
        <w:rPr>
          <w:rFonts w:hint="eastAsia" w:ascii="宋体" w:hAnsi="宋体" w:cs="宋体"/>
          <w:bCs/>
          <w:color w:val="auto"/>
          <w:sz w:val="24"/>
          <w:szCs w:val="22"/>
          <w:highlight w:val="none"/>
          <w:lang w:val="en-US" w:eastAsia="zh-CN"/>
        </w:rPr>
        <w:t xml:space="preserve">9-9</w:t>
      </w:r>
      <w:r>
        <w:rPr>
          <w:rFonts w:hint="eastAsia" w:ascii="宋体" w:hAnsi="宋体" w:cs="宋体"/>
          <w:bCs/>
          <w:color w:val="auto"/>
          <w:sz w:val="24"/>
          <w:szCs w:val="22"/>
          <w:highlight w:val="none"/>
        </w:rPr>
        <w:t xml:space="preserve"> </w:t>
      </w:r>
      <w:r>
        <w:rPr>
          <w:rFonts w:hint="eastAsia" w:ascii="宋体" w:hAnsi="宋体" w:cs="宋体"/>
          <w:bCs/>
          <w:color w:val="auto"/>
          <w:sz w:val="24"/>
          <w:szCs w:val="22"/>
          <w:highlight w:val="none"/>
          <w:lang w:val="en-US" w:eastAsia="zh-CN"/>
        </w:rPr>
        <w:t xml:space="preserve">9</w:t>
      </w:r>
      <w:r>
        <w:rPr>
          <w:rFonts w:hint="eastAsia" w:ascii="宋体" w:hAnsi="宋体" w:cs="宋体"/>
          <w:bCs/>
          <w:color w:val="auto"/>
          <w:sz w:val="24"/>
          <w:szCs w:val="22"/>
          <w:highlight w:val="none"/>
        </w:rPr>
        <w:t xml:space="preserve">:00（北京时间）</w:t>
      </w:r>
      <w:r/>
    </w:p>
    <w:p>
      <w:pPr>
        <w:ind w:firstLine="476"/>
        <w:keepLines w:val="0"/>
        <w:keepNext w:val="0"/>
        <w:pageBreakBefore w:val="0"/>
        <w:spacing w:line="480" w:lineRule="exact"/>
        <w:rPr>
          <w:rFonts w:hint="eastAsia"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地点：“苏采云”政府采购交易系统网上开标大厅 </w:t>
      </w:r>
      <w:r/>
    </w:p>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五、开启</w:t>
      </w:r>
      <w:r/>
    </w:p>
    <w:p>
      <w:pPr>
        <w:ind w:firstLine="476"/>
        <w:keepLines w:val="0"/>
        <w:keepNext w:val="0"/>
        <w:pageBreakBefore w:val="0"/>
        <w:spacing w:line="480" w:lineRule="exact"/>
        <w:rPr>
          <w:rFonts w:hint="eastAsia"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时间：2025-</w:t>
      </w:r>
      <w:r>
        <w:rPr>
          <w:rFonts w:hint="eastAsia" w:ascii="宋体" w:hAnsi="宋体" w:cs="宋体"/>
          <w:bCs/>
          <w:color w:val="auto"/>
          <w:sz w:val="24"/>
          <w:szCs w:val="22"/>
          <w:highlight w:val="none"/>
          <w:lang w:val="en-US" w:eastAsia="zh-CN"/>
        </w:rPr>
        <w:t xml:space="preserve">9-9</w:t>
      </w:r>
      <w:r>
        <w:rPr>
          <w:rFonts w:hint="eastAsia" w:ascii="宋体" w:hAnsi="宋体" w:cs="宋体"/>
          <w:bCs/>
          <w:color w:val="auto"/>
          <w:sz w:val="24"/>
          <w:szCs w:val="22"/>
          <w:highlight w:val="none"/>
        </w:rPr>
        <w:t xml:space="preserve"> </w:t>
      </w:r>
      <w:r>
        <w:rPr>
          <w:rFonts w:hint="eastAsia" w:ascii="宋体" w:hAnsi="宋体" w:cs="宋体"/>
          <w:bCs/>
          <w:color w:val="auto"/>
          <w:sz w:val="24"/>
          <w:szCs w:val="22"/>
          <w:highlight w:val="none"/>
          <w:lang w:val="en-US" w:eastAsia="zh-CN"/>
        </w:rPr>
        <w:t xml:space="preserve">9</w:t>
      </w:r>
      <w:r>
        <w:rPr>
          <w:rFonts w:hint="eastAsia" w:ascii="宋体" w:hAnsi="宋体" w:cs="宋体"/>
          <w:bCs/>
          <w:color w:val="auto"/>
          <w:sz w:val="24"/>
          <w:szCs w:val="22"/>
          <w:highlight w:val="none"/>
        </w:rPr>
        <w:t xml:space="preserve">:00（北京时间）</w:t>
      </w:r>
      <w:r/>
    </w:p>
    <w:p>
      <w:pPr>
        <w:ind w:firstLine="476"/>
        <w:keepLines w:val="0"/>
        <w:keepNext w:val="0"/>
        <w:pageBreakBefore w:val="0"/>
        <w:spacing w:line="480" w:lineRule="exact"/>
        <w:rPr>
          <w:rFonts w:hint="eastAsia" w:ascii="宋体" w:hAnsi="宋体" w:cs="宋体"/>
          <w:bCs/>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2"/>
          <w:highlight w:val="none"/>
        </w:rPr>
        <w:t xml:space="preserve">地点：“苏采云”政府采购交易系统网上开标大厅 </w:t>
      </w:r>
      <w:r/>
    </w:p>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六、公告期限</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自本公告发布之日起3个工作日。</w:t>
      </w:r>
      <w:r/>
    </w:p>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七、其他补充事宜</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投标人如在投标过程中存在以下行为，将被列入不良行为记录名单：</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2.1提供虚假材料谋取中标成交的或采取不正当手段诋毁、排挤其他供应商的；</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2.2投标人递交无竞争力投标文件的。</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76"/>
        <w:keepLines w:val="0"/>
        <w:keepNext w:val="0"/>
        <w:pageBreakBefore w:val="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因供应商的系统环境、操作等原因导致报名、开评标过程中出现问题由供应商自行承担负责。</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5.除单一来源采购项目外，为采购项目提供整体设计、规范编制或者项目管理、监理、检测等服务的供应商，不得再参加该采购项目的其他采购活动。</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6.招标文件获取方式：本项目采用网上注册登记方式。</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7.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8.潜在投标人访问“苏采云”系统的网络地址和方法：“苏采云”系统的网址：http://jszfcg.jsczt.cn/。</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9.“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10.采购文件（后缀名为“.kedt”）、供应商操作手册及政府采购客户端工具可通过“苏采云”系统--已报名项目--报名详情页面内相应链接进行下载。</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11.招标代理机构（采购代理机构）将数据电文形式的招标文件加载至“苏采云”系统，供潜在供应商下载或者查阅。</w:t>
      </w:r>
      <w:r/>
    </w:p>
    <w:p>
      <w:pPr>
        <w:ind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12.请潜在投标单位提前安装相应的控件（详见《江苏省政府采购管理交易系统（苏采云）供应商操作手册》）并使用谷歌浏览器登录“苏采云”系统参与不见面开评标。</w:t>
      </w:r>
      <w:r/>
    </w:p>
    <w:p>
      <w:pPr>
        <w:ind w:firstLine="476"/>
        <w:keepLines w:val="0"/>
        <w:keepNext w:val="0"/>
        <w:pageBreakBefore w:val="0"/>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八、凡对本次采购提出询问，请按以下方式联系</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1.采购人信息</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单位名称：中共建湖县委政法委员会</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w:t>
      </w:r>
      <w:r>
        <w:rPr>
          <w:rFonts w:hint="eastAsia" w:ascii="宋体" w:hAnsi="宋体" w:cs="宋体"/>
          <w:color w:val="auto"/>
          <w:sz w:val="24"/>
          <w:highlight w:val="none"/>
        </w:rPr>
        <w:t xml:space="preserve">江苏省盐城市建湖县城人民南路与森达路岔口东南角</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彭先生</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联系电话：18012532968</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2.采购代理机构信息（如有）</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单位名称：江苏伟业项目管理有限公司</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单位地址：建湖县双湖路建设大厦三楼</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hint="eastAsia" w:ascii="宋体" w:hAnsi="宋体" w:cs="宋体"/>
          <w:color w:val="auto"/>
          <w:sz w:val="24"/>
          <w:highlight w:val="none"/>
        </w:rPr>
        <w:t xml:space="preserve">商先生</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hint="eastAsia" w:ascii="宋体" w:hAnsi="宋体" w:cs="宋体"/>
          <w:color w:val="auto"/>
          <w:sz w:val="24"/>
          <w:highlight w:val="none"/>
        </w:rPr>
        <w:t xml:space="preserve">18151383308</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3.项目联系方式</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项目联系人：</w:t>
      </w:r>
      <w:r>
        <w:rPr>
          <w:rFonts w:hint="eastAsia" w:ascii="宋体" w:hAnsi="宋体" w:cs="宋体"/>
          <w:color w:val="auto"/>
          <w:sz w:val="24"/>
          <w:highlight w:val="none"/>
        </w:rPr>
        <w:t xml:space="preserve">商先生</w:t>
      </w:r>
      <w:r/>
    </w:p>
    <w:p>
      <w:pPr>
        <w:ind w:firstLine="476"/>
        <w:keepLines w:val="0"/>
        <w:keepNext w:val="0"/>
        <w:pageBreakBefore w:val="0"/>
        <w:spacing w:line="48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rFonts w:hint="eastAsia" w:ascii="宋体" w:hAnsi="宋体" w:cs="宋体"/>
          <w:color w:val="auto"/>
          <w:sz w:val="24"/>
          <w:highlight w:val="none"/>
        </w:rPr>
        <w:t xml:space="preserve">18151383308</w:t>
      </w:r>
      <w:r/>
    </w:p>
    <w:p>
      <w:pPr>
        <w:pStyle w:val="861"/>
        <w:rPr>
          <w:color w:val="auto"/>
          <w:highlight w:val="none"/>
        </w:rPr>
      </w:pPr>
      <w:r/>
      <w:bookmarkStart w:id="3" w:name="_Toc16138498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bookmarkStart w:id="4" w:name="_Toc205811294"/>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rPr>
          <w:color w:val="auto"/>
          <w:highlight w:val="none"/>
        </w:rPr>
      </w:r>
      <w:r/>
    </w:p>
    <w:p>
      <w:pPr>
        <w:pStyle w:val="861"/>
        <w:rPr>
          <w:color w:val="auto"/>
          <w:highlight w:val="none"/>
        </w:rPr>
      </w:pPr>
      <w:r/>
      <w:bookmarkStart w:id="5" w:name="_Toc14954"/>
      <w:r/>
      <w:bookmarkStart w:id="6" w:name="_Toc26483"/>
      <w:r>
        <w:rPr>
          <w:rFonts w:hint="eastAsia"/>
          <w:color w:val="auto"/>
          <w:highlight w:val="none"/>
        </w:rPr>
        <w:t xml:space="preserve">前附表</w:t>
      </w:r>
      <w:bookmarkEnd w:id="3"/>
      <w:r/>
      <w:bookmarkEnd w:id="4"/>
      <w:r/>
      <w:bookmarkEnd w:id="5"/>
      <w:r/>
      <w:bookmarkEnd w:id="6"/>
      <w:r/>
      <w:r/>
    </w:p>
    <w:tbl>
      <w:tblPr>
        <w:tblStyle w:val="786"/>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2658"/>
        <w:gridCol w:w="1624"/>
        <w:gridCol w:w="2948"/>
      </w:tblGrid>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项目名称</w:t>
            </w:r>
            <w:r/>
          </w:p>
        </w:tc>
        <w:tc>
          <w:tcPr>
            <w:gridSpan w:val="3"/>
            <w:tcW w:w="7230" w:type="dxa"/>
            <w:vAlign w:val="center"/>
            <w:textDirection w:val="lrTb"/>
            <w:noWrap w:val="false"/>
          </w:tcPr>
          <w:p>
            <w:pPr>
              <w:jc w:val="center"/>
              <w:keepLines w:val="0"/>
              <w:keepNext w:val="0"/>
              <w:pageBreakBefore w:val="0"/>
              <w:spacing w:line="340" w:lineRule="exact"/>
              <w:widowControl w:val="off"/>
              <w:rPr>
                <w:rFonts w:hint="eastAsia" w:ascii="宋体" w:eastAsia="宋体"/>
                <w:bCs/>
                <w:color w:val="auto"/>
                <w:sz w:val="20"/>
                <w:szCs w:val="20"/>
                <w:highlight w:val="none"/>
                <w:lang w:eastAsia="zh-CN"/>
              </w:rPr>
            </w:pPr>
            <w:r>
              <w:rPr>
                <w:rFonts w:hint="eastAsia" w:ascii="宋体"/>
                <w:bCs/>
                <w:color w:val="auto"/>
                <w:sz w:val="20"/>
                <w:szCs w:val="20"/>
                <w:highlight w:val="none"/>
                <w:lang w:eastAsia="zh-CN"/>
              </w:rPr>
              <w:t xml:space="preserve">建湖县社会治安综合治理中心改造项目</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采购内容</w:t>
            </w:r>
            <w:r/>
          </w:p>
        </w:tc>
        <w:tc>
          <w:tcPr>
            <w:gridSpan w:val="3"/>
            <w:tcW w:w="7230" w:type="dxa"/>
            <w:vAlign w:val="center"/>
            <w:textDirection w:val="lrTb"/>
            <w:noWrap w:val="false"/>
          </w:tcPr>
          <w:p>
            <w:pPr>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详见磋商公告</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项目地点</w:t>
            </w:r>
            <w:r/>
          </w:p>
        </w:tc>
        <w:tc>
          <w:tcPr>
            <w:gridSpan w:val="3"/>
            <w:tcW w:w="7230" w:type="dxa"/>
            <w:vAlign w:val="center"/>
            <w:textDirection w:val="lrTb"/>
            <w:noWrap w:val="false"/>
          </w:tcPr>
          <w:p>
            <w:pPr>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采购人指定地点</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标段划分</w:t>
            </w:r>
            <w:r/>
          </w:p>
        </w:tc>
        <w:tc>
          <w:tcPr>
            <w:gridSpan w:val="3"/>
            <w:tcW w:w="7230" w:type="dxa"/>
            <w:vAlign w:val="center"/>
            <w:textDirection w:val="lrTb"/>
            <w:noWrap w:val="false"/>
          </w:tcPr>
          <w:p>
            <w:pPr>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lang w:val="en-US" w:eastAsia="zh-CN"/>
              </w:rPr>
              <w:t xml:space="preserve">一</w:t>
            </w:r>
            <w:r>
              <w:rPr>
                <w:rFonts w:hint="eastAsia" w:ascii="宋体"/>
                <w:bCs/>
                <w:color w:val="auto"/>
                <w:sz w:val="20"/>
                <w:szCs w:val="20"/>
                <w:highlight w:val="none"/>
              </w:rPr>
              <w:t xml:space="preserve">个</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采购人联系人</w:t>
            </w:r>
            <w:r/>
          </w:p>
        </w:tc>
        <w:tc>
          <w:tcPr>
            <w:tcW w:w="2658" w:type="dxa"/>
            <w:vAlign w:val="center"/>
            <w:textDirection w:val="lrTb"/>
            <w:noWrap w:val="false"/>
          </w:tcPr>
          <w:p>
            <w:pPr>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彭先生</w:t>
            </w:r>
            <w:r/>
          </w:p>
        </w:tc>
        <w:tc>
          <w:tcPr>
            <w:tcW w:w="1624" w:type="dxa"/>
            <w:vAlign w:val="center"/>
            <w:textDirection w:val="lrTb"/>
            <w:noWrap w:val="false"/>
          </w:tcPr>
          <w:p>
            <w:pPr>
              <w:ind w:firstLine="396"/>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电  话</w:t>
            </w:r>
            <w:r/>
          </w:p>
        </w:tc>
        <w:tc>
          <w:tcPr>
            <w:tcW w:w="2948" w:type="dxa"/>
            <w:vAlign w:val="center"/>
            <w:textDirection w:val="lrTb"/>
            <w:noWrap w:val="false"/>
          </w:tcPr>
          <w:p>
            <w:pPr>
              <w:jc w:val="center"/>
              <w:keepLines w:val="0"/>
              <w:keepNext w:val="0"/>
              <w:pageBreakBefore w:val="0"/>
              <w:spacing w:line="340" w:lineRule="exact"/>
              <w:widowControl w:val="off"/>
              <w:rPr>
                <w:rFonts w:ascii="宋体"/>
                <w:bCs/>
                <w:color w:val="auto"/>
                <w:sz w:val="20"/>
                <w:szCs w:val="20"/>
                <w:highlight w:val="none"/>
              </w:rPr>
            </w:pPr>
            <w:r>
              <w:rPr>
                <w:rFonts w:ascii="宋体"/>
                <w:bCs/>
                <w:color w:val="auto"/>
                <w:sz w:val="20"/>
                <w:szCs w:val="20"/>
                <w:highlight w:val="none"/>
              </w:rPr>
              <w:t xml:space="preserve">18012532968</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代理机构联系人</w:t>
            </w:r>
            <w:r/>
          </w:p>
        </w:tc>
        <w:tc>
          <w:tcPr>
            <w:tcW w:w="2658" w:type="dxa"/>
            <w:vAlign w:val="center"/>
            <w:textDirection w:val="lrTb"/>
            <w:noWrap w:val="false"/>
          </w:tcPr>
          <w:p>
            <w:pPr>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商先生</w:t>
            </w:r>
            <w:r/>
          </w:p>
        </w:tc>
        <w:tc>
          <w:tcPr>
            <w:tcW w:w="1624" w:type="dxa"/>
            <w:vAlign w:val="center"/>
            <w:textDirection w:val="lrTb"/>
            <w:noWrap w:val="false"/>
          </w:tcPr>
          <w:p>
            <w:pPr>
              <w:ind w:firstLine="396"/>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电  话</w:t>
            </w:r>
            <w:r/>
          </w:p>
        </w:tc>
        <w:tc>
          <w:tcPr>
            <w:tcW w:w="2948" w:type="dxa"/>
            <w:vAlign w:val="center"/>
            <w:textDirection w:val="lrTb"/>
            <w:noWrap w:val="false"/>
          </w:tcPr>
          <w:p>
            <w:pPr>
              <w:jc w:val="cente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18151383308</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投标保证金</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为贯彻落实苏财购</w:t>
            </w:r>
            <w:r>
              <w:rPr>
                <w:rFonts w:ascii="宋体"/>
                <w:bCs/>
                <w:color w:val="auto"/>
                <w:sz w:val="20"/>
                <w:szCs w:val="20"/>
                <w:highlight w:val="none"/>
              </w:rPr>
              <w:t xml:space="preserve">[2020]52</w:t>
            </w:r>
            <w:r>
              <w:rPr>
                <w:rFonts w:hint="eastAsia" w:ascii="宋体"/>
                <w:bCs/>
                <w:color w:val="auto"/>
                <w:sz w:val="20"/>
                <w:szCs w:val="20"/>
                <w:highlight w:val="none"/>
              </w:rPr>
              <w:t xml:space="preserve">号文件精神，该项目投标人可免交投标保证金。</w:t>
            </w:r>
            <w:r/>
          </w:p>
        </w:tc>
      </w:tr>
      <w:tr>
        <w:trPr>
          <w:jc w:val="center"/>
          <w:trHeight w:val="2595"/>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履约保证金</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中标单位在签订合同前，须向采购人交纳中标价5%的履约保证金，在项目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tc>
      </w:tr>
      <w:tr>
        <w:trPr>
          <w:jc w:val="center"/>
          <w:trHeight w:val="537"/>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合同履行期限</w:t>
            </w:r>
            <w:r/>
          </w:p>
        </w:tc>
        <w:tc>
          <w:tcPr>
            <w:gridSpan w:val="3"/>
            <w:tcW w:w="7230" w:type="dxa"/>
            <w:vAlign w:val="center"/>
            <w:textDirection w:val="lrTb"/>
            <w:noWrap w:val="false"/>
          </w:tcPr>
          <w:p>
            <w:pPr>
              <w:jc w:val="left"/>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合同签订后</w:t>
            </w:r>
            <w:r>
              <w:rPr>
                <w:rFonts w:hint="eastAsia" w:ascii="宋体" w:hAnsi="宋体" w:cs="宋体"/>
                <w:color w:val="auto"/>
                <w:sz w:val="20"/>
                <w:szCs w:val="20"/>
                <w:highlight w:val="none"/>
                <w:lang w:eastAsia="zh-CN"/>
              </w:rPr>
              <w:t xml:space="preserve">50日历天</w:t>
            </w:r>
            <w:r>
              <w:rPr>
                <w:rFonts w:hint="eastAsia" w:ascii="宋体" w:hAnsi="宋体" w:cs="宋体"/>
                <w:color w:val="auto"/>
                <w:sz w:val="20"/>
                <w:szCs w:val="20"/>
                <w:highlight w:val="none"/>
              </w:rPr>
              <w:t xml:space="preserve">内竣工，完成项目的全部施工内容。</w:t>
            </w:r>
            <w:r/>
          </w:p>
        </w:tc>
      </w:tr>
      <w:tr>
        <w:trPr>
          <w:jc w:val="center"/>
          <w:trHeight w:val="552"/>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投标有效期</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投标截止日起</w:t>
            </w:r>
            <w:r>
              <w:rPr>
                <w:rFonts w:ascii="宋体"/>
                <w:bCs/>
                <w:color w:val="auto"/>
                <w:sz w:val="20"/>
                <w:szCs w:val="20"/>
                <w:highlight w:val="none"/>
              </w:rPr>
              <w:t xml:space="preserve"> 60</w:t>
            </w:r>
            <w:r>
              <w:rPr>
                <w:rFonts w:hint="eastAsia" w:ascii="宋体"/>
                <w:bCs/>
                <w:color w:val="auto"/>
                <w:sz w:val="20"/>
                <w:szCs w:val="20"/>
                <w:highlight w:val="none"/>
              </w:rPr>
              <w:t xml:space="preserve">天（日历天）</w:t>
            </w:r>
            <w:r/>
          </w:p>
        </w:tc>
      </w:tr>
      <w:tr>
        <w:trPr>
          <w:jc w:val="center"/>
          <w:trHeight w:val="904"/>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投标文件</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电子投标文件一份(通过系统提交)，纸质投标文件正本壹份，副本贰份。中标公示结束后由中标人邮寄至江苏伟业项目管理有限公司（建湖县双湖路建设大厦三楼），未中标单位不需要提供。</w:t>
            </w:r>
            <w:r/>
          </w:p>
        </w:tc>
      </w:tr>
      <w:tr>
        <w:trPr>
          <w:jc w:val="center"/>
          <w:trHeight w:val="607"/>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竞争性磋商</w:t>
            </w:r>
            <w:r/>
          </w:p>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时间及地点</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时间：</w:t>
            </w:r>
            <w:r>
              <w:rPr>
                <w:rFonts w:hint="eastAsia" w:ascii="宋体"/>
                <w:bCs/>
                <w:color w:val="auto"/>
                <w:sz w:val="20"/>
                <w:szCs w:val="20"/>
                <w:highlight w:val="none"/>
                <w:u w:val="single"/>
              </w:rPr>
              <w:t xml:space="preserve">2025年</w:t>
            </w:r>
            <w:r>
              <w:rPr>
                <w:rFonts w:hint="eastAsia" w:ascii="宋体"/>
                <w:bCs/>
                <w:color w:val="auto"/>
                <w:sz w:val="20"/>
                <w:szCs w:val="20"/>
                <w:highlight w:val="none"/>
                <w:u w:val="single"/>
                <w:lang w:val="en-US" w:eastAsia="zh-CN"/>
              </w:rPr>
              <w:t xml:space="preserve">9</w:t>
            </w:r>
            <w:r>
              <w:rPr>
                <w:rFonts w:hint="eastAsia" w:ascii="宋体"/>
                <w:bCs/>
                <w:color w:val="auto"/>
                <w:sz w:val="20"/>
                <w:szCs w:val="20"/>
                <w:highlight w:val="none"/>
                <w:u w:val="single"/>
              </w:rPr>
              <w:t xml:space="preserve"> 月</w:t>
            </w:r>
            <w:r>
              <w:rPr>
                <w:rFonts w:hint="eastAsia" w:ascii="宋体"/>
                <w:bCs/>
                <w:color w:val="auto"/>
                <w:sz w:val="20"/>
                <w:szCs w:val="20"/>
                <w:highlight w:val="none"/>
                <w:u w:val="single"/>
                <w:lang w:val="en-US" w:eastAsia="zh-CN"/>
              </w:rPr>
              <w:t xml:space="preserve">9</w:t>
            </w:r>
            <w:r>
              <w:rPr>
                <w:rFonts w:hint="eastAsia" w:ascii="宋体"/>
                <w:bCs/>
                <w:color w:val="auto"/>
                <w:sz w:val="20"/>
                <w:szCs w:val="20"/>
                <w:highlight w:val="none"/>
                <w:u w:val="single"/>
              </w:rPr>
              <w:t xml:space="preserve">日</w:t>
            </w:r>
            <w:r>
              <w:rPr>
                <w:rFonts w:hint="eastAsia" w:ascii="宋体"/>
                <w:bCs/>
                <w:color w:val="auto"/>
                <w:sz w:val="20"/>
                <w:szCs w:val="20"/>
                <w:highlight w:val="none"/>
                <w:u w:val="single"/>
                <w:lang w:val="en-US" w:eastAsia="zh-CN"/>
              </w:rPr>
              <w:t xml:space="preserve">9</w:t>
            </w:r>
            <w:r>
              <w:rPr>
                <w:rFonts w:hint="eastAsia" w:ascii="宋体"/>
                <w:bCs/>
                <w:color w:val="auto"/>
                <w:sz w:val="20"/>
                <w:szCs w:val="20"/>
                <w:highlight w:val="none"/>
                <w:u w:val="single"/>
              </w:rPr>
              <w:t xml:space="preserve">时</w:t>
            </w:r>
            <w:r/>
          </w:p>
          <w:p>
            <w:pPr>
              <w:ind w:right="-105"/>
              <w:jc w:val="left"/>
              <w:keepLines w:val="0"/>
              <w:keepNext w:val="0"/>
              <w:pageBreakBefore w:val="0"/>
              <w:spacing w:line="340" w:lineRule="exact"/>
              <w:widowControl w:val="off"/>
              <w:rPr>
                <w:rFonts w:ascii="宋体"/>
                <w:bCs/>
                <w:color w:val="auto"/>
                <w:sz w:val="18"/>
                <w:szCs w:val="18"/>
                <w:highlight w:val="none"/>
              </w:rPr>
            </w:pPr>
            <w:r>
              <w:rPr>
                <w:rFonts w:hint="eastAsia" w:ascii="宋体"/>
                <w:bCs/>
                <w:color w:val="auto"/>
                <w:sz w:val="20"/>
                <w:szCs w:val="20"/>
                <w:highlight w:val="none"/>
              </w:rPr>
              <w:t xml:space="preserve">竞争性磋商地点：</w:t>
            </w:r>
            <w:r>
              <w:rPr>
                <w:rFonts w:hint="eastAsia" w:ascii="宋体"/>
                <w:bCs/>
                <w:color w:val="auto"/>
                <w:spacing w:val="-11"/>
                <w:sz w:val="20"/>
                <w:szCs w:val="20"/>
                <w:highlight w:val="none"/>
              </w:rPr>
              <w:t xml:space="preserve">“苏采云”系统（网址：http://jszfcg.jsczt.cn/）“开标大厅”</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预算金额</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
                <w:color w:val="auto"/>
                <w:sz w:val="20"/>
                <w:szCs w:val="20"/>
                <w:highlight w:val="none"/>
              </w:rPr>
            </w:pPr>
            <w:r>
              <w:rPr>
                <w:rFonts w:hint="eastAsia" w:ascii="宋体"/>
                <w:b/>
                <w:bCs w:val="0"/>
                <w:color w:val="auto"/>
                <w:sz w:val="20"/>
                <w:szCs w:val="20"/>
                <w:highlight w:val="none"/>
              </w:rPr>
              <w:t xml:space="preserve">本项目预算价为105.95万元，投标报价高于预算价的作无效标论处。</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资格审查</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资格后审</w:t>
            </w:r>
            <w:r/>
          </w:p>
        </w:tc>
      </w:tr>
      <w:tr>
        <w:trPr>
          <w:jc w:val="center"/>
          <w:trHeight w:val="454" w:hRule="exact"/>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评标办法</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综合评分法</w:t>
            </w:r>
            <w:r/>
          </w:p>
        </w:tc>
      </w:tr>
      <w:tr>
        <w:trPr>
          <w:jc w:val="center"/>
          <w:trHeight w:val="1075"/>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质疑受理部门</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联系部门：中共建湖县委政法委员会/江苏伟业项目管理有限公司</w:t>
            </w:r>
            <w:r/>
          </w:p>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联系电话：</w:t>
            </w:r>
            <w:r>
              <w:rPr>
                <w:rFonts w:ascii="宋体"/>
                <w:bCs/>
                <w:color w:val="auto"/>
                <w:sz w:val="20"/>
                <w:szCs w:val="20"/>
                <w:highlight w:val="none"/>
              </w:rPr>
              <w:t xml:space="preserve">18012532968</w:t>
            </w:r>
            <w:r>
              <w:rPr>
                <w:rFonts w:hint="eastAsia" w:ascii="宋体"/>
                <w:bCs/>
                <w:color w:val="auto"/>
                <w:sz w:val="20"/>
                <w:szCs w:val="20"/>
                <w:highlight w:val="none"/>
              </w:rPr>
              <w:t xml:space="preserve">/18151383308</w:t>
            </w:r>
            <w:r/>
          </w:p>
          <w:p>
            <w:pPr>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通讯地址：江苏省盐城市建湖县城人民南路与森达路岔口东南角/建湖县双湖路建设大厦三楼</w:t>
            </w:r>
            <w:r/>
          </w:p>
        </w:tc>
      </w:tr>
      <w:tr>
        <w:trPr>
          <w:jc w:val="center"/>
          <w:trHeight w:val="880"/>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投诉受理部门</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联系部门：建湖县财政局</w:t>
            </w:r>
            <w:r/>
          </w:p>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联系电话：0515-86233622</w:t>
            </w:r>
            <w:r/>
          </w:p>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通讯地址：建湖县双湖路建设大厦</w:t>
            </w:r>
            <w:r/>
          </w:p>
        </w:tc>
      </w:tr>
      <w:tr>
        <w:trPr>
          <w:jc w:val="center"/>
          <w:trHeight w:val="509"/>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解释权</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本竞争性磋商文件的最终解释权归采购人所有。</w:t>
            </w:r>
            <w:r/>
          </w:p>
        </w:tc>
      </w:tr>
      <w:tr>
        <w:trPr>
          <w:jc w:val="center"/>
          <w:trHeight w:val="628"/>
        </w:trPr>
        <w:tc>
          <w:tcPr>
            <w:tcW w:w="1809" w:type="dxa"/>
            <w:vAlign w:val="center"/>
            <w:textDirection w:val="lrTb"/>
            <w:noWrap w:val="false"/>
          </w:tcPr>
          <w:p>
            <w:pPr>
              <w:jc w:val="center"/>
              <w:keepLines w:val="0"/>
              <w:keepNext w:val="0"/>
              <w:pageBreakBefore w:val="0"/>
              <w:spacing w:line="340" w:lineRule="exact"/>
              <w:widowControl w:val="off"/>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其他要求</w:t>
            </w:r>
            <w:r/>
          </w:p>
        </w:tc>
        <w:tc>
          <w:tcPr>
            <w:gridSpan w:val="3"/>
            <w:tcW w:w="7230" w:type="dxa"/>
            <w:vAlign w:val="center"/>
            <w:textDirection w:val="lrTb"/>
            <w:noWrap w:val="false"/>
          </w:tcPr>
          <w:p>
            <w:pPr>
              <w:jc w:val="left"/>
              <w:keepLines w:val="0"/>
              <w:keepNext w:val="0"/>
              <w:pageBreakBefore w:val="0"/>
              <w:spacing w:line="340" w:lineRule="exact"/>
              <w:widowControl w:val="off"/>
              <w:rPr>
                <w:rFonts w:ascii="宋体"/>
                <w:bCs/>
                <w:color w:val="auto"/>
                <w:sz w:val="20"/>
                <w:szCs w:val="20"/>
                <w:highlight w:val="none"/>
              </w:rPr>
            </w:pPr>
            <w:r>
              <w:rPr>
                <w:rFonts w:hint="eastAsia" w:ascii="宋体"/>
                <w:bCs/>
                <w:color w:val="auto"/>
                <w:sz w:val="20"/>
                <w:szCs w:val="20"/>
                <w:highlight w:val="none"/>
              </w:rPr>
              <w:t xml:space="preserve">投标人如在投标过程中提供虚假材料谋取中标成交的或采取不正当手段诋毁、排挤其他供应商的</w:t>
            </w:r>
            <w:r>
              <w:rPr>
                <w:rFonts w:ascii="宋体"/>
                <w:bCs/>
                <w:color w:val="auto"/>
                <w:sz w:val="20"/>
                <w:szCs w:val="20"/>
                <w:highlight w:val="none"/>
              </w:rPr>
              <w:t xml:space="preserve">，</w:t>
            </w:r>
            <w:r>
              <w:rPr>
                <w:rFonts w:hint="eastAsia" w:ascii="宋体"/>
                <w:bCs/>
                <w:color w:val="auto"/>
                <w:sz w:val="20"/>
                <w:szCs w:val="20"/>
                <w:highlight w:val="none"/>
              </w:rPr>
              <w:t xml:space="preserve">列入不良行为记录名单。</w:t>
            </w:r>
            <w:r/>
          </w:p>
        </w:tc>
      </w:tr>
    </w:tbl>
    <w:p>
      <w:pPr>
        <w:jc w:val="center"/>
        <w:spacing w:before="240" w:after="60"/>
        <w:rPr>
          <w:rFonts w:ascii="Calibri Light" w:hAnsi="Calibri Light" w:eastAsia="黑体"/>
          <w:b/>
          <w:bCs/>
          <w:color w:val="auto"/>
          <w:sz w:val="32"/>
          <w:szCs w:val="32"/>
          <w:highlight w:val="none"/>
        </w:rPr>
        <w:outlineLvl w:val="0"/>
      </w:pPr>
      <w:r/>
      <w:bookmarkStart w:id="7" w:name="_Toc120614211"/>
      <w:r/>
      <w:bookmarkStart w:id="8" w:name="_Toc3502"/>
      <w:r/>
      <w:bookmarkStart w:id="9" w:name="_Toc205811295"/>
      <w:r/>
      <w:bookmarkStart w:id="10" w:name="_Toc25598"/>
      <w:r>
        <w:rPr>
          <w:rFonts w:hint="eastAsia" w:ascii="Calibri Light" w:hAnsi="Calibri Light" w:eastAsia="黑体"/>
          <w:b/>
          <w:bCs/>
          <w:color w:val="auto"/>
          <w:sz w:val="32"/>
          <w:szCs w:val="32"/>
          <w:highlight w:val="none"/>
        </w:rPr>
        <w:t xml:space="preserve">第二章</w:t>
      </w:r>
      <w:bookmarkEnd w:id="7"/>
      <w:r>
        <w:rPr>
          <w:rFonts w:hint="eastAsia" w:ascii="Calibri Light" w:hAnsi="Calibri Light" w:eastAsia="黑体"/>
          <w:b/>
          <w:bCs/>
          <w:color w:val="auto"/>
          <w:sz w:val="32"/>
          <w:szCs w:val="32"/>
          <w:highlight w:val="none"/>
        </w:rPr>
        <w:t xml:space="preserve"> 供应商须知</w:t>
      </w:r>
      <w:bookmarkEnd w:id="8"/>
      <w:r/>
      <w:bookmarkEnd w:id="9"/>
      <w:r/>
      <w:bookmarkEnd w:id="10"/>
      <w:r/>
      <w:r/>
    </w:p>
    <w:p>
      <w:pPr>
        <w:ind w:firstLine="475"/>
        <w:jc w:val="left"/>
        <w:spacing w:line="480" w:lineRule="exact"/>
        <w:widowControl/>
        <w:rPr>
          <w:rFonts w:hint="eastAsia" w:ascii="宋体" w:hAnsi="宋体"/>
          <w:color w:val="auto"/>
          <w:sz w:val="24"/>
          <w:szCs w:val="20"/>
          <w:highlight w:val="none"/>
        </w:rPr>
      </w:pPr>
      <w:r/>
      <w:bookmarkStart w:id="11" w:name="_Toc16938519"/>
      <w:r/>
      <w:bookmarkStart w:id="12" w:name="_Toc20823275"/>
      <w:r/>
      <w:bookmarkStart w:id="13" w:name="_Toc120614214"/>
      <w:r/>
      <w:bookmarkStart w:id="14" w:name="_Toc513029203"/>
      <w:r>
        <w:rPr>
          <w:rFonts w:ascii="宋体" w:hAnsi="宋体"/>
          <w:color w:val="auto"/>
          <w:sz w:val="24"/>
          <w:szCs w:val="20"/>
          <w:highlight w:val="none"/>
        </w:rPr>
        <w:t xml:space="preserve">一、总则</w:t>
      </w:r>
      <w:bookmarkEnd w:id="11"/>
      <w:r/>
      <w:bookmarkEnd w:id="12"/>
      <w:r/>
      <w:bookmarkEnd w:id="13"/>
      <w:r/>
      <w:bookmarkEnd w:id="14"/>
      <w:r/>
      <w:r/>
    </w:p>
    <w:p>
      <w:pPr>
        <w:ind w:firstLine="475"/>
        <w:jc w:val="left"/>
        <w:spacing w:line="480" w:lineRule="exact"/>
        <w:widowControl/>
        <w:rPr>
          <w:rFonts w:hint="eastAsia" w:ascii="宋体" w:hAnsi="宋体"/>
          <w:color w:val="auto"/>
          <w:sz w:val="24"/>
          <w:szCs w:val="20"/>
          <w:highlight w:val="none"/>
        </w:rPr>
      </w:pPr>
      <w:r/>
      <w:bookmarkStart w:id="15" w:name="_Toc20823276"/>
      <w:r/>
      <w:bookmarkStart w:id="16" w:name="_Toc16938520"/>
      <w:r/>
      <w:bookmarkStart w:id="17" w:name="_Toc513029204"/>
      <w:r/>
      <w:bookmarkStart w:id="18" w:name="_Toc458694821"/>
      <w:r/>
      <w:bookmarkStart w:id="19" w:name="_Hlt16619475"/>
      <w:r>
        <w:rPr>
          <w:rFonts w:ascii="宋体" w:hAnsi="宋体"/>
          <w:color w:val="auto"/>
          <w:sz w:val="24"/>
          <w:szCs w:val="20"/>
          <w:highlight w:val="none"/>
        </w:rPr>
        <w:t xml:space="preserve">1</w:t>
      </w:r>
      <w:bookmarkEnd w:id="15"/>
      <w:r>
        <w:rPr>
          <w:rFonts w:ascii="宋体" w:hAnsi="宋体"/>
          <w:color w:val="auto"/>
          <w:sz w:val="24"/>
          <w:szCs w:val="20"/>
          <w:highlight w:val="none"/>
        </w:rPr>
        <w:t xml:space="preserve">、采购方式</w:t>
      </w:r>
      <w:bookmarkEnd w:id="16"/>
      <w:r/>
      <w:bookmarkEnd w:id="17"/>
      <w:r/>
      <w:bookmarkEnd w:id="18"/>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1.1 本次政府采购活动采取竞争性磋商(以下简称磋商)方式，本磋商文件仅适用于磋商公告中所述项目。</w:t>
      </w:r>
      <w:r/>
    </w:p>
    <w:p>
      <w:pPr>
        <w:ind w:firstLine="475"/>
        <w:jc w:val="left"/>
        <w:spacing w:line="480" w:lineRule="exact"/>
        <w:widowControl/>
        <w:rPr>
          <w:rFonts w:hint="eastAsia" w:ascii="宋体" w:hAnsi="宋体"/>
          <w:color w:val="auto"/>
          <w:sz w:val="24"/>
          <w:szCs w:val="20"/>
          <w:highlight w:val="none"/>
        </w:rPr>
      </w:pPr>
      <w:r/>
      <w:bookmarkStart w:id="20" w:name="_Toc513029205"/>
      <w:r/>
      <w:bookmarkStart w:id="21" w:name="_Toc16938521"/>
      <w:r/>
      <w:bookmarkStart w:id="22" w:name="_Toc20823277"/>
      <w:r>
        <w:rPr>
          <w:rFonts w:ascii="宋体" w:hAnsi="宋体"/>
          <w:color w:val="auto"/>
          <w:sz w:val="24"/>
          <w:szCs w:val="20"/>
          <w:highlight w:val="none"/>
        </w:rPr>
        <w:t xml:space="preserve">2、合格的</w:t>
      </w:r>
      <w:bookmarkEnd w:id="20"/>
      <w:r/>
      <w:bookmarkEnd w:id="21"/>
      <w:r/>
      <w:bookmarkEnd w:id="22"/>
      <w:r>
        <w:rPr>
          <w:rFonts w:ascii="宋体" w:hAnsi="宋体"/>
          <w:color w:val="auto"/>
          <w:sz w:val="24"/>
          <w:szCs w:val="20"/>
          <w:highlight w:val="none"/>
        </w:rPr>
        <w:t xml:space="preserve">供应商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2.1满足磋商公告中供应商资格要求的规定。</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2.2满足本磋商文件实质性要求和条件的规定。</w:t>
      </w:r>
      <w:r/>
    </w:p>
    <w:p>
      <w:pPr>
        <w:ind w:firstLine="475"/>
        <w:jc w:val="left"/>
        <w:spacing w:line="480" w:lineRule="exact"/>
        <w:widowControl/>
        <w:rPr>
          <w:rFonts w:hint="eastAsia" w:ascii="宋体" w:hAnsi="宋体"/>
          <w:color w:val="auto"/>
          <w:sz w:val="24"/>
          <w:szCs w:val="20"/>
          <w:highlight w:val="none"/>
        </w:rPr>
      </w:pPr>
      <w:r/>
      <w:bookmarkStart w:id="23" w:name="_Toc513029206"/>
      <w:r/>
      <w:bookmarkStart w:id="24" w:name="_Toc20823278"/>
      <w:r/>
      <w:bookmarkStart w:id="25" w:name="_Toc16938522"/>
      <w:r>
        <w:rPr>
          <w:rFonts w:ascii="宋体" w:hAnsi="宋体"/>
          <w:color w:val="auto"/>
          <w:sz w:val="24"/>
          <w:szCs w:val="20"/>
          <w:highlight w:val="none"/>
        </w:rPr>
        <w:t xml:space="preserve">3、适用法律</w:t>
      </w:r>
      <w:bookmarkEnd w:id="23"/>
      <w:r/>
      <w:bookmarkEnd w:id="24"/>
      <w:r/>
      <w:bookmarkEnd w:id="25"/>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3.1本次磋商及由此产生的合同受中华人民共和国有关的法律法规制约和保护。</w:t>
      </w:r>
      <w:r/>
    </w:p>
    <w:p>
      <w:pPr>
        <w:ind w:firstLine="475"/>
        <w:jc w:val="left"/>
        <w:spacing w:line="480" w:lineRule="exact"/>
        <w:widowControl/>
        <w:rPr>
          <w:rFonts w:hint="eastAsia" w:ascii="宋体" w:hAnsi="宋体"/>
          <w:color w:val="auto"/>
          <w:sz w:val="24"/>
          <w:szCs w:val="20"/>
          <w:highlight w:val="none"/>
        </w:rPr>
      </w:pPr>
      <w:r/>
      <w:bookmarkStart w:id="26" w:name="_Toc16938523"/>
      <w:r/>
      <w:bookmarkStart w:id="27" w:name="_Toc462564067"/>
      <w:r/>
      <w:bookmarkStart w:id="28" w:name="_Toc20823279"/>
      <w:r/>
      <w:bookmarkStart w:id="29" w:name="_Toc513029207"/>
      <w:r>
        <w:rPr>
          <w:rFonts w:ascii="宋体" w:hAnsi="宋体"/>
          <w:color w:val="auto"/>
          <w:sz w:val="24"/>
          <w:szCs w:val="20"/>
          <w:highlight w:val="none"/>
        </w:rPr>
        <w:t xml:space="preserve">4、磋商费用</w:t>
      </w:r>
      <w:bookmarkEnd w:id="26"/>
      <w:r/>
      <w:bookmarkEnd w:id="27"/>
      <w:r/>
      <w:bookmarkEnd w:id="28"/>
      <w:r/>
      <w:bookmarkEnd w:id="29"/>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4.1供应商应自行承担所有与参加本次磋商有关的费用，无论磋商过程中的做法和结果如何，采购人在任何情况下均无义务和责任承担这些费用。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4.2本次磋商采购人不收取标书工本费与成交服务费。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5、磋商文件的约束力</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5.1供应商一旦参加本项目采购活动，即被认为接受了本磋商文件的规定和约束。</w:t>
      </w:r>
      <w:r/>
    </w:p>
    <w:p>
      <w:pPr>
        <w:ind w:firstLine="475"/>
        <w:jc w:val="left"/>
        <w:spacing w:line="480" w:lineRule="exact"/>
        <w:widowControl/>
        <w:rPr>
          <w:rFonts w:hint="eastAsia" w:ascii="宋体" w:hAnsi="宋体"/>
          <w:color w:val="auto"/>
          <w:sz w:val="24"/>
          <w:szCs w:val="20"/>
          <w:highlight w:val="none"/>
        </w:rPr>
      </w:pPr>
      <w:r/>
      <w:bookmarkStart w:id="30" w:name="_Toc20823281"/>
      <w:r/>
      <w:bookmarkStart w:id="31" w:name="_Toc16938525"/>
      <w:r/>
      <w:bookmarkStart w:id="32" w:name="_Toc513029209"/>
      <w:r/>
      <w:bookmarkStart w:id="33" w:name="_Toc120614215"/>
      <w:r>
        <w:rPr>
          <w:rFonts w:ascii="宋体" w:hAnsi="宋体"/>
          <w:color w:val="auto"/>
          <w:sz w:val="24"/>
          <w:szCs w:val="20"/>
          <w:highlight w:val="none"/>
        </w:rPr>
        <w:t xml:space="preserve">二、</w:t>
      </w:r>
      <w:bookmarkEnd w:id="30"/>
      <w:r/>
      <w:bookmarkEnd w:id="31"/>
      <w:r/>
      <w:bookmarkEnd w:id="32"/>
      <w:r/>
      <w:bookmarkEnd w:id="33"/>
      <w:r>
        <w:rPr>
          <w:rFonts w:ascii="宋体" w:hAnsi="宋体"/>
          <w:color w:val="auto"/>
          <w:sz w:val="24"/>
          <w:szCs w:val="20"/>
          <w:highlight w:val="none"/>
        </w:rPr>
        <w:t xml:space="preserve">磋商文件</w:t>
      </w:r>
      <w:r/>
    </w:p>
    <w:p>
      <w:pPr>
        <w:ind w:firstLine="475"/>
        <w:jc w:val="left"/>
        <w:spacing w:line="480" w:lineRule="exact"/>
        <w:widowControl/>
        <w:rPr>
          <w:rFonts w:hint="eastAsia" w:ascii="宋体" w:hAnsi="宋体"/>
          <w:color w:val="auto"/>
          <w:sz w:val="24"/>
          <w:szCs w:val="20"/>
          <w:highlight w:val="none"/>
        </w:rPr>
      </w:pPr>
      <w:r/>
      <w:bookmarkStart w:id="34" w:name="_Toc513029210"/>
      <w:r/>
      <w:bookmarkStart w:id="35" w:name="_Toc20823282"/>
      <w:r/>
      <w:bookmarkStart w:id="36" w:name="_Toc16938526"/>
      <w:r>
        <w:rPr>
          <w:rFonts w:ascii="宋体" w:hAnsi="宋体"/>
          <w:color w:val="auto"/>
          <w:sz w:val="24"/>
          <w:szCs w:val="20"/>
          <w:highlight w:val="none"/>
        </w:rPr>
        <w:t xml:space="preserve">6、磋商文件构成</w:t>
      </w:r>
      <w:bookmarkEnd w:id="34"/>
      <w:r/>
      <w:bookmarkEnd w:id="35"/>
      <w:r/>
      <w:bookmarkEnd w:id="36"/>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6.1磋商文件由以下部分组成：</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（1）磋商公告；</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（2）供应商须知；</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（3）合同文本；</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（4）采购需求；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w:t>
      </w:r>
      <w:r>
        <w:rPr>
          <w:rFonts w:ascii="宋体" w:hAnsi="宋体"/>
          <w:color w:val="auto"/>
          <w:sz w:val="24"/>
          <w:szCs w:val="20"/>
          <w:highlight w:val="none"/>
        </w:rPr>
        <w:t xml:space="preserve">评审方法与评审标准</w:t>
      </w:r>
      <w:r>
        <w:rPr>
          <w:rFonts w:hint="eastAsia"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（6）响应文件格式。</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请仔细检查磋商文件是否齐全，如有缺漏请立即与招标代理联系解决。</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75"/>
        <w:jc w:val="left"/>
        <w:spacing w:line="480" w:lineRule="exact"/>
        <w:widowControl/>
        <w:rPr>
          <w:rFonts w:hint="eastAsia" w:ascii="宋体" w:hAnsi="宋体"/>
          <w:color w:val="auto"/>
          <w:sz w:val="24"/>
          <w:szCs w:val="20"/>
          <w:highlight w:val="none"/>
        </w:rPr>
      </w:pPr>
      <w:r/>
      <w:bookmarkStart w:id="37" w:name="_Toc513029211"/>
      <w:r/>
      <w:bookmarkStart w:id="38" w:name="_Toc16938527"/>
      <w:r/>
      <w:bookmarkStart w:id="39" w:name="_Toc462564070"/>
      <w:r/>
      <w:bookmarkStart w:id="40" w:name="_Toc20823283"/>
      <w:r>
        <w:rPr>
          <w:rFonts w:ascii="宋体" w:hAnsi="宋体"/>
          <w:color w:val="auto"/>
          <w:sz w:val="24"/>
          <w:szCs w:val="20"/>
          <w:highlight w:val="none"/>
        </w:rPr>
        <w:t xml:space="preserve">7、磋商文件的澄清</w:t>
      </w:r>
      <w:bookmarkEnd w:id="37"/>
      <w:r/>
      <w:bookmarkEnd w:id="38"/>
      <w:r/>
      <w:bookmarkEnd w:id="39"/>
      <w:r/>
      <w:bookmarkEnd w:id="40"/>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7.1 任何要求对磋商文件进行澄清的供应商，应在磋商截止期5日</w:t>
      </w:r>
      <w:r>
        <w:rPr>
          <w:rFonts w:ascii="宋体" w:hAnsi="宋体"/>
          <w:color w:val="auto"/>
          <w:sz w:val="24"/>
          <w:szCs w:val="20"/>
          <w:highlight w:val="none"/>
        </w:rPr>
        <w:t xml:space="preserve">前</w:t>
      </w:r>
      <w:r>
        <w:rPr>
          <w:rFonts w:hint="eastAsia" w:ascii="宋体" w:hAnsi="宋体"/>
          <w:color w:val="auto"/>
          <w:sz w:val="24"/>
          <w:szCs w:val="20"/>
          <w:highlight w:val="none"/>
        </w:rPr>
        <w:t xml:space="preserve">按磋商公告中的通讯地址，以书面形式通知招标代理。</w:t>
      </w:r>
      <w:r/>
    </w:p>
    <w:p>
      <w:pPr>
        <w:ind w:firstLine="475"/>
        <w:jc w:val="left"/>
        <w:spacing w:line="480" w:lineRule="exact"/>
        <w:widowControl/>
        <w:rPr>
          <w:rFonts w:hint="eastAsia" w:ascii="宋体" w:hAnsi="宋体"/>
          <w:color w:val="auto"/>
          <w:sz w:val="24"/>
          <w:szCs w:val="20"/>
          <w:highlight w:val="none"/>
        </w:rPr>
      </w:pPr>
      <w:r/>
      <w:bookmarkStart w:id="41" w:name="_Toc16938528"/>
      <w:r/>
      <w:bookmarkStart w:id="42" w:name="_Toc20823284"/>
      <w:r/>
      <w:bookmarkStart w:id="43" w:name="_Toc462564071"/>
      <w:r/>
      <w:bookmarkStart w:id="44" w:name="_Toc513029212"/>
      <w:r>
        <w:rPr>
          <w:rFonts w:ascii="宋体" w:hAnsi="宋体"/>
          <w:color w:val="auto"/>
          <w:sz w:val="24"/>
          <w:szCs w:val="20"/>
          <w:highlight w:val="none"/>
        </w:rPr>
        <w:t xml:space="preserve">8、磋商文件的澄清和修改</w:t>
      </w:r>
      <w:bookmarkEnd w:id="41"/>
      <w:r/>
      <w:bookmarkEnd w:id="42"/>
      <w:r/>
      <w:bookmarkEnd w:id="43"/>
      <w:r/>
      <w:bookmarkEnd w:id="44"/>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8.1 在响应文件提交截止时间</w:t>
      </w:r>
      <w:r>
        <w:rPr>
          <w:rFonts w:ascii="宋体" w:hAnsi="宋体"/>
          <w:color w:val="auto"/>
          <w:sz w:val="24"/>
          <w:szCs w:val="20"/>
          <w:highlight w:val="none"/>
        </w:rPr>
        <w:t xml:space="preserve">前</w:t>
      </w:r>
      <w:r>
        <w:rPr>
          <w:rFonts w:hint="eastAsia" w:ascii="宋体" w:hAnsi="宋体"/>
          <w:color w:val="auto"/>
          <w:sz w:val="24"/>
          <w:szCs w:val="20"/>
          <w:highlight w:val="none"/>
        </w:rPr>
        <w:t xml:space="preserve">，招标代理可以对磋商文件进行澄清和修改,澄清或者修改的内容作为磋商文件的组成部分。澄清或者修改的内容可能影响响应文件编制的，招标代理将在提交首次响应文件截止时间至少5日前，在“江苏政府采购网”、“盐城市政府采购网”、“建湖县公共资源交易电子化服务平台”上发布书面更正公告形式通知所有获取磋商文件的供应商,更正公告内容将作为磋商文件的组成部分，并对供应商具有约束力。不足5日的，招标代理将顺延提交首次响应文件截止时间。</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8.2招标代理可以视采购项目的具体情况，组织供应商进行现场考察或召开磋商前答疑会，但不单独或分别组织只有一个供应商参加的现场考察和答疑会。</w:t>
      </w:r>
      <w:r/>
    </w:p>
    <w:p>
      <w:pPr>
        <w:ind w:firstLine="475"/>
        <w:jc w:val="left"/>
        <w:spacing w:line="480" w:lineRule="exact"/>
        <w:widowControl/>
        <w:rPr>
          <w:rFonts w:hint="eastAsia" w:ascii="宋体" w:hAnsi="宋体"/>
          <w:color w:val="auto"/>
          <w:sz w:val="24"/>
          <w:szCs w:val="20"/>
          <w:highlight w:val="none"/>
        </w:rPr>
      </w:pPr>
      <w:r/>
      <w:bookmarkStart w:id="45" w:name="_Toc120614216"/>
      <w:r/>
      <w:bookmarkStart w:id="46" w:name="_Toc462564072"/>
      <w:r/>
      <w:bookmarkStart w:id="47" w:name="_Toc513029213"/>
      <w:r/>
      <w:bookmarkStart w:id="48" w:name="_Toc20823285"/>
      <w:r/>
      <w:bookmarkStart w:id="49" w:name="_Toc16938529"/>
      <w:r>
        <w:rPr>
          <w:rFonts w:ascii="宋体" w:hAnsi="宋体"/>
          <w:color w:val="auto"/>
          <w:sz w:val="24"/>
          <w:szCs w:val="20"/>
          <w:highlight w:val="none"/>
        </w:rPr>
        <w:t xml:space="preserve">三、响应文件的编制</w:t>
      </w:r>
      <w:bookmarkEnd w:id="45"/>
      <w:r/>
      <w:bookmarkEnd w:id="46"/>
      <w:r/>
      <w:bookmarkEnd w:id="47"/>
      <w:r/>
      <w:bookmarkEnd w:id="48"/>
      <w:r/>
      <w:bookmarkEnd w:id="49"/>
      <w:r/>
      <w:r/>
    </w:p>
    <w:p>
      <w:pPr>
        <w:ind w:firstLine="475"/>
        <w:jc w:val="left"/>
        <w:spacing w:line="480" w:lineRule="exact"/>
        <w:widowControl/>
        <w:rPr>
          <w:rFonts w:hint="eastAsia" w:ascii="宋体" w:hAnsi="宋体"/>
          <w:color w:val="auto"/>
          <w:sz w:val="24"/>
          <w:szCs w:val="20"/>
          <w:highlight w:val="none"/>
        </w:rPr>
      </w:pPr>
      <w:r/>
      <w:bookmarkStart w:id="50" w:name="_Toc20823286"/>
      <w:r/>
      <w:bookmarkStart w:id="51" w:name="_Toc16938530"/>
      <w:r/>
      <w:bookmarkStart w:id="52" w:name="_Toc513029214"/>
      <w:r/>
      <w:bookmarkStart w:id="53" w:name="_Toc462564073"/>
      <w:r>
        <w:rPr>
          <w:rFonts w:hint="eastAsia" w:ascii="宋体" w:hAnsi="宋体"/>
          <w:color w:val="auto"/>
          <w:sz w:val="24"/>
          <w:szCs w:val="20"/>
          <w:highlight w:val="none"/>
        </w:rPr>
        <w:t xml:space="preserve">9、线上响应文件的编制、密封及提交</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响应文件的编制要求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9.1.1 投标人应仔细阅读磋商文件的所有内容，按磋商文件的要求提供响应文件，并保证所提供的全部资料的真实性，以使其投标对磋商文件作出实质性响应，否则，其投标可能被拒绝；</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 无论投标过程中的做法和结果如何，投标人自行承担所有与参加投标有关的全部费用。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9.2 投标语言及计量单位  </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9.2.1 响应文件以及投标人与采购单位就有关投标事宜的所有来往函电均应使用简体中文书写；</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9.2.2 关于投标计量单位，磋商文件已有明确规定的，使用磋商文件规定的计量单位；磋商文件没有规定的，应采用中华人民共和国法定计量单位；</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响应文件将作无效投标处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9.2.4 翻译的中文文件与外文文件如果出现差异和矛盾时，以中文为准。但不能故意错误翻译，否则，投标人的响应文件将作为无效投标处理。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9.3电子响应文件其他要求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9.3.1电子招标投标交易平台（即“苏采云”系统）相关要求是本磋商文件的组成部分；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9.3.2投标人应对CA证书妥善保管，如被他人盗用投标，因此带来的结果均由投标人自行承担；</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9.3.3投标人应当对磋商文件提出的实质性要求和条件作出实质性响应，并在电子投标系统逐条应答；</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9.3.4投标人应对要求提供的资格证明文件（如资质证书、资格证书）、技术资料（如白皮书、彩页、手册、检测报告等）扫描上传至投标系统。 </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9.4投标人应当在磋商文件要求提交响应文件的截止时间前，将响应文件提交至“苏采云”系统，逾期提交的响应文件，“苏采云”系统将自动拒收。各投标人应在规定时间内凭CA证书进行网上解密。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9.5投标人在投标截止时间前，可以对所递交的响应文件进行补充、修改或者撤回，并书面通知采购人或者采购代理机构。补充、修改的内容应当按照磋商文件要求签署、盖章、密封后，作为响应文件的组成部分。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9.6 投标人应在磋商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投标人在响应文件中应按照本磋商文件所附的投标报价单样式进行报价，并计算总价。报价表必须由法定代表人或委托代理人签署。</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9.7线上响应文件编制要求，请按照以下要求（包括但不限于以下要求）制作。</w:t>
      </w:r>
      <w:r/>
    </w:p>
    <w:p>
      <w:pPr>
        <w:ind w:firstLine="475"/>
        <w:jc w:val="left"/>
        <w:spacing w:line="480" w:lineRule="exact"/>
        <w:widowControl/>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9.7</w:t>
      </w: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基本目录</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（1）《开标一览表》（加盖电子签章，政府采购客户端工具输入报价自动生成）；</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color w:val="auto"/>
          <w:sz w:val="24"/>
          <w:szCs w:val="20"/>
          <w:highlight w:val="none"/>
        </w:rPr>
        <w:t xml:space="preserve">》及《授权委托书》（加盖电子签章，格式见磋商文件第六章《响应文件相关格式》）。</w:t>
      </w:r>
      <w:r/>
    </w:p>
    <w:p>
      <w:pPr>
        <w:ind w:firstLine="475"/>
        <w:jc w:val="left"/>
        <w:spacing w:line="480" w:lineRule="exact"/>
        <w:widowControl/>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9.7</w:t>
      </w:r>
      <w:r>
        <w:rPr>
          <w:rFonts w:ascii="宋体" w:hAnsi="宋体"/>
          <w:b/>
          <w:bCs/>
          <w:color w:val="auto"/>
          <w:sz w:val="24"/>
          <w:szCs w:val="20"/>
          <w:highlight w:val="none"/>
        </w:rPr>
        <w:t xml:space="preserve">.2</w:t>
      </w:r>
      <w:r>
        <w:rPr>
          <w:rFonts w:hint="eastAsia" w:ascii="宋体" w:hAnsi="宋体"/>
          <w:b/>
          <w:bCs/>
          <w:color w:val="auto"/>
          <w:sz w:val="24"/>
          <w:szCs w:val="20"/>
          <w:highlight w:val="none"/>
        </w:rPr>
        <w:t xml:space="preserve">资格条件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（1）有效的营业执照原件扫描件；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（2）上一年度的财务状况报表（至少提供资产负债表、利润表、现金流量表，投标人成立不满一年无需提供）；</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（4）具有履行合同所需的设备和专业技术能力的书面声明原件扫描件；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（5）无重大违法记录声明函</w:t>
      </w:r>
      <w:bookmarkStart w:id="54" w:name="OLE_LINK20"/>
      <w:r>
        <w:rPr>
          <w:rFonts w:hint="eastAsia" w:ascii="宋体" w:hAnsi="宋体"/>
          <w:color w:val="auto"/>
          <w:sz w:val="24"/>
          <w:szCs w:val="20"/>
          <w:highlight w:val="none"/>
        </w:rPr>
        <w:t xml:space="preserve">原件扫描件</w:t>
      </w:r>
      <w:bookmarkEnd w:id="54"/>
      <w:r>
        <w:rPr>
          <w:rFonts w:hint="eastAsia"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（6）投标人有效的资质证书原件扫描件；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（7）投标人有效的安全生产许可证原件扫描件；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（8）投标项目负责人有效的安全生产考核合格证（B类）原件扫描件；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（9）投标项目负责人有效的建造师注册证书原件扫描件；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（10）投标申请人代理人及投标承诺的项目负责人均为本单位的正式职工，投标时提供</w:t>
      </w:r>
      <w:r>
        <w:rPr>
          <w:rFonts w:ascii="宋体" w:hAnsi="宋体"/>
          <w:color w:val="auto"/>
          <w:sz w:val="24"/>
          <w:highlight w:val="none"/>
        </w:rPr>
        <w:t xml:space="preserve">开标前1个月（不含投标当月）</w:t>
      </w:r>
      <w:r>
        <w:rPr>
          <w:rFonts w:hint="eastAsia" w:ascii="宋体" w:hAnsi="宋体"/>
          <w:color w:val="auto"/>
          <w:sz w:val="24"/>
          <w:szCs w:val="20"/>
          <w:highlight w:val="none"/>
        </w:rPr>
        <w:t xml:space="preserve">在本单位缴纳养老保险承诺函或缴纳养老保险缴费记录证明（退休人员提供在本单位相关证明）。</w:t>
      </w:r>
      <w:r/>
    </w:p>
    <w:p>
      <w:pPr>
        <w:ind w:firstLine="475"/>
        <w:jc w:val="left"/>
        <w:spacing w:line="480" w:lineRule="exact"/>
        <w:widowControl/>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上述（1）-（10）必须提供，且须加盖电子签章，否则投标无效，如供应商采用联合体投标，被联合体单位的证书扫描件上传至牵头单位标书中，以牵头单位投标。</w:t>
      </w:r>
      <w:r/>
    </w:p>
    <w:p>
      <w:pPr>
        <w:ind w:firstLine="475"/>
        <w:jc w:val="left"/>
        <w:spacing w:line="480" w:lineRule="exact"/>
        <w:widowControl/>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9.7</w:t>
      </w:r>
      <w:r>
        <w:rPr>
          <w:rFonts w:ascii="宋体" w:hAnsi="宋体"/>
          <w:b/>
          <w:bCs/>
          <w:color w:val="auto"/>
          <w:sz w:val="24"/>
          <w:szCs w:val="20"/>
          <w:highlight w:val="none"/>
        </w:rPr>
        <w:t xml:space="preserve">.3</w:t>
      </w:r>
      <w:r>
        <w:rPr>
          <w:rFonts w:hint="eastAsia" w:ascii="宋体" w:hAnsi="宋体"/>
          <w:b/>
          <w:bCs/>
          <w:color w:val="auto"/>
          <w:sz w:val="24"/>
          <w:szCs w:val="20"/>
          <w:highlight w:val="none"/>
        </w:rPr>
        <w:t xml:space="preserve">符合条件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（1）报价：①《投标函》；②清单报价表。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（2）商务资信：</w:t>
      </w:r>
      <w:r>
        <w:rPr>
          <w:rFonts w:ascii="宋体" w:hAnsi="宋体"/>
          <w:color w:val="auto"/>
          <w:sz w:val="24"/>
          <w:szCs w:val="20"/>
          <w:highlight w:val="none"/>
        </w:rPr>
        <w:t xml:space="preserve">①供应商登记表</w:t>
      </w:r>
      <w:r>
        <w:rPr>
          <w:rFonts w:hint="eastAsia" w:ascii="宋体" w:hAnsi="宋体"/>
          <w:color w:val="auto"/>
          <w:sz w:val="24"/>
          <w:szCs w:val="20"/>
          <w:highlight w:val="none"/>
        </w:rPr>
        <w:t xml:space="preserve">；②服务承诺函；③</w:t>
      </w:r>
      <w:r>
        <w:rPr>
          <w:rFonts w:ascii="宋体" w:hAnsi="宋体"/>
          <w:color w:val="auto"/>
          <w:sz w:val="24"/>
          <w:szCs w:val="20"/>
          <w:highlight w:val="none"/>
        </w:rPr>
        <w:t xml:space="preserve">公共资源交易投标信用承诺书</w:t>
      </w:r>
      <w:r>
        <w:rPr>
          <w:rFonts w:hint="eastAsia" w:ascii="宋体" w:hAnsi="宋体"/>
          <w:color w:val="auto"/>
          <w:sz w:val="24"/>
          <w:szCs w:val="20"/>
          <w:highlight w:val="none"/>
        </w:rPr>
        <w:t xml:space="preserve">；④</w:t>
      </w:r>
      <w:r>
        <w:rPr>
          <w:rFonts w:ascii="宋体" w:hAnsi="宋体"/>
          <w:color w:val="auto"/>
          <w:sz w:val="24"/>
          <w:szCs w:val="20"/>
          <w:highlight w:val="none"/>
        </w:rPr>
        <w:t xml:space="preserve">建湖县政府采购事前信用承诺书</w:t>
      </w:r>
      <w:r>
        <w:rPr>
          <w:rFonts w:hint="eastAsia" w:ascii="宋体" w:hAnsi="宋体"/>
          <w:color w:val="auto"/>
          <w:sz w:val="24"/>
          <w:szCs w:val="20"/>
          <w:highlight w:val="none"/>
          <w:lang w:eastAsia="zh-CN"/>
        </w:rPr>
        <w:t xml:space="preserve">；⑤</w:t>
      </w:r>
      <w:r>
        <w:rPr>
          <w:rFonts w:hint="eastAsia" w:ascii="宋体" w:hAnsi="宋体"/>
          <w:color w:val="auto"/>
          <w:sz w:val="24"/>
          <w:szCs w:val="20"/>
          <w:highlight w:val="none"/>
        </w:rPr>
        <w:t xml:space="preserve">《</w:t>
      </w:r>
      <w:r>
        <w:rPr>
          <w:rFonts w:ascii="宋体" w:hAnsi="宋体"/>
          <w:color w:val="auto"/>
          <w:sz w:val="24"/>
          <w:szCs w:val="20"/>
          <w:highlight w:val="none"/>
        </w:rPr>
        <w:t xml:space="preserve">法定代表人身份证明书</w:t>
      </w:r>
      <w:r>
        <w:rPr>
          <w:rFonts w:hint="eastAsia" w:ascii="宋体" w:hAnsi="宋体"/>
          <w:color w:val="auto"/>
          <w:sz w:val="24"/>
          <w:szCs w:val="20"/>
          <w:highlight w:val="none"/>
        </w:rPr>
        <w:t xml:space="preserve">》及《授权委托书》。</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（3）技术响应：《技术要求响应及偏离表》。</w:t>
      </w:r>
      <w:r/>
    </w:p>
    <w:p>
      <w:pPr>
        <w:ind w:firstLine="475"/>
        <w:jc w:val="left"/>
        <w:spacing w:line="480" w:lineRule="exact"/>
        <w:widowControl/>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上述（1）-（</w:t>
      </w:r>
      <w:r>
        <w:rPr>
          <w:rFonts w:ascii="宋体" w:hAnsi="宋体"/>
          <w:b/>
          <w:bCs/>
          <w:color w:val="auto"/>
          <w:sz w:val="24"/>
          <w:szCs w:val="20"/>
          <w:highlight w:val="none"/>
        </w:rPr>
        <w:t xml:space="preserve">3</w:t>
      </w:r>
      <w:r>
        <w:rPr>
          <w:rFonts w:hint="eastAsia" w:ascii="宋体" w:hAnsi="宋体"/>
          <w:b/>
          <w:bCs/>
          <w:color w:val="auto"/>
          <w:sz w:val="24"/>
          <w:szCs w:val="20"/>
          <w:highlight w:val="none"/>
        </w:rPr>
        <w:t xml:space="preserve">）符合条件要求内容必须提供，且须加盖电子签章，格式见磋商文件第六章《响应文件相关格式》，否则投标无效。</w:t>
      </w:r>
      <w:r/>
    </w:p>
    <w:p>
      <w:pPr>
        <w:ind w:firstLine="475"/>
        <w:jc w:val="left"/>
        <w:spacing w:line="480" w:lineRule="exact"/>
        <w:widowControl/>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9.7</w:t>
      </w:r>
      <w:r>
        <w:rPr>
          <w:rFonts w:ascii="宋体" w:hAnsi="宋体"/>
          <w:b/>
          <w:bCs/>
          <w:color w:val="auto"/>
          <w:sz w:val="24"/>
          <w:szCs w:val="20"/>
          <w:highlight w:val="none"/>
        </w:rPr>
        <w:t xml:space="preserve">.4</w:t>
      </w:r>
      <w:r>
        <w:rPr>
          <w:rFonts w:hint="eastAsia" w:ascii="宋体" w:hAnsi="宋体"/>
          <w:b/>
          <w:bCs/>
          <w:color w:val="auto"/>
          <w:sz w:val="24"/>
          <w:szCs w:val="20"/>
          <w:highlight w:val="none"/>
        </w:rPr>
        <w:t xml:space="preserve">企业报价折扣证明</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投标人为中小企业（含中型、小型、微型企业，下同）的，提供《中小企业声明函》（加盖电子签章，填写完整，格式见招磋商文件第六章《投标文件相关格式》）。</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9.7.5磋商文件要求的其它证明资料和评标细则要求提供证明材料原件或复印件。</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注：投标人应对以上文件的合法性、真实性负责，</w:t>
      </w:r>
      <w:r>
        <w:rPr>
          <w:rFonts w:ascii="宋体" w:hAnsi="宋体" w:cs="Arial"/>
          <w:bCs/>
          <w:color w:val="auto"/>
          <w:sz w:val="24"/>
          <w:highlight w:val="none"/>
        </w:rPr>
        <w:t xml:space="preserve">投标人提供的材料如有虚假，视为提供虚假材料谋取中标资格，将被列入不良行为记录名单</w:t>
      </w:r>
      <w:r>
        <w:rPr>
          <w:rFonts w:hint="eastAsia" w:ascii="宋体" w:hAnsi="宋体" w:cs="Arial"/>
          <w:bCs/>
          <w:color w:val="auto"/>
          <w:sz w:val="24"/>
          <w:highlight w:val="none"/>
        </w:rPr>
        <w:t xml:space="preserve">。</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9.8签订合同前，中标人必须向采购人提交其响应文件中所有材料的原件，采购人核查无误后，签订合同。如中标人不能在采购人规定的时间内向采购人提供原件，将被采购人视为放弃中标资格。</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9.9</w:t>
      </w:r>
      <w:r>
        <w:rPr>
          <w:rFonts w:ascii="宋体" w:hAnsi="宋体" w:cs="Arial"/>
          <w:bCs/>
          <w:color w:val="auto"/>
          <w:sz w:val="24"/>
          <w:highlight w:val="none"/>
        </w:rPr>
        <w:t xml:space="preserve">响应文件线上格式要求</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9.9</w:t>
      </w:r>
      <w:r>
        <w:rPr>
          <w:rFonts w:ascii="宋体" w:hAnsi="宋体" w:cs="Arial"/>
          <w:bCs/>
          <w:color w:val="auto"/>
          <w:sz w:val="24"/>
          <w:highlight w:val="none"/>
        </w:rPr>
        <w:t xml:space="preserve">.1</w:t>
      </w:r>
      <w:r>
        <w:rPr>
          <w:rFonts w:hint="eastAsia" w:ascii="宋体" w:hAnsi="宋体" w:cs="Arial"/>
          <w:bCs/>
          <w:color w:val="auto"/>
          <w:sz w:val="24"/>
          <w:highlight w:val="none"/>
        </w:rPr>
        <w:t xml:space="preserve">投标人应当通过“苏采云”系统提交数据电文形式的响应文件（即电子投标）。</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9.9</w:t>
      </w:r>
      <w:r>
        <w:rPr>
          <w:rFonts w:ascii="宋体" w:hAnsi="宋体" w:cs="Arial"/>
          <w:bCs/>
          <w:color w:val="auto"/>
          <w:sz w:val="24"/>
          <w:highlight w:val="none"/>
        </w:rPr>
        <w:t xml:space="preserve">.2 </w:t>
      </w:r>
      <w:r>
        <w:rPr>
          <w:rFonts w:hint="eastAsia" w:ascii="宋体" w:hAnsi="宋体" w:cs="Arial"/>
          <w:bCs/>
          <w:color w:val="auto"/>
          <w:sz w:val="24"/>
          <w:highlight w:val="none"/>
        </w:rPr>
        <w:t xml:space="preserve">通过“苏采云”系统提交政府采购客户端工具导出加密的响应文件（后缀名为zip）。响应文件不得超过</w:t>
      </w:r>
      <w:r>
        <w:rPr>
          <w:rFonts w:ascii="宋体" w:hAnsi="宋体" w:cs="Arial"/>
          <w:bCs/>
          <w:color w:val="auto"/>
          <w:sz w:val="24"/>
          <w:highlight w:val="none"/>
        </w:rPr>
        <w:t xml:space="preserve">1</w:t>
      </w:r>
      <w:r>
        <w:rPr>
          <w:rFonts w:hint="eastAsia" w:ascii="宋体" w:hAnsi="宋体" w:cs="Arial"/>
          <w:bCs/>
          <w:color w:val="auto"/>
          <w:sz w:val="24"/>
          <w:highlight w:val="none"/>
        </w:rPr>
        <w:t xml:space="preserve">50M！</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9.9</w:t>
      </w:r>
      <w:r>
        <w:rPr>
          <w:rFonts w:ascii="宋体" w:hAnsi="宋体" w:cs="Arial"/>
          <w:bCs/>
          <w:color w:val="auto"/>
          <w:sz w:val="24"/>
          <w:highlight w:val="none"/>
        </w:rPr>
        <w:t xml:space="preserve">.3 </w:t>
      </w:r>
      <w:r>
        <w:rPr>
          <w:rFonts w:hint="eastAsia" w:ascii="宋体" w:hAnsi="宋体" w:cs="Arial"/>
          <w:bCs/>
          <w:color w:val="auto"/>
          <w:sz w:val="24"/>
          <w:highlight w:val="none"/>
        </w:rPr>
        <w:t xml:space="preserve">本项目采用线上投标，即供应商响应文件从政府采购客户端工具制作通过“苏采云”系统提交，未提供线上响应文件的，投标无效。</w:t>
      </w:r>
      <w:r/>
    </w:p>
    <w:p>
      <w:pPr>
        <w:ind w:firstLine="482"/>
        <w:jc w:val="left"/>
        <w:spacing w:line="480" w:lineRule="exact"/>
        <w:widowControl/>
        <w:rPr>
          <w:rFonts w:hint="eastAsia" w:ascii="宋体" w:hAnsi="宋体" w:cs="Arial"/>
          <w:bCs/>
          <w:color w:val="auto"/>
          <w:sz w:val="24"/>
          <w:highlight w:val="none"/>
        </w:rPr>
      </w:pPr>
      <w:r>
        <w:rPr>
          <w:rFonts w:hint="eastAsia" w:ascii="宋体" w:hAnsi="宋体" w:cs="Arial"/>
          <w:bCs/>
          <w:color w:val="auto"/>
          <w:sz w:val="24"/>
          <w:highlight w:val="none"/>
        </w:rPr>
        <w:t xml:space="preserve">9.10线上</w:t>
      </w:r>
      <w:r>
        <w:rPr>
          <w:rFonts w:ascii="宋体" w:hAnsi="宋体" w:cs="Arial"/>
          <w:bCs/>
          <w:color w:val="auto"/>
          <w:sz w:val="24"/>
          <w:highlight w:val="none"/>
        </w:rPr>
        <w:t xml:space="preserve">响应文件的密封</w:t>
      </w:r>
      <w:r>
        <w:rPr>
          <w:rFonts w:hint="eastAsia" w:ascii="宋体" w:hAnsi="宋体" w:cs="Arial"/>
          <w:bCs/>
          <w:color w:val="auto"/>
          <w:sz w:val="24"/>
          <w:highlight w:val="none"/>
        </w:rPr>
        <w:t xml:space="preserve">、签署、盖章要求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响应文件的密封（加密）要求：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投标人应当按照磋商文件和“苏采云”系统的要求编制并加密响应文件。本项目投标人须通过“苏采云”系统提供的政府采购客户端工具（使用“CA数字证书”）对其数据电文形式的响应文件加密。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响应文件的签署要求：见磋商文件第六章《响应文件相关格式》。</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响应文件的盖章要求：见磋商文件《线上响应文件编制要求》和磋商文件第六章《响应文件相关格式》。投标人须通过“苏采云”系统提供的政府采购客户端工具（使用“CA数字证书”）加盖电子签章。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说明：投标人应在用CA数字证书以及自备的能够登录“苏采云”系统的笔记本电脑，在达到开标时间后，使用CA数字证书解密各自响应文件。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9.10</w:t>
      </w:r>
      <w:r>
        <w:rPr>
          <w:rFonts w:ascii="宋体" w:hAnsi="宋体"/>
          <w:color w:val="auto"/>
          <w:sz w:val="24"/>
          <w:szCs w:val="20"/>
          <w:highlight w:val="none"/>
        </w:rPr>
        <w:t xml:space="preserve">.4</w:t>
      </w:r>
      <w:r>
        <w:rPr>
          <w:rFonts w:hint="eastAsia" w:ascii="宋体" w:hAnsi="宋体"/>
          <w:color w:val="auto"/>
          <w:sz w:val="24"/>
          <w:szCs w:val="20"/>
          <w:highlight w:val="none"/>
        </w:rPr>
        <w:t xml:space="preserve">投标人未按规定加密的响应文件，“苏采云”系统应当拒收并提示。</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9.11 响应文件的提交与接收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响应文件提交与接收时间：</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线上提交与接收时间：提交响应文件截止时间前。</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响应文件提交与接收地点：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线上提交与接收地点：投标人应当通过“苏采云”系统提交数据电文形式的响应文件（即电子投标），“苏采云”系统自动接收。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说明：电子响应文件应由其法定代表人或法定代表人授权代表在规定的网上投标时间内，凭 CA 证书登录“苏采云”系统在线编制响应文件（电子数据），并在投标截止时间之前上传响应文件。投标人应在达到开标时间后，使用CA数字证书解密各自响应文件。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w:t>
      </w:r>
      <w:r>
        <w:rPr>
          <w:rFonts w:ascii="宋体" w:hAnsi="宋体"/>
          <w:color w:val="auto"/>
          <w:sz w:val="24"/>
          <w:szCs w:val="20"/>
          <w:highlight w:val="none"/>
        </w:rPr>
        <w:t xml:space="preserve">响应文件的撤回与修改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w:t>
      </w:r>
      <w:r>
        <w:rPr>
          <w:rFonts w:ascii="宋体" w:hAnsi="宋体"/>
          <w:color w:val="auto"/>
          <w:sz w:val="24"/>
          <w:szCs w:val="20"/>
          <w:highlight w:val="none"/>
        </w:rPr>
        <w:t xml:space="preserve">.1响应文件的撤回</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w:t>
      </w:r>
      <w:r>
        <w:rPr>
          <w:rFonts w:ascii="宋体" w:hAnsi="宋体"/>
          <w:color w:val="auto"/>
          <w:sz w:val="24"/>
          <w:szCs w:val="20"/>
          <w:highlight w:val="none"/>
        </w:rPr>
        <w:t xml:space="preserve">.1.1电子响应文件的撤回</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投标人可在投标截止时间前，撤回其电子响应文件，具体操作方法见《江苏省政府采购（供应商）CA数字证书及电子签章办理指南》；</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w:t>
      </w:r>
      <w:r>
        <w:rPr>
          <w:rFonts w:ascii="宋体" w:hAnsi="宋体"/>
          <w:color w:val="auto"/>
          <w:sz w:val="24"/>
          <w:szCs w:val="20"/>
          <w:highlight w:val="none"/>
        </w:rPr>
        <w:t xml:space="preserve">.1.2投标人撤回电子响应文件，则认为其不再参与本项目投标活动。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w:t>
      </w:r>
      <w:r>
        <w:rPr>
          <w:rFonts w:ascii="宋体" w:hAnsi="宋体"/>
          <w:color w:val="auto"/>
          <w:sz w:val="24"/>
          <w:szCs w:val="20"/>
          <w:highlight w:val="none"/>
        </w:rPr>
        <w:t xml:space="preserve">.2响应文件的修改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投标人可在投标截止时间前，对其电子响应文件进行修改，具体操作方法见《江苏省政府采购（供应商）CA数字证书及电子签章办理指南》；</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w:t>
      </w:r>
      <w:r>
        <w:rPr>
          <w:rFonts w:ascii="宋体" w:hAnsi="宋体"/>
          <w:color w:val="auto"/>
          <w:sz w:val="24"/>
          <w:szCs w:val="20"/>
          <w:highlight w:val="none"/>
        </w:rPr>
        <w:t xml:space="preserve">.3在投标截止时间之后，投标人不得对其电子响应文件作任何修改。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9.12</w:t>
      </w:r>
      <w:r>
        <w:rPr>
          <w:rFonts w:ascii="宋体" w:hAnsi="宋体"/>
          <w:color w:val="auto"/>
          <w:sz w:val="24"/>
          <w:szCs w:val="20"/>
          <w:highlight w:val="none"/>
        </w:rPr>
        <w:t xml:space="preserve">.4在投标截止时间至</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中规定的投标有效期满之间的这段时间内，投标人不得撤回其投标。</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9</w:t>
      </w:r>
      <w:r>
        <w:rPr>
          <w:rFonts w:hint="eastAsia" w:ascii="宋体" w:hAnsi="宋体"/>
          <w:color w:val="auto"/>
          <w:sz w:val="24"/>
          <w:szCs w:val="20"/>
          <w:highlight w:val="none"/>
        </w:rPr>
        <w:t xml:space="preserve">.13</w:t>
      </w:r>
      <w:r>
        <w:rPr>
          <w:rFonts w:ascii="宋体" w:hAnsi="宋体"/>
          <w:color w:val="auto"/>
          <w:sz w:val="24"/>
          <w:szCs w:val="20"/>
          <w:highlight w:val="none"/>
        </w:rPr>
        <w:t xml:space="preserve">响应文件的语言及度量衡单位</w:t>
      </w:r>
      <w:bookmarkEnd w:id="50"/>
      <w:r/>
      <w:bookmarkEnd w:id="51"/>
      <w:r/>
      <w:bookmarkEnd w:id="52"/>
      <w:r/>
      <w:bookmarkEnd w:id="53"/>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9.13.1供应商提交的响应文件以及供应商与采购人就有关磋商的所有来往通知、函件和文件均应使用简体中文。</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9.13.2除技术性能另有规定外，响应文件所使用的度量衡单位，均须采用国家法定计量单位。</w:t>
      </w:r>
      <w:r/>
    </w:p>
    <w:p>
      <w:pPr>
        <w:ind w:firstLine="475"/>
        <w:jc w:val="left"/>
        <w:spacing w:line="480" w:lineRule="exact"/>
        <w:widowControl/>
        <w:rPr>
          <w:rFonts w:hint="eastAsia" w:ascii="宋体" w:hAnsi="宋体"/>
          <w:color w:val="auto"/>
          <w:sz w:val="24"/>
          <w:szCs w:val="20"/>
          <w:highlight w:val="none"/>
        </w:rPr>
      </w:pPr>
      <w:r/>
      <w:bookmarkStart w:id="55" w:name="_Toc20823287"/>
      <w:r/>
      <w:bookmarkStart w:id="56" w:name="_Toc513029215"/>
      <w:r/>
      <w:bookmarkStart w:id="57" w:name="_Toc462564074"/>
      <w:r/>
      <w:bookmarkStart w:id="58" w:name="_Toc16938531"/>
      <w:r>
        <w:rPr>
          <w:rFonts w:ascii="宋体" w:hAnsi="宋体"/>
          <w:color w:val="auto"/>
          <w:sz w:val="24"/>
          <w:szCs w:val="20"/>
          <w:highlight w:val="none"/>
        </w:rPr>
        <w:t xml:space="preserve">10、响应文件构成</w:t>
      </w:r>
      <w:bookmarkEnd w:id="55"/>
      <w:r/>
      <w:bookmarkEnd w:id="56"/>
      <w:r/>
      <w:bookmarkEnd w:id="57"/>
      <w:r/>
      <w:bookmarkEnd w:id="58"/>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10.1供应商编写的响应文件应包括资格证明文件、符合性证明文件、分项报价表、技术要求响应及偏离表、商务要求响应及偏离表、其他证明文件、磋商响应函等部分。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10.2 如标书制作工具中格式和内容与“江苏政府采购网”、“盐城市政府采购网”、“建湖县公共资源交易电子化服务平台”发布的磋商文件不一致，请以“江苏政府采购网”、“盐城市政府采购网”、“建湖县公共资源交易电子化服务平台”发布的磋商文件为准。</w:t>
      </w:r>
      <w:r/>
    </w:p>
    <w:p>
      <w:pPr>
        <w:ind w:firstLine="475"/>
        <w:jc w:val="left"/>
        <w:spacing w:line="480" w:lineRule="exact"/>
        <w:widowControl/>
        <w:rPr>
          <w:rFonts w:hint="eastAsia" w:ascii="宋体" w:hAnsi="宋体"/>
          <w:color w:val="auto"/>
          <w:sz w:val="24"/>
          <w:szCs w:val="20"/>
          <w:highlight w:val="none"/>
        </w:rPr>
      </w:pPr>
      <w:r/>
      <w:bookmarkStart w:id="59" w:name="_Toc49090507"/>
      <w:r/>
      <w:bookmarkStart w:id="60" w:name="_Toc513029216"/>
      <w:r/>
      <w:bookmarkStart w:id="61" w:name="_Toc14577354"/>
      <w:r/>
      <w:bookmarkStart w:id="62" w:name="_Toc49090509"/>
      <w:r/>
      <w:bookmarkStart w:id="63" w:name="_Toc14577357"/>
      <w:r/>
      <w:bookmarkStart w:id="64" w:name="_Toc49090508"/>
      <w:r/>
      <w:bookmarkStart w:id="65" w:name="_Toc14577355"/>
      <w:r/>
      <w:bookmarkStart w:id="66" w:name="_Toc513029219"/>
      <w:r/>
      <w:bookmarkStart w:id="67" w:name="_Hlt26954838"/>
      <w:r/>
      <w:bookmarkStart w:id="68" w:name="_Hlt26670360"/>
      <w:r/>
      <w:bookmarkStart w:id="69" w:name="_Hlt26668975"/>
      <w:r>
        <w:rPr>
          <w:rFonts w:ascii="宋体" w:hAnsi="宋体"/>
          <w:color w:val="auto"/>
          <w:sz w:val="24"/>
          <w:szCs w:val="20"/>
          <w:highlight w:val="none"/>
        </w:rPr>
        <w:t xml:space="preserve">11、证明磋商响应标的符合磋商文件规定的文件</w:t>
      </w:r>
      <w:bookmarkEnd w:id="59"/>
      <w:r/>
      <w:bookmarkEnd w:id="60"/>
      <w:r/>
      <w:bookmarkEnd w:id="61"/>
      <w:r/>
      <w:bookmarkEnd w:id="62"/>
      <w:r/>
      <w:bookmarkEnd w:id="63"/>
      <w:r/>
      <w:bookmarkEnd w:id="64"/>
      <w:r/>
      <w:bookmarkEnd w:id="65"/>
      <w:r/>
      <w:bookmarkEnd w:id="66"/>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11.1供应商应按照磋商文件要求提交证明文件，证明其及磋商响应标的符合磋商文件规定。</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11.2磋商文件对证明文件无明确形式要求的，证明文件可以以文字资料、图纸和数据等形式提交。</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12、分项报价表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12.1供应商应按照磋商文件规定格式填报分项报价表。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12.2磋商货币。响应文件中的单价和总价无特殊规定的采用人民币报价，以元为单位标注。磋商文件中另有规定的按规定执行。</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12.3投标报价高于预算金额及最高限价的作无效标论处。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12.4供应商应根据自己的实力和条件报价，投标报价应是磋商文件所确定招标范围内全部工作内容的价格体现，报价包括施工全部工作所需的材料费、人工费、机械费、办公费、措施费、交通费、招标代理费、税收等一切费用，除中标价外，采购人不再支付其他任何费用。对供应商认为未考虑到的费用项目采购人将不予支付，并认为此项费用已包含在投标报价中不可预见费等一切费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w:t>
      </w:r>
      <w:r>
        <w:rPr>
          <w:rFonts w:hint="eastAsia" w:ascii="宋体" w:hAnsi="宋体"/>
          <w:color w:val="auto"/>
          <w:sz w:val="24"/>
          <w:szCs w:val="20"/>
          <w:highlight w:val="none"/>
        </w:rPr>
        <w:t xml:space="preserve">5供应商自行组织、自费前往现场勘察。如需帮助，可向采购人提出。供应商应对项目现场和其周围环境进行踏勘，以便在投标前获取有关编制响应文件和签署实施的施工图设计审核咨询服务合同所需的各项资料。供应商应承担现场考察的责任、风险和费用。现场考察过程中，供应商如发生人身伤亡、财产或其他损失，不论何种原因造成，采购人概不负责。</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12.6招标代理服务费：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经研究决定如中标人响应成交，领取中标通知书并签订合同后向采购代理机构交纳招标代理服务费，本项目招标代理服务费按按照苏招协[2022]002号文的收费标准*80%收取（通过数字人民币方式交款），该费用由中标单位在领取中标通知书并签订合同后一次性支付，此项费用含在投标报价中，不单独列项，由投标单位在报价时综合考虑。</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12</w:t>
      </w:r>
      <w:r>
        <w:rPr>
          <w:rFonts w:ascii="宋体" w:hAnsi="宋体"/>
          <w:color w:val="auto"/>
          <w:sz w:val="24"/>
          <w:szCs w:val="20"/>
          <w:highlight w:val="none"/>
        </w:rPr>
        <w:t xml:space="preserve">.</w:t>
      </w:r>
      <w:r>
        <w:rPr>
          <w:rFonts w:hint="eastAsia" w:ascii="宋体" w:hAnsi="宋体"/>
          <w:color w:val="auto"/>
          <w:sz w:val="24"/>
          <w:szCs w:val="20"/>
          <w:highlight w:val="none"/>
        </w:rPr>
        <w:t xml:space="preserve">7供应商应在磋商文件所附的投标报价表上写明投标服务的单价和投标总价。如果单价与数量的乘积与总价不一致时，以单价为准。若单价金额的小数点有明显错误的，应以总价为准，并修改单价。供应商只允许有一个报价，采购人不接受有任何选择的报价。除合同另有约定，供应商投标报价表上所标明的价格均为履约的固定价格，不得以任何理由予以变更。</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12.8供应商在响应文件中应按照本磋商文件所附的投标报价单样式进行报价，并计算总价。报价表必须由法定代表人或委托代理人签署。</w:t>
      </w:r>
      <w:r/>
    </w:p>
    <w:p>
      <w:pPr>
        <w:ind w:firstLine="475"/>
        <w:jc w:val="left"/>
        <w:spacing w:line="480" w:lineRule="exact"/>
        <w:widowControl/>
        <w:rPr>
          <w:rFonts w:hint="eastAsia" w:ascii="宋体" w:hAnsi="宋体"/>
          <w:color w:val="auto"/>
          <w:sz w:val="24"/>
          <w:szCs w:val="20"/>
          <w:highlight w:val="none"/>
        </w:rPr>
      </w:pPr>
      <w:r/>
      <w:bookmarkStart w:id="70" w:name="_Hlt26954731"/>
      <w:r/>
      <w:bookmarkStart w:id="71" w:name="_Hlt26954846"/>
      <w:r/>
      <w:bookmarkStart w:id="72" w:name="_Hlt26670482"/>
      <w:r/>
      <w:bookmarkStart w:id="73" w:name="_Hlt26954848"/>
      <w:r/>
      <w:bookmarkStart w:id="74" w:name="_Hlt26670486"/>
      <w:r>
        <w:rPr>
          <w:rFonts w:ascii="宋体" w:hAnsi="宋体"/>
          <w:color w:val="auto"/>
          <w:sz w:val="24"/>
          <w:szCs w:val="20"/>
          <w:highlight w:val="none"/>
        </w:rPr>
        <w:t xml:space="preserve">13、技术要求响应及偏离表、商务要求响应及偏离表</w:t>
      </w:r>
      <w:r>
        <w:rPr>
          <w:rFonts w:hint="eastAsia" w:ascii="宋体" w:hAnsi="宋体"/>
          <w:color w:val="auto"/>
          <w:sz w:val="24"/>
          <w:szCs w:val="20"/>
          <w:highlight w:val="none"/>
        </w:rPr>
        <w:t xml:space="preserve">（如有）。</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13.1供应商需对磋商文件中的技术要求与商务要求逐项作出响应或偏离，并说明原因。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13.2供应商可在响应文件中提供认为需要的其他技术文件或说明。</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14、服务承诺、培训计划、人员安排及其他</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14.1供应商需根据磋商文件要求提供有关售后服务的管理制度，售后服务机构的分布情况，售后服务人员的数量、素质、技术水平及售后服务的反应能力等。</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14.2供应商需根据磋商文件要求提供培训计划。</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14.3供应商需根据磋商文件要求提供磋商响应标的的主要组成部分、功能设计、实现思路及关键技术等。</w:t>
      </w:r>
      <w:r/>
    </w:p>
    <w:p>
      <w:pPr>
        <w:ind w:firstLine="475"/>
        <w:jc w:val="left"/>
        <w:spacing w:line="480" w:lineRule="exact"/>
        <w:widowControl/>
        <w:rPr>
          <w:rFonts w:hint="eastAsia" w:ascii="宋体" w:hAnsi="宋体"/>
          <w:color w:val="auto"/>
          <w:sz w:val="24"/>
          <w:szCs w:val="20"/>
          <w:highlight w:val="none"/>
        </w:rPr>
      </w:pPr>
      <w:r/>
      <w:bookmarkStart w:id="75" w:name="_Toc14577359"/>
      <w:r/>
      <w:bookmarkStart w:id="76" w:name="_Toc49090510"/>
      <w:r>
        <w:rPr>
          <w:rFonts w:ascii="宋体" w:hAnsi="宋体"/>
          <w:color w:val="auto"/>
          <w:sz w:val="24"/>
          <w:szCs w:val="20"/>
          <w:highlight w:val="none"/>
        </w:rPr>
        <w:t xml:space="preserve">15、磋商响应函</w:t>
      </w:r>
      <w:bookmarkEnd w:id="75"/>
      <w:r/>
      <w:bookmarkEnd w:id="76"/>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15.1供应商应按照磋商文件中提供的格式完整、正确填写磋商响应函。</w:t>
      </w:r>
      <w:r/>
    </w:p>
    <w:p>
      <w:pPr>
        <w:ind w:firstLine="475"/>
        <w:jc w:val="left"/>
        <w:spacing w:line="480" w:lineRule="exact"/>
        <w:widowControl/>
        <w:rPr>
          <w:rFonts w:hint="eastAsia" w:ascii="宋体" w:hAnsi="宋体"/>
          <w:color w:val="auto"/>
          <w:sz w:val="24"/>
          <w:szCs w:val="20"/>
          <w:highlight w:val="none"/>
        </w:rPr>
      </w:pPr>
      <w:r/>
      <w:bookmarkStart w:id="77" w:name="_Toc14577360"/>
      <w:r/>
      <w:bookmarkStart w:id="78" w:name="_Toc49090511"/>
      <w:r>
        <w:rPr>
          <w:rFonts w:ascii="宋体" w:hAnsi="宋体"/>
          <w:color w:val="auto"/>
          <w:sz w:val="24"/>
          <w:szCs w:val="20"/>
          <w:highlight w:val="none"/>
        </w:rPr>
        <w:t xml:space="preserve">16、磋商有效期</w:t>
      </w:r>
      <w:bookmarkEnd w:id="77"/>
      <w:r/>
      <w:bookmarkEnd w:id="78"/>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16.1磋商有效期为招标代理规定的提交响应文件截止之日后</w:t>
      </w:r>
      <w:r>
        <w:rPr>
          <w:rFonts w:ascii="宋体" w:hAnsi="宋体"/>
          <w:color w:val="auto"/>
          <w:sz w:val="24"/>
          <w:szCs w:val="20"/>
          <w:highlight w:val="none"/>
        </w:rPr>
        <w:t xml:space="preserve">六十（60）天</w:t>
      </w:r>
      <w:r>
        <w:rPr>
          <w:rFonts w:hint="eastAsia" w:ascii="宋体" w:hAnsi="宋体"/>
          <w:color w:val="auto"/>
          <w:sz w:val="24"/>
          <w:szCs w:val="20"/>
          <w:highlight w:val="none"/>
        </w:rPr>
        <w:t xml:space="preserve">。磋商有效期比规定短的将被视为非实质性响应磋商文件而予以拒绝。</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17、磋商有效期的延长</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17.1在特殊情况下，招标代理于原磋商有效期满之前，可向供应商提出延长磋商有效期的要求。这种要求与答复均应采用书面形式。供应商可以拒绝招标代理的这一要求而放弃磋商，同意延长磋商有效期的供应商既不能要求也不允许修改其响应文件。受磋商有效期约束的所有权利与义务均延长至新的有效期。</w:t>
      </w:r>
      <w:r/>
    </w:p>
    <w:p>
      <w:pPr>
        <w:ind w:firstLine="475"/>
        <w:jc w:val="left"/>
        <w:spacing w:line="480" w:lineRule="exact"/>
        <w:widowControl/>
        <w:rPr>
          <w:rFonts w:hint="eastAsia" w:ascii="宋体" w:hAnsi="宋体"/>
          <w:color w:val="auto"/>
          <w:sz w:val="24"/>
          <w:szCs w:val="20"/>
          <w:highlight w:val="none"/>
        </w:rPr>
      </w:pPr>
      <w:r/>
      <w:bookmarkStart w:id="79" w:name="_Toc16938540"/>
      <w:r/>
      <w:bookmarkStart w:id="80" w:name="_Toc120614217"/>
      <w:r/>
      <w:bookmarkStart w:id="81" w:name="_Toc20823296"/>
      <w:r/>
      <w:bookmarkStart w:id="82" w:name="_Toc513029224"/>
      <w:r/>
      <w:bookmarkStart w:id="83" w:name="_Hlt26954852"/>
      <w:r/>
      <w:bookmarkStart w:id="84" w:name="_Hlt26954739"/>
      <w:r>
        <w:rPr>
          <w:rFonts w:ascii="宋体" w:hAnsi="宋体"/>
          <w:color w:val="auto"/>
          <w:sz w:val="24"/>
          <w:szCs w:val="20"/>
          <w:highlight w:val="none"/>
        </w:rPr>
        <w:t xml:space="preserve">四、响应文件的递交</w:t>
      </w:r>
      <w:bookmarkEnd w:id="79"/>
      <w:r/>
      <w:bookmarkEnd w:id="80"/>
      <w:r/>
      <w:bookmarkEnd w:id="81"/>
      <w:r/>
      <w:bookmarkEnd w:id="82"/>
      <w:r/>
      <w:r/>
    </w:p>
    <w:p>
      <w:pPr>
        <w:ind w:firstLine="475"/>
        <w:jc w:val="left"/>
        <w:spacing w:line="480" w:lineRule="exact"/>
        <w:widowControl/>
        <w:rPr>
          <w:rFonts w:hint="eastAsia" w:ascii="宋体" w:hAnsi="宋体"/>
          <w:color w:val="auto"/>
          <w:sz w:val="24"/>
          <w:szCs w:val="20"/>
          <w:highlight w:val="none"/>
        </w:rPr>
      </w:pPr>
      <w:r/>
      <w:bookmarkStart w:id="85" w:name="_Toc513029225"/>
      <w:r/>
      <w:bookmarkStart w:id="86" w:name="_Toc16938541"/>
      <w:r/>
      <w:bookmarkStart w:id="87" w:name="_Toc462564084"/>
      <w:r/>
      <w:bookmarkStart w:id="88" w:name="_Toc20823297"/>
      <w:r>
        <w:rPr>
          <w:rFonts w:ascii="宋体" w:hAnsi="宋体"/>
          <w:color w:val="auto"/>
          <w:sz w:val="24"/>
          <w:szCs w:val="20"/>
          <w:highlight w:val="none"/>
        </w:rPr>
        <w:t xml:space="preserve">18、电子</w:t>
      </w:r>
      <w:r>
        <w:rPr>
          <w:rFonts w:hint="eastAsia" w:ascii="宋体" w:hAnsi="宋体"/>
          <w:color w:val="auto"/>
          <w:sz w:val="24"/>
          <w:szCs w:val="20"/>
          <w:highlight w:val="none"/>
        </w:rPr>
        <w:t xml:space="preserve">磋商</w:t>
      </w:r>
      <w:bookmarkEnd w:id="85"/>
      <w:r/>
      <w:bookmarkEnd w:id="86"/>
      <w:r/>
      <w:bookmarkEnd w:id="87"/>
      <w:r/>
      <w:bookmarkEnd w:id="88"/>
      <w:r>
        <w:rPr>
          <w:rFonts w:hint="eastAsia" w:ascii="宋体" w:hAnsi="宋体"/>
          <w:color w:val="auto"/>
          <w:sz w:val="24"/>
          <w:szCs w:val="20"/>
          <w:highlight w:val="none"/>
        </w:rPr>
        <w:t xml:space="preserve">响应文件的递交</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18.1供应商应当按照《操作手册》规定，在提交响应文件截止时间前制作并上传电子响应文件。</w:t>
      </w:r>
      <w:bookmarkStart w:id="89" w:name="_Toc16938542"/>
      <w:r/>
      <w:bookmarkEnd w:id="89"/>
      <w:r/>
      <w:bookmarkStart w:id="90" w:name="_Toc20823298"/>
      <w:r/>
      <w:bookmarkEnd w:id="90"/>
      <w:r/>
      <w:bookmarkStart w:id="91" w:name="_Toc513029226"/>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19、提交响应文件截止时间</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ind w:firstLine="475"/>
        <w:jc w:val="left"/>
        <w:spacing w:line="480" w:lineRule="exact"/>
        <w:widowControl/>
        <w:rPr>
          <w:rFonts w:hint="eastAsia" w:ascii="宋体" w:hAnsi="宋体"/>
          <w:color w:val="auto"/>
          <w:sz w:val="24"/>
          <w:szCs w:val="20"/>
          <w:highlight w:val="none"/>
        </w:rPr>
      </w:pPr>
      <w:r/>
      <w:bookmarkStart w:id="92" w:name="_Toc513029227"/>
      <w:r/>
      <w:bookmarkStart w:id="93" w:name="_Toc16938543"/>
      <w:r/>
      <w:bookmarkStart w:id="94" w:name="_Toc20823299"/>
      <w:r>
        <w:rPr>
          <w:rFonts w:ascii="宋体" w:hAnsi="宋体"/>
          <w:color w:val="auto"/>
          <w:sz w:val="24"/>
          <w:szCs w:val="20"/>
          <w:highlight w:val="none"/>
        </w:rPr>
        <w:t xml:space="preserve">20、响应文件</w:t>
      </w:r>
      <w:bookmarkEnd w:id="92"/>
      <w:r/>
      <w:bookmarkEnd w:id="93"/>
      <w:r/>
      <w:bookmarkEnd w:id="94"/>
      <w:r>
        <w:rPr>
          <w:rFonts w:ascii="宋体" w:hAnsi="宋体"/>
          <w:color w:val="auto"/>
          <w:sz w:val="24"/>
          <w:szCs w:val="20"/>
          <w:highlight w:val="none"/>
        </w:rPr>
        <w:t xml:space="preserve">的拒收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20.1 招标代理拒绝接收在其规定的提交响应文件截止时间后上传的任何电子响应文件。</w:t>
      </w:r>
      <w:r/>
    </w:p>
    <w:p>
      <w:pPr>
        <w:ind w:firstLine="475"/>
        <w:jc w:val="left"/>
        <w:spacing w:line="480" w:lineRule="exact"/>
        <w:widowControl/>
        <w:rPr>
          <w:rFonts w:hint="eastAsia" w:ascii="宋体" w:hAnsi="宋体"/>
          <w:color w:val="auto"/>
          <w:sz w:val="24"/>
          <w:szCs w:val="20"/>
          <w:highlight w:val="none"/>
        </w:rPr>
      </w:pPr>
      <w:r/>
      <w:bookmarkStart w:id="95" w:name="_Toc20823300"/>
      <w:r/>
      <w:bookmarkStart w:id="96" w:name="_Toc513029228"/>
      <w:r/>
      <w:bookmarkStart w:id="97" w:name="_Toc16938544"/>
      <w:r>
        <w:rPr>
          <w:rFonts w:ascii="宋体" w:hAnsi="宋体"/>
          <w:color w:val="auto"/>
          <w:sz w:val="24"/>
          <w:szCs w:val="20"/>
          <w:highlight w:val="none"/>
        </w:rPr>
        <w:t xml:space="preserve">21、响应文件的撤回和修改</w:t>
      </w:r>
      <w:bookmarkEnd w:id="95"/>
      <w:r/>
      <w:bookmarkEnd w:id="96"/>
      <w:r/>
      <w:bookmarkEnd w:id="97"/>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21.1响应文件的撤回</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21.1.1 电子响应文件的撤回</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供应商可在提交响应文件截止时间前，撤回其电子响应文件，具体操作方法见《操作手册》。</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21.1.2供应商撤回电子响应文件，则认为其不再参与本项目磋商活动。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21.2响应文件的修改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供应商可在提交响应文件截止时间前，对其电子响应文件进行修改，具体操作方法见《操作手册》。</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21.3 在提交响应文件截止时间之后，供应商不得对其电子响应文件作任何修改。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21.4 在提交响应文件截止时间至磋商文件中规定的磋商有效期满之间的这段时间内，供应商不得撤回其响应文件。</w:t>
      </w:r>
      <w:r/>
    </w:p>
    <w:p>
      <w:pPr>
        <w:ind w:firstLine="475"/>
        <w:jc w:val="left"/>
        <w:spacing w:line="480" w:lineRule="exact"/>
        <w:widowControl/>
        <w:rPr>
          <w:rFonts w:hint="eastAsia" w:ascii="宋体" w:hAnsi="宋体"/>
          <w:color w:val="auto"/>
          <w:sz w:val="24"/>
          <w:szCs w:val="20"/>
          <w:highlight w:val="none"/>
        </w:rPr>
      </w:pPr>
      <w:r/>
      <w:bookmarkStart w:id="98" w:name="_Toc513029229"/>
      <w:r/>
      <w:bookmarkStart w:id="99" w:name="_Toc16938545"/>
      <w:r/>
      <w:bookmarkStart w:id="100" w:name="_Toc20823301"/>
      <w:r/>
      <w:bookmarkStart w:id="101" w:name="_Toc120614218"/>
      <w:r>
        <w:rPr>
          <w:rFonts w:ascii="宋体" w:hAnsi="宋体"/>
          <w:color w:val="auto"/>
          <w:sz w:val="24"/>
          <w:szCs w:val="20"/>
          <w:highlight w:val="none"/>
        </w:rPr>
        <w:t xml:space="preserve">五、响应文件的解密与评审</w:t>
      </w:r>
      <w:bookmarkEnd w:id="98"/>
      <w:r/>
      <w:bookmarkEnd w:id="99"/>
      <w:r/>
      <w:bookmarkEnd w:id="100"/>
      <w:r/>
      <w:bookmarkEnd w:id="101"/>
      <w:r/>
      <w:r/>
    </w:p>
    <w:p>
      <w:pPr>
        <w:ind w:firstLine="475"/>
        <w:jc w:val="left"/>
        <w:spacing w:line="480" w:lineRule="exact"/>
        <w:widowControl/>
        <w:rPr>
          <w:rFonts w:hint="eastAsia" w:ascii="宋体" w:hAnsi="宋体"/>
          <w:color w:val="auto"/>
          <w:sz w:val="24"/>
          <w:szCs w:val="20"/>
          <w:highlight w:val="none"/>
        </w:rPr>
      </w:pPr>
      <w:r/>
      <w:bookmarkStart w:id="102" w:name="_Toc513029230"/>
      <w:r/>
      <w:bookmarkStart w:id="103" w:name="_Toc16938546"/>
      <w:r/>
      <w:bookmarkStart w:id="104" w:name="_Toc20823302"/>
      <w:r>
        <w:rPr>
          <w:rFonts w:ascii="宋体" w:hAnsi="宋体"/>
          <w:color w:val="auto"/>
          <w:sz w:val="24"/>
          <w:szCs w:val="20"/>
          <w:highlight w:val="none"/>
        </w:rPr>
        <w:t xml:space="preserve">22、</w:t>
      </w:r>
      <w:bookmarkEnd w:id="102"/>
      <w:r/>
      <w:bookmarkEnd w:id="103"/>
      <w:r/>
      <w:bookmarkEnd w:id="104"/>
      <w:r>
        <w:rPr>
          <w:rFonts w:ascii="宋体" w:hAnsi="宋体"/>
          <w:color w:val="auto"/>
          <w:sz w:val="24"/>
          <w:szCs w:val="20"/>
          <w:highlight w:val="none"/>
        </w:rPr>
        <w:t xml:space="preserve">响应文件解密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22.1供应商应当按照《操作手册》规定，在苏采云系统规定的时间内对磋商响应文件进行解密。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22.2</w:t>
      </w:r>
      <w:r>
        <w:rPr>
          <w:rFonts w:hint="eastAsia" w:ascii="宋体" w:hAnsi="宋体"/>
          <w:color w:val="auto"/>
          <w:spacing w:val="-4"/>
          <w:sz w:val="24"/>
          <w:szCs w:val="20"/>
          <w:highlight w:val="none"/>
        </w:rPr>
        <w:t xml:space="preserve">参与磋商的供应商需按本竞争性磋商文件要求的截止时间、方式（地点）提交响应文件，同时由法人或法人授权代表通过“苏采云”系统（开标大厅）等待磋商</w:t>
      </w:r>
      <w:r>
        <w:rPr>
          <w:rFonts w:hint="eastAsia"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22.3供应商可通过CA数字证书，在首次响应文件开启时间后，使用CA数字证书在规定时间内解密各自响应文件。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22.4供应商的授权代表或法定代表人须全程守候在“苏采云”系统开标大厅，并确保视频设备正常使用。授权代表或法定代表人须携带授权委托书原件及身份证原件，经磋商小组核查后参与磋商活动。</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22.5</w:t>
      </w:r>
      <w:r>
        <w:rPr>
          <w:rFonts w:hint="eastAsia" w:ascii="宋体" w:hAnsi="宋体"/>
          <w:color w:val="auto"/>
          <w:spacing w:val="-4"/>
          <w:sz w:val="24"/>
          <w:szCs w:val="20"/>
          <w:highlight w:val="none"/>
        </w:rPr>
        <w:t xml:space="preserve">磋商顺序按照电子标书解密先后时间进行，解密时间相同的，不分先后顺序</w:t>
      </w:r>
      <w:r>
        <w:rPr>
          <w:rFonts w:hint="eastAsia" w:ascii="宋体" w:hAnsi="宋体"/>
          <w:color w:val="auto"/>
          <w:sz w:val="24"/>
          <w:szCs w:val="20"/>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75"/>
        <w:jc w:val="left"/>
        <w:spacing w:line="480" w:lineRule="exact"/>
        <w:widowControl/>
        <w:rPr>
          <w:rFonts w:hint="eastAsia" w:ascii="宋体" w:hAnsi="宋体"/>
          <w:color w:val="auto"/>
          <w:sz w:val="24"/>
          <w:szCs w:val="20"/>
          <w:highlight w:val="none"/>
        </w:rPr>
      </w:pPr>
      <w:r/>
      <w:bookmarkStart w:id="105" w:name="_Toc513029231"/>
      <w:r/>
      <w:bookmarkStart w:id="106" w:name="_Toc20823303"/>
      <w:r/>
      <w:bookmarkStart w:id="107" w:name="_Toc16938547"/>
      <w:r>
        <w:rPr>
          <w:rFonts w:ascii="宋体" w:hAnsi="宋体"/>
          <w:color w:val="auto"/>
          <w:sz w:val="24"/>
          <w:szCs w:val="20"/>
          <w:highlight w:val="none"/>
        </w:rPr>
        <w:t xml:space="preserve">23、磋商小组</w:t>
      </w:r>
      <w:bookmarkEnd w:id="105"/>
      <w:r/>
      <w:bookmarkEnd w:id="106"/>
      <w:r/>
      <w:bookmarkEnd w:id="107"/>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23.1招标代理将组织磋商小组对响应文件进行评审。磋商小组由采购人代表和有关技术、经济等方面的专家组成，且人员构成符合政府采购有关规定。</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23.2磋商小组独立工作，负责评审所有响应文件并确定成交候选人。</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24、评审过程的保密与公正</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24.1磋商小组、采购人和招标代理工作人员、相关监督人员等与评审工作有关的人员，对评审情况以及在评审过程中获悉的国家秘密、商业秘密负有保密责任。</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24.2在评审过程中，供应商不得以任何行为影响磋商评审过程，否则其响应文件将被作为无效响应文件。</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24.3在项目评审期间，招标代理将设专门人员与供应商联系。</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24.4 招标代理和磋商小组不向未成交的供应商解释未成交原因，也不公布评审过程中的相关细节。</w:t>
      </w:r>
      <w:bookmarkStart w:id="108" w:name="_Toc16938548"/>
      <w:r/>
      <w:bookmarkStart w:id="109" w:name="_Toc513029232"/>
      <w:r/>
      <w:bookmarkStart w:id="110" w:name="_Toc20823304"/>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24.6磋商小组要求供应商澄清、说明或者更正响应文件应当以书面形式作出。供应商的澄清、说明或者更正应当由法定代表人或其授权代表签字或者加盖公章。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24.7磋商小组所有成员应当集中与单一供应商分别进行磋商，并给予所有参加磋商的供应商平等的磋商机会。</w:t>
      </w:r>
      <w:r/>
    </w:p>
    <w:p>
      <w:pPr>
        <w:ind w:firstLine="475"/>
        <w:jc w:val="both"/>
        <w:spacing w:line="480" w:lineRule="exact"/>
        <w:widowControl/>
        <w:rPr>
          <w:rFonts w:hint="eastAsia" w:ascii="宋体" w:hAnsi="宋体"/>
          <w:b/>
          <w:bCs/>
          <w:color w:val="auto"/>
          <w:sz w:val="24"/>
          <w:szCs w:val="20"/>
          <w:highlight w:val="none"/>
        </w:rPr>
      </w:pPr>
      <w:r>
        <w:rPr>
          <w:rFonts w:hint="eastAsia" w:ascii="宋体" w:hAnsi="宋体"/>
          <w:b/>
          <w:bCs/>
          <w:color w:val="auto"/>
          <w:sz w:val="24"/>
          <w:szCs w:val="20"/>
          <w:highlight w:val="none"/>
        </w:rPr>
        <w:t xml:space="preserve">24.8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得少于3家。</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二轮报价报总价，最终综合单价根据一轮报价的投标单价，计算出下浮率同比例下浮，综合单价计算公式如下：（二轮总价/一轮总价）*一轮综合单价。</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24.9</w:t>
      </w:r>
      <w:r>
        <w:rPr>
          <w:rFonts w:hint="eastAsia" w:ascii="宋体" w:hAnsi="宋体"/>
          <w:color w:val="auto"/>
          <w:spacing w:val="-4"/>
          <w:sz w:val="24"/>
          <w:szCs w:val="20"/>
          <w:highlight w:val="none"/>
        </w:rPr>
        <w:t xml:space="preserve">已提交响应文件的供应商，在提交最后报价之前可以根据磋商情况退出磋商</w:t>
      </w:r>
      <w:r>
        <w:rPr>
          <w:rFonts w:hint="eastAsia"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24.10经磋商确定最终采购需求和提交最后报价的供应商后，由磋商小组采用综合评分法对提交最后报价的供应商的响应文件和最后报价进行综合评分。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24.11未在规定时间内进行答疑澄清的，视同放弃澄清。</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24.12参与磋商的供应商如未按上述磋商要求执行，视同放弃磋商的权利。磋商小组所有成员应集中与实质性响应磋商文件的单一供应商分别进行磋商，并给予所有参加磋商的供应商平等的磋商机会。</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24.13在磋商过程中，磋商小组可以根据磋商文件和磋商情况变动采购需求中的技术、服务要求以及合同草案条款，但不得变动磋商文件中的其他内容；</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24.14磋商小组实质性变动采购需求中的技术、服务要求以及合同草案条款的，应以书面形式记录具体变动内容并经采购人代表签字确认后及时以邮件形式同时通知所有参加磋商的供应商；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24.15评审方法和标准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24.15.1评审方法：由磋商小组采用综合评分法对提交最后报价的供应商的响应文件和最后报价进行综合评分；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w:t>
      </w:r>
      <w:r>
        <w:rPr>
          <w:rFonts w:hint="eastAsia" w:ascii="宋体" w:hAnsi="宋体"/>
          <w:color w:val="auto"/>
          <w:sz w:val="24"/>
          <w:szCs w:val="20"/>
          <w:highlight w:val="none"/>
        </w:rPr>
        <w:t xml:space="preserve">15</w:t>
      </w:r>
      <w:r>
        <w:rPr>
          <w:rFonts w:ascii="宋体" w:hAnsi="宋体"/>
          <w:color w:val="auto"/>
          <w:sz w:val="24"/>
          <w:szCs w:val="20"/>
          <w:highlight w:val="none"/>
        </w:rPr>
        <w:t xml:space="preserve">.</w:t>
      </w:r>
      <w:r>
        <w:rPr>
          <w:rFonts w:hint="eastAsia" w:ascii="宋体" w:hAnsi="宋体"/>
          <w:color w:val="auto"/>
          <w:sz w:val="24"/>
          <w:szCs w:val="20"/>
          <w:highlight w:val="none"/>
        </w:rPr>
        <w:t xml:space="preserve">3评审标准见本磋商文件第五部分中的详细要求。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w:t>
      </w:r>
      <w:r>
        <w:rPr>
          <w:rFonts w:hint="eastAsia" w:ascii="宋体" w:hAnsi="宋体"/>
          <w:color w:val="auto"/>
          <w:sz w:val="24"/>
          <w:szCs w:val="20"/>
          <w:highlight w:val="none"/>
        </w:rPr>
        <w:t xml:space="preserve">16如磋商过程中出现本磋商文件未尽事宜，由磋商小组根据有关法律、法规讨论决定。</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24</w:t>
      </w:r>
      <w:r>
        <w:rPr>
          <w:rFonts w:ascii="宋体" w:hAnsi="宋体"/>
          <w:color w:val="auto"/>
          <w:sz w:val="24"/>
          <w:szCs w:val="20"/>
          <w:highlight w:val="none"/>
        </w:rPr>
        <w:t xml:space="preserve">.17</w:t>
      </w:r>
      <w:r>
        <w:rPr>
          <w:rFonts w:hint="eastAsia" w:ascii="宋体" w:hAnsi="宋体"/>
          <w:color w:val="auto"/>
          <w:sz w:val="24"/>
          <w:szCs w:val="20"/>
          <w:highlight w:val="none"/>
        </w:rPr>
        <w:t xml:space="preserve">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25、评审过程中的澄清</w:t>
      </w:r>
      <w:bookmarkEnd w:id="108"/>
      <w:r/>
      <w:bookmarkEnd w:id="109"/>
      <w:r/>
      <w:bookmarkEnd w:id="110"/>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25.3 接到磋商小组澄清、说明和更正要求的供应商如未按规定做出澄清、说明和 更正，其风险由供应商自行承担。</w:t>
      </w:r>
      <w:r/>
    </w:p>
    <w:p>
      <w:pPr>
        <w:ind w:firstLine="475"/>
        <w:jc w:val="left"/>
        <w:spacing w:line="480" w:lineRule="exact"/>
        <w:widowControl/>
        <w:rPr>
          <w:rFonts w:hint="eastAsia" w:ascii="宋体" w:hAnsi="宋体"/>
          <w:color w:val="auto"/>
          <w:sz w:val="24"/>
          <w:szCs w:val="20"/>
          <w:highlight w:val="none"/>
        </w:rPr>
      </w:pPr>
      <w:r/>
      <w:bookmarkStart w:id="111" w:name="_Toc16938549"/>
      <w:r/>
      <w:bookmarkStart w:id="112" w:name="_Toc20823305"/>
      <w:r/>
      <w:bookmarkStart w:id="113" w:name="_Toc513029233"/>
      <w:r>
        <w:rPr>
          <w:rFonts w:ascii="宋体" w:hAnsi="宋体"/>
          <w:color w:val="auto"/>
          <w:sz w:val="24"/>
          <w:szCs w:val="20"/>
          <w:highlight w:val="none"/>
        </w:rPr>
        <w:t xml:space="preserve">26、对响应文件的审</w:t>
      </w:r>
      <w:bookmarkEnd w:id="111"/>
      <w:r/>
      <w:bookmarkEnd w:id="112"/>
      <w:r/>
      <w:bookmarkEnd w:id="113"/>
      <w:r>
        <w:rPr>
          <w:rFonts w:ascii="宋体" w:hAnsi="宋体"/>
          <w:color w:val="auto"/>
          <w:sz w:val="24"/>
          <w:szCs w:val="20"/>
          <w:highlight w:val="none"/>
        </w:rPr>
        <w:t xml:space="preserve">查</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26.1响应文件审查分为资格审查和符合性审查。</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26.1.2符合性审查：</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依据磋商文件的规定，由磋商小组从响应文件的有效性、完整性和对磋商文件的响应程度进行审查，以确定是否对磋商文件的实质性要求作出响应。</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26.3未实质性响应磋商文件的情形详见27.2.2.4</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26.4未实质性响应磋商文件的响应文件按无效响应处理。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26.5如果响应文件实质上没有响应磋商文件的要求，磋商小组将予以拒绝，供应商不得通过修改或撤销不合要求的偏离或保留而使其成为实质性响应的文件。</w:t>
      </w:r>
      <w:r/>
    </w:p>
    <w:p>
      <w:pPr>
        <w:ind w:firstLine="475"/>
        <w:jc w:val="left"/>
        <w:spacing w:line="480" w:lineRule="exact"/>
        <w:widowControl/>
        <w:rPr>
          <w:rFonts w:hint="eastAsia" w:ascii="宋体" w:hAnsi="宋体"/>
          <w:color w:val="auto"/>
          <w:sz w:val="24"/>
          <w:szCs w:val="20"/>
          <w:highlight w:val="none"/>
        </w:rPr>
      </w:pPr>
      <w:r/>
      <w:bookmarkStart w:id="114" w:name="_Toc16938550"/>
      <w:r/>
      <w:bookmarkStart w:id="115" w:name="_Toc513029234"/>
      <w:r/>
      <w:bookmarkStart w:id="116" w:name="_Toc20823306"/>
      <w:r>
        <w:rPr>
          <w:rFonts w:hint="eastAsia" w:ascii="宋体" w:hAnsi="宋体"/>
          <w:color w:val="auto"/>
          <w:sz w:val="24"/>
          <w:szCs w:val="20"/>
          <w:highlight w:val="none"/>
        </w:rPr>
        <w:t xml:space="preserve">26.6供应商在项目评审全过程中应保持通讯畅通，并安排专人与招标代理及磋商小组联系。</w:t>
      </w:r>
      <w:bookmarkEnd w:id="114"/>
      <w:r/>
      <w:bookmarkEnd w:id="115"/>
      <w:r/>
      <w:bookmarkEnd w:id="116"/>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27、磋商程序及评审方法和评审标准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27.1磋商程序</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 评审方法和评审标准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27.2.1评审方法。</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经磋商确定最终采购需求和提交最后报价的供应商后，由磋商小组采用综合评分法对提交最后报价的供应商的响应文件和最后报价进行综合评分。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27.2.2评审标准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27.2.2.1</w:t>
      </w:r>
      <w:r>
        <w:rPr>
          <w:rFonts w:ascii="宋体" w:hAnsi="宋体"/>
          <w:color w:val="auto"/>
          <w:sz w:val="24"/>
          <w:szCs w:val="20"/>
          <w:highlight w:val="none"/>
        </w:rPr>
        <w:t xml:space="preserve">响应文件的审查</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27.2.2.1</w:t>
      </w:r>
      <w:r>
        <w:rPr>
          <w:rFonts w:ascii="宋体" w:hAnsi="宋体"/>
          <w:color w:val="auto"/>
          <w:sz w:val="24"/>
          <w:szCs w:val="20"/>
          <w:highlight w:val="none"/>
        </w:rPr>
        <w:t xml:space="preserve">.1对所有投标人的评估，都采用相同的程序和标准。评标过程将严格按照</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的要求和条件进行</w:t>
      </w:r>
      <w:r>
        <w:rPr>
          <w:rFonts w:hint="eastAsia"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27.2.2.1</w:t>
      </w:r>
      <w:r>
        <w:rPr>
          <w:rFonts w:ascii="宋体" w:hAnsi="宋体"/>
          <w:color w:val="auto"/>
          <w:sz w:val="24"/>
          <w:szCs w:val="20"/>
          <w:highlight w:val="none"/>
        </w:rPr>
        <w:t xml:space="preserve">.2评标委员会将对响应文件进行检查，以确定响应文件是否完整、有无计算上的错误、文件是否已正确签署等。</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27.2.2.2</w:t>
      </w:r>
      <w:r>
        <w:rPr>
          <w:rFonts w:ascii="宋体" w:hAnsi="宋体"/>
          <w:color w:val="auto"/>
          <w:sz w:val="24"/>
          <w:szCs w:val="20"/>
          <w:highlight w:val="none"/>
        </w:rPr>
        <w:t xml:space="preserve">评标委员会将对确定为实质性响应的响应文件进行进一步评审，看其是否有计算上或累加上的算术错误，修正错误的原则如下：</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27.2.2.2</w:t>
      </w:r>
      <w:r>
        <w:rPr>
          <w:rFonts w:ascii="宋体" w:hAnsi="宋体"/>
          <w:color w:val="auto"/>
          <w:sz w:val="24"/>
          <w:szCs w:val="20"/>
          <w:highlight w:val="none"/>
        </w:rPr>
        <w:t xml:space="preserve">.1如果用数字表示的金额和用文字表示的金额不一致时，应以文字表示的金额为准进行修正；</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27.2.2.2</w:t>
      </w:r>
      <w:r>
        <w:rPr>
          <w:rFonts w:ascii="宋体" w:hAnsi="宋体"/>
          <w:color w:val="auto"/>
          <w:sz w:val="24"/>
          <w:szCs w:val="20"/>
          <w:highlight w:val="none"/>
        </w:rPr>
        <w:t xml:space="preserve">.2当单价与数量的乘积和总价不一致时，以单价为准进行修正。只有在评委会认为单价有明显的小数点错误时，才能以标出的总价为准，并修改单价；</w:t>
      </w:r>
      <w:r/>
    </w:p>
    <w:p>
      <w:pPr>
        <w:ind w:firstLine="475"/>
        <w:jc w:val="left"/>
        <w:spacing w:line="480" w:lineRule="exact"/>
        <w:widowControl/>
        <w:rPr>
          <w:rFonts w:hint="eastAsia" w:ascii="宋体" w:hAnsi="宋体"/>
          <w:color w:val="auto"/>
          <w:spacing w:val="6"/>
          <w:sz w:val="24"/>
          <w:szCs w:val="20"/>
          <w:highlight w:val="none"/>
        </w:rPr>
      </w:pPr>
      <w:r>
        <w:rPr>
          <w:rFonts w:hint="eastAsia" w:ascii="宋体" w:hAnsi="宋体"/>
          <w:color w:val="auto"/>
          <w:spacing w:val="6"/>
          <w:sz w:val="24"/>
          <w:szCs w:val="20"/>
          <w:highlight w:val="none"/>
        </w:rPr>
        <w:t xml:space="preserve">27.2.2.2</w:t>
      </w:r>
      <w:r>
        <w:rPr>
          <w:rFonts w:ascii="宋体" w:hAnsi="宋体"/>
          <w:color w:val="auto"/>
          <w:spacing w:val="6"/>
          <w:sz w:val="24"/>
          <w:szCs w:val="20"/>
          <w:highlight w:val="none"/>
        </w:rPr>
        <w:t xml:space="preserve">.3评标委员会将按上述修正错误的方法调整响应文件中的投标价，调整后的价格应对投标人具有约束力。如果投标人不接受修正后的价格，则其投标将被拒绝；</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27.2.2.2</w:t>
      </w:r>
      <w:r>
        <w:rPr>
          <w:rFonts w:ascii="宋体" w:hAnsi="宋体"/>
          <w:color w:val="auto"/>
          <w:sz w:val="24"/>
          <w:szCs w:val="20"/>
          <w:highlight w:val="none"/>
        </w:rPr>
        <w:t xml:space="preserve">.4评委会将允许修正响应文件中不构成重大偏离的、微小的、非正规的、不一致的或不规则的地方，但这些修改不能影响任何投标人相应的名次排列。</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27.2.2.3对响应文件的初审</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27.2.2.3</w:t>
      </w:r>
      <w:r>
        <w:rPr>
          <w:rFonts w:ascii="宋体" w:hAnsi="宋体"/>
          <w:color w:val="auto"/>
          <w:sz w:val="24"/>
          <w:szCs w:val="20"/>
          <w:highlight w:val="none"/>
        </w:rPr>
        <w:t xml:space="preserve">.1</w:t>
      </w:r>
      <w:r>
        <w:rPr>
          <w:rFonts w:hint="eastAsia" w:ascii="宋体" w:hAnsi="宋体"/>
          <w:color w:val="auto"/>
          <w:sz w:val="24"/>
          <w:szCs w:val="20"/>
          <w:highlight w:val="none"/>
        </w:rPr>
        <w:t xml:space="preserve">响应文件初审分为资格性检查和符合性检查</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27.2.2.3</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资格性检查：依据法律法规和磋商文件的规定，对响应文件中的资格证明文件等进行审查，以确定供应商是否具备参加磋商的资格；</w:t>
      </w:r>
      <w:r/>
    </w:p>
    <w:p>
      <w:pPr>
        <w:ind w:firstLine="475"/>
        <w:jc w:val="left"/>
        <w:spacing w:line="480" w:lineRule="exact"/>
        <w:widowControl/>
        <w:rPr>
          <w:rFonts w:hint="eastAsia" w:ascii="宋体" w:hAnsi="宋体"/>
          <w:color w:val="auto"/>
          <w:spacing w:val="6"/>
          <w:sz w:val="24"/>
          <w:szCs w:val="20"/>
          <w:highlight w:val="none"/>
        </w:rPr>
      </w:pPr>
      <w:r>
        <w:rPr>
          <w:rFonts w:hint="eastAsia" w:ascii="宋体" w:hAnsi="宋体"/>
          <w:color w:val="auto"/>
          <w:spacing w:val="6"/>
          <w:sz w:val="24"/>
          <w:szCs w:val="20"/>
          <w:highlight w:val="none"/>
        </w:rPr>
        <w:t xml:space="preserve">27.2.2.3.1.2符合性检查：依据磋商文件的规定，从响应文件的有效性、完整性和对磋商文件的响应程度进行审查，以确定是否对磋商文件的实质性要求作出响应。</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27.2.2.4</w:t>
      </w:r>
      <w:r>
        <w:rPr>
          <w:rFonts w:ascii="宋体" w:hAnsi="宋体"/>
          <w:color w:val="auto"/>
          <w:sz w:val="24"/>
          <w:szCs w:val="20"/>
          <w:highlight w:val="none"/>
        </w:rPr>
        <w:t xml:space="preserve">符合性检查：</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27.2.2.4</w:t>
      </w:r>
      <w:r>
        <w:rPr>
          <w:rFonts w:ascii="宋体" w:hAnsi="宋体"/>
          <w:color w:val="auto"/>
          <w:sz w:val="24"/>
          <w:szCs w:val="20"/>
          <w:highlight w:val="none"/>
        </w:rPr>
        <w:t xml:space="preserve">.1符合性检查：</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依据</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的规定，评标委员会将对通过资格审查的响应文件的有效性、完整性和对</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的响应程度进行审查，以确定是否符合对</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的实质性要求作出响应。对没有实质性响应的响应文件将不进行评估，其投标被作为无效投标。凡有下列情况之一者，响应文件将被视为未实质性响应</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投标人未按照</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要求上传电子响应文件的；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投标人未在规定解密时间内进行解密；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w:t>
      </w:r>
      <w:r>
        <w:rPr>
          <w:rFonts w:ascii="宋体" w:hAnsi="宋体"/>
          <w:color w:val="auto"/>
          <w:sz w:val="24"/>
          <w:szCs w:val="20"/>
          <w:highlight w:val="none"/>
        </w:rPr>
        <w:t xml:space="preserve">投标人在报价时采用选择性报价；</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w:t>
      </w:r>
      <w:r>
        <w:rPr>
          <w:rFonts w:ascii="宋体" w:hAnsi="宋体"/>
          <w:color w:val="auto"/>
          <w:sz w:val="24"/>
          <w:szCs w:val="20"/>
          <w:highlight w:val="none"/>
        </w:rPr>
        <w:t xml:space="preserve">投标人不具备</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中规定资格要求的；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w:t>
      </w:r>
      <w:r>
        <w:rPr>
          <w:rFonts w:ascii="宋体" w:hAnsi="宋体"/>
          <w:color w:val="auto"/>
          <w:sz w:val="24"/>
          <w:szCs w:val="20"/>
          <w:highlight w:val="none"/>
        </w:rPr>
        <w:t xml:space="preserve">投标人的报价超过了采购预算或最高限价</w:t>
      </w:r>
      <w:r>
        <w:rPr>
          <w:rFonts w:hint="eastAsia" w:ascii="宋体" w:hAnsi="宋体"/>
          <w:color w:val="auto"/>
          <w:sz w:val="24"/>
          <w:szCs w:val="20"/>
          <w:highlight w:val="none"/>
        </w:rPr>
        <w:t xml:space="preserve">（即最高费率）</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或改变固定价的</w:t>
      </w:r>
      <w:r>
        <w:rPr>
          <w:rFonts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未通过符合性检查的；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（7）</w:t>
      </w:r>
      <w:r>
        <w:rPr>
          <w:rFonts w:ascii="宋体" w:hAnsi="宋体"/>
          <w:color w:val="auto"/>
          <w:sz w:val="24"/>
          <w:szCs w:val="20"/>
          <w:highlight w:val="none"/>
        </w:rPr>
        <w:t xml:space="preserve">不符合</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中规定的其他实质性要求和条件的；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w:t>
      </w:r>
      <w:r>
        <w:rPr>
          <w:rFonts w:ascii="宋体" w:hAnsi="宋体"/>
          <w:color w:val="auto"/>
          <w:sz w:val="24"/>
          <w:szCs w:val="20"/>
          <w:highlight w:val="none"/>
        </w:rPr>
        <w:t xml:space="preserve">8</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投标人串通投标；</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响应文件含有采购人不能接受的附加条件的；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w:t>
      </w:r>
      <w:r>
        <w:rPr>
          <w:rFonts w:hint="eastAsia" w:ascii="宋体" w:hAnsi="宋体"/>
          <w:color w:val="auto"/>
          <w:sz w:val="24"/>
          <w:szCs w:val="20"/>
          <w:highlight w:val="none"/>
        </w:rPr>
        <w:t xml:space="preserve">）</w:t>
      </w:r>
      <w:r>
        <w:rPr>
          <w:rFonts w:ascii="宋体" w:hAnsi="宋体"/>
          <w:color w:val="auto"/>
          <w:sz w:val="24"/>
          <w:szCs w:val="20"/>
          <w:highlight w:val="none"/>
        </w:rPr>
        <w:t xml:space="preserve">不符合</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中规定的其它实质性条款以及法律法规规定的其他情形（如低于当地最低工资标准）；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rPr>
          <w:rFonts w:ascii="宋体" w:hAnsi="宋体"/>
          <w:color w:val="auto"/>
          <w:sz w:val="24"/>
          <w:szCs w:val="20"/>
          <w:highlight w:val="none"/>
        </w:rPr>
        <w:t xml:space="preserve">被“信用中国”网站（www.creditchina.gov.cn）列入失信被执行人、重大税收违法案件当事人名单、政府采购严重失信行为记录名单；</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3</w:t>
      </w:r>
      <w:r>
        <w:rPr>
          <w:rFonts w:hint="eastAsia" w:ascii="宋体" w:hAnsi="宋体"/>
          <w:color w:val="auto"/>
          <w:sz w:val="24"/>
          <w:szCs w:val="20"/>
          <w:highlight w:val="none"/>
        </w:rPr>
        <w:t xml:space="preserve">）</w:t>
      </w:r>
      <w:r>
        <w:rPr>
          <w:rFonts w:ascii="宋体" w:hAnsi="宋体"/>
          <w:color w:val="auto"/>
          <w:sz w:val="24"/>
          <w:szCs w:val="20"/>
          <w:highlight w:val="none"/>
        </w:rPr>
        <w:t xml:space="preserve">响应文件未按照</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要求加盖电子签章；</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4</w:t>
      </w:r>
      <w:r>
        <w:rPr>
          <w:rFonts w:hint="eastAsia" w:ascii="宋体" w:hAnsi="宋体"/>
          <w:color w:val="auto"/>
          <w:sz w:val="24"/>
          <w:szCs w:val="20"/>
          <w:highlight w:val="none"/>
        </w:rPr>
        <w:t xml:space="preserve">）</w:t>
      </w:r>
      <w:r>
        <w:rPr>
          <w:rFonts w:ascii="宋体" w:hAnsi="宋体"/>
          <w:color w:val="auto"/>
          <w:sz w:val="24"/>
          <w:szCs w:val="20"/>
          <w:highlight w:val="none"/>
        </w:rPr>
        <w:t xml:space="preserve">其他法律、法规及本</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规定的属无效投标的情形。</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27.2.2.4</w:t>
      </w:r>
      <w:r>
        <w:rPr>
          <w:rFonts w:ascii="宋体" w:hAnsi="宋体"/>
          <w:color w:val="auto"/>
          <w:sz w:val="24"/>
          <w:szCs w:val="20"/>
          <w:highlight w:val="none"/>
        </w:rPr>
        <w:t xml:space="preserve">.2</w:t>
      </w:r>
      <w:r>
        <w:rPr>
          <w:rFonts w:hint="eastAsia" w:ascii="宋体" w:hAnsi="宋体"/>
          <w:color w:val="auto"/>
          <w:sz w:val="24"/>
          <w:szCs w:val="20"/>
          <w:highlight w:val="none"/>
        </w:rPr>
        <w:t xml:space="preserve">对资格性检查和符合性检查不合格的投标人，将告知其理由。</w:t>
      </w:r>
      <w:r>
        <w:rPr>
          <w:rFonts w:ascii="宋体" w:hAnsi="宋体"/>
          <w:color w:val="auto"/>
          <w:sz w:val="24"/>
          <w:szCs w:val="20"/>
          <w:highlight w:val="none"/>
        </w:rPr>
        <w:t xml:space="preserve">评标委员会决定投标响应性只根据响应文件本身的内容，而不寻求其他的外部证据。</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在评审过程中，评标委员会发现投标人有下列情形之一的，可以认定属于串标、围标的行为。具体表现形式如下：</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.1不同投标人的响应文件异常一致或者投标报价呈规律性差异的；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.2不同投标人的响应文件由同一单位或个人编制的；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.3不同投标人的响应文件载明的项目管理成员为同一人的；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.4不同投标人的响应文件相互混装的；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.5不同投标人授权同一人作为投标人代表的；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.6不同投标人的投标保证金从同一单位或者个人的账户转出的</w:t>
      </w:r>
      <w:r>
        <w:rPr>
          <w:rFonts w:hint="eastAsia"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.7有证据证明投标人与采购单位、采购代理机构或其他投标人串通的其他情形的；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27.2.2.5</w:t>
      </w:r>
      <w:r>
        <w:rPr>
          <w:rFonts w:ascii="宋体" w:hAnsi="宋体"/>
          <w:color w:val="auto"/>
          <w:sz w:val="24"/>
          <w:szCs w:val="20"/>
          <w:highlight w:val="none"/>
        </w:rPr>
        <w:t xml:space="preserve">.8评标委员会认定的其他串标、围标情形。</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27.2.2.6</w:t>
      </w:r>
      <w:r>
        <w:rPr>
          <w:rFonts w:ascii="宋体" w:hAnsi="宋体"/>
          <w:color w:val="auto"/>
          <w:sz w:val="24"/>
          <w:szCs w:val="20"/>
          <w:highlight w:val="none"/>
        </w:rPr>
        <w:t xml:space="preserve">有下列情形之一的予以废标，同时将废标理由通知所有</w:t>
      </w:r>
      <w:r>
        <w:rPr>
          <w:rFonts w:hint="eastAsia" w:ascii="宋体" w:hAnsi="宋体"/>
          <w:color w:val="auto"/>
          <w:sz w:val="24"/>
          <w:szCs w:val="20"/>
          <w:highlight w:val="none"/>
        </w:rPr>
        <w:t xml:space="preserve">供应商</w:t>
      </w:r>
      <w:r>
        <w:rPr>
          <w:rFonts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（1）</w:t>
      </w:r>
      <w:r>
        <w:rPr>
          <w:rFonts w:hint="eastAsia" w:ascii="宋体" w:hAnsi="宋体"/>
          <w:color w:val="auto"/>
          <w:sz w:val="24"/>
          <w:szCs w:val="20"/>
          <w:highlight w:val="none"/>
        </w:rPr>
        <w:t xml:space="preserve">符合专业条件的供应商或者对磋商文件作实质性响应的供应商不足三家的</w:t>
      </w:r>
      <w:r>
        <w:rPr>
          <w:rFonts w:ascii="宋体" w:hAnsi="宋体"/>
          <w:color w:val="auto"/>
          <w:sz w:val="24"/>
          <w:szCs w:val="20"/>
          <w:highlight w:val="none"/>
        </w:rPr>
        <w:t xml:space="preserve">；</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（2）出现影响采购公正的违法、违规行为的；</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w:t>
      </w:r>
      <w:r>
        <w:rPr>
          <w:rFonts w:ascii="宋体" w:hAnsi="宋体"/>
          <w:color w:val="auto"/>
          <w:sz w:val="24"/>
          <w:szCs w:val="20"/>
          <w:highlight w:val="none"/>
        </w:rPr>
        <w:t xml:space="preserve">的报价均超过了采购预算或最高限价的，采购人不能支付的；</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（4）因重大变故，采购任务取消的；</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（5）</w:t>
      </w:r>
      <w:r>
        <w:rPr>
          <w:rFonts w:hint="eastAsia" w:ascii="宋体" w:hAnsi="宋体"/>
          <w:color w:val="auto"/>
          <w:sz w:val="24"/>
          <w:szCs w:val="20"/>
          <w:highlight w:val="none"/>
        </w:rPr>
        <w:t xml:space="preserve">因系统故障原因造成开标不成功的；</w:t>
      </w:r>
      <w:r/>
    </w:p>
    <w:p>
      <w:pPr>
        <w:ind w:firstLine="475"/>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（6）投标文件存在歧义、重大缺陷，或者磋商文件内容违反国家有关强制性规定的</w:t>
      </w:r>
      <w:r>
        <w:rPr>
          <w:rFonts w:hint="eastAsia" w:ascii="宋体" w:hAnsi="宋体"/>
          <w:color w:val="auto"/>
          <w:sz w:val="24"/>
          <w:szCs w:val="20"/>
          <w:highlight w:val="none"/>
        </w:rPr>
        <w:t xml:space="preserve">，见本磋商文件第五章规定。</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异常低价审查</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.1评审过程中出现下列情形之一的，评审委员会应当启动异常低价投标（响应）审查程序：</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（1）投标（响应）报价低于采购项目预算 50%的，即投标（响应）报价&lt;采购项目预算×50%；</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（2）投标（响应）报价低于采购项目最高限价 45%的，即投标（响应）报价&lt;采购项目最高限价×45%；</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（3）评审委员会认定的供应商报价过低、有可能影响产品质量或者不能诚信履约的其他情形。</w:t>
      </w:r>
      <w:r/>
    </w:p>
    <w:p>
      <w:pPr>
        <w:ind w:left="2" w:firstLine="475"/>
        <w:spacing w:line="480" w:lineRule="exact"/>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27.3</w:t>
      </w:r>
      <w:r>
        <w:rPr>
          <w:rFonts w:hint="eastAsia" w:ascii="宋体" w:hAnsi="宋体"/>
          <w:color w:val="auto"/>
          <w:sz w:val="24"/>
          <w:szCs w:val="20"/>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采购活动终止的情况</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出现下列情形之一的，本次竞争性磋商采购活动将被终止：</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.1因情况变化，不再符合规定的竞争性磋商采购方式适用情形的。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.2出现影响采购公正的违法、违规行为的。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.3除本磋商文件第二章第27.1.2条第三款规定的情形外，在采购过程中符合要求的供应商或者最后报价未超过采购预算的供应商不足3家的。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27.</w:t>
      </w:r>
      <w:r>
        <w:rPr>
          <w:rFonts w:hint="eastAsia" w:ascii="宋体" w:hAnsi="宋体"/>
          <w:color w:val="auto"/>
          <w:sz w:val="24"/>
          <w:szCs w:val="20"/>
          <w:highlight w:val="none"/>
          <w:lang w:val="en-US" w:eastAsia="zh-CN"/>
        </w:rPr>
        <w:t xml:space="preserve">4</w:t>
      </w:r>
      <w:r>
        <w:rPr>
          <w:rFonts w:hint="eastAsia" w:ascii="宋体" w:hAnsi="宋体"/>
          <w:color w:val="auto"/>
          <w:sz w:val="24"/>
          <w:szCs w:val="20"/>
          <w:highlight w:val="none"/>
        </w:rPr>
        <w:t xml:space="preserve">.4在苏采云系统规定时间内成功解密电子响应文件的供应商不足3家的。</w:t>
      </w:r>
      <w:r/>
    </w:p>
    <w:p>
      <w:pPr>
        <w:ind w:firstLine="475"/>
        <w:jc w:val="left"/>
        <w:spacing w:line="480" w:lineRule="exact"/>
        <w:widowControl/>
        <w:rPr>
          <w:rFonts w:hint="eastAsia" w:ascii="宋体" w:hAnsi="宋体"/>
          <w:color w:val="auto"/>
          <w:sz w:val="24"/>
          <w:szCs w:val="20"/>
          <w:highlight w:val="none"/>
        </w:rPr>
      </w:pPr>
      <w:r/>
      <w:bookmarkStart w:id="117" w:name="_Toc513029235"/>
      <w:r/>
      <w:bookmarkStart w:id="118" w:name="_Toc120614219"/>
      <w:r/>
      <w:bookmarkStart w:id="119" w:name="_Toc20823307"/>
      <w:r/>
      <w:bookmarkStart w:id="120" w:name="_Toc16938551"/>
      <w:r>
        <w:rPr>
          <w:rFonts w:ascii="宋体" w:hAnsi="宋体"/>
          <w:color w:val="auto"/>
          <w:sz w:val="24"/>
          <w:szCs w:val="20"/>
          <w:highlight w:val="none"/>
        </w:rPr>
        <w:t xml:space="preserve">六、</w:t>
      </w:r>
      <w:bookmarkEnd w:id="117"/>
      <w:r/>
      <w:bookmarkEnd w:id="118"/>
      <w:r/>
      <w:bookmarkEnd w:id="119"/>
      <w:r/>
      <w:bookmarkEnd w:id="120"/>
      <w:r>
        <w:rPr>
          <w:rFonts w:ascii="宋体" w:hAnsi="宋体"/>
          <w:color w:val="auto"/>
          <w:sz w:val="24"/>
          <w:szCs w:val="20"/>
          <w:highlight w:val="none"/>
        </w:rPr>
        <w:t xml:space="preserve">成交</w:t>
      </w:r>
      <w:r/>
    </w:p>
    <w:p>
      <w:pPr>
        <w:ind w:firstLine="475"/>
        <w:jc w:val="left"/>
        <w:spacing w:line="480" w:lineRule="exact"/>
        <w:widowControl/>
        <w:rPr>
          <w:rFonts w:hint="eastAsia" w:ascii="宋体" w:hAnsi="宋体"/>
          <w:color w:val="auto"/>
          <w:sz w:val="24"/>
          <w:szCs w:val="20"/>
          <w:highlight w:val="none"/>
        </w:rPr>
      </w:pPr>
      <w:r/>
      <w:bookmarkStart w:id="121" w:name="_Toc20823310"/>
      <w:r/>
      <w:bookmarkStart w:id="122" w:name="_Toc16938554"/>
      <w:r/>
      <w:bookmarkStart w:id="123" w:name="_Toc513029238"/>
      <w:r>
        <w:rPr>
          <w:rFonts w:hint="eastAsia" w:ascii="宋体" w:hAnsi="宋体"/>
          <w:color w:val="auto"/>
          <w:sz w:val="24"/>
          <w:szCs w:val="20"/>
          <w:highlight w:val="none"/>
        </w:rPr>
        <w:t xml:space="preserve">28、</w:t>
      </w:r>
      <w:bookmarkEnd w:id="121"/>
      <w:r>
        <w:rPr>
          <w:rFonts w:hint="eastAsia" w:ascii="宋体" w:hAnsi="宋体"/>
          <w:color w:val="auto"/>
          <w:sz w:val="24"/>
          <w:szCs w:val="20"/>
          <w:highlight w:val="none"/>
        </w:rPr>
        <w:t xml:space="preserve">确定</w:t>
      </w:r>
      <w:bookmarkEnd w:id="122"/>
      <w:r/>
      <w:bookmarkEnd w:id="123"/>
      <w:r>
        <w:rPr>
          <w:rFonts w:hint="eastAsia" w:ascii="宋体" w:hAnsi="宋体"/>
          <w:color w:val="auto"/>
          <w:sz w:val="24"/>
          <w:szCs w:val="20"/>
          <w:highlight w:val="none"/>
        </w:rPr>
        <w:t xml:space="preserve">成交单位</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28.1采购人将根据磋商小组的书面评标报告，依据法律法规确定排名第一的为中标人。采购人不得在评标委员会推荐的中标候选人之外确定中标人，否则中标结果无效。</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28.2磋商小组根据综合评分情况，按照评审得分由高到低顺序推3名成交候选供应商，并编写评审报告。评审得分相同的，按照最后报价由低到高的顺序推荐。评审得分且最后报价相同的，按照技术指标优劣顺序推荐。</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28.3推荐的中标候选人数为3名。排名第一的中标候选人放弃中标，或因不可抗力提出不能履行合同，或者被查实存在影响中标结果的违法行为等情形，不符合中标条件的，本项目直接重新招标，不得确定其他投标人为中标人。</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28.4若有充分证据证明，成交供应商出现下列情况之一的，一经查实，将被取消成交资格：</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28.4.1提供虚假材料谋取成交的。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28.4.2与评审专家、采购人、其他供应商或者招标代理工作人员恶意串通的；</w:t>
      </w:r>
      <w:r/>
    </w:p>
    <w:p>
      <w:pPr>
        <w:ind w:firstLine="475"/>
        <w:jc w:val="left"/>
        <w:spacing w:line="480" w:lineRule="exact"/>
        <w:widowControl/>
        <w:rPr>
          <w:rFonts w:hint="eastAsia" w:ascii="宋体" w:hAnsi="宋体"/>
          <w:color w:val="auto"/>
          <w:spacing w:val="8"/>
          <w:sz w:val="24"/>
          <w:szCs w:val="20"/>
          <w:highlight w:val="none"/>
        </w:rPr>
      </w:pPr>
      <w:r>
        <w:rPr>
          <w:rFonts w:hint="eastAsia" w:ascii="宋体" w:hAnsi="宋体"/>
          <w:color w:val="auto"/>
          <w:spacing w:val="8"/>
          <w:sz w:val="24"/>
          <w:szCs w:val="20"/>
          <w:highlight w:val="none"/>
        </w:rPr>
        <w:t xml:space="preserve">28.4.3向评审专家、采购人或招标代理工作人员行贿或者提供其他不正当利益的；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28.4.4恶意竞争，最后报价明显低于其自身合理成本且又无法提供证明的；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28.4.5不满足本磋商文件规定的实质性要求，但在评审过程中又未被磋商小组发现的；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28.4.6成交后无正当理由拒不与采购人签订政府采购合同或者未按照磋商文件确定的事项签订政府采购合同的；</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28.4.7将政府采购合同转包的。</w:t>
      </w:r>
      <w:r/>
    </w:p>
    <w:p>
      <w:pPr>
        <w:ind w:firstLine="476"/>
        <w:jc w:val="left"/>
        <w:spacing w:line="480" w:lineRule="exact"/>
        <w:widowControl/>
        <w:rPr>
          <w:rFonts w:hint="eastAsia" w:ascii="宋体" w:hAnsi="宋体"/>
          <w:color w:val="auto"/>
          <w:sz w:val="24"/>
          <w:szCs w:val="20"/>
          <w:highlight w:val="none"/>
        </w:rPr>
      </w:pPr>
      <w:r/>
      <w:bookmarkStart w:id="124" w:name="_Toc200451960"/>
      <w:r>
        <w:rPr>
          <w:rFonts w:hint="eastAsia" w:ascii="宋体" w:hAnsi="宋体"/>
          <w:color w:val="auto"/>
          <w:sz w:val="24"/>
          <w:szCs w:val="20"/>
          <w:highlight w:val="none"/>
        </w:rPr>
        <w:t xml:space="preserve">29、</w:t>
      </w:r>
      <w:bookmarkEnd w:id="124"/>
      <w:r>
        <w:rPr>
          <w:rFonts w:hint="eastAsia" w:ascii="宋体" w:hAnsi="宋体"/>
          <w:color w:val="auto"/>
          <w:sz w:val="24"/>
          <w:szCs w:val="20"/>
          <w:highlight w:val="none"/>
        </w:rPr>
        <w:t xml:space="preserve">质疑和投诉</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 质疑供应商是指直接参加本次投标活动的供应商，未参加投标活动的供应商或在投标活动中自身权益未受到损害的供应商所提出的质疑不予受理；</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.2 质疑供应商必须以书面形式向采购人、采购代理机构提出质疑；</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.3 供应商应当在法定质疑期内一次性提出针对同一采购程序环节的质疑。供应商如在法定期限内对同一采购程序环节提出多次质疑的，采购人将只对供应商第一次质疑作出答复；</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w:t>
      </w:r>
      <w:r>
        <w:rPr>
          <w:rFonts w:ascii="宋体" w:hAnsi="宋体"/>
          <w:color w:val="auto"/>
          <w:sz w:val="24"/>
          <w:szCs w:val="20"/>
          <w:highlight w:val="none"/>
        </w:rPr>
        <w:t xml:space="preserve">4</w:t>
      </w:r>
      <w:r>
        <w:rPr>
          <w:rFonts w:hint="eastAsia" w:ascii="宋体" w:hAnsi="宋体"/>
          <w:color w:val="auto"/>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76"/>
        <w:jc w:val="left"/>
        <w:spacing w:line="480" w:lineRule="exact"/>
        <w:widowControl/>
        <w:rPr>
          <w:color w:val="auto"/>
          <w:highlight w:val="none"/>
        </w:rPr>
      </w:pPr>
      <w:r>
        <w:rPr>
          <w:rFonts w:hint="eastAsia" w:ascii="宋体" w:hAnsi="宋体"/>
          <w:color w:val="auto"/>
          <w:sz w:val="24"/>
          <w:szCs w:val="20"/>
          <w:highlight w:val="none"/>
        </w:rPr>
        <w:t xml:space="preserve">（1）供应商的姓名或者名称、地址、邮编、联系人及联系电话；</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（2）质疑项目的名称、编号；</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（3）具体、明确的质疑事项和与质疑事项相关的请求；</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（4）事实依据；</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（5）必要的法律依据；</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（6）提出质疑的日期。</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.5采购人或采购代理机构只接收以纸质原件形式送达的质疑,采购人或采购代理机构不接受未填写快递运单的快件。</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.6 采购人或代理机构在收到供应商的书面质疑后将及时组织调查核实，在七个工作日内作出答复，并以书面形式通知质疑供应商，答复的内容不涉及商业秘密；</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 以下情形的质疑不予受理</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.8.1内容不符合《政府采购质疑和投诉办法》第十二条规定的质疑。</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.8.2超出政府采购法定期限的质疑。</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.8.3以传真、电子邮件等方式递交的非原件形式的质疑。</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.8.4未参加投标活动的供应商或在投标活动中自身权益未受到损害的供应商所提出的质疑。</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.8.5(如有)供应商组成联合体参加投标，联合体中任何一方或多方未按要求签字、盖章、加盖公章的质疑。</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.9 质疑或投诉程序</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9</w:t>
      </w:r>
      <w:r>
        <w:rPr>
          <w:rFonts w:hint="eastAsia" w:ascii="宋体" w:hAnsi="宋体"/>
          <w:color w:val="auto"/>
          <w:sz w:val="24"/>
          <w:szCs w:val="20"/>
          <w:highlight w:val="none"/>
        </w:rPr>
        <w:t xml:space="preserve">.10 恶意投诉情形</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（1）未按规定向投诉处理部门投诉或向不同部门多方投诉的；</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（2）不符合投诉受理条件，被告知后仍进行投诉的；</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（3）投诉处理部门受理投诉后，投诉人仍就同一内容向其他部门进行投诉的；</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（4）捏造事实、伪造材料进行投诉或在网络等媒体上进行失实报道的；</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（5）投诉经查失实，被告知后，仍然恶意缠诉的；</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（6）一年内三次以上失实投诉的；</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（7）直接向领导、纪委、检察部门写匿名信等。</w:t>
      </w:r>
      <w:r/>
    </w:p>
    <w:p>
      <w:pPr>
        <w:ind w:firstLine="476"/>
        <w:jc w:val="left"/>
        <w:spacing w:line="480" w:lineRule="exact"/>
        <w:widowControl/>
        <w:rPr>
          <w:rFonts w:hint="eastAsia" w:ascii="宋体" w:hAnsi="宋体"/>
          <w:color w:val="auto"/>
          <w:sz w:val="24"/>
          <w:szCs w:val="20"/>
          <w:highlight w:val="none"/>
        </w:rPr>
      </w:pPr>
      <w:r/>
      <w:bookmarkStart w:id="125" w:name="_Hlk153783081"/>
      <w:r>
        <w:rPr>
          <w:rFonts w:ascii="宋体" w:hAnsi="宋体"/>
          <w:color w:val="auto"/>
          <w:sz w:val="24"/>
          <w:szCs w:val="20"/>
          <w:highlight w:val="none"/>
        </w:rPr>
        <w:t xml:space="preserve">29.11</w:t>
      </w:r>
      <w:r>
        <w:rPr>
          <w:rFonts w:hint="eastAsia" w:ascii="宋体" w:hAnsi="宋体"/>
          <w:color w:val="auto"/>
          <w:sz w:val="24"/>
          <w:szCs w:val="20"/>
          <w:highlight w:val="none"/>
        </w:rPr>
        <w:t xml:space="preserve">投标人有下列行为之一造成采购人重新招标的，采购人重新招标时可以拒绝其参加投标：</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（1）无故放弃中标；</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（2）串通投标；</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（3）存在弄虚作假行为；</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（4）以可能影响履约的异常低价参加投标；</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（5）其他违反法律、法规的行为。</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对三年内在与采购人合同履行过程中被依法判定存在违约行为导致采购人重大损失或者被列入严重失信主体名单的法人、非法人组织或者自然人，采购人可以拒绝其参加投标。</w:t>
      </w:r>
      <w:bookmarkEnd w:id="125"/>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29.12</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电子招标投标交易平台（即“苏采云”系统，网址：</w:t>
      </w:r>
      <w:r/>
    </w:p>
    <w:p>
      <w:pPr>
        <w:ind w:firstLine="476"/>
        <w:jc w:val="left"/>
        <w:spacing w:line="480" w:lineRule="exact"/>
        <w:widowControl/>
        <w:rPr>
          <w:rFonts w:hint="eastAsia" w:ascii="宋体" w:hAnsi="宋体"/>
          <w:color w:val="auto"/>
          <w:sz w:val="24"/>
          <w:szCs w:val="20"/>
          <w:highlight w:val="none"/>
        </w:rPr>
      </w:pP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宋体" w:hAnsi="宋体"/>
          <w:color w:val="auto"/>
          <w:sz w:val="24"/>
          <w:szCs w:val="20"/>
          <w:highlight w:val="none"/>
        </w:rPr>
        <w:t xml:space="preserve">http://jszfcg.jsczt.cn/</w:t>
      </w:r>
      <w:r>
        <w:rPr>
          <w:rFonts w:ascii="宋体" w:hAnsi="宋体"/>
          <w:color w:val="auto"/>
          <w:sz w:val="24"/>
          <w:szCs w:val="20"/>
          <w:highlight w:val="none"/>
        </w:rPr>
        <w:fldChar w:fldCharType="end"/>
      </w:r>
      <w:r>
        <w:rPr>
          <w:rFonts w:ascii="宋体" w:hAnsi="宋体"/>
          <w:color w:val="auto"/>
          <w:sz w:val="24"/>
          <w:szCs w:val="20"/>
          <w:highlight w:val="none"/>
        </w:rPr>
        <w:t xml:space="preserve">）相关要求是本招标文件的组成部分。</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30、成交通知书</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30.1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76"/>
        <w:jc w:val="left"/>
        <w:spacing w:line="480" w:lineRule="exact"/>
        <w:widowControl/>
        <w:rPr>
          <w:rFonts w:hint="eastAsia" w:ascii="宋体" w:hAnsi="宋体"/>
          <w:color w:val="auto"/>
          <w:sz w:val="24"/>
          <w:szCs w:val="20"/>
          <w:highlight w:val="none"/>
        </w:rPr>
      </w:pPr>
      <w:r/>
      <w:bookmarkStart w:id="126" w:name="_Toc513029236"/>
      <w:r/>
      <w:bookmarkStart w:id="127" w:name="_Toc20823308"/>
      <w:r/>
      <w:bookmarkStart w:id="128" w:name="_Toc120614220"/>
      <w:r/>
      <w:bookmarkStart w:id="129" w:name="_Toc16938552"/>
      <w:r>
        <w:rPr>
          <w:rFonts w:ascii="宋体" w:hAnsi="宋体"/>
          <w:color w:val="auto"/>
          <w:sz w:val="24"/>
          <w:szCs w:val="20"/>
          <w:highlight w:val="none"/>
        </w:rPr>
        <w:t xml:space="preserve">七、授予合同</w:t>
      </w:r>
      <w:bookmarkEnd w:id="126"/>
      <w:r/>
      <w:bookmarkEnd w:id="127"/>
      <w:r/>
      <w:bookmarkEnd w:id="128"/>
      <w:r/>
      <w:bookmarkEnd w:id="129"/>
      <w:r/>
      <w:r/>
    </w:p>
    <w:p>
      <w:pPr>
        <w:ind w:firstLine="476"/>
        <w:jc w:val="left"/>
        <w:spacing w:line="480" w:lineRule="exact"/>
        <w:widowControl/>
        <w:rPr>
          <w:rFonts w:hint="eastAsia" w:ascii="宋体" w:hAnsi="宋体"/>
          <w:color w:val="auto"/>
          <w:sz w:val="24"/>
          <w:szCs w:val="20"/>
          <w:highlight w:val="none"/>
        </w:rPr>
      </w:pPr>
      <w:r/>
      <w:bookmarkStart w:id="130" w:name="_Toc16938553"/>
      <w:r/>
      <w:bookmarkStart w:id="131" w:name="_Toc513029237"/>
      <w:r/>
      <w:bookmarkStart w:id="132" w:name="_Toc20823309"/>
      <w:r>
        <w:rPr>
          <w:rFonts w:hint="eastAsia" w:ascii="宋体" w:hAnsi="宋体"/>
          <w:color w:val="auto"/>
          <w:sz w:val="24"/>
          <w:szCs w:val="20"/>
          <w:highlight w:val="none"/>
        </w:rPr>
        <w:t xml:space="preserve">31. 签订合同</w:t>
      </w:r>
      <w:bookmarkEnd w:id="130"/>
      <w:r/>
      <w:bookmarkEnd w:id="131"/>
      <w:r/>
      <w:bookmarkEnd w:id="132"/>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31.l成交供应商应当在成交通知书发出之日起三十日内，按照磋商文件确定的事项与采购人签订政府采购合同。</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31.2磋商文件、成交供应商的响应文件及磋商过程中有关澄清、承诺文件均应作为合同附件。</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32、标的物的追加</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、电子招标投标交易平台</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电子招标投标交易平台（即“苏采云”系统，网址：http://jszfcg.jsczt.cn/）相关要求是本招标文件的组成部分。</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具体见《江苏省政府采购管理交易系统（苏采云）供应商操作手册》（手册下载地址：盐城市政府采购网http://czj.yancheng.gov.cn/col/col2383-办事指南）；</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.2潜在投标人访问“苏采云”系统的网络地址和方法：“苏采云”系统的网址：http://jszfcg.jsczt.cn/；</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.3“CA数字证书”的获取：供应商需办理CA锁，“苏采云”系统目前仅支持政务CA（意源CA）。“CA数字证书”的办理方法详见《江苏省政府采购数字证书(供应商)数字证书CA及电子签章办理指南》；</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.4采购文件（后缀名为“.kedt”）、供应商操作手册及政府采购客户端工具可通过“苏采云”系统--已报名项目--报名详情页面内相应链接进行下载；</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.5招标代理机构（采购代理机构）将数据电文形式的招标文件加载至“苏采云”系统，供潜在供应商下载或者查阅；</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33</w:t>
      </w:r>
      <w:r>
        <w:rPr>
          <w:rFonts w:hint="eastAsia" w:ascii="宋体" w:hAnsi="宋体"/>
          <w:color w:val="auto"/>
          <w:sz w:val="24"/>
          <w:szCs w:val="20"/>
          <w:highlight w:val="none"/>
        </w:rPr>
        <w:t xml:space="preserve">.6请潜在投标单位提前安装相应的控件（详见《江苏省政府采购管理交易系统（苏采云）供应商操作手册》）并使用谷歌浏览器登录“苏采云”系统参与不见面开评标。</w:t>
      </w:r>
      <w:r/>
    </w:p>
    <w:p>
      <w:pPr>
        <w:ind w:firstLine="476"/>
        <w:jc w:val="left"/>
        <w:spacing w:line="480" w:lineRule="exact"/>
        <w:widowControl/>
        <w:rPr>
          <w:rFonts w:hint="eastAsia" w:ascii="宋体" w:hAnsi="宋体"/>
          <w:color w:val="auto"/>
          <w:sz w:val="24"/>
          <w:szCs w:val="20"/>
          <w:highlight w:val="none"/>
        </w:rPr>
      </w:pPr>
      <w:r>
        <w:rPr>
          <w:rFonts w:ascii="宋体" w:hAnsi="宋体"/>
          <w:color w:val="auto"/>
          <w:sz w:val="24"/>
          <w:szCs w:val="20"/>
          <w:highlight w:val="none"/>
        </w:rPr>
        <w:t xml:space="preserve">34</w:t>
      </w:r>
      <w:r>
        <w:rPr>
          <w:rFonts w:hint="eastAsia" w:ascii="宋体" w:hAnsi="宋体"/>
          <w:color w:val="auto"/>
          <w:sz w:val="24"/>
          <w:szCs w:val="20"/>
          <w:highlight w:val="none"/>
        </w:rPr>
        <w:t xml:space="preserve">、政府采购履约资金扶持政策</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35.其他</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35.1 本项目落实预付款制度，预付款比例为30%。在签订合同时，中标、成交供应商明确书面表示无需预付款或者主动要求降低预付款比例的，采购人可就预付款比例作相应调整。</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35.2确需收取履约保证金的，履约保证金的缴纳形式：</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如以履约保函（保险）形式缴纳履约保证金，供应商可通过政府采购电子履约保函（保险）平台（www.jsdzbh.com）在线申请履约保函（保险）。</w:t>
      </w:r>
      <w:r/>
    </w:p>
    <w:p>
      <w:pPr>
        <w:ind w:firstLine="476"/>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ind w:firstLine="475"/>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480" w:lineRule="exac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center"/>
        <w:spacing w:before="240" w:after="60"/>
        <w:rPr>
          <w:rFonts w:ascii="Calibri Light" w:hAnsi="Calibri Light" w:eastAsia="黑体"/>
          <w:b/>
          <w:bCs/>
          <w:color w:val="auto"/>
          <w:sz w:val="32"/>
          <w:szCs w:val="32"/>
          <w:highlight w:val="none"/>
        </w:rPr>
        <w:outlineLvl w:val="0"/>
      </w:pPr>
      <w:r/>
      <w:bookmarkStart w:id="133" w:name="_Toc205811296"/>
      <w:r/>
      <w:bookmarkStart w:id="134" w:name="_Toc9432"/>
      <w:r/>
      <w:bookmarkStart w:id="135" w:name="_Toc13174"/>
      <w:r/>
      <w:bookmarkStart w:id="136" w:name="_Hlt16619350"/>
      <w:r/>
      <w:bookmarkStart w:id="137" w:name="_Hlt16619369"/>
      <w:r>
        <w:rPr>
          <w:rFonts w:hint="eastAsia" w:ascii="Calibri Light" w:hAnsi="Calibri Light" w:eastAsia="黑体"/>
          <w:b/>
          <w:bCs/>
          <w:color w:val="auto"/>
          <w:sz w:val="32"/>
          <w:szCs w:val="32"/>
          <w:highlight w:val="none"/>
        </w:rPr>
        <w:t xml:space="preserve">第三章 合同文本</w:t>
      </w:r>
      <w:bookmarkEnd w:id="133"/>
      <w:r/>
      <w:bookmarkEnd w:id="134"/>
      <w:r/>
      <w:bookmarkEnd w:id="135"/>
      <w:r/>
      <w:r/>
    </w:p>
    <w:p>
      <w:pPr>
        <w:ind w:firstLine="873"/>
        <w:jc w:val="center"/>
        <w:spacing w:line="240" w:lineRule="exact"/>
        <w:rPr>
          <w:rFonts w:cs="Tahoma"/>
          <w:color w:val="auto"/>
          <w:sz w:val="44"/>
          <w:highlight w:val="none"/>
          <w:shd w:val="clear" w:color="auto" w:fill="ffffff"/>
        </w:rPr>
      </w:pPr>
      <w:r/>
      <w:bookmarkStart w:id="138" w:name="_Toc513029243"/>
      <w:r/>
      <w:bookmarkStart w:id="139" w:name="_Toc20823315"/>
      <w:r/>
      <w:bookmarkStart w:id="140" w:name="_Toc16938559"/>
      <w:r/>
      <w:r/>
    </w:p>
    <w:p>
      <w:pPr>
        <w:jc w:val="center"/>
        <w:spacing w:line="860" w:lineRule="exact"/>
        <w:rPr>
          <w:rFonts w:hint="eastAsia" w:ascii="黑体" w:hAnsi="黑体" w:eastAsia="黑体" w:cs="Tahoma"/>
          <w:b/>
          <w:bCs/>
          <w:color w:val="auto"/>
          <w:sz w:val="36"/>
          <w:szCs w:val="36"/>
          <w:highlight w:val="none"/>
          <w:shd w:val="clear" w:color="auto" w:fill="ffffff"/>
        </w:rPr>
      </w:pPr>
      <w:r>
        <w:rPr>
          <w:rFonts w:hint="eastAsia" w:ascii="黑体" w:hAnsi="黑体" w:eastAsia="黑体" w:cs="Tahoma"/>
          <w:b/>
          <w:bCs/>
          <w:color w:val="auto"/>
          <w:sz w:val="36"/>
          <w:szCs w:val="36"/>
          <w:highlight w:val="none"/>
          <w:shd w:val="clear" w:color="auto" w:fill="ffffff"/>
        </w:rPr>
      </w:r>
      <w:r/>
    </w:p>
    <w:p>
      <w:pPr>
        <w:jc w:val="center"/>
        <w:spacing w:line="860" w:lineRule="exact"/>
        <w:rPr>
          <w:rFonts w:hint="eastAsia" w:ascii="宋体" w:hAnsi="宋体" w:eastAsia="宋体" w:cs="宋体"/>
          <w:b/>
          <w:bCs/>
          <w:color w:val="auto"/>
          <w:spacing w:val="17"/>
          <w:sz w:val="48"/>
          <w:szCs w:val="48"/>
          <w:highlight w:val="none"/>
          <w:shd w:val="clear" w:color="auto" w:fill="ffffff"/>
          <w:lang w:eastAsia="zh-CN"/>
        </w:rPr>
      </w:pPr>
      <w:r>
        <w:rPr>
          <w:rFonts w:hint="eastAsia" w:ascii="宋体" w:hAnsi="宋体" w:cs="宋体"/>
          <w:b/>
          <w:bCs/>
          <w:color w:val="auto"/>
          <w:spacing w:val="17"/>
          <w:sz w:val="48"/>
          <w:szCs w:val="48"/>
          <w:highlight w:val="none"/>
          <w:shd w:val="clear" w:color="auto" w:fill="ffffff"/>
          <w:lang w:eastAsia="zh-CN"/>
        </w:rPr>
        <w:t xml:space="preserve">建湖县社会治安综合治理中心改造项目</w:t>
      </w:r>
      <w:r/>
    </w:p>
    <w:p>
      <w:pPr>
        <w:jc w:val="center"/>
        <w:spacing w:line="860" w:lineRule="exact"/>
        <w:rPr>
          <w:rFonts w:hint="eastAsia" w:ascii="黑体" w:hAnsi="黑体" w:eastAsia="黑体" w:cs="Tahoma"/>
          <w:b/>
          <w:bCs/>
          <w:color w:val="auto"/>
          <w:spacing w:val="20"/>
          <w:sz w:val="40"/>
          <w:szCs w:val="40"/>
          <w:highlight w:val="none"/>
          <w:shd w:val="clear" w:color="auto" w:fill="ffffff"/>
        </w:rPr>
      </w:pPr>
      <w:r>
        <w:rPr>
          <w:rFonts w:hint="eastAsia" w:ascii="黑体" w:hAnsi="黑体" w:eastAsia="黑体" w:cs="Tahoma"/>
          <w:b/>
          <w:bCs/>
          <w:color w:val="auto"/>
          <w:spacing w:val="20"/>
          <w:sz w:val="40"/>
          <w:szCs w:val="40"/>
          <w:highlight w:val="none"/>
          <w:shd w:val="clear" w:color="auto" w:fill="ffffff"/>
        </w:rPr>
        <w:t xml:space="preserve"> </w:t>
      </w:r>
      <w:r/>
    </w:p>
    <w:p>
      <w:pPr>
        <w:jc w:val="center"/>
        <w:keepLines w:val="0"/>
        <w:keepNext w:val="0"/>
        <w:pageBreakBefore w:val="0"/>
        <w:spacing w:line="400" w:lineRule="exact"/>
        <w:widowControl w:val="off"/>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t xml:space="preserve">施</w:t>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t xml:space="preserve">工</w:t>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t xml:space="preserve">合</w:t>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r>
      <w:r/>
    </w:p>
    <w:p>
      <w:pPr>
        <w:jc w:val="center"/>
        <w:spacing w:line="860" w:lineRule="exact"/>
        <w:rPr>
          <w:rFonts w:hint="eastAsia" w:ascii="黑体" w:hAnsi="黑体" w:eastAsia="黑体" w:cs="Tahoma"/>
          <w:b/>
          <w:bCs/>
          <w:color w:val="auto"/>
          <w:spacing w:val="20"/>
          <w:sz w:val="72"/>
          <w:szCs w:val="72"/>
          <w:highlight w:val="none"/>
          <w:shd w:val="clear" w:color="auto" w:fill="ffffff"/>
        </w:rPr>
      </w:pPr>
      <w:r>
        <w:rPr>
          <w:rFonts w:hint="eastAsia" w:ascii="黑体" w:hAnsi="黑体" w:eastAsia="黑体" w:cs="Tahoma"/>
          <w:b/>
          <w:bCs/>
          <w:color w:val="auto"/>
          <w:spacing w:val="20"/>
          <w:sz w:val="72"/>
          <w:szCs w:val="72"/>
          <w:highlight w:val="none"/>
          <w:shd w:val="clear" w:color="auto" w:fill="ffffff"/>
        </w:rPr>
        <w:t xml:space="preserve">同</w:t>
      </w:r>
      <w:r/>
    </w:p>
    <w:p>
      <w:pPr>
        <w:ind w:firstLine="713"/>
        <w:spacing w:line="640" w:lineRule="exact"/>
        <w:rPr>
          <w:rFonts w:hint="eastAsia" w:ascii="黑体" w:hAnsi="黑体" w:eastAsia="黑体"/>
          <w:color w:val="auto"/>
          <w:sz w:val="36"/>
          <w:szCs w:val="44"/>
          <w:highlight w:val="none"/>
        </w:rPr>
      </w:pPr>
      <w:r>
        <w:rPr>
          <w:rFonts w:hint="eastAsia" w:ascii="黑体" w:hAnsi="黑体" w:eastAsia="黑体"/>
          <w:color w:val="auto"/>
          <w:sz w:val="36"/>
          <w:szCs w:val="44"/>
          <w:highlight w:val="none"/>
        </w:rPr>
      </w:r>
      <w:r/>
    </w:p>
    <w:p>
      <w:pPr>
        <w:jc w:val="center"/>
        <w:spacing w:line="860" w:lineRule="exact"/>
        <w:rPr>
          <w:rFonts w:hint="eastAsia" w:ascii="黑体" w:hAnsi="黑体" w:eastAsia="黑体" w:cs="Tahoma"/>
          <w:b/>
          <w:bCs/>
          <w:color w:val="auto"/>
          <w:spacing w:val="40"/>
          <w:sz w:val="40"/>
          <w:szCs w:val="40"/>
          <w:highlight w:val="none"/>
          <w:shd w:val="clear" w:color="auto" w:fill="ffffff"/>
        </w:rPr>
      </w:pPr>
      <w:r>
        <w:rPr>
          <w:rFonts w:hint="eastAsia" w:ascii="黑体" w:hAnsi="黑体" w:eastAsia="黑体" w:cs="Tahoma"/>
          <w:b/>
          <w:bCs/>
          <w:color w:val="auto"/>
          <w:spacing w:val="40"/>
          <w:sz w:val="40"/>
          <w:szCs w:val="40"/>
          <w:highlight w:val="none"/>
          <w:shd w:val="clear" w:color="auto" w:fill="ffffff"/>
        </w:rPr>
        <w:t xml:space="preserve">中共建湖县委政法委员会</w:t>
      </w:r>
      <w:r/>
    </w:p>
    <w:p>
      <w:pPr>
        <w:jc w:val="center"/>
        <w:spacing w:line="860" w:lineRule="exact"/>
        <w:rPr>
          <w:rFonts w:hint="eastAsia" w:ascii="黑体" w:hAnsi="黑体" w:eastAsia="黑体" w:cs="Tahoma"/>
          <w:b/>
          <w:bCs/>
          <w:color w:val="auto"/>
          <w:spacing w:val="40"/>
          <w:sz w:val="40"/>
          <w:szCs w:val="40"/>
          <w:highlight w:val="none"/>
          <w:shd w:val="clear" w:color="auto" w:fill="ffffff"/>
        </w:rPr>
      </w:pPr>
      <w:r>
        <w:rPr>
          <w:rFonts w:hint="eastAsia" w:ascii="黑体" w:hAnsi="黑体" w:eastAsia="黑体" w:cs="Tahoma"/>
          <w:b/>
          <w:bCs/>
          <w:color w:val="auto"/>
          <w:spacing w:val="40"/>
          <w:sz w:val="40"/>
          <w:szCs w:val="40"/>
          <w:highlight w:val="none"/>
          <w:shd w:val="clear" w:color="auto" w:fill="ffffff"/>
        </w:rPr>
        <w:t xml:space="preserve">二〇二五年 月</w:t>
      </w:r>
      <w:bookmarkEnd w:id="138"/>
      <w:r/>
      <w:bookmarkEnd w:id="139"/>
      <w:r/>
      <w:bookmarkEnd w:id="140"/>
      <w:r/>
      <w:r/>
    </w:p>
    <w:p>
      <w:pPr>
        <w:ind w:firstLine="480"/>
        <w:jc w:val="left"/>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480"/>
        <w:jc w:val="left"/>
        <w:spacing w:line="440" w:lineRule="exact"/>
        <w:rPr>
          <w:rFonts w:hint="eastAsia" w:ascii="宋体" w:hAnsi="宋体"/>
          <w:color w:val="auto"/>
          <w:sz w:val="24"/>
          <w:highlight w:val="none"/>
        </w:rPr>
      </w:pPr>
      <w:r>
        <w:rPr>
          <w:rFonts w:hint="eastAsia" w:ascii="宋体" w:hAnsi="宋体"/>
          <w:color w:val="auto"/>
          <w:sz w:val="24"/>
          <w:highlight w:val="none"/>
        </w:rPr>
      </w:r>
      <w:r/>
    </w:p>
    <w:p>
      <w:pPr>
        <w:ind w:firstLine="800"/>
        <w:jc w:val="center"/>
        <w:spacing w:line="440" w:lineRule="exact"/>
        <w:rPr>
          <w:rFonts w:hint="eastAsia" w:ascii="宋体" w:hAnsi="宋体"/>
          <w:color w:val="auto"/>
          <w:sz w:val="40"/>
          <w:szCs w:val="40"/>
          <w:highlight w:val="none"/>
        </w:rPr>
      </w:pPr>
      <w:r>
        <w:rPr>
          <w:rFonts w:hint="eastAsia" w:ascii="宋体" w:hAnsi="宋体"/>
          <w:color w:val="auto"/>
          <w:sz w:val="40"/>
          <w:szCs w:val="40"/>
          <w:highlight w:val="none"/>
        </w:rPr>
      </w:r>
      <w:r/>
    </w:p>
    <w:p>
      <w:pPr>
        <w:ind w:firstLine="643"/>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合同协议书</w:t>
      </w:r>
      <w:r/>
    </w:p>
    <w:p>
      <w:pPr>
        <w:jc w:val="left"/>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color w:val="auto"/>
          <w:sz w:val="24"/>
          <w:highlight w:val="none"/>
          <w:u w:val="single"/>
        </w:rPr>
        <w:t xml:space="preserve">     </w:t>
      </w:r>
      <w:r>
        <w:rPr>
          <w:rFonts w:hint="eastAsia" w:ascii="宋体" w:hAnsi="宋体"/>
          <w:bCs/>
          <w:color w:val="auto"/>
          <w:sz w:val="24"/>
          <w:highlight w:val="none"/>
          <w:u w:val="single"/>
        </w:rPr>
        <w:t xml:space="preserve">中共建湖县委政法委员会       </w:t>
      </w:r>
      <w:r>
        <w:rPr>
          <w:rFonts w:hint="eastAsia" w:ascii="宋体" w:hAnsi="宋体"/>
          <w:color w:val="auto"/>
          <w:sz w:val="24"/>
          <w:highlight w:val="none"/>
        </w:rPr>
        <w:t xml:space="preserve">（以下简称甲方）</w:t>
      </w:r>
      <w:r/>
    </w:p>
    <w:p>
      <w:pPr>
        <w:jc w:val="left"/>
        <w:keepLines w:val="0"/>
        <w:keepNext w:val="0"/>
        <w:pageBreakBefore w:val="0"/>
        <w:spacing w:line="480" w:lineRule="exact"/>
        <w:rPr>
          <w:rFonts w:hint="eastAsia" w:ascii="宋体" w:hAnsi="宋体"/>
          <w:color w:val="auto"/>
          <w:sz w:val="24"/>
          <w:highlight w:val="none"/>
          <w:u w:val="single"/>
        </w:rPr>
      </w:pPr>
      <w:r>
        <w:rPr>
          <w:rFonts w:hint="eastAsia" w:ascii="宋体" w:hAnsi="宋体"/>
          <w:color w:val="auto"/>
          <w:sz w:val="24"/>
          <w:highlight w:val="none"/>
        </w:rPr>
        <w:t xml:space="preserve">中标人（全称）：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（以下简称乙方）</w:t>
      </w:r>
      <w:r/>
    </w:p>
    <w:p>
      <w:pPr>
        <w:ind w:firstLine="480"/>
        <w:jc w:val="left"/>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bCs/>
          <w:color w:val="auto"/>
          <w:sz w:val="24"/>
          <w:highlight w:val="none"/>
          <w:u w:val="single"/>
          <w:lang w:eastAsia="zh-CN"/>
        </w:rPr>
        <w:t xml:space="preserve">建湖县社会治安综合治理中心改造项目</w:t>
      </w:r>
      <w:r>
        <w:rPr>
          <w:rFonts w:hint="eastAsia" w:ascii="宋体" w:hAnsi="宋体"/>
          <w:color w:val="auto"/>
          <w:sz w:val="24"/>
          <w:highlight w:val="none"/>
        </w:rPr>
        <w:t xml:space="preserve">相关事项协商一致，达成如下合同条款：</w:t>
      </w:r>
      <w:r/>
    </w:p>
    <w:p>
      <w:pPr>
        <w:ind w:firstLine="482"/>
        <w:jc w:val="left"/>
        <w:keepLines w:val="0"/>
        <w:keepNext w:val="0"/>
        <w:pageBreakBefore w:val="0"/>
        <w:spacing w:line="480" w:lineRule="exact"/>
        <w:rPr>
          <w:rFonts w:hint="eastAsia" w:ascii="宋体" w:hAnsi="宋体"/>
          <w:b/>
          <w:color w:val="auto"/>
          <w:sz w:val="24"/>
          <w:highlight w:val="none"/>
        </w:rPr>
      </w:pPr>
      <w:r>
        <w:rPr>
          <w:rFonts w:hint="eastAsia" w:ascii="宋体" w:hAnsi="宋体"/>
          <w:b/>
          <w:color w:val="auto"/>
          <w:sz w:val="24"/>
          <w:highlight w:val="none"/>
        </w:rPr>
        <w:t xml:space="preserve">一、合同标的</w:t>
      </w:r>
      <w:r/>
    </w:p>
    <w:p>
      <w:pPr>
        <w:ind w:firstLine="470"/>
        <w:keepLines w:val="0"/>
        <w:keepNext w:val="0"/>
        <w:pageBreakBefore w:val="0"/>
        <w:spacing w:line="48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1.中标价即为合同价。</w:t>
      </w:r>
      <w:r/>
    </w:p>
    <w:p>
      <w:pPr>
        <w:ind w:firstLine="470"/>
        <w:keepLines w:val="0"/>
        <w:keepNext w:val="0"/>
        <w:pageBreakBefore w:val="0"/>
        <w:spacing w:line="480" w:lineRule="exact"/>
        <w:rPr>
          <w:rFonts w:hint="eastAsia" w:ascii="宋体" w:hAnsi="宋体"/>
          <w:color w:val="auto"/>
          <w:sz w:val="24"/>
          <w:szCs w:val="20"/>
          <w:highlight w:val="none"/>
        </w:rPr>
      </w:pPr>
      <w:r>
        <w:rPr>
          <w:rFonts w:hint="eastAsia" w:ascii="宋体" w:hAnsi="宋体"/>
          <w:color w:val="auto"/>
          <w:sz w:val="24"/>
          <w:szCs w:val="20"/>
          <w:highlight w:val="none"/>
          <w:u w:val="single"/>
        </w:rPr>
        <w:t xml:space="preserve">合同金额为：人民币（大写）                元（￥            元）</w:t>
      </w:r>
      <w:r>
        <w:rPr>
          <w:rFonts w:hint="eastAsia" w:ascii="宋体" w:hAnsi="宋体"/>
          <w:color w:val="auto"/>
          <w:sz w:val="24"/>
          <w:szCs w:val="20"/>
          <w:highlight w:val="none"/>
        </w:rPr>
        <w:t xml:space="preserve">。</w:t>
      </w:r>
      <w:r/>
    </w:p>
    <w:p>
      <w:pPr>
        <w:ind w:firstLine="470"/>
        <w:keepLines w:val="0"/>
        <w:keepNext w:val="0"/>
        <w:pageBreakBefore w:val="0"/>
        <w:spacing w:line="480" w:lineRule="exact"/>
        <w:rPr>
          <w:rFonts w:hint="eastAsia" w:ascii="宋体" w:hAnsi="宋体" w:cs="宋体"/>
          <w:color w:val="auto"/>
          <w:sz w:val="24"/>
          <w:highlight w:val="none"/>
        </w:rPr>
      </w:pPr>
      <w:r>
        <w:rPr>
          <w:rFonts w:hint="eastAsia" w:ascii="宋体" w:hAnsi="宋体"/>
          <w:color w:val="auto"/>
          <w:sz w:val="24"/>
          <w:highlight w:val="none"/>
        </w:rPr>
        <w:t xml:space="preserve">2.合同中合同总价应是招标文件所确定招标范围内全部工作内容的价格体现，</w:t>
      </w:r>
      <w:r>
        <w:rPr>
          <w:rFonts w:ascii="宋体" w:hAnsi="宋体"/>
          <w:color w:val="auto"/>
          <w:sz w:val="24"/>
          <w:highlight w:val="none"/>
        </w:rPr>
        <w:t xml:space="preserve">以及为完成上述内容所必须</w:t>
      </w:r>
      <w:r>
        <w:rPr>
          <w:rFonts w:hint="eastAsia" w:ascii="宋体" w:hAnsi="宋体"/>
          <w:color w:val="auto"/>
          <w:sz w:val="24"/>
          <w:szCs w:val="20"/>
          <w:highlight w:val="none"/>
        </w:rPr>
        <w:t xml:space="preserve">的材料费、人工费、机械费、办公费、措施费、交通费、招标代理费、税收等一切费用。</w:t>
      </w:r>
      <w:r>
        <w:rPr>
          <w:rFonts w:hint="eastAsia" w:ascii="宋体" w:hAnsi="宋体"/>
          <w:color w:val="auto"/>
          <w:sz w:val="24"/>
          <w:highlight w:val="none"/>
        </w:rPr>
        <w:t xml:space="preserve">对乙方认为没有考虑到的费用项目甲方将不予支付，并认为此项费用已包含在投标报价中</w:t>
      </w:r>
      <w:r>
        <w:rPr>
          <w:rFonts w:hint="eastAsia" w:ascii="宋体" w:hAnsi="宋体" w:cs="宋体"/>
          <w:color w:val="auto"/>
          <w:sz w:val="24"/>
          <w:highlight w:val="none"/>
        </w:rPr>
        <w:t xml:space="preserve">。</w:t>
      </w:r>
      <w:r/>
    </w:p>
    <w:p>
      <w:pPr>
        <w:ind w:firstLine="480"/>
        <w:jc w:val="left"/>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3.履约</w:t>
      </w:r>
      <w:r>
        <w:rPr>
          <w:rFonts w:ascii="宋体" w:hAnsi="宋体"/>
          <w:color w:val="auto"/>
          <w:sz w:val="24"/>
          <w:highlight w:val="none"/>
        </w:rPr>
        <w:t xml:space="preserve">保证金</w:t>
      </w:r>
      <w:r/>
    </w:p>
    <w:p>
      <w:pPr>
        <w:ind w:firstLine="480"/>
        <w:jc w:val="both"/>
        <w:keepLines w:val="0"/>
        <w:keepNext w:val="0"/>
        <w:pageBreakBefore w:val="0"/>
        <w:spacing w:line="480" w:lineRule="exact"/>
        <w:rPr>
          <w:rFonts w:hint="eastAsia" w:ascii="宋体" w:hAnsi="宋体"/>
          <w:bCs/>
          <w:color w:val="auto"/>
          <w:sz w:val="24"/>
          <w:highlight w:val="none"/>
        </w:rPr>
      </w:pPr>
      <w:r>
        <w:rPr>
          <w:rFonts w:hint="eastAsia" w:ascii="宋体" w:hAnsi="宋体"/>
          <w:color w:val="auto"/>
          <w:sz w:val="24"/>
          <w:highlight w:val="none"/>
        </w:rPr>
        <w:t xml:space="preserve">3.1乙方在签订合同时，须向甲方交纳项目</w:t>
      </w:r>
      <w:r>
        <w:rPr>
          <w:rFonts w:hint="eastAsia" w:ascii="宋体" w:hAnsi="宋体" w:cs="宋体"/>
          <w:color w:val="auto"/>
          <w:sz w:val="24"/>
          <w:szCs w:val="20"/>
          <w:highlight w:val="none"/>
        </w:rPr>
        <w:t xml:space="preserve">中标价5%</w:t>
      </w:r>
      <w:r>
        <w:rPr>
          <w:rFonts w:hint="eastAsia" w:ascii="宋体" w:hAnsi="宋体"/>
          <w:color w:val="auto"/>
          <w:sz w:val="24"/>
          <w:highlight w:val="none"/>
        </w:rPr>
        <w:t xml:space="preserve">的履约保证金，</w:t>
      </w:r>
      <w:r>
        <w:rPr>
          <w:rFonts w:hint="eastAsia" w:ascii="宋体" w:hAnsi="宋体" w:cs="宋体"/>
          <w:color w:val="auto"/>
          <w:sz w:val="24"/>
          <w:szCs w:val="20"/>
          <w:highlight w:val="none"/>
        </w:rPr>
        <w:t xml:space="preserve">于项目服务期满后退还</w:t>
      </w:r>
      <w:r>
        <w:rPr>
          <w:rFonts w:hint="eastAsia" w:ascii="宋体" w:hAnsi="宋体"/>
          <w:color w:val="auto"/>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3.2</w:t>
      </w:r>
      <w:r>
        <w:rPr>
          <w:rFonts w:hint="eastAsia" w:ascii="宋体" w:hAnsi="宋体" w:cs="宋体"/>
          <w:color w:val="auto"/>
          <w:sz w:val="24"/>
          <w:szCs w:val="20"/>
          <w:highlight w:val="none"/>
        </w:rPr>
        <w:t xml:space="preserve">合同履行结束后，甲方应及时退还交纳的履约保证金。</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3.3</w:t>
      </w:r>
      <w:r>
        <w:rPr>
          <w:rFonts w:hint="eastAsia" w:ascii="宋体" w:hAnsi="宋体" w:cs="宋体"/>
          <w:color w:val="auto"/>
          <w:sz w:val="24"/>
          <w:szCs w:val="20"/>
          <w:highlight w:val="none"/>
        </w:rPr>
        <w:t xml:space="preserve">履约保证金的退还：</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3.1方式：无息退还至投标人缴纳履约保证金的账户。如为保函，在到期时自行失效。</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3.2时间：项目服务期满后退还。</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3.3条件：按合同要求全部履约完成并经甲方验收合格，且甲方收到乙方出具的发票。</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3.4不予退还情形：</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除不可抗力情况外，投标人出现下列情形之一的，其履约保证金，甲方将视情节决定不予退还或部分不予退还。</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（1）乙方无正当理由拒绝签订合同的，或者在签订合同时向采购人提出附加条件或者更改合同实质性内容要求的；</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（2）乙方不履行与采购人订立的合同的；</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（3）乙方所供货物或服务不符合招标文件规定要求的；</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w:t>
      </w:r>
      <w:r/>
    </w:p>
    <w:p>
      <w:pPr>
        <w:ind w:firstLine="480"/>
        <w:jc w:val="left"/>
        <w:keepLines w:val="0"/>
        <w:keepNext w:val="0"/>
        <w:pageBreakBefore w:val="0"/>
        <w:spacing w:line="480" w:lineRule="exact"/>
        <w:rPr>
          <w:rFonts w:hint="eastAsia" w:ascii="宋体" w:hAnsi="宋体" w:cs="宋体"/>
          <w:color w:val="auto"/>
          <w:sz w:val="24"/>
          <w:szCs w:val="20"/>
          <w:highlight w:val="none"/>
        </w:rPr>
      </w:pPr>
      <w:r>
        <w:rPr>
          <w:rFonts w:ascii="宋体" w:hAnsi="宋体" w:cs="宋体"/>
          <w:color w:val="auto"/>
          <w:sz w:val="24"/>
          <w:szCs w:val="20"/>
          <w:highlight w:val="none"/>
        </w:rPr>
        <w:t xml:space="preserve">3.</w:t>
      </w:r>
      <w:r>
        <w:rPr>
          <w:rFonts w:hint="eastAsia" w:ascii="宋体" w:hAnsi="宋体" w:cs="宋体"/>
          <w:color w:val="auto"/>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keepLines w:val="0"/>
        <w:keepNext w:val="0"/>
        <w:pageBreakBefore w:val="0"/>
        <w:spacing w:line="48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项目实施期间，乙方所有的工作人员的人身安全以及乙方在实施期间产生的各类安全责任事故均由乙方自行承担。</w:t>
      </w:r>
      <w:r/>
    </w:p>
    <w:p>
      <w:pPr>
        <w:ind w:firstLine="480"/>
        <w:jc w:val="left"/>
        <w:keepLines w:val="0"/>
        <w:keepNext w:val="0"/>
        <w:pageBreakBefore w:val="0"/>
        <w:spacing w:line="480" w:lineRule="exact"/>
        <w:rPr>
          <w:rFonts w:hint="eastAsia" w:ascii="宋体" w:hAnsi="宋体"/>
          <w:color w:val="auto"/>
          <w:sz w:val="24"/>
          <w:highlight w:val="none"/>
        </w:rPr>
      </w:pPr>
      <w:r>
        <w:rPr>
          <w:rFonts w:hint="eastAsia" w:ascii="宋体" w:hAnsi="宋体"/>
          <w:color w:val="auto"/>
          <w:sz w:val="24"/>
          <w:highlight w:val="none"/>
        </w:rPr>
        <w:t xml:space="preserve">5.甲方</w:t>
      </w:r>
      <w:r>
        <w:rPr>
          <w:rFonts w:ascii="宋体" w:hAnsi="宋体"/>
          <w:color w:val="auto"/>
          <w:sz w:val="24"/>
          <w:highlight w:val="none"/>
        </w:rPr>
        <w:t xml:space="preserve">或者采购代理机构应当按照政府采购合同规定的技术、服务、安全标准组织对</w:t>
      </w:r>
      <w:r>
        <w:rPr>
          <w:rFonts w:hint="eastAsia" w:ascii="宋体" w:hAnsi="宋体"/>
          <w:color w:val="auto"/>
          <w:sz w:val="24"/>
          <w:highlight w:val="none"/>
        </w:rPr>
        <w:t xml:space="preserve">乙方的</w:t>
      </w:r>
      <w:r>
        <w:rPr>
          <w:rFonts w:ascii="宋体" w:hAnsi="宋体"/>
          <w:color w:val="auto"/>
          <w:sz w:val="24"/>
          <w:highlight w:val="none"/>
        </w:rPr>
        <w:t xml:space="preserve">履约情况进行验收，并出具验收书。验收书应当包括每一项技术、服务、安全标准的履约情况</w:t>
      </w:r>
      <w:r>
        <w:rPr>
          <w:rFonts w:hint="eastAsia" w:ascii="宋体" w:hAnsi="宋体"/>
          <w:color w:val="auto"/>
          <w:sz w:val="24"/>
          <w:highlight w:val="none"/>
        </w:rPr>
        <w:t xml:space="preserve">。</w:t>
      </w:r>
      <w:r/>
    </w:p>
    <w:p>
      <w:pPr>
        <w:ind w:firstLine="482"/>
        <w:jc w:val="left"/>
        <w:keepLines w:val="0"/>
        <w:keepNext w:val="0"/>
        <w:pageBreakBefore w:val="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二、项目内容</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1.项目名称：</w:t>
      </w:r>
      <w:r>
        <w:rPr>
          <w:rFonts w:hint="eastAsia" w:ascii="宋体" w:hAnsi="宋体" w:cs="宋体"/>
          <w:color w:val="auto"/>
          <w:sz w:val="24"/>
          <w:highlight w:val="none"/>
          <w:u w:val="single"/>
          <w:lang w:eastAsia="zh-CN"/>
        </w:rPr>
        <w:t xml:space="preserve">建湖县社会治安综合治理中心改造项目</w:t>
      </w:r>
      <w:r>
        <w:rPr>
          <w:rFonts w:hint="eastAsia" w:ascii="宋体" w:hAnsi="宋体" w:cs="宋体"/>
          <w:bCs/>
          <w:color w:val="auto"/>
          <w:sz w:val="24"/>
          <w:szCs w:val="22"/>
          <w:highlight w:val="none"/>
        </w:rPr>
        <w:t xml:space="preserve"> </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2.项目内容：</w:t>
      </w:r>
      <w:r>
        <w:rPr>
          <w:rFonts w:hint="eastAsia" w:ascii="宋体" w:hAnsi="宋体" w:cs="宋体"/>
          <w:color w:val="auto"/>
          <w:sz w:val="24"/>
          <w:highlight w:val="none"/>
          <w:u w:val="single"/>
          <w:lang w:eastAsia="zh-CN"/>
        </w:rPr>
        <w:t xml:space="preserve">建湖县社会治安综合治理中心改造项目包含传达室、接建楼、附属停车场及围墙等工程的施工，具体内容详见施工图纸及工程量清单</w:t>
      </w:r>
      <w:r>
        <w:rPr>
          <w:rFonts w:hint="eastAsia" w:ascii="宋体" w:hAnsi="宋体" w:cs="宋体"/>
          <w:color w:val="auto"/>
          <w:sz w:val="24"/>
          <w:highlight w:val="none"/>
          <w:lang w:eastAsia="zh-CN"/>
        </w:rPr>
        <w:t xml:space="preserve">。</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3.项目地点：</w:t>
      </w:r>
      <w:r>
        <w:rPr>
          <w:rFonts w:hint="eastAsia" w:ascii="宋体" w:hAnsi="宋体" w:cs="宋体"/>
          <w:bCs/>
          <w:color w:val="auto"/>
          <w:sz w:val="24"/>
          <w:szCs w:val="22"/>
          <w:highlight w:val="none"/>
          <w:u w:val="single"/>
        </w:rPr>
        <w:t xml:space="preserve">甲方指定地点</w:t>
      </w:r>
      <w:r>
        <w:rPr>
          <w:rFonts w:hint="eastAsia" w:ascii="宋体" w:hAnsi="宋体" w:cs="宋体"/>
          <w:bCs/>
          <w:color w:val="auto"/>
          <w:sz w:val="24"/>
          <w:szCs w:val="22"/>
          <w:highlight w:val="none"/>
        </w:rPr>
        <w:t xml:space="preserve">。</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4.合同履行期限：</w:t>
      </w:r>
      <w:r>
        <w:rPr>
          <w:rFonts w:hint="eastAsia" w:ascii="宋体" w:hAnsi="宋体" w:cs="宋体"/>
          <w:bCs/>
          <w:color w:val="auto"/>
          <w:sz w:val="24"/>
          <w:szCs w:val="22"/>
          <w:highlight w:val="none"/>
          <w:u w:val="single"/>
        </w:rPr>
        <w:t xml:space="preserve">合同签订后</w:t>
      </w:r>
      <w:r>
        <w:rPr>
          <w:rFonts w:hint="eastAsia" w:ascii="宋体" w:hAnsi="宋体" w:cs="宋体"/>
          <w:bCs/>
          <w:color w:val="auto"/>
          <w:sz w:val="24"/>
          <w:szCs w:val="22"/>
          <w:highlight w:val="none"/>
          <w:u w:val="single"/>
          <w:lang w:eastAsia="zh-CN"/>
        </w:rPr>
        <w:t xml:space="preserve">50日历天</w:t>
      </w:r>
      <w:r>
        <w:rPr>
          <w:rFonts w:hint="eastAsia" w:ascii="宋体" w:hAnsi="宋体" w:cs="宋体"/>
          <w:bCs/>
          <w:color w:val="auto"/>
          <w:sz w:val="24"/>
          <w:szCs w:val="22"/>
          <w:highlight w:val="none"/>
          <w:u w:val="single"/>
        </w:rPr>
        <w:t xml:space="preserve">内竣工，完成项目的全部施工内容</w:t>
      </w:r>
      <w:r>
        <w:rPr>
          <w:rFonts w:hint="eastAsia" w:ascii="宋体" w:hAnsi="宋体" w:cs="宋体"/>
          <w:bCs/>
          <w:color w:val="auto"/>
          <w:sz w:val="24"/>
          <w:szCs w:val="22"/>
          <w:highlight w:val="none"/>
        </w:rPr>
        <w:t xml:space="preserve">。</w:t>
      </w:r>
      <w:r/>
    </w:p>
    <w:p>
      <w:pPr>
        <w:ind w:left="2" w:firstLine="475"/>
        <w:keepLines w:val="0"/>
        <w:keepNext w:val="0"/>
        <w:pageBreakBefore w:val="0"/>
        <w:spacing w:line="480" w:lineRule="exact"/>
        <w:rPr>
          <w:rFonts w:hint="eastAsia" w:ascii="宋体" w:hAnsi="宋体"/>
          <w:b/>
          <w:bCs/>
          <w:color w:val="auto"/>
          <w:sz w:val="24"/>
          <w:highlight w:val="none"/>
        </w:rPr>
      </w:pPr>
      <w:r>
        <w:rPr>
          <w:rFonts w:hint="eastAsia" w:ascii="宋体" w:hAnsi="宋体" w:cs="宋体"/>
          <w:bCs/>
          <w:color w:val="auto"/>
          <w:sz w:val="24"/>
          <w:szCs w:val="22"/>
          <w:highlight w:val="none"/>
        </w:rPr>
        <w:t xml:space="preserve">5.项目负责人姓名：</w:t>
      </w:r>
      <w:r>
        <w:rPr>
          <w:rFonts w:hint="eastAsia" w:ascii="宋体" w:hAnsi="宋体" w:cs="宋体"/>
          <w:bCs/>
          <w:color w:val="auto"/>
          <w:sz w:val="24"/>
          <w:szCs w:val="22"/>
          <w:highlight w:val="none"/>
          <w:u w:val="single"/>
        </w:rPr>
        <w:t xml:space="preserve">  </w:t>
      </w:r>
      <w:r>
        <w:rPr>
          <w:rFonts w:ascii="宋体" w:hAnsi="宋体" w:cs="宋体"/>
          <w:bCs/>
          <w:color w:val="auto"/>
          <w:sz w:val="24"/>
          <w:szCs w:val="22"/>
          <w:highlight w:val="none"/>
          <w:u w:val="single"/>
        </w:rPr>
        <w:t xml:space="preserve">  </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；身份证号：</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；联系电话：</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w:t>
      </w:r>
      <w:r/>
    </w:p>
    <w:p>
      <w:pPr>
        <w:ind w:left="2" w:firstLine="477"/>
        <w:keepLines w:val="0"/>
        <w:keepNext w:val="0"/>
        <w:pageBreakBefore w:val="0"/>
        <w:spacing w:line="480" w:lineRule="exact"/>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三、技术资料</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1.乙方应按磋商文件规定的时间向甲方提供与合同标的有关的技术资料。</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2.</w:t>
      </w:r>
      <w:r>
        <w:rPr>
          <w:rFonts w:hint="eastAsia" w:ascii="宋体" w:hAnsi="宋体" w:cs="宋体"/>
          <w:bCs/>
          <w:color w:val="auto"/>
          <w:sz w:val="24"/>
          <w:szCs w:val="22"/>
          <w:highlight w:val="none"/>
          <w:lang w:val="en-US" w:eastAsia="zh-CN"/>
        </w:rPr>
        <w:t xml:space="preserve">未</w:t>
      </w:r>
      <w:r>
        <w:rPr>
          <w:rFonts w:hint="eastAsia" w:ascii="宋体" w:hAnsi="宋体" w:cs="宋体"/>
          <w:bCs/>
          <w:color w:val="auto"/>
          <w:sz w:val="24"/>
          <w:szCs w:val="22"/>
          <w:highlight w:val="none"/>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如果乙方违反，按照合同金额的20%支付违约金，并承担给甲方造成的损失。</w:t>
      </w:r>
      <w:r/>
    </w:p>
    <w:p>
      <w:pPr>
        <w:ind w:firstLine="470"/>
        <w:keepLines w:val="0"/>
        <w:keepNext w:val="0"/>
        <w:pageBreakBefore w:val="0"/>
        <w:spacing w:line="480" w:lineRule="exact"/>
        <w:rPr>
          <w:b/>
          <w:bCs/>
          <w:color w:val="auto"/>
          <w:highlight w:val="none"/>
        </w:rPr>
        <w:outlineLvl w:val="0"/>
      </w:pPr>
      <w:r/>
      <w:bookmarkStart w:id="141" w:name="_Toc205811297"/>
      <w:r/>
      <w:bookmarkStart w:id="142" w:name="_Toc25121"/>
      <w:r/>
      <w:bookmarkStart w:id="143" w:name="_Toc52"/>
      <w:r>
        <w:rPr>
          <w:rFonts w:hint="eastAsia" w:ascii="宋体" w:hAnsi="宋体" w:cs="宋体"/>
          <w:bCs/>
          <w:color w:val="auto"/>
          <w:sz w:val="24"/>
          <w:szCs w:val="22"/>
          <w:highlight w:val="none"/>
        </w:rPr>
        <w:t xml:space="preserve">3.材料必须选用经甲方认可的知名品牌产品，颜色施工前经甲方认可。</w:t>
      </w:r>
      <w:bookmarkEnd w:id="141"/>
      <w:r/>
      <w:bookmarkEnd w:id="142"/>
      <w:r/>
      <w:bookmarkEnd w:id="143"/>
      <w:r/>
      <w:r/>
    </w:p>
    <w:p>
      <w:pPr>
        <w:ind w:left="2" w:firstLine="477"/>
        <w:keepLines w:val="0"/>
        <w:keepNext w:val="0"/>
        <w:pageBreakBefore w:val="0"/>
        <w:spacing w:line="480" w:lineRule="exact"/>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四、知识产权</w:t>
      </w:r>
      <w:r/>
    </w:p>
    <w:p>
      <w:pPr>
        <w:ind w:firstLine="480"/>
        <w:jc w:val="left"/>
        <w:keepLines w:val="0"/>
        <w:keepNext w:val="0"/>
        <w:pageBreakBefore w:val="0"/>
        <w:spacing w:line="480" w:lineRule="exact"/>
        <w:rPr>
          <w:rFonts w:hint="eastAsia" w:ascii="宋体" w:hAnsi="宋体"/>
          <w:b/>
          <w:bCs/>
          <w:color w:val="auto"/>
          <w:sz w:val="24"/>
          <w:highlight w:val="none"/>
        </w:rPr>
      </w:pPr>
      <w:r>
        <w:rPr>
          <w:rFonts w:hint="eastAsia" w:ascii="宋体" w:hAnsi="宋体" w:cs="宋体"/>
          <w:bCs/>
          <w:color w:val="auto"/>
          <w:sz w:val="24"/>
          <w:szCs w:val="22"/>
          <w:highlight w:val="none"/>
        </w:rPr>
        <w:t xml:space="preserve">乙方应保证甲方在使用、接受本合同标的或其任何一部分时不受第三方提出侵犯其专利权、版权、商标权和工业设计权等知识产权的起诉。一旦出现侵权并影响到甲方使用该服务标的的，甲方有权解除合同，要求乙方按照合同金额的20%支付违约金，并由乙方赔偿造成的甲方全部损失。</w:t>
      </w:r>
      <w:r/>
    </w:p>
    <w:p>
      <w:pPr>
        <w:ind w:left="2" w:firstLine="477"/>
        <w:keepLines w:val="0"/>
        <w:keepNext w:val="0"/>
        <w:pageBreakBefore w:val="0"/>
        <w:spacing w:line="480" w:lineRule="exact"/>
        <w:rPr>
          <w:rFonts w:hint="eastAsia" w:ascii="宋体" w:hAnsi="宋体" w:cs="宋体"/>
          <w:b/>
          <w:color w:val="auto"/>
          <w:sz w:val="24"/>
          <w:szCs w:val="22"/>
          <w:highlight w:val="none"/>
        </w:rPr>
      </w:pPr>
      <w:r>
        <w:rPr>
          <w:rFonts w:hint="eastAsia" w:ascii="宋体" w:hAnsi="宋体" w:cs="宋体"/>
          <w:b/>
          <w:color w:val="auto"/>
          <w:sz w:val="24"/>
          <w:szCs w:val="22"/>
          <w:highlight w:val="none"/>
        </w:rPr>
        <w:t xml:space="preserve">五、合同转包或分包</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1.本合同范围的施工，应由乙方直接供应，不得转让他人供应；</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2.除非得到甲方的书面同意，乙方不得部分分包给他人供应；</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3.如有转让和未经甲方同意的分包行为，甲方有权给予终止合同。</w:t>
      </w:r>
      <w:r/>
    </w:p>
    <w:p>
      <w:pPr>
        <w:ind w:left="2" w:firstLine="477"/>
        <w:keepLines w:val="0"/>
        <w:keepNext w:val="0"/>
        <w:pageBreakBefore w:val="0"/>
        <w:spacing w:line="480" w:lineRule="exact"/>
        <w:rPr>
          <w:rFonts w:hint="eastAsia" w:ascii="宋体" w:hAnsi="宋体" w:cs="宋体"/>
          <w:b/>
          <w:bCs/>
          <w:color w:val="auto"/>
          <w:sz w:val="24"/>
          <w:szCs w:val="22"/>
          <w:highlight w:val="none"/>
        </w:rPr>
      </w:pPr>
      <w:r>
        <w:rPr>
          <w:rFonts w:hint="eastAsia" w:ascii="宋体" w:hAnsi="宋体" w:cs="宋体"/>
          <w:b/>
          <w:bCs/>
          <w:color w:val="auto"/>
          <w:sz w:val="24"/>
          <w:szCs w:val="22"/>
          <w:highlight w:val="none"/>
        </w:rPr>
        <w:t xml:space="preserve">六、合同款项支付</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p>
    <w:p>
      <w:pPr>
        <w:ind w:left="2" w:firstLine="475"/>
        <w:keepLines w:val="0"/>
        <w:keepNext w:val="0"/>
        <w:pageBreakBefore w:val="0"/>
        <w:spacing w:line="480" w:lineRule="exact"/>
        <w:rPr>
          <w:rFonts w:hint="eastAsia" w:ascii="宋体" w:hAnsi="宋体" w:cs="宋体"/>
          <w:b/>
          <w:bCs/>
          <w:color w:val="auto"/>
          <w:sz w:val="24"/>
          <w:szCs w:val="22"/>
          <w:highlight w:val="none"/>
        </w:rPr>
      </w:pPr>
      <w:r>
        <w:rPr>
          <w:rFonts w:hint="eastAsia" w:ascii="宋体" w:hAnsi="宋体" w:cs="宋体"/>
          <w:bCs/>
          <w:color w:val="auto"/>
          <w:sz w:val="24"/>
          <w:szCs w:val="22"/>
          <w:highlight w:val="none"/>
        </w:rPr>
        <w:t xml:space="preserve">2.工程竣工验收合格后付至工程合同价的40%，工程竣工验收合格满一年</w:t>
      </w:r>
      <w:r>
        <w:rPr>
          <w:rFonts w:hint="eastAsia" w:ascii="宋体" w:hAnsi="宋体" w:cs="宋体"/>
          <w:bCs/>
          <w:color w:val="auto"/>
          <w:sz w:val="24"/>
          <w:szCs w:val="22"/>
          <w:highlight w:val="none"/>
          <w:lang w:val="en-US" w:eastAsia="zh-CN"/>
        </w:rPr>
        <w:t xml:space="preserve">再</w:t>
      </w:r>
      <w:r>
        <w:rPr>
          <w:rFonts w:hint="eastAsia" w:ascii="宋体" w:hAnsi="宋体" w:cs="宋体"/>
          <w:bCs/>
          <w:color w:val="auto"/>
          <w:sz w:val="24"/>
          <w:szCs w:val="22"/>
          <w:highlight w:val="none"/>
        </w:rPr>
        <w:t xml:space="preserve">付工程合同价的30%，余款在工程竣工验收合格满二年且通过审计后一次性结清，以审计结果作为价款结算依据。</w:t>
      </w:r>
      <w:r>
        <w:rPr>
          <w:rFonts w:hint="eastAsia" w:ascii="宋体" w:hAnsi="宋体" w:cs="宋体"/>
          <w:b/>
          <w:bCs w:val="0"/>
          <w:color w:val="auto"/>
          <w:sz w:val="24"/>
          <w:szCs w:val="22"/>
          <w:highlight w:val="none"/>
        </w:rPr>
        <w:br/>
      </w:r>
      <w:r>
        <w:rPr>
          <w:rFonts w:hint="eastAsia" w:ascii="宋体" w:hAnsi="宋体" w:cs="宋体"/>
          <w:bCs/>
          <w:color w:val="auto"/>
          <w:sz w:val="24"/>
          <w:szCs w:val="22"/>
          <w:highlight w:val="none"/>
        </w:rPr>
        <w:t xml:space="preserve">    </w:t>
      </w:r>
      <w:r>
        <w:rPr>
          <w:rFonts w:hint="eastAsia" w:ascii="宋体" w:hAnsi="宋体" w:cs="宋体"/>
          <w:b/>
          <w:bCs/>
          <w:color w:val="auto"/>
          <w:sz w:val="24"/>
          <w:szCs w:val="22"/>
          <w:highlight w:val="none"/>
        </w:rPr>
        <w:t xml:space="preserve">七、结算</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工程结算方式为：中标价±设计变更＋磋商文件和合同约定可以调整的价格。</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无论招标时工程量清单中项目特征描述是否准确，甲方要求乙方的投标报价应为完成施工图纸的全部内容，若无相关设计变更，除本磋商文件及施工合同约定允许调整外，中标的综合单价不予调整，工程量按实际完成工程量结算。其中，由乙方代交纳的相关规费等费用，在最终结算时凭缴费发票进入结算总价中。</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本工程采用固定单价合同，合同中综合单价因工程量清单漏项或设计变更需调整时，除合同另有约定外，应按照下列办法确定：</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甲方工程量清单漏项或设计变更引起新的工程量清单项目，合同中有类似变更工程量清单项目的价格，参照类似价格确定变更价格；合同中无类似变更工程清单项目的价格，其相应综合单价由甲方依据《建设工程工程量清单计价规范》（GB50500-2013）、《通用安装工程工程量计算规范》（GB50856-2013）、《市政工程工程量计算规范》（GB50857-2013）（以下简称《工程量计算规范》）、《江苏省建筑与装饰工程计价定额》（2014版）、《江苏省市政工程计价定额》（2</w:t>
      </w:r>
      <w:r>
        <w:rPr>
          <w:rFonts w:hint="eastAsia" w:ascii="宋体" w:hAnsi="宋体" w:cs="宋体"/>
          <w:bCs/>
          <w:color w:val="auto"/>
          <w:sz w:val="24"/>
          <w:szCs w:val="22"/>
          <w:highlight w:val="none"/>
        </w:rPr>
        <w:t xml:space="preserve">014 版）、《江苏省安装工程计价定额》（2014版）、苏建价〔2016〕154号文附件1：2014年 《江苏省建设工程费用定额》 营改增后调整内容（以下简称 《费用定额》）、苏建函价〔2018〕298号省住房城乡建设厅关于建筑业增值税计价政策调整的通知提出、江苏省住房和城乡建设厅〔2018〕第24号省住房城乡建设厅关于调整建设工程按质论价等费用计取方法的公告、苏建函价〔2019〕178号省住房城乡建设厅关于调整建设工程计价增值税税率的通知，甲方可参照本工程磋商文件中招标预算价确定的依据计取费用，材料价格按</w:t>
      </w:r>
      <w:r>
        <w:rPr>
          <w:rFonts w:ascii="宋体" w:hAnsi="宋体" w:cs="宋体"/>
          <w:bCs/>
          <w:color w:val="auto"/>
          <w:sz w:val="24"/>
          <w:szCs w:val="22"/>
          <w:highlight w:val="none"/>
        </w:rPr>
        <w:t xml:space="preserve">202</w:t>
      </w:r>
      <w:r>
        <w:rPr>
          <w:rFonts w:hint="eastAsia" w:ascii="宋体" w:hAnsi="宋体" w:cs="宋体"/>
          <w:bCs/>
          <w:color w:val="auto"/>
          <w:sz w:val="24"/>
          <w:szCs w:val="22"/>
          <w:highlight w:val="none"/>
        </w:rPr>
        <w:t xml:space="preserve">5</w:t>
      </w:r>
      <w:r>
        <w:rPr>
          <w:rFonts w:ascii="宋体" w:hAnsi="宋体" w:cs="宋体"/>
          <w:bCs/>
          <w:color w:val="auto"/>
          <w:sz w:val="24"/>
          <w:szCs w:val="22"/>
          <w:highlight w:val="none"/>
        </w:rPr>
        <w:t xml:space="preserve">年第</w:t>
      </w:r>
      <w:r>
        <w:rPr>
          <w:rFonts w:hint="eastAsia" w:ascii="宋体" w:hAnsi="宋体" w:cs="宋体"/>
          <w:bCs/>
          <w:color w:val="auto"/>
          <w:sz w:val="24"/>
          <w:szCs w:val="22"/>
          <w:highlight w:val="none"/>
        </w:rPr>
        <w:t xml:space="preserve">6</w:t>
      </w:r>
      <w:r>
        <w:rPr>
          <w:rFonts w:ascii="宋体" w:hAnsi="宋体" w:cs="宋体"/>
          <w:bCs/>
          <w:color w:val="auto"/>
          <w:sz w:val="24"/>
          <w:szCs w:val="22"/>
          <w:highlight w:val="none"/>
        </w:rPr>
        <w:t xml:space="preserve">期建湖县建筑材料预算指导 价确定综合单价下浮后结算。</w:t>
      </w:r>
      <w:r>
        <w:rPr>
          <w:rFonts w:hint="eastAsia" w:ascii="宋体" w:hAnsi="宋体" w:cs="宋体"/>
          <w:bCs/>
          <w:color w:val="auto"/>
          <w:sz w:val="24"/>
          <w:szCs w:val="22"/>
          <w:highlight w:val="none"/>
        </w:rPr>
        <w:t xml:space="preserve">乙方</w:t>
      </w:r>
      <w:r>
        <w:rPr>
          <w:rFonts w:ascii="宋体" w:hAnsi="宋体" w:cs="宋体"/>
          <w:bCs/>
          <w:color w:val="auto"/>
          <w:sz w:val="24"/>
          <w:szCs w:val="22"/>
          <w:highlight w:val="none"/>
        </w:rPr>
        <w:t xml:space="preserve">提供的工程量清单漏项或设计变更的综合单价的下浮幅度按照中标时的工程下浮幅度[工程下浮幅度指中标价和</w:t>
      </w:r>
      <w:r>
        <w:rPr>
          <w:rFonts w:hint="eastAsia" w:ascii="宋体" w:hAnsi="宋体" w:cs="宋体"/>
          <w:bCs/>
          <w:color w:val="auto"/>
          <w:sz w:val="24"/>
          <w:szCs w:val="22"/>
          <w:highlight w:val="none"/>
        </w:rPr>
        <w:t xml:space="preserve">甲方</w:t>
      </w:r>
      <w:r>
        <w:rPr>
          <w:rFonts w:ascii="宋体" w:hAnsi="宋体" w:cs="宋体"/>
          <w:bCs/>
          <w:color w:val="auto"/>
          <w:sz w:val="24"/>
          <w:szCs w:val="22"/>
          <w:highlight w:val="none"/>
        </w:rPr>
        <w:t xml:space="preserve">预算价同时扣除</w:t>
      </w:r>
      <w:r>
        <w:rPr>
          <w:rFonts w:hint="eastAsia" w:ascii="宋体" w:hAnsi="宋体" w:cs="宋体"/>
          <w:bCs/>
          <w:color w:val="auto"/>
          <w:sz w:val="24"/>
          <w:szCs w:val="22"/>
          <w:highlight w:val="none"/>
        </w:rPr>
        <w:t xml:space="preserve">甲方</w:t>
      </w:r>
      <w:r>
        <w:rPr>
          <w:rFonts w:ascii="宋体" w:hAnsi="宋体" w:cs="宋体"/>
          <w:bCs/>
          <w:color w:val="auto"/>
          <w:sz w:val="24"/>
          <w:szCs w:val="22"/>
          <w:highlight w:val="none"/>
        </w:rPr>
        <w:t xml:space="preserve">预算价中的其他项目费中的暂列金额、暂估价和</w:t>
      </w:r>
      <w:r>
        <w:rPr>
          <w:rFonts w:hint="eastAsia" w:ascii="宋体" w:hAnsi="宋体" w:cs="宋体"/>
          <w:bCs/>
          <w:color w:val="auto"/>
          <w:sz w:val="24"/>
          <w:szCs w:val="22"/>
          <w:highlight w:val="none"/>
        </w:rPr>
        <w:t xml:space="preserve">乙方</w:t>
      </w:r>
      <w:r>
        <w:rPr>
          <w:rFonts w:ascii="宋体" w:hAnsi="宋体" w:cs="宋体"/>
          <w:bCs/>
          <w:color w:val="auto"/>
          <w:sz w:val="24"/>
          <w:szCs w:val="22"/>
          <w:highlight w:val="none"/>
        </w:rPr>
        <w:t xml:space="preserve">供应材料价格及税金后相比的下浮率]。</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由于设计变更等原因引起的工程量增减或原工程量清单中的工程量误差，其综合单价执行投标时的综合单价。</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工程量的变化（是指由于分部分项工程量清单有误或设计变更引起的与招标时本工程的分部分项工程量清单相比而至的工程量清单项目工程量数量的增减）除砼和砖砌体的工程量改变而引起模板和脚手费用可以调整外，其余措施费用一律不得调整。因此甲方要求各乙方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乙方有权根据实际需要，增加或减少部分工程量。竣工结算时按实际完成的工程量进行调整，甲方对此应有充分考虑，尤其是减少工程量而造成的总建安工程造价的减少。</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清单中的暂列金额及暂估价如甲方委托乙方负责代购或实施的，按甲方签证认可的价格执行，将扣除甲供材料价格及其税金。</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计日工：施工过程中发生的计日工资单价为100.00元/工日（综合价）按实计算。</w:t>
      </w:r>
      <w:r/>
    </w:p>
    <w:p>
      <w:pPr>
        <w:ind w:left="2" w:firstLine="477"/>
        <w:keepLines w:val="0"/>
        <w:keepNext w:val="0"/>
        <w:pageBreakBefore w:val="0"/>
        <w:spacing w:line="480" w:lineRule="exact"/>
        <w:rPr>
          <w:rFonts w:hint="eastAsia" w:ascii="宋体" w:hAnsi="宋体" w:cs="宋体"/>
          <w:b/>
          <w:bCs/>
          <w:color w:val="auto"/>
          <w:sz w:val="24"/>
          <w:szCs w:val="22"/>
          <w:highlight w:val="none"/>
        </w:rPr>
      </w:pPr>
      <w:r>
        <w:rPr>
          <w:rFonts w:hint="eastAsia" w:ascii="宋体" w:hAnsi="宋体" w:cs="宋体"/>
          <w:b/>
          <w:bCs/>
          <w:color w:val="auto"/>
          <w:sz w:val="24"/>
          <w:szCs w:val="22"/>
          <w:highlight w:val="none"/>
        </w:rPr>
        <w:t xml:space="preserve">八、税费</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本合同执行中相关的一切税费均由乙方负担。</w:t>
      </w:r>
      <w:r/>
    </w:p>
    <w:p>
      <w:pPr>
        <w:ind w:left="2" w:firstLine="477"/>
        <w:keepLines w:val="0"/>
        <w:keepNext w:val="0"/>
        <w:pageBreakBefore w:val="0"/>
        <w:spacing w:line="480" w:lineRule="exact"/>
        <w:rPr>
          <w:rFonts w:hint="eastAsia" w:ascii="宋体" w:hAnsi="宋体" w:cs="宋体"/>
          <w:b/>
          <w:bCs/>
          <w:color w:val="auto"/>
          <w:sz w:val="24"/>
          <w:szCs w:val="22"/>
          <w:highlight w:val="none"/>
        </w:rPr>
      </w:pPr>
      <w:r>
        <w:rPr>
          <w:rFonts w:hint="eastAsia" w:ascii="宋体" w:hAnsi="宋体" w:cs="宋体"/>
          <w:b/>
          <w:bCs/>
          <w:color w:val="auto"/>
          <w:sz w:val="24"/>
          <w:szCs w:val="22"/>
          <w:highlight w:val="none"/>
        </w:rPr>
        <w:t xml:space="preserve">九、权利与义务</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10.1</w:t>
      </w:r>
      <w:r>
        <w:rPr>
          <w:rFonts w:ascii="宋体" w:hAnsi="宋体" w:cs="宋体"/>
          <w:bCs/>
          <w:color w:val="auto"/>
          <w:sz w:val="24"/>
          <w:szCs w:val="22"/>
          <w:highlight w:val="none"/>
        </w:rPr>
        <w:t xml:space="preserve">甲方权利与义务</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10.1.1</w:t>
      </w:r>
      <w:r>
        <w:rPr>
          <w:rFonts w:ascii="宋体" w:hAnsi="宋体" w:cs="宋体"/>
          <w:bCs/>
          <w:color w:val="auto"/>
          <w:sz w:val="24"/>
          <w:szCs w:val="22"/>
          <w:highlight w:val="none"/>
        </w:rPr>
        <w:t xml:space="preserve">甲方有权按照合同规定、国家法律、有权对乙方服务工作随时进行监督、管理，发现乙方工作存在质量问题，可要求乙方立即整改</w:t>
      </w:r>
      <w:r>
        <w:rPr>
          <w:rFonts w:hint="eastAsia" w:ascii="宋体" w:hAnsi="宋体" w:cs="宋体"/>
          <w:bCs/>
          <w:color w:val="auto"/>
          <w:sz w:val="24"/>
          <w:szCs w:val="22"/>
          <w:highlight w:val="none"/>
        </w:rPr>
        <w:t xml:space="preserve">；</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10.1.2</w:t>
      </w:r>
      <w:r>
        <w:rPr>
          <w:rFonts w:ascii="宋体" w:hAnsi="宋体" w:cs="宋体"/>
          <w:bCs/>
          <w:color w:val="auto"/>
          <w:sz w:val="24"/>
          <w:szCs w:val="22"/>
          <w:highlight w:val="none"/>
        </w:rPr>
        <w:t xml:space="preserve">乙方如</w:t>
      </w:r>
      <w:r>
        <w:rPr>
          <w:rFonts w:hint="eastAsia" w:ascii="宋体" w:hAnsi="宋体" w:cs="宋体"/>
          <w:bCs/>
          <w:color w:val="auto"/>
          <w:sz w:val="24"/>
          <w:szCs w:val="22"/>
          <w:highlight w:val="none"/>
        </w:rPr>
        <w:t xml:space="preserve">因人员配备、</w:t>
      </w:r>
      <w:r>
        <w:rPr>
          <w:rFonts w:ascii="宋体" w:hAnsi="宋体" w:cs="宋体"/>
          <w:bCs/>
          <w:color w:val="auto"/>
          <w:sz w:val="24"/>
          <w:szCs w:val="22"/>
          <w:highlight w:val="none"/>
        </w:rPr>
        <w:t xml:space="preserve">工作内容</w:t>
      </w:r>
      <w:r>
        <w:rPr>
          <w:rFonts w:hint="eastAsia" w:ascii="宋体" w:hAnsi="宋体" w:cs="宋体"/>
          <w:bCs/>
          <w:color w:val="auto"/>
          <w:sz w:val="24"/>
          <w:szCs w:val="22"/>
          <w:highlight w:val="none"/>
        </w:rPr>
        <w:t xml:space="preserve">等</w:t>
      </w:r>
      <w:r>
        <w:rPr>
          <w:rFonts w:ascii="宋体" w:hAnsi="宋体" w:cs="宋体"/>
          <w:bCs/>
          <w:color w:val="auto"/>
          <w:sz w:val="24"/>
          <w:szCs w:val="22"/>
          <w:highlight w:val="none"/>
        </w:rPr>
        <w:t xml:space="preserve">不能满足甲方要求</w:t>
      </w:r>
      <w:r>
        <w:rPr>
          <w:rFonts w:hint="eastAsia" w:ascii="宋体" w:hAnsi="宋体" w:cs="宋体"/>
          <w:bCs/>
          <w:color w:val="auto"/>
          <w:sz w:val="24"/>
          <w:szCs w:val="22"/>
          <w:highlight w:val="none"/>
        </w:rPr>
        <w:t xml:space="preserve">，且未在规定时间内</w:t>
      </w:r>
      <w:r>
        <w:rPr>
          <w:rFonts w:ascii="宋体" w:hAnsi="宋体" w:cs="宋体"/>
          <w:bCs/>
          <w:color w:val="auto"/>
          <w:sz w:val="24"/>
          <w:szCs w:val="22"/>
          <w:highlight w:val="none"/>
        </w:rPr>
        <w:t xml:space="preserve">按</w:t>
      </w:r>
      <w:r>
        <w:rPr>
          <w:rFonts w:hint="eastAsia" w:ascii="宋体" w:hAnsi="宋体" w:cs="宋体"/>
          <w:bCs/>
          <w:color w:val="auto"/>
          <w:sz w:val="24"/>
          <w:szCs w:val="22"/>
          <w:highlight w:val="none"/>
        </w:rPr>
        <w:t xml:space="preserve">甲方要求</w:t>
      </w:r>
      <w:r>
        <w:rPr>
          <w:rFonts w:ascii="宋体" w:hAnsi="宋体" w:cs="宋体"/>
          <w:bCs/>
          <w:color w:val="auto"/>
          <w:sz w:val="24"/>
          <w:szCs w:val="22"/>
          <w:highlight w:val="none"/>
        </w:rPr>
        <w:t xml:space="preserve">进行整改的</w:t>
      </w:r>
      <w:r>
        <w:rPr>
          <w:rFonts w:hint="eastAsia" w:ascii="宋体" w:hAnsi="宋体" w:cs="宋体"/>
          <w:bCs/>
          <w:color w:val="auto"/>
          <w:sz w:val="24"/>
          <w:szCs w:val="22"/>
          <w:highlight w:val="none"/>
        </w:rPr>
        <w:t xml:space="preserve">，每发生一次扣除5000元，情节严重的，甲方有权</w:t>
      </w:r>
      <w:r>
        <w:rPr>
          <w:rFonts w:ascii="宋体" w:hAnsi="宋体" w:cs="宋体"/>
          <w:bCs/>
          <w:color w:val="auto"/>
          <w:sz w:val="24"/>
          <w:szCs w:val="22"/>
          <w:highlight w:val="none"/>
        </w:rPr>
        <w:t xml:space="preserve">终止</w:t>
      </w:r>
      <w:r>
        <w:rPr>
          <w:rFonts w:hint="eastAsia" w:ascii="宋体" w:hAnsi="宋体" w:cs="宋体"/>
          <w:bCs/>
          <w:color w:val="auto"/>
          <w:sz w:val="24"/>
          <w:szCs w:val="22"/>
          <w:highlight w:val="none"/>
        </w:rPr>
        <w:t xml:space="preserve">合同；</w:t>
      </w:r>
      <w:r/>
    </w:p>
    <w:p>
      <w:pPr>
        <w:ind w:left="2" w:firstLine="475"/>
        <w:keepLines w:val="0"/>
        <w:keepNext w:val="0"/>
        <w:pageBreakBefore w:val="0"/>
        <w:spacing w:line="480" w:lineRule="exact"/>
        <w:rPr>
          <w:rFonts w:hint="eastAsia" w:ascii="宋体" w:hAnsi="宋体" w:eastAsia="宋体" w:cs="宋体"/>
          <w:bCs/>
          <w:color w:val="auto"/>
          <w:sz w:val="24"/>
          <w:szCs w:val="22"/>
          <w:highlight w:val="none"/>
          <w:lang w:eastAsia="zh-CN"/>
        </w:rPr>
      </w:pPr>
      <w:r>
        <w:rPr>
          <w:rFonts w:hint="eastAsia" w:ascii="宋体" w:hAnsi="宋体" w:cs="宋体"/>
          <w:bCs/>
          <w:color w:val="auto"/>
          <w:sz w:val="24"/>
          <w:szCs w:val="22"/>
          <w:highlight w:val="none"/>
        </w:rPr>
        <w:t xml:space="preserve">10.1</w:t>
      </w:r>
      <w:r>
        <w:rPr>
          <w:rFonts w:ascii="宋体" w:hAnsi="宋体" w:cs="宋体"/>
          <w:bCs/>
          <w:color w:val="auto"/>
          <w:sz w:val="24"/>
          <w:szCs w:val="22"/>
          <w:highlight w:val="none"/>
        </w:rPr>
        <w:t xml:space="preserve">.</w:t>
      </w:r>
      <w:r>
        <w:rPr>
          <w:rFonts w:hint="eastAsia" w:ascii="宋体" w:hAnsi="宋体" w:cs="宋体"/>
          <w:bCs/>
          <w:color w:val="auto"/>
          <w:sz w:val="24"/>
          <w:szCs w:val="22"/>
          <w:highlight w:val="none"/>
        </w:rPr>
        <w:t xml:space="preserve">3</w:t>
      </w:r>
      <w:r>
        <w:rPr>
          <w:rFonts w:ascii="宋体" w:hAnsi="宋体" w:cs="宋体"/>
          <w:bCs/>
          <w:color w:val="auto"/>
          <w:sz w:val="24"/>
          <w:szCs w:val="22"/>
          <w:highlight w:val="none"/>
        </w:rPr>
        <w:t xml:space="preserve">甲方有义务按合同规定时间和数额支付给乙方相关费用</w:t>
      </w:r>
      <w:r>
        <w:rPr>
          <w:rFonts w:hint="eastAsia" w:ascii="宋体" w:hAnsi="宋体" w:cs="宋体"/>
          <w:bCs/>
          <w:color w:val="auto"/>
          <w:sz w:val="24"/>
          <w:szCs w:val="22"/>
          <w:highlight w:val="none"/>
          <w:lang w:eastAsia="zh-CN"/>
        </w:rPr>
        <w:t xml:space="preserve">。</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10.2乙</w:t>
      </w:r>
      <w:r>
        <w:rPr>
          <w:rFonts w:ascii="宋体" w:hAnsi="宋体" w:cs="宋体"/>
          <w:bCs/>
          <w:color w:val="auto"/>
          <w:sz w:val="24"/>
          <w:szCs w:val="22"/>
          <w:highlight w:val="none"/>
        </w:rPr>
        <w:t xml:space="preserve">方权利与义务</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10.2.1乙方对甲方提供的资料必须保守秘密；</w:t>
      </w:r>
      <w:r/>
    </w:p>
    <w:p>
      <w:pPr>
        <w:ind w:left="2" w:firstLine="475"/>
        <w:keepLines w:val="0"/>
        <w:keepNext w:val="0"/>
        <w:pageBreakBefore w:val="0"/>
        <w:spacing w:line="480" w:lineRule="exact"/>
        <w:rPr>
          <w:rFonts w:hint="eastAsia" w:ascii="宋体" w:hAnsi="宋体" w:eastAsia="宋体" w:cs="宋体"/>
          <w:bCs/>
          <w:color w:val="auto"/>
          <w:sz w:val="24"/>
          <w:szCs w:val="22"/>
          <w:highlight w:val="none"/>
          <w:lang w:eastAsia="zh-CN"/>
        </w:rPr>
      </w:pPr>
      <w:r>
        <w:rPr>
          <w:rFonts w:hint="eastAsia" w:ascii="宋体" w:hAnsi="宋体" w:cs="宋体"/>
          <w:bCs/>
          <w:color w:val="auto"/>
          <w:sz w:val="24"/>
          <w:szCs w:val="22"/>
          <w:highlight w:val="none"/>
        </w:rPr>
        <w:t xml:space="preserve">10.2.2</w:t>
      </w:r>
      <w:r>
        <w:rPr>
          <w:rFonts w:ascii="宋体" w:hAnsi="宋体" w:cs="宋体"/>
          <w:bCs/>
          <w:color w:val="auto"/>
          <w:sz w:val="24"/>
          <w:szCs w:val="22"/>
          <w:highlight w:val="none"/>
        </w:rPr>
        <w:t xml:space="preserve">乙方应当</w:t>
      </w:r>
      <w:r>
        <w:rPr>
          <w:rFonts w:hint="eastAsia" w:ascii="宋体" w:hAnsi="宋体" w:cs="宋体"/>
          <w:bCs/>
          <w:color w:val="auto"/>
          <w:sz w:val="24"/>
          <w:szCs w:val="22"/>
          <w:highlight w:val="none"/>
        </w:rPr>
        <w:t xml:space="preserve">按照磋商文件和相关要求</w:t>
      </w:r>
      <w:r>
        <w:rPr>
          <w:rFonts w:ascii="宋体" w:hAnsi="宋体" w:cs="宋体"/>
          <w:bCs/>
          <w:color w:val="auto"/>
          <w:sz w:val="24"/>
          <w:szCs w:val="22"/>
          <w:highlight w:val="none"/>
        </w:rPr>
        <w:t xml:space="preserve">委派身体健康</w:t>
      </w:r>
      <w:r>
        <w:rPr>
          <w:rFonts w:hint="eastAsia" w:ascii="宋体" w:hAnsi="宋体" w:cs="宋体"/>
          <w:bCs/>
          <w:color w:val="auto"/>
          <w:sz w:val="24"/>
          <w:szCs w:val="22"/>
          <w:highlight w:val="none"/>
        </w:rPr>
        <w:t xml:space="preserve">、胜任</w:t>
      </w:r>
      <w:r>
        <w:rPr>
          <w:rFonts w:ascii="宋体" w:hAnsi="宋体" w:cs="宋体"/>
          <w:bCs/>
          <w:color w:val="auto"/>
          <w:sz w:val="24"/>
          <w:szCs w:val="22"/>
          <w:highlight w:val="none"/>
        </w:rPr>
        <w:t xml:space="preserve">岗位要求的人员进行工作。必须制定安全防范措施，工作人员应按照正确的、安全的流程进行操作</w:t>
      </w:r>
      <w:r>
        <w:rPr>
          <w:rFonts w:hint="eastAsia" w:ascii="宋体" w:hAnsi="宋体" w:cs="宋体"/>
          <w:bCs/>
          <w:color w:val="auto"/>
          <w:sz w:val="24"/>
          <w:szCs w:val="22"/>
          <w:highlight w:val="none"/>
          <w:lang w:eastAsia="zh-CN"/>
        </w:rPr>
        <w:t xml:space="preserve">；</w:t>
      </w:r>
      <w:r/>
    </w:p>
    <w:p>
      <w:pPr>
        <w:ind w:firstLine="480"/>
        <w:jc w:val="left"/>
        <w:keepLines w:val="0"/>
        <w:keepNext w:val="0"/>
        <w:pageBreakBefore w:val="0"/>
        <w:spacing w:line="480" w:lineRule="exact"/>
        <w:rPr>
          <w:rFonts w:hint="eastAsia" w:ascii="宋体" w:hAnsi="宋体"/>
          <w:b/>
          <w:bCs/>
          <w:color w:val="auto"/>
          <w:sz w:val="24"/>
          <w:highlight w:val="none"/>
        </w:rPr>
      </w:pPr>
      <w:r>
        <w:rPr>
          <w:rFonts w:hint="eastAsia" w:ascii="宋体" w:hAnsi="宋体" w:cs="宋体"/>
          <w:bCs/>
          <w:color w:val="auto"/>
          <w:sz w:val="24"/>
          <w:szCs w:val="22"/>
          <w:highlight w:val="none"/>
        </w:rPr>
        <w:t xml:space="preserve">10.2.3</w:t>
      </w:r>
      <w:r>
        <w:rPr>
          <w:rFonts w:ascii="宋体" w:hAnsi="宋体" w:cs="宋体"/>
          <w:bCs/>
          <w:color w:val="auto"/>
          <w:sz w:val="24"/>
          <w:szCs w:val="22"/>
          <w:highlight w:val="none"/>
        </w:rPr>
        <w:t xml:space="preserve">乙方在项目实施中发生的一切风险与事故，其后果与责任自行承担。</w:t>
      </w:r>
      <w:r/>
    </w:p>
    <w:p>
      <w:pPr>
        <w:ind w:left="2" w:firstLine="477"/>
        <w:keepLines w:val="0"/>
        <w:keepNext w:val="0"/>
        <w:pageBreakBefore w:val="0"/>
        <w:spacing w:line="480" w:lineRule="exact"/>
        <w:rPr>
          <w:rFonts w:hint="eastAsia" w:ascii="宋体" w:hAnsi="宋体" w:cs="宋体"/>
          <w:b/>
          <w:bCs/>
          <w:color w:val="auto"/>
          <w:sz w:val="24"/>
          <w:szCs w:val="22"/>
          <w:highlight w:val="none"/>
        </w:rPr>
      </w:pPr>
      <w:r>
        <w:rPr>
          <w:rFonts w:hint="eastAsia" w:ascii="宋体" w:hAnsi="宋体" w:cs="宋体"/>
          <w:b/>
          <w:bCs/>
          <w:color w:val="auto"/>
          <w:sz w:val="24"/>
          <w:szCs w:val="22"/>
          <w:highlight w:val="none"/>
        </w:rPr>
        <w:t xml:space="preserve">十、违约责任</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1.乙方逾期未能按要求开展工作的，乙方应按逾期服务总额每日千分之六向甲方支付违约金，由甲方从待付款中扣除。逾期超过约定日期</w:t>
      </w:r>
      <w:r>
        <w:rPr>
          <w:rFonts w:ascii="宋体" w:hAnsi="宋体" w:cs="宋体"/>
          <w:bCs/>
          <w:color w:val="auto"/>
          <w:sz w:val="24"/>
          <w:szCs w:val="22"/>
          <w:highlight w:val="none"/>
        </w:rPr>
        <w:t xml:space="preserve">10</w:t>
      </w:r>
      <w:r>
        <w:rPr>
          <w:rFonts w:hint="eastAsia" w:ascii="宋体" w:hAnsi="宋体" w:cs="宋体"/>
          <w:bCs/>
          <w:color w:val="auto"/>
          <w:sz w:val="24"/>
          <w:szCs w:val="22"/>
          <w:highlight w:val="none"/>
        </w:rPr>
        <w:t xml:space="preserve">个工作日不能交付的，甲方有权解除本合同。乙方因逾期交付或因其他违约行为导致甲方解除合同的，乙方应向甲方支付合同总值</w:t>
      </w:r>
      <w:r>
        <w:rPr>
          <w:rFonts w:ascii="宋体" w:hAnsi="宋体" w:cs="宋体"/>
          <w:bCs/>
          <w:color w:val="auto"/>
          <w:sz w:val="24"/>
          <w:szCs w:val="22"/>
          <w:highlight w:val="none"/>
        </w:rPr>
        <w:t xml:space="preserve">5%</w:t>
      </w:r>
      <w:r>
        <w:rPr>
          <w:rFonts w:hint="eastAsia" w:ascii="宋体" w:hAnsi="宋体" w:cs="宋体"/>
          <w:bCs/>
          <w:color w:val="auto"/>
          <w:sz w:val="24"/>
          <w:szCs w:val="22"/>
          <w:highlight w:val="none"/>
        </w:rPr>
        <w:t xml:space="preserve">的违约金，如造成甲方损失超过违约金的，超出部分由乙方继续承担赔偿责任；</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2.乙方施工过程中出现违法违规、安全事故等情况的，乙方应自行承担相应的责任和损失。如造成恶劣影响，导致双方协议无法继续履行的，甲方有权解除本协议。</w:t>
      </w:r>
      <w:r/>
    </w:p>
    <w:p>
      <w:pPr>
        <w:ind w:firstLine="472"/>
        <w:keepLines w:val="0"/>
        <w:keepNext w:val="0"/>
        <w:pageBreakBefore w:val="0"/>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十一、安全责任</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乙方须确保安全实施，若发生安全问题，由乙方自行负责处理并承担一切经济和法律责任，其与甲方一切无关。如发生安全质量事故或人身伤害事故，乙方应承担一切法律和经济责任（包含应负的连带责任），与甲方无任何关系。若乙方不能及时处理发生的问题和责任，并影响到甲方的工程进度及相关工作，甲方有权从乙方的项目款中直接支付费用以处理相关事务。</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2.乙方必须按照规定对项目实施人员进行人身意外伤害的相关保险。</w:t>
      </w:r>
      <w:r/>
    </w:p>
    <w:p>
      <w:pPr>
        <w:ind w:firstLine="482"/>
        <w:jc w:val="left"/>
        <w:keepLines w:val="0"/>
        <w:keepNext w:val="0"/>
        <w:pageBreakBefore w:val="0"/>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十二、不可抗力</w:t>
      </w:r>
      <w:r/>
    </w:p>
    <w:p>
      <w:pPr>
        <w:ind w:firstLine="480"/>
        <w:keepLines w:val="0"/>
        <w:keepNext w:val="0"/>
        <w:pageBreakBefore w:val="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不可抗力事件持续超过15日，任一方均有权解除本合同。</w:t>
      </w:r>
      <w:r/>
    </w:p>
    <w:p>
      <w:pPr>
        <w:ind w:firstLine="472"/>
        <w:keepLines w:val="0"/>
        <w:keepNext w:val="0"/>
        <w:pageBreakBefore w:val="0"/>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十三、其他事项</w:t>
      </w:r>
      <w:r/>
    </w:p>
    <w:p>
      <w:pPr>
        <w:ind w:firstLine="480"/>
        <w:keepLines w:val="0"/>
        <w:keepNext w:val="0"/>
        <w:pageBreakBefore w:val="0"/>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按本合同规定应该偿付的违约金、赔偿金、保管保养费和各种经济损失的，应当在明确责任后7天内支付，否则应按未付金额的10%支付违约金。</w:t>
      </w:r>
      <w:r/>
    </w:p>
    <w:p>
      <w:pPr>
        <w:ind w:firstLine="482"/>
        <w:jc w:val="left"/>
        <w:keepLines w:val="0"/>
        <w:keepNext w:val="0"/>
        <w:pageBreakBefore w:val="0"/>
        <w:spacing w:line="48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十四、合同争议解决方式</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keepLines w:val="0"/>
        <w:keepNext w:val="0"/>
        <w:pageBreakBefore w:val="0"/>
        <w:spacing w:line="480" w:lineRule="exact"/>
        <w:widowControl/>
        <w:rPr>
          <w:rFonts w:hint="eastAsia" w:ascii="宋体" w:hAnsi="宋体"/>
          <w:b/>
          <w:color w:val="auto"/>
          <w:sz w:val="24"/>
          <w:highlight w:val="none"/>
        </w:rPr>
      </w:pPr>
      <w:r>
        <w:rPr>
          <w:rFonts w:hint="eastAsia" w:ascii="宋体" w:hAnsi="宋体"/>
          <w:b/>
          <w:color w:val="auto"/>
          <w:sz w:val="24"/>
          <w:highlight w:val="none"/>
        </w:rPr>
        <w:t xml:space="preserve">十五、其他</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1.合同执行期内，甲、乙双方均不得随意变更或解除合同。合同如有未尽事宜，须经双方共同协商，做出补充规定，补充规定与合同具有同等效力。</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2.本合同有效期：</w:t>
      </w:r>
      <w:r>
        <w:rPr>
          <w:rFonts w:hint="eastAsia" w:ascii="宋体" w:hAnsi="宋体" w:cs="宋体"/>
          <w:color w:val="auto"/>
          <w:sz w:val="24"/>
          <w:highlight w:val="none"/>
          <w:u w:val="single"/>
        </w:rPr>
        <w:t xml:space="preserve">     年  月  日至    年   月  日（以下单日为准）</w:t>
      </w:r>
      <w:r>
        <w:rPr>
          <w:rFonts w:hint="eastAsia" w:ascii="宋体" w:hAnsi="宋体" w:cs="宋体"/>
          <w:color w:val="auto"/>
          <w:sz w:val="24"/>
          <w:highlight w:val="none"/>
        </w:rPr>
        <w:t xml:space="preserve">。</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3.任何一方无权在没有另一方事先书面同意的情况下，向第三方给予、授予和转让本合同所规定的任何权利和义务。</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4.本合同自甲乙双方代表签字盖章之日起生效，一式陆份，甲乙双方各贰份，江苏伟业项目管理有限公司贰份。</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5.本合同附件包括：招标文件、中标通知书及投标文件。</w:t>
      </w:r>
      <w:r/>
    </w:p>
    <w:p>
      <w:pPr>
        <w:ind w:firstLine="480"/>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6.该合同在签订之日起2个工作日内在江苏省政府采购网、盐城市政府采购网上予以公示。</w:t>
      </w:r>
      <w:r>
        <w:rPr>
          <w:rFonts w:hint="eastAsia" w:ascii="宋体" w:hAnsi="宋体" w:cs="宋体"/>
          <w:color w:val="auto"/>
          <w:sz w:val="24"/>
          <w:highlight w:val="none"/>
        </w:rPr>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甲 方：                                  </w:t>
      </w:r>
      <w:r>
        <w:rPr>
          <w:rFonts w:ascii="宋体" w:hAnsi="宋体" w:cs="宋体"/>
          <w:bCs/>
          <w:color w:val="auto"/>
          <w:sz w:val="24"/>
          <w:szCs w:val="22"/>
          <w:highlight w:val="none"/>
        </w:rPr>
        <w:t xml:space="preserve"> </w:t>
      </w:r>
      <w:r>
        <w:rPr>
          <w:rFonts w:hint="eastAsia" w:ascii="宋体" w:hAnsi="宋体" w:cs="宋体"/>
          <w:bCs/>
          <w:color w:val="auto"/>
          <w:sz w:val="24"/>
          <w:szCs w:val="22"/>
          <w:highlight w:val="none"/>
        </w:rPr>
        <w:t xml:space="preserve">乙 方： </w:t>
      </w:r>
      <w:r>
        <w:rPr>
          <w:rFonts w:hint="eastAsia" w:ascii="宋体" w:hAnsi="宋体" w:cs="宋体"/>
          <w:bCs/>
          <w:color w:val="auto"/>
          <w:sz w:val="24"/>
          <w:szCs w:val="22"/>
          <w:highlight w:val="none"/>
        </w:rPr>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地 址：                                   地 址： </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法定代表人或授权代表：         </w:t>
      </w:r>
      <w:r>
        <w:rPr>
          <w:rFonts w:ascii="宋体" w:hAnsi="宋体" w:cs="宋体"/>
          <w:bCs/>
          <w:color w:val="auto"/>
          <w:sz w:val="24"/>
          <w:szCs w:val="22"/>
          <w:highlight w:val="none"/>
        </w:rPr>
        <w:t xml:space="preserve">           </w:t>
      </w:r>
      <w:r>
        <w:rPr>
          <w:rFonts w:hint="eastAsia" w:ascii="宋体" w:hAnsi="宋体" w:cs="宋体"/>
          <w:bCs/>
          <w:color w:val="auto"/>
          <w:sz w:val="24"/>
          <w:szCs w:val="22"/>
          <w:highlight w:val="none"/>
        </w:rPr>
        <w:t xml:space="preserve">法定代表人或授权代表：</w:t>
      </w:r>
      <w:r/>
    </w:p>
    <w:p>
      <w:pPr>
        <w:ind w:left="2" w:firstLine="475"/>
        <w:keepLines w:val="0"/>
        <w:keepNext w:val="0"/>
        <w:pageBreakBefore w:val="0"/>
        <w:spacing w:line="480" w:lineRule="exact"/>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联系电话：            </w:t>
      </w:r>
      <w:r>
        <w:rPr>
          <w:rFonts w:ascii="宋体" w:hAnsi="宋体" w:cs="宋体"/>
          <w:bCs/>
          <w:color w:val="auto"/>
          <w:sz w:val="24"/>
          <w:szCs w:val="22"/>
          <w:highlight w:val="none"/>
        </w:rPr>
        <w:t xml:space="preserve">                   </w:t>
      </w:r>
      <w:r>
        <w:rPr>
          <w:rFonts w:hint="eastAsia" w:ascii="宋体" w:hAnsi="宋体" w:cs="宋体"/>
          <w:bCs/>
          <w:color w:val="auto"/>
          <w:sz w:val="24"/>
          <w:szCs w:val="22"/>
          <w:highlight w:val="none"/>
        </w:rPr>
        <w:t xml:space="preserve"> 联系电话：          </w:t>
      </w:r>
      <w:r/>
    </w:p>
    <w:p>
      <w:pPr>
        <w:ind w:left="2" w:firstLine="475"/>
        <w:jc w:val="right"/>
        <w:keepLines w:val="0"/>
        <w:keepNext w:val="0"/>
        <w:pageBreakBefore w:val="0"/>
        <w:spacing w:line="480" w:lineRule="exact"/>
        <w:rPr>
          <w:rFonts w:hint="eastAsia" w:ascii="宋体" w:hAnsi="宋体" w:cs="宋体"/>
          <w:bCs/>
          <w:color w:val="auto"/>
          <w:sz w:val="24"/>
          <w:szCs w:val="22"/>
          <w:highlight w:val="none"/>
        </w:rPr>
      </w:pPr>
      <w:r>
        <w:rPr>
          <w:rFonts w:ascii="宋体" w:hAnsi="宋体" w:cs="宋体"/>
          <w:bCs/>
          <w:color w:val="auto"/>
          <w:sz w:val="24"/>
          <w:szCs w:val="22"/>
          <w:highlight w:val="none"/>
        </w:rPr>
        <w:t xml:space="preserve">签订日期：  年 月 日</w:t>
      </w:r>
      <w:r/>
    </w:p>
    <w:p>
      <w:pPr>
        <w:ind w:left="3946" w:hanging="1980"/>
        <w:keepLines w:val="0"/>
        <w:keepNext w:val="0"/>
        <w:pageBreakBefore w:val="0"/>
        <w:spacing w:line="480" w:lineRule="exact"/>
        <w:rPr>
          <w:rFonts w:hint="eastAsia" w:ascii="宋体" w:hAnsi="宋体"/>
          <w:b/>
          <w:color w:val="auto"/>
          <w:sz w:val="44"/>
          <w:szCs w:val="44"/>
          <w:highlight w:val="none"/>
        </w:rPr>
        <w:sectPr>
          <w:footerReference w:type="default" r:id="rId10"/>
          <w:footerReference w:type="first" r:id="rId11"/>
          <w:footnotePr/>
          <w:endnotePr/>
          <w:type w:val="nextPage"/>
          <w:pgSz w:w="11906" w:h="16838" w:orient="portrait"/>
          <w:pgMar w:top="1354" w:right="1219" w:bottom="1134" w:left="1219" w:header="851" w:footer="992" w:gutter="284"/>
          <w:pgNumType w:start="1"/>
          <w:cols w:num="1" w:sep="0" w:space="720" w:equalWidth="1"/>
          <w:docGrid w:linePitch="360"/>
          <w:titlePg/>
        </w:sectPr>
      </w:pPr>
      <w:r>
        <w:rPr>
          <w:rFonts w:hint="eastAsia" w:ascii="宋体" w:hAnsi="宋体"/>
          <w:b/>
          <w:color w:val="auto"/>
          <w:sz w:val="44"/>
          <w:szCs w:val="44"/>
          <w:highlight w:val="none"/>
        </w:rPr>
      </w:r>
      <w:r/>
    </w:p>
    <w:p>
      <w:pPr>
        <w:spacing w:line="480" w:lineRule="exact"/>
        <w:rPr>
          <w:rFonts w:hint="eastAsia" w:ascii="宋体" w:hAnsi="宋体"/>
          <w:color w:val="auto"/>
          <w:sz w:val="30"/>
          <w:szCs w:val="30"/>
          <w:highlight w:val="none"/>
        </w:rPr>
      </w:pPr>
      <w:r>
        <w:rPr>
          <w:rFonts w:ascii="宋体" w:hAnsi="宋体" w:cs="宋体"/>
          <w:bCs/>
          <w:color w:val="auto"/>
          <w:sz w:val="24"/>
          <w:szCs w:val="22"/>
          <w:highlight w:val="none"/>
        </w:rPr>
        <w:t xml:space="preserve">附</w:t>
      </w:r>
      <w:bookmarkStart w:id="144" w:name="_Toc296347225"/>
      <w:r/>
      <w:bookmarkStart w:id="145" w:name="_Toc267261693"/>
      <w:r/>
      <w:bookmarkStart w:id="146" w:name="_Toc296346727"/>
      <w:r/>
      <w:bookmarkStart w:id="147" w:name="_Toc296503226"/>
      <w:r/>
      <w:bookmarkStart w:id="148" w:name="_Toc296944565"/>
      <w:r/>
      <w:bookmarkStart w:id="149" w:name="_Toc296891054"/>
      <w:r/>
      <w:bookmarkStart w:id="150" w:name="_Toc296891266"/>
      <w:r>
        <w:rPr>
          <w:rFonts w:ascii="宋体" w:hAnsi="宋体" w:cs="宋体"/>
          <w:bCs/>
          <w:color w:val="auto"/>
          <w:sz w:val="24"/>
          <w:szCs w:val="22"/>
          <w:highlight w:val="none"/>
        </w:rPr>
        <w:t xml:space="preserve">件：</w:t>
      </w:r>
      <w:bookmarkEnd w:id="144"/>
      <w:r/>
      <w:bookmarkEnd w:id="145"/>
      <w:r/>
      <w:bookmarkEnd w:id="146"/>
      <w:r/>
      <w:bookmarkEnd w:id="147"/>
      <w:r/>
      <w:bookmarkEnd w:id="148"/>
      <w:r/>
      <w:bookmarkEnd w:id="149"/>
      <w:r/>
      <w:bookmarkEnd w:id="150"/>
      <w:r>
        <w:rPr>
          <w:rFonts w:ascii="宋体" w:hAnsi="宋体" w:cs="宋体"/>
          <w:bCs/>
          <w:color w:val="auto"/>
          <w:sz w:val="24"/>
          <w:szCs w:val="22"/>
          <w:highlight w:val="none"/>
        </w:rPr>
        <w:t xml:space="preserve"> </w:t>
      </w:r>
      <w:r>
        <w:rPr>
          <w:rFonts w:ascii="宋体" w:hAnsi="宋体"/>
          <w:color w:val="auto"/>
          <w:sz w:val="30"/>
          <w:szCs w:val="30"/>
          <w:highlight w:val="none"/>
        </w:rPr>
        <w:t xml:space="preserve">   </w:t>
      </w:r>
      <w:r/>
    </w:p>
    <w:p>
      <w:pPr>
        <w:jc w:val="center"/>
        <w:spacing w:before="120" w:after="120" w:line="440" w:lineRule="exact"/>
        <w:rPr>
          <w:rFonts w:hint="eastAsia" w:ascii="宋体" w:hAnsi="宋体"/>
          <w:b/>
          <w:bCs/>
          <w:color w:val="auto"/>
          <w:sz w:val="30"/>
          <w:szCs w:val="30"/>
          <w:highlight w:val="none"/>
        </w:rPr>
      </w:pPr>
      <w:r>
        <w:rPr>
          <w:rFonts w:ascii="宋体" w:hAnsi="宋体"/>
          <w:b/>
          <w:bCs/>
          <w:color w:val="auto"/>
          <w:sz w:val="30"/>
          <w:szCs w:val="30"/>
          <w:highlight w:val="none"/>
        </w:rPr>
        <w:t xml:space="preserve">工程质量保修书</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发包人（甲方）：</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承包人（乙方）：</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（工程全称）签订工程质量保修书。</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二、质量保修期</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个采暖期、供冷期；</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6、配套给排水设施、道路等配套工程为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2</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　　质量保修期自工程竣工验收合格之日起计算。</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三、缺陷责任期</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  24</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四、质量保修责任</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五、保修费用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承包人（公章）：</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地  址：</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账  号：</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ind w:firstLine="42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MingLiU_HKSCS"/>
          <w:color w:val="auto"/>
          <w:szCs w:val="21"/>
          <w:highlight w:val="none"/>
          <w:u w:val="single"/>
        </w:rPr>
        <w:t xml:space="preserve">        </w:t>
      </w:r>
      <w:r>
        <w:rPr>
          <w:rFonts w:hint="eastAsia" w:ascii="宋体" w:hAnsi="宋体" w:cs="宋体"/>
          <w:color w:val="auto"/>
          <w:szCs w:val="21"/>
          <w:highlight w:val="none"/>
          <w:u w:val="single"/>
        </w:rPr>
        <w:t xml:space="preserve">                   </w:t>
      </w:r>
      <w:r/>
    </w:p>
    <w:p>
      <w:pP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line="480" w:lineRule="exact"/>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spacing w:before="240" w:after="60"/>
        <w:rPr>
          <w:rFonts w:ascii="Calibri Light" w:hAnsi="Calibri Light" w:eastAsia="黑体"/>
          <w:b/>
          <w:bCs/>
          <w:color w:val="auto"/>
          <w:sz w:val="32"/>
          <w:szCs w:val="32"/>
          <w:highlight w:val="none"/>
        </w:rPr>
        <w:outlineLvl w:val="0"/>
      </w:pPr>
      <w:r/>
      <w:bookmarkStart w:id="151" w:name="_Toc205811298"/>
      <w:r/>
      <w:r/>
    </w:p>
    <w:p>
      <w:pPr>
        <w:jc w:val="center"/>
        <w:spacing w:before="240" w:after="60"/>
        <w:rPr>
          <w:rFonts w:ascii="Calibri Light" w:hAnsi="Calibri Light" w:eastAsia="黑体"/>
          <w:b/>
          <w:bCs/>
          <w:color w:val="auto"/>
          <w:sz w:val="32"/>
          <w:szCs w:val="32"/>
          <w:highlight w:val="none"/>
        </w:rPr>
        <w:outlineLvl w:val="0"/>
      </w:pPr>
      <w:r>
        <w:rPr>
          <w:rFonts w:ascii="Calibri Light" w:hAnsi="Calibri Light" w:eastAsia="黑体"/>
          <w:b/>
          <w:bCs/>
          <w:color w:val="auto"/>
          <w:sz w:val="32"/>
          <w:szCs w:val="32"/>
          <w:highlight w:val="none"/>
        </w:rPr>
      </w:r>
      <w:r/>
    </w:p>
    <w:p>
      <w:pPr>
        <w:jc w:val="both"/>
        <w:spacing w:before="240" w:after="60"/>
        <w:rPr>
          <w:rFonts w:ascii="Calibri Light" w:hAnsi="Calibri Light" w:eastAsia="黑体"/>
          <w:b/>
          <w:bCs/>
          <w:color w:val="auto"/>
          <w:sz w:val="32"/>
          <w:szCs w:val="32"/>
          <w:highlight w:val="none"/>
        </w:rPr>
        <w:outlineLvl w:val="0"/>
      </w:pPr>
      <w:r>
        <w:rPr>
          <w:rFonts w:ascii="Calibri Light" w:hAnsi="Calibri Light" w:eastAsia="黑体"/>
          <w:b/>
          <w:bCs/>
          <w:color w:val="auto"/>
          <w:sz w:val="32"/>
          <w:szCs w:val="32"/>
          <w:highlight w:val="none"/>
        </w:rPr>
      </w:r>
      <w:r/>
    </w:p>
    <w:p>
      <w:pPr>
        <w:jc w:val="center"/>
        <w:spacing w:before="240" w:after="60"/>
        <w:rPr>
          <w:rFonts w:ascii="Calibri Light" w:hAnsi="Calibri Light" w:eastAsia="黑体"/>
          <w:b/>
          <w:bCs/>
          <w:color w:val="auto"/>
          <w:sz w:val="32"/>
          <w:szCs w:val="32"/>
          <w:highlight w:val="none"/>
        </w:rPr>
        <w:outlineLvl w:val="0"/>
      </w:pPr>
      <w:r/>
      <w:bookmarkStart w:id="152" w:name="_Toc4163"/>
      <w:r/>
      <w:bookmarkStart w:id="153" w:name="_Toc14811"/>
      <w:r>
        <w:rPr>
          <w:rFonts w:hint="eastAsia" w:ascii="Calibri Light" w:hAnsi="Calibri Light" w:eastAsia="黑体"/>
          <w:b/>
          <w:bCs/>
          <w:color w:val="auto"/>
          <w:sz w:val="32"/>
          <w:szCs w:val="32"/>
          <w:highlight w:val="none"/>
        </w:rPr>
        <w:t xml:space="preserve">第四章 采购需求</w:t>
      </w:r>
      <w:bookmarkEnd w:id="151"/>
      <w:r/>
      <w:bookmarkEnd w:id="152"/>
      <w:r/>
      <w:bookmarkEnd w:id="153"/>
      <w:r/>
      <w:bookmarkStart w:id="154" w:name="_Toc26554093"/>
      <w:r/>
      <w:bookmarkEnd w:id="154"/>
      <w:r/>
      <w:bookmarkStart w:id="155" w:name="_Toc49090575"/>
      <w:r/>
      <w:bookmarkEnd w:id="155"/>
      <w:r/>
      <w:r/>
    </w:p>
    <w:p>
      <w:pPr>
        <w:ind w:firstLine="482"/>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一、项目概况</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JSZC-320925-WYGS-C2025-0076 </w:t>
      </w:r>
      <w:r>
        <w:rPr>
          <w:rFonts w:hint="eastAsia" w:ascii="宋体" w:hAnsi="宋体" w:cs="宋体"/>
          <w:color w:val="auto"/>
          <w:sz w:val="24"/>
          <w:highlight w:val="none"/>
        </w:rPr>
        <w:t xml:space="preserve"> </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建湖县社会治安综合治理中心改造项目</w:t>
      </w:r>
      <w:r>
        <w:rPr>
          <w:rFonts w:hint="eastAsia" w:ascii="宋体" w:hAnsi="宋体" w:cs="宋体"/>
          <w:color w:val="auto"/>
          <w:sz w:val="24"/>
          <w:highlight w:val="none"/>
        </w:rPr>
        <w:t xml:space="preserve"> </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采购方式：竞争性磋商 </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预算金额：105.95万元</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建湖县社会治安综合治理中心改造项目包含传达室、接建楼、附属停车场及围墙等工程的施工，具体内容详见施工图纸及工程量清单。</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合同履行期限：合同签订后</w:t>
      </w:r>
      <w:r>
        <w:rPr>
          <w:rFonts w:hint="eastAsia" w:ascii="宋体" w:hAnsi="宋体" w:cs="宋体"/>
          <w:color w:val="auto"/>
          <w:sz w:val="24"/>
          <w:highlight w:val="none"/>
          <w:lang w:eastAsia="zh-CN"/>
        </w:rPr>
        <w:t xml:space="preserve">50日历天</w:t>
      </w:r>
      <w:r>
        <w:rPr>
          <w:rFonts w:hint="eastAsia" w:ascii="宋体" w:hAnsi="宋体" w:cs="宋体"/>
          <w:color w:val="auto"/>
          <w:sz w:val="24"/>
          <w:highlight w:val="none"/>
        </w:rPr>
        <w:t xml:space="preserve">内竣工，完成项目的全部施工内容。</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本项目（是/否）接受联合体：否。</w:t>
      </w:r>
      <w:r/>
    </w:p>
    <w:p>
      <w:pPr>
        <w:ind w:firstLine="476"/>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二、技术要求及相关说明</w:t>
      </w:r>
      <w:r/>
    </w:p>
    <w:tbl>
      <w:tblPr>
        <w:tblStyle w:val="786"/>
        <w:tblW w:w="9245" w:type="dxa"/>
        <w:jc w:val="center"/>
        <w:tblLayout w:type="fixed"/>
        <w:tblCellMar>
          <w:left w:w="108" w:type="dxa"/>
          <w:top w:w="0" w:type="dxa"/>
          <w:right w:w="108" w:type="dxa"/>
          <w:bottom w:w="0" w:type="dxa"/>
        </w:tblCellMar>
        <w:tblLook w:val="04A0" w:firstRow="1" w:lastRow="0" w:firstColumn="1" w:lastColumn="0" w:noHBand="0" w:noVBand="1"/>
      </w:tblPr>
      <w:tblGrid>
        <w:gridCol w:w="619"/>
        <w:gridCol w:w="1244"/>
        <w:gridCol w:w="5306"/>
        <w:gridCol w:w="1059"/>
        <w:gridCol w:w="1017"/>
      </w:tblGrid>
      <w:tr>
        <w:trPr>
          <w:jc w:val="center"/>
          <w:trHeight w:val="635"/>
        </w:trPr>
        <w:tc>
          <w:tcPr>
            <w:shd w:val="clear" w:color="000000" w:fill="ffffff"/>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项目名称</w:t>
            </w:r>
            <w:r/>
          </w:p>
        </w:tc>
        <w:tc>
          <w:tcPr>
            <w:shd w:val="clear" w:color="000000" w:fill="ffffff"/>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技术要求及相关说明</w:t>
            </w:r>
            <w:r/>
          </w:p>
        </w:tc>
        <w:tc>
          <w:tcPr>
            <w:shd w:val="clear" w:color="000000"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计量</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单位</w:t>
            </w:r>
            <w:r/>
          </w:p>
        </w:tc>
        <w:tc>
          <w:tcPr>
            <w:shd w:val="clear" w:color="000000" w:fill="ffffff"/>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工程量</w:t>
            </w:r>
            <w:r/>
          </w:p>
        </w:tc>
      </w:tr>
      <w:tr>
        <w:trPr>
          <w:jc w:val="center"/>
          <w:trHeight w:val="63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传达室（土建）拆除工程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结构凿洞</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1、凿洞部位:外墙开门洞</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2、凿洞尺寸:1100*2550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工作内容：1、支撑、拆墙，立门窗樘，拌、铺砂浆、递砌砖，安装过梁，修粉内墙，清理旧料及垃圾堆。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砖砌体拆除（窗改门）</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拆卸砖墙及窗、拌、运、铺砂浆，递、砌砖，修补内粉刷。清理旧料及垃圾。</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结构凿洞</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1、凿洞部位:内墙开窗洞</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2、凿洞尺寸:1200*1500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工作内容：1、支撑、拆墙，立门窗樘，拌、铺砂浆、递砌砖，安装过梁，修粉内墙，清理旧料及垃圾堆。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1、砖品种、规格、强度等级:MU10淤泥烧结多孔砖</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2、墙体类型:外墙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3、砂浆强度等级、配合比:M5预拌砂浆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0.91</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其他小型构件（门窗头过梁）</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0.15</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预制构件钢筋</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0.01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门窗工程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金属窗（固定橱窗）</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1、玻璃品种、厚度:8厚钢化玻璃</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1.92</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金属门窗套</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1、基层材料种类:细木工板 δ18mm</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2、面层材料品种、规格:1.0厚8K不锈钢镜面板 </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工作内容：1、清理基层2、立筋制作、安装3、基层板安装4、面层铺贴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2.22</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铝合金玻璃门</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1、门框或扇外围尺寸:1100*2550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2、门框、扇材质:铝合金型材，壁厚不小于2.0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3、玻璃品种、厚度:6厚钢化玻璃</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工作内容：1、门安装2、五金安装3、玻璃安装</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天棚工程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吊顶天棚</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1、吊顶形式、吊杆规格、高度:Φ8镀锌全丝牙吊杆双向中距1200，吊杆上部与板底预留吊环固定。</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2、龙骨材料种类、规格、中距:(1)、铝合金中龙骨双向中距1000(2)、铝合金横撑 25*22*1.3中距500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3、面层材料品种、规格:500*500*18矿棉板（样式满足招标人要求）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8.85</w:t>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抹灰面油漆</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1、基层类型:原乳胶漆墙面</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2、腻子种类:901胶白水泥</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3、刮腻子遍数:一遍</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4、油漆品种、刷漆遍数:乳胶漆二遍</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工作内容：1、基层清理2、刮腻子3、刷防护材料、油漆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35.88</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1、喷刷涂料部位:外墙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2、涂料品种、喷刷遍数:真石漆两遍，涂刷透明罩光面漆两遍</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工作内容：1、基层清理、刮腻子、涂刷封底、分格、搅匀后喷涂真石漆两遍，涂刷透明罩光面漆两遍。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1、墙体类型:外墙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2、底层厚度、砂浆配合比:12厚1：3水泥砂浆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3、分格缝宽度、材料种类:8厚1：2.5水泥砂浆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工作内容：1、基层清理2、砂浆制作、运输3、底层抹灰</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1、墙体类型:内墙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2、底层厚度、砂浆配合比:12厚1:3水泥砂浆打底</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3、面层厚度、砂浆配合比:8厚1:2.5水泥砂浆抹平</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零星项目一般抹灰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1、基层类型、部位:零星修补</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2、底层厚度、砂浆配合比:12mm 1:3水泥砂浆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3、面层厚度、砂浆配合比:8mm厚1:2.5水泥砂浆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砼坡道</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1．门坡：挖土、夯底、铺碎石垫层。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2．浇捣混凝土。</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3．调制砂浆、抹面。</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3.74</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钢支架（屋顶广告牌）</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1、钢材品种、规格:热镀锌角钢、方管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2、安装高度:屋顶</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工作内容：1、拼装2、安装3、探伤4、补刷油漆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0.98</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墙面装饰板（屋顶广告牌）</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1、龙骨材料种类、规格、中距:钢龙骨</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2、面层材料品种、规格、颜色:4厚双面铝塑板（铝面层21丝）</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65.1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金属字（屋顶广告牌）</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1、基层类型:铝塑板面</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2、字体规格:高1.2米不锈钢烤漆字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3、固定方式:1cmPVC底板螺丝固定</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w:t>
            </w:r>
            <w:r/>
          </w:p>
        </w:tc>
      </w:tr>
      <w:tr>
        <w:trPr>
          <w:jc w:val="center"/>
          <w:trHeight w:val="16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其他构件(砼支墩)</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1、构件的类型:砼支墩</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2、部位:屋顶</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3、混凝土强度等级:C20砼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工作内容：1、模板及支架（撑）制作、安装、拆除、堆放、运输及清理模内杂物、刷隔离剂等2、混凝土制作、运输、浇筑、振捣、养护</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2.25</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接建楼（土建）拆除工程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6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原有连廊拆除</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1、拆除原连廊(包含基础、柱、梁、板、墙体、装修等)及老楼天沟、建筑物范围内车棚拆除（含收边固定）、污水管网设施及地下构筑物、废弃绿化、树根等设施。</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2、部分室内物品拆除后归招标人所有</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3、拆除时需做好现场及相邻构筑物成品保护及卫生环境保护</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4、含清除拆除后的建筑垃圾外运、施工单位自行勘探现场结合图纸及拆除方案费用包干（拆除残值归承包人所有），结算不调整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土石方工程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平整场地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1、土壤类别:一、二类土</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2、弃土运距:按现场实际考虑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309.39</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挖沟槽土方</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1、土壤类别:一、二类土</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2、挖土深度:1.5m以内</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3、弃土运距:按现场实际考虑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110.83</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挖基坑土方</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1、土壤类别:一、二类土</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2、挖土深度:1.5m以内</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3、弃土运距:按现场实际考虑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182.74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回填方</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1、密实度要求:按设计要求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2、填方材料品种:按设计要求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209.24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余方弃置</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1、废弃料品种:多余土方</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2、运距:按现场实际考虑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234.33</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砌筑工程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砖基础</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1、砖品种、规格、强度等级:MU15水泥实心砖</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2、砂浆强度等级:M10预拌水泥砂浆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19.67</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1、砖品种、规格、强度等级:MU10淤泥烧结多孔砖</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2、墙体类型:外墙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3、砂浆强度等级、配合比:M5混合砂浆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51.69</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1、砖品种、规格、强度等级:MU10淤泥烧结多孔砖</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2、墙体类型:内墙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3、砂浆强度等级、配合比:M5混合砂浆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49.76</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实心砖墙（大厅封窗）</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1、墙体类型: 1/2砖内墙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2、砂浆强度等级、配合比:水泥砂浆M5.0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0.62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混凝土及钢筋混凝土工程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垫层</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2、混凝土强度等级:C20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17.15</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带形基础</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11.73</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独立基础</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35.46</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基础梁</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矩形柱</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2、混凝土强度等级:C30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3、层高:8m内</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9.17</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构造柱</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7.76</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有梁板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2、混凝土强度等级:C30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3、板厚:200mm内</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4、层高8m内</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64.51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圈梁</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1、部位:地圈梁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3、混凝土强度等级:C30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6.66</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圈梁</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1、部位:腰梁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3、混凝土强度等级:C25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5.65</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过梁</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0.38</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压顶</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1.24</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栏板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2、混凝土强度等级:C30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3、老楼与新楼伸缩缝处</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天沟（檐沟）、挑檐板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12.57</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1、钢筋种类、规格:现浇混凝土构件HRB400钢筋 Φ10以内</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7.844</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1、钢筋种类、规格:现浇混凝土构件HRB400钢筋 Φ10以外</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7.722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1、钢筋种类、规格:砌体加固钢筋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0.186</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18"/>
                <w:szCs w:val="18"/>
                <w:highlight w:val="none"/>
              </w:rPr>
              <w:t xml:space="preserve">钢筋电渣压力焊接头</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1、钢筋类型、规格:电渣压力焊</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80</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植筋(屋顶伸缩缝处理）</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1、植筋孔径: Φ8</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工作内容：1、孔点测定、钻孔、矫正、清孔、孔内清洗、干燥2、钢筋除锈3、调配结构胶、注胶、植入钢筋、养护</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散水</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1、60厚C20细石混凝土面层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2、150厚3:7灰土分夯实</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3、素土夯实</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4、不详之处详见图集12J003-1B/A1</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51.98</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台阶</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1、混凝土强度等级:C20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门窗工程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金属（塑钢、断桥）窗</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1、窗代号及洞口尺寸:详见图纸</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1、框、扇材质:90系列铝合金断桥隔热型材，壁厚不小于1.4</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2、玻璃品种、厚度:6+12A+6钢化玻璃</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49.86</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木质门带套</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1、实木复合门，含门套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2、门代号：M1222(样式满足招标人要求)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3、门锁、不锈钢合页、门吸等五金综合报价</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4、具体做法详见设计图纸</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5、样式及规格需建设单位确认后方可施工</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木质门带套</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1、实木复合门，含门套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2、门代号：M1022(样式满足招标人要求)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3、门锁、不锈钢合页、门吸等五金综合报价</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4、具体做法详见设计图纸</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5、样式及规格需建设单位确认后方可施工</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铝合金玻璃门</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1、门框或扇外围尺寸:1100*2400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2、门框、扇材质:铝合金型材，壁厚不小于2.0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3、玻璃品种、厚度:6厚钢化玻璃</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工作内容：1、门安装2、五金安装3、玻璃安装</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屋面及防水工程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平屋面</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1、3厚弹性体(SBS)改性沥青卷材防水层(另计)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2、20厚1:3水泥砂浆找平层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3、LC5.0轻集料混凝土找坡层2%(最薄处为30厚)</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299.13</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屋面卷材防水</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1、卷材品种、规格、厚度:3厚弹性体(SBS)改性沥青卷材防水层（Ⅱ型,聚脂胎片岩石,燃烧性能B2级）</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2、防水层数:一层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3、防水层做法:热熔满铺</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工作内容：1、基层处理2、刷底油3、铺油毡卷材、接缝</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386.34</w:t>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屋面排水管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1、排水管品种、规格:PVC水落管 Φ160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2、雨水斗、山墙出水口品种、规格:PVC水落斗 Φ160、屋面铸铁落水口(带罩) Φ150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工作内容：1、排水管及配件安装、固定2、雨水斗、山墙出水口、雨水箅子安装3、接缝、嵌缝4、刷漆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37.45</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瓦屋面</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陶土波形瓦 防水砂浆底混合砂浆坐垫（与现状一致）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45.02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垂脊</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1、脊件类型、规格尺寸:琉璃筒瓦脊（与现状一致）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52.25</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琉璃包头脊</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(脊头，与现状一致)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琉璃滚筒戗脊</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（与现状一致）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琉璃翘角头（与现状一致）</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1、类型:翘角普通型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块料零星项目</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1、基层类型、部位:挑檐上口外侧面</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2、安装方式:砂浆粘贴</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3、面层材料品种、规格、颜色:灰色（规格与现状一致）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13.06</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金属结构工程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砌块墙钢丝网加固</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1、材料品种、规格:墙体与柱梁接触处加一层钢丝网片，网片宽度400mm</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2、加固方式:钢钉固定</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135.54</w:t>
            </w:r>
            <w:r/>
          </w:p>
        </w:tc>
      </w:tr>
      <w:tr>
        <w:trPr>
          <w:jc w:val="center"/>
          <w:trHeight w:val="16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块料楼地面</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1、部位:室内</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2、垫层:素土夯实、100厚碎石</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3、找平层厚度、砂浆配合比:100厚C25混凝土</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4、结合层厚度、砂浆配合比:撒素水泥面(洒适量清水) 、30厚1：3干硬性水泥砂浆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5、面层材料品种、规格、颜色:800*800地砖(样式满足招标人要求)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278.48</w:t>
            </w:r>
            <w:r/>
          </w:p>
        </w:tc>
      </w:tr>
      <w:tr>
        <w:trPr>
          <w:jc w:val="center"/>
          <w:trHeight w:val="19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石材门槛石</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1、部位：门槛石</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2、做法：（1）基层处理，素水泥浆一道</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（2）30mm厚1：3干硬性水泥砂浆粘接层（具体厚度结合现场综合考虑）</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（3）撒素水泥面（洒适量清水）</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（4）20mm厚光面大理石（石材样式满足招标人要求）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3、报价包含石材磨边、倒角等费用</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4、未详之处详见设计图纸</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1.73</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块料踢脚线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1、踢脚线高度:100mm</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2、粘贴层厚度、材料种类:20mm1：2水泥砂浆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3、面层材料品种、规格、颜色:地面同色砖脚线粘贴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179.36</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石材台阶面</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1、面层材料品种、规格、颜色:20厚毛面大理石</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石材楼地面</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1、垫层:10cm碎石+10cmC15砼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2、面层材料品种、规格、颜色:20厚毛面大理石</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1.68</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墙、柱面装饰与隔断、幕墙工程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1、墙体类型:外墙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2、底层厚度、砂浆配合比:12mm 1:3水泥砂浆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3、分格缝宽度、材料种类:8厚1：2.5水泥砂浆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工作内容：1、基层清理2、砂浆制作、运输3、底层抹灰4、抹面层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352.05</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1、墙体类型:内墙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2、底层厚度、砂浆配合比:12mm 1:3水泥砂浆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3、面层厚度、砂浆配合比:8mm水泥砂浆1:2.5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562.02</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零星项目一般抹灰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1、基层类型、部位:天沟</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2、底层厚度、砂浆配合比:12mm 1:3水泥砂浆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3、面层厚度、砂浆配合比:8mm厚1:2水泥砂浆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114.17</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墙面装饰板（服务大厅）</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1、龙骨材料种类、规格、中距:30*30mm木龙骨@300mm</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2、基层材料种类、规格:9mm厚阻燃板基层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3、面层材料品种、规格、颜色:碳晶板木饰面（样式满足设计及招标人要求）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36.09</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轻钢龙骨隔墙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1、骨架、边框材料种类、规格:75系列轻钢龙骨,主龙骨间距≤1200mm,副龙骨间距≤400mm,墙体纵向≤2000mm，横向≤3000mm增加一道40*80*4mm方钢加固。</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2、隔板材料品种、规格、颜色:双面12mm厚阻燃板基层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3、面层板材料品种、规格、颜色:双面9.5nm纸面石膏板</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29.65</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天棚工程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吊顶天棚</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1、吊顶形式、吊杆规格、高度:Φ8镀锌全丝牙吊杆双向中距1200，吊杆上部与板底预留吊环固定。</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2、龙骨材料种类、规格、中距:(1)、铝合金中龙骨双向中距1000(2)、铝合金横撑 25*22*1.3中距500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3、面层材料品种、规格:600*600*12矿棉板（样式满足招标人要求）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276.92</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木窗帘盒</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1、窗帘盒材质、规格:20*30木龙骨（刷防火涂料3遍）、12mm阻燃胶合板基层、9.5mm纸面石膏板</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2、油漆:钉眼封点防锈漆、清油封底、自粘胶带、批腻子、乳胶漆二遍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32.55</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油漆、涂料、裱糊工程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1、喷刷涂料部位:外墙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2、刮柔性耐水腻子</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2、涂料品种、喷刷遍数:外墙真石漆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490.34</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1、喷刷涂料部位:内墙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2、腻子种类:腻子三遍</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3、涂料品种、喷刷遍数:乳胶漆三遍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645.73</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1、喷刷涂料部位:原墙面涂料出新</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2、刮腻子要求:原墙面涂料面层打磨,局部用腻子修补找平</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3、涂料品种、喷刷遍数:乳胶漆三遍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159.44</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天棚喷刷涂料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1、喷刷涂料部位:原天棚涂料出新</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2、刮腻子要求:原天棚涂料面层打磨,局部用腻子修补找平</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3、涂料品种、喷刷遍数:乳胶漆二遍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196.51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其他装饰工程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石材窗台板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1、粘结层厚度、砂浆配合比:水泥砂浆粘贴层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2、窗台板材质、规格、颜色:18mm厚人造石窗台板</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3、报价含石材磨边、倒角等费用</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4、窗台板规格根据现场进行定制，费用自行考虑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2.16</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楼（地）面变形缝</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1、嵌缝材料种类:油浸麻丝</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2、盖缝材料:0.8厚8K不锈钢镜面板</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3.52</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顶棚变形缝</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1、嵌缝材料种类:油浸麻丝</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2、盖缝材料:0.8厚8K不锈钢镜面板</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17.04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墙面变形缝</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1、嵌缝材料种类:油浸麻丝</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2、止水带材料种类：0.8厚8K不锈钢镜面板</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屋面变形缝</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1、嵌缝材料种类:详见图集12J201-A15-1</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2、盖缝材料:1厚铝合金板盖缝板</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18.64</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接建楼（安装）一、电气部分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配电箱</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1、名称:配电箱AL</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2、接线端子材质、规格:满足设计要求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3、安装方式:暗配</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4、具体配置:参见图纸</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荧光灯</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1、名称:嵌入式LED平板灯</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2、规格:600*600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3、安装形式:吊顶嵌入式</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普通灯具</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1、名称:走廊吸顶灯</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2、规格:LED 22W</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3、安装形式:吸顶</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照明开关</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1、名称:单控单联开关</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2、规格:220V，10A</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照明开关</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1、名称:双联单控开关</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2、规格:220V，10A</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照明开关</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1、名称:三联单控开关</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2、规格:220V，10A</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插座</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1、名称:五孔插座</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2、规格:250V，10A</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插座</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1、名称:挂式空调插座</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2、规格:250V，16A</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接线盒</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1、名称:接线盒</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2、材质:钢制、塑料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43</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接线盒</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1、名称:开关盒</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2、材质:钢制、塑料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45</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1、名称:电线管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2、规格:PVC20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3、配置形式:吊顶内、明、暗敷设综合考虑</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4、报价含管卡、支架等安装所需全部配套材料</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430</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1、名称:电线管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2、规格:PVC25</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3、配置形式:砖、混凝土结构暗配</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4、报价含管卡、支架等安装所需全部配套材料</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120</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1、名称:电线管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2、规格:SC80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3、配置形式:砖、混凝土结构暗配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1、名称:电线管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2、规格:PE80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3、配置形式:埋地敷设</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4、报价含土方开挖、回填</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5、具体做法:现场具体施工根据甲方要求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1、名称:铜芯线</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2、配线形式:管内穿线</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3、规格:BV2.5mm2</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1340</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1、名称:铜芯线</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2、配线形式:管内穿线</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3、规格:BV4mm2</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400</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电力电缆</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1、名称:铜芯电缆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2、规格:YJV-4*16mm2</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3、敷设方式、部位:管道敷设</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4、电压等级（kV）:1kv</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电力电缆头</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1、名称:铜芯电缆头</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2、规格:YJV-4*16mm2以下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二、防雷接地部分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避雷网</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1、材质:热镀锌圆钢</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2、规格:φ10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3、安装形式:详见图纸要求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112.84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避雷引下线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1、材质:利用柱筋引下</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2、断接卡子、箱材质、规格:测试端子、柱与主筋焊接</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41.6</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均压环</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1、名称:基础焊接</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100.66</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接地母线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1、材质:热镀锌扁钢</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2、规格:-40*4</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等电位端子箱、测试板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1、名称:总等电位箱MEB</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等电位端子箱、测试板</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1、材质:镀铜钢板</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2、规格:-100*100*10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接地装置</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1、名称:接地网调试</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三、围墙西北处预留小公园电源</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1、名称:小公园电源预留管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2、规格:PE40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3、配置形式:明、暗敷、埋地敷设综合考虑</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4、报价含土方开挖、回填</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5、具体做法:现场具体施工根据甲方要求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电力电缆</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1、名称:铜芯电缆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2、规格:YJV-5*4mm2</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3、敷设方式、部位:管道敷设</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4、电压等级（kV）:1kv</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四、停车场预留部分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1、名称:室外停车场监控预留管</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2、规格:PE40</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3、配置形式:明、暗敷、埋地敷设综合考虑</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4、报价含土方开挖、回填</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5、具体做法:现场具体施工根据甲方要求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60</w:t>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一般路灯</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1、传达室北门外现有庭院灯保护性拆除、安装</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2、线缆保护性拆除、安装，含需增加的线缆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3、增加线缆保护管、灯基础</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4、报价含检查、维修、出新、更换损坏配件等全部费用，最终保证现场使用</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5、具体安装位置，根据现场情况与建设单位沟通好后施工</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五、空调部分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空调器</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1、名称:变频冷暖天花机吸顶空调（室外机配套）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2、型号:5P 一级能效</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3、安装形式:吊顶式</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4、隔振垫（器）、支架形式、材质:设备配套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5、备注:含安装所需全部设备材料接线、运行调试</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空调器</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1、名称:变频冷暖天花机吸顶空调（室外机配套）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2、型号:3P 一级能效</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3、安装形式:吊顶式</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4、隔振垫（器）、支架形式、材质:设备配套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5、备注:含安装所需全部设备材料接线、运行调试</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r>
      <w:tr>
        <w:trPr>
          <w:jc w:val="center"/>
          <w:trHeight w:val="6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空调器</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1、名称:变频冷䁔空调</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2、规格:1.5P 一级能效</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3、安装形式:挂壁式</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4、隔振垫（器）、支架形式、材质:设备配套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5、一拖一（室外机配套）</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6、备注:含安装所需全部设备材料接线、运行调试</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57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现场空调室外机保护性拆除、安装</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1、配合改造，现场车棚附近一台空调外机保护性拆除，临时安装合适位置，保证办公室使用。</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2、改造完成后，临时安装的室外机保护性拆除、安装至甲方指定位置（室外合适位置或新建的屋面）。</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3、报价含设备检查、维修、更换损坏配件、支架、清洗、增加铜管、充氟里昂、增加电源线缆、配管、调试等全部费用。</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4、投标人勘察现场后自行报价，结算时不调整。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附属停车场拆除工程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钢结构车棚拆除</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1、拆除部分原有钢结构车棚(拆除前与招标人确定拆除范围)满足会续施工。</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1、拆除时需做好现场及相邻构筑物成品保护及卫生环境保护</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2、含清除拆除后的建筑垃圾外运、施工单位自行勘探现场结合图纸费用包干，结算不调整</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3、拆除后满足会续施工</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场地平整</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1、现场杂草、杂树清理等。</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2、含清除后的垃圾外运、施工单位自行勘探现场结合图纸费用包干，结算不调整</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雨水管网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6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塑料管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1、垫层、基础材质及厚度:10cm中粗砂垫层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2、材质及规格:φ200HDPE双壁波纹管，环刚度≥8KN/m2</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3、连接形式:橡胶圈接口</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1、挖填土2、垫层、基础铺筑及养护3、模板制作、安装、拆除4、混凝土拌和、运输、浇筑、养护5、管道铺设6、管道检验及试验</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21.74</w:t>
            </w:r>
            <w:r/>
          </w:p>
        </w:tc>
      </w:tr>
      <w:tr>
        <w:trPr>
          <w:jc w:val="center"/>
          <w:trHeight w:val="16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塑料管</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1、垫层、基础材质及厚度:10cm中粗砂垫层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2、材质及规格:φ300HDPE双壁波纹管，环刚度≥8KN/m2</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3、连接形式:橡胶圈接口</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工作内容：1、挖填土2、垫层、基础铺筑及养护3、模板制作、安装、拆除4、混凝土拌和、运输、浇筑、养护5、管道铺设6、管道检验及试验</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65</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混凝土包裹</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1、过路管道C20砼包裹</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工作内容：1、混凝土拌和、运输、浇筑、养护</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w:t>
            </w:r>
            <w:r/>
          </w:p>
        </w:tc>
      </w:tr>
      <w:tr>
        <w:trPr>
          <w:jc w:val="center"/>
          <w:trHeight w:val="144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砌筑井</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1、φ700圆形砖砌雨水检查井</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2、铸铁井盖井座</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工作内容：1、垫层铺筑2、模板制作、安装、拆除3、混凝土拌和、运输、浇筑、养护4、砌筑、勾缝、抹面5、井圈、井盖安装6、盖板安装</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雨水口</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1、雨水箅子及圈口材质、型号、规格:单平箅</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2、铸铁单箅雨水口530*380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室外地面恢复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石材地面</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1、垫层厚度、宽度、材料种类:200厚碎砖压实、120厚C25素砼(按规范设置变形缝)</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2、结合层:30厚水泥砂浆结合层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3、路面厚度、宽度、材料种类:300×600×30厚花岗岩(样式满足招标人要求）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48.67</w:t>
            </w:r>
            <w:r/>
          </w:p>
        </w:tc>
      </w:tr>
      <w:tr>
        <w:trPr>
          <w:jc w:val="center"/>
          <w:trHeight w:val="120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水泥混凝土</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1、混凝土强度等级:C30预拌砼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2、厚度:15cm3、嵌缝材料:切缝、灌缝</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工作内容：1、模板制作、安装、拆除2、混凝土拌和、运输、浇筑3、锯缝、嵌缝4、路面养护</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r>
      <w:tr>
        <w:trPr>
          <w:jc w:val="center"/>
          <w:trHeight w:val="96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透层、粘层</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清单特征：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1、材料品种:乳化沥青透层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2、喷油量:1kg/m2</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工作内容：1、清理下承面2、喷油、布料</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沥青混凝土</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1、沥青品种:AC-13mm细粒式沥青砼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2、厚度:5cm</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停车位</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18"/>
                <w:szCs w:val="18"/>
                <w:highlight w:val="none"/>
              </w:rPr>
              <w:t xml:space="preserve">路床（槽）整形</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1、路床土石类别:素土压实</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碎石垫层</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1、石料规格:碎砖</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2、厚度:15cm</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水泥混凝土</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1、混凝土强度等级:C30砼(按规范设置变形缝)</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2、厚度:100厚</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人行道块料铺设</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1、块料品种、规格:80厚植草砖、200*100*60厚荷兰砖走边</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2、30厚水泥砂浆结合层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444</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安砌侧（平、缘）石</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1、材料品种、规格:800×250×120厚五莲花花岗岩立道牙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2、基础、垫层：材料品种、厚度:C15侧缘石垫层、30厚1:3干性水泥砂浆结合层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655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围墙</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挖沟槽土方</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1、土壤类别:一、二类土</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2、挖土深度:1.5m以内</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3、弃土运距:按现场实际考虑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24.82</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回填方</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1、密实度要求:按设计要求</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2、填方材料品种:按设计要求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16.5</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余方弃置</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1、废弃料品种:多余土方</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2、运距:按现场实际考虑</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15.63</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砖基础</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1、砖品种、规格、强度等级:MU15水泥实心砖</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2、砂浆强度等级:M10预拌水泥砂浆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4.95</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1、砖品种、规格、强度等级:MU10淤泥烧结多孔砖</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2、墙体类型:围墙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3、砂浆强度等级、配合比:M5预拌砂浆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1.82</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140</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垫层</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1、垫层材料种类、配合比、厚度:100厚碎石垫层</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1.25</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141</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圈梁</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1、部位:地圈梁</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3、混凝土强度等级:C30</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1.04</w:t>
            </w:r>
            <w:r/>
          </w:p>
        </w:tc>
      </w:tr>
      <w:tr>
        <w:trPr>
          <w:jc w:val="center"/>
          <w:trHeight w:val="48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142</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构造柱</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0.76</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143</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扶手、压顶</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1、构件的类型:砼压顶</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3、混凝土种类:预拌砼</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4、混凝土强度等级:C25</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0.87</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144</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1、钢筋种类、规格:现浇混凝土构件HRB400钢筋 Φ10以内</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0.05</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145</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1、钢筋种类、规格:现浇混凝土构件HRB400钢筋 Φ10以外</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0.3</w:t>
            </w:r>
            <w:r/>
          </w:p>
        </w:tc>
      </w:tr>
      <w:tr>
        <w:trPr>
          <w:jc w:val="center"/>
          <w:trHeight w:val="25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146</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1、钢筋种类、规格:砌体加固钢筋</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0.01</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147</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1、墙体类型:内墙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2、底层厚度、砂浆配合比:12厚1:3水泥砂浆打底</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3、面层厚度、砂浆配合比:8厚1:2水泥砂浆抹平</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15.16</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148</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1、喷刷涂料部位:外墙</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2、刮柔性耐水腻子</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2、涂料品种、喷刷遍数:外墙真石漆</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15.16</w:t>
            </w:r>
            <w:r/>
          </w:p>
        </w:tc>
      </w:tr>
      <w:tr>
        <w:trPr>
          <w:jc w:val="center"/>
          <w:trHeight w:val="720"/>
        </w:trPr>
        <w:tc>
          <w:tcPr>
            <w:tcBorders>
              <w:top w:val="single" w:color="auto" w:sz="4" w:space="0"/>
              <w:left w:val="single" w:color="auto" w:sz="4" w:space="0"/>
              <w:bottom w:val="single" w:color="auto" w:sz="4" w:space="0"/>
              <w:right w:val="single" w:color="auto" w:sz="4" w:space="0"/>
            </w:tcBorders>
            <w:tcW w:w="61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149</w:t>
            </w:r>
            <w:r/>
          </w:p>
        </w:tc>
        <w:tc>
          <w:tcPr>
            <w:tcBorders>
              <w:top w:val="single" w:color="auto" w:sz="4" w:space="0"/>
              <w:left w:val="single" w:color="auto" w:sz="4" w:space="0"/>
              <w:bottom w:val="single" w:color="auto" w:sz="4" w:space="0"/>
              <w:right w:val="single" w:color="auto" w:sz="4" w:space="0"/>
            </w:tcBorders>
            <w:tcW w:w="12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围墙金属栏杆</w:t>
            </w:r>
            <w:r/>
          </w:p>
        </w:tc>
        <w:tc>
          <w:tcPr>
            <w:tcBorders>
              <w:top w:val="single" w:color="auto" w:sz="4" w:space="0"/>
              <w:left w:val="single" w:color="auto" w:sz="4" w:space="0"/>
              <w:bottom w:val="single" w:color="auto" w:sz="4" w:space="0"/>
              <w:right w:val="single" w:color="auto" w:sz="4" w:space="0"/>
            </w:tcBorders>
            <w:tcW w:w="530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1、金属栏杆高度：暂定H=1800mm（样式高度同原样）</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2、定制金属栏杆同原样</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3、报价含铁艺栏杆配套预埋件等费用</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18.05</w:t>
            </w:r>
            <w:r/>
          </w:p>
        </w:tc>
      </w:tr>
    </w:tbl>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施工单位严格按照施工图纸进行施工，完成图纸全部内容，施工图纸提取：</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通过网盘分享的文件：建湖县社会治安综合治理中心改造项目-图纸.rar</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链接: https://pan.baidu.com/s/1g0DVOOlHRGXOp1TEGYmtiQ?pwd=xw46 </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提取码: xw46</w:t>
      </w:r>
      <w:r/>
    </w:p>
    <w:p>
      <w:pPr>
        <w:ind w:firstLine="476"/>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三、服务承诺</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1、供应商必须严格按照本次招标技术参数要求进行合理报价，如后期出现验收不合格情形视同虚假承诺谋取中标成交，将被列入不良行为记录名单；</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2、项目服务期间，供应商的所有的工作人员的人身安全以及供应商在服务期间产生的各类安全责任事故均由承包方自行承担；</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3、供应商在服务过程中涉及第三方产品知识产权情况，若出现技术、经济或法律上的纠纷，应由承包方全面承担并全权解决，并确保不影响项目的进度。</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center"/>
        <w:spacing w:before="240" w:after="60" w:line="360" w:lineRule="auto"/>
        <w:rPr>
          <w:rFonts w:ascii="Calibri Light" w:hAnsi="Calibri Light" w:eastAsia="黑体"/>
          <w:b/>
          <w:bCs/>
          <w:color w:val="auto"/>
          <w:sz w:val="32"/>
          <w:szCs w:val="32"/>
          <w:highlight w:val="none"/>
        </w:rPr>
        <w:outlineLvl w:val="0"/>
      </w:pPr>
      <w:r/>
      <w:bookmarkStart w:id="156" w:name="_Toc11164"/>
      <w:r/>
      <w:bookmarkStart w:id="157" w:name="_Toc205811299"/>
      <w:r/>
      <w:bookmarkStart w:id="158" w:name="_Toc5807"/>
      <w:r>
        <w:rPr>
          <w:rFonts w:hint="eastAsia" w:ascii="Calibri Light" w:hAnsi="Calibri Light" w:eastAsia="黑体"/>
          <w:b/>
          <w:bCs/>
          <w:color w:val="auto"/>
          <w:sz w:val="32"/>
          <w:szCs w:val="32"/>
          <w:highlight w:val="none"/>
        </w:rPr>
        <w:t xml:space="preserve">第五章 评审方法与评审标准</w:t>
      </w:r>
      <w:bookmarkEnd w:id="156"/>
      <w:r/>
      <w:bookmarkEnd w:id="157"/>
      <w:r/>
      <w:bookmarkEnd w:id="158"/>
      <w:r/>
      <w:r/>
    </w:p>
    <w:p>
      <w:pPr>
        <w:ind w:firstLine="476"/>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159" w:name="_Toc153439396"/>
      <w:r/>
      <w:bookmarkStart w:id="160" w:name="_Toc101357890"/>
      <w:r/>
      <w:bookmarkStart w:id="161" w:name="_Toc161385002"/>
      <w:r/>
      <w:bookmarkStart w:id="162" w:name="_Toc136523603"/>
      <w:r/>
      <w:bookmarkStart w:id="163" w:name="_Toc154674377"/>
      <w:r>
        <w:rPr>
          <w:rFonts w:hint="eastAsia" w:ascii="宋体" w:hAnsi="宋体" w:cs="宋体"/>
          <w:b/>
          <w:bCs/>
          <w:color w:val="auto"/>
          <w:sz w:val="24"/>
          <w:highlight w:val="none"/>
        </w:rPr>
        <w:t xml:space="preserve">一、磋商小组</w:t>
      </w:r>
      <w:bookmarkEnd w:id="159"/>
      <w:r/>
      <w:bookmarkEnd w:id="160"/>
      <w:r/>
      <w:bookmarkEnd w:id="161"/>
      <w:r/>
      <w:bookmarkEnd w:id="162"/>
      <w:r/>
      <w:bookmarkEnd w:id="163"/>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本采购项目磋商小组的评委由相关的专家、采购人代表等有关人员构成。</w:t>
      </w:r>
      <w:r/>
    </w:p>
    <w:p>
      <w:pPr>
        <w:ind w:firstLine="476"/>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164" w:name="_Toc161385003"/>
      <w:r/>
      <w:bookmarkStart w:id="165" w:name="_Toc101357891"/>
      <w:r/>
      <w:bookmarkStart w:id="166" w:name="_Toc154674378"/>
      <w:r/>
      <w:bookmarkStart w:id="167" w:name="_Toc153439397"/>
      <w:r/>
      <w:bookmarkStart w:id="168" w:name="_Toc136523604"/>
      <w:r>
        <w:rPr>
          <w:rFonts w:hint="eastAsia" w:ascii="宋体" w:hAnsi="宋体" w:cs="宋体"/>
          <w:b/>
          <w:bCs/>
          <w:color w:val="auto"/>
          <w:sz w:val="24"/>
          <w:highlight w:val="none"/>
        </w:rPr>
        <w:t xml:space="preserve">二、评审方法</w:t>
      </w:r>
      <w:bookmarkEnd w:id="164"/>
      <w:r/>
      <w:bookmarkEnd w:id="165"/>
      <w:r/>
      <w:bookmarkEnd w:id="166"/>
      <w:r/>
      <w:bookmarkEnd w:id="167"/>
      <w:r/>
      <w:bookmarkEnd w:id="168"/>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76"/>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169" w:name="_Toc153439398"/>
      <w:r/>
      <w:bookmarkStart w:id="170" w:name="_Toc101357892"/>
      <w:r/>
      <w:bookmarkStart w:id="171" w:name="_Toc136523605"/>
      <w:r/>
      <w:bookmarkStart w:id="172" w:name="_Toc154674379"/>
      <w:r/>
      <w:bookmarkStart w:id="173" w:name="_Toc161385004"/>
      <w:r>
        <w:rPr>
          <w:rFonts w:hint="eastAsia" w:ascii="宋体" w:hAnsi="宋体" w:cs="宋体"/>
          <w:b/>
          <w:bCs/>
          <w:color w:val="auto"/>
          <w:sz w:val="24"/>
          <w:highlight w:val="none"/>
        </w:rPr>
        <w:t xml:space="preserve">三、评审原则</w:t>
      </w:r>
      <w:bookmarkEnd w:id="169"/>
      <w:r/>
      <w:bookmarkEnd w:id="170"/>
      <w:r/>
      <w:bookmarkEnd w:id="171"/>
      <w:r/>
      <w:bookmarkEnd w:id="172"/>
      <w:r/>
      <w:bookmarkEnd w:id="173"/>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磋商小组必须公平、公正、客观，不带任何倾向性和启发性；不得向外界透露任何与评标有关的内容；任何单位和个人不得干扰、影响评标的正常进行；评标委员会及有关工作人员不得私下与供应商接触。</w:t>
      </w:r>
      <w:r/>
    </w:p>
    <w:p>
      <w:pPr>
        <w:ind w:firstLine="476"/>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174" w:name="_Toc153439399"/>
      <w:r/>
      <w:bookmarkStart w:id="175" w:name="_Toc101357893"/>
      <w:r/>
      <w:bookmarkStart w:id="176" w:name="_Toc154674380"/>
      <w:r/>
      <w:bookmarkStart w:id="177" w:name="_Toc161385005"/>
      <w:r/>
      <w:bookmarkStart w:id="178" w:name="_Toc136523606"/>
      <w:r>
        <w:rPr>
          <w:rFonts w:hint="eastAsia" w:ascii="宋体" w:hAnsi="宋体" w:cs="宋体"/>
          <w:b/>
          <w:bCs/>
          <w:color w:val="auto"/>
          <w:sz w:val="24"/>
          <w:highlight w:val="none"/>
        </w:rPr>
        <w:t xml:space="preserve">四、评审办法</w:t>
      </w:r>
      <w:bookmarkEnd w:id="174"/>
      <w:r/>
      <w:bookmarkEnd w:id="175"/>
      <w:r/>
      <w:bookmarkEnd w:id="176"/>
      <w:r/>
      <w:bookmarkEnd w:id="177"/>
      <w:r/>
      <w:bookmarkEnd w:id="178"/>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1、本项目采用“综合评分法”，评委将以采购文件为评标依据，对投标人的投标报价、技术文件及商务文件等三个方面按百分制打分。</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成交标准：磋商小组应当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4、评分过程中采用四舍五入法，保留小数2位。</w:t>
      </w:r>
      <w:r/>
    </w:p>
    <w:p>
      <w:pPr>
        <w:ind w:firstLine="476"/>
        <w:spacing w:line="48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179" w:name="_Toc154674381"/>
      <w:r/>
      <w:bookmarkStart w:id="180" w:name="_Toc136523607"/>
      <w:r/>
      <w:bookmarkStart w:id="181" w:name="_Toc161385006"/>
      <w:r/>
      <w:bookmarkStart w:id="182" w:name="_Toc101357894"/>
      <w:r/>
      <w:bookmarkStart w:id="183" w:name="_Toc153439400"/>
      <w:r>
        <w:rPr>
          <w:rFonts w:hint="eastAsia" w:ascii="宋体" w:hAnsi="宋体" w:cs="宋体"/>
          <w:b/>
          <w:bCs/>
          <w:color w:val="auto"/>
          <w:sz w:val="24"/>
          <w:highlight w:val="none"/>
        </w:rPr>
        <w:t xml:space="preserve">五、政府采购政策功能落实</w:t>
      </w:r>
      <w:bookmarkEnd w:id="179"/>
      <w:r/>
      <w:bookmarkEnd w:id="180"/>
      <w:r/>
      <w:bookmarkEnd w:id="181"/>
      <w:r/>
      <w:bookmarkEnd w:id="182"/>
      <w:r/>
      <w:bookmarkEnd w:id="183"/>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1、因本项目专门面向中小企业采购，不再执行价格评审优惠的扶持政策。</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2、符合本采购文件优先采购 “环境标志产品”或“节能产品”的，必须提供“环境标志产品”或“节能产品”证明，否则不予认可。不符合的无需提供相应证明材料。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3、供应商对于投标产品的商品包装、快递包装应按照“财办库〔2020〕123号《关于印发《商品包装政府采购需求标准（试行）》、《快递包装政府采购需求标准（试行）》的通知》”执行。</w:t>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4、本文件中若涉及到数据中心采购，应按照《&lt;绿色数据中心政府采购需求标准（试行）&gt;的通知》（财库〔2023〕7号）执行。</w:t>
      </w:r>
      <w:r/>
    </w:p>
    <w:p>
      <w:pPr>
        <w:ind w:firstLine="482"/>
        <w:jc w:val="left"/>
        <w:spacing w:line="480" w:lineRule="exact"/>
        <w:widowControl/>
        <w:rPr>
          <w:rFonts w:ascii="宋体" w:hAnsi="宋体" w:eastAsia="宋体" w:cs="宋体"/>
          <w:b/>
          <w:bCs/>
          <w:color w:val="auto"/>
          <w:sz w:val="24"/>
          <w:highlight w:val="none"/>
          <w:lang w:bidi="zh-CN"/>
        </w:rPr>
      </w:pPr>
      <w:r>
        <w:rPr>
          <w:rFonts w:hint="eastAsia" w:ascii="宋体" w:hAnsi="宋体" w:cs="宋体"/>
          <w:b/>
          <w:bCs/>
          <w:color w:val="auto"/>
          <w:sz w:val="24"/>
          <w:highlight w:val="none"/>
          <w:lang w:val="en-US" w:bidi="zh-CN"/>
        </w:rPr>
        <w:t xml:space="preserve">六</w:t>
      </w:r>
      <w:r>
        <w:rPr>
          <w:rFonts w:hint="eastAsia" w:ascii="宋体" w:hAnsi="宋体" w:eastAsia="宋体" w:cs="宋体"/>
          <w:b/>
          <w:bCs/>
          <w:color w:val="auto"/>
          <w:sz w:val="24"/>
          <w:highlight w:val="none"/>
          <w:lang w:bidi="zh-CN"/>
        </w:rPr>
        <w:t xml:space="preserve">、采购标的对应的中小企业划分标准所属行业一览表</w:t>
      </w:r>
      <w:r/>
    </w:p>
    <w:tbl>
      <w:tblPr>
        <w:tblStyle w:val="786"/>
        <w:tblW w:w="92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4700"/>
        <w:gridCol w:w="3701"/>
      </w:tblGrid>
      <w:tr>
        <w:trPr>
          <w:jc w:val="center"/>
          <w:tblCellSpacing w:w="0" w:type="dxa"/>
          <w:trHeight w:val="642"/>
        </w:trPr>
        <w:tc>
          <w:tcPr>
            <w:tcW w:w="862"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4700"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采购标的</w:t>
            </w:r>
            <w:r/>
          </w:p>
        </w:tc>
        <w:tc>
          <w:tcPr>
            <w:tcW w:w="3701"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对应中小企业划分标准所属行业</w:t>
            </w:r>
            <w:r/>
          </w:p>
        </w:tc>
      </w:tr>
      <w:tr>
        <w:trPr>
          <w:jc w:val="center"/>
          <w:tblCellSpacing w:w="0" w:type="dxa"/>
          <w:trHeight w:val="642"/>
        </w:trPr>
        <w:tc>
          <w:tcPr>
            <w:tcW w:w="862"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4700"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olor w:val="auto"/>
                <w:sz w:val="24"/>
                <w:highlight w:val="none"/>
                <w:lang w:eastAsia="zh-CN"/>
              </w:rPr>
              <w:t xml:space="preserve">建湖县社会治安综合治理中心改造项目</w:t>
            </w:r>
            <w:r/>
          </w:p>
        </w:tc>
        <w:tc>
          <w:tcPr>
            <w:tcW w:w="3701"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建筑行业</w:t>
            </w:r>
            <w:r/>
          </w:p>
        </w:tc>
      </w:tr>
    </w:tbl>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476"/>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0"/>
        <w:spacing w:line="480" w:lineRule="exac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r>
      <w:r>
        <w:rPr>
          <w:rFonts w:hint="eastAsia" w:ascii="宋体" w:hAnsi="宋体" w:cs="宋体"/>
          <w:b/>
          <w:bCs/>
          <w:color w:val="auto"/>
          <w:sz w:val="24"/>
          <w:highlight w:val="none"/>
        </w:rPr>
      </w:r>
      <w:r/>
    </w:p>
    <w:p>
      <w:pPr>
        <w:ind w:firstLine="0"/>
        <w:spacing w:line="480" w:lineRule="exac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、评分标准（总分值为100分）</w:t>
      </w:r>
      <w:r/>
    </w:p>
    <w:tbl>
      <w:tblPr>
        <w:tblStyle w:val="78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964"/>
        <w:gridCol w:w="7140"/>
        <w:gridCol w:w="673"/>
      </w:tblGrid>
      <w:tr>
        <w:trPr>
          <w:jc w:val="center"/>
          <w:trHeight w:val="386"/>
        </w:trPr>
        <w:tc>
          <w:tcPr>
            <w:tcW w:w="52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96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评分项</w:t>
            </w:r>
            <w:r/>
          </w:p>
        </w:tc>
        <w:tc>
          <w:tcPr>
            <w:tcW w:w="714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评分内容</w:t>
            </w:r>
            <w:r/>
          </w:p>
        </w:tc>
        <w:tc>
          <w:tcPr>
            <w:tcW w:w="67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Height w:val="570"/>
        </w:trPr>
        <w:tc>
          <w:tcPr>
            <w:tcW w:w="521"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1</w:t>
            </w:r>
            <w:r/>
          </w:p>
        </w:tc>
        <w:tc>
          <w:tcPr>
            <w:tcW w:w="964"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投标</w:t>
            </w:r>
            <w:r/>
          </w:p>
          <w:p>
            <w:pPr>
              <w:jc w:val="center"/>
              <w:spacing w:line="380" w:lineRule="exact"/>
              <w:rPr>
                <w:rFonts w:hint="eastAsia" w:ascii="宋体" w:hAnsi="宋体"/>
                <w:color w:val="auto"/>
                <w:highlight w:val="none"/>
              </w:rPr>
            </w:pPr>
            <w:r>
              <w:rPr>
                <w:rFonts w:hint="eastAsia" w:ascii="宋体" w:hAnsi="宋体"/>
                <w:color w:val="auto"/>
                <w:highlight w:val="none"/>
              </w:rPr>
              <w:t xml:space="preserve">报价</w:t>
            </w:r>
            <w:r/>
          </w:p>
          <w:p>
            <w:pPr>
              <w:jc w:val="center"/>
              <w:spacing w:line="380" w:lineRule="exact"/>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50</w:t>
            </w:r>
            <w:r>
              <w:rPr>
                <w:rFonts w:hint="eastAsia" w:ascii="宋体" w:hAnsi="宋体"/>
                <w:color w:val="auto"/>
                <w:highlight w:val="none"/>
              </w:rPr>
              <w:t xml:space="preserve">分)</w:t>
            </w:r>
            <w:r/>
          </w:p>
        </w:tc>
        <w:tc>
          <w:tcPr>
            <w:tcW w:w="7140" w:type="dxa"/>
            <w:vAlign w:val="center"/>
            <w:textDirection w:val="lrTb"/>
            <w:noWrap w:val="false"/>
          </w:tcPr>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满足招标文件要求且投标价格最低的有效投标报价为评标基准价，其价格分为满分</w:t>
            </w:r>
            <w:r>
              <w:rPr>
                <w:rFonts w:hint="eastAsia" w:ascii="宋体" w:hAnsi="宋体"/>
                <w:color w:val="auto"/>
                <w:highlight w:val="none"/>
                <w:lang w:val="en-US" w:eastAsia="zh-CN"/>
              </w:rPr>
              <w:t xml:space="preserve">5</w:t>
            </w:r>
            <w:r>
              <w:rPr>
                <w:rFonts w:hint="eastAsia" w:ascii="宋体" w:hAnsi="宋体"/>
                <w:color w:val="auto"/>
                <w:highlight w:val="none"/>
              </w:rPr>
              <w:t xml:space="preserve">0分。其他投标人的价格分统一按照下列公式计算：投标报价得分=（评标基准价/投标报价）×</w:t>
            </w:r>
            <w:r>
              <w:rPr>
                <w:rFonts w:hint="eastAsia" w:ascii="宋体" w:hAnsi="宋体"/>
                <w:color w:val="auto"/>
                <w:highlight w:val="none"/>
                <w:lang w:val="en-US" w:eastAsia="zh-CN"/>
              </w:rPr>
              <w:t xml:space="preserve">5</w:t>
            </w:r>
            <w:r>
              <w:rPr>
                <w:rFonts w:hint="eastAsia" w:ascii="宋体" w:hAnsi="宋体"/>
                <w:color w:val="auto"/>
                <w:highlight w:val="none"/>
              </w:rPr>
              <w:t xml:space="preserve">0，结果保留两位小数（有效投标文件是指未被评标委员会判定为无效标的投标文件）。</w:t>
            </w:r>
            <w:r/>
          </w:p>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注：因本项目专门面向中小企业采购，不再执行价格评审优惠的扶持政策。</w:t>
            </w:r>
            <w:r/>
          </w:p>
        </w:tc>
        <w:tc>
          <w:tcPr>
            <w:tcW w:w="673" w:type="dxa"/>
            <w:vAlign w:val="center"/>
            <w:textDirection w:val="lrTb"/>
            <w:noWrap w:val="false"/>
          </w:tcPr>
          <w:p>
            <w:pPr>
              <w:jc w:val="center"/>
              <w:spacing w:line="320" w:lineRule="exact"/>
              <w:rPr>
                <w:rFonts w:hint="eastAsia" w:ascii="宋体" w:hAnsi="宋体"/>
                <w:color w:val="auto"/>
                <w:highlight w:val="none"/>
              </w:rPr>
            </w:pPr>
            <w:r>
              <w:rPr>
                <w:rFonts w:hint="eastAsia" w:ascii="宋体" w:hAnsi="宋体"/>
                <w:color w:val="auto"/>
                <w:highlight w:val="none"/>
              </w:rPr>
            </w:r>
            <w:r/>
          </w:p>
        </w:tc>
      </w:tr>
      <w:tr>
        <w:trPr>
          <w:jc w:val="center"/>
          <w:trHeight w:val="79"/>
        </w:trPr>
        <w:tc>
          <w:tcPr>
            <w:tcW w:w="521"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2</w:t>
            </w:r>
            <w:r/>
          </w:p>
        </w:tc>
        <w:tc>
          <w:tcPr>
            <w:tcW w:w="964"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企业</w:t>
            </w:r>
            <w:r/>
          </w:p>
          <w:p>
            <w:pPr>
              <w:jc w:val="center"/>
              <w:spacing w:line="380" w:lineRule="exact"/>
              <w:rPr>
                <w:rFonts w:hint="eastAsia" w:ascii="宋体" w:hAnsi="宋体"/>
                <w:color w:val="auto"/>
                <w:highlight w:val="none"/>
              </w:rPr>
            </w:pPr>
            <w:r>
              <w:rPr>
                <w:rFonts w:hint="eastAsia" w:ascii="宋体" w:hAnsi="宋体"/>
                <w:color w:val="auto"/>
                <w:highlight w:val="none"/>
              </w:rPr>
              <w:t xml:space="preserve">认证</w:t>
            </w:r>
            <w:r/>
          </w:p>
          <w:p>
            <w:pPr>
              <w:ind w:right="-105"/>
              <w:jc w:val="center"/>
              <w:spacing w:line="380" w:lineRule="exact"/>
              <w:rPr>
                <w:rFonts w:hint="eastAsia" w:ascii="宋体" w:hAnsi="宋体"/>
                <w:color w:val="auto"/>
                <w:highlight w:val="none"/>
              </w:rPr>
            </w:pPr>
            <w:r>
              <w:rPr>
                <w:rFonts w:hint="eastAsia" w:ascii="宋体" w:hAnsi="宋体"/>
                <w:color w:val="auto"/>
                <w:highlight w:val="none"/>
              </w:rPr>
              <w:t xml:space="preserve">（2分）</w:t>
            </w:r>
            <w:r/>
          </w:p>
        </w:tc>
        <w:tc>
          <w:tcPr>
            <w:tcW w:w="7140" w:type="dxa"/>
            <w:vAlign w:val="center"/>
            <w:textDirection w:val="lrTb"/>
            <w:noWrap w:val="false"/>
          </w:tcPr>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投标人具有质量管理体系认证证书、环境管理体系认证证书有一项得1分，最高得2分（认证范围与本次采购内容相关，认证机构必须在全国认证认可信息公共服务平台cx.cnca.cn/CertECloud/index/index/page网站可查询）</w:t>
            </w:r>
            <w:r>
              <w:rPr>
                <w:rFonts w:hint="eastAsia" w:ascii="宋体" w:hAnsi="宋体"/>
                <w:color w:val="auto"/>
                <w:highlight w:val="none"/>
                <w:lang w:eastAsia="zh-CN"/>
              </w:rPr>
              <w:t xml:space="preserve">，</w:t>
            </w:r>
            <w:r>
              <w:rPr>
                <w:rFonts w:hint="eastAsia" w:ascii="宋体" w:hAnsi="宋体"/>
                <w:color w:val="auto"/>
                <w:highlight w:val="none"/>
              </w:rPr>
              <w:t xml:space="preserve">此项最高得2分，须提供相关证明材料原件扫描件及网站查询截图。</w:t>
            </w:r>
            <w:r/>
          </w:p>
        </w:tc>
        <w:tc>
          <w:tcPr>
            <w:tcW w:w="673" w:type="dxa"/>
            <w:vAlign w:val="center"/>
            <w:textDirection w:val="lrTb"/>
            <w:noWrap w:val="false"/>
          </w:tcPr>
          <w:p>
            <w:pPr>
              <w:jc w:val="center"/>
              <w:spacing w:line="320" w:lineRule="exact"/>
              <w:rPr>
                <w:rFonts w:hint="eastAsia" w:ascii="宋体" w:hAnsi="宋体"/>
                <w:color w:val="auto"/>
                <w:highlight w:val="none"/>
              </w:rPr>
            </w:pPr>
            <w:r>
              <w:rPr>
                <w:rFonts w:hint="eastAsia" w:ascii="宋体" w:hAnsi="宋体"/>
                <w:color w:val="auto"/>
                <w:highlight w:val="none"/>
              </w:rPr>
            </w:r>
            <w:r/>
          </w:p>
        </w:tc>
      </w:tr>
      <w:tr>
        <w:trPr>
          <w:jc w:val="center"/>
          <w:trHeight w:val="1616"/>
        </w:trPr>
        <w:tc>
          <w:tcPr>
            <w:tcW w:w="521"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3</w:t>
            </w:r>
            <w:r/>
          </w:p>
        </w:tc>
        <w:tc>
          <w:tcPr>
            <w:tcW w:w="964"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企业</w:t>
            </w:r>
            <w:r/>
          </w:p>
          <w:p>
            <w:pPr>
              <w:jc w:val="center"/>
              <w:spacing w:line="380" w:lineRule="exact"/>
              <w:rPr>
                <w:rFonts w:hint="eastAsia" w:ascii="宋体" w:hAnsi="宋体"/>
                <w:color w:val="auto"/>
                <w:highlight w:val="none"/>
              </w:rPr>
            </w:pPr>
            <w:r>
              <w:rPr>
                <w:rFonts w:hint="eastAsia" w:ascii="宋体" w:hAnsi="宋体"/>
                <w:color w:val="auto"/>
                <w:highlight w:val="none"/>
              </w:rPr>
              <w:t xml:space="preserve">业绩</w:t>
            </w:r>
            <w:r/>
          </w:p>
          <w:p>
            <w:pPr>
              <w:ind w:right="-105"/>
              <w:jc w:val="center"/>
              <w:spacing w:line="380" w:lineRule="exact"/>
              <w:rPr>
                <w:rFonts w:hint="eastAsia" w:ascii="宋体" w:hAnsi="宋体"/>
                <w:color w:val="auto"/>
                <w:highlight w:val="none"/>
              </w:rPr>
            </w:pPr>
            <w:r>
              <w:rPr>
                <w:rFonts w:hint="eastAsia" w:ascii="宋体" w:hAnsi="宋体"/>
                <w:color w:val="auto"/>
                <w:highlight w:val="none"/>
              </w:rPr>
              <w:t xml:space="preserve">（6分）</w:t>
            </w:r>
            <w:r/>
          </w:p>
        </w:tc>
        <w:tc>
          <w:tcPr>
            <w:tcW w:w="7140" w:type="dxa"/>
            <w:vAlign w:val="center"/>
            <w:textDirection w:val="lrTb"/>
            <w:noWrap w:val="false"/>
          </w:tcPr>
          <w:p>
            <w:pPr>
              <w:ind w:right="-105"/>
              <w:jc w:val="left"/>
              <w:spacing w:line="380" w:lineRule="exact"/>
              <w:rPr>
                <w:rFonts w:hint="eastAsia" w:ascii="宋体" w:hAnsi="宋体"/>
                <w:color w:val="auto"/>
                <w:highlight w:val="none"/>
                <w:lang w:eastAsia="zh-CN"/>
              </w:rPr>
            </w:pPr>
            <w:r>
              <w:rPr>
                <w:rFonts w:hint="eastAsia" w:ascii="宋体" w:hAnsi="宋体"/>
                <w:color w:val="auto"/>
                <w:highlight w:val="none"/>
              </w:rPr>
              <w:t xml:space="preserve">投标人自2022年</w:t>
            </w:r>
            <w:r>
              <w:rPr>
                <w:rFonts w:hint="eastAsia" w:ascii="宋体" w:hAnsi="宋体"/>
                <w:color w:val="auto"/>
                <w:highlight w:val="none"/>
                <w:lang w:val="en-US" w:eastAsia="zh-CN"/>
              </w:rPr>
              <w:t xml:space="preserve">8</w:t>
            </w:r>
            <w:r>
              <w:rPr>
                <w:rFonts w:hint="eastAsia" w:ascii="宋体" w:hAnsi="宋体"/>
                <w:color w:val="auto"/>
                <w:highlight w:val="none"/>
              </w:rPr>
              <w:t xml:space="preserve">月1日以来（以竣工验收证明时间为准）承接过类似项目业绩的，每提供一份得3分，本项最高得6分，须提供施工合同原件彩色扫描件、竣工验收证明（竣工验收证明需经设计、监理、施工、建设单位四方盖公章，否则不予认可）原件彩色扫描件，未提供或提供不全的不得分</w:t>
            </w:r>
            <w:r>
              <w:rPr>
                <w:rFonts w:hint="eastAsia" w:ascii="宋体" w:hAnsi="宋体"/>
                <w:color w:val="auto"/>
                <w:highlight w:val="none"/>
                <w:lang w:eastAsia="zh-CN"/>
              </w:rPr>
              <w:t xml:space="preserve">。</w:t>
            </w:r>
            <w:r/>
          </w:p>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注：上述类似项目业绩是指投标人所提供的业绩需与本项目类型相同的业绩，合同中必须体现甲乙双方单位名称及项目内容，否则不得分。</w:t>
            </w:r>
            <w:r/>
          </w:p>
        </w:tc>
        <w:tc>
          <w:tcPr>
            <w:tcW w:w="673" w:type="dxa"/>
            <w:vAlign w:val="center"/>
            <w:textDirection w:val="lrTb"/>
            <w:noWrap w:val="false"/>
          </w:tcPr>
          <w:p>
            <w:pPr>
              <w:jc w:val="center"/>
              <w:spacing w:line="320" w:lineRule="exact"/>
              <w:rPr>
                <w:rFonts w:hint="eastAsia" w:ascii="宋体" w:hAnsi="宋体"/>
                <w:color w:val="auto"/>
                <w:highlight w:val="none"/>
              </w:rPr>
            </w:pPr>
            <w:r>
              <w:rPr>
                <w:rFonts w:hint="eastAsia" w:ascii="宋体" w:hAnsi="宋体"/>
                <w:color w:val="auto"/>
                <w:highlight w:val="none"/>
              </w:rPr>
            </w:r>
            <w:r/>
          </w:p>
        </w:tc>
      </w:tr>
      <w:tr>
        <w:trPr>
          <w:jc w:val="center"/>
          <w:trHeight w:val="282"/>
        </w:trPr>
        <w:tc>
          <w:tcPr>
            <w:tcW w:w="521"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4</w:t>
            </w:r>
            <w:r/>
          </w:p>
        </w:tc>
        <w:tc>
          <w:tcPr>
            <w:tcW w:w="964"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技术</w:t>
            </w:r>
            <w:r/>
          </w:p>
          <w:p>
            <w:pPr>
              <w:jc w:val="center"/>
              <w:spacing w:line="380" w:lineRule="exact"/>
              <w:rPr>
                <w:rFonts w:hint="eastAsia" w:ascii="宋体" w:hAnsi="宋体"/>
                <w:color w:val="auto"/>
                <w:highlight w:val="none"/>
              </w:rPr>
            </w:pPr>
            <w:r>
              <w:rPr>
                <w:rFonts w:hint="eastAsia" w:ascii="宋体" w:hAnsi="宋体"/>
                <w:color w:val="auto"/>
                <w:highlight w:val="none"/>
              </w:rPr>
              <w:t xml:space="preserve">符合性</w:t>
            </w:r>
            <w:r/>
          </w:p>
          <w:p>
            <w:pPr>
              <w:ind w:left="-105" w:right="-105"/>
              <w:jc w:val="center"/>
              <w:spacing w:line="380" w:lineRule="exact"/>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20</w:t>
            </w:r>
            <w:r>
              <w:rPr>
                <w:rFonts w:hint="eastAsia" w:ascii="宋体" w:hAnsi="宋体"/>
                <w:color w:val="auto"/>
                <w:highlight w:val="none"/>
              </w:rPr>
              <w:t xml:space="preserve">分）</w:t>
            </w:r>
            <w:r/>
          </w:p>
        </w:tc>
        <w:tc>
          <w:tcPr>
            <w:tcW w:w="7140" w:type="dxa"/>
            <w:vAlign w:val="center"/>
            <w:textDirection w:val="lrTb"/>
            <w:noWrap w:val="false"/>
          </w:tcPr>
          <w:p>
            <w:pPr>
              <w:ind w:right="-105"/>
              <w:jc w:val="left"/>
              <w:spacing w:line="380" w:lineRule="exact"/>
              <w:rPr>
                <w:rFonts w:hint="eastAsia" w:ascii="宋体" w:hAnsi="宋体"/>
                <w:color w:val="auto"/>
                <w:highlight w:val="none"/>
              </w:rPr>
            </w:pPr>
            <w:r>
              <w:rPr>
                <w:rFonts w:hint="eastAsia" w:ascii="宋体" w:hAnsi="宋体"/>
                <w:color w:val="auto"/>
                <w:highlight w:val="none"/>
                <w:lang w:val="en-US" w:eastAsia="zh-CN"/>
              </w:rPr>
              <w:t xml:space="preserve">根据各投标人对本次招标技术要求及相关说明部分响应情况进行评定，投标人的所有技术要求及相关说明满足招标要求的得满分20分。技术参数中出现负偏离1-5项的扣5分，负偏离6-10项的扣10分，负偏离11-15项的扣15分，负偏离16项及以上的的扣20分。技术要求及相关说明中每一条的要求为一项。</w:t>
            </w:r>
            <w:r/>
          </w:p>
        </w:tc>
        <w:tc>
          <w:tcPr>
            <w:tcW w:w="673" w:type="dxa"/>
            <w:vAlign w:val="center"/>
            <w:textDirection w:val="lrTb"/>
            <w:noWrap w:val="false"/>
          </w:tcPr>
          <w:p>
            <w:pPr>
              <w:jc w:val="center"/>
              <w:spacing w:line="320" w:lineRule="exact"/>
              <w:rPr>
                <w:rFonts w:hint="eastAsia" w:ascii="宋体" w:hAnsi="宋体"/>
                <w:color w:val="auto"/>
                <w:highlight w:val="none"/>
              </w:rPr>
            </w:pPr>
            <w:r>
              <w:rPr>
                <w:rFonts w:hint="eastAsia" w:ascii="宋体" w:hAnsi="宋体"/>
                <w:color w:val="auto"/>
                <w:highlight w:val="none"/>
              </w:rPr>
            </w:r>
            <w:r/>
          </w:p>
        </w:tc>
      </w:tr>
      <w:tr>
        <w:trPr>
          <w:jc w:val="center"/>
          <w:trHeight w:val="1173"/>
        </w:trPr>
        <w:tc>
          <w:tcPr>
            <w:tcW w:w="521"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5</w:t>
            </w:r>
            <w:r/>
          </w:p>
        </w:tc>
        <w:tc>
          <w:tcPr>
            <w:tcW w:w="964" w:type="dxa"/>
            <w:vAlign w:val="center"/>
            <w:textDirection w:val="lrTb"/>
            <w:noWrap w:val="false"/>
          </w:tcPr>
          <w:p>
            <w:pPr>
              <w:jc w:val="center"/>
              <w:spacing w:line="380" w:lineRule="exact"/>
              <w:rPr>
                <w:rFonts w:hint="eastAsia" w:ascii="宋体" w:hAnsi="宋体"/>
                <w:color w:val="auto"/>
                <w:highlight w:val="none"/>
              </w:rPr>
            </w:pPr>
            <w:r>
              <w:rPr>
                <w:rFonts w:hint="eastAsia" w:ascii="宋体" w:hAnsi="宋体"/>
                <w:color w:val="auto"/>
                <w:highlight w:val="none"/>
              </w:rPr>
              <w:t xml:space="preserve">实施</w:t>
            </w:r>
            <w:r/>
          </w:p>
          <w:p>
            <w:pPr>
              <w:jc w:val="center"/>
              <w:spacing w:line="380" w:lineRule="exact"/>
              <w:rPr>
                <w:rFonts w:hint="eastAsia" w:ascii="宋体" w:hAnsi="宋体"/>
                <w:color w:val="auto"/>
                <w:highlight w:val="none"/>
              </w:rPr>
            </w:pPr>
            <w:r>
              <w:rPr>
                <w:rFonts w:hint="eastAsia" w:ascii="宋体" w:hAnsi="宋体"/>
                <w:color w:val="auto"/>
                <w:highlight w:val="none"/>
              </w:rPr>
              <w:t xml:space="preserve">方案</w:t>
            </w:r>
            <w:r/>
          </w:p>
          <w:p>
            <w:pPr>
              <w:ind w:left="-105" w:right="-105"/>
              <w:jc w:val="center"/>
              <w:spacing w:line="380" w:lineRule="exact"/>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22</w:t>
            </w:r>
            <w:r>
              <w:rPr>
                <w:rFonts w:hint="eastAsia" w:ascii="宋体" w:hAnsi="宋体"/>
                <w:color w:val="auto"/>
                <w:highlight w:val="none"/>
              </w:rPr>
              <w:t xml:space="preserve">分）</w:t>
            </w:r>
            <w:r/>
          </w:p>
        </w:tc>
        <w:tc>
          <w:tcPr>
            <w:tcW w:w="7140" w:type="dxa"/>
            <w:vAlign w:val="center"/>
            <w:textDirection w:val="lrTb"/>
            <w:noWrap w:val="false"/>
          </w:tcPr>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1）评标委员会根据各投标人项目实施方案中整体实施方案（各投标人基于对本项目需求的理解及分析情况，包括但不限于综合治理中心的改造、水电等设施的改造、配套设施改造等实施方案）进行评定，安排科学、有序，符合项目实际需求，能突显针对性且具有操作性的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分；有一定的计划安排，组织协调性能基本满足项目实施需要的得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.5分；有计划安排，措施简单，针对性一般的得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分（未提供实施方案的此项不得分）；</w:t>
            </w:r>
            <w:r/>
          </w:p>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2）评标委员会根据各投标人项目实施方案中组织架构方案（对本项目所投入的专业技术力量、施工团队、项目组织框架职责划分、管理方案等内容）进行评定，项目团队专业且经验丰富，内部管理制度方案科学合理，质量保证进度方案详细具体的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分；项目团队较为专业，内部管理制度方案较为合理，质量保证进度方案基本完整的得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.5分；项目团队专业性一般，内部管理制度方案一般，质量保证进度方案一般的得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分（未提供实施方案的此项不得分）；</w:t>
            </w:r>
            <w:r/>
          </w:p>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（3）评标委员会根据各投标人项目实施方案中质量保证措施（包括项目施工流程、进度安排、质量保证措施、安全保证措施、计划保障措施等）进行评定，方案科学合理性强、落地性强，满足项目要求性强的得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分；方案科学合理性较强、落地性较强，满足项目要求性较强的得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.5分；方案科学合理性一般、落地性一般，满足项目要求性一般的得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分（未提供此实施方案的不得分）；</w:t>
            </w:r>
            <w:r/>
          </w:p>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4）评标委员会根据各投标人项目实施方案中安全文明施工方案（包括安全生产目标、安全管理体系、安全施工措施、文明施工措施、资源配置等）进行评定，方案科学合理性强、落地性强，满足项目要求性强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分；方案科学合理性较强、落地性较强，满足项目要求性较强的得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.5分；方案科学合理性一般、落地性一般，满足项目要求性一般的得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分（未提供此实施方案的不得分）；</w:t>
            </w:r>
            <w:r/>
          </w:p>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（5）评标委员会根据各投标人项目实施方案中应急方案（包括项目可能出现的突发事件的应急处理方案及保障措施）进行评定，方案完整合理、切实可行的得</w:t>
            </w:r>
            <w:r>
              <w:rPr>
                <w:rFonts w:hint="eastAsia" w:ascii="宋体" w:hAnsi="宋体"/>
                <w:color w:val="auto"/>
                <w:highlight w:val="none"/>
                <w:lang w:val="en-US" w:eastAsia="zh-CN"/>
              </w:rPr>
              <w:t xml:space="preserve">4</w:t>
            </w:r>
            <w:r>
              <w:rPr>
                <w:rFonts w:hint="eastAsia" w:ascii="宋体" w:hAnsi="宋体"/>
                <w:color w:val="auto"/>
                <w:highlight w:val="none"/>
              </w:rPr>
              <w:t xml:space="preserve">分；方案具体、可行性较强的得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.5分；方案简单、可行性一般的得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分（未提供实施方案的此项不得分）。</w:t>
            </w:r>
            <w:r/>
          </w:p>
          <w:p>
            <w:pPr>
              <w:ind w:right="-105"/>
              <w:jc w:val="left"/>
              <w:spacing w:line="380" w:lineRule="exact"/>
              <w:rPr>
                <w:rFonts w:hint="eastAsia" w:ascii="宋体" w:hAnsi="宋体"/>
                <w:color w:val="auto"/>
                <w:highlight w:val="none"/>
              </w:rPr>
            </w:pPr>
            <w:r>
              <w:rPr>
                <w:rFonts w:hint="eastAsia" w:ascii="宋体" w:hAnsi="宋体"/>
                <w:color w:val="auto"/>
                <w:highlight w:val="none"/>
              </w:rPr>
              <w:t xml:space="preserve">注：上述评分项评标委员会应当将量化指标建立在同一基础或者同一标准上，使各投标文件具有可比性。</w:t>
            </w:r>
            <w:r/>
          </w:p>
        </w:tc>
        <w:tc>
          <w:tcPr>
            <w:tcW w:w="673" w:type="dxa"/>
            <w:vAlign w:val="center"/>
            <w:textDirection w:val="lrTb"/>
            <w:noWrap w:val="false"/>
          </w:tcPr>
          <w:p>
            <w:pPr>
              <w:jc w:val="center"/>
              <w:spacing w:line="260" w:lineRule="exact"/>
              <w:rPr>
                <w:rFonts w:hint="eastAsia" w:ascii="宋体" w:hAnsi="宋体"/>
                <w:color w:val="auto"/>
                <w:szCs w:val="20"/>
                <w:highlight w:val="none"/>
              </w:rPr>
            </w:pPr>
            <w:r>
              <w:rPr>
                <w:rFonts w:hint="eastAsia" w:ascii="宋体" w:hAnsi="宋体"/>
                <w:color w:val="auto"/>
                <w:szCs w:val="20"/>
                <w:highlight w:val="none"/>
              </w:rPr>
            </w:r>
            <w:r/>
          </w:p>
        </w:tc>
      </w:tr>
    </w:tbl>
    <w:p>
      <w:pPr>
        <w:keepLines w:val="0"/>
        <w:keepNext w:val="0"/>
        <w:pageBreakBefore w:val="0"/>
        <w:spacing w:line="480" w:lineRule="exact"/>
        <w:widowControl w:val="off"/>
        <w:rPr>
          <w:b/>
          <w:bCs/>
          <w:color w:val="auto"/>
          <w:sz w:val="24"/>
          <w:szCs w:val="24"/>
          <w:highlight w:val="none"/>
        </w:rPr>
      </w:pPr>
      <w:r>
        <w:rPr>
          <w:rFonts w:hint="eastAsia" w:ascii="宋体" w:hAnsi="宋体"/>
          <w:b/>
          <w:bCs/>
          <w:color w:val="auto"/>
          <w:sz w:val="24"/>
          <w:szCs w:val="24"/>
          <w:highlight w:val="none"/>
        </w:rPr>
        <w:t xml:space="preserve">备注：“实施方案”总页码不得超过</w:t>
      </w:r>
      <w:r>
        <w:rPr>
          <w:rFonts w:hint="eastAsia" w:ascii="宋体" w:hAnsi="宋体"/>
          <w:b/>
          <w:bCs/>
          <w:color w:val="auto"/>
          <w:sz w:val="24"/>
          <w:szCs w:val="24"/>
          <w:highlight w:val="none"/>
          <w:lang w:val="en-US" w:eastAsia="zh-CN"/>
        </w:rPr>
        <w:t xml:space="preserve">10</w:t>
      </w:r>
      <w:r>
        <w:rPr>
          <w:rFonts w:hint="eastAsia" w:ascii="宋体" w:hAnsi="宋体"/>
          <w:b/>
          <w:bCs/>
          <w:color w:val="auto"/>
          <w:sz w:val="24"/>
          <w:szCs w:val="24"/>
          <w:highlight w:val="none"/>
        </w:rPr>
        <w:t xml:space="preserve">0页，否则由</w:t>
      </w:r>
      <w:r>
        <w:rPr>
          <w:rFonts w:hint="eastAsia" w:ascii="宋体" w:hAnsi="宋体" w:cs="宋体"/>
          <w:b/>
          <w:bCs/>
          <w:color w:val="auto"/>
          <w:sz w:val="24"/>
          <w:szCs w:val="24"/>
          <w:highlight w:val="none"/>
        </w:rPr>
        <w:t xml:space="preserve">评委酌情扣分。</w:t>
      </w:r>
      <w:r>
        <w:rPr>
          <w:rFonts w:hint="eastAsia" w:ascii="宋体" w:hAnsi="宋体"/>
          <w:b/>
          <w:bCs/>
          <w:color w:val="auto"/>
          <w:sz w:val="24"/>
          <w:szCs w:val="24"/>
          <w:highlight w:val="none"/>
        </w:rPr>
        <w:t xml:space="preserve">上述加分项中需提供相关证明材料的，在该项目中标公示上网之日起一个工作日内，向采购人提供原件核查，如未提供或提供的原件与投标时提供的证明材料不一致，将被视为在投标过程中提供虚假材料谋取中标成交，列入不良行为记录名单。</w:t>
      </w:r>
      <w:r/>
    </w:p>
    <w:p>
      <w:pPr>
        <w:jc w:val="center"/>
        <w:spacing w:before="240" w:after="60"/>
        <w:rPr>
          <w:rFonts w:ascii="Calibri Light" w:hAnsi="Calibri Light" w:eastAsia="黑体"/>
          <w:b/>
          <w:bCs/>
          <w:color w:val="auto"/>
          <w:sz w:val="32"/>
          <w:szCs w:val="32"/>
          <w:highlight w:val="none"/>
        </w:rPr>
        <w:outlineLvl w:val="0"/>
      </w:pPr>
      <w:r>
        <w:rPr>
          <w:rFonts w:hint="eastAsia"/>
          <w:color w:val="auto"/>
          <w:sz w:val="32"/>
          <w:szCs w:val="32"/>
          <w:highlight w:val="none"/>
        </w:rPr>
        <w:br w:type="page" w:clear="all"/>
      </w:r>
      <w:bookmarkStart w:id="187" w:name="_Toc26270"/>
      <w:r/>
      <w:bookmarkStart w:id="188" w:name="_Toc205811300"/>
      <w:r/>
      <w:bookmarkStart w:id="189" w:name="_Toc8499"/>
      <w:r>
        <w:rPr>
          <w:rFonts w:hint="eastAsia" w:ascii="Calibri Light" w:hAnsi="Calibri Light" w:eastAsia="黑体"/>
          <w:b/>
          <w:bCs/>
          <w:color w:val="auto"/>
          <w:sz w:val="32"/>
          <w:szCs w:val="32"/>
          <w:highlight w:val="none"/>
        </w:rPr>
        <w:t xml:space="preserve">第六章  响应文件格式</w:t>
      </w:r>
      <w:bookmarkEnd w:id="187"/>
      <w:r/>
      <w:bookmarkEnd w:id="188"/>
      <w:r/>
      <w:bookmarkEnd w:id="189"/>
      <w:r/>
      <w:r/>
    </w:p>
    <w:p>
      <w:pPr>
        <w:pStyle w:val="860"/>
        <w:ind w:firstLine="1431"/>
        <w:spacing w:beforeAutospacing="0" w:afterAutospacing="0"/>
        <w:rPr>
          <w:rFonts w:hint="eastAsia" w:ascii="宋体" w:hAnsi="宋体" w:cs="宋体"/>
          <w:b/>
          <w:color w:val="auto"/>
          <w:sz w:val="72"/>
          <w:szCs w:val="72"/>
          <w:highlight w:val="none"/>
        </w:rPr>
      </w:pPr>
      <w:r/>
      <w:bookmarkStart w:id="190" w:name="_Toc120614282"/>
      <w:r/>
      <w:bookmarkEnd w:id="190"/>
      <w:r/>
      <w:bookmarkStart w:id="191" w:name="_Toc49090576"/>
      <w:r/>
      <w:bookmarkEnd w:id="191"/>
      <w:r/>
      <w:bookmarkStart w:id="192" w:name="_Hlt26671244"/>
      <w:r/>
      <w:bookmarkStart w:id="193" w:name="_Toc26554094"/>
      <w:r/>
      <w:bookmarkStart w:id="194" w:name="_Hlt26955039"/>
      <w:r/>
      <w:r/>
    </w:p>
    <w:p>
      <w:pPr>
        <w:pStyle w:val="860"/>
        <w:ind w:firstLine="1431"/>
        <w:spacing w:beforeAutospacing="0" w:afterAutospacing="0"/>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860"/>
        <w:ind w:firstLine="1431"/>
        <w:spacing w:beforeAutospacing="0" w:afterAutospacing="0"/>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860"/>
        <w:ind w:firstLine="1431"/>
        <w:spacing w:beforeAutospacing="0" w:afterAutospacing="0"/>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860"/>
        <w:jc w:val="center"/>
        <w:spacing w:beforeAutospacing="0" w:afterAutospacing="0"/>
        <w:rPr>
          <w:color w:val="auto"/>
          <w:highlight w:val="none"/>
        </w:rPr>
      </w:pPr>
      <w:r>
        <w:rPr>
          <w:rFonts w:hint="eastAsia" w:ascii="宋体" w:hAnsi="宋体" w:cs="宋体"/>
          <w:b/>
          <w:color w:val="auto"/>
          <w:sz w:val="72"/>
          <w:szCs w:val="72"/>
          <w:highlight w:val="none"/>
        </w:rPr>
        <w:t xml:space="preserve">响 应 文 件</w:t>
      </w:r>
      <w:r/>
    </w:p>
    <w:p>
      <w:pPr>
        <w:pStyle w:val="860"/>
        <w:jc w:val="center"/>
        <w:spacing w:beforeAutospacing="0" w:afterAutospacing="0"/>
        <w:rPr>
          <w:color w:val="auto"/>
          <w:highlight w:val="none"/>
        </w:rPr>
      </w:pPr>
      <w:r>
        <w:rPr>
          <w:color w:val="auto"/>
          <w:highlight w:val="none"/>
        </w:rPr>
        <w:t xml:space="preserve"> </w:t>
      </w:r>
      <w:r/>
    </w:p>
    <w:p>
      <w:pPr>
        <w:pStyle w:val="860"/>
        <w:jc w:val="center"/>
        <w:spacing w:beforeAutospacing="0" w:afterAutospacing="0"/>
        <w:rPr>
          <w:color w:val="auto"/>
          <w:highlight w:val="none"/>
        </w:rPr>
      </w:pPr>
      <w:r>
        <w:rPr>
          <w:color w:val="auto"/>
          <w:highlight w:val="none"/>
        </w:rPr>
        <w:t xml:space="preserve"> </w:t>
      </w:r>
      <w:r/>
    </w:p>
    <w:p>
      <w:pPr>
        <w:pStyle w:val="860"/>
        <w:jc w:val="center"/>
        <w:spacing w:beforeAutospacing="0" w:afterAutospacing="0"/>
        <w:rPr>
          <w:color w:val="auto"/>
          <w:highlight w:val="none"/>
        </w:rPr>
      </w:pPr>
      <w:r>
        <w:rPr>
          <w:color w:val="auto"/>
          <w:highlight w:val="none"/>
        </w:rPr>
      </w:r>
      <w:r/>
    </w:p>
    <w:p>
      <w:pPr>
        <w:pStyle w:val="860"/>
        <w:jc w:val="center"/>
        <w:spacing w:beforeAutospacing="0" w:afterAutospacing="0"/>
        <w:rPr>
          <w:color w:val="auto"/>
          <w:highlight w:val="none"/>
        </w:rPr>
      </w:pPr>
      <w:r>
        <w:rPr>
          <w:color w:val="auto"/>
          <w:highlight w:val="none"/>
        </w:rPr>
      </w:r>
      <w:r/>
    </w:p>
    <w:p>
      <w:pPr>
        <w:pStyle w:val="860"/>
        <w:jc w:val="center"/>
        <w:spacing w:beforeAutospacing="0" w:afterAutospacing="0"/>
        <w:rPr>
          <w:color w:val="auto"/>
          <w:highlight w:val="none"/>
        </w:rPr>
      </w:pPr>
      <w:r>
        <w:rPr>
          <w:color w:val="auto"/>
          <w:highlight w:val="none"/>
        </w:rPr>
      </w:r>
      <w:r/>
    </w:p>
    <w:p>
      <w:pPr>
        <w:pStyle w:val="860"/>
        <w:jc w:val="center"/>
        <w:spacing w:beforeAutospacing="0" w:afterAutospacing="0"/>
        <w:rPr>
          <w:color w:val="auto"/>
          <w:highlight w:val="none"/>
        </w:rPr>
      </w:pPr>
      <w:r>
        <w:rPr>
          <w:color w:val="auto"/>
          <w:highlight w:val="none"/>
        </w:rPr>
      </w:r>
      <w:r/>
    </w:p>
    <w:p>
      <w:pPr>
        <w:pStyle w:val="860"/>
        <w:jc w:val="center"/>
        <w:spacing w:beforeAutospacing="0" w:afterAutospacing="0"/>
        <w:rPr>
          <w:color w:val="auto"/>
          <w:highlight w:val="none"/>
        </w:rPr>
      </w:pPr>
      <w:r>
        <w:rPr>
          <w:color w:val="auto"/>
          <w:highlight w:val="none"/>
        </w:rPr>
      </w:r>
      <w:r/>
    </w:p>
    <w:p>
      <w:pPr>
        <w:pStyle w:val="860"/>
        <w:jc w:val="center"/>
        <w:spacing w:beforeAutospacing="0" w:afterAutospacing="0"/>
        <w:rPr>
          <w:color w:val="auto"/>
          <w:highlight w:val="none"/>
        </w:rPr>
      </w:pPr>
      <w:r>
        <w:rPr>
          <w:color w:val="auto"/>
          <w:highlight w:val="none"/>
        </w:rPr>
      </w:r>
      <w:r/>
    </w:p>
    <w:p>
      <w:pPr>
        <w:pStyle w:val="860"/>
        <w:jc w:val="center"/>
        <w:spacing w:beforeAutospacing="0" w:afterAutospacing="0"/>
        <w:rPr>
          <w:color w:val="auto"/>
          <w:highlight w:val="none"/>
        </w:rPr>
      </w:pPr>
      <w:r>
        <w:rPr>
          <w:color w:val="auto"/>
          <w:highlight w:val="none"/>
        </w:rPr>
      </w:r>
      <w:r/>
    </w:p>
    <w:p>
      <w:pPr>
        <w:pStyle w:val="860"/>
        <w:jc w:val="center"/>
        <w:spacing w:beforeAutospacing="0" w:afterAutospacing="0"/>
        <w:rPr>
          <w:color w:val="auto"/>
          <w:highlight w:val="none"/>
        </w:rPr>
      </w:pPr>
      <w:r>
        <w:rPr>
          <w:color w:val="auto"/>
          <w:highlight w:val="none"/>
        </w:rPr>
        <w:t xml:space="preserve"> </w:t>
      </w:r>
      <w:r/>
    </w:p>
    <w:p>
      <w:pPr>
        <w:pStyle w:val="860"/>
        <w:jc w:val="center"/>
        <w:spacing w:beforeAutospacing="0" w:afterAutospacing="0"/>
        <w:rPr>
          <w:color w:val="auto"/>
          <w:highlight w:val="none"/>
        </w:rPr>
      </w:pPr>
      <w:r>
        <w:rPr>
          <w:color w:val="auto"/>
          <w:highlight w:val="none"/>
        </w:rPr>
        <w:t xml:space="preserve"> </w:t>
      </w:r>
      <w:r/>
    </w:p>
    <w:p>
      <w:pPr>
        <w:pStyle w:val="860"/>
        <w:jc w:val="center"/>
        <w:spacing w:beforeAutospacing="0" w:afterAutospacing="0"/>
        <w:rPr>
          <w:color w:val="auto"/>
          <w:highlight w:val="none"/>
        </w:rPr>
      </w:pPr>
      <w:r>
        <w:rPr>
          <w:color w:val="auto"/>
          <w:highlight w:val="none"/>
        </w:rPr>
        <w:t xml:space="preserve"> </w:t>
      </w:r>
      <w:r/>
    </w:p>
    <w:p>
      <w:pPr>
        <w:pStyle w:val="860"/>
        <w:ind w:firstLine="567"/>
        <w:jc w:val="both"/>
        <w:spacing w:beforeAutospacing="0" w:afterAutospacing="0" w:line="800" w:lineRule="exact"/>
        <w:rPr>
          <w:color w:val="auto"/>
          <w:highlight w:val="none"/>
        </w:rPr>
      </w:pPr>
      <w:r>
        <w:rPr>
          <w:rFonts w:hint="eastAsia" w:ascii="宋体" w:hAnsi="宋体" w:cs="宋体"/>
          <w:b/>
          <w:color w:val="auto"/>
          <w:sz w:val="36"/>
          <w:szCs w:val="36"/>
          <w:highlight w:val="none"/>
        </w:rPr>
        <w:t xml:space="preserve">项 目名 称：</w:t>
      </w:r>
      <w:r>
        <w:rPr>
          <w:rFonts w:hint="eastAsia" w:ascii="宋体" w:hAnsi="宋体" w:cs="宋体"/>
          <w:b/>
          <w:color w:val="auto"/>
          <w:sz w:val="36"/>
          <w:szCs w:val="36"/>
          <w:highlight w:val="none"/>
          <w:u w:val="single"/>
        </w:rPr>
        <w:t xml:space="preserve">        </w:t>
      </w:r>
      <w:r>
        <w:rPr>
          <w:rFonts w:ascii="宋体" w:hAnsi="宋体" w:cs="宋体"/>
          <w:b/>
          <w:color w:val="auto"/>
          <w:sz w:val="36"/>
          <w:szCs w:val="36"/>
          <w:highlight w:val="none"/>
          <w:u w:val="single"/>
        </w:rPr>
        <w:t xml:space="preserve">       </w:t>
      </w:r>
      <w:r>
        <w:rPr>
          <w:rFonts w:hint="eastAsia" w:ascii="宋体" w:hAnsi="宋体" w:cs="宋体"/>
          <w:b/>
          <w:color w:val="auto"/>
          <w:sz w:val="36"/>
          <w:szCs w:val="36"/>
          <w:highlight w:val="none"/>
          <w:u w:val="single"/>
        </w:rPr>
        <w:t xml:space="preserve">     </w:t>
      </w:r>
      <w:r/>
    </w:p>
    <w:p>
      <w:pPr>
        <w:pStyle w:val="860"/>
        <w:ind w:firstLine="567"/>
        <w:jc w:val="both"/>
        <w:spacing w:beforeAutospacing="0" w:afterAutospacing="0" w:line="800" w:lineRule="exact"/>
        <w:rPr>
          <w:color w:val="auto"/>
          <w:highlight w:val="none"/>
        </w:rPr>
      </w:pPr>
      <w:r>
        <w:rPr>
          <w:rFonts w:hint="eastAsia" w:ascii="宋体" w:hAnsi="宋体" w:cs="宋体"/>
          <w:b/>
          <w:color w:val="auto"/>
          <w:sz w:val="36"/>
          <w:szCs w:val="36"/>
          <w:highlight w:val="none"/>
        </w:rPr>
        <w:t xml:space="preserve">项 目编 号：</w:t>
      </w:r>
      <w:r>
        <w:rPr>
          <w:rFonts w:hint="eastAsia" w:ascii="宋体" w:hAnsi="宋体" w:cs="宋体"/>
          <w:b/>
          <w:color w:val="auto"/>
          <w:sz w:val="36"/>
          <w:szCs w:val="36"/>
          <w:highlight w:val="none"/>
          <w:u w:val="single"/>
        </w:rPr>
        <w:t xml:space="preserve">         </w:t>
      </w:r>
      <w:r>
        <w:rPr>
          <w:rFonts w:ascii="宋体" w:hAnsi="宋体" w:cs="宋体"/>
          <w:b/>
          <w:color w:val="auto"/>
          <w:sz w:val="36"/>
          <w:szCs w:val="36"/>
          <w:highlight w:val="none"/>
          <w:u w:val="single"/>
        </w:rPr>
        <w:t xml:space="preserve">       </w:t>
      </w:r>
      <w:r>
        <w:rPr>
          <w:rFonts w:hint="eastAsia" w:ascii="宋体" w:hAnsi="宋体" w:cs="宋体"/>
          <w:b/>
          <w:color w:val="auto"/>
          <w:sz w:val="36"/>
          <w:szCs w:val="36"/>
          <w:highlight w:val="none"/>
          <w:u w:val="single"/>
        </w:rPr>
        <w:t xml:space="preserve">   </w:t>
      </w:r>
      <w:r/>
    </w:p>
    <w:p>
      <w:pPr>
        <w:pStyle w:val="860"/>
        <w:ind w:firstLine="567"/>
        <w:jc w:val="both"/>
        <w:spacing w:beforeAutospacing="0" w:afterAutospacing="0" w:line="800" w:lineRule="exac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rPr>
        <w:t xml:space="preserve">供应商名称 ：</w:t>
      </w:r>
      <w:r>
        <w:rPr>
          <w:rFonts w:hint="eastAsia" w:ascii="宋体" w:hAnsi="宋体" w:cs="宋体"/>
          <w:b/>
          <w:color w:val="auto"/>
          <w:sz w:val="36"/>
          <w:szCs w:val="36"/>
          <w:highlight w:val="none"/>
          <w:u w:val="single"/>
        </w:rPr>
        <w:t xml:space="preserve">    </w:t>
      </w:r>
      <w:r>
        <w:rPr>
          <w:rFonts w:ascii="宋体" w:hAnsi="宋体" w:cs="宋体"/>
          <w:b/>
          <w:color w:val="auto"/>
          <w:sz w:val="36"/>
          <w:szCs w:val="36"/>
          <w:highlight w:val="none"/>
          <w:u w:val="single"/>
        </w:rPr>
        <w:t xml:space="preserve">     </w:t>
      </w:r>
      <w:r>
        <w:rPr>
          <w:rFonts w:hint="eastAsia" w:ascii="宋体" w:hAnsi="宋体" w:cs="宋体"/>
          <w:b/>
          <w:color w:val="auto"/>
          <w:sz w:val="36"/>
          <w:szCs w:val="36"/>
          <w:highlight w:val="none"/>
          <w:u w:val="single"/>
        </w:rPr>
        <w:t xml:space="preserve">  </w:t>
      </w:r>
      <w:r>
        <w:rPr>
          <w:rFonts w:ascii="宋体" w:hAnsi="宋体" w:cs="宋体"/>
          <w:b/>
          <w:color w:val="auto"/>
          <w:sz w:val="36"/>
          <w:szCs w:val="36"/>
          <w:highlight w:val="none"/>
          <w:u w:val="single"/>
        </w:rPr>
        <w:t xml:space="preserve">       </w:t>
      </w:r>
      <w:r>
        <w:rPr>
          <w:rFonts w:hint="eastAsia" w:ascii="宋体" w:hAnsi="宋体" w:cs="宋体"/>
          <w:b/>
          <w:color w:val="auto"/>
          <w:sz w:val="36"/>
          <w:szCs w:val="36"/>
          <w:highlight w:val="none"/>
          <w:u w:val="single"/>
        </w:rPr>
        <w:t xml:space="preserve">   </w:t>
      </w:r>
      <w:r/>
    </w:p>
    <w:p>
      <w:pPr>
        <w:pStyle w:val="860"/>
        <w:ind w:firstLine="567"/>
        <w:jc w:val="both"/>
        <w:spacing w:beforeAutospacing="0" w:afterAutospacing="0" w:line="800" w:lineRule="exact"/>
        <w:rPr>
          <w:color w:val="auto"/>
          <w:highlight w:val="none"/>
        </w:rPr>
      </w:pPr>
      <w:r>
        <w:rPr>
          <w:rFonts w:hint="eastAsia" w:ascii="宋体" w:hAnsi="宋体" w:cs="宋体"/>
          <w:b/>
          <w:color w:val="auto"/>
          <w:sz w:val="36"/>
          <w:szCs w:val="36"/>
          <w:highlight w:val="none"/>
        </w:rPr>
        <w:t xml:space="preserve">日   期 ：</w:t>
      </w:r>
      <w:r>
        <w:rPr>
          <w:rFonts w:hint="eastAsia" w:ascii="宋体" w:hAnsi="宋体" w:cs="宋体"/>
          <w:b/>
          <w:color w:val="auto"/>
          <w:sz w:val="36"/>
          <w:szCs w:val="36"/>
          <w:highlight w:val="none"/>
          <w:u w:val="single"/>
        </w:rPr>
        <w:t xml:space="preserve">    </w:t>
      </w:r>
      <w:r>
        <w:rPr>
          <w:rFonts w:ascii="宋体" w:hAnsi="宋体" w:cs="宋体"/>
          <w:b/>
          <w:color w:val="auto"/>
          <w:sz w:val="36"/>
          <w:szCs w:val="36"/>
          <w:highlight w:val="none"/>
          <w:u w:val="single"/>
        </w:rPr>
        <w:t xml:space="preserve">     </w:t>
      </w:r>
      <w:r>
        <w:rPr>
          <w:rFonts w:hint="eastAsia" w:ascii="宋体" w:hAnsi="宋体" w:cs="宋体"/>
          <w:b/>
          <w:color w:val="auto"/>
          <w:sz w:val="36"/>
          <w:szCs w:val="36"/>
          <w:highlight w:val="none"/>
          <w:u w:val="single"/>
        </w:rPr>
        <w:t xml:space="preserve">       </w:t>
      </w:r>
      <w:r>
        <w:rPr>
          <w:rFonts w:ascii="宋体" w:hAnsi="宋体" w:cs="宋体"/>
          <w:b/>
          <w:color w:val="auto"/>
          <w:sz w:val="36"/>
          <w:szCs w:val="36"/>
          <w:highlight w:val="none"/>
          <w:u w:val="single"/>
        </w:rPr>
        <w:t xml:space="preserve"> </w:t>
      </w:r>
      <w:r>
        <w:rPr>
          <w:rFonts w:hint="eastAsia" w:ascii="宋体" w:hAnsi="宋体" w:cs="宋体"/>
          <w:b/>
          <w:color w:val="auto"/>
          <w:sz w:val="36"/>
          <w:szCs w:val="36"/>
          <w:highlight w:val="none"/>
          <w:u w:val="single"/>
        </w:rPr>
        <w:t xml:space="preserve">   </w:t>
      </w:r>
      <w:r/>
    </w:p>
    <w:p>
      <w:pPr>
        <w:pStyle w:val="860"/>
        <w:jc w:val="center"/>
        <w:spacing w:beforeAutospacing="0" w:afterAutospacing="0" w:line="0" w:lineRule="atLeast"/>
        <w:rPr>
          <w:color w:val="auto"/>
          <w:highlight w:val="none"/>
        </w:rPr>
      </w:pPr>
      <w:r>
        <w:rPr>
          <w:color w:val="auto"/>
          <w:highlight w:val="none"/>
        </w:rPr>
        <w:t xml:space="preserve"> </w:t>
      </w:r>
      <w:r/>
    </w:p>
    <w:p>
      <w:pPr>
        <w:pStyle w:val="860"/>
        <w:ind w:firstLine="636"/>
        <w:jc w:val="center"/>
        <w:spacing w:beforeAutospacing="0" w:afterAutospacing="0" w:line="0" w:lineRule="atLeas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60"/>
        <w:ind w:firstLine="636"/>
        <w:jc w:val="center"/>
        <w:spacing w:beforeAutospacing="0" w:afterAutospacing="0" w:line="0" w:lineRule="atLeas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60"/>
        <w:spacing w:beforeAutospacing="0" w:afterAutospacing="0" w:line="0" w:lineRule="atLeas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18"/>
        <w:rPr>
          <w:rFonts w:hint="eastAsia"/>
          <w:color w:val="auto"/>
          <w:highlight w:val="none"/>
        </w:rPr>
      </w:pPr>
      <w:r/>
      <w:bookmarkStart w:id="195" w:name="_Toc166402910"/>
      <w:r/>
      <w:bookmarkStart w:id="196" w:name="_Toc205811301"/>
      <w:r/>
      <w:bookmarkStart w:id="197" w:name="_Toc19522"/>
      <w:r>
        <w:rPr>
          <w:rFonts w:hint="eastAsia"/>
          <w:color w:val="auto"/>
          <w:highlight w:val="none"/>
        </w:rPr>
        <w:t xml:space="preserve">响应文件相关格式</w:t>
      </w:r>
      <w:bookmarkEnd w:id="195"/>
      <w:r/>
      <w:bookmarkEnd w:id="196"/>
      <w:r/>
      <w:bookmarkEnd w:id="197"/>
      <w:r/>
      <w:r/>
    </w:p>
    <w:p>
      <w:pPr>
        <w:pStyle w:val="818"/>
        <w:rPr>
          <w:rFonts w:hint="eastAsia"/>
          <w:color w:val="auto"/>
          <w:highlight w:val="none"/>
        </w:rPr>
      </w:pPr>
      <w:r/>
      <w:bookmarkStart w:id="198" w:name="_Toc205811302"/>
      <w:r/>
      <w:bookmarkStart w:id="199" w:name="_Toc161385010"/>
      <w:r/>
      <w:bookmarkStart w:id="200" w:name="_Toc16627"/>
      <w:r/>
      <w:bookmarkStart w:id="201" w:name="_Toc101166956"/>
      <w:r>
        <w:rPr>
          <w:rFonts w:hint="eastAsia"/>
          <w:color w:val="auto"/>
          <w:highlight w:val="none"/>
        </w:rPr>
        <w:t xml:space="preserve">（一）开标一览表</w:t>
      </w:r>
      <w:bookmarkEnd w:id="198"/>
      <w:r/>
      <w:bookmarkEnd w:id="199"/>
      <w:r/>
      <w:bookmarkEnd w:id="200"/>
      <w:r/>
      <w:r/>
    </w:p>
    <w:p>
      <w:pPr>
        <w:pStyle w:val="1026"/>
        <w:jc w:val="left"/>
        <w:spacing w:line="520" w:lineRule="exact"/>
        <w:rPr>
          <w:rFonts w:hint="eastAsia" w:ascii="宋体" w:hAnsi="宋体" w:eastAsiaTheme="minorEastAsia"/>
          <w:color w:val="auto"/>
          <w:sz w:val="24"/>
          <w:highlight w:val="none"/>
        </w:rPr>
      </w:pPr>
      <w:r>
        <w:rPr>
          <w:rFonts w:hint="eastAsia" w:ascii="宋体" w:hAnsi="宋体"/>
          <w:color w:val="auto"/>
          <w:sz w:val="24"/>
          <w:highlight w:val="none"/>
        </w:rPr>
        <w:t xml:space="preserve">项</w:t>
      </w:r>
      <w:r>
        <w:rPr>
          <w:rFonts w:ascii="宋体" w:hAnsi="宋体"/>
          <w:color w:val="auto"/>
          <w:sz w:val="24"/>
          <w:highlight w:val="none"/>
        </w:rPr>
        <w:t xml:space="preserve">目编号：</w:t>
      </w:r>
      <w:r>
        <w:rPr>
          <w:rFonts w:hint="eastAsia" w:ascii="宋体" w:hAnsi="宋体" w:cs="宋体"/>
          <w:color w:val="auto"/>
          <w:sz w:val="24"/>
          <w:highlight w:val="none"/>
          <w:lang w:eastAsia="zh-CN"/>
        </w:rPr>
        <w:t xml:space="preserve">JSZC-320925-WYGS-C2025-0076 </w:t>
      </w:r>
      <w:bookmarkStart w:id="294" w:name="_GoBack"/>
      <w:r/>
      <w:bookmarkEnd w:id="294"/>
      <w:r>
        <w:rPr>
          <w:rFonts w:hint="eastAsia" w:ascii="宋体" w:hAnsi="宋体" w:eastAsiaTheme="minorEastAsia"/>
          <w:color w:val="auto"/>
          <w:sz w:val="24"/>
          <w:highlight w:val="none"/>
        </w:rPr>
        <w:t xml:space="preserve"> </w:t>
      </w:r>
      <w:r/>
    </w:p>
    <w:p>
      <w:pPr>
        <w:pStyle w:val="1026"/>
        <w:jc w:val="left"/>
        <w:spacing w:line="520" w:lineRule="exact"/>
        <w:rPr>
          <w:rFonts w:ascii="宋体" w:hAnsi="宋体"/>
          <w:color w:val="auto"/>
          <w:sz w:val="24"/>
          <w:highlight w:val="none"/>
        </w:rPr>
      </w:pPr>
      <w:r>
        <w:rPr>
          <w:rFonts w:ascii="宋体" w:hAnsi="宋体"/>
          <w:color w:val="auto"/>
          <w:sz w:val="24"/>
          <w:highlight w:val="none"/>
        </w:rPr>
        <w:t xml:space="preserve">本次为首</w:t>
      </w:r>
      <w:r>
        <w:rPr>
          <w:rFonts w:hint="eastAsia" w:ascii="宋体" w:hAnsi="宋体"/>
          <w:color w:val="auto"/>
          <w:sz w:val="24"/>
          <w:highlight w:val="none"/>
        </w:rPr>
        <w:t xml:space="preserve">轮</w:t>
      </w:r>
      <w:r>
        <w:rPr>
          <w:rFonts w:ascii="宋体" w:hAnsi="宋体"/>
          <w:color w:val="auto"/>
          <w:sz w:val="24"/>
          <w:highlight w:val="none"/>
        </w:rPr>
        <w:t xml:space="preserve">报价</w:t>
      </w:r>
      <w:r/>
    </w:p>
    <w:p>
      <w:pPr>
        <w:pStyle w:val="1026"/>
        <w:ind w:right="240"/>
        <w:jc w:val="right"/>
        <w:spacing w:line="520" w:lineRule="exact"/>
        <w:rPr>
          <w:rFonts w:hint="eastAsia" w:ascii="宋体" w:hAnsi="宋体" w:eastAsia="宋体"/>
          <w:color w:val="auto"/>
          <w:sz w:val="24"/>
          <w:highlight w:val="none"/>
        </w:rPr>
      </w:pPr>
      <w:r>
        <w:rPr>
          <w:rFonts w:ascii="宋体" w:hAnsi="宋体"/>
          <w:color w:val="auto"/>
          <w:sz w:val="24"/>
          <w:highlight w:val="none"/>
        </w:rPr>
        <w:t xml:space="preserve">单位：</w:t>
      </w:r>
      <w:r>
        <w:rPr>
          <w:rFonts w:hint="eastAsia" w:ascii="宋体" w:hAnsi="宋体" w:eastAsia="宋体"/>
          <w:color w:val="auto"/>
          <w:sz w:val="24"/>
          <w:highlight w:val="none"/>
        </w:rPr>
        <w:t xml:space="preserve">元</w:t>
      </w:r>
      <w:r/>
    </w:p>
    <w:tbl>
      <w:tblPr>
        <w:tblStyle w:val="786"/>
        <w:tblW w:w="89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77"/>
        <w:gridCol w:w="1681"/>
        <w:gridCol w:w="2877"/>
      </w:tblGrid>
      <w:tr>
        <w:trPr>
          <w:cantSplit/>
          <w:jc w:val="center"/>
          <w:trHeight w:val="1040"/>
        </w:trPr>
        <w:tc>
          <w:tcPr>
            <w:tcW w:w="4377" w:type="dxa"/>
            <w:vAlign w:val="center"/>
            <w:textDirection w:val="lrTb"/>
            <w:noWrap w:val="false"/>
          </w:tcPr>
          <w:p>
            <w:pPr>
              <w:pStyle w:val="1026"/>
              <w:jc w:val="cente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1681" w:type="dxa"/>
            <w:vAlign w:val="center"/>
            <w:textDirection w:val="lrTb"/>
            <w:noWrap w:val="false"/>
          </w:tcPr>
          <w:p>
            <w:pPr>
              <w:pStyle w:val="1026"/>
              <w:jc w:val="cente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项目内容</w:t>
            </w:r>
            <w:r/>
          </w:p>
        </w:tc>
        <w:tc>
          <w:tcPr>
            <w:tcW w:w="2877" w:type="dxa"/>
            <w:vAlign w:val="center"/>
            <w:textDirection w:val="lrTb"/>
            <w:noWrap w:val="false"/>
          </w:tcPr>
          <w:p>
            <w:pPr>
              <w:pStyle w:val="1026"/>
              <w:jc w:val="cente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总价（小写）</w:t>
            </w:r>
            <w:r/>
          </w:p>
        </w:tc>
      </w:tr>
      <w:tr>
        <w:trPr>
          <w:cantSplit/>
          <w:jc w:val="center"/>
          <w:trHeight w:val="1040"/>
        </w:trPr>
        <w:tc>
          <w:tcPr>
            <w:tcW w:w="4377" w:type="dxa"/>
            <w:vAlign w:val="center"/>
            <w:textDirection w:val="lrTb"/>
            <w:noWrap w:val="false"/>
          </w:tcPr>
          <w:p>
            <w:pPr>
              <w:pStyle w:val="1026"/>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olor w:val="auto"/>
                <w:sz w:val="24"/>
                <w:highlight w:val="none"/>
                <w:lang w:eastAsia="zh-CN"/>
              </w:rPr>
              <w:t xml:space="preserve">建湖县社会治安综合治理中心改造项目</w:t>
            </w:r>
            <w:r/>
          </w:p>
        </w:tc>
        <w:tc>
          <w:tcPr>
            <w:tcW w:w="1681" w:type="dxa"/>
            <w:vAlign w:val="center"/>
            <w:textDirection w:val="lrTb"/>
            <w:noWrap w:val="false"/>
          </w:tcPr>
          <w:p>
            <w:pPr>
              <w:pStyle w:val="1026"/>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W w:w="2877" w:type="dxa"/>
            <w:vAlign w:val="center"/>
            <w:textDirection w:val="lrTb"/>
            <w:noWrap w:val="false"/>
          </w:tcPr>
          <w:p>
            <w:pPr>
              <w:pStyle w:val="1026"/>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040"/>
        </w:trPr>
        <w:tc>
          <w:tcPr>
            <w:gridSpan w:val="3"/>
            <w:tcW w:w="8935" w:type="dxa"/>
            <w:vAlign w:val="center"/>
            <w:textDirection w:val="lrTb"/>
            <w:noWrap w:val="false"/>
          </w:tcPr>
          <w:p>
            <w:pPr>
              <w:pStyle w:val="1026"/>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r>
    </w:tbl>
    <w:p>
      <w:pPr>
        <w:rPr>
          <w:rFonts w:hint="eastAsia" w:ascii="宋体" w:hAnsi="宋体"/>
          <w:color w:val="auto"/>
          <w:sz w:val="24"/>
          <w:highlight w:val="none"/>
        </w:rPr>
      </w:pPr>
      <w:r>
        <w:rPr>
          <w:rFonts w:hint="eastAsia" w:ascii="宋体" w:hAnsi="宋体"/>
          <w:color w:val="auto"/>
          <w:sz w:val="24"/>
          <w:highlight w:val="none"/>
        </w:rPr>
      </w:r>
      <w:r/>
    </w:p>
    <w:p>
      <w:pPr>
        <w:ind w:firstLine="535"/>
        <w:jc w:val="left"/>
        <w:spacing w:before="100" w:beforeAutospacing="1" w:after="100" w:afterAutospacing="1"/>
        <w:widowControl/>
        <w:rPr>
          <w:rFonts w:hint="eastAsia" w:ascii="宋体" w:hAnsi="宋体" w:cs="Segoe UI"/>
          <w:color w:val="auto"/>
          <w:sz w:val="27"/>
          <w:szCs w:val="27"/>
          <w:highlight w:val="none"/>
        </w:rPr>
      </w:pPr>
      <w:r/>
      <w:bookmarkStart w:id="202" w:name="_Toc101357900"/>
      <w:r/>
      <w:r/>
    </w:p>
    <w:p>
      <w:pPr>
        <w:ind w:firstLine="535"/>
        <w:jc w:val="left"/>
        <w:spacing w:before="100" w:beforeAutospacing="1" w:after="100" w:afterAutospacing="1"/>
        <w:widowControl/>
        <w:rPr>
          <w:rFonts w:hint="eastAsia" w:ascii="宋体" w:hAnsi="宋体" w:cs="Segoe UI"/>
          <w:color w:val="auto"/>
          <w:sz w:val="27"/>
          <w:szCs w:val="27"/>
          <w:highlight w:val="none"/>
        </w:rPr>
      </w:pPr>
      <w:r>
        <w:rPr>
          <w:rFonts w:ascii="宋体" w:hAnsi="宋体" w:cs="Segoe UI"/>
          <w:color w:val="auto"/>
          <w:sz w:val="27"/>
          <w:szCs w:val="27"/>
          <w:highlight w:val="none"/>
        </w:rPr>
        <w:t xml:space="preserve">投标人公章(电子签章)： </w:t>
      </w:r>
      <w:r/>
    </w:p>
    <w:p>
      <w:pPr>
        <w:ind w:firstLine="535"/>
        <w:jc w:val="left"/>
        <w:spacing w:before="100" w:beforeAutospacing="1" w:after="100" w:afterAutospacing="1"/>
        <w:widowControl/>
        <w:rPr>
          <w:rFonts w:hint="eastAsia" w:ascii="宋体" w:hAnsi="宋体" w:cs="Segoe UI"/>
          <w:color w:val="auto"/>
          <w:sz w:val="27"/>
          <w:szCs w:val="27"/>
          <w:highlight w:val="none"/>
        </w:rPr>
      </w:pPr>
      <w:r>
        <w:rPr>
          <w:rFonts w:hint="eastAsia" w:ascii="宋体" w:hAnsi="宋体" w:cs="Segoe UI"/>
          <w:color w:val="auto"/>
          <w:sz w:val="27"/>
          <w:szCs w:val="27"/>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pStyle w:val="1026"/>
        <w:ind w:right="29"/>
        <w:jc w:val="center"/>
        <w:spacing w:line="520" w:lineRule="exact"/>
        <w:rPr>
          <w:rFonts w:ascii="宋体" w:hAnsi="Courier New" w:eastAsia="宋体"/>
          <w:b/>
          <w:color w:val="auto"/>
          <w:sz w:val="32"/>
          <w:szCs w:val="32"/>
          <w:highlight w:val="none"/>
        </w:rPr>
      </w:pPr>
      <w:r>
        <w:rPr>
          <w:rFonts w:ascii="宋体" w:hAnsi="Courier New" w:eastAsia="宋体"/>
          <w:b/>
          <w:color w:val="auto"/>
          <w:sz w:val="32"/>
          <w:szCs w:val="32"/>
          <w:highlight w:val="none"/>
        </w:rPr>
      </w:r>
      <w:r/>
    </w:p>
    <w:p>
      <w:pPr>
        <w:rPr>
          <w:rFonts w:ascii="宋体" w:hAnsi="Courier New"/>
          <w:b/>
          <w:color w:val="auto"/>
          <w:sz w:val="32"/>
          <w:szCs w:val="32"/>
          <w:highlight w:val="none"/>
        </w:rPr>
      </w:pPr>
      <w:r>
        <w:rPr>
          <w:rFonts w:ascii="宋体" w:hAnsi="Courier New"/>
          <w:b/>
          <w:color w:val="auto"/>
          <w:sz w:val="32"/>
          <w:szCs w:val="32"/>
          <w:highlight w:val="none"/>
        </w:rPr>
      </w:r>
      <w:r/>
    </w:p>
    <w:p>
      <w:pPr>
        <w:rPr>
          <w:rFonts w:ascii="宋体" w:hAnsi="Courier New"/>
          <w:b/>
          <w:color w:val="auto"/>
          <w:sz w:val="32"/>
          <w:szCs w:val="32"/>
          <w:highlight w:val="none"/>
        </w:rPr>
      </w:pPr>
      <w:r>
        <w:rPr>
          <w:rFonts w:ascii="宋体" w:hAnsi="Courier New"/>
          <w:b/>
          <w:color w:val="auto"/>
          <w:sz w:val="32"/>
          <w:szCs w:val="32"/>
          <w:highlight w:val="none"/>
        </w:rPr>
      </w:r>
      <w:r/>
    </w:p>
    <w:p>
      <w:pPr>
        <w:pStyle w:val="818"/>
        <w:rPr>
          <w:rFonts w:hint="eastAsia"/>
          <w:color w:val="auto"/>
          <w:highlight w:val="none"/>
        </w:rPr>
      </w:pPr>
      <w:r/>
      <w:bookmarkStart w:id="203" w:name="_Toc205811303"/>
      <w:r/>
      <w:bookmarkStart w:id="204" w:name="_Toc16439"/>
      <w:r/>
      <w:bookmarkStart w:id="205" w:name="_Toc161385011"/>
      <w:r>
        <w:rPr>
          <w:rFonts w:hint="eastAsia"/>
          <w:color w:val="auto"/>
          <w:highlight w:val="none"/>
        </w:rPr>
        <w:t xml:space="preserve">（二）</w:t>
      </w:r>
      <w:bookmarkEnd w:id="201"/>
      <w:r/>
      <w:bookmarkEnd w:id="202"/>
      <w:r>
        <w:rPr>
          <w:rFonts w:hint="eastAsia"/>
          <w:color w:val="auto"/>
          <w:highlight w:val="none"/>
        </w:rPr>
        <w:t xml:space="preserve">投标函</w:t>
      </w:r>
      <w:bookmarkEnd w:id="203"/>
      <w:r/>
      <w:bookmarkEnd w:id="204"/>
      <w:r/>
      <w:bookmarkEnd w:id="205"/>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u w:val="single"/>
        </w:rPr>
        <w:t xml:space="preserve">中共建湖县委政法委员会</w:t>
      </w:r>
      <w:r/>
    </w:p>
    <w:p>
      <w:pPr>
        <w:ind w:left="2" w:firstLine="475"/>
        <w:spacing w:line="480" w:lineRule="exact"/>
        <w:rPr>
          <w:rFonts w:hint="eastAsia" w:ascii="宋体" w:hAnsi="宋体" w:cs="宋体"/>
          <w:color w:val="auto"/>
          <w:sz w:val="24"/>
          <w:szCs w:val="24"/>
          <w:highlight w:val="none"/>
        </w:rPr>
      </w:pPr>
      <w:r/>
      <w:bookmarkStart w:id="206" w:name="_Toc101166957"/>
      <w:r>
        <w:rPr>
          <w:rFonts w:hint="eastAsia" w:ascii="宋体" w:hAnsi="宋体" w:cs="宋体"/>
          <w:color w:val="auto"/>
          <w:sz w:val="24"/>
          <w:szCs w:val="24"/>
          <w:highlight w:val="none"/>
        </w:rPr>
        <w:t xml:space="preserve">1、根据</w:t>
      </w:r>
      <w:r>
        <w:rPr>
          <w:rFonts w:hint="eastAsia" w:ascii="宋体" w:hAnsi="宋体" w:cs="宋体"/>
          <w:color w:val="auto"/>
          <w:sz w:val="24"/>
          <w:szCs w:val="24"/>
          <w:highlight w:val="none"/>
          <w:u w:val="single"/>
          <w:lang w:eastAsia="zh-CN"/>
        </w:rPr>
        <w:t xml:space="preserve">建湖县社会治安综合治理中心改造项目</w:t>
      </w:r>
      <w:r>
        <w:rPr>
          <w:rFonts w:hint="eastAsia" w:ascii="宋体" w:hAnsi="宋体" w:cs="宋体"/>
          <w:color w:val="auto"/>
          <w:sz w:val="24"/>
          <w:szCs w:val="24"/>
          <w:highlight w:val="none"/>
        </w:rPr>
        <w:t xml:space="preserve">的磋商文件，我单位经市场考察和研究上述项目磋商文件的投标须知、相关标准及技术要求和其他有关文件后，按磋商文件规定的各项要求，我方愿以投标报价为</w:t>
      </w:r>
      <w:r>
        <w:rPr>
          <w:rFonts w:hint="eastAsia" w:ascii="宋体" w:hAnsi="宋体" w:cs="宋体"/>
          <w:color w:val="auto"/>
          <w:sz w:val="24"/>
          <w:szCs w:val="24"/>
          <w:highlight w:val="none"/>
          <w:u w:val="single"/>
        </w:rPr>
        <w:t xml:space="preserve">（大写）：    （小写）      </w:t>
      </w:r>
      <w:r>
        <w:rPr>
          <w:rFonts w:hint="eastAsia" w:ascii="宋体" w:hAnsi="宋体" w:cs="宋体"/>
          <w:color w:val="auto"/>
          <w:sz w:val="24"/>
          <w:szCs w:val="24"/>
          <w:highlight w:val="none"/>
        </w:rPr>
        <w:t xml:space="preserve">元的投标报价完成本项目，按磋商文件要求实施此项目；</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2、合同履行期限：</w:t>
      </w:r>
      <w:r>
        <w:rPr>
          <w:rFonts w:hint="eastAsia" w:ascii="宋体" w:hAnsi="宋体" w:cs="宋体"/>
          <w:color w:val="auto"/>
          <w:sz w:val="24"/>
          <w:szCs w:val="24"/>
          <w:highlight w:val="none"/>
          <w:u w:val="single"/>
        </w:rPr>
        <w:t xml:space="preserve">合同签订后</w:t>
      </w:r>
      <w:r>
        <w:rPr>
          <w:rFonts w:hint="eastAsia" w:ascii="宋体" w:hAnsi="宋体" w:cs="宋体"/>
          <w:color w:val="auto"/>
          <w:sz w:val="24"/>
          <w:szCs w:val="24"/>
          <w:highlight w:val="none"/>
          <w:u w:val="single"/>
          <w:lang w:eastAsia="zh-CN"/>
        </w:rPr>
        <w:t xml:space="preserve">50日历天</w:t>
      </w:r>
      <w:r>
        <w:rPr>
          <w:rFonts w:hint="eastAsia" w:ascii="宋体" w:hAnsi="宋体" w:cs="宋体"/>
          <w:color w:val="auto"/>
          <w:sz w:val="24"/>
          <w:szCs w:val="24"/>
          <w:highlight w:val="none"/>
          <w:u w:val="single"/>
        </w:rPr>
        <w:t xml:space="preserve">内竣工，完成项目的全部施工内容</w:t>
      </w:r>
      <w:r>
        <w:rPr>
          <w:rFonts w:hint="eastAsia" w:ascii="宋体" w:hAnsi="宋体" w:cs="宋体"/>
          <w:color w:val="auto"/>
          <w:sz w:val="24"/>
          <w:szCs w:val="24"/>
          <w:highlight w:val="none"/>
        </w:rPr>
        <w:t xml:space="preserve">；</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如果我公司中标，保证不转包、不违法分包，保证派驻响应文件提供的项目组人员及时进场，项目负责人</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 xml:space="preserve">；</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保证我公司用于本次投标的项目负责人无在建工程，保证代理人及投标承诺的项目负责人均为本单位的正式职工。如有投诉经查实，自愿接受以弄虚作假骗取中标进行处罚；</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如果我方在磋商文件规定的截止时间后撤回响应文件，或在接到中标通知书后30天内未能或拒绝签订合同协议书，我单位自愿接受被列为不良行为记录；</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我方接受磋商文件中的货款支付条件；</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如我方中标，我方承诺在签订合同前向采购人交纳磋商文件规定的履约保证金；</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我方响应文件提供的所有资料真实、有效，如有不实，我方无条件接受采购人和主管部门依据法律法规做出的处理决定，并承担由此产生的责任；</w:t>
      </w:r>
      <w:r/>
    </w:p>
    <w:p>
      <w:pPr>
        <w:ind w:left="2" w:firstLine="475"/>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你方的中标通知书和磋商文件将成为约束双方合同文件的组成部分。</w:t>
      </w:r>
      <w:r/>
    </w:p>
    <w:p>
      <w:pPr>
        <w:ind w:left="2" w:firstLine="475"/>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 w:firstLine="475"/>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 w:firstLine="475"/>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w:t>
      </w:r>
      <w:r>
        <w:rPr>
          <w:rFonts w:ascii="宋体" w:hAnsi="宋体" w:cs="宋体"/>
          <w:color w:val="auto"/>
          <w:sz w:val="24"/>
          <w:highlight w:val="none"/>
        </w:rPr>
        <w:t xml:space="preserve">(</w:t>
      </w:r>
      <w:r>
        <w:rPr>
          <w:rFonts w:hint="eastAsia" w:ascii="宋体" w:hAnsi="宋体" w:cs="宋体"/>
          <w:color w:val="auto"/>
          <w:sz w:val="24"/>
          <w:highlight w:val="none"/>
        </w:rPr>
        <w:t xml:space="preserve">盖章</w:t>
      </w:r>
      <w:r>
        <w:rPr>
          <w:rFonts w:ascii="宋体" w:hAnsi="宋体" w:cs="宋体"/>
          <w:color w:val="auto"/>
          <w:sz w:val="24"/>
          <w:highlight w:val="none"/>
        </w:rPr>
        <w:t xml:space="preserve">)</w:t>
      </w:r>
      <w:r/>
    </w:p>
    <w:p>
      <w:pPr>
        <w:ind w:left="2" w:firstLine="475"/>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 w:firstLine="475"/>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ascii="宋体" w:hAnsi="宋体" w:cs="宋体"/>
          <w:color w:val="auto"/>
          <w:sz w:val="24"/>
          <w:highlight w:val="none"/>
        </w:rPr>
        <w:t xml:space="preserve">(</w:t>
      </w:r>
      <w:r>
        <w:rPr>
          <w:rFonts w:hint="eastAsia" w:ascii="宋体" w:hAnsi="宋体" w:cs="宋体"/>
          <w:color w:val="auto"/>
          <w:sz w:val="24"/>
          <w:highlight w:val="none"/>
        </w:rPr>
        <w:t xml:space="preserve">盖章或签字</w:t>
      </w:r>
      <w:r>
        <w:rPr>
          <w:rFonts w:ascii="宋体" w:hAnsi="宋体" w:cs="宋体"/>
          <w:color w:val="auto"/>
          <w:sz w:val="24"/>
          <w:highlight w:val="none"/>
        </w:rPr>
        <w:t xml:space="preserve">)</w:t>
      </w:r>
      <w:r/>
    </w:p>
    <w:p>
      <w:pPr>
        <w:ind w:left="2" w:firstLine="475"/>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righ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    年  月  日</w:t>
      </w:r>
      <w:r/>
    </w:p>
    <w:p>
      <w:pPr>
        <w:pStyle w:val="818"/>
        <w:rPr>
          <w:rFonts w:hint="eastAsia"/>
          <w:color w:val="auto"/>
          <w:highlight w:val="none"/>
        </w:rPr>
      </w:pPr>
      <w:r/>
      <w:bookmarkStart w:id="207" w:name="_Toc205811304"/>
      <w:r/>
      <w:bookmarkStart w:id="208" w:name="_Toc101357901"/>
      <w:r/>
      <w:bookmarkStart w:id="209" w:name="_Toc161385012"/>
      <w:r/>
      <w:r/>
    </w:p>
    <w:p>
      <w:pPr>
        <w:pStyle w:val="818"/>
        <w:rPr>
          <w:rFonts w:hint="eastAsia"/>
          <w:color w:val="auto"/>
          <w:sz w:val="36"/>
          <w:szCs w:val="36"/>
          <w:highlight w:val="none"/>
        </w:rPr>
      </w:pPr>
      <w:r/>
      <w:bookmarkStart w:id="210" w:name="_Toc32726"/>
      <w:r>
        <w:rPr>
          <w:rFonts w:hint="eastAsia"/>
          <w:color w:val="auto"/>
          <w:highlight w:val="none"/>
        </w:rPr>
        <w:t xml:space="preserve">（三）无重大违法记录声明函</w:t>
      </w:r>
      <w:bookmarkEnd w:id="206"/>
      <w:r/>
      <w:bookmarkEnd w:id="207"/>
      <w:r/>
      <w:bookmarkEnd w:id="208"/>
      <w:r/>
      <w:bookmarkEnd w:id="209"/>
      <w:r/>
      <w:bookmarkEnd w:id="210"/>
      <w: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中共建湖县委政法委员会：</w:t>
      </w:r>
      <w:r/>
    </w:p>
    <w:p>
      <w:pPr>
        <w:ind w:left="2" w:firstLine="475"/>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（供应商名称）郑重声明：参加政府采购活动前</w:t>
      </w:r>
      <w:r>
        <w:rPr>
          <w:rFonts w:ascii="宋体" w:hAnsi="宋体" w:cs="宋体"/>
          <w:color w:val="auto"/>
          <w:sz w:val="24"/>
          <w:highlight w:val="none"/>
        </w:rPr>
        <w:t xml:space="preserve">3</w:t>
      </w:r>
      <w:r>
        <w:rPr>
          <w:rFonts w:hint="eastAsia" w:ascii="宋体" w:hAnsi="宋体" w:cs="宋体"/>
          <w:color w:val="auto"/>
          <w:sz w:val="24"/>
          <w:highlight w:val="none"/>
        </w:rPr>
        <w:t xml:space="preserve">年内在经营活动中</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在下划线上如实填写：有或没有）重大违法记录。（说明：政府采购法第二十二条第一款第五项所称重大违法记录，是指供应商因违法经营受到刑事处罚或者责令停产停业、吊销许可证或者执照、较大数额罚款等行政处罚）。</w:t>
      </w:r>
      <w:r/>
    </w:p>
    <w:p>
      <w:pPr>
        <w:ind w:left="2" w:firstLine="475"/>
        <w:spacing w:line="520" w:lineRule="exact"/>
        <w:rPr>
          <w:rFonts w:ascii="宋体" w:cs="宋体"/>
          <w:color w:val="auto"/>
          <w:sz w:val="24"/>
          <w:highlight w:val="none"/>
        </w:rPr>
      </w:pPr>
      <w:r>
        <w:rPr>
          <w:rFonts w:asci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left="2" w:firstLine="475"/>
        <w:spacing w:line="520" w:lineRule="exact"/>
        <w:rPr>
          <w:rFonts w:ascii="宋体" w:cs="宋体"/>
          <w:color w:val="auto"/>
          <w:sz w:val="24"/>
          <w:highlight w:val="none"/>
        </w:rPr>
      </w:pPr>
      <w:r>
        <w:rPr>
          <w:rFonts w:hint="eastAsia" w:ascii="宋体" w:hAnsi="宋体" w:cs="宋体"/>
          <w:color w:val="auto"/>
          <w:sz w:val="24"/>
          <w:highlight w:val="none"/>
        </w:rPr>
        <w:t xml:space="preserve">声明人：（公章）</w:t>
      </w:r>
      <w:r/>
    </w:p>
    <w:p>
      <w:pPr>
        <w:ind w:left="2" w:firstLine="475"/>
        <w:spacing w:line="520" w:lineRule="exact"/>
        <w:rPr>
          <w:rFonts w:ascii="宋体" w:cs="宋体"/>
          <w:color w:val="auto"/>
          <w:sz w:val="24"/>
          <w:highlight w:val="none"/>
        </w:rPr>
      </w:pPr>
      <w:r>
        <w:rPr>
          <w:rFonts w:ascii="宋体" w:cs="宋体"/>
          <w:color w:val="auto"/>
          <w:sz w:val="24"/>
          <w:highlight w:val="none"/>
        </w:rPr>
      </w:r>
      <w:r/>
    </w:p>
    <w:p>
      <w:pPr>
        <w:ind w:left="2" w:firstLine="475"/>
        <w:spacing w:line="520" w:lineRule="exact"/>
        <w:rPr>
          <w:rFonts w:ascii="宋体" w:cs="宋体"/>
          <w:color w:val="auto"/>
          <w:sz w:val="24"/>
          <w:highlight w:val="none"/>
        </w:rPr>
      </w:pPr>
      <w:r>
        <w:rPr>
          <w:rFonts w:hint="eastAsia" w:ascii="宋体" w:hAnsi="宋体" w:cs="宋体"/>
          <w:color w:val="auto"/>
          <w:sz w:val="24"/>
          <w:highlight w:val="none"/>
        </w:rPr>
        <w:t xml:space="preserve">日 </w:t>
      </w:r>
      <w:r>
        <w:rPr>
          <w:rFonts w:ascii="宋体" w:hAnsi="宋体" w:cs="宋体"/>
          <w:color w:val="auto"/>
          <w:sz w:val="24"/>
          <w:highlight w:val="none"/>
        </w:rPr>
        <w:t xml:space="preserve"> </w:t>
      </w:r>
      <w:r>
        <w:rPr>
          <w:rFonts w:hint="eastAsia" w:ascii="宋体" w:hAnsi="宋体" w:cs="宋体"/>
          <w:color w:val="auto"/>
          <w:sz w:val="24"/>
          <w:highlight w:val="none"/>
        </w:rPr>
        <w:t xml:space="preserve">期：    年  月  日</w:t>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left="1446" w:hanging="1446"/>
        <w:jc w:val="center"/>
        <w:spacing w:line="480" w:lineRule="exact"/>
        <w:rPr>
          <w:rFonts w:ascii="宋体"/>
          <w:b/>
          <w:color w:val="auto"/>
          <w:sz w:val="36"/>
          <w:szCs w:val="36"/>
          <w:highlight w:val="none"/>
        </w:rPr>
      </w:pPr>
      <w:r>
        <w:rPr>
          <w:rFonts w:ascii="宋体"/>
          <w:b/>
          <w:color w:val="auto"/>
          <w:sz w:val="36"/>
          <w:szCs w:val="36"/>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475"/>
        <w:rPr>
          <w:color w:val="auto"/>
          <w:highlight w:val="none"/>
        </w:rPr>
      </w:pPr>
      <w:r/>
      <w:bookmarkStart w:id="211" w:name="_Toc68706654"/>
      <w:r/>
      <w:r/>
    </w:p>
    <w:p>
      <w:pPr>
        <w:ind w:firstLine="475"/>
        <w:rPr>
          <w:color w:val="auto"/>
          <w:highlight w:val="none"/>
        </w:rPr>
      </w:pPr>
      <w:r/>
      <w:bookmarkStart w:id="212" w:name="_Toc101357902"/>
      <w:r/>
      <w:bookmarkStart w:id="213" w:name="_Toc101166958"/>
      <w:r/>
      <w:r/>
    </w:p>
    <w:p>
      <w:pPr>
        <w:ind w:firstLine="475"/>
        <w:rPr>
          <w:color w:val="auto"/>
          <w:highlight w:val="none"/>
        </w:rPr>
      </w:pPr>
      <w:r>
        <w:rPr>
          <w:color w:val="auto"/>
          <w:highlight w:val="none"/>
        </w:rPr>
      </w:r>
      <w:r/>
    </w:p>
    <w:p>
      <w:pPr>
        <w:pStyle w:val="818"/>
        <w:jc w:val="both"/>
        <w:rPr>
          <w:rFonts w:hint="eastAsia"/>
          <w:color w:val="auto"/>
          <w:highlight w:val="none"/>
        </w:rPr>
      </w:pPr>
      <w:r/>
      <w:bookmarkStart w:id="214" w:name="_Toc161385013"/>
      <w:r/>
      <w:bookmarkStart w:id="215" w:name="_Toc205811305"/>
      <w:r/>
      <w:r/>
    </w:p>
    <w:p>
      <w:pPr>
        <w:pStyle w:val="818"/>
        <w:jc w:val="both"/>
        <w:rPr>
          <w:rFonts w:hint="eastAsia"/>
          <w:color w:val="auto"/>
          <w:highlight w:val="none"/>
        </w:rPr>
      </w:pPr>
      <w:r>
        <w:rPr>
          <w:rFonts w:hint="eastAsia"/>
          <w:color w:val="auto"/>
          <w:highlight w:val="none"/>
        </w:rPr>
      </w:r>
      <w:r/>
    </w:p>
    <w:p>
      <w:pPr>
        <w:pStyle w:val="818"/>
        <w:jc w:val="both"/>
        <w:rPr>
          <w:rFonts w:hint="eastAsia"/>
          <w:color w:val="auto"/>
          <w:highlight w:val="none"/>
        </w:rPr>
      </w:pPr>
      <w:r>
        <w:rPr>
          <w:rFonts w:hint="eastAsia"/>
          <w:color w:val="auto"/>
          <w:highlight w:val="none"/>
        </w:rPr>
      </w:r>
      <w:r/>
    </w:p>
    <w:p>
      <w:pPr>
        <w:pStyle w:val="818"/>
        <w:rPr>
          <w:rFonts w:hint="eastAsia"/>
          <w:color w:val="auto"/>
          <w:highlight w:val="none"/>
        </w:rPr>
      </w:pPr>
      <w:r/>
      <w:bookmarkStart w:id="216" w:name="_Toc18531"/>
      <w:r>
        <w:rPr>
          <w:rFonts w:hint="eastAsia"/>
          <w:color w:val="auto"/>
          <w:highlight w:val="none"/>
        </w:rPr>
        <w:t xml:space="preserve">（四）供应商登记表</w:t>
      </w:r>
      <w:bookmarkEnd w:id="212"/>
      <w:r/>
      <w:bookmarkEnd w:id="213"/>
      <w:r/>
      <w:bookmarkEnd w:id="214"/>
      <w:r/>
      <w:bookmarkEnd w:id="215"/>
      <w:r/>
      <w:bookmarkEnd w:id="216"/>
      <w:r/>
      <w:r/>
    </w:p>
    <w:p>
      <w:pPr>
        <w:ind w:right="120"/>
        <w:jc w:val="right"/>
        <w:spacing w:line="360" w:lineRule="auto"/>
        <w:rPr>
          <w:rFonts w:ascii="宋体" w:cs="宋体"/>
          <w:b/>
          <w:color w:val="auto"/>
          <w:sz w:val="36"/>
          <w:szCs w:val="36"/>
          <w:highlight w:val="none"/>
        </w:rPr>
      </w:pP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tbl>
      <w:tblPr>
        <w:tblStyle w:val="786"/>
        <w:tblW w:w="9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065"/>
      </w:tblGrid>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企业名称</w:t>
            </w:r>
            <w:r/>
          </w:p>
        </w:tc>
        <w:tc>
          <w:tcPr>
            <w:gridSpan w:val="5"/>
            <w:tcW w:w="785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详细地址</w:t>
            </w:r>
            <w:r/>
          </w:p>
        </w:tc>
        <w:tc>
          <w:tcPr>
            <w:gridSpan w:val="3"/>
            <w:tcW w:w="448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邮</w:t>
            </w:r>
            <w:r>
              <w:rPr>
                <w:rFonts w:ascii="宋体" w:cs="宋体"/>
                <w:color w:val="auto"/>
                <w:sz w:val="24"/>
                <w:highlight w:val="none"/>
              </w:rPr>
              <w:t xml:space="preserve">  </w:t>
            </w:r>
            <w:r>
              <w:rPr>
                <w:rFonts w:hint="eastAsia" w:ascii="宋体" w:hAnsi="宋体" w:cs="宋体"/>
                <w:color w:val="auto"/>
                <w:sz w:val="24"/>
                <w:highlight w:val="none"/>
              </w:rPr>
              <w:t xml:space="preserve">编</w:t>
            </w:r>
            <w:r/>
          </w:p>
        </w:tc>
        <w:tc>
          <w:tcPr>
            <w:tcW w:w="206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法人代表</w:t>
            </w:r>
            <w:r/>
          </w:p>
        </w:tc>
        <w:tc>
          <w:tcPr>
            <w:tcW w:w="118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39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企业性质</w:t>
            </w:r>
            <w:r/>
          </w:p>
        </w:tc>
        <w:tc>
          <w:tcPr>
            <w:tcW w:w="190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注册资金</w:t>
            </w:r>
            <w:r/>
          </w:p>
        </w:tc>
        <w:tc>
          <w:tcPr>
            <w:tcW w:w="206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联系人</w:t>
            </w:r>
            <w:r/>
          </w:p>
        </w:tc>
        <w:tc>
          <w:tcPr>
            <w:tcW w:w="118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39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职</w:t>
            </w:r>
            <w:r>
              <w:rPr>
                <w:rFonts w:ascii="宋体" w:cs="宋体"/>
                <w:color w:val="auto"/>
                <w:sz w:val="24"/>
                <w:highlight w:val="none"/>
              </w:rPr>
              <w:t xml:space="preserve">  </w:t>
            </w:r>
            <w:r>
              <w:rPr>
                <w:rFonts w:hint="eastAsia" w:ascii="宋体" w:hAnsi="宋体" w:cs="宋体"/>
                <w:color w:val="auto"/>
                <w:sz w:val="24"/>
                <w:highlight w:val="none"/>
              </w:rPr>
              <w:t xml:space="preserve">务</w:t>
            </w:r>
            <w:r/>
          </w:p>
        </w:tc>
        <w:tc>
          <w:tcPr>
            <w:tcW w:w="190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所在部门</w:t>
            </w:r>
            <w:r/>
          </w:p>
        </w:tc>
        <w:tc>
          <w:tcPr>
            <w:tcW w:w="206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营业面积</w:t>
            </w:r>
            <w:r/>
          </w:p>
        </w:tc>
        <w:tc>
          <w:tcPr>
            <w:tcW w:w="118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39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在册员工</w:t>
            </w:r>
            <w:r/>
          </w:p>
        </w:tc>
        <w:tc>
          <w:tcPr>
            <w:tcW w:w="19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名</w:t>
            </w:r>
            <w:r/>
          </w:p>
        </w:tc>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技术人员</w:t>
            </w:r>
            <w:r/>
          </w:p>
        </w:tc>
        <w:tc>
          <w:tcPr>
            <w:tcW w:w="206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名</w:t>
            </w:r>
            <w:r/>
          </w:p>
        </w:tc>
      </w:tr>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联系电话</w:t>
            </w:r>
            <w:r/>
          </w:p>
        </w:tc>
        <w:tc>
          <w:tcPr>
            <w:gridSpan w:val="2"/>
            <w:tcW w:w="2580"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9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传</w:t>
            </w:r>
            <w:r>
              <w:rPr>
                <w:rFonts w:ascii="宋体" w:hAnsi="宋体" w:cs="宋体"/>
                <w:color w:val="auto"/>
                <w:sz w:val="24"/>
                <w:highlight w:val="none"/>
              </w:rPr>
              <w:t xml:space="preserve">  </w:t>
            </w:r>
            <w:r>
              <w:rPr>
                <w:rFonts w:hint="eastAsia" w:ascii="宋体" w:hAnsi="宋体" w:cs="宋体"/>
                <w:color w:val="auto"/>
                <w:sz w:val="24"/>
                <w:highlight w:val="none"/>
              </w:rPr>
              <w:t xml:space="preserve">真</w:t>
            </w:r>
            <w:r/>
          </w:p>
        </w:tc>
        <w:tc>
          <w:tcPr>
            <w:gridSpan w:val="2"/>
            <w:tcW w:w="3370"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手机号</w:t>
            </w:r>
            <w:r/>
          </w:p>
        </w:tc>
        <w:tc>
          <w:tcPr>
            <w:gridSpan w:val="2"/>
            <w:tcW w:w="2580"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c>
          <w:tcPr>
            <w:tcW w:w="19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网址</w:t>
            </w:r>
            <w:r/>
          </w:p>
        </w:tc>
        <w:tc>
          <w:tcPr>
            <w:gridSpan w:val="2"/>
            <w:tcW w:w="3370"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tcW w:w="1305"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供应商品</w:t>
            </w:r>
            <w:r/>
          </w:p>
          <w:p>
            <w:pPr>
              <w:jc w:val="center"/>
              <w:widowControl/>
              <w:rPr>
                <w:rFonts w:ascii="宋体" w:cs="宋体"/>
                <w:color w:val="auto"/>
                <w:sz w:val="24"/>
                <w:highlight w:val="none"/>
              </w:rPr>
            </w:pPr>
            <w:r>
              <w:rPr>
                <w:rFonts w:hint="eastAsia" w:ascii="宋体" w:hAnsi="宋体" w:cs="宋体"/>
                <w:color w:val="auto"/>
                <w:sz w:val="24"/>
                <w:highlight w:val="none"/>
              </w:rPr>
              <w:t xml:space="preserve">范</w:t>
            </w:r>
            <w:r>
              <w:rPr>
                <w:rFonts w:ascii="宋体" w:cs="宋体"/>
                <w:color w:val="auto"/>
                <w:sz w:val="24"/>
                <w:highlight w:val="none"/>
              </w:rPr>
              <w:t xml:space="preserve">  </w:t>
            </w:r>
            <w:r>
              <w:rPr>
                <w:rFonts w:hint="eastAsia" w:ascii="宋体" w:hAnsi="宋体" w:cs="宋体"/>
                <w:color w:val="auto"/>
                <w:sz w:val="24"/>
                <w:highlight w:val="none"/>
              </w:rPr>
              <w:t xml:space="preserve">围</w:t>
            </w:r>
            <w:r/>
          </w:p>
        </w:tc>
        <w:tc>
          <w:tcPr>
            <w:gridSpan w:val="5"/>
            <w:tcW w:w="7855" w:type="dxa"/>
            <w:vAlign w:val="center"/>
            <w:textDirection w:val="lrTb"/>
            <w:noWrap w:val="false"/>
          </w:tcPr>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gridSpan w:val="6"/>
            <w:tcW w:w="9160"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企业概况</w:t>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tc>
      </w:tr>
      <w:tr>
        <w:trPr>
          <w:jc w:val="center"/>
          <w:trHeight w:val="454"/>
        </w:trPr>
        <w:tc>
          <w:tcPr>
            <w:gridSpan w:val="6"/>
            <w:tcW w:w="9160" w:type="dxa"/>
            <w:vAlign w:val="center"/>
            <w:textDirection w:val="lrTb"/>
            <w:noWrap w:val="false"/>
          </w:tcPr>
          <w:p>
            <w:pPr>
              <w:jc w:val="center"/>
              <w:widowControl/>
              <w:rPr>
                <w:rFonts w:ascii="宋体" w:cs="宋体"/>
                <w:color w:val="auto"/>
                <w:sz w:val="24"/>
                <w:highlight w:val="none"/>
              </w:rPr>
            </w:pPr>
            <w:r>
              <w:rPr>
                <w:rFonts w:hint="eastAsia" w:ascii="宋体" w:hAnsi="宋体" w:cs="宋体"/>
                <w:color w:val="auto"/>
                <w:sz w:val="24"/>
                <w:highlight w:val="none"/>
              </w:rPr>
              <w:t xml:space="preserve">主要业绩</w:t>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jc w:val="center"/>
              <w:widowControl/>
              <w:rPr>
                <w:rFonts w:ascii="宋体" w:cs="宋体"/>
                <w:color w:val="auto"/>
                <w:sz w:val="24"/>
                <w:highlight w:val="none"/>
              </w:rPr>
            </w:pPr>
            <w:r>
              <w:rPr>
                <w:rFonts w:ascii="宋体" w:cs="宋体"/>
                <w:color w:val="auto"/>
                <w:sz w:val="24"/>
                <w:highlight w:val="none"/>
              </w:rPr>
            </w:r>
            <w:r/>
          </w:p>
          <w:p>
            <w:pPr>
              <w:widowControl/>
              <w:rPr>
                <w:rFonts w:ascii="宋体" w:cs="宋体"/>
                <w:color w:val="auto"/>
                <w:sz w:val="24"/>
                <w:highlight w:val="none"/>
              </w:rPr>
            </w:pPr>
            <w:r>
              <w:rPr>
                <w:rFonts w:ascii="宋体" w:cs="宋体"/>
                <w:color w:val="auto"/>
                <w:sz w:val="24"/>
                <w:highlight w:val="none"/>
              </w:rPr>
            </w:r>
            <w:r/>
          </w:p>
        </w:tc>
      </w:tr>
    </w:tbl>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rPr>
          <w:color w:val="auto"/>
          <w:highlight w:val="none"/>
        </w:rPr>
      </w:pPr>
      <w:r/>
      <w:bookmarkStart w:id="217" w:name="_Toc101357903"/>
      <w:r/>
      <w:bookmarkStart w:id="218" w:name="_Toc161385014"/>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18"/>
        <w:rPr>
          <w:rFonts w:hint="eastAsia"/>
          <w:color w:val="auto"/>
          <w:highlight w:val="none"/>
        </w:rPr>
      </w:pPr>
      <w:r/>
      <w:bookmarkStart w:id="219" w:name="_Toc22890"/>
      <w:r/>
      <w:bookmarkStart w:id="220" w:name="_Toc205811306"/>
      <w:r>
        <w:rPr>
          <w:rFonts w:hint="eastAsia"/>
          <w:color w:val="auto"/>
          <w:highlight w:val="none"/>
        </w:rPr>
        <w:t xml:space="preserve">（五）法定代表人身份证明书</w:t>
      </w:r>
      <w:bookmarkEnd w:id="211"/>
      <w:r/>
      <w:bookmarkEnd w:id="217"/>
      <w:r/>
      <w:bookmarkEnd w:id="218"/>
      <w:r/>
      <w:bookmarkEnd w:id="219"/>
      <w:r/>
      <w:bookmarkEnd w:id="220"/>
      <w:r/>
      <w:r/>
    </w:p>
    <w:p>
      <w:pPr>
        <w:ind w:firstLine="425"/>
        <w:spacing w:line="480" w:lineRule="exact"/>
        <w:rPr>
          <w:rFonts w:hint="eastAsia"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ind w:firstLine="425"/>
        <w:spacing w:line="480" w:lineRule="exact"/>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p>
    <w:p>
      <w:pPr>
        <w:ind w:firstLine="425"/>
        <w:spacing w:line="480" w:lineRule="exact"/>
        <w:rPr>
          <w:rFonts w:ascii="宋体"/>
          <w:color w:val="auto"/>
          <w:sz w:val="24"/>
          <w:highlight w:val="none"/>
          <w:u w:val="single"/>
        </w:rPr>
      </w:pPr>
      <w:r>
        <w:rPr>
          <w:rFonts w:ascii="宋体"/>
          <w:color w:val="auto"/>
          <w:sz w:val="24"/>
          <w:highlight w:val="none"/>
          <w:u w:val="single"/>
        </w:rPr>
      </w:r>
      <w:r/>
    </w:p>
    <w:p>
      <w:pPr>
        <w:ind w:firstLine="425"/>
        <w:spacing w:line="480" w:lineRule="exact"/>
        <w:rPr>
          <w:rFonts w:hint="eastAsia" w:ascii="宋体" w:hAnsi="宋体"/>
          <w:color w:val="auto"/>
          <w:sz w:val="24"/>
          <w:highlight w:val="none"/>
          <w:u w:val="single"/>
        </w:rPr>
      </w:pPr>
      <w:r>
        <w:rPr>
          <w:rFonts w:hint="eastAsia" w:ascii="宋体" w:hAnsi="宋体"/>
          <w:color w:val="auto"/>
          <w:sz w:val="24"/>
          <w:highlight w:val="none"/>
        </w:rPr>
        <w:t xml:space="preserve">地 </w:t>
      </w:r>
      <w:r>
        <w:rPr>
          <w:rFonts w:ascii="宋体" w:hAnsi="宋体"/>
          <w:color w:val="auto"/>
          <w:sz w:val="24"/>
          <w:highlight w:val="none"/>
        </w:rPr>
        <w:t xml:space="preserve">   </w:t>
      </w:r>
      <w:r>
        <w:rPr>
          <w:rFonts w:hint="eastAsia" w:ascii="宋体" w:hAnsi="宋体"/>
          <w:color w:val="auto"/>
          <w:sz w:val="24"/>
          <w:highlight w:val="none"/>
        </w:rPr>
        <w:t xml:space="preserve">址：</w:t>
      </w:r>
      <w:r>
        <w:rPr>
          <w:rFonts w:hint="eastAsia" w:ascii="宋体" w:hAnsi="宋体"/>
          <w:color w:val="auto"/>
          <w:sz w:val="24"/>
          <w:highlight w:val="none"/>
          <w:u w:val="single"/>
        </w:rPr>
        <w:t xml:space="preserve">                         </w:t>
      </w:r>
      <w:r/>
    </w:p>
    <w:p>
      <w:pPr>
        <w:ind w:firstLine="425"/>
        <w:spacing w:line="480" w:lineRule="exact"/>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年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月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日</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80" w:lineRule="exact"/>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ind w:firstLine="425"/>
        <w:spacing w:line="480" w:lineRule="exact"/>
        <w:rPr>
          <w:rFonts w:hint="eastAsia" w:ascii="宋体" w:hAnsi="宋体"/>
          <w:color w:val="auto"/>
          <w:sz w:val="24"/>
          <w:highlight w:val="none"/>
          <w:u w:val="single"/>
        </w:rPr>
      </w:pPr>
      <w:r>
        <w:rPr>
          <w:rFonts w:hint="eastAsia" w:ascii="宋体" w:hAnsi="宋体"/>
          <w:color w:val="auto"/>
          <w:sz w:val="24"/>
          <w:highlight w:val="none"/>
          <w:u w:val="single"/>
        </w:rPr>
      </w:r>
      <w:r/>
    </w:p>
    <w:p>
      <w:pPr>
        <w:ind w:firstLine="425"/>
        <w:spacing w:line="480" w:lineRule="exact"/>
        <w:rPr>
          <w:rFonts w:hint="eastAsia" w:ascii="宋体" w:hAnsi="宋体"/>
          <w:color w:val="auto"/>
          <w:sz w:val="24"/>
          <w:highlight w:val="none"/>
          <w:u w:val="single"/>
        </w:rPr>
      </w:pPr>
      <w:r>
        <w:rPr>
          <w:rFonts w:hint="eastAsia" w:ascii="宋体" w:hAnsi="宋体"/>
          <w:color w:val="auto"/>
          <w:sz w:val="24"/>
          <w:highlight w:val="none"/>
        </w:rPr>
        <w:t xml:space="preserve">姓 </w:t>
      </w:r>
      <w:r>
        <w:rPr>
          <w:rFonts w:ascii="宋体" w:hAnsi="宋体"/>
          <w:color w:val="auto"/>
          <w:sz w:val="24"/>
          <w:highlight w:val="none"/>
        </w:rPr>
        <w:t xml:space="preserve">   </w:t>
      </w:r>
      <w:r>
        <w:rPr>
          <w:rFonts w:hint="eastAsia" w:ascii="宋体" w:hAnsi="宋体"/>
          <w:color w:val="auto"/>
          <w:sz w:val="24"/>
          <w:highlight w:val="none"/>
        </w:rPr>
        <w:t xml:space="preserve">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联系电话：</w:t>
      </w:r>
      <w:r>
        <w:rPr>
          <w:rFonts w:hint="eastAsia" w:ascii="宋体" w:hAnsi="宋体"/>
          <w:color w:val="auto"/>
          <w:sz w:val="24"/>
          <w:highlight w:val="none"/>
          <w:u w:val="single"/>
        </w:rPr>
        <w:t xml:space="preserve">                     </w:t>
      </w:r>
      <w:r/>
    </w:p>
    <w:p>
      <w:pPr>
        <w:ind w:left="838" w:firstLine="425"/>
        <w:spacing w:line="480" w:lineRule="exact"/>
        <w:rPr>
          <w:rFonts w:ascii="宋体"/>
          <w:color w:val="auto"/>
          <w:sz w:val="24"/>
          <w:highlight w:val="none"/>
        </w:rPr>
      </w:pPr>
      <w:r>
        <w:rPr>
          <w:rFonts w:ascii="宋体"/>
          <w:color w:val="auto"/>
          <w:sz w:val="24"/>
          <w:highlight w:val="none"/>
        </w:rPr>
      </w:r>
      <w:r/>
    </w:p>
    <w:p>
      <w:pPr>
        <w:ind w:firstLine="425"/>
        <w:spacing w:line="480" w:lineRule="exact"/>
        <w:rPr>
          <w:rFonts w:asci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w:t>
      </w:r>
      <w:r/>
    </w:p>
    <w:p>
      <w:pPr>
        <w:ind w:left="3598" w:hanging="2760"/>
        <w:spacing w:line="480" w:lineRule="exact"/>
        <w:rPr>
          <w:rFonts w:ascii="宋体"/>
          <w:color w:val="auto"/>
          <w:sz w:val="24"/>
          <w:highlight w:val="none"/>
        </w:rPr>
      </w:pPr>
      <w:r>
        <w:rPr>
          <w:rFonts w:ascii="宋体"/>
          <w:color w:val="auto"/>
          <w:sz w:val="24"/>
          <w:highlight w:val="none"/>
        </w:rPr>
      </w:r>
      <w:r/>
    </w:p>
    <w:p>
      <w:pPr>
        <w:spacing w:line="480" w:lineRule="exact"/>
        <w:rPr>
          <w:rFonts w:ascii="宋体"/>
          <w:color w:val="auto"/>
          <w:sz w:val="24"/>
          <w:highlight w:val="none"/>
          <w:u w:val="single"/>
        </w:rPr>
      </w:pPr>
      <w:r>
        <w:rPr>
          <w:rFonts w:ascii="宋体"/>
          <w:color w:val="auto"/>
          <w:sz w:val="24"/>
          <w:highlight w:val="none"/>
          <w:u w:val="single"/>
        </w:rPr>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特此证明。</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425"/>
        <w:spacing w:line="480" w:lineRule="exact"/>
        <w:rPr>
          <w:rFonts w:hint="eastAsia" w:ascii="宋体" w:hAnsi="宋体"/>
          <w:color w:val="auto"/>
          <w:sz w:val="24"/>
          <w:highlight w:val="none"/>
        </w:rPr>
      </w:pPr>
      <w:r>
        <w:rPr>
          <w:rFonts w:hint="eastAsia" w:ascii="宋体" w:hAnsi="宋体"/>
          <w:color w:val="auto"/>
          <w:sz w:val="24"/>
          <w:highlight w:val="none"/>
        </w:rPr>
      </w:r>
      <w:r/>
    </w:p>
    <w:p>
      <w:pPr>
        <w:ind w:firstLine="425"/>
        <w:jc w:val="right"/>
        <w:spacing w:line="480" w:lineRule="exact"/>
        <w:rPr>
          <w:rFonts w:hint="eastAsia" w:ascii="宋体" w:hAnsi="宋体"/>
          <w:color w:val="auto"/>
          <w:sz w:val="24"/>
          <w:highlight w:val="none"/>
        </w:rPr>
      </w:pP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rPr>
        <w:t xml:space="preserve">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716"/>
        <w:jc w:val="center"/>
        <w:spacing w:line="480" w:lineRule="exact"/>
        <w:rPr>
          <w:rFonts w:ascii="黑体" w:eastAsia="黑体"/>
          <w:b/>
          <w:color w:val="auto"/>
          <w:sz w:val="36"/>
          <w:highlight w:val="none"/>
        </w:rPr>
      </w:pPr>
      <w:r>
        <w:rPr>
          <w:rFonts w:ascii="黑体" w:eastAsia="黑体"/>
          <w:b/>
          <w:color w:val="auto"/>
          <w:sz w:val="36"/>
          <w:highlight w:val="none"/>
        </w:rPr>
      </w:r>
      <w:r/>
    </w:p>
    <w:p>
      <w:pPr>
        <w:ind w:firstLine="475"/>
        <w:rPr>
          <w:color w:val="auto"/>
          <w:highlight w:val="none"/>
        </w:rPr>
      </w:pPr>
      <w:r>
        <w:rPr>
          <w:color w:val="auto"/>
          <w:highlight w:val="none"/>
        </w:rPr>
      </w:r>
      <w:r/>
    </w:p>
    <w:p>
      <w:pPr>
        <w:ind w:firstLine="475"/>
        <w:rPr>
          <w:color w:val="auto"/>
          <w:highlight w:val="none"/>
        </w:rPr>
      </w:pPr>
      <w:r/>
      <w:bookmarkStart w:id="221" w:name="_Toc68706655"/>
      <w:r/>
      <w:r/>
    </w:p>
    <w:p>
      <w:pPr>
        <w:pStyle w:val="818"/>
        <w:rPr>
          <w:rFonts w:hint="eastAsia"/>
          <w:color w:val="auto"/>
          <w:highlight w:val="none"/>
        </w:rPr>
      </w:pPr>
      <w:r/>
      <w:bookmarkStart w:id="222" w:name="_Toc161385015"/>
      <w:r/>
      <w:bookmarkStart w:id="223" w:name="_Toc101357904"/>
      <w:r>
        <w:rPr>
          <w:rFonts w:hint="eastAsia"/>
          <w:color w:val="auto"/>
          <w:highlight w:val="none"/>
        </w:rPr>
        <w:br w:type="page" w:clear="all"/>
      </w:r>
      <w:bookmarkStart w:id="224" w:name="_Toc205811307"/>
      <w:r/>
      <w:bookmarkStart w:id="225" w:name="_Toc9085"/>
      <w:r>
        <w:rPr>
          <w:rFonts w:hint="eastAsia"/>
          <w:color w:val="auto"/>
          <w:highlight w:val="none"/>
        </w:rPr>
        <w:t xml:space="preserve">（六）授权委托书</w:t>
      </w:r>
      <w:bookmarkEnd w:id="221"/>
      <w:r/>
      <w:bookmarkEnd w:id="222"/>
      <w:r/>
      <w:bookmarkEnd w:id="223"/>
      <w:r/>
      <w:bookmarkEnd w:id="224"/>
      <w:r/>
      <w:bookmarkEnd w:id="225"/>
      <w:r/>
      <w:r/>
    </w:p>
    <w:p>
      <w:pPr>
        <w:ind w:firstLine="480"/>
        <w:spacing w:line="640" w:lineRule="exact"/>
        <w:rPr>
          <w:rFonts w:ascii="宋体"/>
          <w:color w:val="auto"/>
          <w:sz w:val="24"/>
          <w:highlight w:val="none"/>
        </w:rPr>
      </w:pPr>
      <w:r>
        <w:rPr>
          <w:rFonts w:hint="eastAsia" w:ascii="宋体" w:hAnsi="宋体"/>
          <w:color w:val="auto"/>
          <w:sz w:val="24"/>
          <w:highlight w:val="none"/>
        </w:rPr>
        <w:t xml:space="preserve">本授权委托书声明：我</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（投标人名称）的法定代表人，现授权委托（姓名）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为我的代理人，以本公司的名义参加</w:t>
      </w:r>
      <w:r>
        <w:rPr>
          <w:rFonts w:hint="eastAsia" w:ascii="宋体" w:hAnsi="宋体"/>
          <w:color w:val="auto"/>
          <w:sz w:val="24"/>
          <w:highlight w:val="none"/>
          <w:u w:val="single"/>
          <w:lang w:eastAsia="zh-CN"/>
        </w:rPr>
        <w:t xml:space="preserve">建湖县社会治安综合治理中心改造项目</w:t>
      </w:r>
      <w:r>
        <w:rPr>
          <w:rFonts w:hint="eastAsia" w:ascii="宋体" w:hAnsi="宋体"/>
          <w:color w:val="auto"/>
          <w:sz w:val="24"/>
          <w:highlight w:val="none"/>
        </w:rPr>
        <w:t xml:space="preserve">的投标活动。代理人在开标、询标、合同磋商等过程中所签署的一切文件和处理与之有关的一切事务，我均予以承认。</w:t>
      </w:r>
      <w:r/>
    </w:p>
    <w:p>
      <w:pPr>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代理人无转委权，特此委托。</w:t>
      </w:r>
      <w:r/>
    </w:p>
    <w:p>
      <w:pPr>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u w:val="single"/>
        </w:rPr>
      </w:pPr>
      <w:r>
        <w:rPr>
          <w:rFonts w:hint="eastAsia" w:ascii="宋体" w:hAnsi="宋体"/>
          <w:color w:val="auto"/>
          <w:sz w:val="24"/>
          <w:highlight w:val="none"/>
        </w:rPr>
        <w:t xml:space="preserve">联系电话：</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spacing w:line="48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投标人（公章）：</w:t>
      </w:r>
      <w:r/>
    </w:p>
    <w:p>
      <w:pPr>
        <w:ind w:firstLine="480"/>
        <w:spacing w:line="540" w:lineRule="exact"/>
        <w:rPr>
          <w:rFonts w:ascii="宋体"/>
          <w:color w:val="auto"/>
          <w:sz w:val="24"/>
          <w:highlight w:val="none"/>
        </w:rPr>
      </w:pPr>
      <w:r>
        <w:rPr>
          <w:rFonts w:ascii="宋体"/>
          <w:color w:val="auto"/>
          <w:sz w:val="24"/>
          <w:highlight w:val="none"/>
        </w:rPr>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法定代表人（盖章或签字）：</w:t>
      </w:r>
      <w:r/>
    </w:p>
    <w:p>
      <w:pPr>
        <w:ind w:firstLine="480"/>
        <w:spacing w:line="540" w:lineRule="exact"/>
        <w:rPr>
          <w:rFonts w:hint="eastAsia" w:ascii="宋体" w:hAnsi="宋体"/>
          <w:color w:val="auto"/>
          <w:sz w:val="24"/>
          <w:highlight w:val="none"/>
        </w:rPr>
      </w:pPr>
      <w:r>
        <w:rPr>
          <w:rFonts w:hint="eastAsia" w:ascii="宋体" w:hAnsi="宋体"/>
          <w:color w:val="auto"/>
          <w:sz w:val="24"/>
          <w:highlight w:val="none"/>
        </w:rPr>
      </w:r>
      <w:r/>
    </w:p>
    <w:p>
      <w:pPr>
        <w:ind w:firstLine="480"/>
        <w:jc w:val="right"/>
        <w:spacing w:line="540" w:lineRule="exact"/>
        <w:rPr>
          <w:rFonts w:ascii="宋体"/>
          <w:color w:val="auto"/>
          <w:sz w:val="24"/>
          <w:highlight w:val="none"/>
        </w:rPr>
      </w:pPr>
      <w:r>
        <w:rPr>
          <w:rFonts w:hint="eastAsia" w:ascii="宋体" w:hAnsi="宋体"/>
          <w:color w:val="auto"/>
          <w:sz w:val="24"/>
          <w:highlight w:val="none"/>
        </w:rPr>
        <w:t xml:space="preserve">2025年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ind w:firstLine="480"/>
        <w:spacing w:line="540" w:lineRule="exact"/>
        <w:rPr>
          <w:rFonts w:ascii="宋体"/>
          <w:color w:val="auto"/>
          <w:sz w:val="24"/>
          <w:highlight w:val="none"/>
        </w:rPr>
      </w:pPr>
      <w:r>
        <w:rPr>
          <w:rFonts w:hint="eastAsia" w:ascii="宋体" w:hAnsi="宋体"/>
          <w:color w:val="auto"/>
          <w:sz w:val="24"/>
          <w:highlight w:val="none"/>
        </w:rPr>
        <w:t xml:space="preserve">附：</w:t>
      </w:r>
      <w:r/>
    </w:p>
    <w:tbl>
      <w:tblPr>
        <w:tblStyle w:val="786"/>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0"/>
      </w:tblGrid>
      <w:tr>
        <w:trPr>
          <w:trHeight w:val="4030"/>
        </w:trPr>
        <w:tc>
          <w:tcPr>
            <w:tcW w:w="8930" w:type="dxa"/>
            <w:vAlign w:val="center"/>
            <w:textDirection w:val="lrTb"/>
            <w:noWrap w:val="false"/>
          </w:tcPr>
          <w:p>
            <w:pPr>
              <w:jc w:val="center"/>
              <w:spacing w:line="480" w:lineRule="exact"/>
              <w:rPr>
                <w:rFonts w:ascii="宋体"/>
                <w:color w:val="auto"/>
                <w:sz w:val="24"/>
                <w:highlight w:val="none"/>
              </w:rPr>
            </w:pPr>
            <w:r>
              <w:rPr>
                <w:rFonts w:hint="eastAsia" w:ascii="宋体" w:hAnsi="宋体"/>
                <w:color w:val="auto"/>
                <w:sz w:val="24"/>
                <w:highlight w:val="none"/>
              </w:rPr>
              <w:t xml:space="preserve">（代理人身份证复印件粘贴处）</w:t>
            </w:r>
            <w:r/>
          </w:p>
        </w:tc>
      </w:tr>
    </w:tbl>
    <w:p>
      <w:pPr>
        <w:ind w:firstLine="475"/>
        <w:rPr>
          <w:color w:val="auto"/>
          <w:highlight w:val="none"/>
        </w:rPr>
      </w:pPr>
      <w:r/>
      <w:bookmarkStart w:id="226" w:name="_Toc68706657"/>
      <w:r/>
      <w:r/>
    </w:p>
    <w:p>
      <w:pPr>
        <w:pStyle w:val="818"/>
        <w:rPr>
          <w:rFonts w:hint="eastAsia"/>
          <w:color w:val="auto"/>
          <w:highlight w:val="none"/>
        </w:rPr>
      </w:pPr>
      <w:r/>
      <w:bookmarkStart w:id="227" w:name="_Toc101357905"/>
      <w:r/>
      <w:bookmarkStart w:id="228" w:name="_Toc161385016"/>
      <w:r/>
      <w:bookmarkStart w:id="229" w:name="_Toc205811308"/>
      <w:r/>
      <w:bookmarkStart w:id="230" w:name="_Toc22080"/>
      <w:r>
        <w:rPr>
          <w:rFonts w:hint="eastAsia"/>
          <w:color w:val="auto"/>
          <w:highlight w:val="none"/>
        </w:rPr>
        <w:t xml:space="preserve">（七）</w:t>
      </w:r>
      <w:bookmarkEnd w:id="227"/>
      <w:r>
        <w:rPr>
          <w:rFonts w:hint="eastAsia"/>
          <w:color w:val="auto"/>
          <w:highlight w:val="none"/>
        </w:rPr>
        <w:t xml:space="preserve">中小企业声明函（工程）</w:t>
      </w:r>
      <w:bookmarkEnd w:id="228"/>
      <w:r/>
      <w:bookmarkEnd w:id="229"/>
      <w:r/>
      <w:bookmarkEnd w:id="230"/>
      <w:r/>
      <w:r/>
    </w:p>
    <w:p>
      <w:pPr>
        <w:ind w:firstLine="480"/>
        <w:spacing w:line="780" w:lineRule="exact"/>
        <w:widowControl/>
        <w:rPr>
          <w:rFonts w:hint="eastAsia" w:ascii="宋体" w:hAnsi="宋体" w:cs="宋体"/>
          <w:color w:val="auto"/>
          <w:sz w:val="24"/>
          <w:szCs w:val="22"/>
          <w:highlight w:val="none"/>
        </w:rPr>
      </w:pPr>
      <w:r/>
      <w:bookmarkStart w:id="231" w:name="_Toc161323013"/>
      <w:r/>
      <w:bookmarkStart w:id="232" w:name="_Toc161385017"/>
      <w:r>
        <w:rPr>
          <w:rFonts w:ascii="宋体" w:hAnsi="宋体" w:cs="宋体"/>
          <w:color w:val="auto"/>
          <w:sz w:val="24"/>
          <w:highlight w:val="none"/>
        </w:rPr>
        <w:t xml:space="preserve">本公司（联合体）郑重声明，</w:t>
      </w:r>
      <w:r>
        <w:rPr>
          <w:rFonts w:hint="eastAsia" w:ascii="宋体" w:hAnsi="宋体" w:cs="宋体"/>
          <w:color w:val="auto"/>
          <w:sz w:val="24"/>
          <w:szCs w:val="22"/>
          <w:highlight w:val="none"/>
          <w:lang w:bidi="ar"/>
        </w:rPr>
        <w:t xml:space="preserve">根据《政府采购促进中小企业发展管理办法》（财库﹝2020﹞46 号）的规定，本公司（联合体）参加</w:t>
      </w:r>
      <w:r>
        <w:rPr>
          <w:rFonts w:hint="eastAsia" w:ascii="宋体" w:hAnsi="宋体" w:cs="宋体"/>
          <w:b/>
          <w:bCs/>
          <w:color w:val="auto"/>
          <w:sz w:val="24"/>
          <w:szCs w:val="22"/>
          <w:highlight w:val="none"/>
          <w:u w:val="single"/>
          <w:lang w:bidi="ar"/>
        </w:rPr>
        <w:t xml:space="preserve">            </w:t>
      </w:r>
      <w:r>
        <w:rPr>
          <w:rFonts w:hint="eastAsia" w:ascii="宋体" w:hAnsi="宋体" w:cs="宋体"/>
          <w:color w:val="auto"/>
          <w:sz w:val="24"/>
          <w:szCs w:val="22"/>
          <w:highlight w:val="none"/>
          <w:u w:val="single"/>
          <w:lang w:bidi="ar"/>
        </w:rPr>
        <w:t xml:space="preserve">（单位名称）    </w:t>
      </w:r>
      <w:r>
        <w:rPr>
          <w:rFonts w:hint="eastAsia" w:ascii="宋体" w:hAnsi="宋体" w:cs="宋体"/>
          <w:color w:val="auto"/>
          <w:sz w:val="24"/>
          <w:szCs w:val="22"/>
          <w:highlight w:val="none"/>
          <w:lang w:bidi="ar"/>
        </w:rPr>
        <w:t xml:space="preserve">的</w:t>
      </w:r>
      <w:r>
        <w:rPr>
          <w:rFonts w:hint="eastAsia" w:ascii="宋体" w:hAnsi="宋体" w:cs="宋体"/>
          <w:color w:val="auto"/>
          <w:sz w:val="24"/>
          <w:szCs w:val="22"/>
          <w:highlight w:val="none"/>
          <w:u w:val="single"/>
          <w:lang w:bidi="ar"/>
        </w:rPr>
        <w:t xml:space="preserve"> </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u w:val="single"/>
        </w:rPr>
        <w:t xml:space="preserve">（项目名称）  </w:t>
      </w:r>
      <w:r>
        <w:rPr>
          <w:rFonts w:hint="eastAsia" w:ascii="宋体" w:hAnsi="宋体" w:cs="宋体"/>
          <w:color w:val="auto"/>
          <w:sz w:val="24"/>
          <w:szCs w:val="22"/>
          <w:highlight w:val="none"/>
          <w:lang w:bidi="ar"/>
        </w:rPr>
        <w:t xml:space="preserve">采购活动，工程的施工单位全部为符合政策要求的中小企业。相关企业（联合体中的中小企业、签订分包意向协议的中小企业）的具体情况如下：</w:t>
      </w:r>
      <w:r/>
    </w:p>
    <w:p>
      <w:pPr>
        <w:ind w:firstLine="723"/>
        <w:spacing w:line="780" w:lineRule="exact"/>
        <w:widowControl/>
        <w:rPr>
          <w:rFonts w:hint="eastAsia" w:ascii="宋体" w:hAnsi="宋体" w:cs="宋体"/>
          <w:color w:val="auto"/>
          <w:sz w:val="24"/>
          <w:szCs w:val="22"/>
          <w:highlight w:val="none"/>
        </w:rPr>
      </w:pPr>
      <w:r>
        <w:rPr>
          <w:rFonts w:hint="eastAsia" w:ascii="宋体" w:hAnsi="宋体" w:cs="宋体"/>
          <w:b/>
          <w:bCs/>
          <w:color w:val="auto"/>
          <w:sz w:val="24"/>
          <w:szCs w:val="22"/>
          <w:highlight w:val="none"/>
        </w:rPr>
        <w:t xml:space="preserve"> </w:t>
      </w:r>
      <w:r>
        <w:rPr>
          <w:rFonts w:hint="eastAsia" w:ascii="宋体" w:hAnsi="宋体" w:cs="宋体"/>
          <w:b/>
          <w:bCs/>
          <w:color w:val="auto"/>
          <w:sz w:val="24"/>
          <w:szCs w:val="22"/>
          <w:highlight w:val="none"/>
          <w:u w:val="single"/>
        </w:rPr>
        <w:t xml:space="preserve">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lang w:bidi="ar"/>
        </w:rPr>
        <w:t xml:space="preserve">，属于</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w:t>
      </w:r>
      <w:r>
        <w:rPr>
          <w:rFonts w:hint="eastAsia" w:ascii="宋体" w:hAnsi="宋体" w:cs="宋体"/>
          <w:color w:val="auto"/>
          <w:sz w:val="24"/>
          <w:szCs w:val="22"/>
          <w:highlight w:val="none"/>
          <w:u w:val="single"/>
          <w:lang w:bidi="ar"/>
        </w:rPr>
        <w:t xml:space="preserve">采购文件中明确的所属行业）   </w:t>
      </w:r>
      <w:r>
        <w:rPr>
          <w:rFonts w:hint="eastAsia" w:ascii="宋体" w:hAnsi="宋体" w:cs="宋体"/>
          <w:color w:val="auto"/>
          <w:sz w:val="24"/>
          <w:szCs w:val="22"/>
          <w:highlight w:val="none"/>
          <w:lang w:bidi="ar"/>
        </w:rPr>
        <w:t xml:space="preserve">；承接企业为</w:t>
      </w:r>
      <w:r>
        <w:rPr>
          <w:rFonts w:hint="eastAsia" w:ascii="宋体" w:hAnsi="宋体" w:cs="宋体"/>
          <w:color w:val="auto"/>
          <w:sz w:val="24"/>
          <w:szCs w:val="22"/>
          <w:highlight w:val="none"/>
          <w:u w:val="single"/>
          <w:lang w:bidi="ar"/>
        </w:rPr>
        <w:t xml:space="preserve">        （企业名称）</w:t>
      </w:r>
      <w:r>
        <w:rPr>
          <w:rFonts w:hint="eastAsia" w:ascii="宋体" w:hAnsi="宋体" w:cs="宋体"/>
          <w:color w:val="auto"/>
          <w:sz w:val="24"/>
          <w:szCs w:val="22"/>
          <w:highlight w:val="none"/>
          <w:lang w:bidi="ar"/>
        </w:rPr>
        <w:t xml:space="preserve">，从业人员</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人，营业收入为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万元，资产总额为</w:t>
      </w:r>
      <w:r>
        <w:rPr>
          <w:rFonts w:hint="eastAsia" w:ascii="宋体" w:hAnsi="宋体" w:cs="宋体"/>
          <w:color w:val="auto"/>
          <w:sz w:val="24"/>
          <w:szCs w:val="22"/>
          <w:highlight w:val="none"/>
          <w:u w:val="single"/>
          <w:lang w:bidi="ar"/>
        </w:rPr>
        <w:t xml:space="preserve">        </w:t>
      </w:r>
      <w:r>
        <w:rPr>
          <w:rFonts w:hint="eastAsia" w:ascii="宋体" w:hAnsi="宋体" w:cs="宋体"/>
          <w:color w:val="auto"/>
          <w:sz w:val="24"/>
          <w:szCs w:val="22"/>
          <w:highlight w:val="none"/>
          <w:lang w:bidi="ar"/>
        </w:rPr>
        <w:t xml:space="preserve">万元，属于 </w:t>
      </w:r>
      <w:r>
        <w:rPr>
          <w:rFonts w:hint="eastAsia" w:ascii="宋体" w:hAnsi="宋体" w:cs="宋体"/>
          <w:color w:val="auto"/>
          <w:sz w:val="24"/>
          <w:szCs w:val="22"/>
          <w:highlight w:val="none"/>
          <w:u w:val="single"/>
          <w:lang w:bidi="ar"/>
        </w:rPr>
        <w:t xml:space="preserve">         （中型企业、小型企业、微型企业）</w:t>
      </w:r>
      <w:r>
        <w:rPr>
          <w:rFonts w:hint="eastAsia" w:ascii="宋体" w:hAnsi="宋体" w:cs="宋体"/>
          <w:color w:val="auto"/>
          <w:sz w:val="24"/>
          <w:szCs w:val="22"/>
          <w:highlight w:val="none"/>
          <w:lang w:bidi="ar"/>
        </w:rPr>
        <w:t xml:space="preserve">；</w:t>
      </w:r>
      <w:r/>
    </w:p>
    <w:p>
      <w:pPr>
        <w:ind w:firstLine="480"/>
        <w:spacing w:line="78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lang w:bidi="ar"/>
        </w:rPr>
        <w:t xml:space="preserve">本企业对上述声明内容的真实性负责。如有虚假，将依法承担相应责任。</w:t>
      </w:r>
      <w:r/>
    </w:p>
    <w:p>
      <w:pPr>
        <w:ind w:firstLine="476"/>
        <w:spacing w:line="500" w:lineRule="exact"/>
        <w:rPr>
          <w:rFonts w:hint="eastAsia" w:ascii="宋体" w:hAnsi="宋体" w:cs="宋体"/>
          <w:color w:val="auto"/>
          <w:sz w:val="24"/>
          <w:highlight w:val="none"/>
        </w:rPr>
      </w:pPr>
      <w:r>
        <w:rPr>
          <w:rFonts w:ascii="宋体" w:hAnsi="宋体" w:cs="宋体"/>
          <w:color w:val="auto"/>
          <w:sz w:val="24"/>
          <w:highlight w:val="none"/>
        </w:rPr>
        <w:t xml:space="preserve"> </w:t>
      </w:r>
      <w:r/>
    </w:p>
    <w:p>
      <w:pPr>
        <w:ind w:firstLine="5760"/>
        <w:spacing w:line="500" w:lineRule="exact"/>
        <w:rPr>
          <w:rFonts w:hint="eastAsia" w:ascii="宋体" w:hAnsi="宋体" w:cs="宋体"/>
          <w:color w:val="auto"/>
          <w:sz w:val="24"/>
          <w:highlight w:val="none"/>
        </w:rPr>
      </w:pPr>
      <w:r>
        <w:rPr>
          <w:rFonts w:ascii="宋体" w:hAnsi="宋体" w:cs="宋体"/>
          <w:color w:val="auto"/>
          <w:sz w:val="24"/>
          <w:highlight w:val="none"/>
        </w:rPr>
        <w:t xml:space="preserve">企业名称（</w:t>
      </w:r>
      <w:r>
        <w:rPr>
          <w:rFonts w:hint="eastAsia" w:ascii="宋体" w:hAnsi="宋体" w:cs="宋体"/>
          <w:color w:val="auto"/>
          <w:sz w:val="24"/>
          <w:highlight w:val="none"/>
        </w:rPr>
        <w:t xml:space="preserve">公章</w:t>
      </w:r>
      <w:r>
        <w:rPr>
          <w:rFonts w:ascii="宋体" w:hAnsi="宋体" w:cs="宋体"/>
          <w:color w:val="auto"/>
          <w:sz w:val="24"/>
          <w:highlight w:val="none"/>
        </w:rPr>
        <w:t xml:space="preserve">）：</w:t>
      </w:r>
      <w:r/>
    </w:p>
    <w:p>
      <w:pPr>
        <w:ind w:firstLine="5760"/>
        <w:spacing w:line="500" w:lineRule="exact"/>
        <w:rPr>
          <w:rFonts w:hint="eastAsia" w:ascii="宋体" w:hAnsi="宋体" w:cs="宋体"/>
          <w:color w:val="auto"/>
          <w:sz w:val="24"/>
          <w:highlight w:val="none"/>
        </w:rPr>
      </w:pPr>
      <w:r>
        <w:rPr>
          <w:rFonts w:ascii="宋体" w:hAnsi="宋体" w:cs="宋体"/>
          <w:color w:val="auto"/>
          <w:sz w:val="24"/>
          <w:highlight w:val="none"/>
        </w:rPr>
        <w:t xml:space="preserve">日  期：</w:t>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ascii="宋体" w:hAnsi="宋体" w:cs="宋体"/>
          <w:color w:val="auto"/>
          <w:sz w:val="24"/>
          <w:highlight w:val="none"/>
        </w:rPr>
        <w:t xml:space="preserve"> </w:t>
      </w:r>
      <w:r/>
    </w:p>
    <w:p>
      <w:pPr>
        <w:ind w:firstLine="476"/>
        <w:spacing w:line="500" w:lineRule="exact"/>
        <w:rPr>
          <w:rFonts w:hint="eastAsia" w:ascii="宋体" w:hAnsi="宋体" w:cs="宋体"/>
          <w:color w:val="auto"/>
          <w:sz w:val="24"/>
          <w:highlight w:val="none"/>
        </w:rP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76"/>
        <w:spacing w:line="500" w:lineRule="exact"/>
        <w:rPr>
          <w:rFonts w:hint="eastAsia" w:ascii="宋体" w:hAnsi="宋体" w:cs="宋体"/>
          <w:color w:val="auto"/>
          <w:sz w:val="24"/>
          <w:highlight w:val="none"/>
        </w:rPr>
      </w:pPr>
      <w:r>
        <w:rPr>
          <w:rFonts w:ascii="宋体" w:hAnsi="宋体" w:cs="宋体"/>
          <w:color w:val="auto"/>
          <w:sz w:val="24"/>
          <w:highlight w:val="none"/>
        </w:rPr>
        <w:t xml:space="preserve">备注2：供应商如不提供此声明函，价格将不做相应扣除（如项目全面面向中小企业，则资格审查不通过）。</w:t>
      </w:r>
      <w:r/>
    </w:p>
    <w:p>
      <w:pPr>
        <w:rPr>
          <w:color w:val="auto"/>
          <w:highlight w:val="none"/>
        </w:rPr>
      </w:pPr>
      <w:r>
        <w:rPr>
          <w:color w:val="auto"/>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18"/>
        <w:rPr>
          <w:rFonts w:hint="eastAsia"/>
          <w:color w:val="auto"/>
          <w:highlight w:val="none"/>
        </w:rPr>
      </w:pPr>
      <w:r/>
      <w:bookmarkStart w:id="233" w:name="_Toc205811309"/>
      <w:r/>
      <w:bookmarkStart w:id="234" w:name="_Toc12728"/>
      <w:r>
        <w:rPr>
          <w:rFonts w:hint="eastAsia"/>
          <w:color w:val="auto"/>
          <w:highlight w:val="none"/>
        </w:rPr>
        <w:t xml:space="preserve">（八）残疾人福利性单位声明函（如有）</w:t>
      </w:r>
      <w:bookmarkEnd w:id="231"/>
      <w:r/>
      <w:bookmarkEnd w:id="232"/>
      <w:r/>
      <w:bookmarkEnd w:id="233"/>
      <w:r/>
      <w:bookmarkEnd w:id="234"/>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本单位在本次政府采购活动中提供的残疾人福利单位产品报价合计为人民币（大写）圆整（¥：     ）。</w:t>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授权代表亲笔签名：</w:t>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76"/>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r/>
    </w:p>
    <w:p>
      <w:pPr>
        <w:pStyle w:val="843"/>
        <w:rPr>
          <w:color w:val="auto"/>
          <w:highlight w:val="none"/>
        </w:rPr>
      </w:pPr>
      <w:r>
        <w:rPr>
          <w:color w:val="auto"/>
          <w:highlight w:val="none"/>
        </w:rPr>
      </w:r>
      <w:bookmarkEnd w:id="226"/>
      <w:r/>
      <w:r/>
    </w:p>
    <w:p>
      <w:pPr>
        <w:pStyle w:val="818"/>
        <w:rPr>
          <w:rFonts w:hint="eastAsia"/>
          <w:color w:val="auto"/>
          <w:highlight w:val="none"/>
        </w:rPr>
      </w:pPr>
      <w:r/>
      <w:bookmarkStart w:id="235" w:name="_Toc154674410"/>
      <w:r/>
      <w:bookmarkStart w:id="236" w:name="_Toc130206662"/>
      <w:r/>
      <w:bookmarkStart w:id="237" w:name="_Toc4088"/>
      <w:r/>
      <w:bookmarkStart w:id="238" w:name="_Toc101357907"/>
      <w:r/>
      <w:bookmarkStart w:id="239" w:name="_Toc205811310"/>
      <w:r/>
      <w:bookmarkStart w:id="240" w:name="_Toc161385018"/>
      <w:r>
        <w:rPr>
          <w:rFonts w:hint="eastAsia"/>
          <w:color w:val="auto"/>
          <w:highlight w:val="none"/>
        </w:rPr>
        <w:t xml:space="preserve">（九）</w:t>
      </w:r>
      <w:bookmarkEnd w:id="235"/>
      <w:r/>
      <w:bookmarkEnd w:id="236"/>
      <w:r>
        <w:rPr>
          <w:rFonts w:hint="eastAsia"/>
          <w:color w:val="auto"/>
          <w:highlight w:val="none"/>
        </w:rPr>
        <w:t xml:space="preserve">公共资源交易投标信用承诺书</w:t>
      </w:r>
      <w:bookmarkEnd w:id="237"/>
      <w:r/>
      <w:bookmarkEnd w:id="238"/>
      <w:r/>
      <w:bookmarkEnd w:id="239"/>
      <w:r/>
      <w:bookmarkEnd w:id="240"/>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pacing w:val="-4"/>
          <w:sz w:val="24"/>
          <w:highlight w:val="none"/>
        </w:rPr>
        <w:t xml:space="preserve">严格遵守即时信息公示规定，及时更新公共资源交易中心主体信息库中信息</w:t>
      </w:r>
      <w:r>
        <w:rPr>
          <w:rFonts w:hint="eastAsia" w:ascii="宋体" w:hAnsi="宋体" w:cs="宋体"/>
          <w:color w:val="auto"/>
          <w:sz w:val="24"/>
          <w:highlight w:val="none"/>
        </w:rPr>
        <w:t xml:space="preserve">；</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color w:val="auto"/>
          <w:spacing w:val="-8"/>
          <w:sz w:val="24"/>
          <w:highlight w:val="none"/>
        </w:rPr>
        <w:t xml:space="preserve">自我约束、自我管理，守合同、重信用，不参与围标串标、弄虚作假、骗取中标、干扰评标、违约毁约、恶意投诉等行为，主动维护公共资源交易招标投标的良好秩序</w:t>
      </w:r>
      <w:r>
        <w:rPr>
          <w:rFonts w:hint="eastAsia" w:ascii="宋体" w:hAnsi="宋体" w:cs="宋体"/>
          <w:color w:val="auto"/>
          <w:sz w:val="24"/>
          <w:highlight w:val="none"/>
        </w:rPr>
        <w:t xml:space="preserve">；</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五、自觉接受政府部门、行业组织、社会公众、新闻舆论等监督；</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cs="宋体"/>
          <w:color w:val="auto"/>
          <w:sz w:val="24"/>
          <w:highlight w:val="none"/>
        </w:rPr>
      </w:pPr>
      <w:r>
        <w:rPr>
          <w:rFonts w:hint="eastAsia" w:ascii="宋体" w:hAnsi="宋体" w:cs="宋体"/>
          <w:color w:val="auto"/>
          <w:sz w:val="24"/>
          <w:highlight w:val="none"/>
        </w:rPr>
        <w:t xml:space="preserve">七、上述承诺已向本单位员工作了宣传教育。</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ind w:firstLine="480"/>
        <w:spacing w:before="120" w:after="120" w:line="480" w:lineRule="exact"/>
        <w:rPr>
          <w:rFonts w:ascii="宋体" w:cs="宋体"/>
          <w:bCs/>
          <w:color w:val="auto"/>
          <w:sz w:val="24"/>
          <w:highlight w:val="none"/>
        </w:rPr>
      </w:pPr>
      <w:r>
        <w:rPr>
          <w:rFonts w:hint="eastAsia" w:ascii="宋体" w:hAnsi="宋体" w:cs="宋体"/>
          <w:bCs/>
          <w:color w:val="auto"/>
          <w:sz w:val="24"/>
          <w:highlight w:val="none"/>
        </w:rPr>
        <w:t xml:space="preserve">法定代表人（签名并盖章）：</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ind w:firstLine="480"/>
        <w:spacing w:before="120" w:after="120" w:line="480" w:lineRule="exact"/>
        <w:rPr>
          <w:rFonts w:ascii="宋体" w:cs="宋体"/>
          <w:bCs/>
          <w:color w:val="auto"/>
          <w:sz w:val="24"/>
          <w:highlight w:val="none"/>
        </w:rPr>
      </w:pPr>
      <w:r>
        <w:rPr>
          <w:rFonts w:hint="eastAsia" w:ascii="宋体" w:hAnsi="宋体" w:cs="宋体"/>
          <w:bCs/>
          <w:color w:val="auto"/>
          <w:sz w:val="24"/>
          <w:highlight w:val="none"/>
        </w:rPr>
        <w:t xml:space="preserve">投标人（盖章）：</w:t>
      </w:r>
      <w:r/>
    </w:p>
    <w:p>
      <w:pPr>
        <w:ind w:firstLine="480"/>
        <w:spacing w:before="120" w:after="120" w:line="480" w:lineRule="exact"/>
        <w:rPr>
          <w:rFonts w:ascii="宋体" w:cs="宋体"/>
          <w:bCs/>
          <w:color w:val="auto"/>
          <w:sz w:val="24"/>
          <w:highlight w:val="none"/>
        </w:rPr>
      </w:pPr>
      <w:r>
        <w:rPr>
          <w:rFonts w:ascii="宋体" w:cs="宋体"/>
          <w:bCs/>
          <w:color w:val="auto"/>
          <w:sz w:val="24"/>
          <w:highlight w:val="none"/>
        </w:rPr>
      </w:r>
      <w:r/>
    </w:p>
    <w:p>
      <w:pPr>
        <w:jc w:val="right"/>
        <w:spacing w:after="120" w:line="480" w:lineRule="exact"/>
        <w:rPr>
          <w:rFonts w:hint="eastAsia" w:hAnsi="宋体" w:cs="宋体"/>
          <w:b/>
          <w:color w:val="auto"/>
          <w:sz w:val="36"/>
          <w:szCs w:val="36"/>
          <w:highlight w:val="none"/>
        </w:rPr>
      </w:pPr>
      <w:r>
        <w:rPr>
          <w:rFonts w:hint="eastAsia" w:ascii="宋体" w:hAnsi="宋体" w:cs="宋体"/>
          <w:bCs/>
          <w:color w:val="auto"/>
          <w:sz w:val="24"/>
          <w:highlight w:val="none"/>
        </w:rPr>
        <w:t xml:space="preserve">年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月 </w:t>
      </w:r>
      <w:r>
        <w:rPr>
          <w:rFonts w:ascii="宋体" w:hAnsi="宋体" w:cs="宋体"/>
          <w:bCs/>
          <w:color w:val="auto"/>
          <w:sz w:val="24"/>
          <w:highlight w:val="none"/>
        </w:rPr>
        <w:t xml:space="preserve"> </w:t>
      </w:r>
      <w:r>
        <w:rPr>
          <w:rFonts w:hint="eastAsia" w:ascii="宋体" w:hAnsi="宋体" w:cs="宋体"/>
          <w:bCs/>
          <w:color w:val="auto"/>
          <w:sz w:val="24"/>
          <w:highlight w:val="none"/>
        </w:rPr>
        <w:t xml:space="preserve">日</w:t>
      </w:r>
      <w:r/>
    </w:p>
    <w:p>
      <w:pPr>
        <w:pStyle w:val="818"/>
        <w:rPr>
          <w:rFonts w:hint="eastAsia" w:ascii="黑体" w:hAnsi="黑体" w:cs="宋体"/>
          <w:color w:val="auto"/>
          <w:highlight w:val="none"/>
        </w:rPr>
      </w:pPr>
      <w:r>
        <w:rPr>
          <w:rFonts w:ascii="黑体" w:hAnsi="黑体" w:cs="宋体"/>
          <w:color w:val="auto"/>
          <w:highlight w:val="none"/>
        </w:rPr>
        <w:br w:type="page" w:clear="all"/>
      </w:r>
      <w:bookmarkStart w:id="241" w:name="_Toc83487569"/>
      <w:r/>
      <w:bookmarkEnd w:id="241"/>
      <w:r/>
      <w:bookmarkStart w:id="242" w:name="_Toc32622"/>
      <w:r/>
      <w:bookmarkStart w:id="243" w:name="_Toc101166962"/>
      <w:r/>
      <w:bookmarkStart w:id="244" w:name="_Toc101357908"/>
      <w:r/>
      <w:bookmarkStart w:id="245" w:name="_Toc205811311"/>
      <w:r/>
      <w:bookmarkStart w:id="246" w:name="_Toc161385019"/>
      <w:r>
        <w:rPr>
          <w:rFonts w:hint="eastAsia"/>
          <w:color w:val="auto"/>
          <w:highlight w:val="none"/>
        </w:rPr>
        <w:t xml:space="preserve">（十）建湖县政府采购事前信用承诺书</w:t>
      </w:r>
      <w:bookmarkEnd w:id="242"/>
      <w:r/>
      <w:bookmarkEnd w:id="243"/>
      <w:r/>
      <w:bookmarkEnd w:id="244"/>
      <w:r/>
      <w:bookmarkEnd w:id="245"/>
      <w:r/>
      <w:bookmarkEnd w:id="246"/>
      <w:r/>
      <w:r/>
    </w:p>
    <w:p>
      <w:pPr>
        <w:ind w:firstLine="480"/>
        <w:jc w:val="left"/>
        <w:spacing w:line="520" w:lineRule="exact"/>
        <w:widowControl/>
        <w:rPr>
          <w:rFonts w:ascii="宋体" w:cs="宋体"/>
          <w:color w:val="auto"/>
          <w:sz w:val="24"/>
          <w:highlight w:val="none"/>
        </w:rPr>
      </w:pPr>
      <w:r>
        <w:rPr>
          <w:rFonts w:hint="eastAsia" w:ascii="宋体" w:hAnsi="宋体" w:cs="宋体"/>
          <w:color w:val="auto"/>
          <w:sz w:val="24"/>
          <w:highlight w:val="none"/>
        </w:rPr>
        <w:t xml:space="preserve">为营造我县公开、公平、公正、诚实守信的政府采购交易环境，树立诚信守法的投标人形象，本人代表本单位作出以下承诺：</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（三）严格依照国家和省、市关于政府采购的法律、法规、规章、规范性文件，参加政府采购投标活动；积极履行社会责任，促进廉政建设；</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（四）严格遵守即时信息公示规定，及时更新维护建湖县政府采购网中与本单位相关的信息；</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（六）自觉接受政府、行业组织、社会公众、新闻舆论的监督；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（八）本人已认真阅读了上述承诺，并向本单位员工作了宣传教育。</w:t>
      </w:r>
      <w:r/>
    </w:p>
    <w:p>
      <w:pPr>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bCs/>
          <w:color w:val="auto"/>
          <w:sz w:val="24"/>
          <w:highlight w:val="none"/>
        </w:rPr>
        <w:t xml:space="preserve">（签名并盖章）：</w:t>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单位名称（盖章）：</w:t>
      </w:r>
      <w:r/>
    </w:p>
    <w:p>
      <w:pPr>
        <w:ind w:firstLine="480"/>
        <w:jc w:val="righ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日 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p>
      <w:pPr>
        <w:pStyle w:val="818"/>
        <w:rPr>
          <w:rFonts w:hint="eastAsia"/>
          <w:color w:val="auto"/>
          <w:highlight w:val="none"/>
        </w:rPr>
      </w:pPr>
      <w:r/>
      <w:bookmarkStart w:id="247" w:name="_Toc161385020"/>
      <w:r/>
      <w:bookmarkStart w:id="248" w:name="_Toc101357909"/>
      <w:r/>
      <w:bookmarkStart w:id="249" w:name="_Toc205811312"/>
      <w:r/>
      <w:bookmarkStart w:id="250" w:name="_Toc68706659"/>
      <w:r/>
      <w:bookmarkStart w:id="251" w:name="_Toc15840"/>
      <w:r>
        <w:rPr>
          <w:rFonts w:hint="eastAsia"/>
          <w:color w:val="auto"/>
          <w:highlight w:val="none"/>
        </w:rPr>
        <w:t xml:space="preserve">（十一）具备履行合同所必需的设备和专业技术能力的声明函</w:t>
      </w:r>
      <w:bookmarkEnd w:id="247"/>
      <w:r/>
      <w:bookmarkEnd w:id="248"/>
      <w:r/>
      <w:bookmarkEnd w:id="249"/>
      <w:r/>
      <w:bookmarkEnd w:id="250"/>
      <w:r/>
      <w:bookmarkEnd w:id="251"/>
      <w:r/>
      <w:r/>
    </w:p>
    <w:p>
      <w:pPr>
        <w:ind w:firstLine="475"/>
        <w:spacing w:line="600" w:lineRule="exact"/>
        <w:rPr>
          <w:rFonts w:asci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75"/>
        <w:spacing w:line="600" w:lineRule="exact"/>
        <w:rPr>
          <w:rFonts w:ascii="宋体"/>
          <w:bCs/>
          <w:color w:val="auto"/>
          <w:sz w:val="24"/>
          <w:highlight w:val="none"/>
          <w:u w:val="singl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75"/>
        <w:spacing w:line="60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80" w:lineRule="exact"/>
        <w:rPr>
          <w:rFonts w:hint="eastAsia" w:ascii="宋体" w:hAnsi="宋体"/>
          <w:bCs/>
          <w:color w:val="auto"/>
          <w:sz w:val="24"/>
          <w:highlight w:val="none"/>
        </w:rPr>
      </w:pPr>
      <w:r>
        <w:rPr>
          <w:rFonts w:hint="eastAsia" w:ascii="宋体" w:hAnsi="宋体"/>
          <w:bCs/>
          <w:color w:val="auto"/>
          <w:sz w:val="24"/>
          <w:highlight w:val="none"/>
        </w:rPr>
      </w:r>
      <w:r/>
    </w:p>
    <w:p>
      <w:pPr>
        <w:spacing w:line="480" w:lineRule="exact"/>
        <w:rPr>
          <w:rFonts w:hint="eastAsia" w:ascii="宋体" w:hAnsi="宋体"/>
          <w:bCs/>
          <w:color w:val="auto"/>
          <w:sz w:val="24"/>
          <w:highlight w:val="none"/>
        </w:rPr>
      </w:pPr>
      <w:r>
        <w:rPr>
          <w:rFonts w:hint="eastAsia" w:ascii="宋体" w:hAnsi="宋体"/>
          <w:bCs/>
          <w:color w:val="auto"/>
          <w:sz w:val="24"/>
          <w:highlight w:val="none"/>
        </w:rPr>
      </w:r>
      <w:r/>
    </w:p>
    <w:p>
      <w:pPr>
        <w:ind w:firstLine="3840"/>
        <w:spacing w:line="480" w:lineRule="exact"/>
        <w:rPr>
          <w:rFonts w:ascii="宋体"/>
          <w:bCs/>
          <w:color w:val="auto"/>
          <w:sz w:val="24"/>
          <w:highlight w:val="none"/>
        </w:rPr>
      </w:pPr>
      <w:r>
        <w:rPr>
          <w:rFonts w:ascii="宋体"/>
          <w:bCs/>
          <w:color w:val="auto"/>
          <w:sz w:val="24"/>
          <w:highlight w:val="none"/>
        </w:rPr>
      </w:r>
      <w:r/>
    </w:p>
    <w:p>
      <w:pPr>
        <w:ind w:firstLine="3840"/>
        <w:spacing w:line="480" w:lineRule="exact"/>
        <w:rPr>
          <w:rFonts w:hint="eastAsia" w:ascii="宋体" w:hAnsi="宋体"/>
          <w:bCs/>
          <w:color w:val="auto"/>
          <w:sz w:val="24"/>
          <w:highlight w:val="none"/>
        </w:rPr>
      </w:pPr>
      <w:r>
        <w:rPr>
          <w:rFonts w:hint="eastAsia" w:ascii="宋体" w:hAnsi="宋体"/>
          <w:bCs/>
          <w:color w:val="auto"/>
          <w:sz w:val="24"/>
          <w:highlight w:val="none"/>
        </w:rPr>
      </w:r>
      <w:r/>
    </w:p>
    <w:p>
      <w:pPr>
        <w:ind w:firstLine="3840"/>
        <w:spacing w:line="480" w:lineRule="exact"/>
        <w:rPr>
          <w:rFonts w:hint="eastAsia" w:ascii="宋体" w:hAnsi="宋体"/>
          <w:bCs/>
          <w:color w:val="auto"/>
          <w:sz w:val="24"/>
          <w:highlight w:val="none"/>
        </w:rPr>
      </w:pPr>
      <w:r>
        <w:rPr>
          <w:rFonts w:hint="eastAsia" w:ascii="宋体" w:hAnsi="宋体"/>
          <w:bCs/>
          <w:color w:val="auto"/>
          <w:sz w:val="24"/>
          <w:highlight w:val="none"/>
        </w:rPr>
      </w:r>
      <w:r/>
    </w:p>
    <w:p>
      <w:pPr>
        <w:ind w:firstLine="5760"/>
        <w:spacing w:line="480" w:lineRule="exact"/>
        <w:rPr>
          <w:rFonts w:ascii="宋体"/>
          <w:bCs/>
          <w:color w:val="auto"/>
          <w:sz w:val="24"/>
          <w:highlight w:val="none"/>
        </w:rPr>
      </w:pPr>
      <w:r>
        <w:rPr>
          <w:rFonts w:hint="eastAsia" w:ascii="宋体" w:hAnsi="宋体"/>
          <w:bCs/>
          <w:color w:val="auto"/>
          <w:sz w:val="24"/>
          <w:highlight w:val="none"/>
        </w:rPr>
        <w:t xml:space="preserve">供应商名称（公章）：</w:t>
      </w:r>
      <w:r/>
    </w:p>
    <w:p>
      <w:pPr>
        <w:spacing w:line="480" w:lineRule="exact"/>
        <w:rPr>
          <w:rFonts w:hint="eastAsia" w:ascii="宋体" w:hAnsi="宋体"/>
          <w:bCs/>
          <w:color w:val="auto"/>
          <w:sz w:val="24"/>
          <w:highlight w:val="none"/>
        </w:rPr>
      </w:pPr>
      <w:r>
        <w:rPr>
          <w:rFonts w:hint="eastAsia" w:ascii="宋体" w:hAnsi="宋体"/>
          <w:bCs/>
          <w:color w:val="auto"/>
          <w:sz w:val="24"/>
          <w:highlight w:val="none"/>
        </w:rPr>
      </w:r>
      <w:r/>
    </w:p>
    <w:p>
      <w:pPr>
        <w:ind w:firstLine="5760"/>
        <w:spacing w:line="480" w:lineRule="exact"/>
        <w:rPr>
          <w:rFonts w:hint="eastAsia" w:ascii="宋体" w:hAnsi="宋体"/>
          <w:bCs/>
          <w:color w:val="auto"/>
          <w:sz w:val="24"/>
          <w:highlight w:val="none"/>
        </w:rPr>
      </w:pPr>
      <w:r/>
      <w:bookmarkStart w:id="252" w:name="_Toc66868783"/>
      <w:r>
        <w:rPr>
          <w:rFonts w:hint="eastAsia" w:ascii="宋体" w:hAnsi="宋体"/>
          <w:bCs/>
          <w:color w:val="auto"/>
          <w:sz w:val="24"/>
          <w:highlight w:val="none"/>
        </w:rPr>
        <w:t xml:space="preserve">日 </w:t>
      </w:r>
      <w:r>
        <w:rPr>
          <w:rFonts w:ascii="宋体" w:hAnsi="宋体"/>
          <w:bCs/>
          <w:color w:val="auto"/>
          <w:sz w:val="24"/>
          <w:highlight w:val="none"/>
        </w:rPr>
        <w:t xml:space="preserve"> </w:t>
      </w:r>
      <w:r>
        <w:rPr>
          <w:rFonts w:hint="eastAsia" w:ascii="宋体" w:hAnsi="宋体"/>
          <w:bCs/>
          <w:color w:val="auto"/>
          <w:sz w:val="24"/>
          <w:highlight w:val="none"/>
        </w:rPr>
        <w:t xml:space="preserve">期： </w:t>
      </w:r>
      <w:r>
        <w:rPr>
          <w:rFonts w:ascii="宋体" w:hAnsi="宋体"/>
          <w:bCs/>
          <w:color w:val="auto"/>
          <w:sz w:val="24"/>
          <w:highlight w:val="none"/>
        </w:rPr>
        <w:t xml:space="preserve">  </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w:t>
      </w:r>
      <w:r>
        <w:rPr>
          <w:rFonts w:ascii="宋体" w:hAnsi="宋体"/>
          <w:bCs/>
          <w:color w:val="auto"/>
          <w:sz w:val="24"/>
          <w:highlight w:val="none"/>
        </w:rPr>
        <w:t xml:space="preserve"> </w:t>
      </w:r>
      <w:r>
        <w:rPr>
          <w:rFonts w:hint="eastAsia" w:ascii="宋体" w:hAnsi="宋体"/>
          <w:bCs/>
          <w:color w:val="auto"/>
          <w:sz w:val="24"/>
          <w:highlight w:val="none"/>
        </w:rPr>
        <w:t xml:space="preserve">日</w:t>
      </w:r>
      <w:bookmarkEnd w:id="252"/>
      <w:r/>
      <w:r/>
    </w:p>
    <w:p>
      <w:pPr>
        <w:ind w:firstLine="875"/>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554"/>
        <w:spacing w:after="120" w:line="480" w:lineRule="exact"/>
        <w:rPr>
          <w:color w:val="auto"/>
          <w:sz w:val="28"/>
          <w:highlight w:val="none"/>
        </w:rPr>
      </w:pPr>
      <w:r>
        <w:rPr>
          <w:color w:val="auto"/>
          <w:sz w:val="28"/>
          <w:highlight w:val="none"/>
        </w:rPr>
      </w:r>
      <w:r/>
    </w:p>
    <w:p>
      <w:pPr>
        <w:ind w:firstLine="636"/>
        <w:jc w:val="center"/>
        <w:keepLines/>
        <w:keepNext/>
        <w:spacing w:before="260" w:after="260" w:line="360" w:lineRule="exact"/>
        <w:rPr>
          <w:rFonts w:ascii="Arial" w:hAnsi="Arial" w:eastAsia="黑体"/>
          <w:b/>
          <w:bCs/>
          <w:color w:val="auto"/>
          <w:sz w:val="32"/>
          <w:szCs w:val="32"/>
          <w:highlight w:val="none"/>
        </w:rPr>
        <w:sectPr>
          <w:footerReference w:type="default" r:id="rId12"/>
          <w:footnotePr/>
          <w:endnotePr/>
          <w:type w:val="nextPage"/>
          <w:pgSz w:w="11906" w:h="16838" w:orient="portrait"/>
          <w:pgMar w:top="1440" w:right="1366" w:bottom="1440" w:left="1300" w:header="851" w:footer="992" w:gutter="0"/>
          <w:cols w:num="1" w:sep="0" w:space="0" w:equalWidth="1"/>
          <w:docGrid w:linePitch="360"/>
        </w:sectPr>
        <w:outlineLvl w:val="1"/>
      </w:pPr>
      <w:r/>
      <w:bookmarkStart w:id="253" w:name="_Toc68706660"/>
      <w:r/>
      <w:bookmarkEnd w:id="253"/>
      <w:r/>
      <w:r/>
    </w:p>
    <w:p>
      <w:pPr>
        <w:pStyle w:val="818"/>
        <w:rPr>
          <w:rFonts w:hint="eastAsia"/>
          <w:color w:val="auto"/>
          <w:highlight w:val="none"/>
        </w:rPr>
      </w:pPr>
      <w:r/>
      <w:bookmarkStart w:id="254" w:name="_Toc205811313"/>
      <w:r/>
      <w:bookmarkStart w:id="255" w:name="_Toc6591"/>
      <w:r/>
      <w:bookmarkStart w:id="256" w:name="_Toc161385021"/>
      <w:r/>
      <w:bookmarkStart w:id="257" w:name="_Toc101342300"/>
      <w:r/>
      <w:bookmarkStart w:id="258" w:name="_Toc101166970"/>
      <w:r/>
      <w:bookmarkStart w:id="259" w:name="_Toc101357911"/>
      <w:r/>
      <w:bookmarkStart w:id="260" w:name="_Toc56582937"/>
      <w:r/>
      <w:bookmarkStart w:id="261" w:name="_Toc68706662"/>
      <w:r>
        <w:rPr>
          <w:rFonts w:hint="eastAsia"/>
          <w:color w:val="auto"/>
          <w:highlight w:val="none"/>
        </w:rPr>
        <w:t xml:space="preserve">（十二）</w:t>
      </w:r>
      <w:bookmarkStart w:id="262" w:name="OLE_LINK9"/>
      <w:r>
        <w:rPr>
          <w:rFonts w:hint="eastAsia"/>
          <w:color w:val="auto"/>
          <w:highlight w:val="none"/>
        </w:rPr>
        <w:t xml:space="preserve">首轮清单报价表</w:t>
      </w:r>
      <w:bookmarkEnd w:id="254"/>
      <w:r/>
      <w:bookmarkEnd w:id="255"/>
      <w:r/>
      <w:bookmarkEnd w:id="256"/>
      <w:r/>
      <w:r/>
    </w:p>
    <w:p>
      <w:pPr>
        <w:jc w:val="center"/>
        <w:spacing w:line="480" w:lineRule="exact"/>
        <w:rPr>
          <w:rFonts w:hint="eastAsia" w:ascii="宋体" w:hAnsi="宋体"/>
          <w:b/>
          <w:color w:val="auto"/>
          <w:sz w:val="24"/>
          <w:highlight w:val="none"/>
        </w:rPr>
      </w:pPr>
      <w:r>
        <w:rPr>
          <w:rFonts w:ascii="宋体" w:hAnsi="宋体"/>
          <w:b/>
          <w:color w:val="auto"/>
          <w:sz w:val="24"/>
          <w:highlight w:val="none"/>
        </w:rPr>
        <w:t xml:space="preserve">本次为首</w:t>
      </w:r>
      <w:r>
        <w:rPr>
          <w:rFonts w:hint="eastAsia" w:ascii="宋体" w:hAnsi="宋体"/>
          <w:b/>
          <w:color w:val="auto"/>
          <w:sz w:val="24"/>
          <w:highlight w:val="none"/>
        </w:rPr>
        <w:t xml:space="preserve">轮</w:t>
      </w:r>
      <w:r>
        <w:rPr>
          <w:rFonts w:ascii="宋体" w:hAnsi="宋体"/>
          <w:b/>
          <w:color w:val="auto"/>
          <w:sz w:val="24"/>
          <w:highlight w:val="none"/>
        </w:rPr>
        <w:t xml:space="preserve">报价</w:t>
      </w:r>
      <w:r/>
    </w:p>
    <w:p>
      <w:pPr>
        <w:keepLines w:val="0"/>
        <w:keepNext w:val="0"/>
        <w:pageBreakBefore w:val="0"/>
        <w:spacing w:line="480" w:lineRule="exact"/>
        <w:widowControl w:val="off"/>
        <w:rPr>
          <w:rFonts w:hint="eastAsia" w:ascii="宋体" w:hAnsi="宋体"/>
          <w:color w:val="auto"/>
          <w:sz w:val="24"/>
          <w:highlight w:val="none"/>
        </w:rPr>
      </w:pPr>
      <w:r>
        <w:rPr>
          <w:rFonts w:hint="eastAsia" w:ascii="宋体" w:hAnsi="宋体"/>
          <w:color w:val="auto"/>
          <w:sz w:val="24"/>
          <w:highlight w:val="none"/>
        </w:rPr>
        <w:t xml:space="preserve">中共建湖县委政法委员会：</w:t>
      </w:r>
      <w:r/>
    </w:p>
    <w:p>
      <w:pPr>
        <w:ind w:firstLine="480"/>
        <w:jc w:val="center"/>
        <w:keepLines w:val="0"/>
        <w:keepNext w:val="0"/>
        <w:pageBreakBefore w:val="0"/>
        <w:spacing w:line="480" w:lineRule="exact"/>
        <w:widowControl w:val="off"/>
        <w:rPr>
          <w:rFonts w:ascii="宋体" w:hAnsi="宋体"/>
          <w:color w:val="auto"/>
          <w:sz w:val="24"/>
          <w:highlight w:val="none"/>
        </w:rPr>
      </w:pPr>
      <w:r>
        <w:rPr>
          <w:rFonts w:hint="eastAsia" w:ascii="宋体" w:hAnsi="宋体"/>
          <w:color w:val="auto"/>
          <w:sz w:val="24"/>
          <w:highlight w:val="none"/>
        </w:rPr>
        <w:t xml:space="preserve">我单位愿意按照磋商文件的要求和下面的报价提供所需货物和服务，并保证货物和服务质量。                                                 单位：人民币元</w:t>
      </w:r>
      <w:r/>
    </w:p>
    <w:tbl>
      <w:tblPr>
        <w:tblStyle w:val="786"/>
        <w:tblW w:w="9120" w:type="dxa"/>
        <w:tblInd w:w="0" w:type="dxa"/>
        <w:tblLayout w:type="fixed"/>
        <w:tblCellMar>
          <w:left w:w="108" w:type="dxa"/>
          <w:top w:w="0" w:type="dxa"/>
          <w:right w:w="108" w:type="dxa"/>
          <w:bottom w:w="0" w:type="dxa"/>
        </w:tblCellMar>
        <w:tblLook w:val="04A0" w:firstRow="1" w:lastRow="0" w:firstColumn="1" w:lastColumn="0" w:noHBand="0" w:noVBand="1"/>
      </w:tblPr>
      <w:tblGrid>
        <w:gridCol w:w="516"/>
        <w:gridCol w:w="1329"/>
        <w:gridCol w:w="3116"/>
        <w:gridCol w:w="981"/>
        <w:gridCol w:w="862"/>
        <w:gridCol w:w="680"/>
        <w:gridCol w:w="786"/>
        <w:gridCol w:w="850"/>
      </w:tblGrid>
      <w:tr>
        <w:trPr>
          <w:trHeight w:val="260"/>
        </w:trPr>
        <w:tc>
          <w:tcPr>
            <w:shd w:val="clear" w:color="000000" w:fill="ffffff"/>
            <w:tcBorders>
              <w:top w:val="single" w:color="auto" w:sz="4" w:space="0"/>
              <w:left w:val="single" w:color="auto" w:sz="4" w:space="0"/>
              <w:bottom w:val="single" w:color="auto" w:sz="4" w:space="0"/>
              <w:right w:val="single" w:color="auto" w:sz="4" w:space="0"/>
            </w:tcBorders>
            <w:tcW w:w="516" w:type="dxa"/>
            <w:vAlign w:val="center"/>
            <w:vMerge w:val="restart"/>
            <w:textDirection w:val="lrTb"/>
            <w:noWrap w:val="false"/>
          </w:tcPr>
          <w:p>
            <w:pPr>
              <w:jc w:val="center"/>
              <w:widowControl/>
              <w:rPr>
                <w:rFonts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329" w:type="dxa"/>
            <w:vAlign w:val="center"/>
            <w:vMerge w:val="restart"/>
            <w:textDirection w:val="lrTb"/>
            <w:noWrap w:val="false"/>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项目名称</w:t>
            </w:r>
            <w:r/>
          </w:p>
        </w:tc>
        <w:tc>
          <w:tcPr>
            <w:shd w:val="clear" w:color="000000" w:fill="ffffff"/>
            <w:tcBorders>
              <w:top w:val="single" w:color="auto" w:sz="4" w:space="0"/>
              <w:left w:val="single" w:color="auto" w:sz="4" w:space="0"/>
              <w:bottom w:val="single" w:color="auto" w:sz="4" w:space="0"/>
              <w:right w:val="single" w:color="auto" w:sz="4" w:space="0"/>
            </w:tcBorders>
            <w:tcW w:w="3116" w:type="dxa"/>
            <w:vAlign w:val="center"/>
            <w:vMerge w:val="restart"/>
            <w:textDirection w:val="lrTb"/>
            <w:noWrap w:val="false"/>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技术要求及相关说明</w:t>
            </w:r>
            <w:r/>
          </w:p>
        </w:tc>
        <w:tc>
          <w:tcPr>
            <w:shd w:val="clear" w:color="000000" w:fill="ffffff"/>
            <w:tcBorders>
              <w:top w:val="single" w:color="auto" w:sz="4" w:space="0"/>
              <w:left w:val="single" w:color="auto" w:sz="4" w:space="0"/>
              <w:bottom w:val="single" w:color="auto" w:sz="4" w:space="0"/>
              <w:right w:val="single" w:color="auto" w:sz="4" w:space="0"/>
            </w:tcBorders>
            <w:tcW w:w="981" w:type="dxa"/>
            <w:vAlign w:val="center"/>
            <w:vMerge w:val="restart"/>
            <w:textDirection w:val="lrTb"/>
            <w:noWrap w:val="false"/>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计量</w:t>
            </w:r>
            <w:r>
              <w:rPr>
                <w:rFonts w:hint="eastAsia" w:ascii="黑体" w:hAnsi="黑体" w:eastAsia="黑体" w:cs="Arial"/>
                <w:b/>
                <w:bCs/>
                <w:color w:val="auto"/>
                <w:sz w:val="18"/>
                <w:szCs w:val="18"/>
                <w:highlight w:val="none"/>
              </w:rPr>
              <w:br/>
            </w:r>
            <w:r>
              <w:rPr>
                <w:rFonts w:hint="eastAsia" w:ascii="黑体" w:hAnsi="黑体" w:eastAsia="黑体" w:cs="Arial"/>
                <w:b/>
                <w:bCs/>
                <w:color w:val="auto"/>
                <w:sz w:val="18"/>
                <w:szCs w:val="18"/>
                <w:highlight w:val="none"/>
              </w:rPr>
              <w:t xml:space="preserve">单位</w:t>
            </w:r>
            <w:r/>
          </w:p>
        </w:tc>
        <w:tc>
          <w:tcPr>
            <w:shd w:val="clear" w:color="000000" w:fill="ffffff"/>
            <w:tcBorders>
              <w:top w:val="single" w:color="auto" w:sz="4" w:space="0"/>
              <w:left w:val="single" w:color="auto" w:sz="4" w:space="0"/>
              <w:bottom w:val="single" w:color="auto" w:sz="4" w:space="0"/>
              <w:right w:val="single" w:color="auto" w:sz="4" w:space="0"/>
            </w:tcBorders>
            <w:tcW w:w="862" w:type="dxa"/>
            <w:vAlign w:val="center"/>
            <w:vMerge w:val="restart"/>
            <w:textDirection w:val="lrTb"/>
            <w:noWrap w:val="false"/>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工程量</w:t>
            </w:r>
            <w:r/>
          </w:p>
        </w:tc>
        <w:tc>
          <w:tcPr>
            <w:gridSpan w:val="2"/>
            <w:shd w:val="clear" w:color="000000" w:fill="ffffff"/>
            <w:tcBorders>
              <w:top w:val="single" w:color="auto" w:sz="4" w:space="0"/>
              <w:left w:val="single" w:color="auto" w:sz="4" w:space="0"/>
              <w:bottom w:val="single" w:color="auto" w:sz="4" w:space="0"/>
              <w:right w:val="single" w:color="auto" w:sz="4" w:space="0"/>
            </w:tcBorders>
            <w:tcW w:w="1466" w:type="dxa"/>
            <w:vAlign w:val="center"/>
            <w:textDirection w:val="lrTb"/>
            <w:noWrap/>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金额（元）</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投标</w:t>
            </w:r>
            <w:r/>
          </w:p>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品牌</w:t>
            </w:r>
            <w:r/>
          </w:p>
        </w:tc>
      </w:tr>
      <w:tr>
        <w:trPr>
          <w:trHeight w:val="260"/>
        </w:trPr>
        <w:tc>
          <w:tcPr>
            <w:tcBorders>
              <w:top w:val="single" w:color="auto" w:sz="4" w:space="0"/>
              <w:left w:val="single" w:color="auto" w:sz="4" w:space="0"/>
              <w:bottom w:val="single" w:color="auto" w:sz="4" w:space="0"/>
              <w:right w:val="single" w:color="auto" w:sz="4" w:space="0"/>
            </w:tcBorders>
            <w:tcW w:w="516" w:type="dxa"/>
            <w:vAlign w:val="center"/>
            <w:vMerge w:val="continue"/>
            <w:textDirection w:val="lrTb"/>
            <w:noWrap w:val="false"/>
          </w:tcPr>
          <w:p>
            <w:pPr>
              <w:jc w:val="left"/>
              <w:widowControl/>
              <w:rPr>
                <w:rFonts w:ascii="黑体" w:hAnsi="黑体" w:eastAsia="黑体" w:cs="Arial"/>
                <w:b/>
                <w:bCs/>
                <w:color w:val="auto"/>
                <w:sz w:val="18"/>
                <w:szCs w:val="18"/>
                <w:highlight w:val="none"/>
              </w:rPr>
            </w:pPr>
            <w:r>
              <w:rPr>
                <w:rFonts w:ascii="黑体" w:hAnsi="黑体" w:eastAsia="黑体" w:cs="Arial"/>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1329" w:type="dxa"/>
            <w:vAlign w:val="center"/>
            <w:vMerge w:val="continue"/>
            <w:textDirection w:val="lrTb"/>
            <w:noWrap w:val="false"/>
          </w:tcPr>
          <w:p>
            <w:pPr>
              <w:jc w:val="left"/>
              <w:widowControl/>
              <w:rPr>
                <w:rFonts w:ascii="黑体" w:hAnsi="黑体" w:eastAsia="黑体" w:cs="Arial"/>
                <w:b/>
                <w:bCs/>
                <w:color w:val="auto"/>
                <w:sz w:val="18"/>
                <w:szCs w:val="18"/>
                <w:highlight w:val="none"/>
              </w:rPr>
            </w:pPr>
            <w:r>
              <w:rPr>
                <w:rFonts w:ascii="黑体" w:hAnsi="黑体" w:eastAsia="黑体" w:cs="Arial"/>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3116" w:type="dxa"/>
            <w:vAlign w:val="center"/>
            <w:vMerge w:val="continue"/>
            <w:textDirection w:val="lrTb"/>
            <w:noWrap w:val="false"/>
          </w:tcPr>
          <w:p>
            <w:pPr>
              <w:jc w:val="left"/>
              <w:widowControl/>
              <w:rPr>
                <w:rFonts w:ascii="黑体" w:hAnsi="黑体" w:eastAsia="黑体" w:cs="Arial"/>
                <w:b/>
                <w:bCs/>
                <w:color w:val="auto"/>
                <w:sz w:val="18"/>
                <w:szCs w:val="18"/>
                <w:highlight w:val="none"/>
              </w:rPr>
            </w:pPr>
            <w:r>
              <w:rPr>
                <w:rFonts w:ascii="黑体" w:hAnsi="黑体" w:eastAsia="黑体" w:cs="Arial"/>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981" w:type="dxa"/>
            <w:vAlign w:val="center"/>
            <w:vMerge w:val="continue"/>
            <w:textDirection w:val="lrTb"/>
            <w:noWrap w:val="false"/>
          </w:tcPr>
          <w:p>
            <w:pPr>
              <w:jc w:val="left"/>
              <w:widowControl/>
              <w:rPr>
                <w:rFonts w:ascii="黑体" w:hAnsi="黑体" w:eastAsia="黑体" w:cs="Arial"/>
                <w:b/>
                <w:bCs/>
                <w:color w:val="auto"/>
                <w:sz w:val="18"/>
                <w:szCs w:val="18"/>
                <w:highlight w:val="none"/>
              </w:rPr>
            </w:pPr>
            <w:r>
              <w:rPr>
                <w:rFonts w:ascii="黑体" w:hAnsi="黑体" w:eastAsia="黑体" w:cs="Arial"/>
                <w:b/>
                <w:bCs/>
                <w:color w:val="auto"/>
                <w:sz w:val="18"/>
                <w:szCs w:val="18"/>
                <w:highlight w:val="none"/>
              </w:rPr>
            </w:r>
            <w:r/>
          </w:p>
        </w:tc>
        <w:tc>
          <w:tcPr>
            <w:tcBorders>
              <w:top w:val="single" w:color="auto" w:sz="4" w:space="0"/>
              <w:left w:val="single" w:color="auto" w:sz="4" w:space="0"/>
              <w:bottom w:val="single" w:color="auto" w:sz="4" w:space="0"/>
              <w:right w:val="single" w:color="auto" w:sz="4" w:space="0"/>
            </w:tcBorders>
            <w:tcW w:w="862" w:type="dxa"/>
            <w:vAlign w:val="center"/>
            <w:vMerge w:val="continue"/>
            <w:textDirection w:val="lrTb"/>
            <w:noWrap w:val="false"/>
          </w:tcPr>
          <w:p>
            <w:pPr>
              <w:jc w:val="left"/>
              <w:widowControl/>
              <w:rPr>
                <w:rFonts w:ascii="黑体" w:hAnsi="黑体" w:eastAsia="黑体" w:cs="Arial"/>
                <w:b/>
                <w:bCs/>
                <w:color w:val="auto"/>
                <w:sz w:val="18"/>
                <w:szCs w:val="18"/>
                <w:highlight w:val="none"/>
              </w:rPr>
            </w:pPr>
            <w:r>
              <w:rPr>
                <w:rFonts w:ascii="黑体" w:hAnsi="黑体" w:eastAsia="黑体" w:cs="Arial"/>
                <w:b/>
                <w:bCs/>
                <w:color w:val="auto"/>
                <w:sz w:val="18"/>
                <w:szCs w:val="18"/>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680" w:type="dxa"/>
            <w:vAlign w:val="center"/>
            <w:vMerge w:val="restart"/>
            <w:textDirection w:val="lrTb"/>
            <w:noWrap w:val="false"/>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综合</w:t>
            </w:r>
            <w:r/>
          </w:p>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单价</w:t>
            </w:r>
            <w:r/>
          </w:p>
        </w:tc>
        <w:tc>
          <w:tcPr>
            <w:shd w:val="clear" w:color="000000" w:fill="ffffff"/>
            <w:tcBorders>
              <w:top w:val="single" w:color="auto" w:sz="4" w:space="0"/>
              <w:left w:val="single" w:color="auto" w:sz="4" w:space="0"/>
              <w:bottom w:val="single" w:color="auto" w:sz="4" w:space="0"/>
              <w:right w:val="single" w:color="auto" w:sz="4" w:space="0"/>
            </w:tcBorders>
            <w:tcW w:w="786" w:type="dxa"/>
            <w:vAlign w:val="center"/>
            <w:vMerge w:val="restart"/>
            <w:textDirection w:val="lrTb"/>
            <w:noWrap w:val="false"/>
          </w:tcPr>
          <w:p>
            <w:pPr>
              <w:jc w:val="center"/>
              <w:widowControl/>
              <w:rPr>
                <w:rFonts w:hint="eastAsia" w:ascii="黑体" w:hAnsi="黑体" w:eastAsia="黑体" w:cs="Arial"/>
                <w:b/>
                <w:bCs/>
                <w:color w:val="auto"/>
                <w:sz w:val="18"/>
                <w:szCs w:val="18"/>
                <w:highlight w:val="none"/>
              </w:rPr>
            </w:pPr>
            <w:r>
              <w:rPr>
                <w:rFonts w:hint="eastAsia" w:ascii="黑体" w:hAnsi="黑体" w:eastAsia="黑体" w:cs="Arial"/>
                <w:b/>
                <w:bCs/>
                <w:color w:val="auto"/>
                <w:sz w:val="18"/>
                <w:szCs w:val="18"/>
                <w:highlight w:val="none"/>
              </w:rPr>
              <w:t xml:space="preserve">合价</w:t>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left"/>
              <w:widowControl/>
              <w:rPr>
                <w:rFonts w:ascii="黑体" w:hAnsi="黑体" w:eastAsia="黑体" w:cs="Arial"/>
                <w:b/>
                <w:bCs/>
                <w:color w:val="auto"/>
                <w:sz w:val="18"/>
                <w:szCs w:val="18"/>
                <w:highlight w:val="none"/>
              </w:rPr>
            </w:pPr>
            <w:r>
              <w:rPr>
                <w:rFonts w:ascii="黑体" w:hAnsi="黑体" w:eastAsia="黑体" w:cs="Arial"/>
                <w:b/>
                <w:bCs/>
                <w:color w:val="auto"/>
                <w:sz w:val="18"/>
                <w:szCs w:val="18"/>
                <w:highlight w:val="none"/>
              </w:rPr>
            </w:r>
            <w:r/>
          </w:p>
        </w:tc>
      </w:tr>
      <w:tr>
        <w:trPr>
          <w:trHeight w:val="250"/>
        </w:trPr>
        <w:tc>
          <w:tcPr>
            <w:shd w:val="clear" w:color="000000" w:fill="ffffff"/>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60" w:lineRule="exact"/>
              <w:widowControl/>
              <w:rPr>
                <w:rFonts w:ascii="黑体" w:hAnsi="黑体" w:eastAsia="黑体" w:cs="Arial"/>
                <w:b/>
                <w:bCs/>
                <w:color w:val="auto"/>
                <w:sz w:val="21"/>
                <w:szCs w:val="21"/>
                <w:highlight w:val="none"/>
              </w:rPr>
            </w:pPr>
            <w:r>
              <w:rPr>
                <w:rFonts w:hint="eastAsia" w:ascii="黑体" w:hAnsi="黑体" w:eastAsia="黑体" w:cs="Arial"/>
                <w:b/>
                <w:bCs/>
                <w:color w:val="auto"/>
                <w:sz w:val="21"/>
                <w:szCs w:val="21"/>
                <w:highlight w:val="none"/>
              </w:rPr>
              <w:t xml:space="preserve">　</w:t>
            </w:r>
            <w:r/>
          </w:p>
        </w:tc>
        <w:tc>
          <w:tcPr>
            <w:gridSpan w:val="2"/>
            <w:shd w:val="clear" w:color="000000" w:fill="ffffff"/>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360" w:lineRule="exact"/>
              <w:widowControl/>
              <w:rPr>
                <w:rFonts w:hint="eastAsia" w:ascii="黑体" w:hAnsi="黑体" w:eastAsia="黑体" w:cs="Arial"/>
                <w:b/>
                <w:bCs/>
                <w:color w:val="auto"/>
                <w:sz w:val="21"/>
                <w:szCs w:val="21"/>
                <w:highlight w:val="none"/>
              </w:rPr>
            </w:pPr>
            <w:r>
              <w:rPr>
                <w:rFonts w:hint="eastAsia" w:ascii="黑体" w:hAnsi="黑体" w:eastAsia="黑体" w:cs="Arial"/>
                <w:b/>
                <w:bCs/>
                <w:color w:val="auto"/>
                <w:sz w:val="21"/>
                <w:szCs w:val="21"/>
                <w:highlight w:val="none"/>
              </w:rPr>
              <w:t xml:space="preserve">传达室（土建）</w:t>
            </w:r>
            <w:r>
              <w:rPr>
                <w:rFonts w:hint="eastAsia" w:ascii="黑体" w:hAnsi="黑体" w:eastAsia="黑体" w:cs="Arial"/>
                <w:color w:val="auto"/>
                <w:sz w:val="21"/>
                <w:szCs w:val="21"/>
                <w:highlight w:val="none"/>
              </w:rPr>
              <w:t xml:space="preserve">拆除工程</w:t>
            </w:r>
            <w:r/>
          </w:p>
        </w:tc>
        <w:tc>
          <w:tcPr>
            <w:shd w:val="clear" w:color="000000" w:fill="ffffff"/>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60" w:lineRule="exact"/>
              <w:widowControl/>
              <w:rPr>
                <w:rFonts w:hint="eastAsia" w:ascii="黑体" w:hAnsi="黑体" w:eastAsia="黑体" w:cs="Arial"/>
                <w:b/>
                <w:bCs/>
                <w:color w:val="auto"/>
                <w:sz w:val="21"/>
                <w:szCs w:val="21"/>
                <w:highlight w:val="none"/>
              </w:rPr>
            </w:pPr>
            <w:r>
              <w:rPr>
                <w:rFonts w:hint="eastAsia" w:ascii="黑体" w:hAnsi="黑体" w:eastAsia="黑体" w:cs="Arial"/>
                <w:b/>
                <w:bCs/>
                <w:color w:val="auto"/>
                <w:sz w:val="21"/>
                <w:szCs w:val="21"/>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keepLines w:val="0"/>
              <w:keepNext w:val="0"/>
              <w:pageBreakBefore w:val="0"/>
              <w:spacing w:line="360" w:lineRule="exact"/>
              <w:widowControl/>
              <w:rPr>
                <w:rFonts w:hint="eastAsia" w:ascii="黑体" w:hAnsi="黑体" w:eastAsia="黑体" w:cs="Arial"/>
                <w:b/>
                <w:bCs/>
                <w:color w:val="auto"/>
                <w:sz w:val="21"/>
                <w:szCs w:val="21"/>
                <w:highlight w:val="none"/>
              </w:rPr>
            </w:pPr>
            <w:r>
              <w:rPr>
                <w:rFonts w:hint="eastAsia" w:ascii="黑体" w:hAnsi="黑体" w:eastAsia="黑体" w:cs="Arial"/>
                <w:b/>
                <w:bCs/>
                <w:color w:val="auto"/>
                <w:sz w:val="21"/>
                <w:szCs w:val="21"/>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exact"/>
              <w:widowControl/>
              <w:rPr>
                <w:rFonts w:hint="eastAsia" w:ascii="黑体" w:hAnsi="黑体" w:eastAsia="黑体" w:cs="Arial"/>
                <w:b/>
                <w:bCs/>
                <w:color w:val="auto"/>
                <w:sz w:val="21"/>
                <w:szCs w:val="21"/>
                <w:highlight w:val="none"/>
              </w:rPr>
            </w:pPr>
            <w:r>
              <w:rPr>
                <w:rFonts w:hint="eastAsia" w:ascii="黑体" w:hAnsi="黑体" w:eastAsia="黑体" w:cs="Arial"/>
                <w:b/>
                <w:bCs/>
                <w:color w:val="auto"/>
                <w:sz w:val="21"/>
                <w:szCs w:val="21"/>
                <w:highlight w:val="none"/>
              </w:rPr>
              <w:t xml:space="preserve">　</w:t>
            </w:r>
            <w:r/>
          </w:p>
        </w:tc>
        <w:tc>
          <w:tcPr>
            <w:shd w:val="clear" w:color="000000" w:fill="ffffff"/>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keepLines w:val="0"/>
              <w:keepNext w:val="0"/>
              <w:pageBreakBefore w:val="0"/>
              <w:spacing w:line="360" w:lineRule="exact"/>
              <w:widowControl/>
              <w:rPr>
                <w:rFonts w:hint="eastAsia" w:ascii="黑体" w:hAnsi="黑体" w:eastAsia="黑体" w:cs="Arial"/>
                <w:b/>
                <w:bCs/>
                <w:color w:val="auto"/>
                <w:sz w:val="21"/>
                <w:szCs w:val="21"/>
                <w:highlight w:val="none"/>
              </w:rPr>
            </w:pPr>
            <w:r>
              <w:rPr>
                <w:rFonts w:hint="eastAsia" w:ascii="黑体" w:hAnsi="黑体" w:eastAsia="黑体" w:cs="Arial"/>
                <w:b/>
                <w:bCs/>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6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44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结构凿洞</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1、凿洞部位:外墙开门洞</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2、凿洞尺寸:1100*2550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工作内容：1、支撑、拆墙，立门窗樘，拌、铺砂浆、递砌砖，安装过梁，修粉内墙，清理旧料及垃圾堆。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砖砌体拆除（窗改门）</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拆卸砖墙及窗、拌、运、铺砂浆，递、砌砖，修补内粉刷。清理旧料及垃圾。</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44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结构凿洞</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1、凿洞部位:内墙开窗洞</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2、凿洞尺寸:1200*1500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工作内容：1、支撑、拆墙，立门窗樘，拌、铺砂浆、递砌砖，安装过梁，修粉内墙，清理旧料及垃圾堆。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1、砖品种、规格、强度等级:MU10淤泥烧结多孔砖</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2、墙体类型:外墙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3、砂浆强度等级、配合比:M5预拌砂浆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0.91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其他小型构件（门窗头过梁）</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预制构件钢筋</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0.01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门窗工程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金属窗（固定橱窗）</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1、玻璃品种、厚度:8厚钢化玻璃</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1.92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金属门窗套</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1、基层材料种类:细木工板 δ18mm</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2、面层材料品种、规格:1.0厚8K不锈钢镜面板 </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工作内容：1、清理基层2、立筋制作、安装3、基层板安装4、面层铺贴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2.22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铝合金玻璃门</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1、门框或扇外围尺寸:1100*2550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2、门框、扇材质:铝合金型材，壁厚不小于2.0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3、玻璃品种、厚度:6厚钢化玻璃</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工作内容：1、门安装2、五金安装3、玻璃安装</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天棚工程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吊顶天棚</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1、吊顶形式、吊杆规格、高度:Φ8镀锌全丝牙吊杆双向中距1200，吊杆上部与板底预留吊环固定。</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2、龙骨材料种类、规格、中距:(1)、铝合金中龙骨双向中距1000(2)、铝合金横撑 25*22*1.3中距500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3、面层材料品种、规格:500*500*18矿棉板（样式满足招标人要求）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8.85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抹灰面油漆</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1、基层类型:原乳胶漆墙面</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2、腻子种类:901胶白水泥</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3、刮腻子遍数:一遍</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4、油漆品种、刷漆遍数:乳胶漆二遍</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工作内容：1、基层清理2、刮腻子3、刷防护材料、油漆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35.88</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1、喷刷涂料部位:外墙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2、涂料品种、喷刷遍数:真石漆两遍，涂刷透明罩光面漆两遍</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工作内容：1、基层清理、刮腻子、涂刷封底、分格、搅匀后喷涂真石漆两遍，涂刷透明罩光面漆两遍。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1、墙体类型:外墙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2、底层厚度、砂浆配合比:12厚1：3水泥砂浆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3、分格缝宽度、材料种类:8厚1：2.5水泥砂浆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工作内容：1、基层清理2、砂浆制作、运输3、底层抹灰</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2.81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1、墙体类型:内墙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2、底层厚度、砂浆配合比:12厚1:3水泥砂浆打底</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3、面层厚度、砂浆配合比:8厚1:2.5水泥砂浆抹平</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2.81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零星项目一般抹灰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1、基层类型、部位:零星修补</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2、底层厚度、砂浆配合比:12mm 1:3水泥砂浆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3、面层厚度、砂浆配合比:8mm厚1:2.5水泥砂浆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砼坡道</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1．门坡：挖土、夯底、铺碎石垫层。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2．浇捣混凝土。</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3．调制砂浆、抹面。</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3.74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钢支架（屋顶广告牌）</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1、钢材品种、规格:热镀锌角钢、方管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2、安装高度:屋顶</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工作内容：1、拼装2、安装3、探伤4、补刷油漆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0.98</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墙面装饰板（屋顶广告牌）</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1、龙骨材料种类、规格、中距:钢龙骨</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w:t>
            </w:r>
            <w:r>
              <w:rPr>
                <w:rFonts w:hint="eastAsia" w:ascii="宋体" w:hAnsi="宋体" w:cs="Arial"/>
                <w:color w:val="auto"/>
                <w:sz w:val="18"/>
                <w:szCs w:val="18"/>
                <w:highlight w:val="none"/>
              </w:rPr>
              <w:t xml:space="preserve">面层材料品种、规格、颜色:4厚双面铝塑板（铝面层21丝）</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65.1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金属字（屋顶广告牌）</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1、基层类型:铝塑板面</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2、字体规格:高1.2米不锈钢烤漆字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3、固定方式:1cmPVC底板螺丝固定</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其他构件(砼支墩)</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1、构件的类型:砼支墩</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2、部位:屋顶</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3、混凝土强度等级:C20砼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工作内容：1、模板及支架（撑）制作、安装、拆除、堆放、运输及清理模内杂物、刷隔离剂等2、混凝土制作、运输、浇筑、振捣、养护</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2.25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b/>
                <w:bCs/>
                <w:color w:val="auto"/>
                <w:sz w:val="21"/>
                <w:szCs w:val="21"/>
                <w:highlight w:val="none"/>
              </w:rPr>
              <w:t xml:space="preserve">接建楼（土建）</w:t>
            </w:r>
            <w:r>
              <w:rPr>
                <w:rFonts w:hint="eastAsia" w:ascii="宋体" w:hAnsi="宋体" w:cs="Arial"/>
                <w:color w:val="auto"/>
                <w:sz w:val="21"/>
                <w:szCs w:val="21"/>
                <w:highlight w:val="none"/>
              </w:rPr>
              <w:t xml:space="preserve">拆除工程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854"/>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原有连廊拆除</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1、拆除原连廊(包含基础、柱、梁、板、墙体、装修等)及老楼天沟、建筑物范围内车棚拆除（含收边固定）、污水管网设施及地下构筑物、废弃绿化、树根等设施。</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部分室内物品拆除后归招标人所有3、拆除时需做好现场及相邻构筑物成品保护及卫生环境保护4、含清除拆除后的建筑垃圾外运、施工单位自行勘探现场结合图纸及拆除方案费用包干（拆除残值归承包人所有），结算不调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土石方工程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平整场地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1、土壤类别:一、二类土</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2、弃土运距:按现场实际考虑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309.39</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挖沟槽土方</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1、土壤类别:一、二类土</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2、挖土深度:1.5m以内</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3、弃土运距:按现场实际考虑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110.83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挖基坑土方</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1、土壤类别:一、二类土</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2、挖土深度:1.5m以内</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3、弃土运距:按现场实际考虑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182.74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回填方</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1、密实度要求:按设计要求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2、填方材料品种:按设计要求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209.24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余方弃置</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1、废弃料品种:多余土方</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2、运距:按现场实际考虑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234.33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砌筑工程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砖基础</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1、砖品种、规格、强度等级:MU15水泥实心砖</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2、砂浆强度等级:M10预拌水泥砂浆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19.67</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1、砖品种、规格、强度等级:MU10淤泥烧结多孔砖</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2、墙体类型:外墙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3、砂浆强度等级、配合比:M5混合砂浆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51.69</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1、砖品种、规格、强度等级:MU10淤泥烧结多孔砖</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2、墙体类型:内墙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3、砂浆强度等级、配合比:M5混合砂浆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49.76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实心砖墙（大厅封窗）</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1、墙体类型: 1/2砖内墙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2、砂浆强度等级、配合比:水泥砂浆M5.0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0.62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混凝土及钢筋混凝土工程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垫层</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2、混凝土强度等级:C20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17.15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带形基础</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11.73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独立基础</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35.46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基础梁</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矩形柱</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2、混凝土强度等级:C30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3、层高:8m内</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9.17</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构造柱</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7.76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有梁板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2、混凝土强度等级:C30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3、板厚:200mm内</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4、层高8m内</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64.51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圈梁</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1、部位:地圈梁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3、混凝土强度等级:C30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6.66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39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圈梁</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1、部位:腰梁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3、混凝土强度等级:C25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5.65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过梁</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0.38</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压顶</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1.24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栏板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2、混凝土强度等级:C30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3、老楼与新楼伸缩缝处</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2.04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天沟（檐沟）、挑檐板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12.57</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1、钢筋种类、规格:现浇混凝土构件HRB400钢筋 Φ10以内</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7.844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1、钢筋种类、规格:现浇混凝土构件HRB400钢筋 Φ10以外</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7.722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1、钢筋种类、规格:砌体加固钢筋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0.186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钢筋电渣压力焊接头</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1、钢筋类型、规格:电渣压力焊</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80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植筋(屋顶伸缩缝处理）</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1、植筋孔径: Φ8</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工作内容：1、孔点测定、钻孔、矫正、清孔、孔内清洗、干燥2、钢筋除锈3、调配结构胶、注胶、植入钢筋、养护</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49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散水</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1、60厚C20细石混凝土面层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2、150厚3:7灰土分夯实</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3、素土夯实</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4、不详之处详见图集12J003-1B/A1</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51.98</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台阶</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1、混凝土强度等级:C20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门窗工程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金属（塑钢、断桥）窗</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1、窗代号及洞口尺寸:详见图纸</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1、框、扇材质:90系列铝合金断桥隔热型材，壁厚不小于1.4</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2、玻璃品种、厚度:6+12A+6钢化玻璃</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49.86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木质门带套</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1、实木复合门，含门套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2、门代号：M1222(样式满足招标人要求)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3、门锁、不锈钢合页、门吸等五金综合报价</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4、具体做法详见设计图纸</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5、样式及规格需建设单位确认后方可施工</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木质门带套</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1、实木复合门，含门套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2、门代号：M1022(样式满足招标人要求)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3、门锁、不锈钢合页、门吸等五金综合报价</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4、具体做法详见设计图纸</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5、样式及规格需建设单位确认后方可施工</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铝合金玻璃门</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1、门框或扇外围尺寸:1100*2400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2、门框、扇材质:铝合金型材，壁厚不小于2.0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3、玻璃品种、厚度:6厚钢化玻璃</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工作内容：1、门安装2、五金安装3、玻璃安装</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樘</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屋面及防水工程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平屋面</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1、3厚弹性体(SBS)改性沥青卷材防水层(另计)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2、20厚1:3水泥砂浆找平层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3、LC5.0轻集料混凝土找坡层2%(最薄处为30厚)</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299.13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屋面卷材防水</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1、卷材品种、规格、厚度:3厚弹性体(SBS)改性沥青卷材防水层（Ⅱ型,聚脂胎片岩石,燃烧性能B2级）</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2、防水层数:一层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3、防水层做法:热熔满铺</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工作内容：1、基层处理2、刷底油3、铺油毡卷材、接缝</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386.34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84"/>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屋面排水管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1、排水管品种、规格:PVC水落管 Φ160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2、雨水斗、山墙出水口品种、规格:PVC水落斗 Φ160、屋面铸铁落水口(带罩) Φ150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工作内容：1、排水管及配件安装、固定2、雨水斗、山墙出水口、雨水箅子安装3、接缝、嵌缝4、刷漆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37.45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瓦屋面</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陶土波形瓦 防水砂浆底混合砂浆坐垫（与现状一致）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45.02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59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垂脊</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1、脊件类型、规格尺寸:琉璃筒瓦脊（与现状一致）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52.25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琉璃包头脊</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(脊头，与现状一致)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琉璃滚筒戗脊</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（与现状一致）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琉璃翘角头（与现状一致）</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1、类型:翘角普通型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块料零星项目</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1、基层类型、部位:挑檐上口外侧面</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2、安装方式:砂浆粘贴</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3、面层材料品种、规格、颜色:灰色（规格与现状一致）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13.06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金属结构工程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砌块墙钢丝网加固</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1、材料品种、规格:墙体与柱梁接触处加一层钢丝网片，网片宽度400mm</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2、加固方式:钢钉固定</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135.54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1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块料楼地面</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1、部位:室内</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2、垫层:素土夯实、100厚碎石</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3、找平层厚度、砂浆配合比:100厚C25混凝土</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4、结合层厚度、砂浆配合比:撒素水泥面(洒适量清水) 、30厚1：3干硬性水泥砂浆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5、面层材料品种、规格、颜色:800*800地砖(样式满足招标人要求)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278.48</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4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石材门槛石</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1、部位：门槛石</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2、做法：（1）基层处理，素水泥浆一道</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（2）30mm厚1：3干硬性水泥砂浆粘接层（具体厚度结合现场综合考虑）</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（3）撒素水泥面（洒适量清水）</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（4）20mm厚光面大理石（石材样式满足招标人要求）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3、报价包含石材磨边、倒角等费用</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4、未详之处详见设计图纸</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1.73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块料踢脚线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1、踢脚线高度:100mm</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2、粘贴层厚度、材料种类:20mm1：2水泥砂浆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3、面层材料品种、规格、颜色:地面同色砖脚线粘贴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179.36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石材台阶面</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1、面层材料品种、规格、颜色:20厚毛面大理石</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69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石材楼地面</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1、垫层:10cm碎石+10cmC15砼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2、面层材料品种、规格、颜色:20厚毛面大理石</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1.68</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墙、柱面装饰与隔断、幕墙工程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1、墙体类型:外墙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2、底层厚度、砂浆配合比:12mm 1:3水泥砂浆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3、分格缝宽度、材料种类:8厚1：2.5水泥砂浆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工作内容：1、基层清理2、砂浆制作、运输3、底层抹灰4、抹面层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352.05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1、墙体类型:内墙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2、底层厚度、砂浆配合比:12mm 1:3水泥砂浆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3、面层厚度、砂浆配合比:8mm水泥砂浆1:2.5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562.02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零星项目一般抹灰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1、基层类型、部位:天沟</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2、底层厚度、砂浆配合比:12mm 1:3水泥砂浆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3、面层厚度、砂浆配合比:8mm厚1:2水泥砂浆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114.17</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44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墙面装饰板（服务大厅）</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1、龙骨材料种类、规格、中距:30*30mm木龙骨@300mm</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2、基层材料种类、规格:9mm厚阻燃板基层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3、面层材料品种、规格、颜色:碳晶板木饰面（样式满足设计及招标人要求）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36.09</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轻钢龙骨隔墙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1、骨架、边框材料种类、规格:75系列轻钢龙骨,主龙骨间距≤1200mm,副龙骨间距≤400mm,墙体纵向≤2000mm，横向≤3000mm增加一道40*80*4mm方钢加固。</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2、隔板材料品种、规格、颜色:双面12mm厚阻燃板基层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3、面层板材料品种、规格、颜色:双面9.5nm纸面石膏板</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29.65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天棚工程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077"/>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吊顶天棚</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1、吊顶形式、吊杆规格、高度:Φ8镀锌全丝牙吊杆双向中距1200，吊杆上部与板底预留吊环固定。</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2、龙骨材料种类、规格、中距:(1)、铝合金中龙骨双向中距1000(2)、铝合金横撑 25*22*1.3中距500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3、面层材料品种、规格:600*600*12矿棉板（样式满足招标人要求）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276.92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木窗帘盒</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1、窗帘盒材质、规格:20*30木龙骨（刷防火涂料3遍）、12mm阻燃胶合板基层、9.5mm纸面石膏板</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2、油漆:钉眼封点防锈漆、清油封底、自粘胶带、批腻子、乳胶漆二遍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32.55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油漆、涂料、裱糊工程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1、喷刷涂料部位:外墙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2、刮柔性耐水腻子</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2、涂料品种、喷刷遍数:外墙真石漆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490.34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1、喷刷涂料部位:内墙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2、腻子种类:腻子三遍</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3、涂料品种、喷刷遍数:乳胶漆三遍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645.73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79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1、喷刷涂料部位:原墙面涂料出新</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2、刮腻子要求:原墙面涂料面层打磨,局部用腻子修补找平</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3、涂料品种、喷刷遍数:乳胶漆三遍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159.44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天棚喷刷涂料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1、喷刷涂料部位:原天棚涂料出新</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2、刮腻子要求:原天棚涂料面层打磨,局部用腻子修补找平</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3、涂料品种、喷刷遍数:乳胶漆二遍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196.51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其他装饰工程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石材窗台板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1、粘结层厚度、砂浆配合比:水泥砂浆粘贴层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2、窗台板材质、规格、颜色:18mm厚人造石窗台板</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3、报价含石材磨边、倒角等费用</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4、窗台板规格根据现场进行定制，费用自行考虑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2.16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楼（地）面变形缝</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1、嵌缝材料种类:油浸麻丝</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2、盖缝材料:0.8厚8K不锈钢镜面板</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3.52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顶棚变形缝</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1、嵌缝材料种类:油浸麻丝</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2、盖缝材料:0.8厚8K不锈钢镜面板</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17.04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墙面变形缝</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1、嵌缝材料种类:油浸麻丝</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2、止水带材料种类：0.8厚8K不锈钢镜面板</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51.4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屋面变形缝</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1、嵌缝材料种类:详见图集12J201-A15-1</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2、盖缝材料:1厚铝合金板盖缝板</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18.64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b/>
                <w:bCs/>
                <w:color w:val="auto"/>
                <w:sz w:val="21"/>
                <w:szCs w:val="21"/>
                <w:highlight w:val="none"/>
              </w:rPr>
              <w:t xml:space="preserve">接建楼（安装）</w:t>
            </w:r>
            <w:r>
              <w:rPr>
                <w:rFonts w:hint="eastAsia" w:ascii="宋体" w:hAnsi="宋体" w:cs="Arial"/>
                <w:color w:val="auto"/>
                <w:sz w:val="21"/>
                <w:szCs w:val="21"/>
                <w:highlight w:val="none"/>
              </w:rPr>
              <w:t xml:space="preserve">一、电气部分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配电箱</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1、名称:配电箱AL</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2、接线端子材质、规格:满足设计要求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3、安装方式:暗配</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4、具体配置:参见图纸</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9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荧光灯</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1、名称:嵌入式LED平板灯</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2、规格:600*600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3、安装形式:吊顶嵌入式</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普通灯具</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1、名称:走廊吸顶灯</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2、规格:LED 22W</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3、安装形式:吸顶</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89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照明开关</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1、名称:单控单联开关</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2、规格:220V，10A</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照明开关</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1、名称:双联单控开关</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2、规格:220V，10A</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照明开关</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1、名称:三联单控开关</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2、规格:220V，10A</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插座</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1、名称:五孔插座</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2、规格:250V，10A</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插座</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1、名称:挂式空调插座</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2、规格:250V，16A</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3、安装方式:暗配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接线盒</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1、名称:接线盒</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2、材质:钢制、塑料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接线盒</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1、名称:开关盒</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2、材质:钢制、塑料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44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1、名称:电线管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2、规格:PVC20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3、配置形式:吊顶内、明、暗敷设综合考虑</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4、报价含管卡、支架等安装所需全部配套材料</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430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63"/>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1、名称:电线管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2、规格:PVC25</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3、配置形式:砖、混凝土结构暗配</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4、报价含管卡、支架等安装所需全部配套材料</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120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1、名称:电线管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2、规格:SC80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3、配置形式:砖、混凝土结构暗配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44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99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1、名称:电线管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2、规格:PE80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3、配置形式:埋地敷设</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4、报价含土方开挖、回填</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5、具体做法:现场具体施工根据甲方要求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1、名称:铜芯线</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2、配线形式:管内穿线</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3、规格:BV2.5mm2</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1340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1、名称:铜芯线</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2、配线形式:管内穿线</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3、规格:BV4mm2</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400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电力电缆</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1、名称:铜芯电缆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2、规格:YJV-4*16mm2</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3、敷设方式、部位:管道敷设</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4、电压等级（kV）:1kv</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电力电缆头</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1、名称:铜芯电缆头</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2、规格:YJV-4*16mm2以下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二、防雷接地部分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避雷网</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1、材质:热镀锌圆钢</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2、规格:φ10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3、安装形式:详见图纸要求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112.84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避雷引下线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1、材质:利用柱筋引下</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2、断接卡子、箱材质、规格:测试端子、柱与主筋焊接</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41.6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均压环</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1、名称:基础焊接</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100.66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接地母线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1、材质:热镀锌扁钢</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2、规格:-40*4</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21.4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等电位端子箱、测试板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1、名称:总等电位箱MEB</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109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等电位端子箱、测试板</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1、材质:镀铜钢板</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2、规格:-100*100*10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块</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接地装置</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1、名称:接地网调试</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三、围墙西北处预留小公园电源</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1、名称:小公园电源预留管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2、规格:PE40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3、配置形式:明、暗敷、埋地敷设综合考虑</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4、报价含土方开挖、回填</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5、具体做法:现场具体施工根据甲方要求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电力电缆</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1、名称:铜芯电缆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2、规格:YJV-5*4mm2</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3、敷设方式、部位:管道敷设</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4、电压等级（kV）:1kv</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四、停车场预留部分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配管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w:t>
            </w:r>
            <w:r>
              <w:rPr>
                <w:rFonts w:hint="eastAsia" w:ascii="宋体" w:hAnsi="宋体" w:cs="Arial"/>
                <w:color w:val="auto"/>
                <w:spacing w:val="-11"/>
                <w:sz w:val="21"/>
                <w:szCs w:val="21"/>
                <w:highlight w:val="none"/>
              </w:rPr>
              <w:t xml:space="preserve">室外停车场监控预留管</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2、规格:PE40</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3、配置形式:明、暗敷、埋地敷设综合考虑</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4、报价含土方开挖、回填</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5、具体做法:现场具体施工根据甲方要求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1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一般路灯</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1、传达室北门外现有庭院灯保护性拆除、安装</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2、线缆保护性拆除、安装，含需增加的线缆</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3、增加线缆保护管、灯基础</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4、报价含检查、维修、出新、更换损坏配件等全部费用，最终保证现场使用</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5、具体安装位置，根据现场情况与建设单位沟通好后施工</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五、空调部分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4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空调器</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1、名称:变频冷暖天花机吸顶空调（室外机配套）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2、型号:5P 一级能效</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3、安装形式:吊顶式</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4、隔振垫（器）、支架形式、材质:设备配套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5、备注:含安装所需全部设备材料接线、运行调试</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7"/>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空调器</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1、名称:变频冷暖天花机吸顶空调（室外机配套）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2、型号:3P 一级能效</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3、安装形式:吊顶式</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4、隔振垫（器）、支架形式、材质:设备配套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5、备注:含安装所需全部设备材料接线、运行调试</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4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空调器</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1、名称:变频冷䁔空调</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2、规格:1.5P 一级能效</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3、安装形式:挂壁式</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4、隔振垫（器）、支架形式、材质:设备配套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5、一拖一（室外机配套）</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6、备注:含安装所需全部设备材料接线、运行调试</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8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现场空调室外机保护性拆除、安装</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pacing w:val="-6"/>
                <w:sz w:val="21"/>
                <w:szCs w:val="21"/>
                <w:highlight w:val="none"/>
              </w:rPr>
              <w:t xml:space="preserve">1、配合改造，现场车棚附近一台空调外机保护性拆除，临时安装合</w:t>
            </w:r>
            <w:r>
              <w:rPr>
                <w:rFonts w:hint="eastAsia" w:ascii="宋体" w:hAnsi="宋体" w:cs="Arial"/>
                <w:color w:val="auto"/>
                <w:sz w:val="21"/>
                <w:szCs w:val="21"/>
                <w:highlight w:val="none"/>
              </w:rPr>
              <w:t xml:space="preserve">适位置，保证办公室使用。</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2、改造完成后，临时安装的室外机保护性拆除、安装至甲方指定位置（室外合适位置或新建的屋面）。</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w:t>
            </w:r>
            <w:r>
              <w:rPr>
                <w:rFonts w:hint="eastAsia" w:ascii="宋体" w:hAnsi="宋体" w:cs="Arial"/>
                <w:color w:val="auto"/>
                <w:spacing w:val="-6"/>
                <w:sz w:val="21"/>
                <w:szCs w:val="21"/>
                <w:highlight w:val="none"/>
              </w:rPr>
              <w:t xml:space="preserve">报价含设备检查、维修、更换损坏配件、支架、清洗、增加铜管、充氟里昂、增加电源线缆、配管、调试等全部费用</w:t>
            </w:r>
            <w:r>
              <w:rPr>
                <w:rFonts w:hint="eastAsia" w:ascii="宋体" w:hAnsi="宋体" w:cs="Arial"/>
                <w:color w:val="auto"/>
                <w:sz w:val="21"/>
                <w:szCs w:val="21"/>
                <w:highlight w:val="none"/>
              </w:rPr>
              <w:t xml:space="preserve">。</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4、投标人勘察现场后自行报价，结算时不调整。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b/>
                <w:bCs/>
                <w:color w:val="auto"/>
                <w:sz w:val="21"/>
                <w:szCs w:val="21"/>
                <w:highlight w:val="none"/>
              </w:rPr>
              <w:t xml:space="preserve">附属停车场</w:t>
            </w:r>
            <w:r>
              <w:rPr>
                <w:rFonts w:hint="eastAsia" w:ascii="宋体" w:hAnsi="宋体" w:cs="Arial"/>
                <w:color w:val="auto"/>
                <w:sz w:val="21"/>
                <w:szCs w:val="21"/>
                <w:highlight w:val="none"/>
              </w:rPr>
              <w:t xml:space="preserve">拆除工程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119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钢结构车棚拆除</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1、拆除部分原有钢结构车棚(拆除前与招标人确定拆除范围)满足会续施工。</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1、拆除时需做好现场及相邻构筑物成品保护及卫生环境保护</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2、含清除拆除后的建筑垃圾外运、施工单位自行勘探现场结合图纸费用包干，结算不调整</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3、拆除后满足会续施工</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场地平整</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1、现场杂草、杂树清理等。</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2、含清除后的垃圾外运、施工单位自行勘探现场结合图纸费用包干，结算不调整</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雨水管网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64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塑料管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1、垫层、基础材质及厚度:10cm中粗砂垫层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2、材质及规格:φ200HDPE双壁波纹管，环刚度≥8KN/m2</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3、连接形式:橡胶圈接口</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1、挖填土2、垫层、基础铺筑及养护3、模板制作、安装、拆除4、混凝土拌和、运输、浇筑、养护5、管道铺设6、管道检验及试验</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21.74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9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塑料管</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1、垫层、基础材质及厚度:10cm中粗砂垫层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2、材质及规格:φ300HDPE双壁波纹管，环刚度≥8KN/m2</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3、连接形式:橡胶圈接口</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工作内容：1、挖填土2、垫层、基础铺筑及养护3、模板制作、安装、拆除4、混凝土拌和、运输、浇筑、养护5、管道铺设6、管道检验及试验</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65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混凝土包裹</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1、过路管道C20砼包裹</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工作内容：1、混凝土拌和、运输、浇筑、养护</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87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砌筑井</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1、φ700圆形砖砌雨水检查井</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2、铸铁井盖井座</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工作内容：1、垫层铺筑2、模板制作、安装、拆除3、混凝土拌和、运输、浇筑、养护4、砌筑、勾缝、抹面5、井圈、井盖安装6、盖板安装</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雨水口</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1、雨水箅子及圈口材质、型号、规格:单平箅</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2、铸铁单箅雨水口530*380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座</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室外地面恢复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6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石材地面</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1、垫层厚度、宽度、材料种类:200厚碎砖压实、120厚C25素砼(按规范设置变形缝)</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2、结合层:</w:t>
            </w:r>
            <w:r>
              <w:rPr>
                <w:rFonts w:hint="eastAsia" w:ascii="宋体" w:hAnsi="宋体" w:cs="Arial"/>
                <w:color w:val="auto"/>
                <w:spacing w:val="-6"/>
                <w:sz w:val="21"/>
                <w:szCs w:val="21"/>
                <w:highlight w:val="none"/>
              </w:rPr>
              <w:t xml:space="preserve">30厚水泥砂浆结合层</w:t>
            </w:r>
            <w:r>
              <w:rPr>
                <w:rFonts w:hint="eastAsia" w:ascii="宋体" w:hAnsi="宋体" w:cs="Arial"/>
                <w:color w:val="auto"/>
                <w:spacing w:val="-6"/>
                <w:sz w:val="21"/>
                <w:szCs w:val="21"/>
                <w:highlight w:val="none"/>
              </w:rPr>
              <w:br/>
            </w:r>
            <w:r>
              <w:rPr>
                <w:rFonts w:hint="eastAsia" w:ascii="宋体" w:hAnsi="宋体" w:cs="Arial"/>
                <w:color w:val="auto"/>
                <w:sz w:val="21"/>
                <w:szCs w:val="21"/>
                <w:highlight w:val="none"/>
              </w:rPr>
              <w:t xml:space="preserve">3、路面厚度、宽度、材料种类:300×600×30厚花岗岩(样式满足招标人要求）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48.67</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44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水泥混凝土</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1、混凝土强度等级:C30预拌砼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2、厚度:15cm3、嵌缝材料:切缝、灌缝</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工作内容：1、模板制作、安装、拆除2、混凝土拌和、运输、浇筑3、锯缝、嵌缝4、路面养护</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透层、粘层</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清单特征：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1、材料品种:乳化沥青透层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2、喷油量:1kg/m2</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工作内容：1、清理下承面2、喷油、布料</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129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沥青混凝土</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1、沥青品种:AC-13mm细粒式沥青砼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2、厚度:5cm</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停车位</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路床（槽）整形</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1、路床土石类别:素土压实</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444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碎石垫层</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1、石料规格:碎砖</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2、厚度:15cm</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444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水泥混凝土</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1、混凝土强度等级:C30砼(按规范设置变形缝)</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2、厚度:100厚</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444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人行道块料铺设</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1、块料品种、规格:80厚植草砖、200*100*60厚荷兰砖走边</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2、30厚水泥砂浆结合层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444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安砌侧（平、缘）石</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1、材料品种、规格:800×250×120厚五莲花花岗岩立道牙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2、基础、垫层：材料品种、厚度:C15侧缘石垫层、30厚1:3干性水泥砂浆结合层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91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gridSpan w:val="2"/>
            <w:tcBorders>
              <w:top w:val="single" w:color="auto" w:sz="4" w:space="0"/>
              <w:left w:val="single" w:color="auto" w:sz="4" w:space="0"/>
              <w:bottom w:val="single" w:color="auto" w:sz="4" w:space="0"/>
              <w:right w:val="single" w:color="auto" w:sz="4" w:space="0"/>
            </w:tcBorders>
            <w:tcW w:w="4445" w:type="dxa"/>
            <w:vAlign w:val="center"/>
            <w:textDirection w:val="lrTb"/>
            <w:noWrap w:val="false"/>
          </w:tcPr>
          <w:p>
            <w:pPr>
              <w:jc w:val="center"/>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围墙</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挖沟槽土方</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1、土壤类别:一、二类土</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2、挖土深度:1.5m以内</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3、弃土运距:按现场实际考虑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24.82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回填方</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1、密实度要求:按设计要求</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2、填方材料品种:按设计要求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16.5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余方弃置</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1、废弃料品种:多余土方</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2、运距:按现场实际考虑</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15.63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砖基础</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1、砖品种、规格、强度等级:MU15水泥实心砖2、砂浆强度等级:M10预拌水泥砂浆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4.95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139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多孔砖墙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1、砖品种、规格、强度等级:MU10淤泥烧结多孔砖</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2、墙体类型:围墙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3、砂浆强度等级、配合比:M5预拌砂浆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1.82</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140</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垫层</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1、垫层材料种类、配合比、厚度:100厚碎石垫层</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1.25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141</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圈梁</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1、部位:地圈梁</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3、混凝土强度等级:C30</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1.04</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142</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构造柱</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2、混凝土强度等级:C25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0.76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143</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扶手、压顶</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1、构件的类型:砼压顶</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3、混凝土种类:预拌砼</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4、混凝土强度等级:C25</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m3</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0.87</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144</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1、钢筋种类、规格:现浇混凝土构件HRB400钢筋 Φ10以内</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0.05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145</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1、钢筋种类、规格:现浇混凝土构件HRB400钢筋 Φ10以外</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0.3</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146</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现浇构件钢筋</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1、钢筋种类、规格:砌体加固钢筋</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0.01</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147</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墙面一般抹灰</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1、墙体类型:内墙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2、底层厚度、砂浆配合比:12厚1:3水泥砂浆打底</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3、面层厚度、砂浆配合比:8厚1:2水泥砂浆抹平</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15.16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72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148</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墙面喷刷涂料</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1、喷刷涂料部位:外墙</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2、刮柔性耐水腻子</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2、涂料品种、喷刷遍数:外墙真石漆</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m2</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15.16</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960"/>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keepLines w:val="0"/>
              <w:keepNext w:val="0"/>
              <w:pageBreakBefore w:val="0"/>
              <w:spacing w:line="300" w:lineRule="exact"/>
              <w:widowControl/>
              <w:rPr>
                <w:rFonts w:ascii="宋体" w:hAnsi="宋体" w:cs="Arial"/>
                <w:color w:val="auto"/>
                <w:sz w:val="21"/>
                <w:szCs w:val="21"/>
                <w:highlight w:val="none"/>
              </w:rPr>
            </w:pPr>
            <w:r>
              <w:rPr>
                <w:rFonts w:hint="eastAsia" w:ascii="宋体" w:hAnsi="宋体" w:cs="Arial"/>
                <w:color w:val="auto"/>
                <w:sz w:val="21"/>
                <w:szCs w:val="21"/>
                <w:highlight w:val="none"/>
              </w:rPr>
              <w:t xml:space="preserve">149</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lef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围墙金属栏杆</w:t>
            </w:r>
            <w:r/>
          </w:p>
        </w:tc>
        <w:tc>
          <w:tcPr>
            <w:tcBorders>
              <w:top w:val="single" w:color="auto" w:sz="4" w:space="0"/>
              <w:left w:val="single" w:color="auto" w:sz="4" w:space="0"/>
              <w:bottom w:val="single" w:color="auto" w:sz="4" w:space="0"/>
              <w:right w:val="single" w:color="auto" w:sz="4" w:space="0"/>
            </w:tcBorders>
            <w:tcW w:w="3116" w:type="dxa"/>
            <w:vAlign w:val="center"/>
            <w:textDirection w:val="lrTb"/>
            <w:noWrap w:val="false"/>
          </w:tcPr>
          <w:p>
            <w:pPr>
              <w:jc w:val="left"/>
              <w:keepLines w:val="0"/>
              <w:keepNext w:val="0"/>
              <w:pageBreakBefore w:val="0"/>
              <w:spacing w:line="28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1、金属栏杆高度：暂定H=1800mm（样式高度同原样）</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2、定制金属栏杆同原样</w:t>
            </w:r>
            <w:r>
              <w:rPr>
                <w:rFonts w:hint="eastAsia" w:ascii="宋体" w:hAnsi="宋体" w:cs="Arial"/>
                <w:color w:val="auto"/>
                <w:sz w:val="21"/>
                <w:szCs w:val="21"/>
                <w:highlight w:val="none"/>
              </w:rPr>
              <w:br/>
            </w:r>
            <w:r>
              <w:rPr>
                <w:rFonts w:hint="eastAsia" w:ascii="宋体" w:hAnsi="宋体" w:cs="Arial"/>
                <w:color w:val="auto"/>
                <w:sz w:val="21"/>
                <w:szCs w:val="21"/>
                <w:highlight w:val="none"/>
              </w:rPr>
              <w:t xml:space="preserve">3、报价含铁艺栏杆配套预埋件等费用</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18.05</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right"/>
              <w:keepLines w:val="0"/>
              <w:keepNext w:val="0"/>
              <w:pageBreakBefore w:val="0"/>
              <w:spacing w:line="300" w:lineRule="exact"/>
              <w:widowControl/>
              <w:rPr>
                <w:rFonts w:hint="eastAsia" w:ascii="宋体" w:hAnsi="宋体" w:cs="Arial"/>
                <w:color w:val="auto"/>
                <w:sz w:val="21"/>
                <w:szCs w:val="21"/>
                <w:highlight w:val="none"/>
              </w:rPr>
            </w:pPr>
            <w:r>
              <w:rPr>
                <w:rFonts w:hint="eastAsia" w:ascii="宋体" w:hAnsi="宋体" w:cs="Arial"/>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tcPr>
          <w:p>
            <w:pPr>
              <w:jc w:val="left"/>
              <w:keepLines w:val="0"/>
              <w:keepNext w:val="0"/>
              <w:pageBreakBefore w:val="0"/>
              <w:spacing w:line="300" w:lineRule="exact"/>
              <w:widowControl/>
              <w:rPr>
                <w:rFonts w:hint="eastAsia" w:ascii="Arial" w:hAnsi="Arial" w:cs="Arial"/>
                <w:color w:val="auto"/>
                <w:sz w:val="21"/>
                <w:szCs w:val="21"/>
                <w:highlight w:val="none"/>
              </w:rPr>
            </w:pPr>
            <w:r>
              <w:rPr>
                <w:rFonts w:ascii="Arial" w:hAnsi="Arial" w:cs="Arial"/>
                <w:color w:val="auto"/>
                <w:sz w:val="21"/>
                <w:szCs w:val="21"/>
                <w:highlight w:val="none"/>
              </w:rPr>
              <w:t xml:space="preserve">　</w:t>
            </w:r>
            <w:r/>
          </w:p>
        </w:tc>
      </w:tr>
      <w:tr>
        <w:trPr>
          <w:trHeight w:val="644"/>
        </w:trPr>
        <w:tc>
          <w:tcPr>
            <w:gridSpan w:val="8"/>
            <w:tcBorders>
              <w:top w:val="single" w:color="auto" w:sz="4" w:space="0"/>
              <w:left w:val="single" w:color="auto" w:sz="4" w:space="0"/>
              <w:bottom w:val="single" w:color="auto" w:sz="4" w:space="0"/>
              <w:right w:val="single" w:color="auto" w:sz="4" w:space="0"/>
            </w:tcBorders>
            <w:tcW w:w="9120" w:type="dxa"/>
            <w:vAlign w:val="center"/>
            <w:textDirection w:val="lrTb"/>
            <w:noWrap w:val="false"/>
          </w:tcPr>
          <w:p>
            <w:pPr>
              <w:ind w:firstLine="3360"/>
              <w:jc w:val="left"/>
              <w:keepLines w:val="0"/>
              <w:keepNext w:val="0"/>
              <w:pageBreakBefore w:val="0"/>
              <w:spacing w:line="300" w:lineRule="exact"/>
              <w:widowControl/>
              <w:rPr>
                <w:rFonts w:hint="default" w:ascii="Arial" w:hAnsi="Arial" w:cs="Arial"/>
                <w:color w:val="auto"/>
                <w:sz w:val="21"/>
                <w:szCs w:val="21"/>
                <w:highlight w:val="none"/>
                <w:lang w:val="en-US"/>
              </w:rPr>
            </w:pPr>
            <w:r>
              <w:rPr>
                <w:rFonts w:hint="eastAsia" w:ascii="宋体" w:hAnsi="宋体" w:cs="Arial"/>
                <w:color w:val="auto"/>
                <w:sz w:val="24"/>
                <w:szCs w:val="24"/>
                <w:highlight w:val="none"/>
                <w:lang w:val="en-US" w:eastAsia="zh-CN"/>
              </w:rPr>
              <w:t xml:space="preserve">人民币总计：      元</w:t>
            </w:r>
            <w:r/>
          </w:p>
        </w:tc>
      </w:tr>
    </w:tbl>
    <w:p>
      <w:pPr>
        <w:spacing w:line="500" w:lineRule="exact"/>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注：投标报价应是磋商文件所确定招标范围内全部工作内容的价格体现，报价包括施工全部工作所需的材料费、人工费、机械费、办公费、措施费、交通费、招标代理费、税收等一切费用。对认为未考虑到的费用采购人将不予支付，并认为此项费用已包含在报价中。</w:t>
      </w:r>
      <w:r/>
    </w:p>
    <w:p>
      <w:pPr>
        <w:jc w:val="left"/>
        <w:spacing w:line="480" w:lineRule="exact"/>
        <w:widowControl/>
        <w:rPr>
          <w:rFonts w:hint="eastAsia" w:ascii="宋体" w:hAnsi="宋体"/>
          <w:color w:val="auto"/>
          <w:sz w:val="24"/>
          <w:highlight w:val="none"/>
        </w:rPr>
      </w:pPr>
      <w:r>
        <w:rPr>
          <w:rFonts w:hint="eastAsia" w:ascii="宋体" w:hAnsi="宋体"/>
          <w:color w:val="auto"/>
          <w:sz w:val="24"/>
          <w:highlight w:val="none"/>
        </w:rPr>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ind w:left="2" w:firstLine="475"/>
        <w:jc w:val="right"/>
        <w:spacing w:line="480" w:lineRule="exact"/>
        <w:rPr>
          <w:rFonts w:hint="eastAsia" w:ascii="宋体" w:hAnsi="宋体"/>
          <w:color w:val="auto"/>
          <w:sz w:val="24"/>
          <w:highlight w:val="none"/>
        </w:rPr>
      </w:pP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rPr>
        <w:t xml:space="preserve">期： </w:t>
      </w:r>
      <w:r>
        <w:rPr>
          <w:rFonts w:ascii="宋体" w:hAnsi="宋体"/>
          <w:color w:val="auto"/>
          <w:sz w:val="24"/>
          <w:highlight w:val="none"/>
        </w:rPr>
        <w:t xml:space="preserve"> </w:t>
      </w:r>
      <w:r>
        <w:rPr>
          <w:rFonts w:hint="eastAsia" w:ascii="宋体" w:hAnsi="宋体"/>
          <w:color w:val="auto"/>
          <w:sz w:val="24"/>
          <w:highlight w:val="none"/>
        </w:rPr>
        <w:t xml:space="preserve">年   月  日</w:t>
      </w:r>
      <w:bookmarkEnd w:id="262"/>
      <w:r/>
      <w:r/>
    </w:p>
    <w:p>
      <w:pPr>
        <w:pStyle w:val="818"/>
        <w:rPr>
          <w:rFonts w:hint="eastAsia"/>
          <w:color w:val="auto"/>
          <w:highlight w:val="none"/>
        </w:rPr>
      </w:pPr>
      <w:r/>
      <w:bookmarkStart w:id="263" w:name="_Toc161385023"/>
      <w:r/>
      <w:r/>
    </w:p>
    <w:p>
      <w:pPr>
        <w:rPr>
          <w:color w:val="auto"/>
          <w:highlight w:val="none"/>
        </w:rPr>
      </w:pPr>
      <w:r>
        <w:rPr>
          <w:color w:val="auto"/>
          <w:highlight w:val="none"/>
        </w:rPr>
      </w:r>
      <w:r/>
    </w:p>
    <w:p>
      <w:pPr>
        <w:rPr>
          <w:color w:val="auto"/>
          <w:highlight w:val="none"/>
        </w:rPr>
      </w:pPr>
      <w:r>
        <w:rPr>
          <w:color w:val="auto"/>
          <w:highlight w:val="none"/>
        </w:rPr>
      </w:r>
      <w:r/>
    </w:p>
    <w:p>
      <w:pPr>
        <w:pStyle w:val="818"/>
        <w:rPr>
          <w:rFonts w:hint="eastAsia"/>
          <w:color w:val="auto"/>
          <w:highlight w:val="none"/>
        </w:rPr>
      </w:pPr>
      <w:r/>
      <w:bookmarkStart w:id="264" w:name="_Toc205811314"/>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p>
    <w:p>
      <w:pPr>
        <w:pStyle w:val="818"/>
        <w:rPr>
          <w:rFonts w:hint="eastAsia"/>
          <w:color w:val="auto"/>
          <w:highlight w:val="none"/>
        </w:rPr>
      </w:pPr>
      <w:r/>
      <w:bookmarkStart w:id="265" w:name="_Toc18290"/>
      <w:r>
        <w:rPr>
          <w:rFonts w:hint="eastAsia"/>
          <w:color w:val="auto"/>
          <w:highlight w:val="none"/>
        </w:rPr>
        <w:t xml:space="preserve">（十三）技术要求响应及偏离表</w:t>
      </w:r>
      <w:bookmarkEnd w:id="257"/>
      <w:r/>
      <w:bookmarkEnd w:id="258"/>
      <w:r/>
      <w:bookmarkEnd w:id="259"/>
      <w:r/>
      <w:bookmarkEnd w:id="260"/>
      <w:r/>
      <w:bookmarkEnd w:id="263"/>
      <w:r/>
      <w:bookmarkEnd w:id="264"/>
      <w:r/>
      <w:bookmarkEnd w:id="265"/>
      <w:r/>
      <w:r/>
    </w:p>
    <w:tbl>
      <w:tblPr>
        <w:tblStyle w:val="78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3"/>
        <w:gridCol w:w="1687"/>
        <w:gridCol w:w="2539"/>
        <w:gridCol w:w="2985"/>
        <w:gridCol w:w="1107"/>
      </w:tblGrid>
      <w:tr>
        <w:trPr>
          <w:jc w:val="center"/>
          <w:trHeight w:val="130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rPr>
                <w:rFonts w:hint="eastAsia" w:ascii="宋体" w:hAnsi="宋体" w:cs="宋体"/>
                <w:b/>
                <w:color w:val="auto"/>
                <w:highlight w:val="none"/>
              </w:rPr>
            </w:pPr>
            <w:r>
              <w:rPr>
                <w:rFonts w:hint="eastAsia" w:ascii="宋体" w:hAnsi="宋体" w:cs="宋体"/>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spacing w:line="360" w:lineRule="exact"/>
              <w:rPr>
                <w:rFonts w:hint="eastAsia" w:ascii="宋体" w:hAnsi="宋体" w:cs="宋体"/>
                <w:b/>
                <w:color w:val="auto"/>
                <w:highlight w:val="none"/>
              </w:rPr>
            </w:pPr>
            <w:r>
              <w:rPr>
                <w:rFonts w:hint="eastAsia" w:ascii="宋体" w:hAnsi="宋体"/>
                <w:b/>
                <w:color w:val="auto"/>
                <w:sz w:val="22"/>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exact"/>
              <w:rPr>
                <w:rFonts w:hint="eastAsia" w:ascii="宋体" w:hAnsi="宋体" w:cs="宋体"/>
                <w:b/>
                <w:color w:val="auto"/>
                <w:highlight w:val="none"/>
              </w:rPr>
            </w:pPr>
            <w:r>
              <w:rPr>
                <w:rFonts w:hint="eastAsia" w:ascii="宋体" w:hAnsi="宋体"/>
                <w:b/>
                <w:color w:val="auto"/>
                <w:sz w:val="22"/>
                <w:highlight w:val="none"/>
              </w:rPr>
              <w:t xml:space="preserve">技术要求及相关说明</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spacing w:line="360" w:lineRule="exact"/>
              <w:rPr>
                <w:rFonts w:hint="eastAsia" w:ascii="宋体" w:hAnsi="宋体" w:cs="宋体"/>
                <w:b/>
                <w:color w:val="auto"/>
                <w:highlight w:val="none"/>
              </w:rPr>
            </w:pPr>
            <w:r>
              <w:rPr>
                <w:rFonts w:hint="eastAsia" w:ascii="宋体" w:hAnsi="宋体" w:cs="宋体"/>
                <w:b/>
                <w:color w:val="auto"/>
                <w:highlight w:val="none"/>
              </w:rPr>
              <w:t xml:space="preserve">投标</w:t>
            </w:r>
            <w:r>
              <w:rPr>
                <w:rFonts w:hint="eastAsia" w:ascii="宋体" w:hAnsi="宋体"/>
                <w:b/>
                <w:color w:val="auto"/>
                <w:sz w:val="22"/>
                <w:highlight w:val="none"/>
              </w:rPr>
              <w:t xml:space="preserve">技术要求及相关说明</w:t>
            </w:r>
            <w:r>
              <w:rPr>
                <w:rFonts w:hint="eastAsia" w:ascii="宋体" w:hAnsi="宋体" w:cs="宋体"/>
                <w:b/>
                <w:color w:val="auto"/>
                <w:highlight w:val="none"/>
              </w:rPr>
              <w:t xml:space="preserve">(不得完全复制，并且必须逐条对应磋商文件技术参数要求)</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480" w:lineRule="exact"/>
              <w:rPr>
                <w:rFonts w:hint="eastAsia" w:ascii="宋体" w:hAnsi="宋体" w:cs="宋体"/>
                <w:b/>
                <w:color w:val="auto"/>
                <w:highlight w:val="none"/>
              </w:rPr>
            </w:pPr>
            <w:r>
              <w:rPr>
                <w:rFonts w:hint="eastAsia" w:ascii="宋体" w:hAnsi="宋体" w:cs="宋体"/>
                <w:b/>
                <w:color w:val="auto"/>
                <w:highlight w:val="none"/>
              </w:rPr>
              <w:t xml:space="preserve">偏离情况</w:t>
            </w:r>
            <w:r/>
          </w:p>
        </w:tc>
      </w:tr>
      <w:tr>
        <w:trPr>
          <w:jc w:val="center"/>
          <w:trHeight w:val="1548"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spacing w:line="36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建湖县社会治安综合治理中心改造项目</w:t>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磋商文件 第四章 采购需求“二、技术要求及相关说明”全部内容</w:t>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ind w:firstLine="475"/>
              <w:jc w:val="center"/>
              <w:spacing w:line="3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ind w:firstLine="475"/>
              <w:jc w:val="center"/>
              <w:spacing w:line="360" w:lineRule="exact"/>
              <w:rPr>
                <w:rFonts w:hint="eastAsia" w:ascii="宋体" w:hAnsi="宋体" w:cs="宋体"/>
                <w:color w:val="auto"/>
                <w:highlight w:val="none"/>
              </w:rPr>
            </w:pPr>
            <w:r>
              <w:rPr>
                <w:rFonts w:hint="eastAsia" w:ascii="宋体" w:hAnsi="宋体" w:cs="宋体"/>
                <w:color w:val="auto"/>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spacing w:line="3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539"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1</w:t>
      </w:r>
      <w:r>
        <w:rPr>
          <w:rFonts w:hint="eastAsia" w:ascii="宋体" w:hAnsi="宋体"/>
          <w:color w:val="auto"/>
          <w:sz w:val="24"/>
          <w:highlight w:val="none"/>
        </w:rPr>
        <w:t xml:space="preserve">、投标人应根据投标服务的指标、对照磋商文件要求在“偏离情况”栏注明“正偏离”或“无偏离”，投标人按照自身实际服务能力填写投标技术参数要求，所有技术参数要求必须在此表体现，不接受其他形式的投标技术响应说明；投标技术参数要求不得低于磋商文件要求的技术参数，未填写投标技术参数要求及达不到技术参数要求的按本项目评分标准中技术符合性的约定作相应处理。</w:t>
      </w:r>
      <w:r>
        <w:rPr>
          <w:rFonts w:ascii="宋体" w:hAnsi="宋体"/>
          <w:color w:val="auto"/>
          <w:sz w:val="24"/>
          <w:highlight w:val="none"/>
        </w:rPr>
        <w:t xml:space="preserve">2</w:t>
      </w:r>
      <w:r>
        <w:rPr>
          <w:rFonts w:hint="eastAsia" w:ascii="宋体" w:hAnsi="宋体"/>
          <w:color w:val="auto"/>
          <w:sz w:val="24"/>
          <w:highlight w:val="none"/>
        </w:rPr>
        <w:t xml:space="preserve">、投标人如在投标过程中提供虚假材料谋取中标成交的或采取不正当手段诋毁、排挤其他供应商的</w:t>
      </w:r>
      <w:r>
        <w:rPr>
          <w:rFonts w:ascii="宋体" w:hAnsi="宋体"/>
          <w:color w:val="auto"/>
          <w:sz w:val="24"/>
          <w:highlight w:val="none"/>
        </w:rPr>
        <w:t xml:space="preserve">,</w:t>
      </w:r>
      <w:r>
        <w:rPr>
          <w:rFonts w:hint="eastAsia" w:ascii="宋体" w:hAnsi="宋体"/>
          <w:color w:val="auto"/>
          <w:sz w:val="24"/>
          <w:highlight w:val="none"/>
        </w:rPr>
        <w:t xml:space="preserve">将承担相应法律责任。</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法定代表人或委托代理人： （盖章或签字）</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投标单位：   （全称并加盖公章）</w:t>
      </w:r>
      <w:bookmarkStart w:id="266" w:name="_Toc120519836"/>
      <w:r/>
      <w:bookmarkStart w:id="267" w:name="_Toc120519630"/>
      <w:r/>
      <w:r/>
    </w:p>
    <w:p>
      <w:pPr>
        <w:ind w:left="2" w:firstLine="475"/>
        <w:jc w:val="right"/>
        <w:spacing w:line="480" w:lineRule="exact"/>
        <w:rPr>
          <w:rFonts w:hint="eastAsia" w:ascii="宋体" w:hAnsi="宋体"/>
          <w:color w:val="auto"/>
          <w:sz w:val="24"/>
          <w:highlight w:val="none"/>
        </w:rPr>
      </w:pPr>
      <w:r>
        <w:rPr>
          <w:rFonts w:hint="eastAsia" w:ascii="宋体" w:hAnsi="宋体"/>
          <w:color w:val="auto"/>
          <w:sz w:val="24"/>
          <w:highlight w:val="none"/>
        </w:rPr>
        <w:t xml:space="preserve">年    月    日</w:t>
      </w:r>
      <w:bookmarkEnd w:id="266"/>
      <w:r/>
      <w:bookmarkEnd w:id="267"/>
      <w:r/>
      <w:bookmarkStart w:id="268" w:name="_Toc161385024"/>
      <w:r/>
      <w:bookmarkStart w:id="269" w:name="_Toc135749302"/>
      <w:r/>
      <w:bookmarkStart w:id="270" w:name="_Toc101357912"/>
      <w:r/>
      <w:r/>
    </w:p>
    <w:p>
      <w:pPr>
        <w:ind w:firstLine="475"/>
        <w:jc w:val="right"/>
        <w:spacing w:line="48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8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bookmarkEnd w:id="268"/>
      <w:r/>
      <w:bookmarkEnd w:id="269"/>
      <w:r/>
      <w:r/>
    </w:p>
    <w:p>
      <w:pPr>
        <w:pStyle w:val="818"/>
        <w:rPr>
          <w:rFonts w:hint="eastAsia"/>
          <w:color w:val="auto"/>
          <w:highlight w:val="none"/>
        </w:rPr>
      </w:pPr>
      <w:r/>
      <w:bookmarkStart w:id="271" w:name="_Toc9620"/>
      <w:r/>
      <w:bookmarkStart w:id="272" w:name="_Toc205811315"/>
      <w:r/>
      <w:bookmarkStart w:id="273" w:name="_Toc161385025"/>
      <w:r>
        <w:rPr>
          <w:rFonts w:hint="eastAsia"/>
          <w:color w:val="auto"/>
          <w:highlight w:val="none"/>
        </w:rPr>
        <w:t xml:space="preserve">（十四）本单位缴纳养老保险承诺函</w:t>
      </w:r>
      <w:bookmarkEnd w:id="271"/>
      <w:r/>
      <w:bookmarkEnd w:id="272"/>
      <w:r/>
      <w:bookmarkEnd w:id="273"/>
      <w:r/>
      <w:r/>
    </w:p>
    <w:p>
      <w:pPr>
        <w:spacing w:line="52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采购人：</w:t>
      </w:r>
      <w:r>
        <w:rPr>
          <w:rFonts w:hint="eastAsia" w:ascii="宋体" w:hAnsi="宋体"/>
          <w:color w:val="auto"/>
          <w:sz w:val="24"/>
          <w:highlight w:val="none"/>
          <w:u w:val="single"/>
        </w:rPr>
        <w:t xml:space="preserve">中共建湖县委政法委员会</w:t>
      </w:r>
      <w:r/>
    </w:p>
    <w:p>
      <w:pPr>
        <w:ind w:firstLine="480"/>
        <w:spacing w:line="520" w:lineRule="exact"/>
        <w:tabs>
          <w:tab w:val="left" w:pos="0" w:leader="none"/>
        </w:tabs>
        <w:rPr>
          <w:rFonts w:hint="eastAsia" w:ascii="宋体" w:hAnsi="宋体"/>
          <w:color w:val="auto"/>
          <w:sz w:val="24"/>
          <w:highlight w:val="none"/>
        </w:rPr>
      </w:pPr>
      <w:r>
        <w:rPr>
          <w:rFonts w:ascii="宋体" w:hAnsi="宋体"/>
          <w:color w:val="auto"/>
          <w:sz w:val="24"/>
          <w:highlight w:val="none"/>
        </w:rPr>
        <w:t xml:space="preserve">我单位承诺</w:t>
      </w:r>
      <w:r>
        <w:rPr>
          <w:rFonts w:hint="eastAsia" w:ascii="宋体" w:hAnsi="宋体"/>
          <w:color w:val="auto"/>
          <w:sz w:val="24"/>
          <w:highlight w:val="none"/>
          <w:u w:val="single"/>
        </w:rPr>
        <w:t xml:space="preserve">                 </w:t>
      </w:r>
      <w:r>
        <w:rPr>
          <w:rFonts w:ascii="宋体" w:hAnsi="宋体"/>
          <w:color w:val="auto"/>
          <w:sz w:val="24"/>
          <w:highlight w:val="none"/>
        </w:rPr>
        <w:t xml:space="preserve">为本单位的正式职工，并确保在本项目开标前1个月（不含投标当月）在本单位缴纳社会养老保险。如违反上述承诺，可视为我单位存在弄虚作假行为，我单位自愿放弃中标资格，并接受你方及</w:t>
      </w:r>
      <w:r>
        <w:rPr>
          <w:rFonts w:hint="eastAsia" w:ascii="宋体" w:hAnsi="宋体"/>
          <w:color w:val="auto"/>
          <w:sz w:val="24"/>
          <w:highlight w:val="none"/>
        </w:rPr>
        <w:t xml:space="preserve">行业主管部门的相关处罚。</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特此声明！</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投标单位：(盖章)</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法定代表人或委托代理人：(盖章或签字)</w:t>
      </w:r>
      <w:r/>
    </w:p>
    <w:p>
      <w:pP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p>
      <w:pPr>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r>
      <w:r/>
    </w:p>
    <w:p>
      <w:pPr>
        <w:jc w:val="right"/>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日 期：   年   月   日</w:t>
      </w:r>
      <w:r/>
    </w:p>
    <w:p>
      <w:pPr>
        <w:ind w:firstLine="875"/>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ind w:firstLine="475"/>
        <w:rPr>
          <w:color w:val="auto"/>
          <w:highlight w:val="none"/>
        </w:rPr>
      </w:pPr>
      <w:r>
        <w:rPr>
          <w:color w:val="auto"/>
          <w:highlight w:val="none"/>
        </w:rPr>
      </w:r>
      <w:r/>
    </w:p>
    <w:p>
      <w:pPr>
        <w:pStyle w:val="818"/>
        <w:rPr>
          <w:rFonts w:hint="eastAsia"/>
          <w:color w:val="auto"/>
          <w:highlight w:val="none"/>
        </w:rPr>
      </w:pPr>
      <w:r/>
      <w:bookmarkStart w:id="274" w:name="_Toc5095"/>
      <w:r/>
      <w:bookmarkStart w:id="275" w:name="_Toc161385026"/>
      <w:r/>
      <w:bookmarkStart w:id="276" w:name="_Toc205811316"/>
      <w:r>
        <w:rPr>
          <w:rFonts w:hint="eastAsia"/>
          <w:color w:val="auto"/>
          <w:highlight w:val="none"/>
        </w:rPr>
        <w:t xml:space="preserve">（十五）服务承诺函</w:t>
      </w:r>
      <w:bookmarkEnd w:id="261"/>
      <w:r/>
      <w:bookmarkEnd w:id="270"/>
      <w:r/>
      <w:bookmarkEnd w:id="274"/>
      <w:r/>
      <w:bookmarkEnd w:id="275"/>
      <w:r/>
      <w:bookmarkEnd w:id="276"/>
      <w:r/>
      <w:r/>
    </w:p>
    <w:tbl>
      <w:tblPr>
        <w:tblStyle w:val="7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5"/>
      </w:tblGrid>
      <w:tr>
        <w:trPr>
          <w:jc w:val="center"/>
          <w:trHeight w:val="4750"/>
        </w:trPr>
        <w:tc>
          <w:tcPr>
            <w:tcW w:w="1951" w:type="dxa"/>
            <w:vAlign w:val="center"/>
            <w:textDirection w:val="lrTb"/>
            <w:noWrap w:val="false"/>
          </w:tcPr>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售后</w:t>
            </w:r>
            <w:r/>
          </w:p>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服务</w:t>
            </w:r>
            <w:r/>
          </w:p>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内容</w:t>
            </w:r>
            <w:r/>
          </w:p>
        </w:tc>
        <w:tc>
          <w:tcPr>
            <w:tcW w:w="7105" w:type="dxa"/>
            <w:textDirection w:val="lrTb"/>
            <w:noWrap w:val="false"/>
          </w:tcPr>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1、供应商必须严格按照本次招标技术参数要求进行合理报价，如后期出现验收不合格情形视同虚假承诺谋取中标成交，将被列入不良行为记录名单；</w:t>
            </w:r>
            <w:r/>
          </w:p>
          <w:p>
            <w:pPr>
              <w:spacing w:line="480" w:lineRule="exact"/>
              <w:tabs>
                <w:tab w:val="left" w:pos="0" w:leader="none"/>
              </w:tabs>
              <w:rPr>
                <w:rFonts w:ascii="宋体"/>
                <w:color w:val="auto"/>
                <w:sz w:val="24"/>
                <w:highlight w:val="none"/>
              </w:rPr>
            </w:pPr>
            <w:r>
              <w:rPr>
                <w:rFonts w:hint="eastAsia" w:ascii="宋体"/>
                <w:color w:val="auto"/>
                <w:sz w:val="24"/>
                <w:highlight w:val="none"/>
              </w:rPr>
              <w:t xml:space="preserve">2、项目服务期间，供应商的所有的工作人员的人身安全以及供应商在服务期间产生的各类安全责任事故均由承包方自行承担；</w:t>
            </w:r>
            <w:r/>
          </w:p>
          <w:p>
            <w:pPr>
              <w:spacing w:line="480" w:lineRule="exact"/>
              <w:rPr>
                <w:rFonts w:hint="eastAsia" w:ascii="宋体" w:hAnsi="宋体"/>
                <w:color w:val="auto"/>
                <w:sz w:val="24"/>
                <w:highlight w:val="none"/>
              </w:rPr>
            </w:pPr>
            <w:r>
              <w:rPr>
                <w:rFonts w:hint="eastAsia" w:ascii="宋体"/>
                <w:color w:val="auto"/>
                <w:sz w:val="24"/>
                <w:highlight w:val="none"/>
              </w:rPr>
              <w:t xml:space="preserve">3、供应商在服务过程中涉及第三方产品知识产权情况，若出现技术、经济或法律上的纠纷，应由承包方全面承担并全权解决，并确保不影响项目的进度。</w:t>
            </w:r>
            <w:r/>
          </w:p>
        </w:tc>
      </w:tr>
      <w:tr>
        <w:trPr>
          <w:jc w:val="center"/>
          <w:trHeight w:val="4250"/>
        </w:trPr>
        <w:tc>
          <w:tcPr>
            <w:tcW w:w="1951" w:type="dxa"/>
            <w:vAlign w:val="center"/>
            <w:textDirection w:val="lrTb"/>
            <w:noWrap w:val="false"/>
          </w:tcPr>
          <w:p>
            <w:pPr>
              <w:jc w:val="center"/>
              <w:spacing w:line="480" w:lineRule="exact"/>
              <w:tabs>
                <w:tab w:val="left" w:pos="0" w:leader="none"/>
              </w:tabs>
              <w:rPr>
                <w:rFonts w:ascii="宋体"/>
                <w:color w:val="auto"/>
                <w:sz w:val="24"/>
                <w:highlight w:val="none"/>
              </w:rPr>
            </w:pPr>
            <w:r>
              <w:rPr>
                <w:rFonts w:hint="eastAsia" w:ascii="宋体" w:hAnsi="宋体"/>
                <w:color w:val="auto"/>
                <w:sz w:val="24"/>
                <w:highlight w:val="none"/>
              </w:rPr>
              <w:t xml:space="preserve">承诺</w:t>
            </w:r>
            <w:r/>
          </w:p>
        </w:tc>
        <w:tc>
          <w:tcPr>
            <w:tcW w:w="7105" w:type="dxa"/>
            <w:textDirection w:val="lrTb"/>
            <w:noWrap w:val="false"/>
          </w:tcPr>
          <w:p>
            <w:pPr>
              <w:spacing w:line="480" w:lineRule="exact"/>
              <w:tabs>
                <w:tab w:val="left" w:pos="0" w:leader="none"/>
              </w:tabs>
              <w:rPr>
                <w:rFonts w:ascii="宋体"/>
                <w:color w:val="auto"/>
                <w:sz w:val="24"/>
                <w:highlight w:val="none"/>
              </w:rPr>
            </w:pPr>
            <w:r>
              <w:rPr>
                <w:rFonts w:ascii="宋体"/>
                <w:color w:val="auto"/>
                <w:sz w:val="24"/>
                <w:highlight w:val="none"/>
              </w:rPr>
            </w:r>
            <w:r/>
          </w:p>
        </w:tc>
      </w:tr>
    </w:tbl>
    <w:p>
      <w:pPr>
        <w:jc w:val="left"/>
        <w:spacing w:before="100" w:beforeAutospacing="1" w:after="100" w:afterAutospacing="1" w:line="480" w:lineRule="exact"/>
        <w:widowControl/>
        <w:rPr>
          <w:color w:val="auto"/>
          <w:sz w:val="24"/>
          <w:highlight w:val="none"/>
        </w:rPr>
      </w:pPr>
      <w:r>
        <w:rPr>
          <w:color w:val="auto"/>
          <w:sz w:val="24"/>
          <w:highlight w:val="none"/>
        </w:rPr>
      </w:r>
      <w:r/>
    </w:p>
    <w:p>
      <w:pPr>
        <w:jc w:val="left"/>
        <w:spacing w:before="100" w:beforeAutospacing="1" w:after="100" w:afterAutospacing="1"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（盖章或签字）</w:t>
      </w:r>
      <w:r/>
    </w:p>
    <w:p>
      <w:pPr>
        <w:spacing w:before="100" w:beforeAutospacing="1" w:after="100" w:afterAutospacing="1"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投标单位：（全称并加盖公章）</w:t>
      </w:r>
      <w:r/>
    </w:p>
    <w:p>
      <w:pPr>
        <w:jc w:val="right"/>
        <w:spacing w:line="480" w:lineRule="exact"/>
        <w:rPr>
          <w:color w:val="auto"/>
          <w:sz w:val="24"/>
          <w:highlight w:val="none"/>
        </w:rPr>
      </w:pPr>
      <w:r>
        <w:rPr>
          <w:rFonts w:hint="eastAsia" w:ascii="宋体" w:hAnsi="宋体" w:cs="宋体"/>
          <w:color w:val="auto"/>
          <w:sz w:val="24"/>
          <w:highlight w:val="none"/>
        </w:rPr>
        <w:t xml:space="preserve">2025年  月  日</w:t>
      </w:r>
      <w:bookmarkStart w:id="277" w:name="_Toc101166971"/>
      <w:r/>
      <w:bookmarkStart w:id="278" w:name="_Toc101357915"/>
      <w:r/>
      <w:r/>
    </w:p>
    <w:p>
      <w:pPr>
        <w:pStyle w:val="818"/>
        <w:rPr>
          <w:rFonts w:hint="eastAsia"/>
          <w:color w:val="auto"/>
          <w:highlight w:val="none"/>
        </w:rPr>
      </w:pPr>
      <w:r/>
      <w:bookmarkStart w:id="279" w:name="_Toc161385027"/>
      <w:r/>
      <w:bookmarkEnd w:id="277"/>
      <w:r/>
      <w:bookmarkEnd w:id="278"/>
      <w:r/>
      <w:bookmarkEnd w:id="279"/>
      <w:r/>
      <w:r/>
    </w:p>
    <w:p>
      <w:pPr>
        <w:pStyle w:val="818"/>
        <w:rPr>
          <w:rFonts w:hint="eastAsia"/>
          <w:color w:val="auto"/>
          <w:highlight w:val="none"/>
        </w:rPr>
      </w:pPr>
      <w:r/>
      <w:bookmarkStart w:id="280" w:name="_Toc58591911"/>
      <w:r/>
      <w:bookmarkEnd w:id="280"/>
      <w:r/>
      <w:bookmarkStart w:id="281" w:name="_Toc62737817"/>
      <w:r/>
      <w:bookmarkEnd w:id="281"/>
      <w:r/>
      <w:bookmarkStart w:id="282" w:name="_Toc83487576"/>
      <w:r/>
      <w:bookmarkEnd w:id="282"/>
      <w:r/>
      <w:bookmarkStart w:id="283" w:name="_Toc50475178"/>
      <w:r/>
      <w:bookmarkEnd w:id="283"/>
      <w:r/>
      <w:bookmarkStart w:id="284" w:name="_Toc76718106"/>
      <w:r/>
      <w:bookmarkEnd w:id="284"/>
      <w:r/>
      <w:bookmarkStart w:id="285" w:name="_Toc75795074"/>
      <w:r/>
      <w:bookmarkEnd w:id="285"/>
      <w:r/>
      <w:bookmarkStart w:id="286" w:name="_Toc13170"/>
      <w:r>
        <w:rPr>
          <w:rFonts w:hint="eastAsia"/>
          <w:color w:val="auto"/>
          <w:highlight w:val="none"/>
        </w:rPr>
        <w:t xml:space="preserve">（十六）项目业绩汇总表</w:t>
      </w:r>
      <w:bookmarkEnd w:id="286"/>
      <w:r/>
      <w:r/>
    </w:p>
    <w:tbl>
      <w:tblPr>
        <w:tblStyle w:val="786"/>
        <w:tblW w:w="8990" w:type="dxa"/>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629"/>
        <w:gridCol w:w="1823"/>
        <w:gridCol w:w="1701"/>
        <w:gridCol w:w="1134"/>
        <w:gridCol w:w="1765"/>
      </w:tblGrid>
      <w:tr>
        <w:trPr>
          <w:jc w:val="center"/>
          <w:trHeight w:val="673"/>
        </w:trPr>
        <w:tc>
          <w:tcPr>
            <w:tcW w:w="938"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序号</w:t>
            </w:r>
            <w:r/>
          </w:p>
        </w:tc>
        <w:tc>
          <w:tcPr>
            <w:tcW w:w="1629"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项目名称</w:t>
            </w:r>
            <w:r/>
          </w:p>
        </w:tc>
        <w:tc>
          <w:tcPr>
            <w:tcW w:w="1823"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项目内容</w:t>
            </w:r>
            <w:r/>
          </w:p>
        </w:tc>
        <w:tc>
          <w:tcPr>
            <w:tcBorders>
              <w:right w:val="single" w:color="auto" w:sz="4" w:space="0"/>
            </w:tcBorders>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项目金额</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tcBorders>
              <w:left w:val="none" w:color="000000" w:sz="4" w:space="0"/>
              <w:right w:val="single" w:color="auto" w:sz="4" w:space="0"/>
            </w:tcBorders>
            <w:tcW w:w="1134"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合同签订日期</w:t>
            </w:r>
            <w:r/>
          </w:p>
        </w:tc>
        <w:tc>
          <w:tcPr>
            <w:tcBorders>
              <w:left w:val="single" w:color="auto" w:sz="4" w:space="0"/>
            </w:tcBorders>
            <w:tcW w:w="1765" w:type="dxa"/>
            <w:vAlign w:val="center"/>
            <w:textDirection w:val="lrTb"/>
            <w:noWrap w:val="false"/>
          </w:tcPr>
          <w:p>
            <w:pPr>
              <w:jc w:val="center"/>
              <w:rPr>
                <w:rFonts w:ascii="宋体" w:cs="宋体"/>
                <w:color w:val="auto"/>
                <w:sz w:val="24"/>
                <w:highlight w:val="none"/>
              </w:rPr>
            </w:pPr>
            <w:r>
              <w:rPr>
                <w:rFonts w:hint="eastAsia" w:ascii="宋体" w:cs="宋体"/>
                <w:color w:val="auto"/>
                <w:sz w:val="24"/>
                <w:highlight w:val="none"/>
              </w:rPr>
              <w:t xml:space="preserve">业主联系电话</w:t>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1</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2</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hAnsi="宋体" w:cs="宋体"/>
                <w:color w:val="auto"/>
                <w:sz w:val="24"/>
                <w:highlight w:val="none"/>
              </w:rPr>
              <w:t xml:space="preserve">3</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r>
            <w:r/>
          </w:p>
        </w:tc>
      </w:tr>
      <w:tr>
        <w:trPr>
          <w:jc w:val="center"/>
          <w:trHeight w:val="673"/>
        </w:trPr>
        <w:tc>
          <w:tcPr>
            <w:tcW w:w="938"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W w:w="1629"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W w:w="1823"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right w:val="single" w:color="auto" w:sz="4" w:space="0"/>
            </w:tcBorders>
            <w:tcW w:w="1701"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left w:val="none" w:color="000000" w:sz="4" w:space="0"/>
              <w:right w:val="single" w:color="auto" w:sz="4" w:space="0"/>
            </w:tcBorders>
            <w:tcW w:w="1134"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c>
          <w:tcPr>
            <w:tcBorders>
              <w:left w:val="single" w:color="auto" w:sz="4" w:space="0"/>
            </w:tcBorders>
            <w:tcW w:w="1765" w:type="dxa"/>
            <w:vAlign w:val="center"/>
            <w:textDirection w:val="lrTb"/>
            <w:noWrap w:val="false"/>
          </w:tcPr>
          <w:p>
            <w:pPr>
              <w:jc w:val="center"/>
              <w:spacing w:line="360" w:lineRule="auto"/>
              <w:rPr>
                <w:rFonts w:ascii="宋体" w:cs="宋体"/>
                <w:color w:val="auto"/>
                <w:sz w:val="24"/>
                <w:highlight w:val="none"/>
              </w:rPr>
            </w:pPr>
            <w:r>
              <w:rPr>
                <w:rFonts w:ascii="宋体" w:cs="宋体"/>
                <w:color w:val="auto"/>
                <w:sz w:val="24"/>
                <w:highlight w:val="none"/>
              </w:rPr>
              <w:t xml:space="preserve">...</w:t>
            </w:r>
            <w:r/>
          </w:p>
        </w:tc>
      </w:tr>
    </w:tbl>
    <w:p>
      <w:pPr>
        <w:ind w:left="2"/>
        <w:spacing w:line="520" w:lineRule="exact"/>
        <w:rPr>
          <w:rFonts w:asci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u w:val="single"/>
        </w:rPr>
        <w:t xml:space="preserve">此表不够可复制和放大</w:t>
      </w:r>
      <w:r>
        <w:rPr>
          <w:rFonts w:hint="eastAsia" w:ascii="宋体" w:hAnsi="宋体" w:cs="宋体"/>
          <w:color w:val="auto"/>
          <w:sz w:val="24"/>
          <w:highlight w:val="none"/>
        </w:rPr>
        <w:t xml:space="preserve">。</w:t>
      </w:r>
      <w:r/>
    </w:p>
    <w:p>
      <w:pPr>
        <w:ind w:firstLine="475"/>
        <w:spacing w:line="360" w:lineRule="auto"/>
        <w:rPr>
          <w:color w:val="auto"/>
          <w:szCs w:val="21"/>
          <w:highlight w:val="none"/>
        </w:rPr>
      </w:pPr>
      <w:r>
        <w:rPr>
          <w:color w:val="auto"/>
          <w:szCs w:val="21"/>
          <w:highlight w:val="none"/>
        </w:rPr>
      </w:r>
      <w:r/>
    </w:p>
    <w:p>
      <w:pPr>
        <w:ind w:firstLine="1800"/>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hint="eastAsia" w:ascii="宋体" w:hAnsi="宋体" w:cs="宋体"/>
          <w:color w:val="auto"/>
          <w:sz w:val="24"/>
          <w:highlight w:val="none"/>
        </w:rPr>
        <w:t xml:space="preserve">投标单位</w:t>
      </w:r>
      <w:r>
        <w:rPr>
          <w:rFonts w:ascii="宋体" w:hAnsi="宋体" w:cs="宋体"/>
          <w:color w:val="auto"/>
          <w:sz w:val="24"/>
          <w:highlight w:val="none"/>
        </w:rPr>
        <w:t xml:space="preserve">(</w:t>
      </w:r>
      <w:r>
        <w:rPr>
          <w:rFonts w:hint="eastAsia" w:ascii="宋体" w:hAnsi="宋体" w:cs="宋体"/>
          <w:color w:val="auto"/>
          <w:sz w:val="24"/>
          <w:highlight w:val="none"/>
        </w:rPr>
        <w:t xml:space="preserve">盖章</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firstLine="1800"/>
        <w:jc w:val="left"/>
        <w:rPr>
          <w:rFonts w:ascii="宋体" w:cs="宋体"/>
          <w:color w:val="auto"/>
          <w:sz w:val="24"/>
          <w:highlight w:val="none"/>
        </w:rPr>
      </w:pPr>
      <w:r>
        <w:rPr>
          <w:rFonts w:ascii="宋体" w:cs="宋体"/>
          <w:color w:val="auto"/>
          <w:sz w:val="24"/>
          <w:highlight w:val="none"/>
        </w:rPr>
      </w:r>
      <w:r/>
    </w:p>
    <w:p>
      <w:pPr>
        <w:ind w:firstLine="1800"/>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hint="eastAsia" w:ascii="宋体" w:hAnsi="宋体" w:cs="宋体"/>
          <w:color w:val="auto"/>
          <w:sz w:val="24"/>
          <w:highlight w:val="none"/>
        </w:rPr>
        <w:t xml:space="preserve">法定代表人（或委托代理人）： </w:t>
      </w:r>
      <w:r>
        <w:rPr>
          <w:rFonts w:ascii="宋体" w:hAnsi="宋体" w:cs="宋体"/>
          <w:color w:val="auto"/>
          <w:sz w:val="24"/>
          <w:highlight w:val="none"/>
        </w:rPr>
        <w:t xml:space="preserve">    (</w:t>
      </w:r>
      <w:r>
        <w:rPr>
          <w:rFonts w:hint="eastAsia" w:ascii="宋体" w:hAnsi="宋体" w:cs="宋体"/>
          <w:color w:val="auto"/>
          <w:sz w:val="24"/>
          <w:highlight w:val="none"/>
        </w:rPr>
        <w:t xml:space="preserve">盖章或签字</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right="-867"/>
        <w:jc w:val="left"/>
        <w:spacing w:line="460" w:lineRule="exact"/>
        <w:rPr>
          <w:rFonts w:ascii="宋体" w:cs="宋体"/>
          <w:color w:val="auto"/>
          <w:sz w:val="24"/>
          <w:highlight w:val="none"/>
        </w:rPr>
      </w:pPr>
      <w:r>
        <w:rPr>
          <w:rFonts w:ascii="宋体" w:cs="宋体"/>
          <w:color w:val="auto"/>
          <w:sz w:val="24"/>
          <w:highlight w:val="none"/>
        </w:rPr>
      </w:r>
      <w:r/>
    </w:p>
    <w:p>
      <w:pPr>
        <w:jc w:val="right"/>
        <w:spacing w:line="480" w:lineRule="exact"/>
        <w:rPr>
          <w:color w:val="auto"/>
          <w:sz w:val="24"/>
          <w:highlight w:val="none"/>
        </w:rPr>
      </w:pPr>
      <w:r>
        <w:rPr>
          <w:rFonts w:hint="eastAsia" w:ascii="宋体" w:hAnsi="宋体" w:cs="宋体"/>
          <w:color w:val="auto"/>
          <w:sz w:val="24"/>
          <w:highlight w:val="none"/>
        </w:rPr>
        <w:t xml:space="preserve">日期：</w:t>
      </w:r>
      <w:r>
        <w:rPr>
          <w:rFonts w:hint="eastAsia"/>
          <w:color w:val="auto"/>
          <w:sz w:val="24"/>
          <w:highlight w:val="none"/>
        </w:rPr>
        <w:t xml:space="preserve">2</w:t>
      </w:r>
      <w:r>
        <w:rPr>
          <w:color w:val="auto"/>
          <w:sz w:val="24"/>
          <w:highlight w:val="none"/>
        </w:rPr>
        <w:t xml:space="preserve">02</w:t>
      </w:r>
      <w:r>
        <w:rPr>
          <w:rFonts w:hint="eastAsia"/>
          <w:color w:val="auto"/>
          <w:sz w:val="24"/>
          <w:highlight w:val="none"/>
        </w:rPr>
        <w:t xml:space="preserve">5年 </w:t>
      </w:r>
      <w:r>
        <w:rPr>
          <w:color w:val="auto"/>
          <w:sz w:val="24"/>
          <w:highlight w:val="none"/>
        </w:rPr>
        <w:t xml:space="preserve"> </w:t>
      </w:r>
      <w:r>
        <w:rPr>
          <w:rFonts w:hint="eastAsia"/>
          <w:color w:val="auto"/>
          <w:sz w:val="24"/>
          <w:highlight w:val="none"/>
        </w:rPr>
        <w:t xml:space="preserve">月 </w:t>
      </w:r>
      <w:r>
        <w:rPr>
          <w:color w:val="auto"/>
          <w:sz w:val="24"/>
          <w:highlight w:val="none"/>
        </w:rPr>
        <w:t xml:space="preserve"> </w:t>
      </w:r>
      <w:r>
        <w:rPr>
          <w:rFonts w:hint="eastAsia"/>
          <w:color w:val="auto"/>
          <w:sz w:val="24"/>
          <w:highlight w:val="none"/>
        </w:rPr>
        <w:t xml:space="preserve">日</w:t>
      </w:r>
      <w:r/>
    </w:p>
    <w:p>
      <w:pPr>
        <w:ind w:right="-867"/>
        <w:jc w:val="left"/>
        <w:spacing w:line="460" w:lineRule="exact"/>
        <w:rPr>
          <w:rFonts w:ascii="宋体" w:cs="宋体"/>
          <w:color w:val="auto"/>
          <w:sz w:val="24"/>
          <w:highlight w:val="none"/>
        </w:rPr>
      </w:pPr>
      <w:r>
        <w:rPr>
          <w:rFonts w:ascii="宋体" w:cs="宋体"/>
          <w:color w:val="auto"/>
          <w:sz w:val="24"/>
          <w:highlight w:val="none"/>
        </w:rPr>
      </w:r>
      <w:r/>
    </w:p>
    <w:p>
      <w:pPr>
        <w:jc w:val="left"/>
        <w:spacing w:line="460" w:lineRule="exact"/>
        <w:widowControl/>
        <w:rPr>
          <w:color w:val="auto"/>
          <w:sz w:val="24"/>
          <w:highlight w:val="none"/>
        </w:rPr>
      </w:pPr>
      <w:r>
        <w:rPr>
          <w:color w:val="auto"/>
          <w:sz w:val="24"/>
          <w:highlight w:val="none"/>
        </w:rPr>
      </w:r>
      <w:r/>
    </w:p>
    <w:p>
      <w:pPr>
        <w:pStyle w:val="818"/>
        <w:rPr>
          <w:rFonts w:hint="eastAsia"/>
          <w:color w:val="auto"/>
          <w:highlight w:val="none"/>
        </w:rPr>
      </w:pPr>
      <w:r/>
      <w:bookmarkStart w:id="287" w:name="_Toc83487578"/>
      <w:r/>
      <w:bookmarkEnd w:id="287"/>
      <w:r/>
      <w:bookmarkStart w:id="288" w:name="_Toc83487577"/>
      <w:r/>
      <w:bookmarkEnd w:id="288"/>
      <w:r/>
      <w:bookmarkStart w:id="289" w:name="_Toc101357916"/>
      <w:r/>
      <w:bookmarkStart w:id="290" w:name="_Toc101166972"/>
      <w:r/>
      <w:bookmarkStart w:id="291" w:name="_Toc161385028"/>
      <w:r/>
      <w:bookmarkStart w:id="292" w:name="_Toc205811317"/>
      <w:r/>
      <w:r/>
    </w:p>
    <w:p>
      <w:pPr>
        <w:pStyle w:val="818"/>
        <w:rPr>
          <w:rFonts w:hint="eastAsia"/>
          <w:color w:val="auto"/>
          <w:highlight w:val="none"/>
        </w:rPr>
      </w:pPr>
      <w:r>
        <w:rPr>
          <w:rFonts w:hint="eastAsia"/>
          <w:color w:val="auto"/>
          <w:highlight w:val="none"/>
        </w:rPr>
      </w:r>
      <w:r/>
    </w:p>
    <w:p>
      <w:pPr>
        <w:pStyle w:val="818"/>
        <w:rPr>
          <w:rFonts w:hint="eastAsia"/>
          <w:color w:val="auto"/>
          <w:highlight w:val="none"/>
        </w:rPr>
      </w:pPr>
      <w:r>
        <w:rPr>
          <w:rFonts w:hint="eastAsia"/>
          <w:color w:val="auto"/>
          <w:highlight w:val="none"/>
        </w:rPr>
      </w:r>
      <w:r/>
    </w:p>
    <w:p>
      <w:pPr>
        <w:pStyle w:val="818"/>
        <w:rPr>
          <w:rFonts w:hint="eastAsia"/>
          <w:color w:val="auto"/>
          <w:highlight w:val="none"/>
        </w:rPr>
      </w:pPr>
      <w:r>
        <w:rPr>
          <w:rFonts w:hint="eastAsia"/>
          <w:color w:val="auto"/>
          <w:highlight w:val="none"/>
        </w:rPr>
      </w:r>
      <w:r/>
    </w:p>
    <w:p>
      <w:pPr>
        <w:pStyle w:val="818"/>
        <w:rPr>
          <w:rFonts w:hint="eastAsia"/>
          <w:color w:val="auto"/>
          <w:highlight w:val="none"/>
        </w:rPr>
      </w:pPr>
      <w:r>
        <w:rPr>
          <w:rFonts w:hint="eastAsia"/>
          <w:color w:val="auto"/>
          <w:highlight w:val="none"/>
        </w:rPr>
      </w:r>
      <w:r/>
    </w:p>
    <w:p>
      <w:pPr>
        <w:pStyle w:val="818"/>
        <w:rPr>
          <w:rFonts w:hint="eastAsia"/>
          <w:color w:val="auto"/>
          <w:highlight w:val="none"/>
        </w:rPr>
      </w:pPr>
      <w:r>
        <w:rPr>
          <w:rFonts w:hint="eastAsia"/>
          <w:color w:val="auto"/>
          <w:highlight w:val="none"/>
        </w:rPr>
      </w:r>
      <w:r/>
    </w:p>
    <w:p>
      <w:pPr>
        <w:pStyle w:val="818"/>
        <w:rPr>
          <w:rFonts w:hint="eastAsia"/>
          <w:color w:val="auto"/>
          <w:highlight w:val="none"/>
        </w:rPr>
      </w:pPr>
      <w:r>
        <w:rPr>
          <w:rFonts w:hint="eastAsia"/>
          <w:color w:val="auto"/>
          <w:highlight w:val="none"/>
        </w:rPr>
      </w:r>
      <w:r/>
    </w:p>
    <w:p>
      <w:pPr>
        <w:pStyle w:val="818"/>
        <w:rPr>
          <w:rFonts w:hint="eastAsia"/>
          <w:color w:val="auto"/>
          <w:highlight w:val="none"/>
        </w:rPr>
      </w:pPr>
      <w:r/>
      <w:bookmarkStart w:id="293" w:name="_Toc18231"/>
      <w:r>
        <w:rPr>
          <w:rFonts w:hint="eastAsia"/>
          <w:color w:val="auto"/>
          <w:highlight w:val="none"/>
        </w:rPr>
        <w:t xml:space="preserve">（十七）实施方案</w:t>
      </w:r>
      <w:bookmarkEnd w:id="289"/>
      <w:r/>
      <w:bookmarkEnd w:id="290"/>
      <w:r/>
      <w:bookmarkEnd w:id="291"/>
      <w:r/>
      <w:bookmarkEnd w:id="292"/>
      <w:r/>
      <w:bookmarkEnd w:id="293"/>
      <w:r/>
      <w:r/>
    </w:p>
    <w:p>
      <w:pPr>
        <w:ind w:firstLine="554"/>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（投标人根据评标细则中的相关要求自行编制，格式自制）</w:t>
      </w:r>
      <w:r/>
    </w:p>
    <w:p>
      <w:pPr>
        <w:ind w:firstLine="554"/>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bookmarkEnd w:id="2"/>
      <w:r/>
      <w:bookmarkEnd w:id="19"/>
      <w:r/>
      <w:bookmarkEnd w:id="67"/>
      <w:r/>
      <w:bookmarkEnd w:id="68"/>
      <w:r/>
      <w:bookmarkEnd w:id="69"/>
      <w:r/>
      <w:bookmarkEnd w:id="70"/>
      <w:r/>
      <w:bookmarkEnd w:id="71"/>
      <w:r/>
      <w:bookmarkEnd w:id="72"/>
      <w:r/>
      <w:bookmarkEnd w:id="73"/>
      <w:r/>
      <w:bookmarkEnd w:id="74"/>
      <w:r/>
      <w:bookmarkEnd w:id="83"/>
      <w:r/>
      <w:bookmarkEnd w:id="84"/>
      <w:r/>
      <w:bookmarkEnd w:id="91"/>
      <w:r/>
      <w:bookmarkEnd w:id="136"/>
      <w:r/>
      <w:bookmarkEnd w:id="137"/>
      <w:r/>
      <w:bookmarkEnd w:id="192"/>
      <w:r/>
      <w:bookmarkEnd w:id="193"/>
      <w:r/>
      <w:bookmarkEnd w:id="194"/>
      <w:r/>
      <w:r/>
    </w:p>
    <w:sectPr>
      <w:footnotePr/>
      <w:endnotePr/>
      <w:type w:val="nextPage"/>
      <w:pgSz w:w="11906" w:h="16838" w:orient="portrait"/>
      <w:pgMar w:top="1417" w:right="1417" w:bottom="1134"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方正仿宋_GBK">
    <w:panose1 w:val="020B0503020202020204"/>
  </w:font>
  <w:font w:name="楷体_GB2312">
    <w:panose1 w:val="02010609060101010101"/>
  </w:font>
  <w:font w:name="Courier New">
    <w:panose1 w:val="02070309020205020404"/>
  </w:font>
  <w:font w:name="MingLiU_HKSCS">
    <w:panose1 w:val="02020500000000000000"/>
  </w:font>
  <w:font w:name="仿宋_GB2312">
    <w:panose1 w:val="02010609060101010101"/>
  </w:font>
  <w:font w:name="黑体">
    <w:panose1 w:val="02010609060101010101"/>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t xml:space="preserve">2</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t xml:space="preserve">2</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2882109</wp:posOffset>
              </wp:positionH>
              <wp:positionV relativeFrom="paragraph">
                <wp:posOffset>95250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67621"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26.9pt;mso-position-horizontal:absolute;mso-position-vertical-relative:text;margin-top:7.5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5">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4">
    <w:name w:val="TOC Heading"/>
    <w:uiPriority w:val="39"/>
    <w:unhideWhenUsed/>
  </w:style>
  <w:style w:type="paragraph" w:styleId="77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76">
    <w:name w:val="Heading 1"/>
    <w:basedOn w:val="775"/>
    <w:next w:val="775"/>
    <w:uiPriority w:val="9"/>
    <w:qFormat/>
    <w:pPr>
      <w:keepLines/>
      <w:keepNext/>
      <w:spacing w:before="480" w:after="200"/>
      <w:outlineLvl w:val="0"/>
    </w:pPr>
    <w:rPr>
      <w:rFonts w:ascii="Arial" w:hAnsi="Arial" w:eastAsia="Arial" w:cs="Arial"/>
      <w:sz w:val="40"/>
      <w:szCs w:val="40"/>
    </w:rPr>
  </w:style>
  <w:style w:type="paragraph" w:styleId="777">
    <w:name w:val="Heading 2"/>
    <w:basedOn w:val="775"/>
    <w:next w:val="775"/>
    <w:uiPriority w:val="9"/>
    <w:unhideWhenUsed/>
    <w:qFormat/>
    <w:pPr>
      <w:keepLines/>
      <w:keepNext/>
      <w:spacing w:before="360" w:after="200"/>
      <w:outlineLvl w:val="1"/>
    </w:pPr>
    <w:rPr>
      <w:rFonts w:ascii="Arial" w:hAnsi="Arial" w:eastAsia="Arial" w:cs="Arial"/>
      <w:sz w:val="34"/>
    </w:rPr>
  </w:style>
  <w:style w:type="paragraph" w:styleId="778">
    <w:name w:val="Heading 3"/>
    <w:basedOn w:val="775"/>
    <w:next w:val="775"/>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775"/>
    <w:next w:val="775"/>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uiPriority w:val="9"/>
    <w:unhideWhenUsed/>
    <w:qFormat/>
    <w:pPr>
      <w:keepLines/>
      <w:keepNext/>
      <w:spacing w:before="320" w:after="200"/>
      <w:outlineLvl w:val="4"/>
    </w:pPr>
    <w:rPr>
      <w:rFonts w:ascii="Arial" w:hAnsi="Arial" w:eastAsia="Arial" w:cs="Arial"/>
      <w:b/>
      <w:bCs/>
      <w:sz w:val="24"/>
    </w:rPr>
  </w:style>
  <w:style w:type="paragraph" w:styleId="781">
    <w:name w:val="Heading 6"/>
    <w:basedOn w:val="775"/>
    <w:next w:val="775"/>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spacing w:after="57"/>
    </w:pPr>
  </w:style>
  <w:style w:type="paragraph" w:styleId="788">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5"/>
    <w:uiPriority w:val="99"/>
    <w:semiHidden/>
    <w:unhideWhenUsed/>
    <w:qFormat/>
    <w:pPr>
      <w:jc w:val="left"/>
    </w:pPr>
  </w:style>
  <w:style w:type="paragraph" w:styleId="790">
    <w:name w:val="toc 5"/>
    <w:basedOn w:val="775"/>
    <w:next w:val="775"/>
    <w:uiPriority w:val="39"/>
    <w:unhideWhenUsed/>
    <w:qFormat/>
    <w:pPr>
      <w:ind w:left="1134"/>
      <w:spacing w:after="57"/>
    </w:pPr>
  </w:style>
  <w:style w:type="paragraph" w:styleId="791">
    <w:name w:val="toc 3"/>
    <w:basedOn w:val="775"/>
    <w:next w:val="775"/>
    <w:uiPriority w:val="39"/>
    <w:unhideWhenUsed/>
    <w:qFormat/>
    <w:pPr>
      <w:ind w:left="567"/>
      <w:spacing w:after="57"/>
    </w:pPr>
  </w:style>
  <w:style w:type="paragraph" w:styleId="792">
    <w:name w:val="toc 8"/>
    <w:basedOn w:val="775"/>
    <w:next w:val="775"/>
    <w:uiPriority w:val="39"/>
    <w:unhideWhenUsed/>
    <w:qFormat/>
    <w:pPr>
      <w:ind w:left="1984"/>
      <w:spacing w:after="57"/>
    </w:pPr>
  </w:style>
  <w:style w:type="paragraph" w:styleId="793">
    <w:name w:val="endnote text"/>
    <w:basedOn w:val="775"/>
    <w:uiPriority w:val="99"/>
    <w:semiHidden/>
    <w:unhideWhenUsed/>
    <w:qFormat/>
    <w:rPr>
      <w:sz w:val="20"/>
    </w:rPr>
  </w:style>
  <w:style w:type="paragraph" w:styleId="794">
    <w:name w:val="Footer"/>
    <w:basedOn w:val="775"/>
    <w:uiPriority w:val="99"/>
    <w:unhideWhenUsed/>
    <w:qFormat/>
    <w:pPr>
      <w:tabs>
        <w:tab w:val="center" w:pos="7143" w:leader="none"/>
        <w:tab w:val="right" w:pos="14287" w:leader="none"/>
      </w:tabs>
    </w:pPr>
  </w:style>
  <w:style w:type="paragraph" w:styleId="795">
    <w:name w:val="Header"/>
    <w:basedOn w:val="775"/>
    <w:uiPriority w:val="99"/>
    <w:unhideWhenUsed/>
    <w:qFormat/>
    <w:pPr>
      <w:tabs>
        <w:tab w:val="center" w:pos="7143" w:leader="none"/>
        <w:tab w:val="right" w:pos="14287" w:leader="none"/>
      </w:tabs>
    </w:pPr>
  </w:style>
  <w:style w:type="paragraph" w:styleId="796">
    <w:name w:val="toc 1"/>
    <w:basedOn w:val="775"/>
    <w:next w:val="775"/>
    <w:uiPriority w:val="39"/>
    <w:qFormat/>
  </w:style>
  <w:style w:type="paragraph" w:styleId="797">
    <w:name w:val="toc 4"/>
    <w:basedOn w:val="775"/>
    <w:next w:val="775"/>
    <w:uiPriority w:val="39"/>
    <w:unhideWhenUsed/>
    <w:qFormat/>
    <w:pPr>
      <w:ind w:left="850"/>
      <w:spacing w:after="57"/>
    </w:pPr>
  </w:style>
  <w:style w:type="paragraph" w:styleId="798">
    <w:name w:val="Subtitle"/>
    <w:basedOn w:val="775"/>
    <w:next w:val="775"/>
    <w:uiPriority w:val="11"/>
    <w:qFormat/>
    <w:pPr>
      <w:spacing w:before="200" w:after="200"/>
    </w:pPr>
    <w:rPr>
      <w:sz w:val="24"/>
    </w:rPr>
  </w:style>
  <w:style w:type="paragraph" w:styleId="799">
    <w:name w:val="footnote text"/>
    <w:basedOn w:val="775"/>
    <w:uiPriority w:val="99"/>
    <w:semiHidden/>
    <w:unhideWhenUsed/>
    <w:qFormat/>
    <w:pPr>
      <w:spacing w:after="40"/>
    </w:pPr>
    <w:rPr>
      <w:sz w:val="18"/>
    </w:rPr>
  </w:style>
  <w:style w:type="paragraph" w:styleId="800">
    <w:name w:val="toc 6"/>
    <w:basedOn w:val="775"/>
    <w:next w:val="775"/>
    <w:uiPriority w:val="39"/>
    <w:unhideWhenUsed/>
    <w:qFormat/>
    <w:pPr>
      <w:ind w:left="1417"/>
      <w:spacing w:after="57"/>
    </w:pPr>
  </w:style>
  <w:style w:type="paragraph" w:styleId="801">
    <w:name w:val="table of figures"/>
    <w:basedOn w:val="775"/>
    <w:next w:val="775"/>
    <w:uiPriority w:val="99"/>
    <w:unhideWhenUsed/>
    <w:qFormat/>
  </w:style>
  <w:style w:type="paragraph" w:styleId="802">
    <w:name w:val="toc 2"/>
    <w:basedOn w:val="775"/>
    <w:next w:val="775"/>
    <w:uiPriority w:val="39"/>
    <w:qFormat/>
    <w:pPr>
      <w:ind w:left="420"/>
    </w:pPr>
  </w:style>
  <w:style w:type="paragraph" w:styleId="803">
    <w:name w:val="toc 9"/>
    <w:basedOn w:val="775"/>
    <w:next w:val="775"/>
    <w:uiPriority w:val="39"/>
    <w:unhideWhenUsed/>
    <w:qFormat/>
    <w:pPr>
      <w:ind w:left="2268"/>
      <w:spacing w:after="57"/>
    </w:pPr>
  </w:style>
  <w:style w:type="paragraph" w:styleId="804">
    <w:name w:val="Normal (Web)"/>
    <w:basedOn w:val="775"/>
    <w:uiPriority w:val="0"/>
    <w:qFormat/>
    <w:pPr>
      <w:jc w:val="left"/>
      <w:spacing w:before="100" w:beforeAutospacing="1" w:after="100" w:afterAutospacing="1"/>
    </w:pPr>
    <w:rPr>
      <w:rFonts w:ascii="Times New Roman" w:hAnsi="Times New Roman"/>
      <w:sz w:val="24"/>
    </w:rPr>
  </w:style>
  <w:style w:type="paragraph" w:styleId="805">
    <w:name w:val="Title"/>
    <w:basedOn w:val="775"/>
    <w:next w:val="775"/>
    <w:uiPriority w:val="10"/>
    <w:qFormat/>
    <w:pPr>
      <w:contextualSpacing/>
      <w:spacing w:before="300" w:after="200"/>
    </w:pPr>
    <w:rPr>
      <w:sz w:val="48"/>
      <w:szCs w:val="48"/>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endnote reference"/>
    <w:uiPriority w:val="99"/>
    <w:semiHidden/>
    <w:unhideWhenUsed/>
    <w:qFormat/>
    <w:rPr>
      <w:vertAlign w:val="superscript"/>
    </w:rPr>
  </w:style>
  <w:style w:type="character" w:styleId="808">
    <w:name w:val="page number"/>
    <w:basedOn w:val="785"/>
    <w:uiPriority w:val="0"/>
    <w:qFormat/>
  </w:style>
  <w:style w:type="character" w:styleId="809">
    <w:name w:val="FollowedHyperlink"/>
    <w:basedOn w:val="785"/>
    <w:uiPriority w:val="99"/>
    <w:semiHidden/>
    <w:unhideWhenUsed/>
    <w:qFormat/>
    <w:rPr>
      <w:color w:val="96607d"/>
      <w:u w:val="single"/>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paragraph" w:styleId="812">
    <w:name w:val="List Paragraph"/>
    <w:basedOn w:val="775"/>
    <w:uiPriority w:val="34"/>
    <w:qFormat/>
    <w:pPr>
      <w:contextualSpacing/>
      <w:ind w:left="720"/>
    </w:pPr>
  </w:style>
  <w:style w:type="paragraph" w:styleId="813">
    <w:name w:val="No Spacing"/>
    <w:uiPriority w:val="1"/>
    <w:qFormat/>
    <w:rPr>
      <w:rFonts w:ascii="Times New Roman" w:hAnsi="Times New Roman" w:eastAsia="宋体" w:cs="Times New Roman"/>
      <w:lang w:val="en-US" w:eastAsia="zh-CN" w:bidi="ar-SA"/>
    </w:rPr>
  </w:style>
  <w:style w:type="paragraph" w:styleId="814">
    <w:name w:val="Quote"/>
    <w:basedOn w:val="775"/>
    <w:next w:val="775"/>
    <w:uiPriority w:val="29"/>
    <w:qFormat/>
    <w:pPr>
      <w:ind w:left="720" w:right="720"/>
    </w:pPr>
    <w:rPr>
      <w:i/>
    </w:rPr>
  </w:style>
  <w:style w:type="paragraph" w:styleId="815">
    <w:name w:val="Intense Quote"/>
    <w:basedOn w:val="775"/>
    <w:next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customStyle="1">
    <w:name w:val="TOC 标题1"/>
    <w:uiPriority w:val="39"/>
    <w:unhideWhenUsed/>
    <w:qFormat/>
    <w:rPr>
      <w:rFonts w:ascii="Times New Roman" w:hAnsi="Times New Roman" w:eastAsia="宋体" w:cs="Times New Roman"/>
      <w:lang w:val="en-US" w:eastAsia="zh-CN" w:bidi="ar-SA"/>
    </w:rPr>
  </w:style>
  <w:style w:type="paragraph" w:styleId="817" w:customStyle="1">
    <w:name w:val="标题 11"/>
    <w:basedOn w:val="775"/>
    <w:next w:val="775"/>
    <w:link w:val="828"/>
    <w:uiPriority w:val="0"/>
    <w:qFormat/>
    <w:pPr>
      <w:keepLines/>
      <w:keepNext/>
      <w:spacing w:before="340" w:after="330" w:line="578" w:lineRule="auto"/>
      <w:outlineLvl w:val="0"/>
    </w:pPr>
    <w:rPr>
      <w:b/>
      <w:bCs/>
      <w:sz w:val="44"/>
      <w:szCs w:val="44"/>
    </w:rPr>
  </w:style>
  <w:style w:type="paragraph" w:styleId="818" w:customStyle="1">
    <w:name w:val="标题 21"/>
    <w:basedOn w:val="775"/>
    <w:next w:val="775"/>
    <w:link w:val="829"/>
    <w:uiPriority w:val="0"/>
    <w:qFormat/>
    <w:pPr>
      <w:jc w:val="center"/>
      <w:spacing w:before="100" w:beforeAutospacing="1" w:after="100" w:afterAutospacing="1" w:line="480" w:lineRule="exact"/>
      <w:outlineLvl w:val="1"/>
    </w:pPr>
    <w:rPr>
      <w:rFonts w:ascii="宋体" w:hAnsi="宋体"/>
      <w:b/>
      <w:bCs/>
      <w:sz w:val="30"/>
      <w:szCs w:val="30"/>
    </w:rPr>
  </w:style>
  <w:style w:type="paragraph" w:styleId="819" w:customStyle="1">
    <w:name w:val="标题 31"/>
    <w:basedOn w:val="775"/>
    <w:next w:val="775"/>
    <w:link w:val="830"/>
    <w:uiPriority w:val="9"/>
    <w:qFormat/>
    <w:pPr>
      <w:keepLines/>
      <w:keepNext/>
      <w:spacing w:before="320" w:after="200"/>
      <w:outlineLvl w:val="2"/>
    </w:pPr>
    <w:rPr>
      <w:rFonts w:ascii="Arial" w:hAnsi="Arial" w:eastAsia="Arial" w:cs="Arial"/>
      <w:sz w:val="30"/>
      <w:szCs w:val="30"/>
    </w:rPr>
  </w:style>
  <w:style w:type="paragraph" w:styleId="820" w:customStyle="1">
    <w:name w:val="标题 41"/>
    <w:basedOn w:val="775"/>
    <w:next w:val="775"/>
    <w:link w:val="831"/>
    <w:uiPriority w:val="9"/>
    <w:qFormat/>
    <w:pPr>
      <w:keepLines/>
      <w:keepNext/>
      <w:spacing w:before="320" w:after="200"/>
      <w:outlineLvl w:val="3"/>
    </w:pPr>
    <w:rPr>
      <w:rFonts w:ascii="Arial" w:hAnsi="Arial" w:eastAsia="Arial" w:cs="Arial"/>
      <w:b/>
      <w:bCs/>
      <w:sz w:val="26"/>
      <w:szCs w:val="26"/>
    </w:rPr>
  </w:style>
  <w:style w:type="paragraph" w:styleId="821" w:customStyle="1">
    <w:name w:val="标题 51"/>
    <w:basedOn w:val="775"/>
    <w:next w:val="775"/>
    <w:link w:val="832"/>
    <w:uiPriority w:val="9"/>
    <w:qFormat/>
    <w:pPr>
      <w:keepLines/>
      <w:keepNext/>
      <w:spacing w:before="320" w:after="200"/>
      <w:outlineLvl w:val="4"/>
    </w:pPr>
    <w:rPr>
      <w:rFonts w:ascii="Arial" w:hAnsi="Arial" w:eastAsia="Arial" w:cs="Arial"/>
      <w:b/>
      <w:bCs/>
      <w:sz w:val="24"/>
    </w:rPr>
  </w:style>
  <w:style w:type="paragraph" w:styleId="822" w:customStyle="1">
    <w:name w:val="标题 61"/>
    <w:basedOn w:val="775"/>
    <w:next w:val="775"/>
    <w:link w:val="833"/>
    <w:uiPriority w:val="9"/>
    <w:qFormat/>
    <w:pPr>
      <w:keepLines/>
      <w:keepNext/>
      <w:spacing w:before="320" w:after="200"/>
      <w:outlineLvl w:val="5"/>
    </w:pPr>
    <w:rPr>
      <w:rFonts w:ascii="Arial" w:hAnsi="Arial" w:eastAsia="Arial" w:cs="Arial"/>
      <w:b/>
      <w:bCs/>
      <w:sz w:val="22"/>
      <w:szCs w:val="22"/>
    </w:rPr>
  </w:style>
  <w:style w:type="paragraph" w:styleId="823" w:customStyle="1">
    <w:name w:val="标题 71"/>
    <w:basedOn w:val="775"/>
    <w:next w:val="775"/>
    <w:link w:val="834"/>
    <w:uiPriority w:val="9"/>
    <w:qFormat/>
    <w:pPr>
      <w:keepLines/>
      <w:keepNext/>
      <w:spacing w:before="320" w:after="200"/>
      <w:outlineLvl w:val="6"/>
    </w:pPr>
    <w:rPr>
      <w:rFonts w:ascii="Arial" w:hAnsi="Arial" w:eastAsia="Arial" w:cs="Arial"/>
      <w:b/>
      <w:bCs/>
      <w:i/>
      <w:iCs/>
      <w:sz w:val="22"/>
      <w:szCs w:val="22"/>
    </w:rPr>
  </w:style>
  <w:style w:type="paragraph" w:styleId="824" w:customStyle="1">
    <w:name w:val="标题 81"/>
    <w:basedOn w:val="775"/>
    <w:next w:val="775"/>
    <w:link w:val="835"/>
    <w:uiPriority w:val="9"/>
    <w:qFormat/>
    <w:pPr>
      <w:keepLines/>
      <w:keepNext/>
      <w:spacing w:before="320" w:after="200"/>
      <w:outlineLvl w:val="7"/>
    </w:pPr>
    <w:rPr>
      <w:rFonts w:ascii="Arial" w:hAnsi="Arial" w:eastAsia="Arial" w:cs="Arial"/>
      <w:i/>
      <w:iCs/>
      <w:sz w:val="22"/>
      <w:szCs w:val="22"/>
    </w:rPr>
  </w:style>
  <w:style w:type="paragraph" w:styleId="825" w:customStyle="1">
    <w:name w:val="标题 91"/>
    <w:basedOn w:val="775"/>
    <w:next w:val="775"/>
    <w:link w:val="836"/>
    <w:uiPriority w:val="9"/>
    <w:qFormat/>
    <w:pPr>
      <w:keepLines/>
      <w:keepNext/>
      <w:spacing w:before="320" w:after="200"/>
      <w:outlineLvl w:val="8"/>
    </w:pPr>
    <w:rPr>
      <w:rFonts w:ascii="Arial" w:hAnsi="Arial" w:eastAsia="Arial" w:cs="Arial"/>
      <w:i/>
      <w:iCs/>
      <w:szCs w:val="21"/>
    </w:rPr>
  </w:style>
  <w:style w:type="character" w:styleId="826" w:customStyle="1">
    <w:name w:val="默认段落字体1"/>
    <w:uiPriority w:val="1"/>
    <w:unhideWhenUsed/>
    <w:qFormat/>
  </w:style>
  <w:style w:type="table" w:styleId="827" w:customStyle="1">
    <w:name w:val="普通表格1"/>
    <w:uiPriority w:val="99"/>
    <w:unhideWhenUsed/>
    <w:qFormat/>
    <w:tblPr>
      <w:tblCellMar>
        <w:left w:w="0" w:type="dxa"/>
        <w:top w:w="0" w:type="dxa"/>
        <w:right w:w="0" w:type="dxa"/>
        <w:bottom w:w="0" w:type="dxa"/>
      </w:tblCellMar>
    </w:tblPr>
  </w:style>
  <w:style w:type="character" w:styleId="828" w:customStyle="1">
    <w:name w:val="标题 1 字符"/>
    <w:link w:val="817"/>
    <w:uiPriority w:val="0"/>
    <w:qFormat/>
    <w:rPr>
      <w:rFonts w:ascii="Calibri" w:hAnsi="Calibri" w:eastAsia="宋体" w:cs="Times New Roman"/>
      <w:b/>
      <w:bCs/>
      <w:sz w:val="44"/>
      <w:szCs w:val="44"/>
    </w:rPr>
  </w:style>
  <w:style w:type="character" w:styleId="829" w:customStyle="1">
    <w:name w:val="标题 2 字符"/>
    <w:link w:val="818"/>
    <w:uiPriority w:val="9"/>
    <w:qFormat/>
    <w:rPr>
      <w:rFonts w:ascii="Arial" w:hAnsi="Arial" w:eastAsia="Arial" w:cs="Arial"/>
      <w:sz w:val="34"/>
    </w:rPr>
  </w:style>
  <w:style w:type="character" w:styleId="830" w:customStyle="1">
    <w:name w:val="标题 3 字符"/>
    <w:link w:val="819"/>
    <w:uiPriority w:val="9"/>
    <w:qFormat/>
    <w:rPr>
      <w:rFonts w:ascii="Arial" w:hAnsi="Arial" w:eastAsia="Arial" w:cs="Arial"/>
      <w:sz w:val="30"/>
      <w:szCs w:val="30"/>
    </w:rPr>
  </w:style>
  <w:style w:type="character" w:styleId="831" w:customStyle="1">
    <w:name w:val="标题 4 字符"/>
    <w:link w:val="820"/>
    <w:uiPriority w:val="9"/>
    <w:qFormat/>
    <w:rPr>
      <w:rFonts w:ascii="Arial" w:hAnsi="Arial" w:eastAsia="Arial" w:cs="Arial"/>
      <w:b/>
      <w:bCs/>
      <w:sz w:val="26"/>
      <w:szCs w:val="26"/>
    </w:rPr>
  </w:style>
  <w:style w:type="character" w:styleId="832" w:customStyle="1">
    <w:name w:val="标题 5 字符"/>
    <w:link w:val="821"/>
    <w:uiPriority w:val="9"/>
    <w:qFormat/>
    <w:rPr>
      <w:rFonts w:ascii="Arial" w:hAnsi="Arial" w:eastAsia="Arial" w:cs="Arial"/>
      <w:b/>
      <w:bCs/>
      <w:sz w:val="24"/>
      <w:szCs w:val="24"/>
    </w:rPr>
  </w:style>
  <w:style w:type="character" w:styleId="833" w:customStyle="1">
    <w:name w:val="标题 6 字符"/>
    <w:link w:val="822"/>
    <w:uiPriority w:val="9"/>
    <w:qFormat/>
    <w:rPr>
      <w:rFonts w:ascii="Arial" w:hAnsi="Arial" w:eastAsia="Arial" w:cs="Arial"/>
      <w:b/>
      <w:bCs/>
      <w:sz w:val="22"/>
      <w:szCs w:val="22"/>
    </w:rPr>
  </w:style>
  <w:style w:type="character" w:styleId="834" w:customStyle="1">
    <w:name w:val="标题 7 字符"/>
    <w:link w:val="823"/>
    <w:uiPriority w:val="9"/>
    <w:qFormat/>
    <w:rPr>
      <w:rFonts w:ascii="Arial" w:hAnsi="Arial" w:eastAsia="Arial" w:cs="Arial"/>
      <w:b/>
      <w:bCs/>
      <w:i/>
      <w:iCs/>
      <w:sz w:val="22"/>
      <w:szCs w:val="22"/>
    </w:rPr>
  </w:style>
  <w:style w:type="character" w:styleId="835" w:customStyle="1">
    <w:name w:val="标题 8 字符"/>
    <w:link w:val="824"/>
    <w:uiPriority w:val="9"/>
    <w:qFormat/>
    <w:rPr>
      <w:rFonts w:ascii="Arial" w:hAnsi="Arial" w:eastAsia="Arial" w:cs="Arial"/>
      <w:i/>
      <w:iCs/>
      <w:sz w:val="22"/>
      <w:szCs w:val="22"/>
    </w:rPr>
  </w:style>
  <w:style w:type="character" w:styleId="836" w:customStyle="1">
    <w:name w:val="标题 9 字符"/>
    <w:link w:val="825"/>
    <w:uiPriority w:val="9"/>
    <w:qFormat/>
    <w:rPr>
      <w:rFonts w:ascii="Arial" w:hAnsi="Arial" w:eastAsia="Arial" w:cs="Arial"/>
      <w:i/>
      <w:iCs/>
      <w:sz w:val="21"/>
      <w:szCs w:val="21"/>
    </w:rPr>
  </w:style>
  <w:style w:type="paragraph" w:styleId="837" w:customStyle="1">
    <w:name w:val="正文缩进1"/>
    <w:basedOn w:val="775"/>
    <w:link w:val="838"/>
    <w:uiPriority w:val="0"/>
    <w:qFormat/>
    <w:pPr>
      <w:ind w:firstLine="420"/>
    </w:pPr>
    <w:rPr>
      <w:rFonts w:ascii="Times New Roman" w:hAnsi="Times New Roman"/>
      <w:sz w:val="20"/>
      <w:szCs w:val="20"/>
      <w:lang w:val="zh-CN"/>
    </w:rPr>
  </w:style>
  <w:style w:type="character" w:styleId="838" w:customStyle="1">
    <w:name w:val="正文缩进 字符"/>
    <w:link w:val="837"/>
    <w:uiPriority w:val="0"/>
    <w:qFormat/>
    <w:rPr>
      <w:lang w:val="zh-CN" w:eastAsia="zh-CN"/>
    </w:rPr>
  </w:style>
  <w:style w:type="paragraph" w:styleId="839" w:customStyle="1">
    <w:name w:val="题注1"/>
    <w:basedOn w:val="775"/>
    <w:next w:val="775"/>
    <w:uiPriority w:val="35"/>
    <w:qFormat/>
    <w:pPr>
      <w:spacing w:line="276" w:lineRule="auto"/>
    </w:pPr>
    <w:rPr>
      <w:b/>
      <w:bCs/>
      <w:color w:val="5b9bd5"/>
      <w:sz w:val="18"/>
      <w:szCs w:val="18"/>
    </w:rPr>
  </w:style>
  <w:style w:type="paragraph" w:styleId="840" w:customStyle="1">
    <w:name w:val="批注文字1"/>
    <w:basedOn w:val="775"/>
    <w:link w:val="841"/>
    <w:uiPriority w:val="0"/>
    <w:qFormat/>
    <w:pPr>
      <w:jc w:val="left"/>
    </w:pPr>
    <w:rPr>
      <w:rFonts w:ascii="Times New Roman" w:hAnsi="Times New Roman"/>
      <w:szCs w:val="20"/>
    </w:rPr>
  </w:style>
  <w:style w:type="character" w:styleId="841" w:customStyle="1">
    <w:name w:val="批注文字 字符"/>
    <w:link w:val="840"/>
    <w:uiPriority w:val="0"/>
    <w:qFormat/>
    <w:rPr>
      <w:sz w:val="21"/>
    </w:rPr>
  </w:style>
  <w:style w:type="paragraph" w:styleId="842" w:customStyle="1">
    <w:name w:val="正文文本缩进11"/>
    <w:basedOn w:val="775"/>
    <w:next w:val="843"/>
    <w:link w:val="844"/>
    <w:uiPriority w:val="0"/>
    <w:unhideWhenUsed/>
    <w:qFormat/>
    <w:pPr>
      <w:ind w:left="420"/>
      <w:spacing w:after="120"/>
    </w:pPr>
    <w:rPr>
      <w:rFonts w:ascii="Times New Roman" w:hAnsi="Times New Roman"/>
      <w:sz w:val="20"/>
      <w:lang w:val="zh-CN"/>
    </w:rPr>
  </w:style>
  <w:style w:type="paragraph" w:styleId="843" w:customStyle="1">
    <w:name w:val="寄信人地址11"/>
    <w:basedOn w:val="775"/>
    <w:uiPriority w:val="0"/>
    <w:qFormat/>
    <w:rPr>
      <w:rFonts w:ascii="Calibri Light" w:hAnsi="Calibri Light" w:eastAsia="黑体"/>
    </w:rPr>
  </w:style>
  <w:style w:type="character" w:styleId="844" w:customStyle="1">
    <w:name w:val="正文文本缩进 字符1"/>
    <w:link w:val="842"/>
    <w:uiPriority w:val="0"/>
    <w:qFormat/>
    <w:rPr>
      <w:szCs w:val="24"/>
      <w:lang w:val="zh-CN" w:eastAsia="zh-CN"/>
    </w:rPr>
  </w:style>
  <w:style w:type="paragraph" w:styleId="845" w:customStyle="1">
    <w:name w:val="纯文本1"/>
    <w:basedOn w:val="775"/>
    <w:next w:val="775"/>
    <w:link w:val="846"/>
    <w:uiPriority w:val="0"/>
    <w:qFormat/>
    <w:rPr>
      <w:rFonts w:ascii="宋体" w:hAnsi="Courier New" w:eastAsia="楷体_GB2312"/>
      <w:sz w:val="26"/>
      <w:szCs w:val="20"/>
      <w:lang w:val="zh-CN"/>
    </w:rPr>
  </w:style>
  <w:style w:type="character" w:styleId="846" w:customStyle="1">
    <w:name w:val="纯文本 字符1"/>
    <w:link w:val="845"/>
    <w:uiPriority w:val="0"/>
    <w:qFormat/>
    <w:rPr>
      <w:rFonts w:ascii="宋体" w:hAnsi="Courier New" w:eastAsia="楷体_GB2312"/>
      <w:sz w:val="26"/>
      <w:lang w:val="zh-CN" w:eastAsia="zh-CN"/>
    </w:rPr>
  </w:style>
  <w:style w:type="paragraph" w:styleId="847" w:customStyle="1">
    <w:name w:val="尾注文本1"/>
    <w:basedOn w:val="775"/>
    <w:link w:val="848"/>
    <w:uiPriority w:val="99"/>
    <w:unhideWhenUsed/>
    <w:qFormat/>
    <w:rPr>
      <w:rFonts w:ascii="Times New Roman" w:hAnsi="Times New Roman"/>
      <w:sz w:val="20"/>
      <w:szCs w:val="20"/>
    </w:rPr>
  </w:style>
  <w:style w:type="character" w:styleId="848" w:customStyle="1">
    <w:name w:val="尾注文本 字符"/>
    <w:link w:val="847"/>
    <w:uiPriority w:val="99"/>
    <w:qFormat/>
    <w:rPr>
      <w:sz w:val="20"/>
    </w:rPr>
  </w:style>
  <w:style w:type="paragraph" w:styleId="849" w:customStyle="1">
    <w:name w:val="批注框文本1"/>
    <w:basedOn w:val="775"/>
    <w:link w:val="850"/>
    <w:uiPriority w:val="0"/>
    <w:qFormat/>
    <w:rPr>
      <w:sz w:val="18"/>
      <w:szCs w:val="18"/>
    </w:rPr>
  </w:style>
  <w:style w:type="character" w:styleId="850" w:customStyle="1">
    <w:name w:val="批注框文本 字符"/>
    <w:link w:val="849"/>
    <w:uiPriority w:val="0"/>
    <w:qFormat/>
    <w:rPr>
      <w:rFonts w:ascii="Calibri" w:hAnsi="Calibri" w:eastAsia="宋体" w:cs="Times New Roman"/>
      <w:sz w:val="18"/>
      <w:szCs w:val="18"/>
    </w:rPr>
  </w:style>
  <w:style w:type="paragraph" w:styleId="851" w:customStyle="1">
    <w:name w:val="页脚11"/>
    <w:basedOn w:val="775"/>
    <w:link w:val="852"/>
    <w:uiPriority w:val="99"/>
    <w:qFormat/>
    <w:pPr>
      <w:jc w:val="center"/>
      <w:tabs>
        <w:tab w:val="center" w:pos="4153" w:leader="none"/>
        <w:tab w:val="right" w:pos="8306" w:leader="none"/>
      </w:tabs>
    </w:pPr>
    <w:rPr>
      <w:sz w:val="18"/>
      <w:szCs w:val="18"/>
    </w:rPr>
  </w:style>
  <w:style w:type="character" w:styleId="852" w:customStyle="1">
    <w:name w:val="页脚 字符"/>
    <w:link w:val="851"/>
    <w:uiPriority w:val="99"/>
    <w:qFormat/>
    <w:rPr>
      <w:rFonts w:ascii="Calibri" w:hAnsi="Calibri" w:eastAsia="宋体" w:cs="Times New Roman"/>
      <w:sz w:val="18"/>
      <w:szCs w:val="18"/>
    </w:rPr>
  </w:style>
  <w:style w:type="paragraph" w:styleId="853" w:customStyle="1">
    <w:name w:val="页眉1"/>
    <w:basedOn w:val="775"/>
    <w:link w:val="854"/>
    <w:uiPriority w:val="0"/>
    <w:qFormat/>
    <w:pPr>
      <w:jc w:val="center"/>
      <w:tabs>
        <w:tab w:val="center" w:pos="4153" w:leader="none"/>
        <w:tab w:val="right" w:pos="8306" w:leader="none"/>
      </w:tabs>
      <w:pBdr>
        <w:bottom w:val="single" w:color="000000" w:sz="6" w:space="1"/>
      </w:pBdr>
    </w:pPr>
    <w:rPr>
      <w:sz w:val="18"/>
      <w:szCs w:val="18"/>
    </w:rPr>
  </w:style>
  <w:style w:type="character" w:styleId="854" w:customStyle="1">
    <w:name w:val="页眉 字符"/>
    <w:link w:val="853"/>
    <w:uiPriority w:val="0"/>
    <w:qFormat/>
    <w:rPr>
      <w:rFonts w:ascii="Calibri" w:hAnsi="Calibri" w:eastAsia="宋体" w:cs="Times New Roman"/>
      <w:sz w:val="18"/>
      <w:szCs w:val="18"/>
    </w:rPr>
  </w:style>
  <w:style w:type="paragraph" w:styleId="855" w:customStyle="1">
    <w:name w:val="副标题1"/>
    <w:basedOn w:val="775"/>
    <w:next w:val="775"/>
    <w:link w:val="856"/>
    <w:uiPriority w:val="11"/>
    <w:qFormat/>
    <w:pPr>
      <w:spacing w:before="200" w:after="200"/>
    </w:pPr>
    <w:rPr>
      <w:sz w:val="24"/>
    </w:rPr>
  </w:style>
  <w:style w:type="character" w:styleId="856" w:customStyle="1">
    <w:name w:val="副标题 字符"/>
    <w:link w:val="855"/>
    <w:uiPriority w:val="11"/>
    <w:qFormat/>
    <w:rPr>
      <w:sz w:val="24"/>
      <w:szCs w:val="24"/>
    </w:rPr>
  </w:style>
  <w:style w:type="paragraph" w:styleId="857" w:customStyle="1">
    <w:name w:val="脚注文本1"/>
    <w:basedOn w:val="775"/>
    <w:link w:val="858"/>
    <w:uiPriority w:val="99"/>
    <w:unhideWhenUsed/>
    <w:qFormat/>
    <w:pPr>
      <w:spacing w:after="40"/>
    </w:pPr>
    <w:rPr>
      <w:rFonts w:ascii="Times New Roman" w:hAnsi="Times New Roman"/>
      <w:sz w:val="18"/>
      <w:szCs w:val="20"/>
    </w:rPr>
  </w:style>
  <w:style w:type="character" w:styleId="858" w:customStyle="1">
    <w:name w:val="脚注文本 字符"/>
    <w:link w:val="857"/>
    <w:uiPriority w:val="99"/>
    <w:qFormat/>
    <w:rPr>
      <w:sz w:val="18"/>
    </w:rPr>
  </w:style>
  <w:style w:type="paragraph" w:styleId="859" w:customStyle="1">
    <w:name w:val="图表目录1"/>
    <w:basedOn w:val="775"/>
    <w:next w:val="775"/>
    <w:uiPriority w:val="99"/>
    <w:unhideWhenUsed/>
    <w:qFormat/>
  </w:style>
  <w:style w:type="paragraph" w:styleId="860" w:customStyle="1">
    <w:name w:val="普通(网站)1"/>
    <w:basedOn w:val="775"/>
    <w:uiPriority w:val="99"/>
    <w:qFormat/>
    <w:pPr>
      <w:jc w:val="left"/>
      <w:spacing w:beforeAutospacing="1" w:afterAutospacing="1"/>
    </w:pPr>
    <w:rPr>
      <w:sz w:val="24"/>
    </w:rPr>
  </w:style>
  <w:style w:type="paragraph" w:styleId="861" w:customStyle="1">
    <w:name w:val="标题1"/>
    <w:basedOn w:val="775"/>
    <w:next w:val="775"/>
    <w:link w:val="862"/>
    <w:uiPriority w:val="0"/>
    <w:qFormat/>
    <w:pPr>
      <w:jc w:val="center"/>
      <w:spacing w:before="240" w:after="60"/>
      <w:outlineLvl w:val="0"/>
    </w:pPr>
    <w:rPr>
      <w:rFonts w:ascii="Calibri Light" w:hAnsi="Calibri Light" w:eastAsia="黑体"/>
      <w:b/>
      <w:bCs/>
      <w:sz w:val="32"/>
      <w:szCs w:val="32"/>
    </w:rPr>
  </w:style>
  <w:style w:type="character" w:styleId="862" w:customStyle="1">
    <w:name w:val="标题 字符"/>
    <w:link w:val="861"/>
    <w:uiPriority w:val="0"/>
    <w:qFormat/>
    <w:rPr>
      <w:rFonts w:ascii="Calibri Light" w:hAnsi="Calibri Light" w:eastAsia="黑体" w:cs="Times New Roman"/>
      <w:b/>
      <w:bCs/>
      <w:sz w:val="32"/>
      <w:szCs w:val="32"/>
    </w:rPr>
  </w:style>
  <w:style w:type="table" w:styleId="863" w:customStyle="1">
    <w:name w:val="网格型1"/>
    <w:basedOn w:val="827"/>
    <w:uiPriority w:val="59"/>
    <w:qFormat/>
    <w:tblPr/>
  </w:style>
  <w:style w:type="character" w:styleId="864" w:customStyle="1">
    <w:name w:val="要点1"/>
    <w:uiPriority w:val="22"/>
    <w:qFormat/>
    <w:rPr>
      <w:b/>
      <w:bCs/>
    </w:rPr>
  </w:style>
  <w:style w:type="character" w:styleId="865" w:customStyle="1">
    <w:name w:val="尾注引用1"/>
    <w:uiPriority w:val="99"/>
    <w:unhideWhenUsed/>
    <w:qFormat/>
    <w:rPr>
      <w:vertAlign w:val="superscript"/>
    </w:rPr>
  </w:style>
  <w:style w:type="character" w:styleId="866" w:customStyle="1">
    <w:name w:val="超链接1"/>
    <w:uiPriority w:val="99"/>
    <w:unhideWhenUsed/>
    <w:qFormat/>
    <w:rPr>
      <w:color w:val="0563c1"/>
      <w:u w:val="single"/>
    </w:rPr>
  </w:style>
  <w:style w:type="character" w:styleId="867" w:customStyle="1">
    <w:name w:val="脚注引用1"/>
    <w:uiPriority w:val="99"/>
    <w:unhideWhenUsed/>
    <w:qFormat/>
    <w:rPr>
      <w:vertAlign w:val="superscript"/>
    </w:rPr>
  </w:style>
  <w:style w:type="table" w:styleId="868" w:customStyle="1">
    <w:name w:val="无格式表格 11"/>
    <w:basedOn w:val="827"/>
    <w:uiPriority w:val="59"/>
    <w:qFormat/>
    <w:tblPr/>
  </w:style>
  <w:style w:type="table" w:styleId="869" w:customStyle="1">
    <w:name w:val="无格式表格 21"/>
    <w:basedOn w:val="827"/>
    <w:uiPriority w:val="59"/>
    <w:qFormat/>
    <w:tblPr/>
  </w:style>
  <w:style w:type="table" w:styleId="870" w:customStyle="1">
    <w:name w:val="无格式表格 31"/>
    <w:basedOn w:val="827"/>
    <w:uiPriority w:val="99"/>
    <w:qFormat/>
    <w:tblPr/>
  </w:style>
  <w:style w:type="table" w:styleId="871" w:customStyle="1">
    <w:name w:val="无格式表格 41"/>
    <w:basedOn w:val="827"/>
    <w:uiPriority w:val="99"/>
    <w:qFormat/>
    <w:tblPr/>
  </w:style>
  <w:style w:type="table" w:styleId="872" w:customStyle="1">
    <w:name w:val="无格式表格 51"/>
    <w:basedOn w:val="827"/>
    <w:uiPriority w:val="99"/>
    <w:qFormat/>
    <w:tblPr/>
  </w:style>
  <w:style w:type="table" w:styleId="873" w:customStyle="1">
    <w:name w:val="网格表 1 浅色1"/>
    <w:basedOn w:val="827"/>
    <w:uiPriority w:val="99"/>
    <w:qFormat/>
    <w:tblPr/>
  </w:style>
  <w:style w:type="table" w:styleId="874" w:customStyle="1">
    <w:name w:val="网格表 21"/>
    <w:basedOn w:val="827"/>
    <w:uiPriority w:val="99"/>
    <w:qFormat/>
    <w:tblPr/>
  </w:style>
  <w:style w:type="table" w:styleId="875" w:customStyle="1">
    <w:name w:val="网格表 31"/>
    <w:basedOn w:val="827"/>
    <w:uiPriority w:val="99"/>
    <w:qFormat/>
    <w:tblPr/>
  </w:style>
  <w:style w:type="table" w:styleId="876" w:customStyle="1">
    <w:name w:val="网格表 41"/>
    <w:basedOn w:val="827"/>
    <w:uiPriority w:val="59"/>
    <w:qFormat/>
    <w:tblPr/>
  </w:style>
  <w:style w:type="table" w:styleId="877" w:customStyle="1">
    <w:name w:val="网格表 5 深色1"/>
    <w:basedOn w:val="827"/>
    <w:uiPriority w:val="99"/>
    <w:qFormat/>
    <w:tblPr/>
  </w:style>
  <w:style w:type="table" w:styleId="878" w:customStyle="1">
    <w:name w:val="网格表 6 彩色1"/>
    <w:basedOn w:val="827"/>
    <w:uiPriority w:val="99"/>
    <w:qFormat/>
    <w:tblPr/>
  </w:style>
  <w:style w:type="table" w:styleId="879" w:customStyle="1">
    <w:name w:val="网格表 7 彩色1"/>
    <w:basedOn w:val="827"/>
    <w:uiPriority w:val="99"/>
    <w:qFormat/>
    <w:tblPr/>
  </w:style>
  <w:style w:type="table" w:styleId="880" w:customStyle="1">
    <w:name w:val="清单表 1 浅色1"/>
    <w:basedOn w:val="827"/>
    <w:uiPriority w:val="99"/>
    <w:qFormat/>
    <w:tblPr/>
  </w:style>
  <w:style w:type="table" w:styleId="881" w:customStyle="1">
    <w:name w:val="清单表 21"/>
    <w:basedOn w:val="827"/>
    <w:uiPriority w:val="99"/>
    <w:qFormat/>
    <w:tblPr/>
  </w:style>
  <w:style w:type="table" w:styleId="882" w:customStyle="1">
    <w:name w:val="清单表 31"/>
    <w:basedOn w:val="827"/>
    <w:uiPriority w:val="99"/>
    <w:qFormat/>
    <w:tblPr/>
  </w:style>
  <w:style w:type="table" w:styleId="883" w:customStyle="1">
    <w:name w:val="清单表 41"/>
    <w:basedOn w:val="827"/>
    <w:uiPriority w:val="99"/>
    <w:qFormat/>
    <w:tblPr/>
  </w:style>
  <w:style w:type="table" w:styleId="884" w:customStyle="1">
    <w:name w:val="清单表 5 深色1"/>
    <w:basedOn w:val="827"/>
    <w:uiPriority w:val="99"/>
    <w:qFormat/>
    <w:tblPr/>
  </w:style>
  <w:style w:type="table" w:styleId="885" w:customStyle="1">
    <w:name w:val="清单表 6 彩色1"/>
    <w:basedOn w:val="827"/>
    <w:uiPriority w:val="99"/>
    <w:qFormat/>
    <w:tblPr/>
  </w:style>
  <w:style w:type="table" w:styleId="886" w:customStyle="1">
    <w:name w:val="清单表 7 彩色1"/>
    <w:basedOn w:val="827"/>
    <w:uiPriority w:val="99"/>
    <w:qFormat/>
    <w:tblPr/>
  </w:style>
  <w:style w:type="paragraph" w:styleId="887" w:customStyle="1">
    <w:name w:val="TOC 标题2"/>
    <w:uiPriority w:val="39"/>
    <w:qFormat/>
    <w:rPr>
      <w:rFonts w:ascii="Times New Roman" w:hAnsi="Times New Roman" w:eastAsia="宋体" w:cs="Times New Roman"/>
      <w:lang w:val="en-US" w:eastAsia="zh-CN" w:bidi="ar-SA"/>
    </w:rPr>
  </w:style>
  <w:style w:type="character" w:styleId="888" w:customStyle="1">
    <w:name w:val="Heading 2 Char"/>
    <w:uiPriority w:val="9"/>
    <w:qFormat/>
    <w:rPr>
      <w:rFonts w:ascii="Arial" w:hAnsi="Arial" w:eastAsia="Arial" w:cs="Arial"/>
      <w:sz w:val="34"/>
    </w:rPr>
  </w:style>
  <w:style w:type="character" w:styleId="889" w:customStyle="1">
    <w:name w:val="Heading 3 Char"/>
    <w:uiPriority w:val="9"/>
    <w:qFormat/>
    <w:rPr>
      <w:rFonts w:ascii="Arial" w:hAnsi="Arial" w:eastAsia="Arial" w:cs="Arial"/>
      <w:sz w:val="30"/>
      <w:szCs w:val="30"/>
    </w:rPr>
  </w:style>
  <w:style w:type="character" w:styleId="890" w:customStyle="1">
    <w:name w:val="Heading 4 Char"/>
    <w:uiPriority w:val="9"/>
    <w:qFormat/>
    <w:rPr>
      <w:rFonts w:ascii="Arial" w:hAnsi="Arial" w:eastAsia="Arial" w:cs="Arial"/>
      <w:b/>
      <w:bCs/>
      <w:sz w:val="26"/>
      <w:szCs w:val="26"/>
    </w:rPr>
  </w:style>
  <w:style w:type="character" w:styleId="891" w:customStyle="1">
    <w:name w:val="Heading 5 Char"/>
    <w:uiPriority w:val="9"/>
    <w:qFormat/>
    <w:rPr>
      <w:rFonts w:ascii="Arial" w:hAnsi="Arial" w:eastAsia="Arial" w:cs="Arial"/>
      <w:b/>
      <w:bCs/>
      <w:sz w:val="24"/>
      <w:szCs w:val="24"/>
    </w:rPr>
  </w:style>
  <w:style w:type="character" w:styleId="892" w:customStyle="1">
    <w:name w:val="Heading 6 Char"/>
    <w:uiPriority w:val="9"/>
    <w:qFormat/>
    <w:rPr>
      <w:rFonts w:ascii="Arial" w:hAnsi="Arial" w:eastAsia="Arial" w:cs="Arial"/>
      <w:b/>
      <w:bCs/>
      <w:sz w:val="22"/>
      <w:szCs w:val="22"/>
    </w:rPr>
  </w:style>
  <w:style w:type="character" w:styleId="893" w:customStyle="1">
    <w:name w:val="Heading 7 Char"/>
    <w:uiPriority w:val="9"/>
    <w:qFormat/>
    <w:rPr>
      <w:rFonts w:ascii="Arial" w:hAnsi="Arial" w:eastAsia="Arial" w:cs="Arial"/>
      <w:b/>
      <w:bCs/>
      <w:i/>
      <w:iCs/>
      <w:sz w:val="22"/>
      <w:szCs w:val="22"/>
    </w:rPr>
  </w:style>
  <w:style w:type="character" w:styleId="894" w:customStyle="1">
    <w:name w:val="Heading 8 Char"/>
    <w:uiPriority w:val="9"/>
    <w:qFormat/>
    <w:rPr>
      <w:rFonts w:ascii="Arial" w:hAnsi="Arial" w:eastAsia="Arial" w:cs="Arial"/>
      <w:i/>
      <w:iCs/>
      <w:sz w:val="22"/>
      <w:szCs w:val="22"/>
    </w:rPr>
  </w:style>
  <w:style w:type="character" w:styleId="895" w:customStyle="1">
    <w:name w:val="Heading 9 Char"/>
    <w:uiPriority w:val="9"/>
    <w:qFormat/>
    <w:rPr>
      <w:rFonts w:ascii="Arial" w:hAnsi="Arial" w:eastAsia="Arial" w:cs="Arial"/>
      <w:i/>
      <w:iCs/>
      <w:sz w:val="21"/>
      <w:szCs w:val="21"/>
    </w:rPr>
  </w:style>
  <w:style w:type="character" w:styleId="896" w:customStyle="1">
    <w:name w:val="Subtitle Char"/>
    <w:uiPriority w:val="11"/>
    <w:qFormat/>
    <w:rPr>
      <w:sz w:val="24"/>
      <w:szCs w:val="24"/>
    </w:rPr>
  </w:style>
  <w:style w:type="character" w:styleId="897" w:customStyle="1">
    <w:name w:val="Quote Char"/>
    <w:uiPriority w:val="29"/>
    <w:qFormat/>
    <w:rPr>
      <w:i/>
    </w:rPr>
  </w:style>
  <w:style w:type="character" w:styleId="898" w:customStyle="1">
    <w:name w:val="Intense Quote Char"/>
    <w:uiPriority w:val="30"/>
    <w:qFormat/>
    <w:rPr>
      <w:i/>
    </w:rPr>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paragraph" w:styleId="901" w:customStyle="1">
    <w:name w:val="TOC 标题112"/>
    <w:uiPriority w:val="39"/>
    <w:unhideWhenUsed/>
    <w:qFormat/>
    <w:rPr>
      <w:rFonts w:ascii="Times New Roman" w:hAnsi="Times New Roman" w:eastAsia="宋体" w:cs="Times New Roman"/>
      <w:lang w:val="en-US" w:eastAsia="zh-CN" w:bidi="ar-SA"/>
    </w:rPr>
  </w:style>
  <w:style w:type="character" w:styleId="902" w:customStyle="1">
    <w:name w:val="Heading 1 Char"/>
    <w:uiPriority w:val="9"/>
    <w:qFormat/>
    <w:rPr>
      <w:rFonts w:ascii="Arial" w:hAnsi="Arial" w:eastAsia="Arial" w:cs="Arial"/>
      <w:sz w:val="40"/>
      <w:szCs w:val="40"/>
    </w:rPr>
  </w:style>
  <w:style w:type="paragraph" w:styleId="903" w:customStyle="1">
    <w:name w:val="列表段落1"/>
    <w:basedOn w:val="775"/>
    <w:uiPriority w:val="34"/>
    <w:qFormat/>
    <w:pPr>
      <w:contextualSpacing/>
      <w:ind w:left="720"/>
    </w:pPr>
  </w:style>
  <w:style w:type="paragraph" w:styleId="904" w:customStyle="1">
    <w:name w:val="无间隔1"/>
    <w:uiPriority w:val="1"/>
    <w:qFormat/>
    <w:rPr>
      <w:rFonts w:ascii="Times New Roman" w:hAnsi="Times New Roman" w:eastAsia="宋体" w:cs="Times New Roman"/>
      <w:lang w:val="en-US" w:eastAsia="zh-CN" w:bidi="ar-SA"/>
    </w:rPr>
  </w:style>
  <w:style w:type="character" w:styleId="905" w:customStyle="1">
    <w:name w:val="Title Char"/>
    <w:uiPriority w:val="10"/>
    <w:qFormat/>
    <w:rPr>
      <w:sz w:val="48"/>
      <w:szCs w:val="48"/>
    </w:rPr>
  </w:style>
  <w:style w:type="paragraph" w:styleId="906" w:customStyle="1">
    <w:name w:val="引用1"/>
    <w:basedOn w:val="775"/>
    <w:next w:val="775"/>
    <w:link w:val="907"/>
    <w:uiPriority w:val="29"/>
    <w:qFormat/>
    <w:pPr>
      <w:ind w:left="720" w:right="720"/>
    </w:pPr>
    <w:rPr>
      <w:rFonts w:ascii="Times New Roman" w:hAnsi="Times New Roman"/>
      <w:i/>
      <w:sz w:val="20"/>
      <w:szCs w:val="20"/>
    </w:rPr>
  </w:style>
  <w:style w:type="character" w:styleId="907" w:customStyle="1">
    <w:name w:val="引用 字符"/>
    <w:link w:val="906"/>
    <w:uiPriority w:val="29"/>
    <w:qFormat/>
    <w:rPr>
      <w:i/>
    </w:rPr>
  </w:style>
  <w:style w:type="paragraph" w:styleId="908" w:customStyle="1">
    <w:name w:val="明显引用1"/>
    <w:basedOn w:val="775"/>
    <w:next w:val="775"/>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09" w:customStyle="1">
    <w:name w:val="明显引用 字符"/>
    <w:link w:val="908"/>
    <w:uiPriority w:val="30"/>
    <w:qFormat/>
    <w:rPr>
      <w:i/>
    </w:rPr>
  </w:style>
  <w:style w:type="character" w:styleId="910" w:customStyle="1">
    <w:name w:val="Header Char"/>
    <w:uiPriority w:val="99"/>
    <w:qFormat/>
  </w:style>
  <w:style w:type="character" w:styleId="911" w:customStyle="1">
    <w:name w:val="Footer Char"/>
    <w:uiPriority w:val="99"/>
    <w:qFormat/>
  </w:style>
  <w:style w:type="character" w:styleId="912" w:customStyle="1">
    <w:name w:val="Caption Char"/>
    <w:uiPriority w:val="99"/>
    <w:qFormat/>
  </w:style>
  <w:style w:type="table" w:styleId="913" w:customStyle="1">
    <w:name w:val="Table Grid Light"/>
    <w:basedOn w:val="827"/>
    <w:uiPriority w:val="59"/>
    <w:qFormat/>
    <w:tblPr/>
  </w:style>
  <w:style w:type="table" w:styleId="914" w:customStyle="1">
    <w:name w:val="Grid Table 1 Light - Accent 1"/>
    <w:basedOn w:val="827"/>
    <w:uiPriority w:val="99"/>
    <w:qFormat/>
    <w:tblPr/>
  </w:style>
  <w:style w:type="table" w:styleId="915" w:customStyle="1">
    <w:name w:val="Grid Table 1 Light - Accent 2"/>
    <w:basedOn w:val="827"/>
    <w:uiPriority w:val="99"/>
    <w:qFormat/>
    <w:tblPr/>
  </w:style>
  <w:style w:type="table" w:styleId="916" w:customStyle="1">
    <w:name w:val="Grid Table 1 Light - Accent 3"/>
    <w:basedOn w:val="827"/>
    <w:uiPriority w:val="99"/>
    <w:qFormat/>
    <w:tblPr/>
  </w:style>
  <w:style w:type="table" w:styleId="917" w:customStyle="1">
    <w:name w:val="Grid Table 1 Light - Accent 4"/>
    <w:basedOn w:val="827"/>
    <w:uiPriority w:val="99"/>
    <w:qFormat/>
    <w:tblPr/>
  </w:style>
  <w:style w:type="table" w:styleId="918" w:customStyle="1">
    <w:name w:val="Grid Table 1 Light - Accent 5"/>
    <w:basedOn w:val="827"/>
    <w:uiPriority w:val="99"/>
    <w:qFormat/>
    <w:tblPr/>
  </w:style>
  <w:style w:type="table" w:styleId="919" w:customStyle="1">
    <w:name w:val="Grid Table 1 Light - Accent 6"/>
    <w:basedOn w:val="827"/>
    <w:uiPriority w:val="99"/>
    <w:qFormat/>
    <w:tblPr/>
  </w:style>
  <w:style w:type="table" w:styleId="920" w:customStyle="1">
    <w:name w:val="Grid Table 2 - Accent 1"/>
    <w:basedOn w:val="827"/>
    <w:uiPriority w:val="99"/>
    <w:qFormat/>
    <w:tblPr/>
  </w:style>
  <w:style w:type="table" w:styleId="921" w:customStyle="1">
    <w:name w:val="Grid Table 2 - Accent 2"/>
    <w:basedOn w:val="827"/>
    <w:uiPriority w:val="99"/>
    <w:qFormat/>
    <w:tblPr/>
  </w:style>
  <w:style w:type="table" w:styleId="922" w:customStyle="1">
    <w:name w:val="Grid Table 2 - Accent 3"/>
    <w:basedOn w:val="827"/>
    <w:uiPriority w:val="99"/>
    <w:qFormat/>
    <w:tblPr/>
  </w:style>
  <w:style w:type="table" w:styleId="923" w:customStyle="1">
    <w:name w:val="Grid Table 2 - Accent 4"/>
    <w:basedOn w:val="827"/>
    <w:uiPriority w:val="99"/>
    <w:qFormat/>
    <w:tblPr/>
  </w:style>
  <w:style w:type="table" w:styleId="924" w:customStyle="1">
    <w:name w:val="Grid Table 2 - Accent 5"/>
    <w:basedOn w:val="827"/>
    <w:uiPriority w:val="99"/>
    <w:qFormat/>
    <w:tblPr/>
  </w:style>
  <w:style w:type="table" w:styleId="925" w:customStyle="1">
    <w:name w:val="Grid Table 2 - Accent 6"/>
    <w:basedOn w:val="827"/>
    <w:uiPriority w:val="99"/>
    <w:qFormat/>
    <w:tblPr/>
  </w:style>
  <w:style w:type="table" w:styleId="926" w:customStyle="1">
    <w:name w:val="Grid Table 3 - Accent 1"/>
    <w:basedOn w:val="827"/>
    <w:uiPriority w:val="99"/>
    <w:qFormat/>
    <w:tblPr/>
  </w:style>
  <w:style w:type="table" w:styleId="927" w:customStyle="1">
    <w:name w:val="Grid Table 3 - Accent 2"/>
    <w:basedOn w:val="827"/>
    <w:uiPriority w:val="99"/>
    <w:qFormat/>
    <w:tblPr/>
  </w:style>
  <w:style w:type="table" w:styleId="928" w:customStyle="1">
    <w:name w:val="Grid Table 3 - Accent 3"/>
    <w:basedOn w:val="827"/>
    <w:uiPriority w:val="99"/>
    <w:qFormat/>
    <w:tblPr/>
  </w:style>
  <w:style w:type="table" w:styleId="929" w:customStyle="1">
    <w:name w:val="Grid Table 3 - Accent 4"/>
    <w:basedOn w:val="827"/>
    <w:uiPriority w:val="99"/>
    <w:qFormat/>
    <w:tblPr/>
  </w:style>
  <w:style w:type="table" w:styleId="930" w:customStyle="1">
    <w:name w:val="Grid Table 3 - Accent 5"/>
    <w:basedOn w:val="827"/>
    <w:uiPriority w:val="99"/>
    <w:qFormat/>
    <w:tblPr/>
  </w:style>
  <w:style w:type="table" w:styleId="931" w:customStyle="1">
    <w:name w:val="Grid Table 3 - Accent 6"/>
    <w:basedOn w:val="827"/>
    <w:uiPriority w:val="99"/>
    <w:qFormat/>
    <w:tblPr/>
  </w:style>
  <w:style w:type="table" w:styleId="932" w:customStyle="1">
    <w:name w:val="Grid Table 4 - Accent 1"/>
    <w:basedOn w:val="827"/>
    <w:uiPriority w:val="59"/>
    <w:qFormat/>
    <w:tblPr/>
  </w:style>
  <w:style w:type="table" w:styleId="933" w:customStyle="1">
    <w:name w:val="Grid Table 4 - Accent 2"/>
    <w:basedOn w:val="827"/>
    <w:uiPriority w:val="59"/>
    <w:qFormat/>
    <w:tblPr/>
  </w:style>
  <w:style w:type="table" w:styleId="934" w:customStyle="1">
    <w:name w:val="Grid Table 4 - Accent 3"/>
    <w:basedOn w:val="827"/>
    <w:uiPriority w:val="59"/>
    <w:qFormat/>
    <w:tblPr/>
  </w:style>
  <w:style w:type="table" w:styleId="935" w:customStyle="1">
    <w:name w:val="Grid Table 4 - Accent 4"/>
    <w:basedOn w:val="827"/>
    <w:uiPriority w:val="59"/>
    <w:qFormat/>
    <w:tblPr/>
  </w:style>
  <w:style w:type="table" w:styleId="936" w:customStyle="1">
    <w:name w:val="Grid Table 4 - Accent 5"/>
    <w:basedOn w:val="827"/>
    <w:uiPriority w:val="59"/>
    <w:qFormat/>
    <w:tblPr/>
  </w:style>
  <w:style w:type="table" w:styleId="937" w:customStyle="1">
    <w:name w:val="Grid Table 4 - Accent 6"/>
    <w:basedOn w:val="827"/>
    <w:uiPriority w:val="59"/>
    <w:qFormat/>
    <w:tblPr/>
  </w:style>
  <w:style w:type="table" w:styleId="938" w:customStyle="1">
    <w:name w:val="Grid Table 5 Dark- Accent 1"/>
    <w:basedOn w:val="827"/>
    <w:uiPriority w:val="99"/>
    <w:qFormat/>
    <w:tblPr/>
  </w:style>
  <w:style w:type="table" w:styleId="939" w:customStyle="1">
    <w:name w:val="Grid Table 5 Dark - Accent 2"/>
    <w:basedOn w:val="827"/>
    <w:uiPriority w:val="99"/>
    <w:qFormat/>
    <w:tblPr/>
  </w:style>
  <w:style w:type="table" w:styleId="940" w:customStyle="1">
    <w:name w:val="Grid Table 5 Dark - Accent 3"/>
    <w:basedOn w:val="827"/>
    <w:uiPriority w:val="99"/>
    <w:qFormat/>
    <w:tblPr/>
  </w:style>
  <w:style w:type="table" w:styleId="941" w:customStyle="1">
    <w:name w:val="Grid Table 5 Dark- Accent 4"/>
    <w:basedOn w:val="827"/>
    <w:uiPriority w:val="99"/>
    <w:qFormat/>
    <w:tblPr/>
  </w:style>
  <w:style w:type="table" w:styleId="942" w:customStyle="1">
    <w:name w:val="Grid Table 5 Dark - Accent 5"/>
    <w:basedOn w:val="827"/>
    <w:uiPriority w:val="99"/>
    <w:qFormat/>
    <w:tblPr/>
  </w:style>
  <w:style w:type="table" w:styleId="943" w:customStyle="1">
    <w:name w:val="Grid Table 5 Dark - Accent 6"/>
    <w:basedOn w:val="827"/>
    <w:uiPriority w:val="99"/>
    <w:qFormat/>
    <w:tblPr/>
  </w:style>
  <w:style w:type="table" w:styleId="944" w:customStyle="1">
    <w:name w:val="Grid Table 6 Colorful - Accent 1"/>
    <w:basedOn w:val="827"/>
    <w:uiPriority w:val="99"/>
    <w:qFormat/>
    <w:tblPr/>
  </w:style>
  <w:style w:type="table" w:styleId="945" w:customStyle="1">
    <w:name w:val="Grid Table 6 Colorful - Accent 2"/>
    <w:basedOn w:val="827"/>
    <w:uiPriority w:val="99"/>
    <w:qFormat/>
    <w:tblPr/>
  </w:style>
  <w:style w:type="table" w:styleId="946" w:customStyle="1">
    <w:name w:val="Grid Table 6 Colorful - Accent 3"/>
    <w:basedOn w:val="827"/>
    <w:uiPriority w:val="99"/>
    <w:qFormat/>
    <w:tblPr/>
  </w:style>
  <w:style w:type="table" w:styleId="947" w:customStyle="1">
    <w:name w:val="Grid Table 6 Colorful - Accent 4"/>
    <w:basedOn w:val="827"/>
    <w:uiPriority w:val="99"/>
    <w:qFormat/>
    <w:tblPr/>
  </w:style>
  <w:style w:type="table" w:styleId="948" w:customStyle="1">
    <w:name w:val="Grid Table 6 Colorful - Accent 5"/>
    <w:basedOn w:val="827"/>
    <w:uiPriority w:val="99"/>
    <w:qFormat/>
    <w:tblPr/>
  </w:style>
  <w:style w:type="table" w:styleId="949" w:customStyle="1">
    <w:name w:val="Grid Table 6 Colorful - Accent 6"/>
    <w:basedOn w:val="827"/>
    <w:uiPriority w:val="99"/>
    <w:qFormat/>
    <w:tblPr/>
  </w:style>
  <w:style w:type="table" w:styleId="950" w:customStyle="1">
    <w:name w:val="Grid Table 7 Colorful - Accent 1"/>
    <w:basedOn w:val="827"/>
    <w:uiPriority w:val="99"/>
    <w:qFormat/>
    <w:tblPr/>
  </w:style>
  <w:style w:type="table" w:styleId="951" w:customStyle="1">
    <w:name w:val="Grid Table 7 Colorful - Accent 2"/>
    <w:basedOn w:val="827"/>
    <w:uiPriority w:val="99"/>
    <w:qFormat/>
    <w:tblPr/>
  </w:style>
  <w:style w:type="table" w:styleId="952" w:customStyle="1">
    <w:name w:val="Grid Table 7 Colorful - Accent 3"/>
    <w:basedOn w:val="827"/>
    <w:uiPriority w:val="99"/>
    <w:qFormat/>
    <w:tblPr/>
  </w:style>
  <w:style w:type="table" w:styleId="953" w:customStyle="1">
    <w:name w:val="Grid Table 7 Colorful - Accent 4"/>
    <w:basedOn w:val="827"/>
    <w:uiPriority w:val="99"/>
    <w:qFormat/>
    <w:tblPr/>
  </w:style>
  <w:style w:type="table" w:styleId="954" w:customStyle="1">
    <w:name w:val="Grid Table 7 Colorful - Accent 5"/>
    <w:basedOn w:val="827"/>
    <w:uiPriority w:val="99"/>
    <w:qFormat/>
    <w:tblPr/>
  </w:style>
  <w:style w:type="table" w:styleId="955" w:customStyle="1">
    <w:name w:val="Grid Table 7 Colorful - Accent 6"/>
    <w:basedOn w:val="827"/>
    <w:uiPriority w:val="99"/>
    <w:qFormat/>
    <w:tblPr/>
  </w:style>
  <w:style w:type="table" w:styleId="956" w:customStyle="1">
    <w:name w:val="List Table 1 Light - Accent 1"/>
    <w:basedOn w:val="827"/>
    <w:uiPriority w:val="99"/>
    <w:qFormat/>
    <w:tblPr/>
  </w:style>
  <w:style w:type="table" w:styleId="957" w:customStyle="1">
    <w:name w:val="List Table 1 Light - Accent 2"/>
    <w:basedOn w:val="827"/>
    <w:uiPriority w:val="99"/>
    <w:qFormat/>
    <w:tblPr/>
  </w:style>
  <w:style w:type="table" w:styleId="958" w:customStyle="1">
    <w:name w:val="List Table 1 Light - Accent 3"/>
    <w:basedOn w:val="827"/>
    <w:uiPriority w:val="99"/>
    <w:qFormat/>
    <w:tblPr/>
  </w:style>
  <w:style w:type="table" w:styleId="959" w:customStyle="1">
    <w:name w:val="List Table 1 Light - Accent 4"/>
    <w:basedOn w:val="827"/>
    <w:uiPriority w:val="99"/>
    <w:qFormat/>
    <w:tblPr/>
  </w:style>
  <w:style w:type="table" w:styleId="960" w:customStyle="1">
    <w:name w:val="List Table 1 Light - Accent 5"/>
    <w:basedOn w:val="827"/>
    <w:uiPriority w:val="99"/>
    <w:qFormat/>
    <w:tblPr/>
  </w:style>
  <w:style w:type="table" w:styleId="961" w:customStyle="1">
    <w:name w:val="List Table 1 Light - Accent 6"/>
    <w:basedOn w:val="827"/>
    <w:uiPriority w:val="99"/>
    <w:qFormat/>
    <w:tblPr/>
  </w:style>
  <w:style w:type="table" w:styleId="962" w:customStyle="1">
    <w:name w:val="List Table 2 - Accent 1"/>
    <w:basedOn w:val="827"/>
    <w:uiPriority w:val="99"/>
    <w:qFormat/>
    <w:tblPr/>
  </w:style>
  <w:style w:type="table" w:styleId="963" w:customStyle="1">
    <w:name w:val="List Table 2 - Accent 2"/>
    <w:basedOn w:val="827"/>
    <w:uiPriority w:val="99"/>
    <w:qFormat/>
    <w:tblPr/>
  </w:style>
  <w:style w:type="table" w:styleId="964" w:customStyle="1">
    <w:name w:val="List Table 2 - Accent 3"/>
    <w:basedOn w:val="827"/>
    <w:uiPriority w:val="99"/>
    <w:qFormat/>
    <w:tblPr/>
  </w:style>
  <w:style w:type="table" w:styleId="965" w:customStyle="1">
    <w:name w:val="List Table 2 - Accent 4"/>
    <w:basedOn w:val="827"/>
    <w:uiPriority w:val="99"/>
    <w:qFormat/>
    <w:tblPr/>
  </w:style>
  <w:style w:type="table" w:styleId="966" w:customStyle="1">
    <w:name w:val="List Table 2 - Accent 5"/>
    <w:basedOn w:val="827"/>
    <w:uiPriority w:val="99"/>
    <w:qFormat/>
    <w:tblPr/>
  </w:style>
  <w:style w:type="table" w:styleId="967" w:customStyle="1">
    <w:name w:val="List Table 2 - Accent 6"/>
    <w:basedOn w:val="827"/>
    <w:uiPriority w:val="99"/>
    <w:qFormat/>
    <w:tblPr/>
  </w:style>
  <w:style w:type="table" w:styleId="968" w:customStyle="1">
    <w:name w:val="List Table 3 - Accent 1"/>
    <w:basedOn w:val="827"/>
    <w:uiPriority w:val="99"/>
    <w:qFormat/>
    <w:tblPr/>
  </w:style>
  <w:style w:type="table" w:styleId="969" w:customStyle="1">
    <w:name w:val="List Table 3 - Accent 2"/>
    <w:basedOn w:val="827"/>
    <w:uiPriority w:val="99"/>
    <w:qFormat/>
    <w:tblPr/>
  </w:style>
  <w:style w:type="table" w:styleId="970" w:customStyle="1">
    <w:name w:val="List Table 3 - Accent 3"/>
    <w:basedOn w:val="827"/>
    <w:uiPriority w:val="99"/>
    <w:qFormat/>
    <w:tblPr/>
  </w:style>
  <w:style w:type="table" w:styleId="971" w:customStyle="1">
    <w:name w:val="List Table 3 - Accent 4"/>
    <w:basedOn w:val="827"/>
    <w:uiPriority w:val="99"/>
    <w:qFormat/>
    <w:tblPr/>
  </w:style>
  <w:style w:type="table" w:styleId="972" w:customStyle="1">
    <w:name w:val="List Table 3 - Accent 5"/>
    <w:basedOn w:val="827"/>
    <w:uiPriority w:val="99"/>
    <w:qFormat/>
    <w:tblPr/>
  </w:style>
  <w:style w:type="table" w:styleId="973" w:customStyle="1">
    <w:name w:val="List Table 3 - Accent 6"/>
    <w:basedOn w:val="827"/>
    <w:uiPriority w:val="99"/>
    <w:qFormat/>
    <w:tblPr/>
  </w:style>
  <w:style w:type="table" w:styleId="974" w:customStyle="1">
    <w:name w:val="List Table 4 - Accent 1"/>
    <w:basedOn w:val="827"/>
    <w:uiPriority w:val="99"/>
    <w:qFormat/>
    <w:tblPr/>
  </w:style>
  <w:style w:type="table" w:styleId="975" w:customStyle="1">
    <w:name w:val="List Table 4 - Accent 2"/>
    <w:basedOn w:val="827"/>
    <w:uiPriority w:val="99"/>
    <w:qFormat/>
    <w:tblPr/>
  </w:style>
  <w:style w:type="table" w:styleId="976" w:customStyle="1">
    <w:name w:val="List Table 4 - Accent 3"/>
    <w:basedOn w:val="827"/>
    <w:uiPriority w:val="99"/>
    <w:qFormat/>
    <w:tblPr/>
  </w:style>
  <w:style w:type="table" w:styleId="977" w:customStyle="1">
    <w:name w:val="List Table 4 - Accent 4"/>
    <w:basedOn w:val="827"/>
    <w:uiPriority w:val="99"/>
    <w:qFormat/>
    <w:tblPr/>
  </w:style>
  <w:style w:type="table" w:styleId="978" w:customStyle="1">
    <w:name w:val="List Table 4 - Accent 5"/>
    <w:basedOn w:val="827"/>
    <w:uiPriority w:val="99"/>
    <w:qFormat/>
    <w:tblPr/>
  </w:style>
  <w:style w:type="table" w:styleId="979" w:customStyle="1">
    <w:name w:val="List Table 4 - Accent 6"/>
    <w:basedOn w:val="827"/>
    <w:uiPriority w:val="99"/>
    <w:qFormat/>
    <w:tblPr/>
  </w:style>
  <w:style w:type="table" w:styleId="980" w:customStyle="1">
    <w:name w:val="List Table 5 Dark - Accent 1"/>
    <w:basedOn w:val="827"/>
    <w:uiPriority w:val="99"/>
    <w:qFormat/>
    <w:tblPr/>
  </w:style>
  <w:style w:type="table" w:styleId="981" w:customStyle="1">
    <w:name w:val="List Table 5 Dark - Accent 2"/>
    <w:basedOn w:val="827"/>
    <w:uiPriority w:val="99"/>
    <w:qFormat/>
    <w:tblPr/>
  </w:style>
  <w:style w:type="table" w:styleId="982" w:customStyle="1">
    <w:name w:val="List Table 5 Dark - Accent 3"/>
    <w:basedOn w:val="827"/>
    <w:uiPriority w:val="99"/>
    <w:qFormat/>
    <w:tblPr/>
  </w:style>
  <w:style w:type="table" w:styleId="983" w:customStyle="1">
    <w:name w:val="List Table 5 Dark - Accent 4"/>
    <w:basedOn w:val="827"/>
    <w:uiPriority w:val="99"/>
    <w:qFormat/>
    <w:tblPr/>
  </w:style>
  <w:style w:type="table" w:styleId="984" w:customStyle="1">
    <w:name w:val="List Table 5 Dark - Accent 5"/>
    <w:basedOn w:val="827"/>
    <w:uiPriority w:val="99"/>
    <w:qFormat/>
    <w:tblPr/>
  </w:style>
  <w:style w:type="table" w:styleId="985" w:customStyle="1">
    <w:name w:val="List Table 5 Dark - Accent 6"/>
    <w:basedOn w:val="827"/>
    <w:uiPriority w:val="99"/>
    <w:qFormat/>
    <w:tblPr/>
  </w:style>
  <w:style w:type="table" w:styleId="986" w:customStyle="1">
    <w:name w:val="List Table 6 Colorful - Accent 1"/>
    <w:basedOn w:val="827"/>
    <w:uiPriority w:val="99"/>
    <w:qFormat/>
    <w:tblPr/>
  </w:style>
  <w:style w:type="table" w:styleId="987" w:customStyle="1">
    <w:name w:val="List Table 6 Colorful - Accent 2"/>
    <w:basedOn w:val="827"/>
    <w:uiPriority w:val="99"/>
    <w:qFormat/>
    <w:tblPr/>
  </w:style>
  <w:style w:type="table" w:styleId="988" w:customStyle="1">
    <w:name w:val="List Table 6 Colorful - Accent 3"/>
    <w:basedOn w:val="827"/>
    <w:uiPriority w:val="99"/>
    <w:qFormat/>
    <w:tblPr/>
  </w:style>
  <w:style w:type="table" w:styleId="989" w:customStyle="1">
    <w:name w:val="List Table 6 Colorful - Accent 4"/>
    <w:basedOn w:val="827"/>
    <w:uiPriority w:val="99"/>
    <w:qFormat/>
    <w:tblPr/>
  </w:style>
  <w:style w:type="table" w:styleId="990" w:customStyle="1">
    <w:name w:val="List Table 6 Colorful - Accent 5"/>
    <w:basedOn w:val="827"/>
    <w:uiPriority w:val="99"/>
    <w:qFormat/>
    <w:tblPr/>
  </w:style>
  <w:style w:type="table" w:styleId="991" w:customStyle="1">
    <w:name w:val="List Table 6 Colorful - Accent 6"/>
    <w:basedOn w:val="827"/>
    <w:uiPriority w:val="99"/>
    <w:qFormat/>
    <w:tblPr/>
  </w:style>
  <w:style w:type="table" w:styleId="992" w:customStyle="1">
    <w:name w:val="List Table 7 Colorful - Accent 1"/>
    <w:basedOn w:val="827"/>
    <w:uiPriority w:val="99"/>
    <w:qFormat/>
    <w:tblPr/>
  </w:style>
  <w:style w:type="table" w:styleId="993" w:customStyle="1">
    <w:name w:val="List Table 7 Colorful - Accent 2"/>
    <w:basedOn w:val="827"/>
    <w:uiPriority w:val="99"/>
    <w:qFormat/>
    <w:tblPr/>
  </w:style>
  <w:style w:type="table" w:styleId="994" w:customStyle="1">
    <w:name w:val="List Table 7 Colorful - Accent 3"/>
    <w:basedOn w:val="827"/>
    <w:uiPriority w:val="99"/>
    <w:qFormat/>
    <w:tblPr/>
  </w:style>
  <w:style w:type="table" w:styleId="995" w:customStyle="1">
    <w:name w:val="List Table 7 Colorful - Accent 4"/>
    <w:basedOn w:val="827"/>
    <w:uiPriority w:val="99"/>
    <w:qFormat/>
    <w:tblPr/>
  </w:style>
  <w:style w:type="table" w:styleId="996" w:customStyle="1">
    <w:name w:val="List Table 7 Colorful - Accent 5"/>
    <w:basedOn w:val="827"/>
    <w:uiPriority w:val="99"/>
    <w:qFormat/>
    <w:tblPr/>
  </w:style>
  <w:style w:type="table" w:styleId="997" w:customStyle="1">
    <w:name w:val="List Table 7 Colorful - Accent 6"/>
    <w:basedOn w:val="827"/>
    <w:uiPriority w:val="99"/>
    <w:qFormat/>
    <w:tblPr/>
  </w:style>
  <w:style w:type="table" w:styleId="998" w:customStyle="1">
    <w:name w:val="Lined - Accent"/>
    <w:basedOn w:val="827"/>
    <w:uiPriority w:val="99"/>
    <w:qFormat/>
    <w:rPr>
      <w:color w:val="404040"/>
    </w:rPr>
    <w:tblPr/>
  </w:style>
  <w:style w:type="table" w:styleId="999" w:customStyle="1">
    <w:name w:val="Lined - Accent 1"/>
    <w:basedOn w:val="827"/>
    <w:uiPriority w:val="99"/>
    <w:qFormat/>
    <w:rPr>
      <w:color w:val="404040"/>
    </w:rPr>
    <w:tblPr/>
  </w:style>
  <w:style w:type="table" w:styleId="1000" w:customStyle="1">
    <w:name w:val="Lined - Accent 2"/>
    <w:basedOn w:val="827"/>
    <w:uiPriority w:val="99"/>
    <w:qFormat/>
    <w:rPr>
      <w:color w:val="404040"/>
    </w:rPr>
    <w:tblPr/>
  </w:style>
  <w:style w:type="table" w:styleId="1001" w:customStyle="1">
    <w:name w:val="Lined - Accent 3"/>
    <w:basedOn w:val="827"/>
    <w:uiPriority w:val="99"/>
    <w:qFormat/>
    <w:rPr>
      <w:color w:val="404040"/>
    </w:rPr>
    <w:tblPr/>
  </w:style>
  <w:style w:type="table" w:styleId="1002" w:customStyle="1">
    <w:name w:val="Lined - Accent 4"/>
    <w:basedOn w:val="827"/>
    <w:uiPriority w:val="99"/>
    <w:qFormat/>
    <w:rPr>
      <w:color w:val="404040"/>
    </w:rPr>
    <w:tblPr/>
  </w:style>
  <w:style w:type="table" w:styleId="1003" w:customStyle="1">
    <w:name w:val="Lined - Accent 5"/>
    <w:basedOn w:val="827"/>
    <w:uiPriority w:val="99"/>
    <w:qFormat/>
    <w:rPr>
      <w:color w:val="404040"/>
    </w:rPr>
    <w:tblPr/>
  </w:style>
  <w:style w:type="table" w:styleId="1004" w:customStyle="1">
    <w:name w:val="Lined - Accent 6"/>
    <w:basedOn w:val="827"/>
    <w:uiPriority w:val="99"/>
    <w:qFormat/>
    <w:rPr>
      <w:color w:val="404040"/>
    </w:rPr>
    <w:tblPr/>
  </w:style>
  <w:style w:type="table" w:styleId="1005" w:customStyle="1">
    <w:name w:val="Bordered &amp; Lined - Accent"/>
    <w:basedOn w:val="827"/>
    <w:uiPriority w:val="99"/>
    <w:qFormat/>
    <w:rPr>
      <w:color w:val="404040"/>
    </w:rPr>
    <w:tblPr/>
  </w:style>
  <w:style w:type="table" w:styleId="1006" w:customStyle="1">
    <w:name w:val="Bordered &amp; Lined - Accent 1"/>
    <w:basedOn w:val="827"/>
    <w:uiPriority w:val="99"/>
    <w:qFormat/>
    <w:rPr>
      <w:color w:val="404040"/>
    </w:rPr>
    <w:tblPr/>
  </w:style>
  <w:style w:type="table" w:styleId="1007" w:customStyle="1">
    <w:name w:val="Bordered &amp; Lined - Accent 2"/>
    <w:basedOn w:val="827"/>
    <w:uiPriority w:val="99"/>
    <w:qFormat/>
    <w:rPr>
      <w:color w:val="404040"/>
    </w:rPr>
    <w:tblPr/>
  </w:style>
  <w:style w:type="table" w:styleId="1008" w:customStyle="1">
    <w:name w:val="Bordered &amp; Lined - Accent 3"/>
    <w:basedOn w:val="827"/>
    <w:uiPriority w:val="99"/>
    <w:qFormat/>
    <w:rPr>
      <w:color w:val="404040"/>
    </w:rPr>
    <w:tblPr/>
  </w:style>
  <w:style w:type="table" w:styleId="1009" w:customStyle="1">
    <w:name w:val="Bordered &amp; Lined - Accent 4"/>
    <w:basedOn w:val="827"/>
    <w:uiPriority w:val="99"/>
    <w:qFormat/>
    <w:rPr>
      <w:color w:val="404040"/>
    </w:rPr>
    <w:tblPr/>
  </w:style>
  <w:style w:type="table" w:styleId="1010" w:customStyle="1">
    <w:name w:val="Bordered &amp; Lined - Accent 5"/>
    <w:basedOn w:val="827"/>
    <w:uiPriority w:val="99"/>
    <w:qFormat/>
    <w:rPr>
      <w:color w:val="404040"/>
    </w:rPr>
    <w:tblPr/>
  </w:style>
  <w:style w:type="table" w:styleId="1011" w:customStyle="1">
    <w:name w:val="Bordered &amp; Lined - Accent 6"/>
    <w:basedOn w:val="827"/>
    <w:uiPriority w:val="99"/>
    <w:qFormat/>
    <w:rPr>
      <w:color w:val="404040"/>
    </w:rPr>
    <w:tblPr/>
  </w:style>
  <w:style w:type="table" w:styleId="1012" w:customStyle="1">
    <w:name w:val="Bordered"/>
    <w:basedOn w:val="827"/>
    <w:uiPriority w:val="99"/>
    <w:qFormat/>
    <w:tblPr/>
  </w:style>
  <w:style w:type="table" w:styleId="1013" w:customStyle="1">
    <w:name w:val="Bordered - Accent 1"/>
    <w:basedOn w:val="827"/>
    <w:uiPriority w:val="99"/>
    <w:qFormat/>
    <w:tblPr/>
  </w:style>
  <w:style w:type="table" w:styleId="1014" w:customStyle="1">
    <w:name w:val="Bordered - Accent 2"/>
    <w:basedOn w:val="827"/>
    <w:uiPriority w:val="99"/>
    <w:qFormat/>
    <w:tblPr/>
  </w:style>
  <w:style w:type="table" w:styleId="1015" w:customStyle="1">
    <w:name w:val="Bordered - Accent 3"/>
    <w:basedOn w:val="827"/>
    <w:uiPriority w:val="99"/>
    <w:qFormat/>
    <w:tblPr/>
  </w:style>
  <w:style w:type="table" w:styleId="1016" w:customStyle="1">
    <w:name w:val="Bordered - Accent 4"/>
    <w:basedOn w:val="827"/>
    <w:uiPriority w:val="99"/>
    <w:qFormat/>
    <w:tblPr/>
  </w:style>
  <w:style w:type="table" w:styleId="1017" w:customStyle="1">
    <w:name w:val="Bordered - Accent 5"/>
    <w:basedOn w:val="827"/>
    <w:uiPriority w:val="99"/>
    <w:qFormat/>
    <w:tblPr/>
  </w:style>
  <w:style w:type="table" w:styleId="1018" w:customStyle="1">
    <w:name w:val="Bordered - Accent 6"/>
    <w:basedOn w:val="827"/>
    <w:uiPriority w:val="99"/>
    <w:qFormat/>
    <w:tblPr/>
  </w:style>
  <w:style w:type="paragraph" w:styleId="1019" w:customStyle="1">
    <w:name w:val="TOC 标题111"/>
    <w:uiPriority w:val="39"/>
    <w:unhideWhenUsed/>
    <w:qFormat/>
    <w:rPr>
      <w:rFonts w:ascii="Times New Roman" w:hAnsi="Times New Roman" w:eastAsia="宋体" w:cs="Times New Roman"/>
      <w:lang w:val="en-US" w:eastAsia="zh-CN" w:bidi="ar-SA"/>
    </w:rPr>
  </w:style>
  <w:style w:type="paragraph" w:styleId="1020" w:customStyle="1">
    <w:name w:val="正文首行缩进 21"/>
    <w:basedOn w:val="1021"/>
    <w:uiPriority w:val="0"/>
    <w:unhideWhenUsed/>
    <w:qFormat/>
    <w:pPr>
      <w:ind w:firstLine="420"/>
    </w:pPr>
  </w:style>
  <w:style w:type="paragraph" w:styleId="1021" w:customStyle="1">
    <w:name w:val="正文文本缩进1"/>
    <w:next w:val="1022"/>
    <w:uiPriority w:val="99"/>
    <w:qFormat/>
    <w:pPr>
      <w:ind w:firstLine="560"/>
      <w:spacing w:line="300" w:lineRule="auto"/>
      <w:widowControl w:val="off"/>
    </w:pPr>
    <w:rPr>
      <w:rFonts w:ascii="Times New Roman" w:hAnsi="Times New Roman" w:eastAsia="宋体" w:cs="Times New Roman"/>
      <w:sz w:val="28"/>
      <w:szCs w:val="24"/>
      <w:lang w:val="en-US" w:eastAsia="zh-CN" w:bidi="ar-SA"/>
    </w:rPr>
  </w:style>
  <w:style w:type="paragraph" w:styleId="1022" w:customStyle="1">
    <w:name w:val="寄信人地址1"/>
    <w:uiPriority w:val="0"/>
    <w:qFormat/>
    <w:pPr>
      <w:jc w:val="both"/>
      <w:widowControl w:val="off"/>
    </w:pPr>
    <w:rPr>
      <w:rFonts w:ascii="Arial" w:hAnsi="Arial" w:eastAsia="宋体" w:cs="Times New Roman"/>
      <w:sz w:val="21"/>
      <w:szCs w:val="24"/>
      <w:lang w:val="en-US" w:eastAsia="zh-CN" w:bidi="ar-SA"/>
    </w:rPr>
  </w:style>
  <w:style w:type="character" w:styleId="1023" w:customStyle="1">
    <w:name w:val="正文文本缩进 字符"/>
    <w:uiPriority w:val="0"/>
    <w:qFormat/>
    <w:rPr>
      <w:rFonts w:ascii="Calibri" w:hAnsi="Calibri" w:eastAsia="宋体" w:cs="Times New Roman"/>
      <w:sz w:val="21"/>
      <w:szCs w:val="24"/>
    </w:rPr>
  </w:style>
  <w:style w:type="character" w:styleId="1024" w:customStyle="1">
    <w:name w:val="纯文本 字符"/>
    <w:uiPriority w:val="0"/>
    <w:qFormat/>
    <w:rPr>
      <w:rFonts w:ascii="宋体" w:hAnsi="Courier New" w:eastAsia="宋体" w:cs="Courier New"/>
      <w:sz w:val="21"/>
      <w:szCs w:val="24"/>
    </w:rPr>
  </w:style>
  <w:style w:type="character" w:styleId="1025" w:customStyle="1">
    <w:name w:val="页脚 Char2"/>
    <w:uiPriority w:val="99"/>
    <w:qFormat/>
    <w:rPr>
      <w:rFonts w:ascii="Times New Roman" w:hAnsi="Times New Roman" w:eastAsia="黑体" w:cs="Times New Roman"/>
      <w:sz w:val="18"/>
      <w:szCs w:val="18"/>
    </w:rPr>
  </w:style>
  <w:style w:type="paragraph" w:styleId="1026" w:customStyle="1">
    <w:name w:val="正文11"/>
    <w:next w:val="775"/>
    <w:uiPriority w:val="0"/>
    <w:qFormat/>
    <w:pPr>
      <w:jc w:val="both"/>
      <w:widowControl w:val="off"/>
    </w:pPr>
    <w:rPr>
      <w:rFonts w:ascii="Times New Roman" w:hAnsi="Times New Roman" w:eastAsia="Arial" w:cs="Times New Roman"/>
      <w:lang w:val="en-US" w:eastAsia="zh-CN" w:bidi="ar-SA"/>
    </w:rPr>
  </w:style>
  <w:style w:type="paragraph" w:styleId="1027" w:customStyle="1">
    <w:name w:val="TOC 标题11"/>
    <w:basedOn w:val="817"/>
    <w:next w:val="775"/>
    <w:uiPriority w:val="39"/>
    <w:unhideWhenUsed/>
    <w:qFormat/>
    <w:pPr>
      <w:jc w:val="center"/>
      <w:spacing w:before="240" w:after="0" w:line="259" w:lineRule="auto"/>
      <w:widowControl/>
      <w:outlineLvl w:val="9"/>
    </w:pPr>
    <w:rPr>
      <w:rFonts w:ascii="Calibri Light" w:hAnsi="Calibri Light" w:eastAsia="黑体"/>
      <w:b w:val="0"/>
      <w:bCs w:val="0"/>
      <w:color w:val="2e74b5"/>
      <w:sz w:val="32"/>
      <w:szCs w:val="32"/>
    </w:rPr>
  </w:style>
  <w:style w:type="paragraph" w:styleId="1028" w:customStyle="1">
    <w:name w:val="p"/>
    <w:basedOn w:val="775"/>
    <w:uiPriority w:val="0"/>
    <w:qFormat/>
    <w:pPr>
      <w:jc w:val="left"/>
      <w:spacing w:before="100" w:beforeAutospacing="1" w:after="100" w:afterAutospacing="1"/>
      <w:widowControl/>
    </w:pPr>
    <w:rPr>
      <w:rFonts w:ascii="宋体" w:hAnsi="宋体" w:cs="宋体"/>
      <w:sz w:val="24"/>
    </w:rPr>
  </w:style>
  <w:style w:type="paragraph" w:styleId="1029" w:customStyle="1">
    <w:name w:val="普通正文"/>
    <w:basedOn w:val="775"/>
    <w:uiPriority w:val="0"/>
    <w:qFormat/>
    <w:pPr>
      <w:ind w:firstLine="480"/>
      <w:jc w:val="left"/>
      <w:spacing w:before="120" w:after="120" w:line="360" w:lineRule="auto"/>
    </w:pPr>
    <w:rPr>
      <w:rFonts w:ascii="Arial" w:hAnsi="Arial"/>
      <w:sz w:val="24"/>
    </w:rPr>
  </w:style>
  <w:style w:type="paragraph" w:styleId="1030" w:customStyle="1">
    <w:name w:val="页脚1"/>
    <w:basedOn w:val="775"/>
    <w:uiPriority w:val="0"/>
    <w:qFormat/>
    <w:pPr>
      <w:jc w:val="left"/>
      <w:tabs>
        <w:tab w:val="center" w:pos="4153" w:leader="none"/>
        <w:tab w:val="right" w:pos="8306" w:leader="none"/>
      </w:tabs>
    </w:pPr>
    <w:rPr>
      <w:sz w:val="18"/>
      <w:szCs w:val="18"/>
    </w:rPr>
  </w:style>
  <w:style w:type="character" w:styleId="1031" w:customStyle="1">
    <w:name w:val="font11"/>
    <w:basedOn w:val="785"/>
    <w:uiPriority w:val="0"/>
    <w:qFormat/>
    <w:rPr>
      <w:rFonts w:ascii="黑体" w:hAnsi="宋体" w:eastAsia="黑体" w:cs="黑体"/>
      <w:color w:val="000000"/>
      <w:sz w:val="24"/>
      <w:szCs w:val="24"/>
      <w:u w:val="none"/>
    </w:rPr>
  </w:style>
  <w:style w:type="character" w:styleId="1032" w:customStyle="1">
    <w:name w:val="font41"/>
    <w:basedOn w:val="785"/>
    <w:uiPriority w:val="0"/>
    <w:qFormat/>
    <w:rPr>
      <w:rFonts w:ascii="Times New Roman" w:hAnsi="Times New Roman" w:cs="Times New Roman"/>
      <w:color w:val="000000"/>
      <w:sz w:val="24"/>
      <w:szCs w:val="24"/>
      <w:u w:val="none"/>
    </w:rPr>
  </w:style>
  <w:style w:type="character" w:styleId="1033" w:customStyle="1">
    <w:name w:val="font21"/>
    <w:basedOn w:val="785"/>
    <w:uiPriority w:val="0"/>
    <w:qFormat/>
    <w:rPr>
      <w:rFonts w:ascii="Times New Roman" w:hAnsi="Times New Roman" w:cs="Times New Roman"/>
      <w:color w:val="000000"/>
      <w:sz w:val="21"/>
      <w:szCs w:val="21"/>
      <w:u w:val="none"/>
    </w:rPr>
  </w:style>
  <w:style w:type="character" w:styleId="1034" w:customStyle="1">
    <w:name w:val="font31"/>
    <w:basedOn w:val="785"/>
    <w:uiPriority w:val="0"/>
    <w:qFormat/>
    <w:rPr>
      <w:rFonts w:hint="eastAsia" w:ascii="方正仿宋_GBK" w:hAnsi="方正仿宋_GBK" w:eastAsia="方正仿宋_GBK" w:cs="方正仿宋_GBK"/>
      <w:color w:val="000000"/>
      <w:sz w:val="21"/>
      <w:szCs w:val="21"/>
      <w:u w:val="none"/>
    </w:rPr>
  </w:style>
  <w:style w:type="character" w:styleId="1035" w:customStyle="1">
    <w:name w:val="font51"/>
    <w:basedOn w:val="785"/>
    <w:uiPriority w:val="0"/>
    <w:qFormat/>
    <w:rPr>
      <w:rFonts w:hint="eastAsia" w:ascii="方正仿宋_GBK" w:hAnsi="方正仿宋_GBK" w:eastAsia="方正仿宋_GBK" w:cs="方正仿宋_GBK"/>
      <w:color w:val="000000"/>
      <w:sz w:val="21"/>
      <w:szCs w:val="21"/>
      <w:u w:val="single"/>
    </w:rPr>
  </w:style>
  <w:style w:type="character" w:styleId="1036" w:customStyle="1">
    <w:name w:val="font01"/>
    <w:uiPriority w:val="0"/>
    <w:qFormat/>
    <w:rPr>
      <w:rFonts w:hint="eastAsia" w:ascii="宋体" w:hAnsi="宋体" w:eastAsia="宋体" w:cs="宋体"/>
      <w:color w:val="000000"/>
      <w:sz w:val="22"/>
      <w:szCs w:val="22"/>
      <w:u w:val="none"/>
    </w:rPr>
  </w:style>
  <w:style w:type="character" w:styleId="1037" w:customStyle="1">
    <w:name w:val="font71"/>
    <w:basedOn w:val="785"/>
    <w:uiPriority w:val="0"/>
    <w:qFormat/>
    <w:rPr>
      <w:rFonts w:hint="eastAsia" w:ascii="宋体" w:hAnsi="宋体" w:eastAsia="宋体" w:cs="宋体"/>
      <w:color w:val="ff0000"/>
      <w:sz w:val="18"/>
      <w:szCs w:val="18"/>
      <w:u w:val="none"/>
    </w:rPr>
  </w:style>
  <w:style w:type="paragraph" w:styleId="1038" w:customStyle="1">
    <w:name w:val="段"/>
    <w:next w:val="1039"/>
    <w:uiPriority w:val="0"/>
    <w:qFormat/>
    <w:pPr>
      <w:ind w:firstLine="200"/>
      <w:jc w:val="both"/>
      <w:widowControl w:val="off"/>
    </w:pPr>
    <w:rPr>
      <w:rFonts w:ascii="Calibri" w:hAnsi="Calibri" w:eastAsia="宋体" w:cs="Times New Roman"/>
      <w:sz w:val="21"/>
      <w:szCs w:val="22"/>
      <w:lang w:val="en-US" w:eastAsia="zh-CN" w:bidi="ar-SA"/>
    </w:rPr>
  </w:style>
  <w:style w:type="paragraph" w:styleId="1039" w:customStyle="1">
    <w:name w:val="正文 A"/>
    <w:next w:val="1038"/>
    <w:uiPriority w:val="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table" w:styleId="1040" w:customStyle="1">
    <w:name w:val="Table Normal"/>
    <w:uiPriority w:val="0"/>
    <w:unhideWhenUsed/>
    <w:qFormat/>
    <w:tblPr>
      <w:tblCellMar>
        <w:left w:w="0" w:type="dxa"/>
        <w:top w:w="0" w:type="dxa"/>
        <w:right w:w="0" w:type="dxa"/>
        <w:bottom w:w="0" w:type="dxa"/>
      </w:tblCellMar>
    </w:tblPr>
  </w:style>
  <w:style w:type="paragraph" w:styleId="1041" w:customStyle="1">
    <w:name w:val="正文首行缩进1"/>
    <w:basedOn w:val="1042"/>
    <w:next w:val="775"/>
    <w:uiPriority w:val="0"/>
    <w:qFormat/>
    <w:pPr>
      <w:ind w:firstLine="200"/>
      <w:spacing w:line="360" w:lineRule="auto"/>
    </w:pPr>
    <w:rPr>
      <w:rFonts w:ascii="仿宋_GB2312" w:eastAsia="仿宋_GB2312"/>
      <w:sz w:val="30"/>
      <w:szCs w:val="30"/>
    </w:rPr>
  </w:style>
  <w:style w:type="paragraph" w:styleId="1042" w:customStyle="1">
    <w:name w:val="正文文本1"/>
    <w:basedOn w:val="775"/>
    <w:next w:val="775"/>
    <w:uiPriority w:val="0"/>
    <w:qFormat/>
    <w:pPr>
      <w:spacing w:after="120"/>
    </w:pPr>
    <w:rPr>
      <w:sz w:val="28"/>
    </w:rPr>
  </w:style>
  <w:style w:type="paragraph" w:styleId="1043" w:customStyle="1">
    <w:name w:val="msonormal"/>
    <w:basedOn w:val="775"/>
    <w:uiPriority w:val="0"/>
    <w:qFormat/>
    <w:pPr>
      <w:jc w:val="left"/>
      <w:spacing w:before="100" w:beforeAutospacing="1" w:after="100" w:afterAutospacing="1"/>
      <w:widowControl/>
    </w:pPr>
    <w:rPr>
      <w:rFonts w:ascii="宋体" w:hAnsi="宋体" w:cs="宋体"/>
      <w:sz w:val="24"/>
    </w:rPr>
  </w:style>
  <w:style w:type="paragraph" w:styleId="1044" w:customStyle="1">
    <w:name w:val="font5"/>
    <w:basedOn w:val="775"/>
    <w:uiPriority w:val="0"/>
    <w:qFormat/>
    <w:pPr>
      <w:jc w:val="left"/>
      <w:spacing w:before="100" w:beforeAutospacing="1" w:after="100" w:afterAutospacing="1"/>
      <w:widowControl/>
    </w:pPr>
    <w:rPr>
      <w:rFonts w:ascii="宋体" w:hAnsi="宋体" w:cs="宋体"/>
      <w:color w:val="000000"/>
      <w:sz w:val="18"/>
      <w:szCs w:val="18"/>
    </w:rPr>
  </w:style>
  <w:style w:type="paragraph" w:styleId="1045" w:customStyle="1">
    <w:name w:val="font6"/>
    <w:basedOn w:val="775"/>
    <w:uiPriority w:val="0"/>
    <w:qFormat/>
    <w:pPr>
      <w:jc w:val="left"/>
      <w:spacing w:before="100" w:beforeAutospacing="1" w:after="100" w:afterAutospacing="1"/>
      <w:widowControl/>
    </w:pPr>
    <w:rPr>
      <w:rFonts w:ascii="宋体" w:hAnsi="宋体" w:cs="宋体"/>
      <w:sz w:val="18"/>
      <w:szCs w:val="18"/>
    </w:rPr>
  </w:style>
  <w:style w:type="paragraph" w:styleId="1046" w:customStyle="1">
    <w:name w:val="font7"/>
    <w:basedOn w:val="775"/>
    <w:uiPriority w:val="0"/>
    <w:qFormat/>
    <w:pPr>
      <w:jc w:val="left"/>
      <w:spacing w:before="100" w:beforeAutospacing="1" w:after="100" w:afterAutospacing="1"/>
      <w:widowControl/>
    </w:pPr>
    <w:rPr>
      <w:rFonts w:ascii="黑体" w:hAnsi="黑体" w:eastAsia="黑体" w:cs="宋体"/>
      <w:color w:val="000000"/>
      <w:sz w:val="18"/>
      <w:szCs w:val="18"/>
    </w:rPr>
  </w:style>
  <w:style w:type="paragraph" w:styleId="1047" w:customStyle="1">
    <w:name w:val="font8"/>
    <w:basedOn w:val="775"/>
    <w:uiPriority w:val="0"/>
    <w:qFormat/>
    <w:pPr>
      <w:jc w:val="left"/>
      <w:spacing w:before="100" w:beforeAutospacing="1" w:after="100" w:afterAutospacing="1"/>
      <w:widowControl/>
    </w:pPr>
    <w:rPr>
      <w:rFonts w:ascii="宋体" w:hAnsi="宋体" w:cs="宋体"/>
      <w:color w:val="000000"/>
      <w:sz w:val="18"/>
      <w:szCs w:val="18"/>
    </w:rPr>
  </w:style>
  <w:style w:type="paragraph" w:styleId="1048" w:customStyle="1">
    <w:name w:val="font9"/>
    <w:basedOn w:val="775"/>
    <w:uiPriority w:val="0"/>
    <w:qFormat/>
    <w:pPr>
      <w:jc w:val="left"/>
      <w:spacing w:before="100" w:beforeAutospacing="1" w:after="100" w:afterAutospacing="1"/>
      <w:widowControl/>
    </w:pPr>
    <w:rPr>
      <w:rFonts w:ascii="宋体" w:hAnsi="宋体" w:cs="宋体"/>
      <w:b/>
      <w:bCs/>
      <w:color w:val="000000"/>
      <w:sz w:val="18"/>
      <w:szCs w:val="18"/>
    </w:rPr>
  </w:style>
  <w:style w:type="paragraph" w:styleId="1049" w:customStyle="1">
    <w:name w:val="xl65"/>
    <w:basedOn w:val="77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50" w:customStyle="1">
    <w:name w:val="xl66"/>
    <w:basedOn w:val="77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051" w:customStyle="1">
    <w:name w:val="xl67"/>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2" w:customStyle="1">
    <w:name w:val="xl68"/>
    <w:basedOn w:val="7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3" w:customStyle="1">
    <w:name w:val="xl69"/>
    <w:basedOn w:val="77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4" w:customStyle="1">
    <w:name w:val="xl70"/>
    <w:basedOn w:val="77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5" w:customStyle="1">
    <w:name w:val="xl71"/>
    <w:basedOn w:val="77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56" w:customStyle="1">
    <w:name w:val="xl72"/>
    <w:basedOn w:val="775"/>
    <w:uiPriority w:val="0"/>
    <w:qFormat/>
    <w:pPr>
      <w:jc w:val="center"/>
      <w:spacing w:before="100" w:beforeAutospacing="1" w:after="100" w:afterAutospacing="1"/>
      <w:shd w:val="clear" w:color="000000" w:fill="ffffff"/>
      <w:widowControl/>
      <w:pBdr>
        <w:left w:val="single" w:color="000000" w:sz="8" w:space="0"/>
        <w:bottom w:val="single" w:color="000000" w:sz="4" w:space="0"/>
        <w:right w:val="single" w:color="000000" w:sz="4" w:space="0"/>
      </w:pBdr>
    </w:pPr>
    <w:rPr>
      <w:rFonts w:ascii="黑体" w:hAnsi="黑体" w:eastAsia="黑体" w:cs="宋体"/>
      <w:b/>
      <w:bCs/>
      <w:color w:val="000000"/>
      <w:sz w:val="18"/>
      <w:szCs w:val="18"/>
    </w:rPr>
  </w:style>
  <w:style w:type="paragraph" w:styleId="1057" w:customStyle="1">
    <w:name w:val="xl73"/>
    <w:basedOn w:val="775"/>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b/>
      <w:bCs/>
      <w:color w:val="000000"/>
      <w:sz w:val="18"/>
      <w:szCs w:val="18"/>
    </w:rPr>
  </w:style>
  <w:style w:type="paragraph" w:styleId="1058" w:customStyle="1">
    <w:name w:val="xl74"/>
    <w:basedOn w:val="775"/>
    <w:uiPriority w:val="0"/>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59" w:customStyle="1">
    <w:name w:val="xl75"/>
    <w:basedOn w:val="775"/>
    <w:uiPriority w:val="0"/>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pBdr>
    </w:pPr>
    <w:rPr>
      <w:rFonts w:ascii="黑体" w:hAnsi="黑体" w:eastAsia="黑体" w:cs="宋体"/>
      <w:b/>
      <w:bCs/>
      <w:color w:val="000000"/>
      <w:sz w:val="18"/>
      <w:szCs w:val="18"/>
    </w:rPr>
  </w:style>
  <w:style w:type="paragraph" w:styleId="1060" w:customStyle="1">
    <w:name w:val="xl76"/>
    <w:basedOn w:val="775"/>
    <w:uiPriority w:val="0"/>
    <w:qFormat/>
    <w:pPr>
      <w:jc w:val="center"/>
      <w:spacing w:before="100" w:beforeAutospacing="1" w:after="100" w:afterAutospacing="1"/>
      <w:shd w:val="clear" w:color="000000" w:fill="ffffff"/>
      <w:widowControl/>
      <w:pBdr>
        <w:top w:val="single" w:color="000000" w:sz="8" w:space="0"/>
        <w:bottom w:val="single" w:color="000000" w:sz="4" w:space="0"/>
        <w:right w:val="single" w:color="000000" w:sz="8" w:space="0"/>
      </w:pBdr>
    </w:pPr>
    <w:rPr>
      <w:rFonts w:ascii="黑体" w:hAnsi="黑体" w:eastAsia="黑体" w:cs="宋体"/>
      <w:b/>
      <w:bCs/>
      <w:color w:val="000000"/>
      <w:sz w:val="18"/>
      <w:szCs w:val="18"/>
    </w:rPr>
  </w:style>
  <w:style w:type="paragraph" w:styleId="1061" w:customStyle="1">
    <w:name w:val="xl77"/>
    <w:basedOn w:val="77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黑体" w:hAnsi="黑体" w:eastAsia="黑体" w:cs="宋体"/>
      <w:b/>
      <w:bCs/>
      <w:color w:val="000000"/>
      <w:sz w:val="18"/>
      <w:szCs w:val="18"/>
    </w:rPr>
  </w:style>
  <w:style w:type="paragraph" w:styleId="1062" w:customStyle="1">
    <w:name w:val="xl78"/>
    <w:basedOn w:val="775"/>
    <w:uiPriority w:val="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63" w:customStyle="1">
    <w:name w:val="xl79"/>
    <w:basedOn w:val="77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64" w:customStyle="1">
    <w:name w:val="xl80"/>
    <w:basedOn w:val="77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8"/>
      <w:szCs w:val="18"/>
    </w:rPr>
  </w:style>
  <w:style w:type="paragraph" w:styleId="1065" w:customStyle="1">
    <w:name w:val="xl81"/>
    <w:basedOn w:val="775"/>
    <w:uiPriority w:val="0"/>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66" w:customStyle="1">
    <w:name w:val="xl8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黑体" w:eastAsia="黑体" w:cs="宋体"/>
      <w:b/>
      <w:bCs/>
      <w:sz w:val="18"/>
      <w:szCs w:val="18"/>
    </w:rPr>
  </w:style>
  <w:style w:type="paragraph" w:styleId="1067" w:customStyle="1">
    <w:name w:val="xl8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商运鹏</cp:lastModifiedBy>
  <cp:revision>15</cp:revision>
  <dcterms:created xsi:type="dcterms:W3CDTF">2025-04-24T19:05:00Z</dcterms:created>
  <dcterms:modified xsi:type="dcterms:W3CDTF">2025-08-25T09:59:01Z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14541EB415464E2C8BAEA5B805DE7300_13</vt:lpwstr>
  </property>
  <property fmtid="{D5CDD505-2E9C-101B-9397-08002B2CF9AE}" pid="4" name="KSOTemplateDocerSaveRecord">
    <vt:lpwstr>eyJoZGlkIjoiNjRkNjgwOGZiYjEyOGRiMTIwMTU0OWRlOTkwYjUzMzUiLCJ1c2VySWQiOiI2MjY2MTE3NjcifQ==</vt:lpwstr>
  </property>
</Properties>
</file>