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spacing w:before="120" w:beforeAutospacing="0" w:after="120" w:afterAutospacing="0" w:line="360" w:lineRule="auto"/>
        <w:rPr>
          <w:highlight w:val="none"/>
        </w:rPr>
      </w:pPr>
      <w:r>
        <w:rPr>
          <w:highlight w:val="none"/>
        </w:rPr>
      </w:r>
      <w:r/>
    </w:p>
    <w:p>
      <w:pPr>
        <w:pStyle w:val="944"/>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right="-218"/>
        <w:jc w:val="center"/>
        <w:rPr>
          <w:rFonts w:hint="eastAsia" w:ascii="宋体" w:hAnsi="Times New Roman" w:eastAsia="宋体" w:cs="Times New Roman"/>
          <w:b/>
          <w:sz w:val="32"/>
          <w:szCs w:val="32"/>
          <w:u w:val="none"/>
        </w:rPr>
      </w:pPr>
      <w:r>
        <w:rPr>
          <w:rFonts w:ascii="Arial" w:hAnsi="Arial" w:cs="Arial"/>
          <w:b/>
          <w:color w:val="000000"/>
          <w:sz w:val="32"/>
          <w:szCs w:val="32"/>
          <w:highlight w:val="none"/>
        </w:rPr>
        <w:t xml:space="preserve">项目名称：</w:t>
      </w:r>
      <w:r>
        <w:rPr>
          <w:rFonts w:hint="eastAsia" w:ascii="宋体" w:hAnsi="宋体" w:cs="Times New Roman"/>
          <w:b/>
          <w:sz w:val="32"/>
          <w:szCs w:val="32"/>
          <w:u w:val="none"/>
          <w:lang w:eastAsia="zh-CN"/>
        </w:rPr>
        <w:t xml:space="preserve">滨海县医疗责任保险及附加险采购项目</w:t>
      </w:r>
      <w:r/>
    </w:p>
    <w:p>
      <w:pPr>
        <w:ind w:firstLine="723"/>
        <w:jc w:val="center"/>
        <w:rPr>
          <w:rFonts w:hint="eastAsia" w:ascii="宋体" w:hAnsi="Times New Roman" w:eastAsia="宋体" w:cs="Times New Roman"/>
          <w:b/>
          <w:sz w:val="36"/>
          <w:szCs w:val="21"/>
        </w:rPr>
      </w:pPr>
      <w:r>
        <w:rPr>
          <w:rFonts w:hint="eastAsia" w:ascii="宋体" w:hAnsi="Times New Roman" w:eastAsia="宋体" w:cs="Times New Roman"/>
          <w:b/>
          <w:sz w:val="36"/>
          <w:szCs w:val="21"/>
        </w:rPr>
      </w:r>
      <w:r/>
    </w:p>
    <w:p>
      <w:pPr>
        <w:ind w:firstLine="1285"/>
        <w:keepLines w:val="0"/>
        <w:keepNext w:val="0"/>
        <w:pageBreakBefore w:val="0"/>
        <w:spacing w:line="440" w:lineRule="exact"/>
        <w:widowControl w:val="off"/>
        <w:rPr>
          <w:rFonts w:hint="eastAsia" w:ascii="宋体" w:hAnsi="宋体" w:eastAsia="宋体" w:cs="宋体"/>
          <w:b/>
          <w:bCs/>
          <w:sz w:val="32"/>
          <w:szCs w:val="32"/>
          <w:lang w:eastAsia="zh-CN"/>
        </w:rPr>
      </w:pPr>
      <w:r>
        <w:rPr>
          <w:rFonts w:hint="eastAsia" w:ascii="宋体" w:hAnsi="宋体" w:eastAsia="宋体" w:cs="宋体"/>
          <w:b/>
          <w:color w:val="000000"/>
          <w:sz w:val="32"/>
          <w:szCs w:val="32"/>
          <w:highlight w:val="none"/>
        </w:rPr>
        <w:t xml:space="preserve">项目编号：</w:t>
      </w:r>
      <w:r>
        <w:rPr>
          <w:rFonts w:hint="eastAsia" w:ascii="宋体" w:hAnsi="宋体" w:cs="宋体"/>
          <w:b/>
          <w:color w:val="000000"/>
          <w:sz w:val="32"/>
          <w:szCs w:val="32"/>
          <w:highlight w:val="none"/>
          <w:lang w:eastAsia="zh-CN"/>
        </w:rPr>
        <w:t xml:space="preserve">JSZC-320922-ZQYC-G2026-0013</w:t>
      </w:r>
      <w:r/>
    </w:p>
    <w:p>
      <w:pPr>
        <w:pStyle w:val="944"/>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spacing w:beforeAutospacing="0" w:afterAutospacing="0" w:line="360" w:lineRule="auto"/>
        <w:rPr>
          <w:highlight w:val="none"/>
        </w:rPr>
      </w:pPr>
      <w:r>
        <w:rPr>
          <w:highlight w:val="none"/>
        </w:rPr>
        <w:t xml:space="preserve"> </w:t>
      </w:r>
      <w:r/>
    </w:p>
    <w:p>
      <w:pPr>
        <w:pStyle w:val="944"/>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滨海县卫生健康委员会</w:t>
      </w:r>
      <w:r/>
    </w:p>
    <w:p>
      <w:pPr>
        <w:pStyle w:val="944"/>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 xml:space="preserve">202</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月</w:t>
      </w:r>
      <w:r/>
    </w:p>
    <w:p>
      <w:pPr>
        <w:pStyle w:val="944"/>
        <w:spacing w:before="120" w:beforeAutospacing="0" w:after="120" w:afterAutospacing="0" w:line="360" w:lineRule="auto"/>
        <w:rPr>
          <w:rFonts w:hint="eastAsia" w:eastAsia="宋体"/>
          <w:highlight w:val="none"/>
          <w:lang w:eastAsia="zh-CN"/>
        </w:rPr>
      </w:pPr>
      <w:r>
        <w:rPr>
          <w:rFonts w:ascii="Arial" w:hAnsi="Arial" w:cs="Arial"/>
          <w:color w:val="000000"/>
          <w:highlight w:val="none"/>
        </w:rPr>
        <w:t xml:space="preserve">                       </w:t>
      </w:r>
      <w:r/>
    </w:p>
    <w:p>
      <w:pPr>
        <w:pStyle w:val="944"/>
        <w:jc w:val="center"/>
        <w:spacing w:before="120" w:beforeAutospacing="0" w:after="120" w:afterAutospacing="0" w:line="360" w:lineRule="auto"/>
        <w:rPr>
          <w:highlight w:val="none"/>
        </w:rPr>
      </w:pPr>
      <w:r>
        <w:rPr>
          <w:highlight w:val="none"/>
        </w:rPr>
        <w:t xml:space="preserve"> </w:t>
      </w:r>
      <w:r/>
    </w:p>
    <w:p>
      <w:pPr>
        <w:pStyle w:val="944"/>
        <w:jc w:val="center"/>
        <w:spacing w:beforeAutospacing="0" w:afterAutospacing="0" w:line="480" w:lineRule="auto"/>
        <w:rPr>
          <w:rFonts w:ascii="Times New Roman" w:hAnsi="Times New Roman"/>
          <w:color w:val="000000"/>
          <w:sz w:val="21"/>
          <w:szCs w:val="21"/>
          <w:highlight w:val="none"/>
        </w:rPr>
        <w:sectPr>
          <w:headerReference w:type="default" r:id="rId9"/>
          <w:footerReference w:type="default" r:id="rId10"/>
          <w:footnotePr/>
          <w:endnotePr/>
          <w:type w:val="nextPage"/>
          <w:pgSz w:w="11906" w:h="16838" w:orient="portrait"/>
          <w:pgMar w:top="1418" w:right="1301" w:bottom="1418" w:left="1365" w:header="851" w:footer="907" w:gutter="0"/>
          <w:pgNumType w:start="1"/>
          <w:cols w:num="1" w:sep="0" w:space="720" w:equalWidth="1"/>
          <w:docGrid w:linePitch="360"/>
        </w:sectPr>
      </w:pPr>
      <w:r>
        <w:rPr>
          <w:rFonts w:ascii="Times New Roman" w:hAnsi="Times New Roman"/>
          <w:color w:val="000000"/>
          <w:sz w:val="21"/>
          <w:szCs w:val="21"/>
          <w:highlight w:val="none"/>
        </w:rPr>
      </w:r>
      <w:r/>
    </w:p>
    <w:p>
      <w:pPr>
        <w:pStyle w:val="944"/>
        <w:jc w:val="center"/>
        <w:spacing w:beforeAutospacing="0" w:afterAutospacing="0" w:line="480" w:lineRule="auto"/>
        <w:rPr>
          <w:rFonts w:hint="eastAsia" w:ascii="黑体" w:hAnsi="黑体" w:eastAsia="黑体" w:cs="黑体"/>
          <w:b/>
          <w:bCs/>
          <w:highlight w:val="none"/>
        </w:rPr>
      </w:pPr>
      <w:r>
        <w:rPr>
          <w:rFonts w:hint="eastAsia" w:ascii="宋体" w:hAnsi="宋体" w:eastAsia="宋体" w:cs="宋体"/>
          <w:b/>
          <w:bCs/>
          <w:color w:val="000000"/>
          <w:sz w:val="21"/>
          <w:szCs w:val="21"/>
          <w:highlight w:val="none"/>
        </w:rPr>
        <w:t xml:space="preserve"> </w:t>
      </w:r>
      <w:bookmarkStart w:id="0" w:name="_Toc16938516"/>
      <w:r/>
      <w:bookmarkStart w:id="1" w:name="_Toc513029200"/>
      <w:r/>
      <w:bookmarkStart w:id="2" w:name="_Toc523127445"/>
      <w:r/>
      <w:bookmarkStart w:id="3" w:name="_Toc479757206"/>
      <w:r/>
      <w:bookmarkStart w:id="4" w:name="_Toc20823272"/>
      <w:r/>
      <w:bookmarkStart w:id="5" w:name="_Toc120614210"/>
      <w:r>
        <w:rPr>
          <w:rFonts w:hint="eastAsia" w:ascii="黑体" w:hAnsi="黑体" w:eastAsia="黑体" w:cs="黑体"/>
          <w:b/>
          <w:bCs/>
          <w:color w:val="000000"/>
          <w:sz w:val="21"/>
          <w:szCs w:val="21"/>
          <w:highlight w:val="none"/>
        </w:rPr>
        <w:t xml:space="preserve"> </w:t>
      </w:r>
      <w:r>
        <w:rPr>
          <w:rFonts w:hint="eastAsia" w:ascii="黑体" w:hAnsi="黑体" w:eastAsia="黑体" w:cs="黑体"/>
          <w:b/>
          <w:bCs/>
          <w:color w:val="000000"/>
          <w:sz w:val="44"/>
          <w:szCs w:val="44"/>
          <w:highlight w:val="none"/>
        </w:rPr>
        <w:t xml:space="preserve">总 目 录</w:t>
      </w:r>
      <w:bookmarkEnd w:id="0"/>
      <w:r/>
      <w:bookmarkEnd w:id="1"/>
      <w:r/>
      <w:bookmarkEnd w:id="2"/>
      <w:r/>
      <w:bookmarkEnd w:id="3"/>
      <w:r/>
      <w:bookmarkEnd w:id="4"/>
      <w:r/>
      <w:bookmarkEnd w:id="5"/>
      <w:r/>
      <w:r/>
    </w:p>
    <w:p>
      <w:pPr>
        <w:pStyle w:val="944"/>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t xml:space="preserve"> </w:t>
      </w:r>
      <w:r/>
    </w:p>
    <w:p>
      <w:pPr>
        <w:pStyle w:val="944"/>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944"/>
        <w:ind w:left="2160" w:right="0" w:hanging="1440"/>
        <w:jc w:val="both"/>
        <w:spacing w:before="0" w:beforeAutospacing="0" w:after="0" w:afterAutospacing="0" w:line="480" w:lineRule="auto"/>
        <w:tabs>
          <w:tab w:val="left" w:pos="1441" w:leader="none"/>
        </w:tabs>
        <w:rPr>
          <w:rFonts w:hint="eastAsia" w:ascii="Calibri" w:hAnsi="Calibri" w:eastAsia="黑体"/>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第一章  招标公告</w:t>
      </w:r>
      <w:r>
        <w:rPr>
          <w:rFonts w:hint="eastAsia" w:ascii="黑体" w:hAnsi="宋体" w:eastAsia="黑体" w:cs="黑体"/>
          <w:color w:val="000000"/>
          <w:sz w:val="36"/>
          <w:szCs w:val="36"/>
          <w:highlight w:val="none"/>
          <w:lang w:bidi="ar-SA"/>
        </w:rPr>
        <w:t xml:space="preserve">…………………………………</w:t>
      </w:r>
      <w:r>
        <w:rPr>
          <w:rFonts w:hint="eastAsia" w:ascii="黑体" w:hAnsi="宋体" w:eastAsia="黑体" w:cs="黑体"/>
          <w:color w:val="000000"/>
          <w:sz w:val="36"/>
          <w:szCs w:val="36"/>
          <w:highlight w:val="none"/>
          <w:lang w:val="en-US" w:eastAsia="zh-CN" w:bidi="ar-SA"/>
        </w:rPr>
        <w:t xml:space="preserve">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第二章  投标人须知………………………………5</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第三章  合同文本…………………………………18</w:t>
      </w:r>
      <w:r/>
    </w:p>
    <w:p>
      <w:pPr>
        <w:ind w:left="2160" w:hanging="1440"/>
        <w:jc w:val="both"/>
        <w:spacing w:beforeAutospacing="0" w:afterAutospacing="0" w:line="480" w:lineRule="auto"/>
        <w:widowControl w:val="off"/>
        <w:tabs>
          <w:tab w:val="left" w:pos="1441" w:leader="none"/>
        </w:tabs>
        <w:rPr>
          <w:rFonts w:hint="default"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第四章  采购需求…………………………………82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第五章  评标方法与评标标准……………………85</w:t>
      </w:r>
      <w:r/>
    </w:p>
    <w:p>
      <w:pPr>
        <w:ind w:left="2160" w:hanging="1440"/>
        <w:jc w:val="both"/>
        <w:spacing w:beforeAutospacing="0" w:afterAutospacing="0" w:line="480" w:lineRule="auto"/>
        <w:widowControl w:val="off"/>
        <w:tabs>
          <w:tab w:val="left" w:pos="1441" w:leader="none"/>
        </w:tabs>
        <w:rPr>
          <w:rFonts w:hint="default" w:ascii="Calibri" w:hAnsi="Calibri" w:eastAsia="黑体" w:cs="Times New Roman"/>
          <w:sz w:val="24"/>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第六章  投标文件格式……………………………89</w:t>
      </w:r>
      <w:r/>
    </w:p>
    <w:p>
      <w:pPr>
        <w:pStyle w:val="944"/>
        <w:ind w:left="2160" w:hanging="1440"/>
        <w:jc w:val="both"/>
        <w:keepLines w:val="0"/>
        <w:keepNext w:val="0"/>
        <w:pageBreakBefore w:val="0"/>
        <w:spacing w:beforeAutospacing="0" w:afterAutospacing="0" w:line="700" w:lineRule="exact"/>
        <w:widowControl w:val="off"/>
        <w:tabs>
          <w:tab w:val="left" w:pos="1441" w:leader="none"/>
        </w:tabs>
        <w:rPr>
          <w:rFonts w:hint="eastAsia" w:ascii="黑体" w:hAnsi="黑体" w:eastAsia="黑体" w:cs="黑体"/>
          <w:b/>
          <w:bCs/>
          <w:highlight w:val="none"/>
          <w:lang w:val="en-US" w:eastAsia="zh-CN"/>
        </w:rPr>
      </w:pPr>
      <w:r>
        <w:rPr>
          <w:rFonts w:hint="eastAsia" w:ascii="黑体" w:hAnsi="黑体" w:eastAsia="黑体" w:cs="黑体"/>
          <w:b/>
          <w:bCs/>
          <w:highlight w:val="none"/>
          <w:lang w:val="en-US" w:eastAsia="zh-CN"/>
        </w:rPr>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both"/>
        <w:spacing w:beforeAutospacing="0" w:afterAutospacing="0"/>
        <w:rPr>
          <w:highlight w:val="none"/>
        </w:rPr>
      </w:pPr>
      <w:r>
        <w:rPr>
          <w:highlight w:val="none"/>
        </w:rPr>
        <w:t xml:space="preserve"> </w:t>
      </w:r>
      <w:r/>
    </w:p>
    <w:p>
      <w:pPr>
        <w:pStyle w:val="944"/>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p>
    <w:p>
      <w:pPr>
        <w:pStyle w:val="944"/>
        <w:jc w:val="both"/>
        <w:keepLines w:val="0"/>
        <w:keepNext/>
        <w:pageBreakBefore w:val="0"/>
        <w:spacing w:beforeAutospacing="0" w:afterAutospacing="0" w:line="5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pStyle w:val="944"/>
        <w:ind w:firstLine="480"/>
        <w:jc w:val="both"/>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sz w:val="24"/>
          <w:szCs w:val="24"/>
          <w:highlight w:val="none"/>
        </w:rPr>
        <w:t xml:space="preserve">项目概况</w:t>
      </w:r>
      <w:r/>
    </w:p>
    <w:p>
      <w:pPr>
        <w:pStyle w:val="944"/>
        <w:ind w:firstLine="482"/>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bCs/>
          <w:sz w:val="24"/>
          <w:szCs w:val="24"/>
          <w:u w:val="single"/>
          <w:lang w:eastAsia="zh-CN"/>
        </w:rPr>
        <w:t xml:space="preserve">滨海县医疗责任保险及附加险采购项目</w:t>
      </w:r>
      <w:r>
        <w:rPr>
          <w:rFonts w:hint="eastAsia" w:ascii="宋体" w:hAnsi="宋体" w:eastAsia="宋体" w:cs="宋体"/>
          <w:b/>
          <w:bCs/>
          <w:color w:val="000000"/>
          <w:sz w:val="24"/>
          <w:szCs w:val="24"/>
          <w:highlight w:val="none"/>
        </w:rPr>
        <w:t xml:space="preserve">的潜在投标人可在</w:t>
      </w:r>
      <w:r>
        <w:rPr>
          <w:rFonts w:hint="eastAsia"/>
          <w:b/>
          <w:bCs/>
        </w:rPr>
        <w:t xml:space="preserve">“苏采云”系统内免费下载（投标人必须在苏采云系统中获取采购文件，方能参与政府采购项目）</w:t>
      </w:r>
      <w:r>
        <w:rPr>
          <w:b/>
          <w:bCs/>
          <w:sz w:val="24"/>
          <w:szCs w:val="24"/>
        </w:rPr>
        <w:t xml:space="preserve">获取招标文件</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t xml:space="preserve">并于</w:t>
      </w:r>
      <w:r>
        <w:rPr>
          <w:rFonts w:hint="eastAsia" w:ascii="宋体" w:hAnsi="宋体" w:cs="宋体"/>
          <w:b/>
          <w:bCs/>
          <w:color w:val="000000"/>
          <w:sz w:val="24"/>
          <w:szCs w:val="24"/>
          <w:highlight w:val="none"/>
          <w:u w:val="single"/>
          <w:lang w:val="en-US" w:eastAsia="zh-CN"/>
        </w:rPr>
        <w:t xml:space="preserve">2026年7</w:t>
      </w:r>
      <w:r>
        <w:rPr>
          <w:rFonts w:hint="eastAsia" w:ascii="宋体" w:hAnsi="宋体" w:eastAsia="宋体" w:cs="宋体"/>
          <w:b/>
          <w:bCs/>
          <w:color w:val="000000"/>
          <w:sz w:val="24"/>
          <w:szCs w:val="24"/>
          <w:highlight w:val="none"/>
          <w:u w:val="single"/>
          <w:lang w:val="en-US" w:eastAsia="zh-CN"/>
        </w:rPr>
        <w:t xml:space="preserve">月</w:t>
      </w:r>
      <w:r>
        <w:rPr>
          <w:rFonts w:hint="eastAsia" w:ascii="宋体" w:hAnsi="宋体" w:cs="宋体"/>
          <w:b/>
          <w:bCs/>
          <w:color w:val="000000"/>
          <w:sz w:val="24"/>
          <w:szCs w:val="24"/>
          <w:highlight w:val="none"/>
          <w:u w:val="single"/>
          <w:lang w:val="en-US" w:eastAsia="zh-CN"/>
        </w:rPr>
        <w:t xml:space="preserve">16</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点</w:t>
      </w:r>
      <w:r>
        <w:rPr>
          <w:rFonts w:hint="eastAsia" w:ascii="宋体" w:hAnsi="宋体" w:eastAsia="宋体" w:cs="宋体"/>
          <w:b/>
          <w:bCs/>
          <w:color w:val="000000"/>
          <w:sz w:val="24"/>
          <w:szCs w:val="24"/>
          <w:highlight w:val="none"/>
          <w:u w:val="single"/>
          <w:lang w:val="en-US" w:eastAsia="zh-CN"/>
        </w:rPr>
        <w:t xml:space="preserve">00</w:t>
      </w:r>
      <w:r>
        <w:rPr>
          <w:rFonts w:hint="eastAsia" w:ascii="宋体" w:hAnsi="宋体" w:eastAsia="宋体" w:cs="宋体"/>
          <w:b/>
          <w:bCs/>
          <w:color w:val="000000"/>
          <w:sz w:val="24"/>
          <w:szCs w:val="24"/>
          <w:highlight w:val="none"/>
          <w:u w:val="single"/>
        </w:rPr>
        <w:t xml:space="preserve">分（</w:t>
      </w:r>
      <w:r>
        <w:rPr>
          <w:rFonts w:hint="eastAsia" w:ascii="宋体" w:hAnsi="宋体" w:eastAsia="宋体" w:cs="宋体"/>
          <w:b/>
          <w:bCs/>
          <w:color w:val="000000"/>
          <w:sz w:val="24"/>
          <w:szCs w:val="24"/>
          <w:highlight w:val="none"/>
        </w:rPr>
        <w:t xml:space="preserve">北京时间）前递交投标文件。</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 w:name="_Hlk24379207"/>
      <w:r/>
      <w:bookmarkStart w:id="7" w:name="_Toc28359002"/>
      <w:r/>
      <w:bookmarkStart w:id="8" w:name="_Toc28359079"/>
      <w:r/>
      <w:bookmarkStart w:id="9" w:name="_Toc38985263"/>
      <w:r/>
      <w:bookmarkStart w:id="10" w:name="_Toc35393790"/>
      <w:r/>
      <w:bookmarkStart w:id="11" w:name="_Toc35393621"/>
      <w:r>
        <w:rPr>
          <w:rFonts w:hint="eastAsia" w:ascii="宋体" w:hAnsi="宋体" w:eastAsia="宋体" w:cs="宋体"/>
          <w:b/>
          <w:bCs/>
          <w:sz w:val="24"/>
          <w:szCs w:val="24"/>
        </w:rPr>
        <w:t xml:space="preserve">一、项目基本情况</w:t>
      </w:r>
      <w:bookmarkEnd w:id="6"/>
      <w:r/>
      <w:bookmarkEnd w:id="7"/>
      <w:r/>
      <w:bookmarkEnd w:id="8"/>
      <w:r/>
      <w:bookmarkEnd w:id="9"/>
      <w:r/>
      <w:bookmarkEnd w:id="10"/>
      <w:r/>
      <w:bookmarkEnd w:id="11"/>
      <w:r/>
      <w:r/>
    </w:p>
    <w:p>
      <w:pPr>
        <w:ind w:firstLine="482"/>
        <w:keepLines w:val="0"/>
        <w:keepNext w:val="0"/>
        <w:pageBreakBefore w:val="0"/>
        <w:spacing w:line="400" w:lineRule="exact"/>
        <w:widowControl w:val="off"/>
        <w:rPr>
          <w:rFonts w:hint="eastAsia" w:ascii="宋体" w:hAnsi="宋体" w:cs="宋体"/>
          <w:b/>
          <w:color w:val="000000"/>
          <w:sz w:val="24"/>
          <w:szCs w:val="24"/>
          <w:highlight w:val="none"/>
          <w:lang w:eastAsia="zh-CN"/>
        </w:rPr>
      </w:pPr>
      <w:r>
        <w:rPr>
          <w:rFonts w:hint="eastAsia" w:ascii="宋体" w:hAnsi="宋体" w:eastAsia="宋体" w:cs="宋体"/>
          <w:b/>
          <w:bCs/>
          <w:sz w:val="24"/>
          <w:szCs w:val="24"/>
        </w:rPr>
        <w:t xml:space="preserve">1.项目编号：</w:t>
      </w:r>
      <w:r>
        <w:rPr>
          <w:rFonts w:hint="eastAsia" w:ascii="宋体" w:hAnsi="宋体" w:cs="宋体"/>
          <w:b/>
          <w:color w:val="000000"/>
          <w:sz w:val="24"/>
          <w:szCs w:val="24"/>
          <w:highlight w:val="none"/>
          <w:lang w:eastAsia="zh-CN"/>
        </w:rPr>
        <w:t xml:space="preserve">JSZC-320922-ZQYC-G2026-0013</w:t>
      </w:r>
      <w:r/>
    </w:p>
    <w:p>
      <w:pPr>
        <w:ind w:firstLine="482"/>
        <w:keepLines w:val="0"/>
        <w:keepNext w:val="0"/>
        <w:pageBreakBefore w:val="0"/>
        <w:spacing w:line="40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2.项目名称：</w:t>
      </w:r>
      <w:r>
        <w:rPr>
          <w:rFonts w:hint="eastAsia" w:ascii="宋体" w:hAnsi="宋体" w:cs="宋体"/>
          <w:b/>
          <w:bCs/>
          <w:sz w:val="24"/>
          <w:szCs w:val="24"/>
          <w:lang w:eastAsia="zh-CN"/>
        </w:rPr>
        <w:t xml:space="preserve">滨海县医疗责任保险及附加险采购项目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.预算金额：</w:t>
      </w:r>
      <w:r>
        <w:rPr>
          <w:rFonts w:hint="eastAsia" w:ascii="宋体" w:hAnsi="宋体" w:cs="宋体"/>
          <w:b/>
          <w:bCs/>
          <w:sz w:val="24"/>
          <w:szCs w:val="24"/>
          <w:u w:val="single"/>
          <w:lang w:val="en-US" w:eastAsia="zh-CN"/>
        </w:rPr>
        <w:t xml:space="preserve">人民币</w:t>
      </w:r>
      <w:r>
        <w:rPr>
          <w:rFonts w:hint="eastAsia" w:ascii="宋体" w:hAnsi="宋体" w:cs="宋体"/>
          <w:b/>
          <w:bCs/>
          <w:spacing w:val="7"/>
          <w:sz w:val="24"/>
          <w:szCs w:val="24"/>
          <w:u w:val="single"/>
          <w:lang w:val="en-US" w:eastAsia="zh-CN"/>
        </w:rPr>
        <w:t xml:space="preserve">750</w:t>
      </w:r>
      <w:r>
        <w:rPr>
          <w:rFonts w:hint="eastAsia" w:ascii="宋体" w:hAnsi="宋体" w:eastAsia="宋体" w:cs="宋体"/>
          <w:b/>
          <w:bCs/>
          <w:sz w:val="24"/>
          <w:szCs w:val="24"/>
          <w:u w:val="single"/>
          <w:lang w:val="en-US" w:eastAsia="zh-CN"/>
        </w:rPr>
        <w:t xml:space="preserve">万元</w:t>
      </w:r>
      <w:r>
        <w:rPr>
          <w:rFonts w:hint="eastAsia" w:ascii="宋体" w:hAnsi="宋体" w:eastAsia="宋体" w:cs="宋体"/>
          <w:b/>
          <w:bCs/>
          <w:sz w:val="24"/>
          <w:szCs w:val="24"/>
          <w:lang w:val="en-US" w:eastAsia="zh-CN"/>
        </w:rPr>
        <w:t xml:space="preserve">。</w:t>
      </w:r>
      <w:r/>
    </w:p>
    <w:p>
      <w:pPr>
        <w:ind w:firstLine="482"/>
        <w:jc w:val="both"/>
        <w:keepLines w:val="0"/>
        <w:keepNext w:val="0"/>
        <w:pageBreakBefore w:val="0"/>
        <w:spacing w:line="400" w:lineRule="exact"/>
        <w:widowControl w:val="off"/>
        <w:rPr>
          <w:rFonts w:hint="default" w:ascii="宋体" w:hAnsi="宋体" w:eastAsia="宋体" w:cs="宋体"/>
          <w:b/>
          <w:bCs/>
          <w:sz w:val="24"/>
          <w:szCs w:val="24"/>
          <w:u w:val="single"/>
          <w:lang w:val="en-US" w:eastAsia="zh-CN" w:bidi="ar-SA"/>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zh-CN" w:bidi="ar-SA"/>
        </w:rPr>
        <w:t xml:space="preserve">资金来源：</w:t>
      </w:r>
      <w:r>
        <w:rPr>
          <w:rFonts w:hint="eastAsia" w:ascii="宋体" w:hAnsi="宋体" w:eastAsia="宋体" w:cs="宋体"/>
          <w:b/>
          <w:bCs/>
          <w:sz w:val="24"/>
          <w:szCs w:val="24"/>
          <w:u w:val="single"/>
          <w:lang w:val="en-US" w:eastAsia="zh-CN" w:bidi="ar-SA"/>
        </w:rPr>
        <w:t xml:space="preserve">自筹资金</w:t>
      </w:r>
      <w:r>
        <w:rPr>
          <w:rFonts w:hint="eastAsia" w:ascii="宋体" w:hAnsi="宋体" w:eastAsia="宋体" w:cs="宋体"/>
          <w:b/>
          <w:bCs/>
          <w:sz w:val="24"/>
          <w:szCs w:val="24"/>
          <w:u w:val="none"/>
          <w:lang w:val="en-US" w:eastAsia="zh-CN" w:bidi="ar-SA"/>
        </w:rPr>
        <w:t xml:space="preserve">。</w:t>
      </w:r>
      <w:r/>
    </w:p>
    <w:p>
      <w:pPr>
        <w:ind w:firstLine="480"/>
        <w:keepLines w:val="0"/>
        <w:pageBreakBefore w:val="0"/>
        <w:spacing w:line="48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最高限价：</w:t>
      </w:r>
      <w:r>
        <w:rPr>
          <w:rFonts w:hint="eastAsia" w:ascii="宋体" w:hAnsi="宋体" w:eastAsia="宋体" w:cs="宋体"/>
          <w:b/>
          <w:bCs/>
          <w:color w:val="auto"/>
          <w:sz w:val="24"/>
          <w:szCs w:val="24"/>
          <w:highlight w:val="none"/>
          <w:u w:val="single"/>
          <w:lang w:val="en-US" w:eastAsia="zh-CN"/>
        </w:rPr>
        <w:t xml:space="preserve">本项目为采用固定价格采购的项目（无需进行报价），其价格不列为评审因素，</w:t>
      </w:r>
      <w:r>
        <w:rPr>
          <w:rFonts w:hint="eastAsia" w:ascii="宋体" w:hAnsi="宋体" w:eastAsia="宋体" w:cs="宋体"/>
          <w:b/>
          <w:bCs/>
          <w:color w:val="auto"/>
          <w:sz w:val="24"/>
          <w:szCs w:val="24"/>
          <w:highlight w:val="none"/>
          <w:u w:val="single"/>
        </w:rPr>
        <w:t xml:space="preserve">固定价格为</w:t>
      </w:r>
      <w:r>
        <w:rPr>
          <w:rFonts w:hint="eastAsia" w:ascii="宋体" w:hAnsi="宋体" w:eastAsia="宋体" w:cs="宋体"/>
          <w:b/>
          <w:bCs/>
          <w:spacing w:val="7"/>
          <w:sz w:val="24"/>
          <w:szCs w:val="24"/>
          <w:u w:val="single"/>
          <w:lang w:val="en-US" w:eastAsia="zh-CN"/>
        </w:rPr>
        <w:t xml:space="preserve">750</w:t>
      </w:r>
      <w:r>
        <w:rPr>
          <w:rFonts w:hint="eastAsia" w:ascii="宋体" w:hAnsi="宋体" w:eastAsia="Arial" w:cs="宋体"/>
          <w:b/>
          <w:bCs/>
          <w:i w:val="0"/>
          <w:iCs w:val="0"/>
          <w:caps w:val="0"/>
          <w:color w:val="auto"/>
          <w:spacing w:val="0"/>
          <w:sz w:val="24"/>
          <w:szCs w:val="24"/>
          <w:highlight w:val="none"/>
          <w:u w:val="single"/>
          <w:shd w:val="clear" w:color="auto" w:fill="ffffff"/>
          <w:lang w:val="en-US" w:eastAsia="zh-CN"/>
        </w:rPr>
        <w:t xml:space="preserve">万元</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.采购需求：</w:t>
      </w:r>
      <w:r>
        <w:rPr>
          <w:rFonts w:hint="eastAsia" w:ascii="宋体" w:hAnsi="宋体" w:cs="宋体"/>
          <w:b/>
          <w:bCs/>
          <w:sz w:val="24"/>
          <w:szCs w:val="24"/>
          <w:u w:val="single"/>
          <w:lang w:val="en-US" w:eastAsia="zh-CN"/>
        </w:rPr>
        <w:t xml:space="preserve">本次</w:t>
      </w:r>
      <w:r>
        <w:rPr>
          <w:rFonts w:hint="eastAsia" w:ascii="宋体" w:hAnsi="宋体" w:eastAsia="宋体" w:cs="宋体"/>
          <w:b/>
          <w:bCs/>
          <w:sz w:val="24"/>
          <w:szCs w:val="24"/>
          <w:u w:val="single"/>
          <w:lang w:eastAsia="zh-CN"/>
        </w:rPr>
        <w:t xml:space="preserve">滨海县医院医疗责任险及附加险采购</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医疗机构公众责任保险</w:t>
      </w:r>
      <w:r>
        <w:rPr>
          <w:rFonts w:hint="eastAsia" w:ascii="宋体" w:hAnsi="宋体" w:eastAsia="宋体" w:cs="宋体"/>
          <w:b/>
          <w:bCs/>
          <w:sz w:val="24"/>
          <w:szCs w:val="24"/>
          <w:u w:val="single"/>
          <w:lang w:eastAsia="zh-CN"/>
        </w:rPr>
        <w:t xml:space="preserve">，对滨海县医院在保险期间或保险合同载明的追溯期内，被保险人的投</w:t>
      </w:r>
      <w:r>
        <w:rPr>
          <w:rFonts w:hint="eastAsia" w:ascii="宋体" w:hAnsi="宋体" w:eastAsia="宋体" w:cs="宋体"/>
          <w:b/>
          <w:bCs/>
          <w:sz w:val="24"/>
          <w:szCs w:val="24"/>
          <w:u w:val="single"/>
          <w:lang w:eastAsia="zh-CN"/>
        </w:rPr>
        <w:t xml:space="preserve">保医务人员在本保险单明细表列明的承保区域内从事诊疗护理活动时，因执业过失导致意外事故，造成患者人身损害，由患者或其近亲属在保险期间内或发现期内首次向被保险人提出损害赔偿请求，依照中华人民共和国法律（不包括港澳台地区法律）应由被保险人承担的经济赔偿责任，保险人按照本保险合同约定负责赔偿。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本保险发现期为30天，</w:t>
      </w:r>
      <w:r>
        <w:rPr>
          <w:rFonts w:hint="eastAsia" w:ascii="宋体" w:hAnsi="宋体" w:eastAsia="宋体" w:cs="宋体"/>
          <w:b/>
          <w:bCs/>
          <w:sz w:val="24"/>
          <w:szCs w:val="24"/>
          <w:u w:val="single"/>
        </w:rPr>
        <w:t xml:space="preserve">（详细内容见本</w:t>
      </w:r>
      <w:r>
        <w:rPr>
          <w:rFonts w:hint="eastAsia" w:ascii="宋体" w:hAnsi="宋体" w:eastAsia="宋体" w:cs="宋体"/>
          <w:b/>
          <w:bCs/>
          <w:sz w:val="24"/>
          <w:szCs w:val="24"/>
          <w:u w:val="single"/>
          <w:lang w:val="en-US" w:eastAsia="zh-CN"/>
        </w:rPr>
        <w:t xml:space="preserve">招标</w:t>
      </w:r>
      <w:r>
        <w:rPr>
          <w:rFonts w:hint="eastAsia" w:ascii="宋体" w:hAnsi="宋体" w:eastAsia="宋体" w:cs="宋体"/>
          <w:b/>
          <w:bCs/>
          <w:sz w:val="24"/>
          <w:szCs w:val="24"/>
          <w:u w:val="single"/>
        </w:rPr>
        <w:t xml:space="preserve">文件第四章）</w:t>
      </w:r>
      <w:r>
        <w:rPr>
          <w:rFonts w:hint="eastAsia" w:ascii="宋体" w:hAnsi="宋体" w:eastAsia="宋体" w:cs="宋体"/>
          <w:b/>
          <w:bCs/>
          <w:sz w:val="24"/>
          <w:szCs w:val="24"/>
          <w:lang w:eastAsia="zh-CN"/>
        </w:rPr>
        <w:t xml:space="preserve">。</w:t>
      </w:r>
      <w:r/>
    </w:p>
    <w:p>
      <w:pPr>
        <w:ind w:firstLine="482"/>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.合同履行期限：</w:t>
      </w:r>
      <w:r>
        <w:rPr>
          <w:rFonts w:hint="eastAsia" w:ascii="宋体" w:hAnsi="宋体" w:eastAsia="宋体" w:cs="宋体"/>
          <w:b/>
          <w:bCs/>
          <w:sz w:val="24"/>
          <w:szCs w:val="24"/>
          <w:u w:val="single"/>
        </w:rPr>
        <w:t xml:space="preserve">保险周期为</w:t>
      </w:r>
      <w:r>
        <w:rPr>
          <w:rFonts w:hint="eastAsia" w:ascii="宋体" w:hAnsi="宋体" w:eastAsia="宋体" w:cs="宋体"/>
          <w:b/>
          <w:bCs/>
          <w:sz w:val="24"/>
          <w:szCs w:val="24"/>
          <w:u w:val="single"/>
          <w:lang w:val="en-US" w:eastAsia="zh-CN"/>
        </w:rPr>
        <w:t xml:space="preserve">三</w:t>
      </w:r>
      <w:r>
        <w:rPr>
          <w:rFonts w:hint="eastAsia" w:ascii="宋体" w:hAnsi="宋体" w:eastAsia="宋体" w:cs="宋体"/>
          <w:b/>
          <w:bCs/>
          <w:sz w:val="24"/>
          <w:szCs w:val="24"/>
          <w:u w:val="single"/>
        </w:rPr>
        <w:t xml:space="preserve">年</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rPr>
        <w:t xml:space="preserve">自起保日零时起至期满日的二十四时止</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保单一年一出，保费一年一付</w:t>
      </w:r>
      <w:r>
        <w:rPr>
          <w:rFonts w:hint="eastAsia" w:ascii="宋体" w:hAnsi="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rPr>
          <w:rFonts w:hint="eastAsia" w:ascii="宋体" w:hAnsi="宋体" w:eastAsia="宋体" w:cs="宋体"/>
          <w:b/>
          <w:bCs/>
          <w:sz w:val="24"/>
          <w:szCs w:val="24"/>
        </w:rPr>
      </w:pPr>
      <w:r/>
      <w:bookmarkStart w:id="12" w:name="_Hlk135663623"/>
      <w:r>
        <w:rPr>
          <w:rFonts w:hint="eastAsia" w:ascii="宋体" w:hAnsi="宋体" w:cs="宋体"/>
          <w:b/>
          <w:bCs/>
          <w:sz w:val="24"/>
          <w:szCs w:val="24"/>
          <w:lang w:val="en-US" w:eastAsia="zh-CN"/>
        </w:rPr>
        <w:t xml:space="preserve">9</w:t>
      </w:r>
      <w:r>
        <w:rPr>
          <w:rFonts w:hint="eastAsia" w:ascii="宋体" w:hAnsi="宋体" w:eastAsia="宋体" w:cs="宋体"/>
          <w:b/>
          <w:bCs/>
          <w:sz w:val="24"/>
          <w:szCs w:val="24"/>
        </w:rPr>
        <w:t xml:space="preserve">.本项目评选首席</w:t>
      </w:r>
      <w:r>
        <w:rPr>
          <w:rFonts w:hint="eastAsia" w:ascii="宋体" w:hAnsi="宋体" w:cs="宋体"/>
          <w:b/>
          <w:bCs/>
          <w:sz w:val="24"/>
          <w:szCs w:val="24"/>
          <w:lang w:eastAsia="zh-CN"/>
        </w:rPr>
        <w:t xml:space="preserve">保险人</w:t>
      </w:r>
      <w:r>
        <w:rPr>
          <w:rFonts w:hint="eastAsia" w:ascii="宋体" w:hAnsi="宋体" w:eastAsia="宋体" w:cs="宋体"/>
          <w:b/>
          <w:bCs/>
          <w:sz w:val="24"/>
          <w:szCs w:val="24"/>
        </w:rPr>
        <w:t xml:space="preserve">一名和其他共保人二名</w:t>
      </w:r>
      <w:bookmarkEnd w:id="12"/>
      <w:r>
        <w:rPr>
          <w:rFonts w:hint="eastAsia" w:ascii="宋体" w:hAnsi="宋体" w:eastAsia="宋体" w:cs="宋体"/>
          <w:b/>
          <w:bCs/>
          <w:sz w:val="24"/>
          <w:szCs w:val="24"/>
        </w:rPr>
        <w:t xml:space="preserve">，承保比例分别为第一名</w:t>
      </w:r>
      <w:r>
        <w:rPr>
          <w:rFonts w:hint="eastAsia" w:ascii="宋体" w:hAnsi="宋体" w:cs="宋体"/>
          <w:b/>
          <w:bCs/>
          <w:sz w:val="24"/>
          <w:szCs w:val="24"/>
          <w:lang w:val="en-US" w:eastAsia="zh-CN"/>
        </w:rPr>
        <w:t xml:space="preserve">40</w:t>
      </w:r>
      <w:r>
        <w:rPr>
          <w:rFonts w:hint="eastAsia" w:ascii="宋体" w:hAnsi="宋体" w:eastAsia="宋体" w:cs="宋体"/>
          <w:b/>
          <w:bCs/>
          <w:sz w:val="24"/>
          <w:szCs w:val="24"/>
        </w:rPr>
        <w:t xml:space="preserve">%、第二名</w:t>
      </w:r>
      <w:r>
        <w:rPr>
          <w:rFonts w:hint="eastAsia" w:ascii="宋体" w:hAnsi="宋体" w:cs="宋体"/>
          <w:b/>
          <w:bCs/>
          <w:sz w:val="24"/>
          <w:szCs w:val="24"/>
          <w:lang w:val="en-US" w:eastAsia="zh-CN"/>
        </w:rPr>
        <w:t xml:space="preserve">40</w:t>
      </w:r>
      <w:r>
        <w:rPr>
          <w:rFonts w:hint="eastAsia" w:ascii="宋体" w:hAnsi="宋体" w:eastAsia="宋体" w:cs="宋体"/>
          <w:b/>
          <w:bCs/>
          <w:sz w:val="24"/>
          <w:szCs w:val="24"/>
        </w:rPr>
        <w:t xml:space="preserve">%、第三名</w:t>
      </w:r>
      <w:r>
        <w:rPr>
          <w:rFonts w:hint="eastAsia" w:ascii="宋体" w:hAnsi="宋体" w:cs="宋体"/>
          <w:b/>
          <w:bCs/>
          <w:sz w:val="24"/>
          <w:szCs w:val="24"/>
          <w:lang w:val="en-US" w:eastAsia="zh-CN"/>
        </w:rPr>
        <w:t xml:space="preserve">20</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.质量标准：</w:t>
      </w:r>
      <w:r>
        <w:rPr>
          <w:rFonts w:hint="eastAsia" w:ascii="宋体" w:hAnsi="宋体" w:eastAsia="宋体" w:cs="宋体"/>
          <w:b/>
          <w:bCs/>
          <w:sz w:val="24"/>
          <w:szCs w:val="24"/>
          <w:u w:val="single"/>
          <w:lang w:val="en-US" w:eastAsia="zh-CN"/>
        </w:rPr>
        <w:t xml:space="preserve">符合本项目招标文件采购需求及相关</w:t>
      </w:r>
      <w:r>
        <w:rPr>
          <w:rFonts w:hint="eastAsia" w:ascii="宋体" w:hAnsi="宋体" w:cs="宋体"/>
          <w:b/>
          <w:bCs/>
          <w:sz w:val="24"/>
          <w:szCs w:val="24"/>
          <w:u w:val="single"/>
          <w:lang w:val="en-US" w:eastAsia="zh-CN"/>
        </w:rPr>
        <w:t xml:space="preserve">文件</w:t>
      </w:r>
      <w:r>
        <w:rPr>
          <w:rFonts w:hint="eastAsia" w:ascii="宋体" w:hAnsi="宋体" w:eastAsia="宋体" w:cs="宋体"/>
          <w:b/>
          <w:bCs/>
          <w:sz w:val="24"/>
          <w:szCs w:val="24"/>
          <w:u w:val="single"/>
          <w:lang w:val="en-US" w:eastAsia="zh-CN"/>
        </w:rPr>
        <w:t xml:space="preserve">要求</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本项目（是/否）接受联合体投标：</w:t>
      </w:r>
      <w:r>
        <w:rPr>
          <w:rFonts w:hint="eastAsia" w:ascii="宋体" w:hAnsi="宋体" w:eastAsia="宋体" w:cs="宋体"/>
          <w:b/>
          <w:bCs/>
          <w:sz w:val="24"/>
          <w:szCs w:val="24"/>
          <w:u w:val="single"/>
        </w:rPr>
        <w:t xml:space="preserve">否</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3" w:name="_Toc28359003"/>
      <w:r/>
      <w:bookmarkStart w:id="14" w:name="_Toc28359080"/>
      <w:r/>
      <w:bookmarkStart w:id="15" w:name="_Toc38985264"/>
      <w:r/>
      <w:bookmarkStart w:id="16" w:name="_Toc35393791"/>
      <w:r/>
      <w:bookmarkStart w:id="17" w:name="_Toc35393622"/>
      <w:r>
        <w:rPr>
          <w:rFonts w:hint="eastAsia" w:ascii="宋体" w:hAnsi="宋体" w:eastAsia="宋体" w:cs="宋体"/>
          <w:b/>
          <w:bCs/>
          <w:sz w:val="24"/>
          <w:szCs w:val="24"/>
        </w:rPr>
        <w:t xml:space="preserve">二、申请人的资格要求：</w:t>
      </w:r>
      <w:bookmarkEnd w:id="13"/>
      <w:r/>
      <w:bookmarkEnd w:id="14"/>
      <w:r/>
      <w:bookmarkEnd w:id="15"/>
      <w:r/>
      <w:bookmarkEnd w:id="16"/>
      <w:r/>
      <w:bookmarkEnd w:id="17"/>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val="en-US" w:eastAsia="zh-CN"/>
        </w:rPr>
        <w:t xml:space="preserve">须提供2024年度或2025年度</w:t>
      </w:r>
      <w:r>
        <w:rPr>
          <w:rFonts w:hint="eastAsia" w:ascii="宋体" w:hAnsi="宋体" w:eastAsia="宋体" w:cs="宋体"/>
          <w:b/>
          <w:bCs/>
          <w:sz w:val="24"/>
          <w:szCs w:val="24"/>
        </w:rPr>
        <w:t xml:space="preserve">的</w:t>
      </w:r>
      <w:r>
        <w:rPr>
          <w:rFonts w:ascii="宋体" w:hAnsi="宋体" w:cs="宋体"/>
          <w:b/>
          <w:bCs/>
          <w:sz w:val="24"/>
          <w:szCs w:val="24"/>
        </w:rPr>
        <w:t xml:space="preserve">财务审计报告</w:t>
      </w:r>
      <w:r>
        <w:rPr>
          <w:rFonts w:hint="eastAsia" w:ascii="宋体" w:hAnsi="宋体" w:eastAsia="宋体" w:cs="宋体"/>
          <w:b/>
          <w:bCs/>
          <w:sz w:val="24"/>
          <w:szCs w:val="24"/>
        </w:rPr>
        <w:t xml:space="preserve">（成立不满一年无需提供）；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w:t>
      </w:r>
      <w:r>
        <w:rPr>
          <w:rFonts w:hint="eastAsia" w:ascii="宋体" w:hAnsi="宋体" w:cs="宋体"/>
          <w:b/>
          <w:bCs/>
          <w:sz w:val="24"/>
          <w:szCs w:val="24"/>
          <w:lang w:val="en-US" w:eastAsia="zh-CN"/>
        </w:rPr>
        <w:t xml:space="preserve">投标</w:t>
      </w:r>
      <w:r>
        <w:rPr>
          <w:rFonts w:hint="eastAsia" w:ascii="宋体" w:hAnsi="宋体" w:eastAsia="宋体" w:cs="宋体"/>
          <w:b/>
          <w:bCs/>
          <w:sz w:val="24"/>
          <w:szCs w:val="24"/>
        </w:rPr>
        <w:t xml:space="preserve">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cs="宋体"/>
          <w:b/>
          <w:bCs/>
          <w:sz w:val="24"/>
          <w:szCs w:val="24"/>
          <w:lang w:eastAsia="zh-CN"/>
        </w:rPr>
        <w:t xml:space="preserve">。</w:t>
      </w:r>
      <w:r/>
    </w:p>
    <w:p>
      <w:pPr>
        <w:ind w:firstLine="480"/>
        <w:keepLines w:val="0"/>
        <w:keepNext w:val="0"/>
        <w:pageBreakBefore w:val="0"/>
        <w:spacing w:line="40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落实政府采购政策需满足的资格要求：</w:t>
      </w:r>
      <w:r>
        <w:rPr>
          <w:rFonts w:hint="eastAsia" w:ascii="宋体" w:hAnsi="宋体" w:cs="宋体"/>
          <w:b/>
          <w:bCs/>
          <w:color w:val="000000"/>
          <w:sz w:val="24"/>
          <w:szCs w:val="24"/>
          <w:u w:val="single"/>
        </w:rPr>
        <w:t xml:space="preserve">本项目为非专门面向中小企业采购的项目,所属行业为</w:t>
      </w:r>
      <w:r>
        <w:rPr>
          <w:rFonts w:hint="eastAsia" w:ascii="宋体" w:hAnsi="宋体" w:cs="宋体"/>
          <w:b/>
          <w:bCs/>
          <w:color w:val="000000"/>
          <w:sz w:val="24"/>
          <w:szCs w:val="24"/>
          <w:u w:val="single"/>
          <w:lang w:eastAsia="zh-CN"/>
        </w:rPr>
        <w:t xml:space="preserve">金融</w:t>
      </w:r>
      <w:r>
        <w:rPr>
          <w:rFonts w:hint="eastAsia" w:ascii="宋体" w:hAnsi="宋体" w:cs="宋体"/>
          <w:b/>
          <w:bCs/>
          <w:color w:val="000000"/>
          <w:sz w:val="24"/>
          <w:szCs w:val="24"/>
          <w:u w:val="single"/>
        </w:rPr>
        <w:t xml:space="preserve">行业，本项目落实小微型企业、残疾人福利性单位及监狱企业扶持等相关政府采购政策。对符合（财库[2020]46号）规定的小微企业报价给予20%的价格扣除，用扣除后的价格参与评审</w:t>
      </w:r>
      <w:r>
        <w:rPr>
          <w:rFonts w:hint="eastAsia" w:ascii="宋体" w:hAnsi="宋体" w:cs="宋体"/>
          <w:b/>
          <w:bCs/>
          <w:color w:val="000000"/>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本项目的特定资格要求</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3.1</w:t>
      </w:r>
      <w:r>
        <w:rPr>
          <w:rFonts w:hint="eastAsia" w:ascii="宋体" w:hAnsi="宋体" w:eastAsia="宋体" w:cs="宋体"/>
          <w:b/>
          <w:bCs/>
          <w:sz w:val="24"/>
          <w:szCs w:val="24"/>
        </w:rPr>
        <w:t xml:space="preserve">在“信用中国”</w:t>
      </w:r>
      <w:r>
        <w:rPr>
          <w:rFonts w:hint="eastAsia" w:ascii="宋体" w:hAnsi="宋体" w:eastAsia="宋体" w:cs="宋体"/>
          <w:b/>
          <w:bCs/>
          <w:color w:val="000000"/>
          <w:sz w:val="24"/>
          <w:szCs w:val="24"/>
        </w:rPr>
        <w:t xml:space="preserve">（www.creditchina.gov.cn）</w:t>
      </w:r>
      <w:r>
        <w:rPr>
          <w:rFonts w:hint="eastAsia" w:ascii="宋体" w:hAnsi="宋体" w:eastAsia="宋体" w:cs="宋体"/>
          <w:b/>
          <w:bCs/>
          <w:sz w:val="24"/>
          <w:szCs w:val="24"/>
        </w:rPr>
        <w:t xml:space="preserve">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3.2</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hint="eastAsia" w:ascii="宋体" w:hAnsi="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color w:val="ff0000"/>
          <w:sz w:val="24"/>
          <w:szCs w:val="24"/>
          <w:lang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rPr>
        <w:t xml:space="preserve">为国家</w:t>
      </w:r>
      <w:r>
        <w:rPr>
          <w:rFonts w:hint="eastAsia" w:ascii="宋体" w:hAnsi="宋体" w:eastAsia="宋体" w:cs="宋体"/>
          <w:b/>
          <w:bCs/>
          <w:sz w:val="24"/>
          <w:szCs w:val="24"/>
          <w:lang w:val="en-US" w:eastAsia="zh-CN"/>
        </w:rPr>
        <w:t xml:space="preserve">金融</w:t>
      </w:r>
      <w:r>
        <w:rPr>
          <w:rFonts w:hint="eastAsia" w:ascii="宋体" w:hAnsi="宋体" w:eastAsia="宋体" w:cs="宋体"/>
          <w:b/>
          <w:bCs/>
          <w:sz w:val="24"/>
          <w:szCs w:val="24"/>
        </w:rPr>
        <w:t xml:space="preserve">监督管理机构批准的财产保险公司总公司或经总公司授权的分支机构</w:t>
      </w:r>
      <w:r>
        <w:rPr>
          <w:rFonts w:hint="eastAsia" w:ascii="宋体" w:hAnsi="宋体" w:eastAsia="宋体" w:cs="宋体"/>
          <w:b/>
          <w:bCs/>
          <w:sz w:val="24"/>
          <w:szCs w:val="24"/>
          <w:lang w:eastAsia="zh-CN"/>
        </w:rPr>
        <w:t xml:space="preserve">，</w:t>
      </w:r>
      <w:r>
        <w:rPr>
          <w:rFonts w:hint="eastAsia" w:ascii="宋体" w:hAnsi="宋体" w:eastAsia="宋体" w:cs="宋体"/>
          <w:b/>
          <w:bCs/>
          <w:color w:val="000000"/>
          <w:sz w:val="24"/>
          <w:szCs w:val="24"/>
          <w:highlight w:val="none"/>
        </w:rPr>
        <w:t xml:space="preserve">且具有保险业监管部门核批的《保险许可证》和</w:t>
      </w:r>
      <w:r>
        <w:rPr>
          <w:rFonts w:hint="eastAsia" w:ascii="宋体" w:hAnsi="宋体" w:eastAsia="宋体" w:cs="Times New Roman"/>
          <w:b/>
          <w:bCs w:val="0"/>
          <w:color w:val="000000"/>
          <w:sz w:val="24"/>
          <w:szCs w:val="21"/>
        </w:rPr>
        <w:t xml:space="preserve">有效的营业执照、税务登记证（或多证合一营业执照）</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jc w:val="left"/>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szCs w:val="24"/>
          <w:highlight w:val="none"/>
          <w14:textFill>
            <w14:solidFill>
              <w14:schemeClr w14:val="tx1"/>
            </w14:solidFill>
          </w14:textFill>
        </w:rPr>
        <w:t xml:space="preserve">具有国家金融监督管理总局（原中国银保监会）报备的相关保险条款</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b/>
          <w:bCs/>
          <w:color w:val="000000"/>
          <w:sz w:val="24"/>
          <w:szCs w:val="24"/>
          <w:highlight w:val="none"/>
          <w:lang w:val="en-US" w:eastAsia="zh-CN"/>
        </w:rPr>
        <w:t xml:space="preserve">本项目接受总公司或其分公司（支公司）参与投标；</w:t>
      </w:r>
      <w:r>
        <w:rPr>
          <w:rFonts w:hint="eastAsia" w:ascii="宋体" w:hAnsi="宋体" w:eastAsia="宋体" w:cs="宋体"/>
          <w:b/>
          <w:bCs/>
          <w:color w:val="000000"/>
          <w:sz w:val="24"/>
          <w:szCs w:val="24"/>
          <w:highlight w:val="none"/>
        </w:rPr>
        <w:t xml:space="preserve">若以分支机构参与</w:t>
      </w:r>
      <w:r>
        <w:rPr>
          <w:rFonts w:hint="eastAsia" w:ascii="宋体" w:hAnsi="宋体" w:eastAsia="宋体" w:cs="宋体"/>
          <w:b/>
          <w:bCs/>
          <w:color w:val="000000"/>
          <w:sz w:val="24"/>
          <w:szCs w:val="24"/>
          <w:highlight w:val="none"/>
          <w:lang w:val="en-US" w:eastAsia="zh-CN"/>
        </w:rPr>
        <w:t xml:space="preserve">本项目投标</w:t>
      </w:r>
      <w:r>
        <w:rPr>
          <w:rFonts w:hint="eastAsia" w:ascii="宋体" w:hAnsi="宋体" w:eastAsia="宋体" w:cs="宋体"/>
          <w:b/>
          <w:bCs/>
          <w:color w:val="000000"/>
          <w:sz w:val="24"/>
          <w:szCs w:val="24"/>
          <w:highlight w:val="none"/>
        </w:rPr>
        <w:t xml:space="preserve">的，则其</w:t>
      </w: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rPr>
        <w:t xml:space="preserve">负责人视同为法定代表人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同时</w:t>
      </w:r>
      <w:r>
        <w:rPr>
          <w:rFonts w:hint="eastAsia" w:ascii="宋体" w:hAnsi="宋体" w:eastAsia="宋体" w:cs="Times New Roman"/>
          <w:b/>
          <w:bCs/>
          <w:color w:val="000000"/>
          <w:sz w:val="24"/>
          <w:szCs w:val="21"/>
          <w:highlight w:val="none"/>
          <w:lang w:val="zh-CN"/>
        </w:rPr>
        <w:t xml:space="preserve">须提供总公司出具给分支机构的授权书。</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18" w:name="_Toc28359005"/>
      <w:r/>
      <w:bookmarkStart w:id="19" w:name="_Toc28359082"/>
      <w:r/>
      <w:bookmarkStart w:id="20" w:name="_Toc35393793"/>
      <w:r/>
      <w:bookmarkStart w:id="21" w:name="_Toc35393624"/>
      <w:r/>
      <w:bookmarkStart w:id="22" w:name="_Toc38985266"/>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w:t>
      </w:r>
      <w:bookmarkEnd w:id="18"/>
      <w:r/>
      <w:bookmarkEnd w:id="19"/>
      <w:r/>
      <w:bookmarkEnd w:id="20"/>
      <w:r/>
      <w:bookmarkEnd w:id="21"/>
      <w:r/>
      <w:bookmarkEnd w:id="22"/>
      <w:r>
        <w:rPr>
          <w:rFonts w:hint="eastAsia" w:ascii="宋体" w:hAnsi="宋体" w:eastAsia="宋体" w:cs="宋体"/>
          <w:b/>
          <w:bCs/>
          <w:sz w:val="24"/>
          <w:szCs w:val="24"/>
          <w:lang w:val="en-US" w:eastAsia="zh-CN"/>
        </w:rPr>
        <w:t xml:space="preserve">自招标文件公告发布之日起5个工作日。</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2.地点：“苏采云”系统内免费下载（投标人必须在苏采云系统中获取采购文件，方能参与政府采购项目）；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3.方式：本项目采用网上注册登记方式。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4.售价：0元</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四、提交投标文件截止时间、开标时间和地点</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时间：</w:t>
      </w:r>
      <w:r>
        <w:rPr>
          <w:rFonts w:hint="eastAsia" w:ascii="宋体" w:hAnsi="宋体" w:cs="宋体"/>
          <w:b/>
          <w:bCs/>
          <w:sz w:val="24"/>
          <w:szCs w:val="24"/>
          <w:lang w:val="en-US" w:eastAsia="zh-CN"/>
        </w:rPr>
        <w:t xml:space="preserve">2026年7月16</w:t>
      </w:r>
      <w:r>
        <w:rPr>
          <w:rFonts w:hint="eastAsia" w:ascii="宋体" w:hAnsi="宋体" w:eastAsia="宋体" w:cs="宋体"/>
          <w:b/>
          <w:bCs/>
          <w:sz w:val="24"/>
          <w:szCs w:val="24"/>
          <w:lang w:val="en-US" w:eastAsia="zh-CN"/>
        </w:rPr>
        <w:t xml:space="preserve">日</w:t>
      </w:r>
      <w:r>
        <w:rPr>
          <w:rFonts w:hint="eastAsia" w:ascii="宋体" w:hAnsi="宋体" w:cs="宋体"/>
          <w:b/>
          <w:bCs/>
          <w:sz w:val="24"/>
          <w:szCs w:val="24"/>
          <w:lang w:val="en-US" w:eastAsia="zh-CN"/>
        </w:rPr>
        <w:t xml:space="preserve">9:00整</w:t>
      </w:r>
      <w:r>
        <w:rPr>
          <w:rFonts w:hint="eastAsia" w:ascii="宋体" w:hAnsi="宋体" w:eastAsia="宋体" w:cs="宋体"/>
          <w:b/>
          <w:bCs/>
          <w:sz w:val="24"/>
          <w:szCs w:val="24"/>
          <w:lang w:val="en-US" w:eastAsia="zh-CN"/>
        </w:rPr>
        <w:t xml:space="preserve">（北京时间）</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2.地点：苏采云“不见面”开标大厅。</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23" w:name="_Toc35393625"/>
      <w:r/>
      <w:bookmarkStart w:id="24" w:name="_Toc28359007"/>
      <w:r/>
      <w:bookmarkStart w:id="25" w:name="_Toc35393794"/>
      <w:r/>
      <w:bookmarkStart w:id="26" w:name="_Toc38985267"/>
      <w:r/>
      <w:bookmarkStart w:id="27" w:name="_Toc28359084"/>
      <w:r>
        <w:rPr>
          <w:rFonts w:hint="eastAsia" w:ascii="宋体" w:hAnsi="宋体" w:eastAsia="宋体" w:cs="宋体"/>
          <w:b/>
          <w:bCs/>
          <w:sz w:val="24"/>
          <w:szCs w:val="24"/>
        </w:rPr>
        <w:t xml:space="preserve">五、公告期限</w:t>
      </w:r>
      <w:bookmarkEnd w:id="23"/>
      <w:r/>
      <w:bookmarkEnd w:id="24"/>
      <w:r/>
      <w:bookmarkEnd w:id="25"/>
      <w:r/>
      <w:bookmarkEnd w:id="26"/>
      <w:r/>
      <w:bookmarkEnd w:id="27"/>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28" w:name="_Toc35393626"/>
      <w:r/>
      <w:bookmarkStart w:id="29" w:name="_Toc35393795"/>
      <w:r/>
      <w:bookmarkStart w:id="30" w:name="_Toc38985268"/>
      <w:r>
        <w:rPr>
          <w:rFonts w:hint="eastAsia" w:ascii="宋体" w:hAnsi="宋体" w:eastAsia="宋体" w:cs="宋体"/>
          <w:b/>
          <w:bCs/>
          <w:sz w:val="24"/>
          <w:szCs w:val="24"/>
          <w:lang w:val="en-US" w:eastAsia="zh-CN"/>
        </w:rPr>
        <w:t xml:space="preserve">自本公告发布之日起5个工作日。</w:t>
      </w:r>
      <w:bookmarkEnd w:id="28"/>
      <w:r/>
      <w:bookmarkEnd w:id="29"/>
      <w:r/>
      <w:bookmarkEnd w:id="30"/>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000"/>
        <w:ind w:firstLine="480"/>
        <w:keepLines w:val="0"/>
        <w:keepNext w:val="0"/>
        <w:pageBreakBefore w:val="0"/>
        <w:spacing w:before="0" w:beforeAutospacing="0" w:after="0" w:afterAutospacing="0" w:line="400" w:lineRule="exact"/>
        <w:widowControl/>
        <w:rPr>
          <w:b/>
          <w:bCs/>
        </w:rPr>
      </w:pPr>
      <w:r>
        <w:rPr>
          <w:rFonts w:hint="eastAsia" w:eastAsia="宋体"/>
          <w:b/>
          <w:bCs/>
          <w:lang w:val="en-US" w:eastAsia="zh-CN"/>
        </w:rPr>
        <w:t xml:space="preserve">2.</w:t>
      </w:r>
      <w:r>
        <w:rPr>
          <w:b/>
          <w:bCs/>
          <w:shd w:val="clear" w:color="auto" w:fill="ffffff"/>
        </w:rPr>
        <w:t xml:space="preserve">因</w:t>
      </w:r>
      <w:r>
        <w:rPr>
          <w:rFonts w:hint="eastAsia"/>
          <w:b/>
          <w:bCs/>
          <w:shd w:val="clear" w:color="auto" w:fill="ffffff"/>
          <w:lang w:val="en-US" w:eastAsia="zh-CN"/>
        </w:rPr>
        <w:t xml:space="preserve">投标人</w:t>
      </w:r>
      <w:r>
        <w:rPr>
          <w:b/>
          <w:bCs/>
          <w:shd w:val="clear" w:color="auto" w:fill="ffffff"/>
        </w:rPr>
        <w:t xml:space="preserve">的系统环境、操作等原因导致报名、开评标过程中出现问题由</w:t>
      </w:r>
      <w:r>
        <w:rPr>
          <w:rFonts w:hint="eastAsia"/>
          <w:b/>
          <w:bCs/>
          <w:shd w:val="clear" w:color="auto" w:fill="ffffff"/>
          <w:lang w:val="en-US" w:eastAsia="zh-CN"/>
        </w:rPr>
        <w:t xml:space="preserve">投标人</w:t>
      </w:r>
      <w:r>
        <w:rPr>
          <w:b/>
          <w:bCs/>
          <w:shd w:val="clear" w:color="auto" w:fill="ffffff"/>
        </w:rPr>
        <w:t xml:space="preserve">自行承担负责。</w:t>
      </w:r>
      <w:r/>
    </w:p>
    <w:p>
      <w:pPr>
        <w:numPr>
          <w:ilvl w:val="0"/>
          <w:numId w:val="0"/>
        </w:numPr>
        <w:ind w:firstLine="482"/>
        <w:jc w:val="left"/>
        <w:keepLines w:val="0"/>
        <w:keepNext w:val="0"/>
        <w:pageBreakBefore w:val="0"/>
        <w:spacing w:line="400" w:lineRule="exact"/>
        <w:shd w:val="clear" w:color="auto" w:fill="ffffff"/>
        <w:widowControl/>
        <w:rPr>
          <w:rFonts w:hint="eastAsia" w:ascii="宋体" w:hAnsi="宋体"/>
          <w:b/>
          <w:bCs/>
          <w:sz w:val="24"/>
          <w:lang w:bidi="ar"/>
        </w:rPr>
      </w:pPr>
      <w:r>
        <w:rPr>
          <w:rFonts w:hint="eastAsia" w:ascii="宋体" w:hAnsi="宋体"/>
          <w:b/>
          <w:bCs/>
          <w:sz w:val="24"/>
          <w:lang w:val="en-US" w:eastAsia="zh-CN" w:bidi="ar"/>
        </w:rPr>
        <w:t xml:space="preserve">3.</w:t>
      </w:r>
      <w:r>
        <w:rPr>
          <w:rFonts w:hint="eastAsia" w:ascii="宋体" w:hAnsi="宋体"/>
          <w:b/>
          <w:bCs/>
          <w:sz w:val="24"/>
          <w:lang w:bidi="ar"/>
        </w:rPr>
        <w:t xml:space="preserve">本项目落实小微型企业扶持政府采购政策（详见招标文件）。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.有关本次招标的事项若存在变动或修改，敬请及时关注</w:t>
      </w:r>
      <w:r>
        <w:rPr>
          <w:rFonts w:hint="eastAsia" w:ascii="宋体" w:hAnsi="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left="0" w:right="0" w:firstLine="482"/>
        <w:jc w:val="both"/>
        <w:keepLines w:val="0"/>
        <w:keepNext w:val="0"/>
        <w:pageBreakBefore w:val="0"/>
        <w:spacing w:before="0" w:after="0" w:line="40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.本次招标不收取投标保证金，不收取质量保证金。</w:t>
      </w:r>
      <w:r/>
    </w:p>
    <w:p>
      <w:pPr>
        <w:ind w:left="0" w:right="0" w:firstLine="482"/>
        <w:jc w:val="both"/>
        <w:keepLines w:val="0"/>
        <w:keepNext w:val="0"/>
        <w:pageBreakBefore w:val="0"/>
        <w:spacing w:before="0" w:after="0" w:line="40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highlight w:val="white"/>
        </w:rPr>
        <w:t xml:space="preserve">电子</w:t>
      </w:r>
      <w:r>
        <w:rPr>
          <w:rFonts w:hint="eastAsia" w:ascii="宋体" w:hAnsi="宋体" w:eastAsia="宋体" w:cs="宋体"/>
          <w:b/>
          <w:bCs/>
          <w:color w:val="000000"/>
          <w:sz w:val="24"/>
          <w:szCs w:val="24"/>
          <w:highlight w:val="white"/>
          <w:lang w:val="en-US" w:eastAsia="zh-CN"/>
        </w:rPr>
        <w:t xml:space="preserve">投标</w:t>
      </w:r>
      <w:r>
        <w:rPr>
          <w:rFonts w:hint="eastAsia" w:ascii="宋体" w:hAnsi="宋体" w:eastAsia="宋体" w:cs="宋体"/>
          <w:b/>
          <w:bCs/>
          <w:color w:val="000000"/>
          <w:sz w:val="24"/>
          <w:szCs w:val="24"/>
          <w:highlight w:val="white"/>
        </w:rPr>
        <w:t xml:space="preserve">文件一份(通过系统提交)；</w:t>
      </w:r>
      <w:r>
        <w:rPr>
          <w:rFonts w:hint="eastAsia" w:ascii="宋体" w:hAnsi="宋体" w:eastAsia="宋体" w:cs="宋体"/>
          <w:b/>
          <w:bCs/>
          <w:color w:val="000000"/>
          <w:sz w:val="24"/>
          <w:szCs w:val="24"/>
        </w:rPr>
        <w:t xml:space="preserve">纸质</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文件正本一份，副本</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份（评审结束后由中标候选人邮寄至</w:t>
      </w:r>
      <w:r>
        <w:rPr>
          <w:rFonts w:hint="eastAsia" w:ascii="宋体" w:hAnsi="宋体" w:eastAsia="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机构，未中标单位不需要提供）。</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名称:</w:t>
      </w:r>
      <w:r>
        <w:rPr>
          <w:rFonts w:hint="eastAsia" w:ascii="宋体" w:hAnsi="宋体" w:cs="宋体"/>
          <w:b/>
          <w:bCs/>
          <w:sz w:val="24"/>
          <w:szCs w:val="24"/>
          <w:lang w:eastAsia="zh-CN"/>
        </w:rPr>
        <w:t xml:space="preserve">滨海县卫生健康委员会</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u w:val="none"/>
          <w:lang w:eastAsia="zh-CN"/>
        </w:rPr>
      </w:pPr>
      <w:r>
        <w:rPr>
          <w:rFonts w:hint="eastAsia" w:ascii="宋体" w:hAnsi="宋体" w:eastAsia="宋体" w:cs="宋体"/>
          <w:b/>
          <w:bCs/>
          <w:sz w:val="24"/>
          <w:szCs w:val="24"/>
        </w:rPr>
        <w:t xml:space="preserve">地址:</w:t>
      </w:r>
      <w:r>
        <w:rPr>
          <w:rFonts w:hint="eastAsia" w:ascii="宋体" w:hAnsi="宋体" w:eastAsia="宋体" w:cs="宋体"/>
          <w:b/>
          <w:bCs/>
          <w:color w:val="000000"/>
          <w:sz w:val="24"/>
          <w:szCs w:val="24"/>
          <w:u w:val="none"/>
          <w:lang w:eastAsia="zh-CN"/>
        </w:rPr>
        <w:t xml:space="preserve">滨海县港城路</w:t>
      </w:r>
      <w:r>
        <w:rPr>
          <w:rFonts w:hint="eastAsia" w:ascii="宋体" w:hAnsi="宋体" w:eastAsia="宋体" w:cs="宋体"/>
          <w:b/>
          <w:bCs/>
          <w:color w:val="000000"/>
          <w:sz w:val="24"/>
          <w:szCs w:val="24"/>
          <w:u w:val="none"/>
          <w:lang w:val="en-US" w:eastAsia="zh-CN"/>
        </w:rPr>
        <w:t xml:space="preserve">2</w:t>
      </w:r>
      <w:r>
        <w:rPr>
          <w:rFonts w:hint="eastAsia" w:ascii="宋体" w:hAnsi="宋体" w:eastAsia="宋体" w:cs="宋体"/>
          <w:b/>
          <w:bCs/>
          <w:color w:val="000000"/>
          <w:sz w:val="24"/>
          <w:szCs w:val="24"/>
          <w:u w:val="none"/>
          <w:lang w:eastAsia="zh-CN"/>
        </w:rPr>
        <w:t xml:space="preserve">3号</w:t>
      </w:r>
      <w:r/>
    </w:p>
    <w:p>
      <w:pPr>
        <w:ind w:firstLine="482"/>
        <w:keepLines w:val="0"/>
        <w:keepNext w:val="0"/>
        <w:pageBreakBefore w:val="0"/>
        <w:spacing w:line="400" w:lineRule="exact"/>
        <w:widowControl w:val="off"/>
        <w:rPr>
          <w:rFonts w:hint="eastAsia" w:ascii="宋体" w:hAnsi="宋体" w:cs="宋体"/>
          <w:b/>
          <w:bCs/>
          <w:sz w:val="24"/>
          <w:szCs w:val="24"/>
          <w:lang w:val="en-US" w:eastAsia="zh-CN"/>
        </w:rPr>
      </w:pPr>
      <w:r>
        <w:rPr>
          <w:rFonts w:hint="eastAsia" w:ascii="宋体" w:hAnsi="宋体" w:eastAsia="宋体" w:cs="宋体"/>
          <w:b/>
          <w:bCs/>
          <w:sz w:val="24"/>
          <w:szCs w:val="24"/>
        </w:rPr>
        <w:t xml:space="preserve">联系人</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侍先生</w:t>
      </w:r>
      <w:r/>
    </w:p>
    <w:p>
      <w:pPr>
        <w:ind w:firstLine="482"/>
        <w:keepLines w:val="0"/>
        <w:keepNext w:val="0"/>
        <w:pageBreakBefore w:val="0"/>
        <w:spacing w:line="40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联系</w:t>
      </w:r>
      <w:r>
        <w:rPr>
          <w:rFonts w:hint="eastAsia" w:ascii="宋体" w:hAnsi="宋体" w:cs="宋体"/>
          <w:b/>
          <w:bCs/>
          <w:sz w:val="24"/>
          <w:szCs w:val="24"/>
          <w:lang w:val="en-US" w:eastAsia="zh-CN"/>
        </w:rPr>
        <w:t xml:space="preserve">电话：15061631188</w:t>
      </w:r>
      <w:r/>
    </w:p>
    <w:p>
      <w:pPr>
        <w:ind w:left="0" w:right="0" w:firstLine="480"/>
        <w:jc w:val="both"/>
        <w:keepLines w:val="0"/>
        <w:keepNext w:val="0"/>
        <w:pageBreakBefore w:val="0"/>
        <w:spacing w:before="0" w:after="0" w:line="40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机构信息</w:t>
      </w:r>
      <w:r/>
    </w:p>
    <w:p>
      <w:pPr>
        <w:ind w:firstLine="482"/>
        <w:keepLines w:val="0"/>
        <w:keepNext w:val="0"/>
        <w:pageBreakBefore w:val="0"/>
        <w:spacing w:line="40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名称：</w:t>
      </w:r>
      <w:r>
        <w:rPr>
          <w:rFonts w:hint="eastAsia" w:ascii="宋体" w:hAnsi="宋体" w:eastAsia="宋体" w:cs="宋体"/>
          <w:b/>
          <w:bCs/>
          <w:sz w:val="24"/>
          <w:szCs w:val="24"/>
          <w:lang w:eastAsia="zh-CN"/>
        </w:rPr>
        <w:t xml:space="preserve">盐城市智强项目管理有限公司</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地址：</w:t>
      </w:r>
      <w:r>
        <w:rPr>
          <w:rFonts w:hint="eastAsia" w:ascii="宋体" w:hAnsi="宋体" w:eastAsia="宋体" w:cs="宋体"/>
          <w:b/>
          <w:bCs/>
          <w:sz w:val="24"/>
          <w:szCs w:val="24"/>
          <w:lang w:val="en-US" w:eastAsia="zh-CN"/>
        </w:rPr>
        <w:t xml:space="preserve">滨海县政务服务中心2楼</w:t>
      </w:r>
      <w:r/>
    </w:p>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32" w:name="_Toc28359098"/>
      <w:r/>
      <w:bookmarkStart w:id="33" w:name="_Toc28359021"/>
      <w:r/>
      <w:bookmarkStart w:id="34" w:name="_Toc35393639"/>
      <w:r/>
      <w:bookmarkStart w:id="35" w:name="_Toc35393808"/>
      <w:r>
        <w:rPr>
          <w:rFonts w:hint="eastAsia" w:ascii="宋体" w:hAnsi="宋体" w:eastAsia="宋体" w:cs="宋体"/>
          <w:b/>
          <w:bCs/>
          <w:sz w:val="24"/>
          <w:szCs w:val="24"/>
        </w:rPr>
        <w:t xml:space="preserve">　　  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bookmarkEnd w:id="32"/>
      <w:r/>
      <w:bookmarkEnd w:id="33"/>
      <w:r/>
      <w:bookmarkEnd w:id="34"/>
      <w:r/>
      <w:bookmarkEnd w:id="35"/>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项目联系方式</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00" w:lineRule="exact"/>
        <w:widowControl w:val="off"/>
        <w:rPr>
          <w:rFonts w:hint="eastAsia" w:ascii="黑体" w:hAnsi="黑体" w:eastAsia="黑体" w:cs="黑体"/>
          <w:b/>
          <w:bCs/>
          <w:sz w:val="44"/>
          <w:szCs w:val="4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r/>
    </w:p>
    <w:p>
      <w:pPr>
        <w:numPr>
          <w:ilvl w:val="0"/>
          <w:numId w:val="0"/>
        </w:numPr>
        <w:ind w:left="720"/>
        <w:jc w:val="center"/>
        <w:keepLines w:val="0"/>
        <w:keepNext w:val="0"/>
        <w:pageBreakBefore w:val="0"/>
        <w:spacing w:line="520" w:lineRule="exact"/>
        <w:widowControl w:val="off"/>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pStyle w:val="945"/>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pStyle w:val="942"/>
        <w:rPr>
          <w:rFonts w:hint="eastAsia"/>
          <w:lang w:val="en-US" w:eastAsia="zh-CN"/>
        </w:rPr>
      </w:pPr>
      <w:r>
        <w:rPr>
          <w:rFonts w:hint="eastAsia"/>
          <w:lang w:val="en-US" w:eastAsia="zh-CN"/>
        </w:rPr>
      </w:r>
      <w:r/>
    </w:p>
    <w:p>
      <w:pPr>
        <w:numPr>
          <w:ilvl w:val="0"/>
          <w:numId w:val="0"/>
        </w:numPr>
        <w:ind w:left="720"/>
        <w:jc w:val="center"/>
        <w:keepLines w:val="0"/>
        <w:keepNext w:val="0"/>
        <w:pageBreakBefore w:val="0"/>
        <w:spacing w:line="520" w:lineRule="exact"/>
        <w:widowControl w:val="off"/>
      </w:pPr>
      <w:r>
        <w:rPr>
          <w:rFonts w:hint="eastAsia" w:ascii="黑体" w:hAnsi="黑体" w:eastAsia="黑体" w:cs="黑体"/>
          <w:b/>
          <w:bCs/>
          <w:sz w:val="44"/>
          <w:szCs w:val="44"/>
          <w:lang w:val="en-US" w:eastAsia="zh-CN"/>
        </w:rPr>
        <w:t xml:space="preserve">第二章  </w:t>
      </w:r>
      <w:r>
        <w:rPr>
          <w:rFonts w:hint="eastAsia" w:ascii="黑体" w:hAnsi="黑体" w:eastAsia="黑体" w:cs="黑体"/>
          <w:b/>
          <w:bCs/>
          <w:sz w:val="44"/>
          <w:szCs w:val="44"/>
        </w:rPr>
        <w:t xml:space="preserve">投标人须知</w:t>
      </w:r>
      <w:bookmarkStart w:id="36" w:name="_Toc513029203"/>
      <w:r/>
      <w:bookmarkEnd w:id="36"/>
      <w:r/>
      <w:bookmarkStart w:id="37" w:name="_Toc16938519"/>
      <w:r/>
      <w:bookmarkEnd w:id="37"/>
      <w:r/>
      <w:bookmarkStart w:id="38" w:name="_Toc20823275"/>
      <w:r/>
      <w:bookmarkEnd w:id="38"/>
      <w:r/>
      <w:bookmarkStart w:id="39" w:name="_Toc120614214"/>
      <w:r/>
      <w:bookmarkEnd w:id="39"/>
      <w:r/>
      <w:r/>
    </w:p>
    <w:p>
      <w:pPr>
        <w:pStyle w:val="931"/>
        <w:ind w:left="0" w:right="0" w:firstLine="118"/>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招标方式</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合格的投标人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2.2满足本文件实质性条款的规定。</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适用法律</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投标费用</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w:t>
      </w:r>
      <w:r>
        <w:rPr>
          <w:rFonts w:hint="eastAsia" w:ascii="宋体" w:hAnsi="宋体" w:cs="宋体"/>
          <w:color w:val="000000"/>
          <w:sz w:val="24"/>
          <w:lang w:val="en-US" w:eastAsia="zh-CN"/>
        </w:rPr>
        <w:t xml:space="preserve">或</w:t>
      </w:r>
      <w:r>
        <w:rPr>
          <w:rFonts w:hint="eastAsia" w:ascii="宋体" w:hAnsi="宋体"/>
          <w:color w:val="000000"/>
          <w:sz w:val="24"/>
          <w:szCs w:val="24"/>
        </w:rPr>
        <w:t xml:space="preserve">采购代理机构</w:t>
      </w:r>
      <w:r>
        <w:rPr>
          <w:rFonts w:ascii="宋体" w:hAnsi="宋体" w:eastAsia="宋体" w:cs="宋体"/>
          <w:color w:val="000000"/>
          <w:sz w:val="24"/>
        </w:rPr>
        <w:t xml:space="preserve">在任何情况下均无义务和责任承担这些费用。</w:t>
      </w:r>
      <w:r/>
    </w:p>
    <w:p>
      <w:pPr>
        <w:pStyle w:val="93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招标文件的约束力</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pStyle w:val="931"/>
        <w:ind w:left="0" w:right="0" w:firstLine="24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93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招标文件构成</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.1招标文件有以下部分组成：</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采购</w:t>
      </w:r>
      <w:r>
        <w:rPr>
          <w:rFonts w:ascii="宋体" w:hAnsi="宋体" w:eastAsia="宋体" w:cs="宋体"/>
          <w:color w:val="000000"/>
          <w:sz w:val="24"/>
        </w:rPr>
        <w:t xml:space="preserve">需求</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机构联系解决。</w:t>
      </w:r>
      <w:r/>
    </w:p>
    <w:p>
      <w:pPr>
        <w:ind w:firstLine="480"/>
        <w:pageBreakBefore w:val="0"/>
        <w:spacing w:line="440" w:lineRule="exact"/>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.2投标人</w:t>
      </w:r>
      <w:r>
        <w:rPr>
          <w:rFonts w:hint="eastAsia" w:ascii="宋体" w:hAnsi="宋体"/>
          <w:color w:val="000000"/>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自行承担。</w:t>
      </w:r>
      <w:r/>
    </w:p>
    <w:p>
      <w:pPr>
        <w:pStyle w:val="932"/>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s="宋体"/>
          <w:color w:val="000000"/>
          <w:sz w:val="24"/>
          <w:szCs w:val="24"/>
        </w:rPr>
        <w:t xml:space="preserve">任何要求对招标文件进行澄清的</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932"/>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8.1在投标截止时间前，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具有约束力。</w:t>
      </w:r>
      <w:r/>
    </w:p>
    <w:p>
      <w:pPr>
        <w:pStyle w:val="93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932"/>
        <w:ind w:firstLine="482"/>
        <w:pageBreakBefore w:val="0"/>
        <w:spacing w:before="0" w:after="0" w:line="440" w:lineRule="exact"/>
        <w:rPr>
          <w:rFonts w:hint="eastAsia" w:ascii="宋体" w:hAnsi="宋体" w:eastAsia="宋体"/>
          <w:bCs w:val="0"/>
          <w:color w:val="000000"/>
          <w:sz w:val="24"/>
          <w:szCs w:val="24"/>
        </w:rPr>
      </w:pPr>
      <w:r/>
      <w:bookmarkStart w:id="40" w:name="_Toc16938530"/>
      <w:r/>
      <w:bookmarkStart w:id="41" w:name="_Toc20823286"/>
      <w:r/>
      <w:bookmarkStart w:id="42" w:name="_Toc462564073"/>
      <w:r/>
      <w:bookmarkStart w:id="43" w:name="_Toc513029214"/>
      <w:r>
        <w:rPr>
          <w:rFonts w:hint="eastAsia" w:ascii="宋体" w:hAnsi="宋体" w:eastAsia="宋体"/>
          <w:bCs w:val="0"/>
          <w:color w:val="000000"/>
          <w:sz w:val="24"/>
          <w:szCs w:val="24"/>
        </w:rPr>
        <w:t xml:space="preserve">9.投标文件的语言及度量衡单位</w:t>
      </w:r>
      <w:bookmarkEnd w:id="40"/>
      <w:r/>
      <w:bookmarkEnd w:id="41"/>
      <w:r/>
      <w:bookmarkEnd w:id="42"/>
      <w:r/>
      <w:bookmarkEnd w:id="43"/>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提交的投标文件以及</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除技术性能另有规定外，投标文件所使用的度量衡单位，均须采用国家法定计量单位。</w:t>
      </w:r>
      <w:r/>
    </w:p>
    <w:p>
      <w:pPr>
        <w:pStyle w:val="932"/>
        <w:ind w:firstLine="482"/>
        <w:pageBreakBefore w:val="0"/>
        <w:spacing w:before="0" w:after="0" w:line="440" w:lineRule="exact"/>
        <w:rPr>
          <w:rFonts w:hint="eastAsia" w:ascii="宋体" w:hAnsi="宋体" w:eastAsia="宋体"/>
          <w:color w:val="000000"/>
          <w:sz w:val="24"/>
          <w:szCs w:val="24"/>
        </w:rPr>
      </w:pPr>
      <w:r/>
      <w:bookmarkStart w:id="44" w:name="_Toc16938531"/>
      <w:r/>
      <w:bookmarkStart w:id="45" w:name="_Toc20823287"/>
      <w:r/>
      <w:bookmarkStart w:id="46" w:name="_Toc462564074"/>
      <w:r/>
      <w:bookmarkStart w:id="47" w:name="_Toc513029215"/>
      <w:r>
        <w:rPr>
          <w:rFonts w:hint="eastAsia" w:ascii="宋体" w:hAnsi="宋体" w:eastAsia="宋体"/>
          <w:color w:val="000000"/>
          <w:sz w:val="24"/>
          <w:szCs w:val="24"/>
        </w:rPr>
        <w:t xml:space="preserve">10.投标文件构成</w:t>
      </w:r>
      <w:bookmarkEnd w:id="44"/>
      <w:r/>
      <w:bookmarkEnd w:id="45"/>
      <w:r/>
      <w:bookmarkEnd w:id="46"/>
      <w:r/>
      <w:bookmarkEnd w:id="47"/>
      <w:r/>
      <w:r/>
    </w:p>
    <w:p>
      <w:pPr>
        <w:ind w:firstLine="480"/>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10.1</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（格式详见招标文件“第六章投标文件格式”）</w:t>
      </w:r>
      <w:r>
        <w:rPr>
          <w:rFonts w:hint="eastAsia" w:ascii="宋体" w:hAnsi="宋体"/>
          <w:bCs/>
          <w:color w:val="000000"/>
          <w:sz w:val="24"/>
          <w:szCs w:val="24"/>
          <w:lang w:val="zh-CN"/>
        </w:rPr>
        <w:t xml:space="preserve">。</w:t>
      </w:r>
      <w:r/>
    </w:p>
    <w:p>
      <w:pPr>
        <w:ind w:firstLine="480"/>
        <w:jc w:val="left"/>
        <w:pageBreakBefore w:val="0"/>
        <w:spacing w:line="440" w:lineRule="exact"/>
        <w:widowControl/>
        <w:rPr>
          <w:rFonts w:hint="eastAsia" w:ascii="宋体" w:hAnsi="宋体"/>
          <w:b/>
          <w:color w:val="000000"/>
          <w:sz w:val="24"/>
          <w:szCs w:val="24"/>
        </w:rPr>
      </w:pPr>
      <w:r/>
      <w:bookmarkStart w:id="48" w:name="_Toc513029219"/>
      <w:r/>
      <w:bookmarkStart w:id="49" w:name="_Toc14577357"/>
      <w:r/>
      <w:bookmarkStart w:id="50" w:name="_Toc49090509"/>
      <w:r/>
      <w:bookmarkStart w:id="51" w:name="_Toc513029216"/>
      <w:r/>
      <w:bookmarkStart w:id="52" w:name="_Toc49090507"/>
      <w:r/>
      <w:bookmarkStart w:id="53" w:name="_Toc14577354"/>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932"/>
        <w:ind w:firstLine="361"/>
        <w:pageBreakBefore w:val="0"/>
        <w:spacing w:before="0" w:after="0" w:line="44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48"/>
      <w:r/>
      <w:bookmarkEnd w:id="49"/>
      <w:r/>
      <w:bookmarkEnd w:id="50"/>
      <w:r>
        <w:rPr>
          <w:rFonts w:hint="eastAsia" w:ascii="宋体" w:hAnsi="宋体" w:eastAsia="宋体"/>
          <w:color w:val="000000"/>
          <w:sz w:val="24"/>
          <w:szCs w:val="24"/>
        </w:rPr>
        <w:t xml:space="preserve">1.证明</w:t>
      </w:r>
      <w:r>
        <w:rPr>
          <w:rFonts w:hint="eastAsia" w:ascii="宋体" w:hAnsi="宋体" w:eastAsia="宋体"/>
          <w:color w:val="000000"/>
          <w:sz w:val="24"/>
          <w:szCs w:val="24"/>
          <w:lang w:val="en-US" w:eastAsia="zh-CN"/>
        </w:rPr>
        <w:t xml:space="preserve">投标人</w:t>
      </w:r>
      <w:r>
        <w:rPr>
          <w:rFonts w:hint="eastAsia" w:ascii="宋体" w:hAnsi="宋体" w:eastAsia="宋体"/>
          <w:color w:val="000000"/>
          <w:sz w:val="24"/>
          <w:szCs w:val="24"/>
        </w:rPr>
        <w:t xml:space="preserve">及投标标的符合招标文件规定的文件</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11.1</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应按照法律、法规、规章和规范性文件以及招标文件要求提交证明文件，证明其及投标标的符合招标文件规定。</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1"/>
      <w:r/>
      <w:bookmarkEnd w:id="52"/>
      <w:r/>
      <w:bookmarkEnd w:id="53"/>
      <w:r/>
      <w:bookmarkStart w:id="54" w:name="_Toc49090508"/>
      <w:r/>
      <w:bookmarkStart w:id="55" w:name="_Toc14577355"/>
      <w:r/>
      <w:r/>
    </w:p>
    <w:p>
      <w:pPr>
        <w:numPr>
          <w:ilvl w:val="0"/>
          <w:numId w:val="0"/>
        </w:numPr>
        <w:ind w:firstLine="482"/>
        <w:jc w:val="left"/>
        <w:pageBreakBefore w:val="0"/>
        <w:spacing w:line="440" w:lineRule="exact"/>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12.</w:t>
      </w:r>
      <w:r>
        <w:rPr>
          <w:rFonts w:hint="eastAsia" w:ascii="宋体" w:hAnsi="宋体" w:eastAsia="宋体"/>
          <w:b/>
          <w:bCs/>
          <w:color w:val="000000"/>
          <w:sz w:val="24"/>
          <w:szCs w:val="24"/>
        </w:rPr>
        <w:t xml:space="preserve">投标报价</w:t>
      </w:r>
      <w:bookmarkEnd w:id="54"/>
      <w:r/>
      <w:bookmarkEnd w:id="55"/>
      <w:r/>
      <w:bookmarkStart w:id="56" w:name="_Hlt26670373"/>
      <w:r/>
      <w:bookmarkEnd w:id="56"/>
      <w:r/>
      <w:r/>
    </w:p>
    <w:p>
      <w:pPr>
        <w:numPr>
          <w:ilvl w:val="0"/>
          <w:numId w:val="0"/>
        </w:numPr>
        <w:ind w:firstLine="482"/>
        <w:jc w:val="lef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投标分项报价表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投标人应按照招标文件规定格式填报投标分项报价表。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2投标货币。投标文件中的单价和总价无特殊规定的采用人民币报价，以元为单位标注。招标文件中另有规定的按规定执行。</w:t>
      </w:r>
      <w:r/>
    </w:p>
    <w:p>
      <w:pPr>
        <w:ind w:firstLine="480"/>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rPr>
        <w:t xml:space="preserve">12.</w:t>
      </w:r>
      <w:r>
        <w:rPr>
          <w:rFonts w:hint="eastAsia" w:ascii="宋体" w:hAnsi="宋体"/>
          <w:b/>
          <w:bCs/>
          <w:color w:val="000000"/>
          <w:sz w:val="24"/>
          <w:szCs w:val="24"/>
          <w:lang w:val="en-US" w:eastAsia="zh-CN"/>
        </w:rPr>
        <w:t xml:space="preserve">2投标总报价</w:t>
      </w:r>
      <w:r/>
    </w:p>
    <w:p>
      <w:pPr>
        <w:ind w:firstLine="480"/>
        <w:pageBreakBefore w:val="0"/>
        <w:spacing w:line="440" w:lineRule="exact"/>
        <w:rPr>
          <w:rFonts w:hint="eastAsia" w:ascii="宋体" w:hAnsi="宋体"/>
          <w:color w:val="000000"/>
          <w:sz w:val="24"/>
          <w:lang w:eastAsia="zh-CN"/>
        </w:rPr>
      </w:pPr>
      <w:r>
        <w:rPr>
          <w:rFonts w:hint="eastAsia" w:ascii="宋体" w:hAnsi="宋体"/>
          <w:color w:val="000000"/>
          <w:sz w:val="24"/>
          <w:szCs w:val="24"/>
          <w:lang w:val="en-US" w:eastAsia="zh-CN"/>
        </w:rPr>
        <w:t xml:space="preserve">12.2.1</w:t>
      </w:r>
      <w:r>
        <w:rPr>
          <w:rFonts w:hint="eastAsia" w:ascii="宋体" w:hAnsi="宋体"/>
          <w:color w:val="000000"/>
          <w:sz w:val="24"/>
          <w:szCs w:val="24"/>
        </w:rPr>
        <w:t xml:space="preserve">本项目不接受备选的投标方案或有选择的报价，只允许有一个报价</w:t>
      </w:r>
      <w:r>
        <w:rPr>
          <w:rFonts w:hint="eastAsia" w:ascii="宋体" w:hAnsi="宋体"/>
          <w:bCs/>
          <w:color w:val="000000"/>
          <w:sz w:val="24"/>
          <w:szCs w:val="24"/>
        </w:rPr>
        <w:t xml:space="preserve">，任何有选择的报价将被拒绝</w:t>
      </w:r>
      <w:r>
        <w:rPr>
          <w:rFonts w:hint="eastAsia" w:ascii="宋体" w:hAnsi="宋体"/>
          <w:color w:val="000000"/>
          <w:sz w:val="24"/>
          <w:szCs w:val="24"/>
        </w:rPr>
        <w:t xml:space="preserve">。投标</w:t>
      </w:r>
      <w:r>
        <w:rPr>
          <w:rFonts w:hint="eastAsia" w:ascii="宋体" w:hAnsi="宋体"/>
          <w:color w:val="000000"/>
          <w:sz w:val="24"/>
          <w:szCs w:val="24"/>
          <w:lang w:val="en-US" w:eastAsia="zh-CN"/>
        </w:rPr>
        <w:t xml:space="preserve">总</w:t>
      </w:r>
      <w:r>
        <w:rPr>
          <w:rFonts w:hint="eastAsia" w:ascii="宋体" w:hAnsi="宋体"/>
          <w:color w:val="000000"/>
          <w:sz w:val="24"/>
          <w:szCs w:val="24"/>
        </w:rPr>
        <w:t xml:space="preserve">报价内容</w:t>
      </w:r>
      <w:r>
        <w:rPr>
          <w:rFonts w:hint="eastAsia" w:ascii="宋体" w:hAnsi="宋体" w:eastAsia="宋体" w:cs="宋体"/>
          <w:color w:val="000000"/>
          <w:sz w:val="24"/>
          <w:szCs w:val="24"/>
        </w:rPr>
        <w:t xml:space="preserve">应包括</w:t>
      </w:r>
      <w:r>
        <w:rPr>
          <w:rFonts w:hint="eastAsia" w:ascii="宋体" w:hAnsi="宋体" w:cs="宋体"/>
          <w:b/>
          <w:bCs/>
          <w:i/>
          <w:iCs/>
          <w:sz w:val="24"/>
          <w:szCs w:val="24"/>
          <w:u w:val="single"/>
          <w:lang w:eastAsia="zh-CN"/>
        </w:rPr>
        <w:t xml:space="preserve">滨海县医疗责任保险及附加险采购项目</w:t>
      </w:r>
      <w:r>
        <w:rPr>
          <w:rFonts w:hint="eastAsia"/>
          <w:b/>
          <w:bCs/>
          <w:i/>
          <w:iCs/>
          <w:sz w:val="24"/>
          <w:szCs w:val="24"/>
          <w:u w:val="single"/>
        </w:rPr>
        <w:t xml:space="preserve">所需的一切</w:t>
      </w:r>
      <w:r>
        <w:rPr>
          <w:rFonts w:hint="eastAsia" w:ascii="宋体" w:hAnsi="宋体" w:cs="Times New Roman"/>
          <w:b/>
          <w:bCs/>
          <w:i/>
          <w:iCs/>
          <w:sz w:val="24"/>
          <w:szCs w:val="24"/>
          <w:u w:val="single"/>
          <w:lang w:val="en-US" w:eastAsia="zh-CN"/>
        </w:rPr>
        <w:t xml:space="preserve">费用及</w:t>
      </w:r>
      <w:r>
        <w:rPr>
          <w:rFonts w:hint="eastAsia" w:ascii="宋体" w:hAnsi="宋体" w:eastAsia="宋体" w:cs="宋体"/>
          <w:b/>
          <w:bCs/>
          <w:i/>
          <w:iCs/>
          <w:sz w:val="24"/>
          <w:szCs w:val="24"/>
          <w:u w:val="single"/>
        </w:rPr>
        <w:t xml:space="preserve">为</w:t>
      </w:r>
      <w:r>
        <w:rPr>
          <w:rFonts w:hint="eastAsia" w:ascii="宋体" w:hAnsi="宋体" w:eastAsia="宋体" w:cs="宋体"/>
          <w:b/>
          <w:bCs/>
          <w:i/>
          <w:iCs/>
          <w:color w:val="000000"/>
          <w:sz w:val="24"/>
          <w:szCs w:val="24"/>
          <w:u w:val="single"/>
        </w:rPr>
        <w:t xml:space="preserve">完成招标文件规定的服务工作所涉及到的</w:t>
      </w:r>
      <w:r>
        <w:rPr>
          <w:rFonts w:hint="eastAsia" w:ascii="宋体" w:hAnsi="宋体"/>
          <w:b/>
          <w:bCs/>
          <w:i/>
          <w:iCs/>
          <w:color w:val="000000"/>
          <w:sz w:val="24"/>
          <w:szCs w:val="24"/>
          <w:u w:val="single"/>
          <w:lang w:val="en-US" w:eastAsia="zh-CN"/>
        </w:rPr>
        <w:t xml:space="preserve">服务费</w:t>
      </w:r>
      <w:r>
        <w:rPr>
          <w:rFonts w:hint="eastAsia" w:ascii="宋体" w:hAnsi="宋体" w:cs="黑体"/>
          <w:b/>
          <w:bCs/>
          <w:i/>
          <w:iCs/>
          <w:color w:val="000000"/>
          <w:sz w:val="24"/>
          <w:szCs w:val="24"/>
          <w:u w:val="single"/>
        </w:rPr>
        <w:t xml:space="preserve">价格</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color w:val="auto"/>
          <w:sz w:val="24"/>
          <w:highlight w:val="none"/>
          <w:u w:val="single"/>
          <w:shd w:val="clear" w:color="auto" w:fill="ffffff"/>
        </w:rPr>
        <w:t xml:space="preserve">利润、税金</w:t>
      </w:r>
      <w:r>
        <w:rPr>
          <w:rFonts w:hint="eastAsia" w:ascii="宋体" w:hAnsi="宋体" w:eastAsia="宋体" w:cs="宋体"/>
          <w:b/>
          <w:bCs/>
          <w:i/>
          <w:iCs/>
          <w:color w:val="auto"/>
          <w:sz w:val="24"/>
          <w:highlight w:val="none"/>
          <w:u w:val="single"/>
          <w:shd w:val="clear" w:color="auto" w:fill="ffffff"/>
          <w:lang w:val="en-US" w:eastAsia="zh-CN"/>
        </w:rPr>
        <w:t xml:space="preserve">等</w:t>
      </w:r>
      <w:r>
        <w:rPr>
          <w:rFonts w:hint="eastAsia" w:ascii="宋体" w:hAnsi="宋体" w:cs="黑体"/>
          <w:b/>
          <w:bCs/>
          <w:i/>
          <w:iCs/>
          <w:color w:val="000000"/>
          <w:sz w:val="24"/>
          <w:szCs w:val="24"/>
          <w:u w:val="single"/>
        </w:rPr>
        <w:t xml:space="preserve">所需费用和所有相关税金费用及为完成整个项目所产生的其它所有费用</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sz w:val="24"/>
          <w:szCs w:val="24"/>
          <w:u w:val="single"/>
        </w:rPr>
        <w:t xml:space="preserve">包括但不限于：所涉及的</w:t>
      </w:r>
      <w:r>
        <w:rPr>
          <w:rFonts w:ascii="宋体" w:hAnsi="宋体"/>
          <w:b/>
          <w:bCs/>
          <w:i/>
          <w:iCs/>
          <w:color w:val="000000"/>
          <w:sz w:val="24"/>
          <w:u w:val="single"/>
        </w:rPr>
        <w:t xml:space="preserve">不可预见的费用、管理费</w:t>
      </w:r>
      <w:r>
        <w:rPr>
          <w:rFonts w:hint="eastAsia" w:ascii="宋体" w:hAnsi="宋体"/>
          <w:b/>
          <w:bCs/>
          <w:i/>
          <w:iCs/>
          <w:color w:val="000000"/>
          <w:sz w:val="24"/>
          <w:szCs w:val="24"/>
          <w:u w:val="single"/>
          <w:lang w:eastAsia="zh-CN"/>
        </w:rPr>
        <w:t xml:space="preserve">、</w:t>
      </w:r>
      <w:r>
        <w:rPr>
          <w:rFonts w:hint="eastAsia" w:ascii="宋体" w:hAnsi="宋体"/>
          <w:b/>
          <w:bCs/>
          <w:i/>
          <w:iCs/>
          <w:color w:val="000000"/>
          <w:sz w:val="24"/>
          <w:szCs w:val="24"/>
          <w:u w:val="single"/>
          <w:lang w:val="en-US" w:eastAsia="zh-CN"/>
        </w:rPr>
        <w:t xml:space="preserve">采购代理服务费、投标费用、</w:t>
      </w:r>
      <w:r>
        <w:rPr>
          <w:rFonts w:ascii="宋体" w:hAnsi="宋体"/>
          <w:b/>
          <w:bCs/>
          <w:i/>
          <w:iCs/>
          <w:color w:val="000000"/>
          <w:sz w:val="24"/>
          <w:u w:val="single"/>
        </w:rPr>
        <w:t xml:space="preserve">利润、税金和</w:t>
      </w:r>
      <w:r>
        <w:rPr>
          <w:rFonts w:hint="eastAsia" w:ascii="宋体" w:hAnsi="宋体"/>
          <w:b/>
          <w:bCs/>
          <w:i/>
          <w:iCs/>
          <w:color w:val="000000"/>
          <w:sz w:val="24"/>
          <w:u w:val="single"/>
          <w:lang w:val="en-US" w:eastAsia="zh-CN"/>
        </w:rPr>
        <w:t xml:space="preserve">招标</w:t>
      </w:r>
      <w:r>
        <w:rPr>
          <w:rFonts w:ascii="宋体" w:hAnsi="宋体"/>
          <w:b/>
          <w:bCs/>
          <w:i/>
          <w:iCs/>
          <w:color w:val="000000"/>
          <w:sz w:val="24"/>
          <w:u w:val="single"/>
        </w:rPr>
        <w:t xml:space="preserve">文件规定的其他各项应有的全部费用</w:t>
      </w:r>
      <w:r>
        <w:rPr>
          <w:rFonts w:hint="eastAsia" w:ascii="宋体" w:hAnsi="宋体"/>
          <w:b/>
          <w:bCs/>
          <w:i/>
          <w:iCs/>
          <w:color w:val="000000"/>
          <w:sz w:val="24"/>
          <w:u w:val="none"/>
          <w:lang w:eastAsia="zh-CN"/>
        </w:rPr>
        <w:t xml:space="preserve">。</w:t>
      </w:r>
      <w:r/>
    </w:p>
    <w:p>
      <w:pPr>
        <w:ind w:firstLine="482"/>
        <w:keepLines w:val="0"/>
        <w:keepNext w:val="0"/>
        <w:pageBreakBefore w:val="0"/>
        <w:spacing w:line="440" w:lineRule="exact"/>
        <w:shd w:val="clear" w:color="auto" w:fill="ffffff"/>
        <w:widowControl w:val="off"/>
        <w:rPr>
          <w:rFonts w:hint="eastAsia" w:ascii="宋体" w:hAnsi="宋体"/>
          <w:b/>
          <w:bCs w:val="0"/>
          <w:color w:val="000000" w:themeColor="text1"/>
          <w:sz w:val="24"/>
          <w:szCs w:val="24"/>
          <w:highlight w:val="none"/>
          <w14:textFill>
            <w14:solidFill>
              <w14:schemeClr w14:val="tx1"/>
            </w14:solidFill>
          </w14:textFill>
        </w:rPr>
        <w:outlineLvl w:val="9"/>
      </w:pPr>
      <w:r>
        <w:rPr>
          <w:rFonts w:hint="eastAsia" w:ascii="宋体" w:hAnsi="宋体"/>
          <w:b/>
          <w:bCs w:val="0"/>
          <w:color w:val="000000" w:themeColor="text1"/>
          <w:sz w:val="24"/>
          <w:szCs w:val="24"/>
          <w:highlight w:val="none"/>
          <w14:textFill>
            <w14:solidFill>
              <w14:schemeClr w14:val="tx1"/>
            </w14:solidFill>
          </w14:textFill>
        </w:rPr>
        <w:t xml:space="preserve">12.</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项目的采购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代理服务费</w:t>
      </w:r>
      <w:r>
        <w:rPr>
          <w:rFonts w:hint="eastAsia" w:ascii="宋体" w:hAnsi="宋体" w:eastAsia="宋体" w:cs="宋体"/>
          <w:b/>
          <w:bCs w:val="0"/>
          <w:sz w:val="24"/>
          <w:szCs w:val="24"/>
        </w:rPr>
        <w:t xml:space="preserve">按照按照《江苏省政府采购代理服务收费指导意见》的通知（苏政采</w:t>
      </w:r>
      <w:r>
        <w:rPr>
          <w:rFonts w:hint="eastAsia" w:ascii="宋体" w:hAnsi="宋体" w:eastAsia="宋体" w:cs="宋体"/>
          <w:b/>
          <w:bCs w:val="0"/>
          <w:sz w:val="24"/>
          <w:szCs w:val="24"/>
          <w:lang w:val="en-US" w:eastAsia="zh-CN"/>
        </w:rPr>
        <w:t xml:space="preserve">协</w:t>
      </w:r>
      <w:r>
        <w:rPr>
          <w:rFonts w:hint="eastAsia" w:ascii="宋体" w:hAnsi="宋体" w:eastAsia="宋体" w:cs="宋体"/>
          <w:b/>
          <w:bCs w:val="0"/>
          <w:sz w:val="24"/>
          <w:szCs w:val="24"/>
        </w:rPr>
        <w:t xml:space="preserve">〔2024〕20号</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文件</w:t>
      </w:r>
      <w:r>
        <w:rPr>
          <w:rFonts w:hint="eastAsia" w:ascii="宋体" w:hAnsi="宋体" w:eastAsia="宋体" w:cs="宋体"/>
          <w:b/>
          <w:bCs w:val="0"/>
          <w:sz w:val="24"/>
          <w:szCs w:val="24"/>
          <w:lang w:val="en-US" w:eastAsia="zh-CN"/>
        </w:rPr>
        <w:t xml:space="preserve">取费标准计取折后及</w:t>
      </w:r>
      <w:r>
        <w:rPr>
          <w:rFonts w:hint="eastAsia" w:ascii="宋体" w:hAnsi="宋体" w:cs="宋体"/>
          <w:b/>
          <w:bCs w:val="0"/>
          <w:sz w:val="24"/>
          <w:szCs w:val="24"/>
          <w:lang w:val="en-US" w:eastAsia="zh-CN"/>
        </w:rPr>
        <w:t xml:space="preserve">采购人约定收取：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收取</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首席保险人12000元，收取</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承保比例</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40%的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共保人</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12000元</w:t>
      </w:r>
      <w:r>
        <w:rPr>
          <w:rFonts w:hint="eastAsia" w:ascii="宋体" w:hAnsi="宋体" w:eastAsia="宋体" w:cs="宋体"/>
          <w:b/>
          <w:bCs w:val="0"/>
          <w:color w:val="000000" w:themeColor="text1"/>
          <w:spacing w:val="20"/>
          <w:sz w:val="24"/>
          <w:szCs w:val="24"/>
          <w:highlight w:val="none"/>
          <w:u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收取</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承保比例</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共保人</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6000元，采购代理服务费</w:t>
      </w:r>
      <w:r>
        <w:rPr>
          <w:rFonts w:hint="eastAsia" w:ascii="宋体" w:hAnsi="宋体"/>
          <w:b/>
          <w:bCs w:val="0"/>
          <w:color w:val="000000" w:themeColor="text1"/>
          <w:sz w:val="24"/>
          <w:szCs w:val="24"/>
          <w:highlight w:val="none"/>
          <w14:textFill>
            <w14:solidFill>
              <w14:schemeClr w14:val="tx1"/>
            </w14:solidFill>
          </w14:textFill>
        </w:rPr>
        <w:t xml:space="preserve">由中标单位支付给采购代理机构，中标人应在领取中标通知书前缴纳。</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2.3投标人</w:t>
      </w:r>
      <w:r>
        <w:rPr>
          <w:rFonts w:hint="eastAsia" w:ascii="宋体" w:hAnsi="宋体"/>
          <w:bCs/>
          <w:color w:val="000000"/>
          <w:sz w:val="24"/>
          <w:szCs w:val="24"/>
        </w:rPr>
        <w:t xml:space="preserve">根据招标内容的要求准确报价，一经报出，不得更改。</w:t>
      </w:r>
      <w:r/>
    </w:p>
    <w:p>
      <w:pPr>
        <w:ind w:firstLine="480"/>
        <w:jc w:val="left"/>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2.4</w:t>
      </w:r>
      <w:r>
        <w:rPr>
          <w:rFonts w:hint="eastAsia" w:ascii="宋体" w:hAnsi="宋体"/>
          <w:bCs/>
          <w:color w:val="000000"/>
          <w:sz w:val="24"/>
          <w:szCs w:val="24"/>
        </w:rPr>
        <w:t xml:space="preserve">中标人如果未能按合同、</w:t>
      </w:r>
      <w:r>
        <w:rPr>
          <w:rFonts w:hint="eastAsia" w:ascii="宋体" w:hAnsi="宋体"/>
          <w:bCs/>
          <w:color w:val="000000"/>
          <w:sz w:val="24"/>
          <w:szCs w:val="24"/>
          <w:lang w:val="en-US" w:eastAsia="zh-CN"/>
        </w:rPr>
        <w:t xml:space="preserve">招标文件及</w:t>
      </w:r>
      <w:r>
        <w:rPr>
          <w:rFonts w:hint="eastAsia" w:ascii="宋体" w:hAnsi="宋体"/>
          <w:bCs/>
          <w:color w:val="000000"/>
          <w:sz w:val="24"/>
          <w:szCs w:val="24"/>
        </w:rPr>
        <w:t xml:space="preserve">投标文件履约的，终止合同，履约保证金不予退还，并不支付服务期间的</w:t>
      </w:r>
      <w:r>
        <w:rPr>
          <w:rFonts w:hint="eastAsia" w:ascii="宋体" w:hAnsi="宋体"/>
          <w:bCs/>
          <w:color w:val="000000"/>
          <w:sz w:val="24"/>
          <w:szCs w:val="24"/>
          <w:lang w:val="en-US" w:eastAsia="zh-CN"/>
        </w:rPr>
        <w:t xml:space="preserve">一切相关</w:t>
      </w:r>
      <w:r>
        <w:rPr>
          <w:rFonts w:hint="eastAsia" w:ascii="宋体" w:hAnsi="宋体"/>
          <w:bCs/>
          <w:color w:val="000000"/>
          <w:sz w:val="24"/>
          <w:szCs w:val="24"/>
        </w:rPr>
        <w:t xml:space="preserve">费用。采购人有权终止合同的履行，中标人应承担相应的完全责任，包括赔偿因此而给采购人及第三人带来的相应损失。</w:t>
      </w:r>
      <w:r/>
    </w:p>
    <w:p>
      <w:pPr>
        <w:ind w:firstLine="480"/>
        <w:pageBreakBefore w:val="0"/>
        <w:spacing w:line="44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2.5</w:t>
      </w:r>
      <w:r>
        <w:rPr>
          <w:rFonts w:hint="eastAsia" w:ascii="宋体" w:hAnsi="宋体"/>
          <w:bCs/>
          <w:color w:val="000000"/>
          <w:sz w:val="24"/>
          <w:szCs w:val="24"/>
        </w:rPr>
        <w:t xml:space="preserve">由</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w:t>
      </w:r>
      <w:r>
        <w:rPr>
          <w:rFonts w:hint="eastAsia" w:ascii="宋体" w:hAnsi="宋体"/>
          <w:bCs/>
          <w:color w:val="000000" w:themeColor="text1"/>
          <w:sz w:val="24"/>
          <w:szCs w:val="24"/>
          <w:highlight w:val="none"/>
          <w14:textFill>
            <w14:solidFill>
              <w14:schemeClr w14:val="tx1"/>
            </w14:solidFill>
          </w14:textFill>
        </w:rPr>
        <w:t xml:space="preserve">一律不</w:t>
      </w:r>
      <w:r>
        <w:rPr>
          <w:rFonts w:hint="eastAsia" w:ascii="宋体" w:hAnsi="宋体"/>
          <w:bCs/>
          <w:color w:val="000000" w:themeColor="text1"/>
          <w:sz w:val="24"/>
          <w:szCs w:val="24"/>
          <w:highlight w:val="none"/>
          <w:lang w:val="en-US" w:eastAsia="zh-CN"/>
          <w14:textFill>
            <w14:solidFill>
              <w14:schemeClr w14:val="tx1"/>
            </w14:solidFill>
          </w14:textFill>
        </w:rPr>
        <w:t xml:space="preserve">予</w:t>
      </w:r>
      <w:r>
        <w:rPr>
          <w:rFonts w:hint="eastAsia" w:ascii="宋体" w:hAnsi="宋体"/>
          <w:bCs/>
          <w:color w:val="000000" w:themeColor="text1"/>
          <w:sz w:val="24"/>
          <w:szCs w:val="24"/>
          <w:highlight w:val="none"/>
          <w14:textFill>
            <w14:solidFill>
              <w14:schemeClr w14:val="tx1"/>
            </w14:solidFill>
          </w14:textFill>
        </w:rPr>
        <w:t xml:space="preserve">调整中标价。</w:t>
      </w:r>
      <w:r/>
    </w:p>
    <w:p>
      <w:pPr>
        <w:ind w:firstLine="482"/>
        <w:pageBreakBefore w:val="0"/>
        <w:spacing w:line="440" w:lineRule="exact"/>
        <w:tabs>
          <w:tab w:val="left" w:pos="1035" w:leader="none"/>
        </w:tabs>
        <w:rPr>
          <w:rFonts w:hint="eastAsia" w:ascii="宋体" w:hAnsi="宋体" w:eastAsia="宋体" w:cs="宋体"/>
          <w:b/>
          <w:bCs w:val="0"/>
          <w:color w:val="000000"/>
          <w:sz w:val="24"/>
          <w:szCs w:val="24"/>
          <w:lang w:val="zh-CN"/>
        </w:rPr>
      </w:pPr>
      <w:r>
        <w:rPr>
          <w:rFonts w:hint="eastAsia" w:ascii="宋体" w:hAnsi="宋体" w:eastAsia="宋体" w:cs="宋体"/>
          <w:b/>
          <w:bCs w:val="0"/>
          <w:color w:val="000000"/>
          <w:sz w:val="24"/>
          <w:szCs w:val="24"/>
          <w:lang w:val="en-US" w:eastAsia="zh-CN"/>
        </w:rPr>
        <w:t xml:space="preserve">13.</w:t>
      </w:r>
      <w:r>
        <w:rPr>
          <w:rFonts w:hint="eastAsia" w:ascii="宋体" w:hAnsi="宋体" w:eastAsia="宋体" w:cs="宋体"/>
          <w:b/>
          <w:bCs w:val="0"/>
          <w:color w:val="000000"/>
          <w:sz w:val="24"/>
          <w:szCs w:val="24"/>
        </w:rPr>
        <w:t xml:space="preserve">服务承诺</w:t>
      </w:r>
      <w:r/>
    </w:p>
    <w:p>
      <w:pPr>
        <w:ind w:firstLine="480"/>
        <w:pageBreakBefore w:val="0"/>
        <w:spacing w:line="440" w:lineRule="exact"/>
        <w:rPr>
          <w:rFonts w:ascii="宋体" w:hAnsi="宋体" w:eastAsia="宋体" w:cs="Times New Roman"/>
          <w:bCs/>
          <w:color w:val="000000"/>
          <w:sz w:val="24"/>
        </w:rPr>
      </w:pPr>
      <w:r>
        <w:rPr>
          <w:rFonts w:hint="eastAsia" w:ascii="宋体" w:hAnsi="宋体" w:eastAsia="宋体" w:cs="Times New Roman"/>
          <w:color w:val="000000"/>
          <w:sz w:val="24"/>
          <w:szCs w:val="24"/>
        </w:rPr>
        <w:t xml:space="preserve">投标人的保险方案、服务承诺等应不低于招标文件中要求的标准。</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技术要求响应及偏离表、商务要求响应及偏离表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944"/>
        <w:ind w:firstLine="480"/>
        <w:jc w:val="both"/>
        <w:pageBreakBefore w:val="0"/>
        <w:spacing w:beforeAutospacing="0" w:afterAutospacing="0" w:line="44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7" w:name="_Toc49090510"/>
      <w:r/>
      <w:bookmarkStart w:id="58" w:name="_Toc14577359"/>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投标函和开标一览表</w:t>
      </w:r>
      <w:bookmarkEnd w:id="57"/>
      <w:r/>
      <w:bookmarkEnd w:id="58"/>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.1投标人应按照招标文件中提供的格式完整、正确填写投标函、开标一览表。</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9" w:name="_Toc49090511"/>
      <w:r/>
      <w:bookmarkStart w:id="60" w:name="_Toc14577360"/>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投标有效期</w:t>
      </w:r>
      <w:bookmarkEnd w:id="59"/>
      <w:r/>
      <w:bookmarkEnd w:id="60"/>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944"/>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投标有效期的延长</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.1在特殊情况下，</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3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电子投标文件的递交</w:t>
      </w:r>
      <w:r/>
    </w:p>
    <w:p>
      <w:pPr>
        <w:ind w:right="218" w:firstLine="480"/>
        <w:jc w:val="both"/>
        <w:pageBreakBefore w:val="0"/>
        <w:spacing w:before="0" w:after="0" w:line="44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投标截止日期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.1投标人上传电子投标文件的时间不得迟于招标公告中规定的投标截止时间。</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投标文件的拒收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.1采购人拒绝接收在其规定的投标截止时间后上传的任何投标文件。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.1.1电子投标文件的撤回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.1.2投标人撤回电子投标文件，则认为其不再参与本项目投标活动。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.2投标文件的修改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.2.2在投标截止时间之后，投标人不得对其电子投标文件作任何修改。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.3在投标截止时间至招标文件中规定的投标有效期满之间的这段时间内，投标人不得撤回其投标。</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开标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w:t>
      </w:r>
      <w:r>
        <w:rPr>
          <w:rFonts w:hint="eastAsia" w:ascii="宋体" w:hAnsi="宋体" w:cs="宋体"/>
          <w:b/>
          <w:color w:val="000000"/>
          <w:sz w:val="24"/>
          <w:lang w:eastAsia="zh-CN"/>
        </w:rPr>
        <w:t xml:space="preserve">.</w:t>
      </w:r>
      <w:r>
        <w:rPr>
          <w:rFonts w:ascii="宋体" w:hAnsi="宋体" w:eastAsia="宋体" w:cs="宋体"/>
          <w:b/>
          <w:color w:val="000000"/>
          <w:sz w:val="24"/>
        </w:rPr>
        <w:t xml:space="preserve">评标委员会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23.1开标后，采购人将立即组织评标委员会（以下简称评委会）进行评标。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23.2评委会由采购人代表和有关技术、经济等方面的专家组成，且人员构成符合政府采购有关规定。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numPr>
          <w:ilvl w:val="0"/>
          <w:numId w:val="5"/>
        </w:num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评标过程的保密与公正</w:t>
      </w:r>
      <w:r/>
    </w:p>
    <w:p>
      <w:pPr>
        <w:numPr>
          <w:ilvl w:val="0"/>
          <w:numId w:val="0"/>
        </w:num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w:t>
      </w:r>
      <w:r>
        <w:rPr>
          <w:rFonts w:hint="eastAsia" w:ascii="宋体" w:hAnsi="宋体" w:cs="宋体"/>
          <w:b/>
          <w:color w:val="000000"/>
          <w:sz w:val="24"/>
          <w:lang w:eastAsia="zh-CN"/>
        </w:rPr>
        <w:t xml:space="preserve">.</w:t>
      </w:r>
      <w:r>
        <w:rPr>
          <w:rFonts w:ascii="宋体" w:hAnsi="宋体" w:eastAsia="宋体" w:cs="宋体"/>
          <w:b/>
          <w:color w:val="000000"/>
          <w:sz w:val="24"/>
        </w:rPr>
        <w:t xml:space="preserve">投标文件的澄清</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25.3接到评委会澄清、说明和补正要求的投标人如未按规定做出澄清、说明和补正，其风险由投标人自行承担。</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w:t>
      </w:r>
      <w:r>
        <w:rPr>
          <w:rFonts w:hint="eastAsia" w:ascii="宋体" w:hAnsi="宋体" w:cs="宋体"/>
          <w:b/>
          <w:color w:val="000000"/>
          <w:sz w:val="24"/>
          <w:lang w:eastAsia="zh-CN"/>
        </w:rPr>
        <w:t xml:space="preserve">.</w:t>
      </w:r>
      <w:r>
        <w:rPr>
          <w:rFonts w:ascii="宋体" w:hAnsi="宋体" w:eastAsia="宋体" w:cs="宋体"/>
          <w:b/>
          <w:color w:val="000000"/>
          <w:sz w:val="24"/>
        </w:rPr>
        <w:t xml:space="preserve">对投标文件的初审</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w:t>
      </w:r>
      <w:r>
        <w:rPr>
          <w:rFonts w:ascii="宋体" w:hAnsi="宋体" w:eastAsia="宋体" w:cs="宋体"/>
          <w:color w:val="000000"/>
          <w:sz w:val="24"/>
          <w:highlight w:val="none"/>
        </w:rPr>
        <w:t xml:space="preserve">方和</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的权利或投</w:t>
      </w:r>
      <w:r>
        <w:rPr>
          <w:rFonts w:ascii="宋体" w:hAnsi="宋体" w:eastAsia="宋体" w:cs="宋体"/>
          <w:color w:val="000000"/>
          <w:sz w:val="24"/>
        </w:rPr>
        <w:t xml:space="preserve">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w:t>
      </w:r>
      <w:r>
        <w:rPr>
          <w:rFonts w:ascii="宋体" w:hAnsi="宋体" w:eastAsia="宋体" w:cs="宋体"/>
          <w:color w:val="000000"/>
          <w:sz w:val="24"/>
          <w:highlight w:val="none"/>
        </w:rPr>
        <w:t xml:space="preserve">标全过程中应保持通讯畅通，及时登录</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查阅、答复相关信息，并安排专人与</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及评标</w:t>
      </w:r>
      <w:r>
        <w:rPr>
          <w:rFonts w:ascii="宋体" w:hAnsi="宋体" w:eastAsia="宋体" w:cs="宋体"/>
          <w:color w:val="000000"/>
          <w:sz w:val="24"/>
        </w:rPr>
        <w:t xml:space="preserve">委员会联系。</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w:t>
      </w:r>
      <w:r>
        <w:rPr>
          <w:rFonts w:hint="eastAsia" w:ascii="宋体" w:hAnsi="宋体" w:cs="宋体"/>
          <w:b/>
          <w:color w:val="000000"/>
          <w:sz w:val="24"/>
          <w:lang w:eastAsia="zh-CN"/>
        </w:rPr>
        <w:t xml:space="preserve">.</w:t>
      </w:r>
      <w:r>
        <w:rPr>
          <w:rFonts w:ascii="宋体" w:hAnsi="宋体" w:eastAsia="宋体" w:cs="宋体"/>
          <w:b/>
          <w:color w:val="000000"/>
          <w:sz w:val="24"/>
        </w:rPr>
        <w:t xml:space="preserve">无效投标条款和废标条款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27.1.2投标人未按照招标文件要求上传电子投标文件的。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480"/>
        <w:jc w:val="both"/>
        <w:pageBreakBefore w:val="0"/>
        <w:spacing w:before="0" w:after="0" w:line="440" w:lineRule="exact"/>
        <w:rPr>
          <w:i/>
          <w:i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iCs/>
          <w:color w:val="000000"/>
          <w:sz w:val="24"/>
        </w:rPr>
        <w:t xml:space="preserve">（</w:t>
      </w:r>
      <w:r>
        <w:rPr>
          <w:rFonts w:ascii="宋体" w:hAnsi="宋体" w:eastAsia="宋体" w:cs="宋体"/>
          <w:i/>
          <w:iCs/>
          <w:color w:val="000000"/>
          <w:sz w:val="24"/>
          <w:u w:val="single"/>
        </w:rPr>
        <w:t xml:space="preserve">本招标文件中斜体且有下划线部分为实质性要求和条件）。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0</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27.1.12投标文件未按照招标文件要求加盖CA电子公章的。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27.3投标截止时间结束后参加投标的供应商不足三家的处理：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right="0" w:firstLine="482"/>
        <w:jc w:val="both"/>
        <w:pageBreakBefore w:val="0"/>
        <w:spacing w:before="0" w:after="0"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六、定标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w:t>
      </w:r>
      <w:r>
        <w:rPr>
          <w:rFonts w:hint="eastAsia" w:ascii="宋体" w:hAnsi="宋体" w:cs="宋体"/>
          <w:b/>
          <w:color w:val="000000"/>
          <w:sz w:val="24"/>
          <w:lang w:eastAsia="zh-CN"/>
        </w:rPr>
        <w:t xml:space="preserve">.</w:t>
      </w:r>
      <w:r>
        <w:rPr>
          <w:rFonts w:ascii="宋体" w:hAnsi="宋体" w:eastAsia="宋体" w:cs="宋体"/>
          <w:b/>
          <w:color w:val="000000"/>
          <w:sz w:val="24"/>
        </w:rPr>
        <w:t xml:space="preserve">确定中标单位</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28.5.3不同投标人的投标文件载明的项目管理成员或者联系人员为同一人；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w:t>
      </w:r>
      <w:r>
        <w:rPr>
          <w:rFonts w:hint="eastAsia" w:ascii="宋体" w:hAnsi="宋体" w:cs="宋体"/>
          <w:color w:val="000000"/>
          <w:sz w:val="24"/>
          <w:lang w:val="en-US" w:eastAsia="zh-CN"/>
        </w:rPr>
        <w:t xml:space="preserve">投标人</w:t>
      </w:r>
      <w:r>
        <w:rPr>
          <w:rFonts w:ascii="宋体" w:hAnsi="宋体" w:eastAsia="宋体" w:cs="宋体"/>
          <w:color w:val="000000"/>
          <w:sz w:val="24"/>
        </w:rPr>
        <w:t xml:space="preserve">的投标文件异常一致或者投标报价呈规律性差异；</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w:t>
      </w:r>
      <w:r>
        <w:rPr>
          <w:rFonts w:hint="eastAsia" w:ascii="宋体" w:hAnsi="宋体" w:cs="宋体"/>
          <w:b/>
          <w:color w:val="000000"/>
          <w:sz w:val="24"/>
          <w:lang w:eastAsia="zh-CN"/>
        </w:rPr>
        <w:t xml:space="preserve">.</w:t>
      </w:r>
      <w:r>
        <w:rPr>
          <w:rFonts w:ascii="宋体" w:hAnsi="宋体" w:eastAsia="宋体" w:cs="宋体"/>
          <w:b/>
          <w:color w:val="000000"/>
          <w:sz w:val="24"/>
        </w:rPr>
        <w:t xml:space="preserve">质疑处理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eastAsia="宋体" w:cs="Times New Roman"/>
          <w:color w:val="000000"/>
          <w:sz w:val="24"/>
          <w:lang w:val="en-US" w:eastAsia="zh-CN"/>
        </w:rPr>
        <w:t xml:space="preserve">   </w:t>
      </w:r>
      <w:r>
        <w:rPr>
          <w:rFonts w:ascii="宋体" w:hAnsi="宋体" w:eastAsia="宋体" w:cs="宋体"/>
          <w:color w:val="000000"/>
          <w:sz w:val="24"/>
        </w:rPr>
        <w:t xml:space="preserve">29.2.2对采购过程提出质疑的，为各采购程序环节结束之日；</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29.5.3以传真、电子邮件等方式递交的非原件形式的质疑。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中标通知书</w:t>
      </w:r>
      <w:r/>
    </w:p>
    <w:p>
      <w:pPr>
        <w:ind w:firstLine="480"/>
        <w:pageBreakBefore w:val="0"/>
        <w:spacing w:line="440" w:lineRule="exact"/>
        <w:rPr>
          <w:rFonts w:hint="eastAsia" w:ascii="宋体" w:hAnsi="宋体" w:cs="宋体"/>
          <w:color w:val="000000"/>
          <w:sz w:val="24"/>
          <w:szCs w:val="24"/>
          <w:lang w:bidi="ar"/>
        </w:rPr>
      </w:pPr>
      <w:r>
        <w:rPr>
          <w:rFonts w:hint="eastAsia" w:ascii="宋体" w:hAnsi="宋体" w:eastAsia="宋体" w:cs="宋体"/>
          <w:color w:val="000000"/>
          <w:sz w:val="24"/>
        </w:rPr>
        <w:t xml:space="preserve">30.l</w:t>
      </w:r>
      <w:r>
        <w:rPr>
          <w:rFonts w:hint="eastAsia" w:ascii="宋体" w:hAnsi="宋体" w:cs="宋体"/>
          <w:color w:val="000000"/>
          <w:sz w:val="24"/>
          <w:szCs w:val="24"/>
          <w:lang w:bidi="ar"/>
        </w:rPr>
        <w:t xml:space="preserve">中标结果确定后，采购人或采购代理机构将向中标人发出中标通知书。</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30.2中标通知书将是合同的一个组成部分。对采购人和中标供应商均具有法律效力。</w:t>
      </w:r>
      <w:r/>
    </w:p>
    <w:p>
      <w:pPr>
        <w:ind w:left="0" w:right="0" w:firstLine="482"/>
        <w:jc w:val="both"/>
        <w:pageBreakBefore w:val="0"/>
        <w:spacing w:before="0" w:after="0"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七、授予合同</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签订合同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rP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b/>
          <w:bCs/>
          <w:color w:val="000000"/>
          <w:sz w:val="24"/>
          <w:szCs w:val="20"/>
        </w:rPr>
        <w:t xml:space="preserve">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服务的追加</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w:t>
      </w:r>
      <w:r>
        <w:rPr>
          <w:rFonts w:hint="eastAsia" w:ascii="宋体" w:hAnsi="宋体" w:cs="宋体"/>
          <w:color w:val="000000"/>
          <w:sz w:val="24"/>
          <w:lang w:val="en-US" w:eastAsia="zh-CN"/>
        </w:rPr>
        <w:t xml:space="preserve">原</w:t>
      </w:r>
      <w:r>
        <w:rPr>
          <w:rFonts w:hint="eastAsia" w:ascii="宋体" w:hAnsi="宋体" w:eastAsia="宋体" w:cs="宋体"/>
          <w:color w:val="000000"/>
          <w:sz w:val="24"/>
        </w:rPr>
        <w:t xml:space="preserve">合同标的相同</w:t>
      </w:r>
      <w:r>
        <w:rPr>
          <w:rFonts w:hint="eastAsia" w:ascii="宋体" w:hAnsi="宋体" w:cs="宋体"/>
          <w:color w:val="000000"/>
          <w:sz w:val="24"/>
          <w:lang w:val="en-US" w:eastAsia="zh-CN"/>
        </w:rPr>
        <w:t xml:space="preserve">内容</w:t>
      </w:r>
      <w:r>
        <w:rPr>
          <w:rFonts w:hint="eastAsia" w:ascii="宋体" w:hAnsi="宋体" w:eastAsia="宋体" w:cs="宋体"/>
          <w:color w:val="000000"/>
          <w:sz w:val="24"/>
        </w:rPr>
        <w:t xml:space="preserve">服务的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不涉及实质性变更</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，在不改变合同其他条款的前提下，可以与中标人协商签订补充合同，但所有补充合同的采购金额不超过原合同金额10%。</w:t>
      </w:r>
      <w:r/>
    </w:p>
    <w:p>
      <w:pPr>
        <w:ind w:firstLine="482"/>
        <w:keepLines w:val="0"/>
        <w:keepNext w:val="0"/>
        <w:pageBreakBefore w:val="0"/>
        <w:spacing w:line="44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61" w:name="_Toc479757207"/>
      <w:r/>
      <w:bookmarkStart w:id="62" w:name="_Toc513029242"/>
      <w:r/>
      <w:bookmarkStart w:id="63" w:name="_Toc120614221"/>
      <w:r/>
      <w:bookmarkStart w:id="64" w:name="_Toc20823314"/>
      <w:r/>
      <w:bookmarkStart w:id="65" w:name="_Toc16938558"/>
      <w:r>
        <w:rPr>
          <w:rFonts w:hint="eastAsia" w:ascii="宋体" w:hAnsi="宋体" w:cs="宋体"/>
          <w:b/>
          <w:bCs w:val="0"/>
          <w:color w:val="000000"/>
          <w:sz w:val="24"/>
          <w:lang w:eastAsia="zh-CN"/>
        </w:rPr>
        <w:t xml:space="preserve">.</w:t>
      </w:r>
      <w:r>
        <w:rPr>
          <w:rFonts w:hint="eastAsia"/>
          <w:b/>
          <w:bCs w:val="0"/>
          <w:sz w:val="24"/>
          <w:szCs w:val="24"/>
        </w:rPr>
        <w:t xml:space="preserve">政府采购履约资金扶持政策</w:t>
      </w:r>
      <w:bookmarkEnd w:id="61"/>
      <w:r/>
      <w:bookmarkEnd w:id="62"/>
      <w:r/>
      <w:bookmarkEnd w:id="63"/>
      <w:r/>
      <w:bookmarkEnd w:id="64"/>
      <w:r/>
      <w:bookmarkEnd w:id="65"/>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33.4强制采购节能产品、信息安全产品，优先采购环境标志产品。依据《财政部发展改革委生态环境部市场监管总局关于调整优化节能产品、环境标志产品政府采购执行机制的通知》（财库〔2019〕9号），</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提供的产品为节能产品和环境标志产品的，应当提供国家确定的认证机构出具的、处于有效期之内的节能产品、环境标志产品认证证书（复印件）。</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提供的产品属于信息安全产品的，应当提供由中国信息安全认证中心按国家标准认证颁发的有效认证证书（复印件）。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其他</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left="0" w:right="0" w:firstLine="480"/>
        <w:jc w:val="both"/>
        <w:pageBreakBefore w:val="0"/>
        <w:spacing w:before="0" w:after="0" w:line="44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34.3本项目落实预付款制度，预付款比例为</w:t>
      </w:r>
      <w:r>
        <w:rPr>
          <w:rFonts w:hint="eastAsia" w:ascii="宋体" w:hAnsi="宋体" w:eastAsia="宋体" w:cs="宋体"/>
          <w:b/>
          <w:color w:val="000000" w:themeColor="text1"/>
          <w:sz w:val="24"/>
          <w:u w:val="single"/>
          <w14:textFill>
            <w14:solidFill>
              <w14:schemeClr w14:val="tx1"/>
            </w14:solidFill>
          </w14:textFill>
        </w:rPr>
        <w:t xml:space="preserve">30%</w:t>
      </w:r>
      <w:r>
        <w:rPr>
          <w:rFonts w:hint="eastAsia" w:ascii="宋体" w:hAnsi="宋体" w:eastAsia="宋体" w:cs="宋体"/>
          <w:b/>
          <w:color w:val="000000" w:themeColor="text1"/>
          <w:sz w:val="24"/>
          <w14:textFill>
            <w14:solidFill>
              <w14:schemeClr w14:val="tx1"/>
            </w14:solidFill>
          </w14:textFill>
        </w:rPr>
        <w:t xml:space="preserve">。在签订合同时，中标、成交供应商明确书面表示无需预付款或者主动要求降低预付款比例的，采购人可就预付款比例作相应调整。</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34.4确需收取履约保证金的，履约保证金的缴纳形式：</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pageBreakBefore w:val="0"/>
        <w:spacing w:before="0" w:after="0" w:line="44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pStyle w:val="944"/>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rPr>
          <w:rFonts w:hint="eastAsia" w:ascii="宋体" w:hAnsi="宋体" w:eastAsia="宋体" w:cs="宋体"/>
          <w:sz w:val="24"/>
          <w:szCs w:val="24"/>
          <w:highlight w:val="none"/>
        </w:rPr>
        <w:t xml:space="preserve"> </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35.关于分支机构投标</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对接受分支机构投标的项目，分支机构投标的，须提供分支机构的营业执照扫描件及总公司出具给分支机构的授权书，授权书须加盖总公司公章。总公司可就本项目或此类项目在一定范围或时间内出具授权书。已由总公司授权的，总公司取得的相关资质证书对分支机构有效，法律法规或者行业另有规定的除外。依法设立登记的分支机构以自己的名义参加政府采购活动，产生的民事责任由法人承担。（保险类项目则为：本项目</w:t>
      </w:r>
      <w:r>
        <w:rPr>
          <w:rFonts w:hint="eastAsia" w:ascii="宋体" w:hAnsi="宋体"/>
          <w:b/>
          <w:bCs/>
          <w:color w:val="000000" w:themeColor="text1"/>
          <w:sz w:val="24"/>
          <w:highlight w:val="none"/>
          <w:lang w:val="en-US" w:eastAsia="zh-CN"/>
          <w14:textFill>
            <w14:solidFill>
              <w14:schemeClr w14:val="tx1"/>
            </w14:solidFill>
          </w14:textFill>
        </w:rPr>
        <w:t xml:space="preserve">只</w:t>
      </w:r>
      <w:r>
        <w:rPr>
          <w:rFonts w:hint="eastAsia" w:ascii="宋体" w:hAnsi="宋体"/>
          <w:b/>
          <w:bCs/>
          <w:color w:val="000000" w:themeColor="text1"/>
          <w:sz w:val="24"/>
          <w:highlight w:val="none"/>
          <w:lang w:val="zh-CN"/>
          <w14:textFill>
            <w14:solidFill>
              <w14:schemeClr w14:val="tx1"/>
            </w14:solidFill>
          </w14:textFill>
        </w:rPr>
        <w:t xml:space="preserve">接受保险分公司或中心支公司</w:t>
      </w:r>
      <w:r>
        <w:rPr>
          <w:rFonts w:hint="eastAsia" w:ascii="宋体" w:hAnsi="宋体"/>
          <w:b/>
          <w:bCs/>
          <w:color w:val="000000" w:themeColor="text1"/>
          <w:sz w:val="24"/>
          <w:highlight w:val="none"/>
          <w:lang w:val="en-US" w:eastAsia="zh-CN"/>
          <w14:textFill>
            <w14:solidFill>
              <w14:schemeClr w14:val="tx1"/>
            </w14:solidFill>
          </w14:textFill>
        </w:rPr>
        <w:t xml:space="preserve">及</w:t>
      </w:r>
      <w:r>
        <w:rPr>
          <w:rFonts w:hint="eastAsia" w:ascii="宋体" w:hAnsi="宋体"/>
          <w:b/>
          <w:bCs/>
          <w:color w:val="000000" w:themeColor="text1"/>
          <w:sz w:val="24"/>
          <w:highlight w:val="none"/>
          <w:lang w:val="zh-CN"/>
          <w14:textFill>
            <w14:solidFill>
              <w14:schemeClr w14:val="tx1"/>
            </w14:solidFill>
          </w14:textFill>
        </w:rPr>
        <w:t xml:space="preserve">以上的保险机构投标；分公司或中心支公司的保险机构投标的，还须提供分公司或中心支公司的保险机构的营业执照。依法设立登记的分支机构以自己的名义参加政府采购活动，产生的民事责任由法人承担。）</w:t>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4"/>
        <w:jc w:val="center"/>
        <w:spacing w:beforeAutospacing="0" w:afterAutospacing="0"/>
        <w:rPr>
          <w:sz w:val="48"/>
          <w:szCs w:val="48"/>
          <w:highlight w:val="none"/>
        </w:rPr>
      </w:pPr>
      <w:r>
        <w:rPr>
          <w:rFonts w:hint="eastAsia" w:ascii="黑体" w:hAnsi="宋体" w:eastAsia="黑体" w:cs="黑体"/>
          <w:color w:val="000000"/>
          <w:sz w:val="48"/>
          <w:szCs w:val="48"/>
          <w:highlight w:val="none"/>
        </w:rPr>
        <w:t xml:space="preserve">第三章 合同文本</w:t>
      </w:r>
      <w:r/>
    </w:p>
    <w:p>
      <w:pPr>
        <w:pStyle w:val="944"/>
        <w:ind w:firstLine="480"/>
        <w:jc w:val="both"/>
        <w:keepLines w:val="0"/>
        <w:keepNext w:val="0"/>
        <w:pageBreakBefore w:val="0"/>
        <w:spacing w:beforeAutospacing="0" w:afterAutospacing="0" w:line="500" w:lineRule="exact"/>
        <w:widowControl w:val="off"/>
        <w:rPr>
          <w:sz w:val="24"/>
          <w:szCs w:val="24"/>
          <w:highlight w:val="none"/>
        </w:rPr>
      </w:pPr>
      <w:r/>
      <w:bookmarkStart w:id="66" w:name="_Toc16938559"/>
      <w:r/>
      <w:bookmarkStart w:id="67" w:name="_Toc513029243"/>
      <w:r/>
      <w:bookmarkStart w:id="68" w:name="_Toc20823315"/>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66"/>
      <w:r/>
      <w:bookmarkEnd w:id="67"/>
      <w:r/>
      <w:bookmarkEnd w:id="68"/>
      <w:r>
        <w:rPr>
          <w:sz w:val="24"/>
          <w:szCs w:val="24"/>
          <w:highlight w:val="none"/>
        </w:rPr>
        <w:t xml:space="preserve"> </w:t>
      </w:r>
      <w:r/>
    </w:p>
    <w:p>
      <w:pPr>
        <w:pStyle w:val="944"/>
        <w:jc w:val="center"/>
        <w:keepLines w:val="0"/>
        <w:keepNext w:val="0"/>
        <w:pageBreakBefore w:val="0"/>
        <w:spacing w:before="145" w:beforeAutospacing="0" w:after="145" w:afterAutospacing="0" w:line="440" w:lineRule="exact"/>
        <w:widowControl w:val="off"/>
        <w:rPr>
          <w:sz w:val="24"/>
          <w:szCs w:val="24"/>
          <w:highlight w:val="none"/>
        </w:rPr>
      </w:pPr>
      <w:r>
        <w:rPr>
          <w:rFonts w:hint="eastAsia" w:ascii="宋体" w:hAnsi="宋体" w:eastAsia="宋体" w:cs="宋体"/>
          <w:b/>
          <w:color w:val="000000"/>
          <w:sz w:val="24"/>
          <w:szCs w:val="24"/>
          <w:highlight w:val="none"/>
        </w:rPr>
        <w:t xml:space="preserve">政府采购合同（服务）（合同编号）</w:t>
      </w:r>
      <w:r/>
    </w:p>
    <w:p>
      <w:pPr>
        <w:pStyle w:val="944"/>
        <w:jc w:val="both"/>
        <w:keepLines w:val="0"/>
        <w:keepNext w:val="0"/>
        <w:pageBreakBefore w:val="0"/>
        <w:spacing w:before="120" w:beforeAutospacing="0" w:after="120" w:afterAutospacing="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944"/>
        <w:jc w:val="both"/>
        <w:keepLines w:val="0"/>
        <w:keepNext w:val="0"/>
        <w:pageBreakBefore w:val="0"/>
        <w:spacing w:before="120" w:beforeAutospacing="0" w:after="120" w:afterAutospacing="0" w:line="4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ind w:firstLine="480"/>
        <w:keepLines w:val="0"/>
        <w:keepNext w:val="0"/>
        <w:pageBreakBefore w:val="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以下为中标后</w:t>
      </w:r>
      <w:r>
        <w:rPr>
          <w:rFonts w:hint="eastAsia" w:ascii="宋体" w:hAnsi="宋体" w:eastAsia="宋体" w:cs="宋体"/>
          <w:bCs/>
          <w:sz w:val="24"/>
          <w:szCs w:val="24"/>
          <w:highlight w:val="none"/>
          <w:lang w:eastAsia="zh-CN"/>
        </w:rPr>
        <w:t xml:space="preserve">签订</w:t>
      </w:r>
      <w:r>
        <w:rPr>
          <w:rFonts w:hint="eastAsia" w:ascii="宋体" w:hAnsi="宋体" w:eastAsia="宋体" w:cs="宋体"/>
          <w:bCs/>
          <w:sz w:val="24"/>
          <w:szCs w:val="24"/>
          <w:highlight w:val="none"/>
        </w:rPr>
        <w:t xml:space="preserve">本项目合同的通用条款，中标供应商不得提出实质性的修改，关于专用条款将由采购人与中标供应商结合本项目具体情况协商后签订。</w:t>
      </w:r>
      <w:r/>
    </w:p>
    <w:p>
      <w:pPr>
        <w:ind w:firstLine="482"/>
        <w:jc w:val="both"/>
        <w:keepLines w:val="0"/>
        <w:keepNext w:val="0"/>
        <w:pageBreakBefore w:val="0"/>
        <w:spacing w:line="400" w:lineRule="exact"/>
        <w:widowControl/>
        <w:tabs>
          <w:tab w:val="left" w:pos="720" w:leader="none"/>
        </w:tabs>
        <w:rPr>
          <w:rFonts w:hint="eastAsia" w:ascii="宋体" w:hAnsi="宋体" w:eastAsia="宋体" w:cs="宋体"/>
          <w:b w:val="0"/>
          <w:bCs/>
          <w:sz w:val="24"/>
          <w:szCs w:val="24"/>
          <w:highlight w:val="none"/>
          <w:u w:val="single"/>
          <w:lang w:val="en-US" w:eastAsia="zh-CN" w:bidi="ar-SA"/>
        </w:rPr>
      </w:pPr>
      <w:r>
        <w:rPr>
          <w:rFonts w:hint="eastAsia" w:ascii="宋体" w:hAnsi="宋体" w:eastAsia="宋体" w:cs="宋体"/>
          <w:b w:val="0"/>
          <w:bCs/>
          <w:sz w:val="24"/>
          <w:szCs w:val="24"/>
          <w:highlight w:val="none"/>
          <w:lang w:val="en-US" w:eastAsia="zh-CN" w:bidi="ar-SA"/>
        </w:rPr>
        <w:t xml:space="preserve">甲方（采购方）： </w:t>
      </w:r>
      <w:r>
        <w:rPr>
          <w:rFonts w:hint="eastAsia" w:ascii="宋体" w:hAnsi="宋体" w:cs="宋体"/>
          <w:b w:val="0"/>
          <w:bCs/>
          <w:sz w:val="24"/>
          <w:szCs w:val="24"/>
          <w:highlight w:val="none"/>
          <w:lang w:val="en-US" w:eastAsia="zh-CN" w:bidi="ar-SA"/>
        </w:rPr>
        <w:t xml:space="preserve">滨海县卫生健康委员会</w:t>
      </w:r>
      <w:r>
        <w:rPr>
          <w:rFonts w:hint="eastAsia" w:ascii="宋体" w:hAnsi="宋体" w:eastAsia="宋体" w:cs="宋体"/>
          <w:b w:val="0"/>
          <w:bCs/>
          <w:sz w:val="24"/>
          <w:szCs w:val="24"/>
          <w:highlight w:val="none"/>
          <w:lang w:val="en-US" w:eastAsia="zh-CN" w:bidi="ar-SA"/>
        </w:rPr>
        <w:t xml:space="preserve">          </w:t>
      </w:r>
      <w:r/>
    </w:p>
    <w:p>
      <w:pPr>
        <w:ind w:right="-17" w:firstLine="482"/>
        <w:keepLines w:val="0"/>
        <w:keepNext w:val="0"/>
        <w:pageBreakBefore w:val="0"/>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地址：</w:t>
      </w:r>
      <w:r>
        <w:rPr>
          <w:rFonts w:hint="eastAsia" w:ascii="宋体" w:hAnsi="宋体" w:eastAsia="宋体" w:cs="宋体"/>
          <w:b w:val="0"/>
          <w:bCs w:val="0"/>
          <w:color w:val="000000"/>
          <w:sz w:val="24"/>
          <w:szCs w:val="24"/>
          <w:u w:val="none"/>
          <w:lang w:eastAsia="zh-CN"/>
        </w:rPr>
        <w:t xml:space="preserve">滨海县港城路</w:t>
      </w:r>
      <w:r>
        <w:rPr>
          <w:rFonts w:hint="eastAsia" w:ascii="宋体" w:hAnsi="宋体" w:eastAsia="宋体" w:cs="宋体"/>
          <w:b w:val="0"/>
          <w:bCs w:val="0"/>
          <w:color w:val="000000"/>
          <w:sz w:val="24"/>
          <w:szCs w:val="24"/>
          <w:u w:val="none"/>
          <w:lang w:val="en-US" w:eastAsia="zh-CN"/>
        </w:rPr>
        <w:t xml:space="preserve">2</w:t>
      </w:r>
      <w:r>
        <w:rPr>
          <w:rFonts w:hint="eastAsia" w:ascii="宋体" w:hAnsi="宋体" w:eastAsia="宋体" w:cs="宋体"/>
          <w:b w:val="0"/>
          <w:bCs w:val="0"/>
          <w:color w:val="000000"/>
          <w:sz w:val="24"/>
          <w:szCs w:val="24"/>
          <w:u w:val="none"/>
          <w:lang w:eastAsia="zh-CN"/>
        </w:rPr>
        <w:t xml:space="preserve">3号</w:t>
      </w:r>
      <w:r>
        <w:rPr>
          <w:rFonts w:hint="eastAsia" w:ascii="宋体" w:hAnsi="宋体" w:eastAsia="宋体" w:cs="宋体"/>
          <w:b w:val="0"/>
          <w:bCs w:val="0"/>
          <w:sz w:val="24"/>
          <w:szCs w:val="24"/>
          <w:highlight w:val="none"/>
          <w:u w:val="none"/>
        </w:rPr>
        <w:t xml:space="preserve">  </w:t>
      </w:r>
      <w:r>
        <w:rPr>
          <w:rFonts w:hint="eastAsia" w:ascii="宋体" w:hAnsi="宋体" w:eastAsia="宋体" w:cs="宋体"/>
          <w:b w:val="0"/>
          <w:bCs/>
          <w:sz w:val="24"/>
          <w:szCs w:val="24"/>
          <w:highlight w:val="none"/>
        </w:rPr>
        <w:t xml:space="preserve">                           </w:t>
      </w:r>
      <w:r/>
    </w:p>
    <w:p>
      <w:pPr>
        <w:ind w:right="-17" w:firstLine="482"/>
        <w:keepLines w:val="0"/>
        <w:keepNext w:val="0"/>
        <w:pageBreakBefore w:val="0"/>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乙方（供应方）： </w:t>
      </w:r>
      <w:r/>
    </w:p>
    <w:p>
      <w:pPr>
        <w:ind w:firstLine="482"/>
        <w:jc w:val="both"/>
        <w:keepLines w:val="0"/>
        <w:keepNext w:val="0"/>
        <w:pageBreakBefore w:val="0"/>
        <w:spacing w:line="400" w:lineRule="exact"/>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首席</w:t>
      </w:r>
      <w:r>
        <w:rPr>
          <w:rFonts w:hint="eastAsia" w:ascii="宋体" w:hAnsi="宋体" w:cs="宋体"/>
          <w:b w:val="0"/>
          <w:bCs/>
          <w:sz w:val="24"/>
          <w:szCs w:val="24"/>
          <w:lang w:val="en-US" w:eastAsia="zh-CN"/>
        </w:rPr>
        <w:t xml:space="preserve">保险方</w:t>
      </w:r>
      <w:r>
        <w:rPr>
          <w:rFonts w:hint="eastAsia" w:ascii="宋体" w:hAnsi="宋体"/>
          <w:b w:val="0"/>
          <w:bCs/>
          <w:sz w:val="24"/>
          <w:szCs w:val="24"/>
          <w:lang w:val="en-US" w:eastAsia="zh-CN"/>
        </w:rPr>
        <w:t xml:space="preserve">：</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Times New Roman"/>
          <w:b w:val="0"/>
          <w:bCs/>
          <w:sz w:val="24"/>
          <w:szCs w:val="24"/>
          <w:lang w:val="en-US" w:eastAsia="zh-CN" w:bidi="ar-SA"/>
        </w:rPr>
        <w:t xml:space="preserve">共保方：</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共保方：</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丙方（保险经纪公司）：江泰保险经纪股份有限公司盐城分公司 </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地址：盐城市盐南高新区新都街道华邦东厦2幢1906室</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w:t>
      </w:r>
      <w:r/>
    </w:p>
    <w:p>
      <w:pPr>
        <w:ind w:firstLine="482"/>
        <w:jc w:val="both"/>
        <w:keepLines w:val="0"/>
        <w:keepNext w:val="0"/>
        <w:pageBreakBefore w:val="0"/>
        <w:spacing w:line="4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w:t>
      </w:r>
      <w:r/>
    </w:p>
    <w:p>
      <w:pPr>
        <w:ind w:firstLine="480"/>
        <w:keepLines w:val="0"/>
        <w:keepNext w:val="0"/>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
          <w:bCs/>
          <w:color w:val="000000"/>
          <w:sz w:val="24"/>
          <w:szCs w:val="24"/>
        </w:rPr>
        <w:t xml:space="preserve">根据《国务院关于保险业改革发展的若干意见》（国发[2006]23号）、《国务院关于加快发展现代保险服务业的若干意见》</w:t>
      </w:r>
      <w:r>
        <w:rPr>
          <w:rFonts w:hint="eastAsia" w:ascii="宋体" w:hAnsi="宋体" w:eastAsia="宋体" w:cs="宋体"/>
          <w:b/>
          <w:bCs/>
          <w:color w:val="000000"/>
          <w:sz w:val="24"/>
          <w:szCs w:val="24"/>
        </w:rPr>
        <w:t xml:space="preserve">（国发[2014]29号）、原国家卫生计生委等五部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遵循“政府引导、市场运作、专业协助、自愿投保”的服务原则，在滨海县开展医疗机构医疗责任保险示范产品（以下简称“本产品”），</w:t>
      </w:r>
      <w:r>
        <w:rPr>
          <w:rFonts w:hint="eastAsia" w:ascii="宋体" w:hAnsi="宋体" w:cs="宋体"/>
          <w:b/>
          <w:bCs/>
          <w:color w:val="000000"/>
          <w:sz w:val="24"/>
          <w:szCs w:val="24"/>
          <w:lang w:val="en-US" w:eastAsia="zh-CN"/>
        </w:rPr>
        <w:t xml:space="preserve">采购人</w:t>
      </w:r>
      <w:r>
        <w:rPr>
          <w:rFonts w:hint="eastAsia" w:ascii="宋体" w:hAnsi="宋体" w:eastAsia="宋体" w:cs="宋体"/>
          <w:b/>
          <w:bCs/>
          <w:color w:val="000000"/>
          <w:sz w:val="24"/>
          <w:szCs w:val="24"/>
        </w:rPr>
        <w:t xml:space="preserve">通过公开招标的方式确定供应方为本产品保险承保人。现按照相关采购文件要求，</w:t>
      </w:r>
      <w:r>
        <w:rPr>
          <w:rFonts w:hint="eastAsia" w:ascii="宋体" w:hAnsi="宋体" w:eastAsia="宋体" w:cs="宋体"/>
          <w:b/>
          <w:bCs/>
          <w:sz w:val="24"/>
          <w:szCs w:val="24"/>
          <w:highlight w:val="none"/>
        </w:rPr>
        <w:t xml:space="preserve">甲、乙</w:t>
      </w:r>
      <w:r>
        <w:rPr>
          <w:rFonts w:hint="eastAsia" w:ascii="宋体" w:hAnsi="宋体" w:eastAsia="宋体" w:cs="宋体"/>
          <w:b/>
          <w:bCs/>
          <w:sz w:val="24"/>
          <w:szCs w:val="24"/>
          <w:highlight w:val="none"/>
          <w:lang w:val="en-US" w:eastAsia="zh-CN"/>
        </w:rPr>
        <w:t xml:space="preserve">双方</w:t>
      </w:r>
      <w:r>
        <w:rPr>
          <w:rFonts w:hint="eastAsia" w:ascii="宋体" w:hAnsi="宋体" w:eastAsia="宋体" w:cs="宋体"/>
          <w:b/>
          <w:bCs/>
          <w:sz w:val="24"/>
          <w:szCs w:val="24"/>
          <w:highlight w:val="none"/>
        </w:rPr>
        <w:t xml:space="preserve">本着自愿、平等、互利和诚实信用的原则，经充分协商，达成以下协议</w:t>
      </w:r>
      <w:r>
        <w:rPr>
          <w:rFonts w:hint="eastAsia" w:ascii="宋体" w:hAnsi="宋体" w:eastAsia="宋体" w:cs="宋体"/>
          <w:b/>
          <w:bCs/>
          <w:color w:val="000000"/>
          <w:sz w:val="24"/>
          <w:szCs w:val="24"/>
        </w:rPr>
        <w:t xml:space="preserve">以兹共同遵守。</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第一部分 定义或释义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一、示范产品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本协议所称示范产品，是指具备统一的保险条款、统一的保险方案框架、统一的保险费率机制，并经</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或其省一级派出机构审批或者备案的医疗责任保险产品，通常在某个行政区域市场中通过采购形式产生。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二、投保人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本协议所称投保人，指滨海县各级各类医疗机构。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本协议所称供应方，是指参与本产品承保的保险公司成员统称。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四、保险经纪人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本协议所称保险经纪人，是指为本产品的投保人与保险人订立保险合同提供中介服务的江泰保险经纪股份有限公司盐城分公司。</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五、医疗风险分担机制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所称医疗风险分担机制，是指政府及相关行业主管部门以国家政策和法律法规为依据，营造良好的社会氛围，提升社会大众对于医疗风险的客观认知，推动医疗机构、医务人员、患者各自通过相应的方式，对医疗风险进行识别，并鼓励采取科学、有效的方式，对医疗风险进行管理或转移，共同承担医疗风险。</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第二部分 权利与义务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（一）负责工作计划的落实；</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（二）负责保障“滨海县医疗纠纷调解组织”的日常运营，包括费用保障、后勤保障、调解服务网络、调解队伍建设、对外宣传、网络信息技术支持以及运营风险控制；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（三）负责保障保险赔偿处理中心（以下简称“赔处中心”）的日常运营，包括费用保障、后勤保障、队伍建设等；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（四）设立运行“滨海县医疗安全与风险预防服务中心”，以通过风险管控服务，协助医院加强安全管理、促进医疗服务质量提升，防范医疗风险，减少医疗纠纷；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（五）负责本产品的营销和推广，建立与本产品相关的统一服务平台；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（六）推动建立双方的协调沟通机制，协调解决本产品运行过程中遇到的疑难问题，提高运作效率；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（七）按照本协议约定，向供应方收取保险经纪佣金</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（八）根据医疗机构的风险转移需求，不断优化和改进本产品，并与供应方共同做好保险产品的动态调整工作；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（九）监督供应方的保险服务质量，对供应方进行工作考评，维护投保人、被保险人的保险权益；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（十）相关法律、法规赋予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的其他权利和义务。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二、供应方的权利和义务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（一）负责本产品保险条款的报备，对保险产品满足采购需求及合法合规性承担相应责任；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负责组织供应方其他成员订立承保协议，按照保险合同及本协议的约定承保出单、保费划转、保险理赔等事宜；承保协议约定内容不得违背本协议，不得损害本协议其他各方及被保险人的利益，并报工作领导小组备案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（三）代表供应方其他成员与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讨论制定本产品的相关工作标准；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建立本产品保险赔偿处理中心（以下简称“赔处中心”）；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共同推动医疗机构参保</w:t>
      </w:r>
      <w:r>
        <w:rPr>
          <w:rFonts w:hint="eastAsia" w:ascii="宋体" w:hAnsi="宋体" w:eastAsia="宋体" w:cs="宋体"/>
          <w:color w:val="000000"/>
          <w:sz w:val="24"/>
          <w:szCs w:val="24"/>
          <w:lang w:val="en-US" w:eastAsia="zh-CN"/>
        </w:rPr>
        <w:t xml:space="preserve">及理赔工作</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（六）按照本协议约定，向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支付保险经纪佣金</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依据市场需求做好保险产品的优化调整工作；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（八）认可“滨海县医疗纠纷调解组织”</w:t>
      </w:r>
      <w:r>
        <w:rPr>
          <w:rFonts w:hint="eastAsia" w:ascii="宋体" w:hAnsi="宋体" w:eastAsia="宋体" w:cs="宋体"/>
          <w:color w:val="000000"/>
          <w:sz w:val="24"/>
          <w:szCs w:val="24"/>
          <w:lang w:val="en-US" w:eastAsia="zh-CN"/>
        </w:rPr>
        <w:t xml:space="preserve">或“江泰人民调解委员会”</w:t>
      </w:r>
      <w:r>
        <w:rPr>
          <w:rFonts w:hint="eastAsia" w:ascii="宋体" w:hAnsi="宋体" w:eastAsia="宋体" w:cs="宋体"/>
          <w:color w:val="000000"/>
          <w:sz w:val="24"/>
          <w:szCs w:val="24"/>
        </w:rPr>
        <w:t xml:space="preserve">出具的调解协议书；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（九）按照本协议要求完成与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业务系统对接工作；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（十）协助</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进行风险防范和风险管理等相关工作；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（十一）完善服务质量，根据</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提出的意见、建议及时进行相应的整改，并将整改措施和效果告知监督方，并通知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（十二）供应方出单公司的权利义务：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1、出具保单及全额保费发票，提供保单信息查询服务。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2、有收取供应方其他成员份额保费发票的权利和向其他成员及时拨付保费的义务。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3、发生保险事故支付赔款时，负责在本协议约定的期限内代表供应方全额代付赔款至被保险人指定账户。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4、代表供应方成员统一提供处理日常承保、理赔、培训、纠纷防范等服务工作，并根据</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的要求协调供应方成员提供承诺的相关服务。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（十三）相关法律、法规赋予供应方的其他权利和义务。</w:t>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（十四）承保比例（根据成交供应商数量对应承保比例）</w:t>
      </w:r>
      <w:r/>
    </w:p>
    <w:p>
      <w:pPr>
        <w:ind w:left="0" w:firstLine="482"/>
        <w:jc w:val="both"/>
        <w:keepLines w:val="0"/>
        <w:keepNext w:val="0"/>
        <w:pageBreakBefore w:val="0"/>
        <w:spacing w:after="0" w:line="460" w:lineRule="exact"/>
        <w:widowControl w:val="off"/>
        <w:rPr>
          <w:rFonts w:hint="eastAsia" w:ascii="宋体" w:hAnsi="宋体" w:cs="宋体"/>
          <w:b/>
          <w:bCs/>
          <w:color w:val="ff0000"/>
          <w:sz w:val="24"/>
          <w:szCs w:val="24"/>
          <w:highlight w:val="none"/>
        </w:rPr>
      </w:pPr>
      <w:r>
        <w:rPr>
          <w:rFonts w:hint="eastAsia" w:ascii="宋体" w:hAnsi="宋体" w:eastAsia="宋体" w:cs="宋体" w:eastAsiaTheme="majorEastAsia"/>
          <w:b/>
          <w:bCs/>
          <w:color w:val="ff0000"/>
          <w:sz w:val="24"/>
          <w:szCs w:val="24"/>
          <w:highlight w:val="none"/>
          <w:lang w:val="en-US" w:eastAsia="zh-CN" w:bidi="ar-SA"/>
        </w:rPr>
        <w:t xml:space="preserve">本项目首席保险人1名和其他共保人2名，承保比例分别为</w:t>
      </w:r>
      <w:r>
        <w:rPr>
          <w:rFonts w:hint="eastAsia" w:ascii="宋体" w:hAnsi="宋体" w:eastAsia="宋体" w:cs="宋体" w:eastAsiaTheme="majorEastAsia"/>
          <w:b/>
          <w:bCs/>
          <w:color w:val="ff0000"/>
          <w:sz w:val="24"/>
          <w:szCs w:val="24"/>
          <w:highlight w:val="none"/>
          <w:shd w:val="clear" w:color="auto" w:fill="ffffff"/>
          <w:lang w:val="en-US" w:eastAsia="zh-CN" w:bidi="ar-SA"/>
        </w:rPr>
        <w:t xml:space="preserve"> 40%、40%、20%</w:t>
      </w:r>
      <w:r>
        <w:rPr>
          <w:rFonts w:hint="eastAsia" w:ascii="宋体" w:hAnsi="宋体" w:eastAsia="宋体" w:cs="宋体" w:eastAsiaTheme="majorEastAsia"/>
          <w:b/>
          <w:bCs/>
          <w:color w:val="ff0000"/>
          <w:sz w:val="24"/>
          <w:szCs w:val="24"/>
          <w:highlight w:val="none"/>
          <w:lang w:val="en-US" w:eastAsia="zh-CN" w:bidi="ar-SA"/>
        </w:rPr>
        <w:t xml:space="preserve">。</w:t>
      </w:r>
      <w:r>
        <w:rPr>
          <w:rFonts w:ascii="宋体" w:hAnsi="宋体" w:cs="宋体"/>
        </w:rPr>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（十五）保险条件：保险期限、保单明细与保险条款等详见附件。</w:t>
      </w:r>
      <w:r/>
    </w:p>
    <w:p>
      <w:pPr>
        <w:ind w:left="0" w:firstLine="480"/>
        <w:jc w:val="both"/>
        <w:keepLines w:val="0"/>
        <w:keepNext w:val="0"/>
        <w:pageBreakBefore w:val="0"/>
        <w:spacing w:after="0" w:line="460" w:lineRule="exact"/>
        <w:widowControl w:val="off"/>
        <w:rPr>
          <w:rFonts w:hint="eastAsia" w:ascii="Arial" w:hAnsi="Arial" w:eastAsia="Arial" w:cs="Arial"/>
          <w:b/>
          <w:bCs/>
          <w:color w:val="ff0000"/>
          <w:sz w:val="24"/>
          <w:szCs w:val="24"/>
          <w:highlight w:val="none"/>
          <w:lang w:val="en-US" w:eastAsia="zh-CN" w:bidi="ar-SA"/>
        </w:rPr>
      </w:pPr>
      <w:r>
        <w:rPr>
          <w:rFonts w:hint="eastAsia" w:ascii="Arial" w:hAnsi="Arial" w:eastAsia="Arial" w:cs="Arial"/>
          <w:b/>
          <w:bCs/>
          <w:color w:val="ff0000"/>
          <w:sz w:val="24"/>
          <w:szCs w:val="24"/>
          <w:highlight w:val="none"/>
          <w:lang w:val="en-US" w:eastAsia="zh-CN" w:bidi="ar-SA"/>
        </w:rPr>
        <w:t xml:space="preserve">（十六）付款方式及履约保证金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u w:val="none"/>
        </w:rPr>
      </w:pPr>
      <w:r>
        <w:rPr>
          <w:rFonts w:hint="eastAsia" w:asciiTheme="majorEastAsia" w:hAnsiTheme="majorEastAsia" w:eastAsiaTheme="majorEastAsia" w:cstheme="majorEastAsia"/>
          <w:b/>
          <w:bCs/>
          <w:color w:val="ff0000"/>
          <w:sz w:val="24"/>
          <w:szCs w:val="24"/>
          <w:highlight w:val="none"/>
        </w:rPr>
        <w:t xml:space="preserve">付款方式：</w:t>
      </w:r>
      <w:r>
        <w:rPr>
          <w:rFonts w:hint="eastAsia" w:asciiTheme="majorEastAsia" w:hAnsiTheme="majorEastAsia" w:eastAsiaTheme="majorEastAsia" w:cstheme="majorEastAsia"/>
          <w:b/>
          <w:bCs/>
          <w:color w:val="ff0000"/>
          <w:sz w:val="24"/>
          <w:szCs w:val="24"/>
          <w:highlight w:val="none"/>
          <w:u w:val="single"/>
        </w:rPr>
        <w:t xml:space="preserve">合同签订后，每家</w:t>
      </w:r>
      <w:r>
        <w:rPr>
          <w:rFonts w:hint="eastAsia" w:asciiTheme="majorEastAsia" w:hAnsiTheme="majorEastAsia" w:eastAsiaTheme="majorEastAsia" w:cstheme="majorEastAsia"/>
          <w:b/>
          <w:bCs/>
          <w:color w:val="ff0000"/>
          <w:sz w:val="24"/>
          <w:szCs w:val="24"/>
          <w:highlight w:val="none"/>
          <w:u w:val="single"/>
          <w:lang w:val="en-US" w:eastAsia="zh-CN"/>
        </w:rPr>
        <w:t xml:space="preserve">医疗</w:t>
      </w:r>
      <w:r>
        <w:rPr>
          <w:rFonts w:hint="eastAsia" w:asciiTheme="majorEastAsia" w:hAnsiTheme="majorEastAsia" w:eastAsiaTheme="majorEastAsia" w:cstheme="majorEastAsia"/>
          <w:b/>
          <w:bCs/>
          <w:color w:val="ff0000"/>
          <w:sz w:val="24"/>
          <w:szCs w:val="24"/>
          <w:highlight w:val="none"/>
          <w:u w:val="single"/>
        </w:rPr>
        <w:t xml:space="preserve">机构的保险期限，对接</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按照</w:t>
      </w:r>
      <w:r>
        <w:rPr>
          <w:rFonts w:hint="eastAsia" w:asciiTheme="majorEastAsia" w:hAnsiTheme="majorEastAsia" w:eastAsiaTheme="majorEastAsia" w:cstheme="majorEastAsia"/>
          <w:b/>
          <w:bCs/>
          <w:color w:val="ff0000"/>
          <w:sz w:val="24"/>
          <w:szCs w:val="24"/>
          <w:highlight w:val="none"/>
          <w:u w:val="single"/>
          <w:lang w:val="en-US" w:eastAsia="zh-CN" w:bidi="ar-SA"/>
        </w:rPr>
        <w:t xml:space="preserve">首席保险人报价</w:t>
      </w:r>
      <w:r>
        <w:rPr>
          <w:rFonts w:hint="eastAsia" w:asciiTheme="majorEastAsia" w:hAnsiTheme="majorEastAsia" w:eastAsiaTheme="majorEastAsia" w:cstheme="majorEastAsia"/>
          <w:b/>
          <w:bCs/>
          <w:color w:val="ff0000"/>
          <w:sz w:val="24"/>
          <w:szCs w:val="24"/>
          <w:highlight w:val="none"/>
          <w:u w:val="single"/>
        </w:rPr>
        <w:t xml:space="preserve">费率出投保单，各</w:t>
      </w:r>
      <w:r>
        <w:rPr>
          <w:rFonts w:hint="eastAsia" w:asciiTheme="majorEastAsia" w:hAnsiTheme="majorEastAsia" w:eastAsiaTheme="majorEastAsia" w:cstheme="majorEastAsia"/>
          <w:b/>
          <w:bCs/>
          <w:color w:val="ff0000"/>
          <w:sz w:val="24"/>
          <w:szCs w:val="24"/>
          <w:highlight w:val="none"/>
          <w:u w:val="single"/>
          <w:lang w:val="en-US" w:eastAsia="zh-CN"/>
        </w:rPr>
        <w:t xml:space="preserve">医疗</w:t>
      </w:r>
      <w:r>
        <w:rPr>
          <w:rFonts w:hint="eastAsia" w:asciiTheme="majorEastAsia" w:hAnsiTheme="majorEastAsia" w:eastAsiaTheme="majorEastAsia" w:cstheme="majorEastAsia"/>
          <w:b/>
          <w:bCs/>
          <w:color w:val="ff0000"/>
          <w:sz w:val="24"/>
          <w:szCs w:val="24"/>
          <w:highlight w:val="none"/>
          <w:u w:val="single"/>
        </w:rPr>
        <w:t xml:space="preserve">机构确认无误后用印付款给</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，然后</w:t>
      </w:r>
      <w:r>
        <w:rPr>
          <w:rFonts w:hint="eastAsia" w:asciiTheme="majorEastAsia" w:hAnsiTheme="majorEastAsia" w:eastAsiaTheme="majorEastAsia" w:cstheme="majorEastAsia"/>
          <w:b/>
          <w:bCs/>
          <w:color w:val="ff0000"/>
          <w:sz w:val="24"/>
          <w:szCs w:val="24"/>
          <w:highlight w:val="none"/>
          <w:u w:val="single"/>
          <w:lang w:val="en-US" w:eastAsia="zh-CN"/>
        </w:rPr>
        <w:t xml:space="preserve">乙方</w:t>
      </w:r>
      <w:r>
        <w:rPr>
          <w:rFonts w:hint="eastAsia" w:asciiTheme="majorEastAsia" w:hAnsiTheme="majorEastAsia" w:eastAsiaTheme="majorEastAsia" w:cstheme="majorEastAsia"/>
          <w:b/>
          <w:bCs/>
          <w:color w:val="ff0000"/>
          <w:sz w:val="24"/>
          <w:szCs w:val="24"/>
          <w:highlight w:val="none"/>
          <w:u w:val="single"/>
        </w:rPr>
        <w:t xml:space="preserve">对应出具保险合同和发票</w:t>
      </w:r>
      <w:r>
        <w:rPr>
          <w:rFonts w:hint="eastAsia" w:asciiTheme="majorEastAsia" w:hAnsiTheme="majorEastAsia" w:eastAsiaTheme="majorEastAsia" w:cstheme="majorEastAsia"/>
          <w:b/>
          <w:bCs/>
          <w:color w:val="ff0000"/>
          <w:sz w:val="24"/>
          <w:szCs w:val="24"/>
          <w:highlight w:val="none"/>
          <w:u w:val="none"/>
        </w:rPr>
        <w:t xml:space="preserve">。</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eastAsia="zh-CN"/>
        </w:rPr>
      </w:pPr>
      <w:r>
        <w:rPr>
          <w:rFonts w:hint="eastAsia" w:asciiTheme="majorEastAsia" w:hAnsiTheme="majorEastAsia" w:eastAsiaTheme="majorEastAsia" w:cstheme="majorEastAsia"/>
          <w:b/>
          <w:bCs/>
          <w:color w:val="ff0000"/>
          <w:sz w:val="24"/>
          <w:szCs w:val="24"/>
          <w:highlight w:val="none"/>
          <w:u w:val="none"/>
        </w:rPr>
        <w:t xml:space="preserve">注:</w:t>
      </w:r>
      <w:r>
        <w:rPr>
          <w:rFonts w:hint="eastAsia" w:asciiTheme="majorEastAsia" w:hAnsiTheme="majorEastAsia" w:eastAsiaTheme="majorEastAsia" w:cstheme="majorEastAsia"/>
          <w:b/>
          <w:bCs/>
          <w:color w:val="ff0000"/>
          <w:sz w:val="24"/>
          <w:szCs w:val="24"/>
          <w:highlight w:val="none"/>
          <w:u w:val="single"/>
        </w:rPr>
        <w:t xml:space="preserve">签订合同时，甲方无需向乙方一次性付清保险费用。具体付款由甲方与乙方根据实际投保期限情况，逐一付费出单</w:t>
      </w:r>
      <w:r>
        <w:rPr>
          <w:rFonts w:hint="eastAsia" w:asciiTheme="majorEastAsia" w:hAnsiTheme="majorEastAsia" w:eastAsiaTheme="majorEastAsia" w:cstheme="majorEastAsia"/>
          <w:b/>
          <w:bCs/>
          <w:color w:val="ff0000"/>
          <w:sz w:val="24"/>
          <w:szCs w:val="24"/>
          <w:highlight w:val="none"/>
          <w:u w:val="none"/>
        </w:rPr>
        <w:t xml:space="preserve">。</w:t>
      </w:r>
      <w:r/>
    </w:p>
    <w:p>
      <w:pPr>
        <w:ind w:firstLine="482"/>
        <w:keepLines w:val="0"/>
        <w:keepNext w:val="0"/>
        <w:pageBreakBefore w:val="0"/>
        <w:spacing w:line="460" w:lineRule="exact"/>
        <w:widowControl w:val="off"/>
        <w:rPr>
          <w:rFonts w:hint="eastAsia" w:ascii="宋体" w:hAnsi="宋体" w:eastAsia="宋体" w:cs="宋体"/>
          <w:b/>
          <w:bCs/>
          <w:color w:val="ff0000"/>
        </w:rPr>
      </w:pPr>
      <w:r>
        <w:rPr>
          <w:rFonts w:hint="eastAsia" w:asciiTheme="majorEastAsia" w:hAnsiTheme="majorEastAsia" w:eastAsiaTheme="majorEastAsia" w:cstheme="majorEastAsia"/>
          <w:b/>
          <w:bCs/>
          <w:color w:val="ff0000"/>
          <w:sz w:val="24"/>
          <w:szCs w:val="24"/>
          <w:highlight w:val="none"/>
          <w:lang w:eastAsia="zh-CN"/>
        </w:rPr>
        <w:t xml:space="preserve">注：</w:t>
      </w:r>
      <w:r>
        <w:rPr>
          <w:rFonts w:hint="eastAsia" w:asciiTheme="majorEastAsia" w:hAnsiTheme="majorEastAsia" w:eastAsiaTheme="majorEastAsia" w:cstheme="majorEastAsia"/>
          <w:b/>
          <w:bCs/>
          <w:color w:val="ff0000"/>
          <w:sz w:val="24"/>
          <w:szCs w:val="24"/>
          <w:highlight w:val="none"/>
          <w:lang w:val="en-US" w:eastAsia="zh-CN"/>
        </w:rPr>
        <w:t xml:space="preserve">签订合同时</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，预付款支付比例：合同金额的</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30</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w:t>
      </w:r>
      <w:r>
        <w:rPr>
          <w:rFonts w:hint="eastAsia" w:ascii="宋体" w:hAnsi="宋体" w:eastAsia="宋体" w:cs="宋体"/>
          <w:b/>
          <w:bCs/>
          <w:color w:val="ff0000"/>
          <w:sz w:val="24"/>
        </w:rPr>
        <w:t xml:space="preserve">在签订合同时，</w:t>
      </w:r>
      <w:r>
        <w:rPr>
          <w:rFonts w:hint="eastAsia" w:ascii="宋体" w:hAnsi="宋体" w:cs="宋体"/>
          <w:b/>
          <w:bCs/>
          <w:color w:val="ff0000"/>
          <w:sz w:val="24"/>
          <w:lang w:val="en-US" w:eastAsia="zh-CN"/>
        </w:rPr>
        <w:t xml:space="preserve">乙方</w:t>
      </w:r>
      <w:r>
        <w:rPr>
          <w:rFonts w:hint="eastAsia" w:ascii="宋体" w:hAnsi="宋体" w:eastAsia="宋体" w:cs="宋体"/>
          <w:b/>
          <w:bCs/>
          <w:color w:val="ff0000"/>
          <w:sz w:val="24"/>
        </w:rPr>
        <w:t xml:space="preserve">明确书面表示无需预付款或者主动要求降低预付款比例的，</w:t>
      </w:r>
      <w:r>
        <w:rPr>
          <w:rFonts w:hint="eastAsia" w:ascii="宋体" w:hAnsi="宋体" w:cs="宋体"/>
          <w:b/>
          <w:bCs/>
          <w:color w:val="ff0000"/>
          <w:sz w:val="24"/>
          <w:lang w:val="en-US" w:eastAsia="zh-CN"/>
        </w:rPr>
        <w:t xml:space="preserve">甲方</w:t>
      </w:r>
      <w:r>
        <w:rPr>
          <w:rFonts w:hint="eastAsia" w:ascii="宋体" w:hAnsi="宋体" w:eastAsia="宋体" w:cs="宋体"/>
          <w:b/>
          <w:bCs/>
          <w:color w:val="ff0000"/>
          <w:sz w:val="24"/>
        </w:rPr>
        <w:t xml:space="preserve">可就预付款比例作相应调整。</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具体付款由</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甲方</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与</w:t>
      </w:r>
      <w:r>
        <w:rPr>
          <w:rFonts w:hint="eastAsia" w:asciiTheme="majorEastAsia" w:hAnsiTheme="majorEastAsia" w:eastAsiaTheme="majorEastAsia" w:cstheme="majorEastAsia"/>
          <w:b/>
          <w:bCs/>
          <w:color w:val="ff0000"/>
          <w:sz w:val="24"/>
          <w:szCs w:val="24"/>
          <w:highlight w:val="none"/>
          <w:shd w:val="clear" w:color="auto" w:fill="auto"/>
          <w:lang w:val="en-US" w:eastAsia="zh-CN"/>
        </w:rPr>
        <w:t xml:space="preserve">乙方</w:t>
      </w:r>
      <w:r>
        <w:rPr>
          <w:rFonts w:hint="eastAsia" w:asciiTheme="majorEastAsia" w:hAnsiTheme="majorEastAsia" w:eastAsiaTheme="majorEastAsia" w:cstheme="majorEastAsia"/>
          <w:b/>
          <w:bCs/>
          <w:color w:val="ff0000"/>
          <w:sz w:val="24"/>
          <w:szCs w:val="24"/>
          <w:highlight w:val="none"/>
          <w:shd w:val="clear" w:color="auto" w:fill="auto"/>
          <w:lang w:eastAsia="zh-CN"/>
        </w:rPr>
        <w:t xml:space="preserve">根据实际情况协商一致在合同中作说明。</w:t>
      </w:r>
      <w:r/>
    </w:p>
    <w:p>
      <w:pPr>
        <w:ind w:firstLine="723"/>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rPr>
      </w:pPr>
      <w:r>
        <w:rPr>
          <w:rFonts w:hint="eastAsia" w:asciiTheme="majorEastAsia" w:hAnsiTheme="majorEastAsia" w:eastAsiaTheme="majorEastAsia" w:cstheme="majorEastAsia"/>
          <w:b/>
          <w:bCs/>
          <w:color w:val="ff0000"/>
          <w:sz w:val="24"/>
          <w:szCs w:val="24"/>
          <w:highlight w:val="none"/>
        </w:rPr>
        <w:t xml:space="preserve">关于履约保证金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1.履约保证金的缴纳金额</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签订合同前，乙方须按甲方要求缴纳含税保费的10%作为履约保证金（按四舍五入取整到个位）。甲方应当对AA评级及以上政府采购供应商（需提供信用管理部门备案的第三方信用报告）免收履约保证金或降低履约保证金缴纳比例。</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2.履约保证金的缴纳形式</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2.2如以履约保函（保险）形式缴纳履约保证金，供应商可通过政府采购电子履约保函（保险）平台（www.jsdzbh.com）在线申请履约保函（保险）。</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3.履约保证金的退还</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3.1方式：无息退还至乙方缴纳履约保证金的账户。如为保函，在到期时自行失效。</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3.2时间：本项目履约保证金在所有案件全部理赔结束后无息退回。</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3.3条件：确实履行服务职责，甲方认可。</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3.4不予退还情形</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除不可抗力情况外，乙方出现下列情形之一的，其履约保证金，甲方将视情节决定不予退还或部分不予退还。</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（1）乙方无正当理由拒绝签订合同的，或者在签订合同时向甲方提出附加条件或者更改合同实质性内容要求的；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（2）乙方不履行与甲方订立的合同的；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（3）乙方所供货物或服务不符合磋商文件规定要求的；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（4）乙方采取欺骗、弄虚作假方式投标的或与其他投标人串通投标的；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（5）乙方将合同内容转包、违法分包的；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（6）乙方故意捏造事实或伪造证明材料，进行虚假恶意投诉或反映的。</w:t>
      </w:r>
      <w:r/>
    </w:p>
    <w:p>
      <w:pPr>
        <w:ind w:firstLine="482"/>
        <w:keepLines w:val="0"/>
        <w:keepNext w:val="0"/>
        <w:pageBreakBefore w:val="0"/>
        <w:spacing w:line="460" w:lineRule="exact"/>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3.5逾期退还的违约责任：甲方逾期无故未退还履约保证金的，按中国人民银行同期贷款基准利率上浮20%后的利率支付超期资金占用费，但因供应商自身原因导致无法及时退还的除外。</w:t>
      </w:r>
      <w:r/>
    </w:p>
    <w:p>
      <w:pPr>
        <w:keepLines w:val="0"/>
        <w:keepNext w:val="0"/>
        <w:pageBreakBefore w:val="0"/>
        <w:spacing w:line="400" w:lineRule="exact"/>
        <w:rPr>
          <w:rFonts w:ascii="宋体" w:hAnsi="宋体" w:eastAsia="宋体" w:cs="宋体"/>
          <w:b/>
          <w:bCs/>
          <w:color w:val="ff0000"/>
          <w:sz w:val="24"/>
          <w:szCs w:val="24"/>
        </w:rPr>
      </w:pPr>
      <w:r>
        <w:rPr>
          <w:rFonts w:ascii="宋体" w:hAnsi="宋体" w:eastAsia="宋体" w:cs="宋体"/>
          <w:b/>
          <w:bCs/>
          <w:color w:val="ff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第三部分 工作机制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一、本产品领导小组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本产品领导小组由双方相关领导共同组成，领导小组人员建立联席会议制度，定期召开联席会议，协调解决工作中存在的问题，落实各项具体工作。领导小组人员名单如下：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60"/>
        <w:gridCol w:w="1264"/>
        <w:gridCol w:w="3198"/>
        <w:gridCol w:w="2562"/>
      </w:tblGrid>
      <w:tr>
        <w:trPr>
          <w:trHeight w:val="555"/>
        </w:trPr>
        <w:tc>
          <w:tcPr>
            <w:shd w:val="clear" w:color="auto" w:fill="fef2cb"/>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61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55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585"/>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600"/>
        </w:trPr>
        <w:tc>
          <w:tcPr>
            <w:tcW w:w="1047"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71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799"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441"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1、至少每半年召开一次联席会议，通报工作情况，及时解决工作中遇到的困难和问题；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2、负责重大事项的决策及协调处理；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3、负责运作机制的决策。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工作小组成员包括双方相关人员。工作小组人员名单如下：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288"/>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21"/>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46"/>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01"/>
        </w:trPr>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工作小组在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设立工作办公室，工作小组具体工作内容包括：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1、接受各方对工作中主要问题的反馈，协商处理办法；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2、组织工作领导小组相关会议和活动；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3、配合、协助领导小组的工作。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如上述人员变更调整，需以联席会议确定报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备案进行变更。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赔处中心小组成员包括双方相关人员。赔处中心人员名单如下：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362"/>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29"/>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79"/>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93"/>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设立办公室，主要工作内容包括：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1、配合医疗纠纷调解组织做好纠纷调解工作；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2、配合医疗机构做好案件索赔工作；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3、配合、协助领导小组的工作。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四、风险预防服务中心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风险预防服务中心成员由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相关人员组成。风险预防服务中心名单如下：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（一）人员构成</w:t>
      </w:r>
      <w:r/>
    </w:p>
    <w:tbl>
      <w:tblPr>
        <w:tblStyle w:val="1052"/>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83"/>
        <w:gridCol w:w="1184"/>
        <w:gridCol w:w="4739"/>
        <w:gridCol w:w="1778"/>
      </w:tblGrid>
      <w:tr>
        <w:trPr>
          <w:trHeight w:val="361"/>
        </w:trPr>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fef2cb"/>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姓名</w:t>
            </w:r>
            <w:r/>
          </w:p>
        </w:tc>
        <w:tc>
          <w:tcPr>
            <w:shd w:val="clear" w:color="auto" w:fill="fef2cb"/>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单位及职务</w:t>
            </w:r>
            <w:r/>
          </w:p>
        </w:tc>
        <w:tc>
          <w:tcPr>
            <w:shd w:val="clear" w:color="auto" w:fill="fef2cb"/>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联系方式</w:t>
            </w:r>
            <w:r/>
          </w:p>
        </w:tc>
      </w:tr>
      <w:tr>
        <w:trPr>
          <w:trHeight w:val="353"/>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20"/>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副组长</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37"/>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58"/>
        </w:trPr>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成员</w:t>
            </w:r>
            <w:r/>
          </w:p>
        </w:tc>
        <w:tc>
          <w:tcPr>
            <w:shd w:val="clear" w:color="auto" w:fill="auto"/>
            <w:tcW w:w="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666"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1000" w:type="pct"/>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风险预防服务中心在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设立办公室，主要工作内容包括：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1、协助医疗机构加强安全管理、促进医疗服务质量提升；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2、配合医疗机构防范医疗风险，减少医疗纠纷；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3、配合、协助工作领导小组的工作。</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第四部分 保险产品及承保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一、保险产品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本协议涉及的保险产品包括但不限于保险方案、费率机制、保险条款等，以招标文件、供应方参与该采购产品提交的响应文件以及最终的采购结果为准。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供应方提供给投保人/被保险人的投保单以及保险单所列明的有关保险方案、费率机制、保险条款等内容，与通过滨海县医疗机构医疗责任保险示范产品招标文件采购确定的保险产品内容，应当保持一致。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（一）本产品各险种保险方案及费率机制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1、医疗机构医疗责任保险，保险方案及费率机制详见附件。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2、医疗机构公众责任保险，保险方案及费率机制详见附件。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（二）调整及优化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1、费率整体调整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组织相关专家对本产品的费率机制进行评估，根据市场情况、各方商讨结果，制定更合理的费率条件。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2、费率个体调整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在本产品运行过程中，经本产品采购协议签署各方同意，可以对部分医疗机构的保费水平进行适当的调整。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3、保险方案整体优化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可组织相关专家对本产品的保险方案及条款进行评估，吸收借鉴市场上出现的更优保障条件。各方同意，每年可由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发起，根据各方商讨结果对保险方案及条款修订一次。根据修订结果，供应方应按</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的相关要求，及时向财产公司备案产品自主注册平台注册修订后的条款。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4、保险方案个体优化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在本产品运行过程中，经本协议各方同意，可以对部分医疗机构的保险方案进行适当的调整。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二、承保份额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为增强各供应方承保能力，分担承保风险，双方特明确如下承保份额：</w:t>
      </w:r>
      <w:r/>
    </w:p>
    <w:tbl>
      <w:tblPr>
        <w:tblStyle w:val="1052"/>
        <w:tblW w:w="9226" w:type="dxa"/>
        <w:tblInd w:w="-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20"/>
        <w:gridCol w:w="2706"/>
      </w:tblGrid>
      <w:tr>
        <w:trPr>
          <w:trHeight w:val="361"/>
        </w:trPr>
        <w:tc>
          <w:tcPr>
            <w:shd w:val="clear" w:color="auto" w:fill="fef2cb"/>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供应方成员</w:t>
            </w:r>
            <w:r/>
          </w:p>
        </w:tc>
        <w:tc>
          <w:tcPr>
            <w:shd w:val="clear" w:color="auto" w:fill="fef2cb"/>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承保份额</w:t>
            </w:r>
            <w:r/>
          </w:p>
        </w:tc>
      </w:tr>
      <w:tr>
        <w:trPr>
          <w:trHeight w:val="269"/>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44"/>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302"/>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69"/>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r>
        <w:trPr>
          <w:trHeight w:val="232"/>
        </w:trPr>
        <w:tc>
          <w:tcPr>
            <w:shd w:val="clear" w:color="auto" w:fill="auto"/>
            <w:tcW w:w="6520"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（表格可扩展）</w:t>
            </w:r>
            <w:r/>
          </w:p>
        </w:tc>
        <w:tc>
          <w:tcPr>
            <w:shd w:val="clear" w:color="auto" w:fill="auto"/>
            <w:tcW w:w="2706" w:type="dxa"/>
            <w:vAlign w:val="center"/>
            <w:textDirection w:val="lrTb"/>
            <w:noWrap w:val="false"/>
          </w:tcPr>
          <w:p>
            <w:pPr>
              <w:jc w:val="center"/>
              <w:keepLines w:val="0"/>
              <w:keepNext w:val="0"/>
              <w:pageBreakBefore w:val="0"/>
              <w:spacing w:line="400" w:lineRule="exact"/>
              <w:rPr>
                <w:rFonts w:ascii="Calibri" w:hAnsi="Calibri" w:eastAsia="宋体"/>
                <w:b/>
                <w:bCs/>
                <w:sz w:val="24"/>
                <w:szCs w:val="24"/>
              </w:rPr>
            </w:pPr>
            <w:r>
              <w:rPr>
                <w:rFonts w:ascii="Calibri" w:hAnsi="Calibri" w:eastAsia="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承保份额只适用于示范产品，不适用于示范产品以外的其他产品。承保份额根据各公司服务情况以产品年度为周期动态调整。示范产品各成员均可负责出单工作。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（一）出单公司按供应方其他成员份额保费（价税合计）的</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收取出单费。出单公司在每次保费清分完成后向供应方其他成员发出书面支付通知书，供应方其他成员在接到出单公司发出的支付通知书后及时在共保协议约定的时间内向其指定账户结转相应费用。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（二）各供应商应按照出单公司发送的赔款分摊、出单费等费用的结算通知书，及时按照共保协议约定的时间将以上各项费用划转、结清，不得以其他原因为由拖延各项费用的结算。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三、供应商调整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（一）供应商成员的退出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如供应方某一成员在本协议有效期内要求退出示范产品，须提前三个月通知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，如</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未能在三个月内将该成员的份额分配给其他成员，则该供应方成员须继续履行本协。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（二）若其他成员按照本协议约定新加入本产品或退出本产品或由于符合本协议约定的其他事项导致原供应方成员各</w:t>
      </w:r>
      <w:r>
        <w:rPr>
          <w:rFonts w:hint="eastAsia" w:ascii="宋体" w:hAnsi="宋体" w:eastAsia="宋体" w:cs="宋体"/>
          <w:color w:val="000000"/>
          <w:sz w:val="24"/>
          <w:szCs w:val="24"/>
        </w:rPr>
        <w:t xml:space="preserve">自的承保份额划分发生变更，则供应方由各自承保份额划分发生变更的新成员共同组成。针对医疗机构医疗责任保险，对于索赔时间（即患者或其近亲属或其代理人首次向医疗机构提出赔偿请求的时间，含发现期。下同）在原供应方成员承保期间（即出单日期在份额调整之前，属于原供应方成员承保期间）的保险事故，则原供应方成员仍按原供应方成员各自的承保份额进行赔偿；对于索赔时间在新成员承保期间（即出单日期在份额调整之后，属于新成员的承保期间）的保险事故（无论该保险事故是否发生在新承保组成之后），供应方成员按照新成员各自的承保份额进行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四、产品营销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负责本产品相关保险产品的营销及推广，供应方配合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开展相关工作。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营销及推广的涉及本产品的相关保险产品，需按照本协议约定的承保份额，由供应方共同承保。如有特殊情况，需双方进行友好协商，确定最终承保方案。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五、其他</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根据投保人的需求，协助投保人投保本产品所涉及的各类保险险种，供应方按份额承保。供应方应配合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完成信息系统对接。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有权向供应方收取保险经纪佣金。具体工作流程详见附件。</w:t>
      </w:r>
      <w:r/>
    </w:p>
    <w:p>
      <w:pPr>
        <w:pStyle w:val="945"/>
        <w:keepLines w:val="0"/>
        <w:keepNext w:val="0"/>
        <w:pageBreakBefore w:val="0"/>
        <w:spacing w:line="400" w:lineRule="exact"/>
      </w:pPr>
      <w:r/>
      <w:r/>
    </w:p>
    <w:p>
      <w:pPr>
        <w:numPr>
          <w:ilvl w:val="0"/>
          <w:numId w:val="6"/>
        </w:numPr>
        <w:jc w:val="center"/>
        <w:keepLines w:val="0"/>
        <w:keepNext w:val="0"/>
        <w:pageBreakBefore w:val="0"/>
        <w:spacing w:line="400" w:lineRule="exact"/>
        <w:rPr>
          <w:rFonts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医疗安全风险预防</w:t>
      </w:r>
      <w:r/>
    </w:p>
    <w:p>
      <w:pPr>
        <w:numPr>
          <w:ilvl w:val="255"/>
          <w:numId w:val="0"/>
        </w:numPr>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一、内容</w:t>
      </w:r>
      <w:r/>
    </w:p>
    <w:p>
      <w:pPr>
        <w:ind w:firstLine="482"/>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lang w:eastAsia="zh-CN"/>
        </w:rPr>
        <w:t xml:space="preserve">招标方</w:t>
      </w:r>
      <w:r>
        <w:rPr>
          <w:rFonts w:hint="eastAsia" w:ascii="宋体" w:hAnsi="宋体" w:eastAsia="宋体" w:cs="宋体"/>
          <w:b/>
          <w:bCs/>
          <w:color w:val="000000"/>
          <w:sz w:val="24"/>
          <w:szCs w:val="24"/>
        </w:rPr>
        <w:t xml:space="preserve">应负责举办保险知识和风险管理培训以提高参保医疗机构相关人员的风险防范能力，具体培训举办时间和地点由双方协商确定。</w:t>
      </w:r>
      <w:r/>
    </w:p>
    <w:p>
      <w:pPr>
        <w:jc w:val="left"/>
        <w:keepLines w:val="0"/>
        <w:keepNext w:val="0"/>
        <w:pageBreakBefore w:val="0"/>
        <w:spacing w:line="400" w:lineRule="exact"/>
        <w:rPr>
          <w:rFonts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二、实施主体</w:t>
      </w:r>
      <w:r/>
    </w:p>
    <w:p>
      <w:pPr>
        <w:ind w:firstLine="482"/>
        <w:jc w:val="left"/>
        <w:keepLines w:val="0"/>
        <w:keepNext w:val="0"/>
        <w:pageBreakBefore w:val="0"/>
        <w:spacing w:line="400" w:lineRule="exact"/>
        <w:rPr>
          <w:rFonts w:hint="default"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eastAsia="zh-CN"/>
        </w:rPr>
        <w:t xml:space="preserve">招标方</w:t>
      </w:r>
      <w:r>
        <w:rPr>
          <w:rFonts w:hint="eastAsia" w:ascii="宋体" w:hAnsi="宋体" w:eastAsia="宋体" w:cs="宋体"/>
          <w:b/>
          <w:bCs/>
          <w:color w:val="000000"/>
          <w:sz w:val="24"/>
          <w:szCs w:val="24"/>
        </w:rPr>
        <w:t xml:space="preserve">作为本项工作实施主体，按照本协议的约定设立运行“滨海县医疗安全与风险预防服务中心”，通过风险管控服务，协助医院加强安全管理、促进医疗服务质量提升，防范医疗风险，减少医疗纠纷。</w:t>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第六部分 人民调解与案件处理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一、人民调解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（一）人民调解组织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负责依照《人民调解法》等相关法律法规的规定，向产品所在地司法行政部门备案成立医疗纠纷调解组织。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（二）运行机制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负责保障“滨海县医疗纠纷调解组织”的日常运营，包括费用保障、后勤保障、调解服务网络、调解队伍建设、对外宣传、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信息技术支持以及运营风险控制。</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依照相关法律法规聘用调解员，建立和完善调解程序，接受社会各界监督，定期向产品所在地司法行政部门汇报并接受其业务指导。</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（一）接报案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1、被保险人通过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应及时向供应方出单公司转报案，</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提供专线报案电话：400-616-8811。</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2、被保险人向供应方报案的，供应方应及时将报案信息反馈至滨海县医疗机构医疗责任保险示范产品赔处中心。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3、以下情况，供应方应视同为及时报案：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（1）对于可从公共媒体包括电视台、权威互联网站等其他途径已经及时知道或者应当及时知道保险事故发生的；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（2）如因不可抗力因素无法及时报案，供应方认可被保险人及滨海县医疗机构医疗责任保险示范产品赔偿处理中心事后出具的书面说明，并视同为及时报案予以受理；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（3）供应方认可被保险人说明合理原因的未及时报案。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供应方应为参与本产品的被保险人提供本协议约定的理赔服务，履行《滨海县医疗机构医疗责任保险示范产品保险案件赔偿处理办法》 的相关规定，《滨海县医疗机构医疗责任保险示范产品保险案件赔偿处理办法》详见附件。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1、供应方认可本协议约定或联席会议决议通过的赔偿标准、索赔材料范围，并据此进行理赔和赔款摊回工作。</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2、供应方在本协议约定时限内完成赔款划付和赔款摊回工作，保证本产品的顺利进行。</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3、供应方出单公司不得以以往已决案件由于供应方共同承保人尚未支付应摊回赔款而拒绝支付新结案的赔款支付。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 确定患者残疾级别，出具伤残等级认定意见，供应方不再索要患者残疾程度证明。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（三）赔偿依据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认可并执行赔处中心出具的《滨海县医疗机构医疗责任保险示范产品赔款支付通知书》，将符合本协议相关约定的医患双方自行和解协议书、医疗纠纷调解组织主持签订的调解协议书、卫生行政部门出具的行政调解书、人民法院出具的民事调解书或判决书作为供应方赔偿的依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（四）赔款支付注意事项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1、供应方出单公司不得以需要征询供应方共同承保人意见为由影响支付赔款时效。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同意，除另有约定外，供应方出单公司在接到赔处中心出具的《滨海县医疗机构医疗责任保险示范产品赔款支付通知书》及按照协议约定收集的索赔材料后，按照以下时限向被保险人、受益人或第三者支付赔款：</w:t>
      </w:r>
      <w:r/>
    </w:p>
    <w:tbl>
      <w:tblPr>
        <w:tblStyle w:val="1052"/>
        <w:tblW w:w="9191"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4819"/>
        <w:gridCol w:w="3522"/>
      </w:tblGrid>
      <w:tr>
        <w:trPr>
          <w:trHeight w:val="341"/>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赔款金额</w:t>
            </w:r>
            <w:r/>
          </w:p>
        </w:tc>
        <w:tc>
          <w:tcPr>
            <w:shd w:val="clear" w:color="auto" w:fill="fef2cb"/>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赔付时效</w:t>
            </w:r>
            <w:r/>
          </w:p>
        </w:tc>
      </w:tr>
      <w:tr>
        <w:trPr>
          <w:trHeight w:val="408"/>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赔款金额≤RMB5000元</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3个工作日内支付</w:t>
            </w:r>
            <w:r/>
          </w:p>
        </w:tc>
      </w:tr>
      <w:tr>
        <w:trPr>
          <w:trHeight w:val="267"/>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RMB5000元＜赔款金额≤RMB50000元</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5个工作日内支付</w:t>
            </w:r>
            <w:r/>
          </w:p>
        </w:tc>
      </w:tr>
      <w:tr>
        <w:trPr>
          <w:trHeight w:val="355"/>
        </w:trPr>
        <w:tc>
          <w:tcPr>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481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RMB50000元＜赔款金额</w:t>
            </w:r>
            <w:r/>
          </w:p>
        </w:tc>
        <w:tc>
          <w:tcPr>
            <w:tcW w:w="352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个工作日内支付</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3、供应方出单公司每月初的前5个工作日与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核对本产品案件处理情况，就具体案件数量、已赔款金额、未决金额、索赔材料等内容进行沟通，双方以书面形式确认。</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4、如供应方出单公司未按约定时间支付赔款，则应按照实际拖延天数向相关的被保险人支付违约金，违约金为应付赔款金额按实际违约天数所计算的利息（利率按1年期银行定期存款利率计）。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（五）绿色通道</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对属于保险责任事故的医疗纠纷且和解金额</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,000元（含）以下的案件，经上报医调委同意后，三级、二级医疗机构可采用自行和解处理，自行与患者达成和解赔偿协议，但每家三级医疗机构每年采用本程序处理的案件的次数不得超过</w:t>
      </w:r>
      <w:r>
        <w:rPr>
          <w:rFonts w:hint="eastAsia" w:ascii="宋体" w:hAnsi="宋体" w:eastAsia="宋体" w:cs="宋体"/>
          <w:color w:val="000000"/>
          <w:sz w:val="24"/>
          <w:szCs w:val="24"/>
          <w:lang w:val="en-US" w:eastAsia="zh-CN"/>
        </w:rPr>
        <w:t xml:space="preserve">10次</w:t>
      </w:r>
      <w:r>
        <w:rPr>
          <w:rFonts w:hint="eastAsia" w:ascii="宋体" w:hAnsi="宋体" w:eastAsia="宋体" w:cs="宋体"/>
          <w:color w:val="000000"/>
          <w:sz w:val="24"/>
          <w:szCs w:val="24"/>
        </w:rPr>
        <w:t xml:space="preserve">，每家二级医疗机构每年不超过</w:t>
      </w:r>
      <w:r>
        <w:rPr>
          <w:rFonts w:hint="eastAsia" w:ascii="宋体" w:hAnsi="宋体" w:eastAsia="宋体" w:cs="宋体"/>
          <w:color w:val="000000"/>
          <w:sz w:val="24"/>
          <w:szCs w:val="24"/>
          <w:lang w:val="en-US" w:eastAsia="zh-CN"/>
        </w:rPr>
        <w:t xml:space="preserve">5次</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第七部分 保险供应服务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及参与示范产品的医疗机构提供以下服务，包括成立专项服务人员工作小组、提供防灾防损、定期提供理赔统计报表等相关理赔服务、内部服务指导范本和内部培训的实施等内容。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（一）供应方设立服务工作小组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供应方滨海县分公司应成立滨海县医疗责任保险示范产品专项领导小组和滨海县医疗责任保险示范产品专项工作小组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1、滨海县医疗责任保险示范产品专项领导小组的设立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专项领导小组在保险协议签署后投入管理运作，负责协议中各项内容的组织、实施及总体管理。小组主要成员包括组长、日常联系人和组员，小组组长由供应方滨海县分公司负责管理示范产品的高级管理人员担任，负责参与决策工作中的要事；日常联系人为负责示范产品推行的部门级领导担任，其所在部门应为示范产品执行及管理单位；组员至少应有2人为滨海县分公司负责示范产品的部门人员（含负责销售的主管人员），至少应有1人为滨海县分公司核赔部门人员，至少应有1人为滨海县分公司数据信息部门人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2、滨海县医疗责任保险示范产品专项工作小组的设立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专项工作小组应在当地示范产品启动前成立，负责落实示范产品承保、理赔及其他各项服务工作。小组组长1名，由供应方各市（县）分支机构相关领导担任，负责组织实施示范产品各项服务工作；日常联系人1名，负责按照本协议的有关内容为各被保险人提供日常沟通协调、培训、反馈等各项具体服务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（二）供应方服务小组工作职责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1、领导小组工作职责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日常联系人职责为：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（1）协助滨海县医疗责任保险专项领导小组组长/副组长工作，负责组织实施与总体管理各项工作；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（2）负责参加</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组织召开的会议，向供应方传达会议精神，并依据会议精神和要求协调公司资源，合理安排行动；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（3）负责与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沟通协调，提交有关报告；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（4）负责组织供应方（包括滨海县分公司及下属机构）的培训、宣贯工作，并邀请</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的人员参加；</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（5）滨海县医疗机构医疗责任保险专项领导小组人员发生变动，应在五个工作日内通知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（6）负责推进本协议约定的各项服务工作、配合性工作，并落实到位。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2、专项工作组工作职责：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（1）在保险协议签署后投入运行和管理，负责协议中各项内容的组织、实施；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（2）专项工作小组负责人参加公司组织的内部培训，并落实培训中的具体工作；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（3）接受各方对工作中主要问题的反馈，协商且执行达成一致意见的处理办法；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（4）参与区域内影响较大医疗纠纷案件的协调处理；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（5）负责与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之间的沟通与协调，提交有关报告、数据、材料等；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（6）负责滨海县医疗责任保险有关服务工作、配合性工作的推进；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（7）日常联系人发生变动，须立即通知对应的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（三）供应方保险服务工作内容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1、定期提供理赔统计报表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按照赔偿处理中心规定的格式要求，供应方滨海县分公司应于每月15日前向赔偿处理中心及</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提供负责的案件截至上月末的保险赔案统计报表的电子版本。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2、内部培训</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供应方滨海县分公司应本着更好推动示范产品的原则，定期和不定期举办内部培训，并形成一种常态机制。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3、独立核算体系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建立示范产品独立核算体系，实行对示范产品的统一核算、统一考核的独立核算管理体制，以避免出现供应方因赔付率不理想而可能产生的服务不积极、甚至拒绝销售示范产品的情况。对此供应方应提供具体的措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（1）对可能影响示范产品推进积极性的业务考核体系给予最大程度的宽松政策；</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（2）对</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提供最大程度的灵活政策和工作配合，共同推动示范产品。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4、相关单据用印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每月4号给供应方提供上月示范产品收入明细表，供应方在收到</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收入明细表两日内用印并及时提供给</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5、其他服务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（四）供应方滨海县医疗责任保险示范产品理赔服务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供应方应为投保示范产品的医疗机构提供本协议约定的理赔服务。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1、推荐专人加入滨海县医疗机构医疗责任保险示范产品赔偿处理中心、医疗纠纷评估会议以及医疗安全与风险预防服务中心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（1）供应方应推荐符合业务工作要求的专业理赔人员加入赔偿处理中心，参与赔偿处理中心采用自行和解简易案件处理赔案过程中的赔偿处理相关工作。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（3）供应方应推荐符合业务工作要求的专业人员参与医疗安全与风险预防服务，积极参与并协调供应方内部资源支持</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开展医疗机构医疗风险防范相关工作。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2、指定专人负责滨海县医疗责任保险示范产品理赔服务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供应方应指定专人负责区域内的理赔事宜，全力配合赔偿处理中心工作。理赔服务人员应不少于1人，如发生人员变动应在五个工作日内通知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提供接报案及转报案服务，</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设立示范产品保险专线报案电话，报案电话号码为400-616-8811。供应方提供接报案服务，接受</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报案专线电话400-616-8811的转报案。被保险人直接向供应方报案，未通过专线电话400-616-8811报案的，供应方在受理案件后需及时拨打专线电话400-616-8811转报案件。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（2）以下情况，供应方应视同为及时报案：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①对于可从公共媒体包括电视台、权威互联网站等其他途径已经及时知道或者应当及时知道保险事故发生的；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②如因不可抗力因素无法及时报案，供应方认可被保险人及滨海县医疗责任保险示范产品赔偿处理中心事后出具的书面说明，并视同为及时报案予以受理。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（3）供应方认可并受理</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报案专线电话400-616-8811提供的报案信息，包括被保险人说明原因的未及时报案。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（4）对于做销案处理的案件，如出险患方在法律规定的索赔时效期间内向被保险人提出索赔的，供应方接受重新立案。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4、责任界定</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供应方应认可滨海县医疗责任保险示范产品自行和解、第三方调解、县级矛调中心调解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司法诉讼、行政调解的结果。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5、核定损失</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（1）供应方应认可自行和解、第三方调解、县级矛调中心调解</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司法诉讼、行政调解的结果并依据此结果进行赔偿。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（2）经各级人民法院诉讼的案件，供应方应主动申请参与诉讼。</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6、赔款支付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供应方同意，在收到赔偿处理中心出具的《滨海县医疗机构医疗责任保险示范产品保险事故赔偿金额确定书》后5000元（含）以下赔款3个工作日内向医疗机构或者患者支付赔款，大于5000元至5万元（含）的赔款5个工作日内向医疗机构或者患者支付赔款，5万元以上的赔款</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个工作日内向医疗机构或者患者支付赔款。供应方不得以需要按照供应方自身赔款支付流程为由影响支付赔款时效。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（2）供应方未按约定时间支付赔款，则应按照实际拖延天数向医疗机构或者患者支付违约金，违约金为应付赔款金额按实际违约天数所计算的利息（利率按1年期银行存款利率计）。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7、沟通案件处理情况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供应方每月初的前5个工作日同</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核对示范产品的案件处理情况，就具体案件数量、已赔款金额、未决金额、索赔材料等内容进行沟通，双方以书面形式确认。供应方每周打印一次理赔计算书，并将本周结案信息汇总，统一递交</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8、自行和解简易案件处理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收到赔偿处理中心发出的《医患自行和解协议书》或通过医疗机构所在地医疗纠纷调解组织签订《调解协议书》以及索赔申请、相关理赔单证后，应按照上述《医患自行和解协议书》或《调解协议书》中确定的金额于1个工作日内向医疗机构或者患者支付赔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9、制定专属《滨海县医疗机构医疗责任保险示范产品保险案件赔偿处理办法》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应为参与本产品的被保险人提供本协议约定的理赔服务，履行《滨海县医疗机构医疗责任保险示范产品保险案件赔偿处理办法》的相关规定，并随着示范产品推广进度及暴露出的问题逐步完善。供应方应当对相关制度认真学习，严格执行。</w:t>
      </w:r>
      <w:r/>
    </w:p>
    <w:p>
      <w:pPr>
        <w:ind w:firstLine="480"/>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第八部分 统计分析、信息披露</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一、赔处中心负责本产品数据的统一管理，产品数据以赔处中心定期发布的数据为准。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本产品建立定期沟通机制，每年定期召开数据沟通会。由赔处中心召集，各参与方应出席，未出席者即为认可会议结果。会议对各方掌握的上季度末（半年、全年）投保、理赔等数据进行核对，对数据的差异要进行详细说明，供应方出单公司每月度同</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对阶段性投保、理赔数据进行核对。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三、从产品运营风险的管控出发，对影响赔付率的关键数据进行分析，将核对好的产品数据、分析建议做好纪要，形成会议备忘录，由组织方报送给相关行管部门，并发布给出单公司、共同承保人，抄送</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四、产品参与方应严格保密不得泄露给本产品参与方之外的任何人，除用于向行管部门报告或风险研究。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按照如下规则计算赔付率：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（一）简单赔付率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简单赔付率=统计期间内已决赔款金额/统计期间生效保单保费*100%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（二）满期赔付率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满期赔付率=（统计期间生效保单截止统计时点已决赔款金额+统计期间生效保单截止统计时点未决估损金额+统计期间生效保单截止统计时点IBNR）/统计期间生效保单截止统计时点已赚保险费*100%</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（三）历年赔付率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历年制赔付率=（统计期间内已决赔款金额+期末未决估损金额－期初未决估损金额）/统计期间保单已赚保险费*100%</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六、供应方出单公司每月15日前向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提供负责的案件截至上月末的保险赔案台账的电子版本，字段及格式如下：</w:t>
      </w:r>
      <w:r/>
    </w:p>
    <w:tbl>
      <w:tblPr>
        <w:tblStyle w:val="1052"/>
        <w:tblW w:w="8913"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4535"/>
        <w:gridCol w:w="3244"/>
      </w:tblGrid>
      <w:tr>
        <w:trPr>
          <w:trHeight w:val="57"/>
        </w:trPr>
        <w:tc>
          <w:tcPr>
            <w:shd w:val="clear" w:color="auto" w:fill="fef2cb"/>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fef2cb"/>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字段名</w:t>
            </w:r>
            <w:r/>
          </w:p>
        </w:tc>
        <w:tc>
          <w:tcPr>
            <w:shd w:val="clear" w:color="auto" w:fill="fef2cb"/>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178"/>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出单公司</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保单号</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供应方报案号</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医疗机构名称</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患者姓名</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患方首次向医疗机构提出索赔的时间</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医疗损害行为发生日期</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结案日期</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日期，yyyy-MM-dd</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已决赔款金额（元）</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数字</w:t>
            </w:r>
            <w:r/>
          </w:p>
        </w:tc>
      </w:tr>
      <w:tr>
        <w:trPr>
          <w:trHeight w:val="57"/>
        </w:trPr>
        <w:tc>
          <w:tcPr>
            <w:tcW w:w="113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4535"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案件状态</w:t>
            </w:r>
            <w:r/>
          </w:p>
        </w:tc>
        <w:tc>
          <w:tcPr>
            <w:tcW w:w="3244"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文本，1－已付已结； 2－立案注销；3－零赔付结案；4－未付；5－拒赔。</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七、每个自然年度结束后30日内，供应方向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提供年度理赔数据和分析材料，并接受</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的监督，如</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在其他时间需要供应方提供满期赔付率及相关数据，供应方应在规定时间内提供。</w:t>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第九部分 通用条款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一、信息安全与保密条款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（一）在本协议中，“保密信息”是指任何属于披露方所拥有的、保密的与商业或</w:t>
      </w:r>
      <w:r>
        <w:rPr>
          <w:rFonts w:hint="eastAsia" w:ascii="宋体" w:hAnsi="宋体" w:eastAsia="宋体" w:cs="宋体"/>
          <w:color w:val="000000"/>
          <w:sz w:val="24"/>
          <w:szCs w:val="24"/>
        </w:rPr>
        <w:t xml:space="preserve">行为相关的非公开信息，包括但不限于所有被一方标注和约定为“保密”的商业、金融、技术和其他信息。保密信息不但包括书面的和其他可以以有形载体存在的信息，也包括通过口头、视觉、电子或者其他无形的形式传播的信息。保密信息不包括下列信息：(a）已经进入公共领域又不违反本协议的，（b）接受方合法从第三方获得，（c）接受方可以证明在从披露方获得该信息前已经通过合法途径知道的，（d）接受方可以证明该保密信息属于其独立开发出来的。在本协议中的所有条款都会被视为各方的保密信息并且在没有得到其他方书面的同意之前，不可以向外披露。</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各方同意（a）除了在本协议明确允许的之外，不会向任何第三方披露或者使用其他方披露的保密信息，（b）会采取所有合理的方法来维护所有自己拥有或控制的其他方的保密信息的安全。在任何情况下，其维护其他方的保密信息的方法，其保密等级不应当低于自己维护类似重要等级信息所采用的方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各方承认任何未经授权披露，或者由接受方未经授权使用保密信息将会对披露方造成不可挽回的伤害和损失。接受方在实际违反或者可能会违反本协议规定的情形时，披露方将有权保护和采取临时性强制措施禁止其保密信息披露，而该措施将不限制披露方寻求的任何其他合法补救措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除了上述，各方可以将保密信息（a）披露给具有管辖的法院或者其他政府机关或者法律规定的，（b）基于“必须知晓”的前提，在保密的基础上，披露给律师、会计师。另外，可以将保密信息披露给依据其法定职权应当知晓相关事项的政府或监管当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通过供应方网络平台开展互联网保险业务的，双方另行签署具体业务合作协议，且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网络平台应具备下列条件：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1、具有互联网行业主管部门颁发的许可证或者在互联网行业主管部门完成网站备案，且网站接入地在中华人民共和国境内；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2、具有安全可靠的互联网运营系统和信息安全管理体系，实现与供应方应用系统的有效隔离，可以通过供应方或第三方的信息安全检测；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3、最近两年未受到互联网行业主管部门、工商行政管理部门等政府部门的重大行政处罚，未被</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列入保险行业禁止合作清单；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金融监督管理机构</w:t>
      </w:r>
      <w:r>
        <w:rPr>
          <w:rFonts w:hint="eastAsia" w:ascii="宋体" w:hAnsi="宋体" w:eastAsia="宋体" w:cs="宋体"/>
          <w:color w:val="000000"/>
          <w:sz w:val="24"/>
          <w:szCs w:val="24"/>
        </w:rPr>
        <w:t xml:space="preserve">规定的其他条件。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二、反虚假宣传条款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双方均清楚并愿意严格遵守中华人民共和国《著作权法》、《商标法》、《专利法》、《反不正当竞争法》等知识产权类、合同法及广告法等相关法律的规定，双方均有权就本合同所约定事项以约定方式在约定范</w:t>
      </w:r>
      <w:r>
        <w:rPr>
          <w:rFonts w:hint="eastAsia" w:ascii="宋体" w:hAnsi="宋体" w:eastAsia="宋体" w:cs="宋体"/>
          <w:color w:val="000000"/>
          <w:sz w:val="24"/>
          <w:szCs w:val="24"/>
        </w:rPr>
        <w:t xml:space="preserve">围内进行真实、合理地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三、反商业贿赂条款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反商业贿赂条款与本合同其他条款具有同等法律效力，合同当事人均同意签订并遵守如下反商业贿赂条款：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（一）双方都清楚并愿意严格遵守中华人民共和国反商业贿赂的法律规定，双方都清楚任何形式的贿赂和贪渎行为都将触犯法律，并将受到法律的严惩。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（二）供应方或</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均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（三）严格禁止双方经办人员的任何商业贿赂行为。双方经办人发生本条第二款所列示的任何一种行为，都是违反各方公司制度的，都将受到各方公司制度和国家法律的惩处。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（四）郑重提示：双方均反对对方或对方经办人员为了本合同之目的与本合同以外的任何第三方发生本条款第二条所列示的任何一种行为，该等行为都是违反国家法律的行为，并将受到国家法律的惩处。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（五）如因一方或一方经办人违反上述第二款、第三款、第四款之规定，给对方造成损失的，应承担损害赔偿责任。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四、反洗钱条款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双方根据《中华人民共和国反洗钱法》、《金融机构反洗钱规定》、《金融机构客户身份识别和客户身份资料及交易记录保存管理办法》、《金融机构大额交易和可疑交易报告管理办法》、《中国人民银行关于进一步加强金融机构反洗钱工作的通知》、《保险业反洗钱工作管理办法》 等法律及监管规定的要求，相互提供必要的协助，采取有效的客户身份识别措施，共同推进反洗钱方面的合作，并就反洗钱方面达成如下协议：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（一）双方应按照反洗钱法律法规要求，分别建立各自的反洗钱内控制度，落实客户身份识别、客户身份资料和交易记录保存、大额和可疑交易识别和报送等相关监管要求。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（二）双方应依法按照相关法律、法规、监管规定对客户进行有效的身份识别，并留存相关资料。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（三）双方应按照《中国人民银行关于加强反洗钱客户身份识别有关工作的通知》（银发[2017]235 号）规定，开展非自然人客户“受益所有人”识别工作。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（四）双方应按照人民银行的有关规定依法履行大额、可疑交易的报告义务，双方积极协助对方对大额、可疑交易的调查，并依法在必要时向对方提供国家权力机关调查所需的客户资料信息。</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发现客户交易行为可疑，或者发现有利用供应方保单洗钱的迹象的，</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应当及时通知供应方。若供应方发现</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拓展或者维护的客户具有洗钱嫌疑，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应当根据供应方要求，尽力帮助供应方获取客户的相关资料和信息，以便供应方履行向监管机构报送反洗钱可疑交易的法律义务。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（五）双方应做好客户信息保密工作，必要时向对方提供用于监管机构反洗钱检查要求的客户资料，共同做好反洗钱工作，尽到应尽职责。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五、法律责任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若发生违约情形，违约方依法依约承担其相应法律责任后，除非守约方同意终止本协议的，本协议仍须继续履行。</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第十部分 服务质量考评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服务质量考评是指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以及本产品所服务的医疗机构及其代表依据保险合同、供应方所签订的相关协议及其他相关文件，对供应方在本产品中的服务质量进行评价，建立考评档案，定期发布结果信息，由本产品工作领导小组依据评价结果提出处理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具体考核办法详见附件。</w:t>
      </w:r>
      <w:r/>
    </w:p>
    <w:p>
      <w:pPr>
        <w:jc w:val="center"/>
        <w:keepLines w:val="0"/>
        <w:keepNext w:val="0"/>
        <w:pageBreakBefore w:val="0"/>
        <w:spacing w:line="400" w:lineRule="exact"/>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outlineLvl w:val="1"/>
      </w:pPr>
      <w:r>
        <w:rPr>
          <w:rFonts w:hint="eastAsia" w:ascii="宋体" w:hAnsi="宋体" w:eastAsia="宋体" w:cs="宋体"/>
          <w:b/>
          <w:bCs/>
          <w:color w:val="000000"/>
          <w:sz w:val="24"/>
          <w:szCs w:val="24"/>
        </w:rPr>
        <w:t xml:space="preserve">第十一部分 协议相关内容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一、协议的构成文件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下列文件均作为本协议的有效组成部分：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（一）根据本协议另行制定的其他制度、文件以及联席会议备忘录；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（二）批单；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（三）保险单；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（四）本协议的补充协议；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（五）本协议文本；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（六）响应补充文件；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（七）响应文件；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（八）采购文件。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如上述文件之间存在矛盾或不一致之处，除有明确约定之外，以排序在前的文件规定的内容为准。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二、协议的生效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本协议自</w:t>
      </w:r>
      <w:r>
        <w:rPr>
          <w:rFonts w:hint="eastAsia" w:ascii="宋体" w:hAnsi="宋体" w:eastAsia="宋体" w:cs="宋体"/>
          <w:color w:val="000000"/>
          <w:sz w:val="24"/>
          <w:szCs w:val="24"/>
          <w:u w:val="single"/>
        </w:rPr>
        <w:t xml:space="preserve"> 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rPr>
        <w:t xml:space="preserve">年  月  日 </w:t>
      </w:r>
      <w:r>
        <w:rPr>
          <w:rFonts w:hint="eastAsia" w:ascii="宋体" w:hAnsi="宋体" w:eastAsia="宋体" w:cs="宋体"/>
          <w:color w:val="000000"/>
          <w:sz w:val="24"/>
          <w:szCs w:val="24"/>
        </w:rPr>
        <w:t xml:space="preserve">起正式生效，有效期</w:t>
      </w:r>
      <w:r>
        <w:rPr>
          <w:rFonts w:hint="eastAsia" w:ascii="宋体" w:hAnsi="宋体" w:eastAsia="宋体" w:cs="宋体"/>
          <w:color w:val="000000"/>
          <w:sz w:val="24"/>
          <w:szCs w:val="24"/>
          <w:u w:val="single"/>
        </w:rPr>
        <w:t xml:space="preserve"> 叁 </w:t>
      </w:r>
      <w:r>
        <w:rPr>
          <w:rFonts w:hint="eastAsia" w:ascii="宋体" w:hAnsi="宋体" w:eastAsia="宋体" w:cs="宋体"/>
          <w:color w:val="000000"/>
          <w:sz w:val="24"/>
          <w:szCs w:val="24"/>
        </w:rPr>
        <w:t xml:space="preserve">年，适用于本产品期内的全部保险单，并在各保险单有效期内持续有效。如果该类保单到期后存在遗留问题，则本协议将持续有效，至保单涉及各项遗留事宜最终处理完毕时为止。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三、协议的终止与续签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（一）产品续转</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协议到期后，未到期的保险单不因本协议到期而全部失效或部分失效。产品各参与方仍须按照已到期的采购协议、补充协议及保险合同的约定，继续承担相应的权利义务及保险责任，直至保险单涉及各项遗留事宜最终处理完毕时为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2、本协议到期前3个月内，</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通过服务质量考评同意与供应方或部分供应方继续按照本协议合作的，可由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牵头，组织和召集，双方共同召开联席会议，确定采购协议续签事宜及工作流程。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3、本协议到期前3个月内，</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通过服务质量考评，需要重新选择供应方的。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负责开展并落实保险采购工作。保险采购后，在采购协议签署阶段，</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应组织已到期采购协议的供应方成员及拟签署的采购协议成员召开联席会议。联席会议中，</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负责促成产品各方尤其是承保就承保、理赔及相关费用衔接问题进行确认，形成联席会议备忘录，经各参会方签字确认并备案。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（二）其他注意事项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产品续转过程中，医疗机构续保视为连续投保，追溯期不因供应方承保主体变更而中断。除另有约定外，续保的医疗机构适用新协议中关于续保的约定，如医疗机构续保时按照新协议继续适用赔付率调整因子，按照新协议继续享有追溯期等保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涉及下一期新协议的续保问题，可在新协议中具体明确，具体施行以新协议约定为准。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四、协议的争议处理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本协议在履行过程中发生争议的，由各方友好协商解决，协商仍不能解决的，可向协议签约地具有管辖权的人民法院提起诉讼。</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本协议部分条款在履行过程中发生争议向人民法院提起诉讼解决的，不影响本协议其他条款的执行与效力。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五、协议的变更与解除</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在本协议正常履行期间，协议内容的任何修改、变更、解除，必须经协议各方一致同意。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若发生违约情形，违约方依法依约承担其相应法律责任后，除非守约方同意终止本协议的，本协议仍须继续履行。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本协议最终解释权归</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所有。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七、协议份数</w:t>
      </w:r>
      <w:r/>
    </w:p>
    <w:p>
      <w:pPr>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w:t>
      </w:r>
      <w:r>
        <w:rPr>
          <w:rFonts w:hint="eastAsia" w:ascii="宋体" w:hAnsi="宋体" w:cs="宋体"/>
          <w:sz w:val="24"/>
          <w:szCs w:val="24"/>
          <w:highlight w:val="none"/>
          <w:lang w:val="en-US" w:eastAsia="zh-CN"/>
        </w:rPr>
        <w:t xml:space="preserve">合同</w:t>
      </w:r>
      <w:r>
        <w:rPr>
          <w:rFonts w:hint="eastAsia" w:ascii="宋体" w:hAnsi="宋体" w:eastAsia="宋体" w:cs="宋体"/>
          <w:color w:val="000000"/>
          <w:sz w:val="24"/>
          <w:szCs w:val="24"/>
        </w:rPr>
        <w:t xml:space="preserve">共</w:t>
      </w:r>
      <w:r>
        <w:rPr>
          <w:rFonts w:hint="eastAsia" w:ascii="宋体" w:hAnsi="宋体" w:cs="宋体"/>
          <w:color w:val="000000"/>
          <w:sz w:val="24"/>
          <w:szCs w:val="24"/>
          <w:lang w:val="en-US" w:eastAsia="zh-CN"/>
        </w:rPr>
        <w:t xml:space="preserve">十</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持</w:t>
      </w:r>
      <w:r>
        <w:rPr>
          <w:rFonts w:hint="eastAsia" w:ascii="宋体" w:hAnsi="宋体" w:cs="宋体"/>
          <w:color w:val="000000"/>
          <w:sz w:val="24"/>
          <w:szCs w:val="24"/>
          <w:lang w:val="en-US" w:eastAsia="zh-CN"/>
        </w:rPr>
        <w:t xml:space="preserve">贰</w:t>
      </w:r>
      <w:r>
        <w:rPr>
          <w:rFonts w:hint="eastAsia" w:ascii="宋体" w:hAnsi="宋体" w:eastAsia="宋体" w:cs="宋体"/>
          <w:color w:val="000000"/>
          <w:sz w:val="24"/>
          <w:szCs w:val="24"/>
        </w:rPr>
        <w:t xml:space="preserve">份； </w:t>
      </w:r>
      <w:r>
        <w:rPr>
          <w:rFonts w:hint="eastAsia" w:ascii="宋体" w:hAnsi="宋体" w:eastAsia="宋体" w:cs="宋体"/>
          <w:color w:val="000000"/>
          <w:sz w:val="24"/>
          <w:szCs w:val="24"/>
          <w:lang w:val="en-US" w:eastAsia="zh-CN"/>
        </w:rPr>
        <w:t xml:space="preserve">乙方</w:t>
      </w:r>
      <w:r>
        <w:rPr>
          <w:rFonts w:hint="eastAsia" w:ascii="宋体" w:hAnsi="宋体" w:cs="宋体"/>
          <w:color w:val="000000"/>
          <w:sz w:val="24"/>
          <w:szCs w:val="24"/>
          <w:lang w:val="en-US" w:eastAsia="zh-CN"/>
        </w:rPr>
        <w:t xml:space="preserve">丙方</w:t>
      </w:r>
      <w:r>
        <w:rPr>
          <w:rFonts w:hint="eastAsia" w:ascii="宋体" w:hAnsi="宋体" w:eastAsia="宋体" w:cs="宋体"/>
          <w:color w:val="000000"/>
          <w:sz w:val="24"/>
          <w:szCs w:val="24"/>
        </w:rPr>
        <w:t xml:space="preserve">各持</w:t>
      </w:r>
      <w:r>
        <w:rPr>
          <w:rFonts w:hint="eastAsia" w:ascii="宋体" w:hAnsi="宋体" w:cs="宋体"/>
          <w:color w:val="000000"/>
          <w:sz w:val="24"/>
          <w:szCs w:val="24"/>
          <w:lang w:val="en-US" w:eastAsia="zh-CN"/>
        </w:rPr>
        <w:t xml:space="preserve">贰</w:t>
      </w:r>
      <w:r>
        <w:rPr>
          <w:rFonts w:hint="eastAsia" w:ascii="宋体" w:hAnsi="宋体" w:eastAsia="宋体" w:cs="宋体"/>
          <w:color w:val="000000"/>
          <w:sz w:val="24"/>
          <w:szCs w:val="24"/>
        </w:rPr>
        <w:t xml:space="preserve">份</w:t>
      </w:r>
      <w:r>
        <w:rPr>
          <w:rFonts w:hint="eastAsia" w:ascii="宋体" w:hAnsi="宋体" w:eastAsia="宋体" w:cs="宋体"/>
          <w:sz w:val="24"/>
          <w:szCs w:val="24"/>
          <w:highlight w:val="none"/>
        </w:rPr>
        <w:t xml:space="preserve">，每份具有同等</w:t>
      </w:r>
      <w:r>
        <w:rPr>
          <w:rFonts w:hint="eastAsia" w:ascii="宋体" w:hAnsi="宋体" w:eastAsia="宋体" w:cs="宋体"/>
          <w:sz w:val="24"/>
          <w:szCs w:val="24"/>
          <w:highlight w:val="none"/>
          <w:lang w:val="en-US" w:eastAsia="zh-CN"/>
        </w:rPr>
        <w:t xml:space="preserve">法律</w:t>
      </w:r>
      <w:r>
        <w:rPr>
          <w:rFonts w:hint="eastAsia" w:ascii="宋体" w:hAnsi="宋体" w:eastAsia="宋体" w:cs="宋体"/>
          <w:sz w:val="24"/>
          <w:szCs w:val="24"/>
          <w:highlight w:val="none"/>
        </w:rPr>
        <w:t xml:space="preserve">效力。</w:t>
      </w:r>
      <w:r/>
    </w:p>
    <w:p>
      <w:pPr>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甲方（盖章）：                      乙方（盖章）： </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ind w:firstLine="640"/>
        <w:jc w:val="both"/>
        <w:keepLines w:val="0"/>
        <w:keepNext w:val="0"/>
        <w:pageBreakBefore w:val="0"/>
        <w:spacing w:line="400" w:lineRule="exact"/>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乙方（盖章）</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丙方（盖章）：</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 签约时间：</w:t>
      </w:r>
      <w:r/>
    </w:p>
    <w:p>
      <w:pPr>
        <w:ind w:firstLine="480"/>
        <w:jc w:val="both"/>
        <w:keepLines w:val="0"/>
        <w:keepNext w:val="0"/>
        <w:pageBreakBefore w:val="0"/>
        <w:spacing w:line="40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乙方（盖章）： </w:t>
      </w:r>
      <w:r/>
    </w:p>
    <w:p>
      <w:pPr>
        <w:ind w:firstLine="480"/>
        <w:jc w:val="both"/>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ind w:firstLine="480"/>
        <w:jc w:val="both"/>
        <w:keepLines w:val="0"/>
        <w:keepNext w:val="0"/>
        <w:pageBreakBefore w:val="0"/>
        <w:spacing w:line="400" w:lineRule="exact"/>
        <w:widowControl/>
        <w:tabs>
          <w:tab w:val="left" w:pos="720" w:leader="none"/>
        </w:tabs>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keepLines w:val="0"/>
        <w:keepNext w:val="0"/>
        <w:pageBreakBefore w:val="0"/>
        <w:spacing w:line="400" w:lineRule="exact"/>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第十二部分 附件</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附件：滨海县医疗机构医疗责任保险示范产品保险方案及费率机制</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附件：滨海县医疗机构医疗责任保险示范产品保险案件赔偿处理办法</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附件：滨海县医疗机构医疗责任保险示范产品相关工作流程</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附件：滨海县医疗机构医疗责任保险示范产品服务质量考评</w:t>
      </w:r>
      <w:r/>
    </w:p>
    <w:p>
      <w:pPr>
        <w:jc w:val="center"/>
        <w:keepLines w:val="0"/>
        <w:keepNext w:val="0"/>
        <w:pageBreakBefore w:val="0"/>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附件： 滨海县医疗机构医疗责任保险示范产品保险方案及费率机制</w:t>
      </w:r>
      <w:r/>
    </w:p>
    <w:p>
      <w:pPr>
        <w:ind w:firstLine="482"/>
        <w:jc w:val="center"/>
        <w:keepLines w:val="0"/>
        <w:keepNext w:val="0"/>
        <w:pageBreakBefore w:val="0"/>
        <w:spacing w:line="400" w:lineRule="exact"/>
        <w:rPr>
          <w:rFonts w:ascii="宋体" w:hAnsi="宋体" w:eastAsia="宋体" w:cs="宋体"/>
          <w:b/>
          <w:sz w:val="24"/>
          <w:szCs w:val="24"/>
        </w:rPr>
      </w:pPr>
      <w:r/>
      <w:bookmarkStart w:id="69" w:name="_Toc23628_WPSOffice_Level2"/>
      <w:r/>
      <w:bookmarkEnd w:id="69"/>
      <w:r/>
      <w:bookmarkStart w:id="70" w:name="_Toc22913_WPSOffice_Level2"/>
      <w:r>
        <w:rPr>
          <w:rFonts w:hint="eastAsia" w:ascii="宋体" w:hAnsi="宋体" w:eastAsia="宋体" w:cs="宋体"/>
          <w:b/>
          <w:sz w:val="24"/>
          <w:szCs w:val="24"/>
          <w:lang w:bidi="ar"/>
        </w:rPr>
        <w:t xml:space="preserve">滨海县医疗机构医疗责任保险</w:t>
      </w:r>
      <w:bookmarkEnd w:id="70"/>
      <w:r>
        <w:rPr>
          <w:rFonts w:hint="eastAsia" w:ascii="宋体" w:hAnsi="宋体" w:eastAsia="宋体" w:cs="宋体"/>
          <w:b/>
          <w:sz w:val="24"/>
          <w:szCs w:val="24"/>
          <w:lang w:bidi="ar"/>
        </w:rPr>
        <w:t xml:space="preserve">产品</w:t>
      </w:r>
      <w:r/>
    </w:p>
    <w:p>
      <w:pPr>
        <w:ind w:firstLine="482"/>
        <w:jc w:val="left"/>
        <w:keepLines w:val="0"/>
        <w:keepNext w:val="0"/>
        <w:pageBreakBefore w:val="0"/>
        <w:spacing w:line="400" w:lineRule="exact"/>
        <w:rPr>
          <w:rFonts w:ascii="宋体" w:hAnsi="宋体" w:eastAsia="宋体" w:cs="宋体"/>
          <w:b/>
          <w:sz w:val="24"/>
          <w:szCs w:val="24"/>
          <w:lang w:bidi="ar"/>
        </w:rPr>
        <w:outlineLvl w:val="2"/>
      </w:pPr>
      <w:r/>
      <w:bookmarkStart w:id="71" w:name="_Toc20675_WPSOffice_Level2"/>
      <w:r/>
      <w:bookmarkEnd w:id="71"/>
      <w:r/>
      <w:bookmarkStart w:id="72" w:name="_Toc17847_WPSOffice_Level2"/>
      <w:r>
        <w:rPr>
          <w:rFonts w:hint="eastAsia" w:ascii="宋体" w:hAnsi="宋体" w:eastAsia="宋体" w:cs="宋体"/>
          <w:b/>
          <w:sz w:val="24"/>
          <w:szCs w:val="24"/>
          <w:lang w:bidi="ar"/>
        </w:rPr>
        <w:t xml:space="preserve">险种一：医疗机构医疗责任保险</w:t>
      </w:r>
      <w:r/>
    </w:p>
    <w:p>
      <w:pPr>
        <w:ind w:firstLine="482"/>
        <w:jc w:val="center"/>
        <w:keepLines w:val="0"/>
        <w:keepNext w:val="0"/>
        <w:pageBreakBefore w:val="0"/>
        <w:spacing w:line="400" w:lineRule="exact"/>
        <w:rPr>
          <w:rFonts w:ascii="宋体" w:hAnsi="宋体" w:eastAsia="宋体" w:cs="宋体"/>
          <w:sz w:val="24"/>
          <w:szCs w:val="24"/>
        </w:rPr>
        <w:outlineLvl w:val="2"/>
      </w:pPr>
      <w:r>
        <w:rPr>
          <w:rFonts w:hint="eastAsia" w:ascii="宋体" w:hAnsi="宋体" w:eastAsia="宋体" w:cs="宋体"/>
          <w:b/>
          <w:sz w:val="24"/>
          <w:szCs w:val="24"/>
          <w:lang w:bidi="ar"/>
        </w:rPr>
        <w:t xml:space="preserve">方案明细表</w:t>
      </w:r>
      <w:bookmarkEnd w:id="72"/>
      <w:r/>
      <w:r/>
    </w:p>
    <w:tbl>
      <w:tblPr>
        <w:tblStyle w:val="934"/>
        <w:tblW w:w="8982" w:type="dxa"/>
        <w:jc w:val="center"/>
        <w:tblLayout w:type="fixed"/>
        <w:tblCellMar>
          <w:left w:w="108" w:type="dxa"/>
          <w:top w:w="0" w:type="dxa"/>
          <w:right w:w="108" w:type="dxa"/>
          <w:bottom w:w="0" w:type="dxa"/>
        </w:tblCellMar>
        <w:tblLook w:val="04A0" w:firstRow="1" w:lastRow="0" w:firstColumn="1" w:lastColumn="0" w:noHBand="0" w:noVBand="1"/>
      </w:tblPr>
      <w:tblGrid>
        <w:gridCol w:w="2426"/>
        <w:gridCol w:w="6556"/>
      </w:tblGrid>
      <w:tr>
        <w:trPr>
          <w:jc w:val="center"/>
          <w:trHeight w:val="160"/>
        </w:trPr>
        <w:tc>
          <w:tcPr>
            <w:shd w:val="clear" w:color="auto" w:fill="c7daf1"/>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c7daf1"/>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280"/>
        </w:trPr>
        <w:tc>
          <w:tcPr>
            <w:gridSpan w:val="2"/>
            <w:tcBorders>
              <w:top w:val="single" w:color="000000" w:sz="4" w:space="0"/>
              <w:left w:val="single" w:color="000000" w:sz="4" w:space="0"/>
              <w:bottom w:val="single" w:color="000000" w:sz="4" w:space="0"/>
              <w:right w:val="single" w:color="000000" w:sz="4" w:space="0"/>
            </w:tcBorders>
            <w:tcW w:w="8982"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1、投保人</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投保人名称：</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待定</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投保人地址：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待定</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8982"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2、被保险人</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被保险人名称：</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被保险人地址：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医疗机构的注册地址</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3、责任限额：</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4、免赔额：</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5、基本条款：</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医疗机构医疗责任保险条款</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6、保险期限：</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共12个月，自20  年  月   日0时起至20  年  月  日24时止，以北京时间为准。</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7、承保基础：</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期内索赔式</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8、追溯期：</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首次投保追溯期设定：首次投保无追溯期；</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连续投保追溯期设定：连续投保本保险的，追溯期从保险期限起始日向前计算，最长不超过</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年，且不早于连续投保本保险的第一张保险单保险期限的起始日；</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如果投保人断保后再次投保的，追溯期需重新计算，即追溯期至多仅追溯至重新投保后第一张保险单保险期限的起始日，且最长不超过</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9、发现期：</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本保险合同的保险期限到期时，若投保人未续保，被保险人将自动获得自保险期限到期日第二天起</w:t>
            </w: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天的免费发现期。</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10、司法管辖：</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中华人民共和国司法管辖（不包括港、澳、台地区法律）</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11、保费计算公式：</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12、保险费：</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详见费率机制</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13、保费支付：</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见费出单</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14、附加条款：</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（1）错误和遗漏条款</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兹经双方同意，本保险项下的赔偿责任不因被保险人非故意地延迟、错误或遗漏向保险人申报有关变更或其它有关信息而被拒负，一旦被保险人明白其疏忽或遗漏应在合理的时间内尽快向本公司申报，并根据保险人要求支付自风险增加之日起的适当的附加保险费。</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（2）违反条件条款</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它保障的有效性。</w:t>
            </w:r>
            <w:r/>
          </w:p>
        </w:tc>
      </w:tr>
      <w:tr>
        <w:trPr>
          <w:jc w:val="center"/>
        </w:trPr>
        <w:tc>
          <w:tcPr>
            <w:tcBorders>
              <w:top w:val="single" w:color="000000" w:sz="4" w:space="0"/>
              <w:left w:val="single" w:color="000000" w:sz="4" w:space="0"/>
              <w:bottom w:val="single" w:color="000000" w:sz="4" w:space="0"/>
              <w:right w:val="single" w:color="000000" w:sz="4" w:space="0"/>
            </w:tcBorders>
            <w:tcW w:w="242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15、其他</w:t>
            </w:r>
            <w:r/>
          </w:p>
        </w:tc>
        <w:tc>
          <w:tcPr>
            <w:tcBorders>
              <w:top w:val="single" w:color="000000" w:sz="4" w:space="0"/>
              <w:left w:val="none" w:color="000000" w:sz="4" w:space="0"/>
              <w:bottom w:val="single" w:color="000000" w:sz="4" w:space="0"/>
              <w:right w:val="single" w:color="000000" w:sz="4" w:space="0"/>
            </w:tcBorders>
            <w:tcW w:w="6556" w:type="dxa"/>
            <w:vAlign w:val="center"/>
            <w:textDirection w:val="lrTb"/>
            <w:noWrap w:val="false"/>
          </w:tcPr>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在本保险合同中，附加条款的效力高于基本条款。</w:t>
            </w:r>
            <w:r/>
          </w:p>
        </w:tc>
      </w:tr>
    </w:tbl>
    <w:p>
      <w:pPr>
        <w:jc w:val="center"/>
        <w:keepLines w:val="0"/>
        <w:keepNext w:val="0"/>
        <w:pageBreakBefore w:val="0"/>
        <w:spacing w:line="400" w:lineRule="exact"/>
        <w:widowControl/>
        <w:rPr>
          <w:rFonts w:ascii="Times New Roman" w:hAnsi="Times New Roman" w:eastAsia="宋体" w:cs="Times New Roman"/>
          <w:sz w:val="24"/>
          <w:szCs w:val="24"/>
        </w:rPr>
        <w:outlineLvl w:val="1"/>
      </w:pPr>
      <w:r>
        <w:rPr>
          <w:rFonts w:hint="eastAsia" w:ascii="宋体" w:hAnsi="宋体" w:eastAsia="宋体" w:cs="宋体"/>
          <w:sz w:val="24"/>
          <w:szCs w:val="24"/>
          <w:lang w:bidi="ar"/>
        </w:rPr>
        <w:br w:type="page" w:clear="all"/>
      </w:r>
      <w:bookmarkStart w:id="73" w:name="_Toc2716_WPSOffice_Level2"/>
      <w:r/>
      <w:bookmarkEnd w:id="73"/>
      <w:r/>
      <w:bookmarkStart w:id="74" w:name="_Toc9681_WPSOffice_Level2"/>
      <w:r>
        <w:rPr>
          <w:rFonts w:hint="eastAsia" w:ascii="宋体" w:hAnsi="宋体" w:eastAsia="宋体" w:cs="宋体"/>
          <w:b/>
          <w:bCs/>
          <w:sz w:val="24"/>
          <w:szCs w:val="24"/>
          <w:lang w:bidi="ar"/>
        </w:rPr>
        <w:t xml:space="preserve">医疗机构医疗责任保险条款</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总则</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第一条 </w:t>
      </w:r>
      <w:r>
        <w:rPr>
          <w:rFonts w:hint="eastAsia" w:ascii="宋体" w:hAnsi="宋体" w:eastAsia="宋体" w:cs="宋体"/>
          <w:sz w:val="24"/>
          <w:szCs w:val="24"/>
          <w:lang w:bidi="ar"/>
        </w:rPr>
        <w:t xml:space="preserve">本保险合同由保险条款、投保单、保险单以及批单组成。凡涉及本保险合同的约定，均应采用书面形式。</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第二条 </w:t>
      </w:r>
      <w:r>
        <w:rPr>
          <w:rFonts w:hint="eastAsia" w:ascii="宋体" w:hAnsi="宋体" w:eastAsia="宋体" w:cs="宋体"/>
          <w:sz w:val="24"/>
          <w:szCs w:val="24"/>
          <w:lang w:bidi="ar"/>
        </w:rPr>
        <w:t xml:space="preserve">凡依法设立的医疗机构均可作为本保险合同的被保险人。</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第三条 </w:t>
      </w:r>
      <w:r>
        <w:rPr>
          <w:rFonts w:hint="eastAsia" w:ascii="宋体" w:hAnsi="宋体" w:eastAsia="宋体" w:cs="宋体"/>
          <w:sz w:val="24"/>
          <w:szCs w:val="24"/>
          <w:lang w:bidi="ar"/>
        </w:rPr>
        <w:t xml:space="preserve">在保险单中列明的保险期间或者追溯期内，被保险人或者其医务人员在从事与其资格相符的诊疗活动中，发生下列情形，患者或者其近亲属或者其代理人（以下简称患方）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（一）患者在诊疗活动中受到损害，被保险人或者其医务人员有过错的；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（二）医务人员有下列情形，造成患者损害的: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医务人员在诊疗活动中未向患者或者其近亲属说明病情和医疗措施的；需要实施手术、特殊检查、特殊治疗，医务人员未及时向患者或者其近亲属具体说明医疗风险、替代医疗方案等情况并取得其明确同意的；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（三）医务人员在诊疗活动中未尽到与当时的医疗水平相应的诊疗义务，造成患者损害的；</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（四）因药品、消毒产品、医疗器械的缺陷或者输入不合格的血液，造成患者损害的。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第四条 </w:t>
      </w:r>
      <w:r>
        <w:rPr>
          <w:rFonts w:hint="eastAsia" w:ascii="宋体" w:hAnsi="宋体" w:eastAsia="宋体" w:cs="宋体"/>
          <w:sz w:val="24"/>
          <w:szCs w:val="24"/>
          <w:lang w:bidi="ar"/>
        </w:rPr>
        <w:t xml:space="preserve">发生可能引起本保险合同项下赔偿的情形时，被保险人被提起诉讼或者仲裁，对应由被保险人支付的诉讼费用或者仲裁费用，以及事先经保险人书面同意支付的合理的、必要的鉴定费、取证费、评估费、公证费、律师费及其他法律费用等（以下简称法律费用），保险人按照本保险合同的约定负责赔偿。</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责任免除</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第五条 下列原因造成的损失、费用和责任，保险人不负责赔偿：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（一）被保险人的故意行为</w:t>
      </w:r>
      <w:r>
        <w:rPr>
          <w:rFonts w:hint="eastAsia" w:ascii="宋体" w:hAnsi="宋体" w:eastAsia="宋体" w:cs="宋体"/>
          <w:sz w:val="24"/>
          <w:szCs w:val="24"/>
          <w:lang w:bidi="ar"/>
        </w:rPr>
        <w:t xml:space="preserve">，但被保险人或者其医务人员在紧急情况下对患者实施的符合相关诊疗规范的约束、隔离等保护性医疗措施不在此限；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（二）战争、敌对行为、军事行动、武装冲突、恐怖活动、罢工、骚乱、暴动、盗窃、抢劫；</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（三）核反应、核子辐射和放射性污染</w:t>
      </w:r>
      <w:r>
        <w:rPr>
          <w:rFonts w:hint="eastAsia" w:ascii="宋体" w:hAnsi="宋体" w:eastAsia="宋体" w:cs="宋体"/>
          <w:sz w:val="24"/>
          <w:szCs w:val="24"/>
          <w:lang w:bidi="ar"/>
        </w:rPr>
        <w:t xml:space="preserve">，但被保险人或者其医务人员使用放射器材、放射性药物进行治疗的不在此限</w:t>
      </w:r>
      <w:r>
        <w:rPr>
          <w:rFonts w:hint="eastAsia" w:ascii="宋体" w:hAnsi="宋体" w:eastAsia="宋体" w:cs="宋体"/>
          <w:b/>
          <w:bCs/>
          <w:sz w:val="24"/>
          <w:szCs w:val="24"/>
          <w:lang w:bidi="ar"/>
        </w:rPr>
        <w:t xml:space="preserve">；</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（四）地震、雷击、暴雨、洪水等自然灾害；</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（五）火灾、爆炸等非诊疗活动为直接原因产生的意外事故。</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第六条 下列情形造成的损失、费用和责任，保险人不负责赔偿：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（一）被保险人或者其医务人员从事与其资格不符的诊疗活动或者未经国家有关部门认定合格的被保险人的医务人员进行诊疗活动的；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（二）被保险人或者其医务人员从事未经国家有关部门许可的诊疗活动的；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（三）被保险人或者其医务人员被吊销执业许可证或者被取消执业资格后以及受停业、停职处分期间仍继续进行诊疗活动的；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（四）被保险人或者其医务人员使用未经国家有关部门批准使用的药品、消毒产品和医疗器械的，或者未使用卫生行政部门指定血站提供的血液的；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w:t>
      </w:r>
      <w:r>
        <w:rPr>
          <w:rFonts w:hint="eastAsia" w:ascii="宋体" w:hAnsi="宋体" w:eastAsia="宋体" w:cs="Times New Roman"/>
          <w:b/>
          <w:bCs/>
          <w:sz w:val="24"/>
          <w:szCs w:val="24"/>
          <w:lang w:bidi="ar"/>
        </w:rPr>
        <w:t xml:space="preserve">被保险人的医务人员受酒精、毒品、管制药物的影响的状态下进行诊疗活动的</w:t>
      </w:r>
      <w:r>
        <w:rPr>
          <w:rFonts w:hint="eastAsia" w:ascii="宋体" w:hAnsi="宋体" w:eastAsia="宋体" w:cs="宋体"/>
          <w:b/>
          <w:bCs/>
          <w:sz w:val="24"/>
          <w:szCs w:val="24"/>
          <w:lang w:bidi="ar"/>
        </w:rPr>
        <w:t xml:space="preserve">；</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（六）被保险人或者其医务人员在正当的诊断、治疗范围外使用麻醉药品、医疗用毒性药品、精神药品和放射性药品的；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（七）被保险人或者其医务人员进行不以治疗为目的的医疗美容诊疗活动的；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（八）被保险人或者其医务人员从事临床试验活动的；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（九）患者或者其近亲属不配合被保险人进行符合诊疗规范的诊疗，造成患者人身损害，且被保险人或者其医务人员没有过错的；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（十）被保险人的医务人员在其他医疗机构进行诊疗活动的；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（十一）因被保险人的公共设施存在缺陷，或者被保险人或者其雇员对医疗机构内的公共设施管理不善或者操作、维护不当，或者被保险人提供的食品引发食物中毒或者其他食源性疾病的。</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第七条 下列损失、费用和责任，保险人也不负责赔偿：</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（一）被保险人的医务人员人身损害</w:t>
      </w:r>
      <w:r>
        <w:rPr>
          <w:rFonts w:hint="eastAsia" w:ascii="宋体" w:hAnsi="宋体" w:eastAsia="宋体" w:cs="宋体"/>
          <w:sz w:val="24"/>
          <w:szCs w:val="24"/>
          <w:lang w:bidi="ar"/>
        </w:rPr>
        <w:t xml:space="preserve">，但其以患者身份接受诊疗时受到人身损害的不在此限；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（二）被保险人应当承担的合同责任，</w:t>
      </w:r>
      <w:r>
        <w:rPr>
          <w:rFonts w:hint="eastAsia" w:ascii="宋体" w:hAnsi="宋体" w:eastAsia="宋体" w:cs="宋体"/>
          <w:sz w:val="24"/>
          <w:szCs w:val="24"/>
          <w:lang w:bidi="ar"/>
        </w:rPr>
        <w:t xml:space="preserve">但无合同存在时被保险人依法仍应承担的经济赔偿责任不在此限；</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（三）任何财产损失；</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（四）罚款、罚金或者惩罚性赔款；</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（五）应由患方承担的相关费用；</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（六）保险单中载明的应由被保险人自行承担的免赔额。</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责任限额与免赔额（率）</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第八条 </w:t>
      </w:r>
      <w:r>
        <w:rPr>
          <w:rFonts w:hint="eastAsia" w:ascii="宋体" w:hAnsi="宋体" w:eastAsia="宋体" w:cs="宋体"/>
          <w:sz w:val="24"/>
          <w:szCs w:val="24"/>
          <w:lang w:bidi="ar"/>
        </w:rPr>
        <w:t xml:space="preserve">除另有约定外，责任限额包括累计责任限额、每次事故责任限额、每次事故每位患者责任限额、每次事故每位患者精神损害抚慰金责任限额、每次事故法律费用责任限额、累计法律费用责任限额。责任限额由投保人与保险人协商确定，并在保险合同中列明。</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第九条 </w:t>
      </w:r>
      <w:r>
        <w:rPr>
          <w:rFonts w:hint="eastAsia" w:ascii="宋体" w:hAnsi="宋体" w:eastAsia="宋体" w:cs="宋体"/>
          <w:sz w:val="24"/>
          <w:szCs w:val="24"/>
          <w:lang w:bidi="ar"/>
        </w:rPr>
        <w:t xml:space="preserve">免赔额（率）由投保人与保险人在签订保险合同时协商确定，并在保险合同中载明。</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保险期间</w:t>
      </w:r>
      <w:r/>
    </w:p>
    <w:p>
      <w:pPr>
        <w:ind w:firstLine="482"/>
        <w:jc w:val="left"/>
        <w:keepLines w:val="0"/>
        <w:keepNext w:val="0"/>
        <w:pageBreakBefore w:val="0"/>
        <w:spacing w:line="400" w:lineRule="exact"/>
        <w:widowControl/>
        <w:rPr>
          <w:rFonts w:ascii="Times New Roman" w:hAnsi="Times New Roman" w:eastAsia="宋体" w:cs="Times New Roman"/>
          <w:sz w:val="24"/>
          <w:szCs w:val="24"/>
          <w:highlight w:val="none"/>
        </w:rPr>
      </w:pPr>
      <w:r>
        <w:rPr>
          <w:rFonts w:hint="eastAsia" w:ascii="宋体" w:hAnsi="宋体" w:eastAsia="宋体" w:cs="宋体"/>
          <w:b/>
          <w:bCs/>
          <w:sz w:val="24"/>
          <w:szCs w:val="24"/>
          <w:lang w:bidi="ar"/>
        </w:rPr>
        <w:t xml:space="preserve">第十条 </w:t>
      </w:r>
      <w:r>
        <w:rPr>
          <w:rFonts w:hint="eastAsia" w:ascii="宋体" w:hAnsi="宋体" w:eastAsia="宋体" w:cs="宋体"/>
          <w:sz w:val="24"/>
          <w:szCs w:val="24"/>
          <w:highlight w:val="none"/>
          <w:lang w:bidi="ar"/>
        </w:rPr>
        <w:t xml:space="preserve">除另有约定外，保险期间为</w:t>
      </w:r>
      <w:r>
        <w:rPr>
          <w:rFonts w:hint="eastAsia" w:ascii="宋体" w:hAnsi="宋体" w:eastAsia="宋体" w:cs="宋体"/>
          <w:sz w:val="24"/>
          <w:szCs w:val="24"/>
          <w:highlight w:val="none"/>
          <w:lang w:val="en-US" w:eastAsia="zh-CN" w:bidi="ar"/>
        </w:rPr>
        <w:t xml:space="preserve">一年</w:t>
      </w:r>
      <w:r>
        <w:rPr>
          <w:rFonts w:hint="eastAsia" w:ascii="宋体" w:hAnsi="宋体" w:eastAsia="宋体" w:cs="宋体"/>
          <w:sz w:val="24"/>
          <w:szCs w:val="24"/>
          <w:highlight w:val="none"/>
          <w:lang w:bidi="ar"/>
        </w:rPr>
        <w:t xml:space="preserve">，以保险单列明的起讫时间为准。</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保险人义务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第十一条 </w:t>
      </w:r>
      <w:r>
        <w:rPr>
          <w:rFonts w:hint="eastAsia" w:ascii="宋体" w:hAnsi="宋体" w:eastAsia="宋体" w:cs="宋体"/>
          <w:sz w:val="24"/>
          <w:szCs w:val="24"/>
          <w:lang w:bidi="ar"/>
        </w:rPr>
        <w:t xml:space="preserve">本保险合同成立后，保险人应当及时向投保人签发保险单或者其他保险凭证。</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第十二条 </w:t>
      </w:r>
      <w:r>
        <w:rPr>
          <w:rFonts w:hint="eastAsia" w:ascii="宋体" w:hAnsi="宋体" w:eastAsia="宋体" w:cs="宋体"/>
          <w:sz w:val="24"/>
          <w:szCs w:val="24"/>
          <w:lang w:bidi="ar"/>
        </w:rPr>
        <w:t xml:space="preserve">保险事故发生后，被保险人提供的有关索赔的证明和资料不完整的，保险人应当及时一次性通知投保人、被保险人补充提供。</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第十三条 </w:t>
      </w:r>
      <w:r>
        <w:rPr>
          <w:rFonts w:hint="eastAsia" w:ascii="宋体" w:hAnsi="宋体" w:eastAsia="宋体" w:cs="宋体"/>
          <w:sz w:val="24"/>
          <w:szCs w:val="24"/>
          <w:lang w:bidi="ar"/>
        </w:rPr>
        <w:t xml:space="preserve">保险人收到被保险人的赔偿请求后，应当及时做出核定，并将核定结果通知被保险人。情形复杂的，应当在三十日内做出核定并通知被保险人，对于属于保险责任的，在与被保险人达成有关赔偿金额的协议后十日内，履行赔偿义务。</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保险人按照前款的规定做出核定后，对不属于保险责任的，应当自做出核定之日起三日内向被保险人发出拒绝赔偿保险金通知书，并说明理由。</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第十四条 </w:t>
      </w:r>
      <w:r>
        <w:rPr>
          <w:rFonts w:hint="eastAsia" w:ascii="宋体" w:hAnsi="宋体" w:eastAsia="宋体" w:cs="宋体"/>
          <w:sz w:val="24"/>
          <w:szCs w:val="24"/>
          <w:lang w:bidi="ar"/>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第十五条</w:t>
      </w:r>
      <w:r>
        <w:rPr>
          <w:rFonts w:hint="eastAsia" w:ascii="宋体" w:hAnsi="宋体" w:eastAsia="宋体" w:cs="宋体"/>
          <w:sz w:val="24"/>
          <w:szCs w:val="24"/>
          <w:lang w:bidi="ar"/>
        </w:rPr>
        <w:t xml:space="preserve"> 被保险人给患者造成损害，被保险人对患者应负的赔偿责任确定的，根据被保险人的请求，保险人应当直接向患者及其他赔偿权利人支付赔款。</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被保险人怠于提出索赔的，患者及其他赔偿权利人有权根据本保险合同就其应获赔偿部分直接向保险人请求赔偿保险金。</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被保险人给患者造成损害，被保险人未向该患者及其他赔偿权利人赔偿的，保险人不得向被保险人赔偿保险金。</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投保人/被保险人义务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第十六条 </w:t>
      </w:r>
      <w:r>
        <w:rPr>
          <w:rFonts w:hint="eastAsia" w:ascii="宋体" w:hAnsi="宋体" w:eastAsia="宋体" w:cs="宋体"/>
          <w:sz w:val="24"/>
          <w:szCs w:val="24"/>
          <w:lang w:bidi="ar"/>
        </w:rPr>
        <w:t xml:space="preserve">订立保险合同，保险人就保险标的或者被保险人的有关情况提出询问的，投保人应当如实告知，并如实填写投保单。</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投保人故意或者因重大过失未履行前款规定的如实告知义务，足以影响保险人决定是否同意承保或者提高保险费率的，保险人有权解除保险合同。</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前款规定的合同解除权，自保险人知道有解除事由之日起，超过三十日不行使而消灭。发生保险事故的，保险人应当承担赔偿保险金的责任。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投保人故意不履行如实告知义务的，保险人对于合同解除前发生的保险事故，不承担赔偿保险金的责任，并不退还保险费。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投保人因重大过失未履行如实告知义务，对保险事故的发生有严重影响的，保险人对于合同解除前发生的保险事故，不承担赔偿保险金的责任，但应当退还保险费。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保险人在合同订立时已经知道投保人未如实告知的情况的，保险人不得解除合同；发生保险事故的，保险人应当承担赔偿保险金的责任。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第十七条 </w:t>
      </w:r>
      <w:r>
        <w:rPr>
          <w:rFonts w:hint="eastAsia" w:ascii="宋体" w:hAnsi="宋体" w:eastAsia="宋体" w:cs="宋体"/>
          <w:sz w:val="24"/>
          <w:szCs w:val="24"/>
          <w:lang w:bidi="ar"/>
        </w:rPr>
        <w:t xml:space="preserve">投保人应按照保险合同的约定缴纳保险费。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第十八条 </w:t>
      </w:r>
      <w:r>
        <w:rPr>
          <w:rFonts w:hint="eastAsia" w:ascii="宋体" w:hAnsi="宋体" w:eastAsia="宋体" w:cs="宋体"/>
          <w:sz w:val="24"/>
          <w:szCs w:val="24"/>
          <w:lang w:bidi="ar"/>
        </w:rPr>
        <w:t xml:space="preserve">被保险人应遵守《中华人民共和国执业医师法》、《医疗机构管理条例》及其实施细则、《护士条例》以及国家及政府有关部门制定的相关法律、法规及其他规定，加强管理，教育医务人员遵守诊疗规范、常规，恪守医疗服务职业道德，采取合理的预防措施，尽力防止保险事故的发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第十九条 </w:t>
      </w:r>
      <w:r>
        <w:rPr>
          <w:rFonts w:hint="eastAsia" w:ascii="宋体" w:hAnsi="宋体" w:eastAsia="宋体" w:cs="宋体"/>
          <w:sz w:val="24"/>
          <w:szCs w:val="24"/>
          <w:lang w:bidi="ar"/>
        </w:rPr>
        <w:t xml:space="preserve">保险人对被保险人及其医务人员的专业资格、使用药品和医疗器械及其他各项医疗条件进行查验时，被保险人应积极协助并提供保险人需要的用以评估有关风险的详情和资料。但上述查验并不构成保险人对被保险人及其医务人员的专业资格、使用药品和医疗器械及其他各项医疗条件符合相关法律、法规或者规定的确认。保险人将所发现的缺陷或者危险书面告知被保险人后，被保险人应在力所能及，合理限度内及时采取整改措施。</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投保人、被保险人未按照约定履行上述安全义务的，保险人有权要求增加保险费或者解除合同。</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第二十条 </w:t>
      </w:r>
      <w:r>
        <w:rPr>
          <w:rFonts w:hint="eastAsia" w:ascii="宋体" w:hAnsi="宋体" w:eastAsia="宋体" w:cs="宋体"/>
          <w:sz w:val="24"/>
          <w:szCs w:val="24"/>
          <w:lang w:bidi="ar"/>
        </w:rPr>
        <w:t xml:space="preserve">在保险合同有效期内，本合同列明的重要事项如医疗机构类型、医疗机构等级发生变更导致保险标的危险程度显著增加的，被保险人应当及时书面通知保险人，保险人应及时办理批改手续或者调整保险费。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被保险人未履行前款约定的通知义务的，因保险标的的危险程度显著增加而发生的保险事故，保险人不承担赔偿保险金的责任。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第二十一条 </w:t>
      </w:r>
      <w:r>
        <w:rPr>
          <w:rFonts w:hint="eastAsia" w:ascii="宋体" w:hAnsi="宋体" w:eastAsia="宋体" w:cs="宋体"/>
          <w:sz w:val="24"/>
          <w:szCs w:val="24"/>
          <w:lang w:bidi="ar"/>
        </w:rPr>
        <w:t xml:space="preserve">保险事故发生时，被保险人应当：</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（一）尽力采取必要的措施，防止或者减少损失；</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及时通知医疗纠纷调解组织或者通过医疗责任保险报案专线电话报案，并说明事故发生的原因、经过和损失情况，保险人认可由医疗纠纷调解组织或者医疗责任保险报案专线电话提供的报案信息并视同为及时报案；</w:t>
      </w:r>
      <w:r>
        <w:rPr>
          <w:rFonts w:hint="eastAsia" w:ascii="宋体" w:hAnsi="宋体" w:eastAsia="宋体" w:cs="宋体"/>
          <w:b/>
          <w:bCs/>
          <w:sz w:val="24"/>
          <w:szCs w:val="24"/>
          <w:lang w:bidi="ar"/>
        </w:rPr>
        <w:t xml:space="preserve">故意或者因重大过失未及时通知，致使保险事故的性质、原因、损失程度等难以确定的，保险人对无法确定的部分，不承担赔偿责任，</w:t>
      </w:r>
      <w:r>
        <w:rPr>
          <w:rFonts w:hint="eastAsia" w:ascii="宋体" w:hAnsi="宋体" w:eastAsia="宋体" w:cs="宋体"/>
          <w:sz w:val="24"/>
          <w:szCs w:val="24"/>
          <w:lang w:bidi="ar"/>
        </w:rPr>
        <w:t xml:space="preserve">但保险人通过其他途径已经及时知道或者应当及时知道保险事故发生的除外。</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第二十二条 </w:t>
      </w:r>
      <w:r>
        <w:rPr>
          <w:rFonts w:hint="eastAsia" w:ascii="宋体" w:hAnsi="宋体" w:eastAsia="宋体" w:cs="宋体"/>
          <w:sz w:val="24"/>
          <w:szCs w:val="24"/>
          <w:lang w:bidi="ar"/>
        </w:rPr>
        <w:t xml:space="preserve">发生保险责任范围内的损失，应由有关责任方负责赔偿的，被保险人应行使或者保留向该责任方请求赔偿的权利。</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保险事故发生后，保险人未赔偿保险金之前，被保险人放弃对有关责任方请求赔偿的权利的，保险人不承担赔偿责任。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保险人向被保险人赔偿保险金后，被保险人未经保险人同意放弃对有关责任方请求赔偿的权利的，该行为无效。</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在保险人向有关责任方行使代位请求赔偿权利时，被保险人应当向保险人提供必要的文件和其所知道的有关情况。</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由于被保险人的故意或者重大过失致使保险人不能行使代位请求赔偿的权利的，保险人可以扣减或者要求返还相应的保险金。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第二十三条 未经保险人或者医疗纠纷调解组织书面同意，被保险人对患方做出的任何承诺、拒绝、出价、约定、付款或者赔偿，保险人不受其约束。对于被保险人自行承诺或者支付的赔偿金额，保险人有权重新核定，不属于本保险责任范围或者超出责任限额的，保险人不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第二十四条 </w:t>
      </w:r>
      <w:r>
        <w:rPr>
          <w:rFonts w:hint="eastAsia" w:ascii="宋体" w:hAnsi="宋体" w:eastAsia="宋体" w:cs="宋体"/>
          <w:sz w:val="24"/>
          <w:szCs w:val="24"/>
          <w:lang w:bidi="ar"/>
        </w:rPr>
        <w:t xml:space="preserve">被保险人获悉可能发生诉讼、仲裁时，应及时以书面形式通知保险人；接到人民法院传票或者其他法律文书后，应将其副本及时送交保险人。必要时，经被保险人同意，保险人可以以被保险人的名义处理有关诉讼或者仲裁事宜，被保险人应提供有关文件并给予必要协助。</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对因未及时提供上述通知或者必要协助导致扩大的损失，保险人不承担赔偿责任。</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赔偿处理</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第二十五条 </w:t>
      </w:r>
      <w:r>
        <w:rPr>
          <w:rFonts w:hint="eastAsia" w:ascii="宋体" w:hAnsi="宋体" w:eastAsia="宋体" w:cs="宋体"/>
          <w:sz w:val="24"/>
          <w:szCs w:val="24"/>
          <w:lang w:bidi="ar"/>
        </w:rPr>
        <w:t xml:space="preserve">发生保险事故后，保险人的赔偿金额以按照下列方式之一确定的被保险人的经济赔偿责任为依据：</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（一）在医疗纠纷调解组织主持调解下被保险人与患方达成的调解协议；</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（二）人民法院判决、调解；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（三）仲裁机构裁决、调解；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（四）卫生健康行政部门的调解；</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（五）保险人认可的其它方式。</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第二十六条 </w:t>
      </w:r>
      <w:r>
        <w:rPr>
          <w:rFonts w:hint="eastAsia" w:ascii="宋体" w:hAnsi="宋体" w:eastAsia="宋体" w:cs="宋体"/>
          <w:sz w:val="24"/>
          <w:szCs w:val="24"/>
          <w:lang w:bidi="ar"/>
        </w:rPr>
        <w:t xml:space="preserve">被保险人向保险人请求赔偿时，应提交下列单证材料：</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（一）索赔申请书（含事故情况说明）；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（二）相关医务人员的资格和执业证明、医疗机构与医务人员的关系证明；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（三）患者病历资料；患者死亡或者残疾的，提供相关机构或者部门出具的死亡证明或者残疾程度证明；</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（四）医疗纠纷调解组织出具的调解协议书、人民法院判决书、人民法院调解书、卫生健康行政部门出具的调解书、仲裁裁决书、仲裁调解书；</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（五）医疗费发票或者可以证明医疗费的其他材料以及依照本保险合同第二十七条应当由被保险人承担的其他费用的证明材料；</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（六）其他被保险人所能提供的与确认保险事故的性质、原因、损失程度等有关的证明和资料。</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第二十七条 </w:t>
      </w:r>
      <w:r>
        <w:rPr>
          <w:rFonts w:hint="eastAsia" w:ascii="宋体" w:hAnsi="宋体" w:eastAsia="宋体" w:cs="宋体"/>
          <w:sz w:val="24"/>
          <w:szCs w:val="24"/>
          <w:lang w:bidi="ar"/>
        </w:rPr>
        <w:t xml:space="preserve">发生本保险合同约定的保险事故，保险人按照法律规定计算下列赔偿项目并结合被保险人的过错程度在本保险合同列明的责任限额内进行赔偿：</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（一）造成人身损害的，包括医疗费、护理费、交通费、营养费、住院伙食补助费等为治疗和康复支出的合理费用，以及因误工减少的收入；</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（二）造成残疾的，还包括辅助器具费和残疾赔偿金，残疾等级按照《人体损伤致残程度分级》</w:t>
      </w:r>
      <w:r>
        <w:rPr>
          <w:rFonts w:hint="eastAsia" w:ascii="宋体" w:hAnsi="宋体" w:eastAsia="宋体" w:cs="宋体"/>
          <w:sz w:val="24"/>
          <w:szCs w:val="24"/>
          <w:lang w:bidi="ar"/>
        </w:rPr>
        <w:t xml:space="preserve">（最高人民法院、最高人民检察院、公安部、国家安全部、司法部2016年4月18日发布，司法部实施通知文号为司发通〔2016〕48号）</w:t>
      </w:r>
      <w:r>
        <w:rPr>
          <w:rFonts w:hint="eastAsia" w:ascii="宋体" w:hAnsi="宋体" w:eastAsia="宋体" w:cs="宋体"/>
          <w:sz w:val="24"/>
          <w:szCs w:val="24"/>
          <w:lang w:bidi="ar"/>
        </w:rPr>
        <w:t xml:space="preserve">确定；</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（三）造成死亡的，还包括赔偿丧葬费和死亡赔偿金；</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（四）人民法院判决、调解或者医疗纠纷调解组织调解所需支付的精神损害抚慰金。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第二十八条 </w:t>
      </w:r>
      <w:r>
        <w:rPr>
          <w:rFonts w:hint="eastAsia" w:ascii="宋体" w:hAnsi="宋体" w:eastAsia="宋体" w:cs="宋体"/>
          <w:sz w:val="24"/>
          <w:szCs w:val="24"/>
          <w:lang w:bidi="ar"/>
        </w:rPr>
        <w:t xml:space="preserve">发生本保险合同约定的保险事故，保险人对每次事故每位患者的精神损害抚慰金的赔偿金额不超过每次事故每位患者精神损害抚慰金责任限额，保险人对每次事故每位患者的赔偿金额总和不超过每次事故每位患者责任限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第二十九条 </w:t>
      </w:r>
      <w:r>
        <w:rPr>
          <w:rFonts w:hint="eastAsia" w:ascii="宋体" w:hAnsi="宋体" w:eastAsia="宋体" w:cs="宋体"/>
          <w:sz w:val="24"/>
          <w:szCs w:val="24"/>
          <w:lang w:bidi="ar"/>
        </w:rPr>
        <w:t xml:space="preserve">发生保险事故后，保险人对每次事故法律费用赔偿金额在每次事故责任限额之外另行计算，最高不超过每次事故法律费用责任限额，保险人对多次事故的累计法律费用赔偿金额在累计责任限额之外另行计算，最高不超过累计法律费用责任限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第三十条 </w:t>
      </w:r>
      <w:r>
        <w:rPr>
          <w:rFonts w:hint="eastAsia" w:ascii="宋体" w:hAnsi="宋体" w:eastAsia="宋体" w:cs="宋体"/>
          <w:sz w:val="24"/>
          <w:szCs w:val="24"/>
          <w:lang w:bidi="ar"/>
        </w:rPr>
        <w:t xml:space="preserve">因药品、消毒产品、医疗器械的缺陷，或者输入不合格的血液造成患者损害，应由药品上市许可持有人、生产者</w:t>
      </w:r>
      <w:r>
        <w:rPr>
          <w:rFonts w:hint="eastAsia" w:ascii="宋体" w:hAnsi="宋体" w:eastAsia="宋体" w:cs="Times New Roman"/>
          <w:sz w:val="24"/>
          <w:szCs w:val="24"/>
          <w:lang w:bidi="ar"/>
        </w:rPr>
        <w:t xml:space="preserve">或者销售者、血液提供机构</w:t>
      </w:r>
      <w:r>
        <w:rPr>
          <w:rFonts w:hint="eastAsia" w:ascii="宋体" w:hAnsi="宋体" w:eastAsia="宋体" w:cs="宋体"/>
          <w:sz w:val="24"/>
          <w:szCs w:val="24"/>
          <w:lang w:bidi="ar"/>
        </w:rPr>
        <w:t xml:space="preserve">负责赔偿的，保险人自向被保险人赔偿保险金之日起，在赔偿金额范围内代位行使被保险人对以上有关责任方请求赔偿的权利，被保险人应当向保险人提供必要的文件和所知道的有关情况。</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被保险人已经从有关责任方取得赔偿的，保险人赔偿保险金时，可以相应扣减被保险人已从有关责任方取得的赔偿金额。</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第三十一条 </w:t>
      </w:r>
      <w:r>
        <w:rPr>
          <w:rFonts w:hint="eastAsia" w:ascii="宋体" w:hAnsi="宋体" w:eastAsia="宋体" w:cs="宋体"/>
          <w:sz w:val="24"/>
          <w:szCs w:val="24"/>
          <w:lang w:bidi="ar"/>
        </w:rPr>
        <w:t xml:space="preserve">本保险合同保险期间到期时，若投保人未续保，被保险人将自动获得自保险期间到期日第二天起保险合同约定的免费发现期。如投保人在本保险合同到期日第二天起30天内，向保险人提出申请，并支付保险合同约定的附加保险费，保险人同意被保险人获得自免费发现期到期日第二天起保险合同约定的缴费发现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第三十二条 </w:t>
      </w:r>
      <w:r>
        <w:rPr>
          <w:rFonts w:hint="eastAsia" w:ascii="宋体" w:hAnsi="宋体" w:eastAsia="宋体" w:cs="宋体"/>
          <w:sz w:val="24"/>
          <w:szCs w:val="24"/>
          <w:lang w:bidi="ar"/>
        </w:rPr>
        <w:t xml:space="preserve">发生保险事故时，如存在重复保险，则保险人按照本保险合同的责任限额与所有有关保险合同项下的责任限额总和的比例承担赔偿责任。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highlight w:val="none"/>
        </w:rPr>
      </w:pPr>
      <w:r>
        <w:rPr>
          <w:rFonts w:hint="eastAsia" w:ascii="宋体" w:hAnsi="宋体" w:eastAsia="宋体" w:cs="宋体"/>
          <w:b/>
          <w:bCs/>
          <w:sz w:val="24"/>
          <w:szCs w:val="24"/>
          <w:lang w:bidi="ar"/>
        </w:rPr>
        <w:t xml:space="preserve">第三十三条 </w:t>
      </w:r>
      <w:r>
        <w:rPr>
          <w:rFonts w:hint="eastAsia" w:ascii="宋体" w:hAnsi="宋体" w:eastAsia="宋体" w:cs="宋体"/>
          <w:sz w:val="24"/>
          <w:szCs w:val="24"/>
          <w:highlight w:val="none"/>
          <w:lang w:bidi="ar"/>
        </w:rPr>
        <w:t xml:space="preserve">被保险人向保险人请求赔偿保险金的诉讼时效期间为</w:t>
      </w:r>
      <w:r>
        <w:rPr>
          <w:rFonts w:hint="eastAsia" w:ascii="宋体" w:hAnsi="宋体" w:eastAsia="宋体" w:cs="宋体"/>
          <w:sz w:val="24"/>
          <w:szCs w:val="24"/>
          <w:highlight w:val="none"/>
          <w:lang w:val="en-US" w:eastAsia="zh-CN" w:bidi="ar"/>
        </w:rPr>
        <w:t xml:space="preserve">二</w:t>
      </w:r>
      <w:r>
        <w:rPr>
          <w:rFonts w:hint="eastAsia" w:ascii="宋体" w:hAnsi="宋体" w:eastAsia="宋体" w:cs="宋体"/>
          <w:sz w:val="24"/>
          <w:szCs w:val="24"/>
          <w:highlight w:val="none"/>
          <w:lang w:bidi="ar"/>
        </w:rPr>
        <w:t xml:space="preserve">年，自其知道或者应当知道保险事故发生之日起计算。</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争议处理和法律适用</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第三十四条 </w:t>
      </w:r>
      <w:r>
        <w:rPr>
          <w:rFonts w:hint="eastAsia" w:ascii="宋体" w:hAnsi="宋体" w:eastAsia="宋体" w:cs="宋体"/>
          <w:sz w:val="24"/>
          <w:szCs w:val="24"/>
          <w:lang w:bidi="ar"/>
        </w:rPr>
        <w:t xml:space="preserve">因履行本合同发生的争议，由当事人协商解决。当事人协商不成的，可依法向人民法院起诉。</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第三十五条 </w:t>
      </w:r>
      <w:r>
        <w:rPr>
          <w:rFonts w:hint="eastAsia" w:ascii="宋体" w:hAnsi="宋体" w:eastAsia="宋体" w:cs="宋体"/>
          <w:sz w:val="24"/>
          <w:szCs w:val="24"/>
          <w:lang w:bidi="ar"/>
        </w:rPr>
        <w:t xml:space="preserve">本保险合同的争议处理适用中华人民共和国法律。</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其他事项</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第三十六条 </w:t>
      </w:r>
      <w:r>
        <w:rPr>
          <w:rFonts w:hint="eastAsia" w:ascii="宋体" w:hAnsi="宋体" w:eastAsia="宋体" w:cs="宋体"/>
          <w:sz w:val="24"/>
          <w:szCs w:val="24"/>
          <w:lang w:bidi="ar"/>
        </w:rPr>
        <w:t xml:space="preserve">除本保险合同约定外，本保险合同成立后，保险人不得解除本保险合同。</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第三十七条 </w:t>
      </w:r>
      <w:r>
        <w:rPr>
          <w:rFonts w:hint="eastAsia" w:ascii="宋体" w:hAnsi="宋体" w:eastAsia="宋体" w:cs="宋体"/>
          <w:sz w:val="24"/>
          <w:szCs w:val="24"/>
          <w:lang w:bidi="ar"/>
        </w:rPr>
        <w:t xml:space="preserve">保险责任开始前，投保人或者保险人要求解除保险合同的，保险人应当退还全部保险费。保险责任开始后，投保人要求解除保险合同的，自通知保险人之日起，保险合同解除，保险人应向投保人退还未满期保险费。</w:t>
      </w:r>
      <w:r/>
    </w:p>
    <w:p>
      <w:pPr>
        <w:jc w:val="center"/>
        <w:keepLines w:val="0"/>
        <w:keepNext w:val="0"/>
        <w:pageBreakBefore w:val="0"/>
        <w:spacing w:line="400" w:lineRule="exact"/>
        <w:widowControl/>
        <w:rPr>
          <w:rFonts w:ascii="Times New Roman" w:hAnsi="Times New Roman" w:eastAsia="宋体" w:cs="Times New Roman"/>
          <w:sz w:val="24"/>
          <w:szCs w:val="24"/>
        </w:rPr>
        <w:outlineLvl w:val="3"/>
      </w:pPr>
      <w:r>
        <w:rPr>
          <w:rFonts w:hint="eastAsia" w:ascii="宋体" w:hAnsi="宋体" w:eastAsia="宋体" w:cs="宋体"/>
          <w:b/>
          <w:bCs/>
          <w:sz w:val="24"/>
          <w:szCs w:val="24"/>
          <w:lang w:bidi="ar"/>
        </w:rPr>
        <w:t xml:space="preserve">释义</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除非另有约定，本保险合同中有关名词的释义如下：</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1.追溯期：</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是指保险合同中约定的从保险期间起始日向前追溯的一段时间,保险人对该段时间内发生且患方在保险期间或者发现期内首次向被保险人提出人身损害赔偿请求的保险事故按照本保险合同的约定承担赔偿责任。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2.医务人员：</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在被保险医疗机构执业的经过国家有关部门考核、批准或者承认，取得相应资格的各级各类卫生技术人员。在本保险合同中，卫生技术人员也包括医疗管理人员、外聘医务人员、进修生、外请会诊医务人员、符合</w:t>
      </w:r>
      <w:r>
        <w:rPr>
          <w:rFonts w:hint="eastAsia" w:ascii="宋体" w:hAnsi="宋体" w:eastAsia="宋体" w:cs="宋体"/>
          <w:sz w:val="24"/>
          <w:szCs w:val="24"/>
          <w:lang w:bidi="ar"/>
        </w:rPr>
        <w:t xml:space="preserve">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在本保险合同中，卫生技术人员也包括按照《医学教育临床实践管理暂行规定》(卫办科教发[2008]45号)在临床带教教师或者指导医务人员指导下进行诊疗活动的医学生、试用期医学毕业生。</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3.诊疗活动：</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通过各种检查，使用药物、器械及手术等方法，对疾病作出判断和消除疾病、缓解病情、减轻痛苦、改善功能、延长生命、帮助患者恢复健康的活动。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本保险合同中诊疗活动同时包括医疗美容诊疗活动、健康体检诊疗活动以及被保险人提供健康教育、预防接种、儿童健康管理、孕产妇健康管理、老年人健康管理、慢性病（高血压、糖尿病）患者健康管理、严重精神障碍患者管理、肺结核患者健康管理、中医药健康管理等基本公共卫生服务活动，其中健康体检是指通过医学手段和方法对受检者进行身体检查，了解受检者健康状况、早期发现疾病线索和健康隐患的诊疗行为。</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4.患者：</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指接受诊疗活动的个人。</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5.特殊检查、特殊治疗：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是指具有下列情形之一的诊断、治疗活动：</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（一）有一定危险性，可能产生不良后果的检查和治疗；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（二）由于患者体质特殊或者病情危笃，可能对患者产生不良后果和危险的检查和治疗；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（三）收费可能对患者造成较大经济负担的检查和治疗。</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6.医疗美容：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是指运用手术、药物、医疗器械以及其他具有创伤性或者侵入性的医学技术方法对人的容貌和人体各部位形态进行的修复与再塑。</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7.医疗纠纷调解组织：</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是指本保险合同保险人认可的医疗纠纷调解组织。主要负责为被保险人提供医疗纠纷案件调解服务。</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8.发现期：</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482"/>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b/>
          <w:bCs/>
          <w:sz w:val="24"/>
          <w:szCs w:val="24"/>
          <w:lang w:bidi="ar"/>
        </w:rPr>
        <w:t xml:space="preserve">9.未满期保险费：</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是指保险人应退还的剩余保险期间的保险费，未满期保险费按照以下公式计算：</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未满期保险费=保险费×（合同解除之日与保险期间截止日期间天数/保险期间天数）×（累计责任限额－累计赔偿金额）/累计责任限额</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累计赔偿金额=已决赔款金额+未决赔款金额</w:t>
      </w:r>
      <w:r/>
    </w:p>
    <w:p>
      <w:pPr>
        <w:ind w:firstLine="480"/>
        <w:jc w:val="left"/>
        <w:keepLines w:val="0"/>
        <w:keepNext w:val="0"/>
        <w:pageBreakBefore w:val="0"/>
        <w:spacing w:line="400" w:lineRule="exact"/>
        <w:widowControl/>
        <w:rPr>
          <w:rFonts w:ascii="Times New Roman" w:hAnsi="Times New Roman" w:eastAsia="宋体" w:cs="Times New Roman"/>
          <w:sz w:val="24"/>
          <w:szCs w:val="24"/>
        </w:rPr>
      </w:pPr>
      <w:r>
        <w:rPr>
          <w:rFonts w:hint="eastAsia" w:ascii="宋体" w:hAnsi="宋体" w:eastAsia="宋体" w:cs="宋体"/>
          <w:sz w:val="24"/>
          <w:szCs w:val="24"/>
          <w:lang w:bidi="ar"/>
        </w:rPr>
        <w:t xml:space="preserve">未决赔款是指赔偿处理中心确定的案件估损金额。如投保人对未决赔款金额有异议，则保险人在未决案件赔偿结案后再向投保人退还未满期保险费。</w:t>
      </w:r>
      <w:bookmarkEnd w:id="74"/>
      <w:r/>
      <w:r/>
    </w:p>
    <w:p>
      <w:pPr>
        <w:ind w:firstLine="482"/>
        <w:jc w:val="center"/>
        <w:keepLines w:val="0"/>
        <w:keepNext w:val="0"/>
        <w:pageBreakBefore w:val="0"/>
        <w:spacing w:line="400" w:lineRule="exact"/>
        <w:rPr>
          <w:rFonts w:ascii="宋体" w:hAnsi="宋体" w:eastAsia="宋体" w:cs="宋体"/>
          <w:b/>
          <w:sz w:val="24"/>
          <w:szCs w:val="24"/>
        </w:rPr>
        <w:outlineLvl w:val="2"/>
      </w:pPr>
      <w:r/>
      <w:bookmarkStart w:id="75" w:name="_Toc3023_WPSOffice_Level2"/>
      <w:r/>
      <w:bookmarkEnd w:id="75"/>
      <w:r/>
      <w:bookmarkStart w:id="76" w:name="_Toc19743_WPSOffice_Level2"/>
      <w:r/>
      <w:bookmarkEnd w:id="76"/>
      <w:r/>
      <w:bookmarkStart w:id="77" w:name="_Toc13564_WPSOffice_Level2"/>
      <w:r>
        <w:rPr>
          <w:rFonts w:hint="eastAsia" w:ascii="宋体" w:hAnsi="宋体" w:eastAsia="宋体" w:cs="宋体"/>
          <w:b/>
          <w:sz w:val="24"/>
          <w:szCs w:val="24"/>
          <w:lang w:bidi="ar"/>
        </w:rPr>
        <w:t xml:space="preserve">医疗机构医疗责任保险费率机制</w:t>
      </w:r>
      <w:bookmarkEnd w:id="77"/>
      <w:r/>
      <w:r/>
    </w:p>
    <w:p>
      <w:pPr>
        <w:ind w:firstLine="482"/>
        <w:jc w:val="left"/>
        <w:keepLines w:val="0"/>
        <w:keepNext w:val="0"/>
        <w:pageBreakBefore w:val="0"/>
        <w:spacing w:line="400" w:lineRule="exact"/>
        <w:rPr>
          <w:rFonts w:ascii="Times New Roman" w:hAnsi="Times New Roman" w:eastAsia="宋体" w:cs="宋体"/>
          <w:b/>
          <w:bCs/>
          <w:sz w:val="24"/>
          <w:szCs w:val="24"/>
        </w:rPr>
      </w:pPr>
      <w:r/>
      <w:bookmarkStart w:id="78" w:name="_Toc3083_WPSOffice_Level2"/>
      <w:r/>
      <w:bookmarkEnd w:id="78"/>
      <w:r/>
      <w:bookmarkStart w:id="79" w:name="_Toc25281_WPSOffice_Level2"/>
      <w:r/>
      <w:r/>
    </w:p>
    <w:p>
      <w:pPr>
        <w:ind w:firstLine="482"/>
        <w:jc w:val="center"/>
        <w:keepLines w:val="0"/>
        <w:keepNext w:val="0"/>
        <w:pageBreakBefore w:val="0"/>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第一部分  适用医院及社区卫生服务中心、乡（镇）卫生院、综合门诊部、专科门诊部、中医门诊部、中西医结合门诊部、民族医门诊部等医疗机构</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一、保险费计算公式</w:t>
      </w:r>
      <w:bookmarkEnd w:id="79"/>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（一）基础保险费计算公式</w:t>
      </w:r>
      <w:r/>
    </w:p>
    <w:p>
      <w:pPr>
        <w:ind w:firstLine="480"/>
        <w:jc w:val="left"/>
        <w:keepLines w:val="0"/>
        <w:keepNext w:val="0"/>
        <w:pageBreakBefore w:val="0"/>
        <w:spacing w:line="400" w:lineRule="exact"/>
        <w:widowControl/>
        <w:rPr>
          <w:rFonts w:ascii="宋体" w:hAnsi="宋体" w:eastAsia="宋体" w:cs="宋体"/>
          <w:color w:val="0000ff"/>
          <w:sz w:val="24"/>
          <w:szCs w:val="24"/>
        </w:rPr>
      </w:pPr>
      <w:r>
        <w:rPr>
          <w:rFonts w:hint="eastAsia" w:ascii="宋体" w:hAnsi="宋体" w:eastAsia="宋体" w:cs="宋体"/>
          <w:sz w:val="24"/>
          <w:szCs w:val="24"/>
          <w:lang w:bidi="ar"/>
        </w:rPr>
        <w:t xml:space="preserve">基础保险费 = 诊疗人次数 × 诊疗人次数基础保险费率 + 出院人数 × 出院人数基础保险费率 + 住院病人手术人次数 × 住院病人手术人次数基础保险费率</w:t>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（二）保险费计算公式</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保险费 = 基础保险费 × 医疗机构类型风险系数 ×（1 + 累计责任限额调整因子）×（1 + 每次事故责任限额调整因子）×（1 + 地区经济发展水平调整因子）×（1 + 赔付率调整因子）</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未定级的社区卫生服务中心、乡(镇)中心卫生院、综合门诊部、专科门诊部、中医门诊部、中西医结合门诊部、民族医门诊部参照一级医院相关投保规则进行投保，如其已经参与定级，应当选择对应等级的医疗机构基础保险费率和责任限额调整因子。</w:t>
      </w:r>
      <w:r/>
    </w:p>
    <w:p>
      <w:pPr>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lang w:bidi="ar"/>
        </w:rPr>
        <w:t xml:space="preserve">2、三级医院最终缴纳的总保险费不得低于15万元；二级医院最终缴纳的总保险费不得低于5万元；一级医院最终缴纳的总保险费不得低于3万元。</w:t>
      </w:r>
      <w:r/>
    </w:p>
    <w:p>
      <w:pPr>
        <w:ind w:firstLine="482"/>
        <w:jc w:val="left"/>
        <w:keepLines w:val="0"/>
        <w:keepNext w:val="0"/>
        <w:pageBreakBefore w:val="0"/>
        <w:spacing w:line="400" w:lineRule="exact"/>
        <w:widowControl/>
        <w:rPr>
          <w:rFonts w:ascii="宋体" w:hAnsi="宋体" w:eastAsia="宋体" w:cs="宋体"/>
          <w:b/>
          <w:sz w:val="24"/>
          <w:szCs w:val="24"/>
          <w:lang w:bidi="ar"/>
        </w:rPr>
      </w:pPr>
      <w:r/>
      <w:bookmarkStart w:id="80" w:name="_Toc735_WPSOffice_Level2"/>
      <w:r/>
      <w:bookmarkEnd w:id="80"/>
      <w:r/>
      <w:bookmarkStart w:id="81" w:name="_Toc25738_WPSOffice_Level2"/>
      <w:r>
        <w:rPr>
          <w:rFonts w:hint="eastAsia" w:ascii="宋体" w:hAnsi="宋体" w:eastAsia="宋体" w:cs="宋体"/>
          <w:b/>
          <w:sz w:val="24"/>
          <w:szCs w:val="24"/>
          <w:lang w:bidi="ar"/>
        </w:rPr>
        <w:t xml:space="preserve">二、基础保险费率</w:t>
      </w:r>
      <w:bookmarkEnd w:id="81"/>
      <w:r/>
      <w:r/>
    </w:p>
    <w:tbl>
      <w:tblPr>
        <w:tblStyle w:val="93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2540"/>
        <w:gridCol w:w="1921"/>
        <w:gridCol w:w="2316"/>
        <w:gridCol w:w="2316"/>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医疗机构</w:t>
            </w:r>
            <w:r>
              <w:rPr>
                <w:rFonts w:hint="eastAsia" w:ascii="宋体" w:hAnsi="宋体" w:eastAsia="宋体" w:cs="宋体"/>
                <w:b/>
                <w:sz w:val="24"/>
                <w:szCs w:val="24"/>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hint="eastAsia" w:ascii="宋体" w:hAnsi="宋体" w:eastAsia="宋体" w:cs="宋体"/>
                <w:b/>
                <w:sz w:val="24"/>
                <w:szCs w:val="24"/>
                <w:lang w:bidi="ar"/>
              </w:rPr>
            </w:pPr>
            <w:r>
              <w:rPr>
                <w:rFonts w:hint="eastAsia" w:ascii="宋体" w:hAnsi="宋体" w:eastAsia="宋体" w:cs="宋体"/>
                <w:b/>
                <w:sz w:val="24"/>
                <w:szCs w:val="24"/>
                <w:lang w:bidi="ar"/>
              </w:rPr>
              <w:t xml:space="preserve">诊疗人次数</w:t>
            </w:r>
            <w:r/>
          </w:p>
          <w:p>
            <w:pPr>
              <w:jc w:val="center"/>
              <w:keepLines w:val="0"/>
              <w:keepNext w:val="0"/>
              <w:pageBreakBefore w:val="0"/>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出院人数</w:t>
            </w: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住院病人手术人次数</w:t>
            </w:r>
            <w:r>
              <w:rPr>
                <w:rFonts w:hint="eastAsia" w:ascii="宋体" w:hAnsi="宋体" w:eastAsia="宋体" w:cs="宋体"/>
                <w:b/>
                <w:sz w:val="24"/>
                <w:szCs w:val="24"/>
                <w:lang w:eastAsia="zh-CN" w:bidi="ar"/>
              </w:rPr>
              <w:t xml:space="preserve">（</w:t>
            </w:r>
            <w:r>
              <w:rPr>
                <w:rFonts w:hint="eastAsia" w:ascii="宋体" w:hAnsi="宋体" w:eastAsia="宋体" w:cs="宋体"/>
                <w:b/>
                <w:sz w:val="24"/>
                <w:szCs w:val="24"/>
                <w:lang w:val="en-US" w:eastAsia="zh-CN" w:bidi="ar"/>
              </w:rPr>
              <w:t xml:space="preserve">年费率</w:t>
            </w:r>
            <w:r>
              <w:rPr>
                <w:rFonts w:hint="eastAsia" w:ascii="宋体" w:hAnsi="宋体" w:eastAsia="宋体" w:cs="宋体"/>
                <w:b/>
                <w:sz w:val="24"/>
                <w:szCs w:val="24"/>
                <w:lang w:eastAsia="zh-CN" w:bidi="ar"/>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三级医院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二级医院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元/人次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lang w:bidi="ar"/>
              </w:rPr>
            </w:pPr>
            <w:r>
              <w:rPr>
                <w:rFonts w:hint="eastAsia" w:ascii="宋体" w:hAnsi="宋体" w:eastAsia="宋体" w:cs="宋体"/>
                <w:b/>
                <w:sz w:val="24"/>
                <w:szCs w:val="24"/>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05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u w:val="single"/>
              </w:rPr>
            </w:pPr>
            <w:r>
              <w:rPr>
                <w:rFonts w:hint="eastAsia" w:ascii="宋体" w:hAnsi="宋体" w:eastAsia="宋体" w:cs="宋体"/>
                <w:sz w:val="24"/>
                <w:szCs w:val="24"/>
                <w:lang w:bidi="ar"/>
              </w:rPr>
              <w:t xml:space="preserve">元/人次</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u w:val="single"/>
              </w:rPr>
            </w:pPr>
            <w:r>
              <w:rPr>
                <w:rFonts w:hint="eastAsia" w:ascii="宋体" w:hAnsi="宋体" w:eastAsia="宋体" w:cs="宋体"/>
                <w:sz w:val="24"/>
                <w:szCs w:val="24"/>
                <w:lang w:bidi="ar"/>
              </w:rPr>
              <w:t xml:space="preserve">元/人</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keepLines w:val="0"/>
              <w:keepNext w:val="0"/>
              <w:pageBreakBefore w:val="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元/人次</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注：1、诊疗人次数：指上年度所有诊疗工作的总人次数，统计界定原则为：①按挂号数统计，包括门诊、急诊、出诊、预约诊疗、单项健康检查、健康咨询指导（不含健康讲座）人次。患者 1 次就诊多次挂号,按实际诊疗次数统计,不包括根据医嘱进行的各项检查、治疗、处置工作量以及免疫接种、健康管理服务人次数；②未挂号就诊、本单位职工就诊及外出诊（不含外出会诊）不收取挂号费的，按实际诊疗人次统计。</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出院人数：指上年度内所有住院后出院的人数。包括医嘱离院、医嘱转其他医疗机构、非医嘱离院、死亡及其他人数，不含家庭病床撤床人数。统计界定原则：①“死亡”：包括已办住院手续后死亡、未办住院手续而实际上已收容入院的死亡者。②“其他”：指正常分娩和未产出院、未治和住院经检查无病出院、无并发症的人工流产或绝育手术出院者。</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住院病人手术人次数：指上年度有正规手术单或麻醉单施行手术的住院病人总数(包括产科手术病人数)。同一病人本次在院就诊期间患有同一疾病或不同疾病施行多次手术者,按实际施行的手术次数统计。4、营利性医院基础保险费率为上表对应等级医院基础保险费率的1.5倍。未定级的营利性医院根据其规模参考原卫生部《医疗机构基本标准（试行）》确定其对应的医疗机构等级。</w:t>
      </w:r>
      <w:r/>
    </w:p>
    <w:p>
      <w:pPr>
        <w:ind w:firstLine="482"/>
        <w:jc w:val="left"/>
        <w:keepLines w:val="0"/>
        <w:keepNext w:val="0"/>
        <w:pageBreakBefore w:val="0"/>
        <w:spacing w:line="400" w:lineRule="exact"/>
        <w:widowControl/>
        <w:rPr>
          <w:rFonts w:ascii="宋体" w:hAnsi="宋体" w:eastAsia="宋体" w:cs="宋体"/>
          <w:b/>
          <w:sz w:val="24"/>
          <w:szCs w:val="24"/>
        </w:rPr>
      </w:pPr>
      <w:r/>
      <w:bookmarkStart w:id="82" w:name="_Toc32741_WPSOffice_Level2"/>
      <w:r/>
      <w:bookmarkEnd w:id="82"/>
      <w:r/>
      <w:bookmarkStart w:id="83" w:name="_Toc442_WPSOffice_Level2"/>
      <w:r>
        <w:rPr>
          <w:rFonts w:hint="eastAsia" w:ascii="宋体" w:hAnsi="宋体" w:eastAsia="宋体" w:cs="宋体"/>
          <w:b/>
          <w:sz w:val="24"/>
          <w:szCs w:val="24"/>
          <w:lang w:bidi="ar"/>
        </w:rPr>
        <w:t xml:space="preserve">三、医疗机构类型风险系数</w:t>
      </w:r>
      <w:bookmarkEnd w:id="83"/>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886"/>
        <w:gridCol w:w="5812"/>
        <w:gridCol w:w="1418"/>
      </w:tblGrid>
      <w:tr>
        <w:trPr>
          <w:jc w:val="center"/>
        </w:trPr>
        <w:tc>
          <w:tcPr>
            <w:shd w:val="clear" w:color="auto" w:fill="f3f3f3"/>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3f3f3"/>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医疗机构类型</w:t>
            </w:r>
            <w:r/>
          </w:p>
        </w:tc>
        <w:tc>
          <w:tcPr>
            <w:shd w:val="clear" w:color="auto" w:fill="f3f3f3"/>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风险系数</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综合医院；儿童医院；中西医结合医院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肿瘤医院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妇幼保健院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骨科医院；心血管病医院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1.3</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主营泌尿科、男科、妇科的医疗机构</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口腔医院；血液病医院；美容医疗机构；整形外科医院；专科疾病防治院（所、站）</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0.9</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中医医院；民族医医院；传染病医院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0.8</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精神病医院；康复医院；护理院（站）；皮肤病医院</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0.75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疗养院；临床检验中心；急救中心（站）</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0.5</w:t>
            </w:r>
            <w:r/>
          </w:p>
        </w:tc>
      </w:tr>
      <w:tr>
        <w:trPr>
          <w:jc w:val="cente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其他医疗机构</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1.0</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注：上表医疗机构类型参考原卫生部《医疗机构基本标准（试行）》和《医疗机构管理条例实施细则》设定。</w:t>
      </w:r>
      <w:r/>
    </w:p>
    <w:p>
      <w:pPr>
        <w:ind w:firstLine="482"/>
        <w:jc w:val="left"/>
        <w:keepLines w:val="0"/>
        <w:keepNext w:val="0"/>
        <w:pageBreakBefore w:val="0"/>
        <w:spacing w:line="400" w:lineRule="exact"/>
        <w:widowControl/>
        <w:rPr>
          <w:rFonts w:ascii="宋体" w:hAnsi="宋体" w:eastAsia="宋体" w:cs="宋体"/>
          <w:b/>
          <w:sz w:val="24"/>
          <w:szCs w:val="24"/>
        </w:rPr>
      </w:pPr>
      <w:r/>
      <w:bookmarkStart w:id="84" w:name="_Toc14102_WPSOffice_Level2"/>
      <w:r/>
      <w:bookmarkEnd w:id="84"/>
      <w:r/>
      <w:bookmarkStart w:id="85" w:name="_Toc12132_WPSOffice_Level2"/>
      <w:r>
        <w:rPr>
          <w:rFonts w:hint="eastAsia" w:ascii="宋体" w:hAnsi="宋体" w:eastAsia="宋体" w:cs="宋体"/>
          <w:b/>
          <w:sz w:val="24"/>
          <w:szCs w:val="24"/>
          <w:lang w:bidi="ar"/>
        </w:rPr>
        <w:t xml:space="preserve">四、调整因子</w:t>
      </w:r>
      <w:bookmarkEnd w:id="85"/>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（一）累计责任限额调整因子</w:t>
      </w:r>
      <w:r/>
    </w:p>
    <w:tbl>
      <w:tblPr>
        <w:tblStyle w:val="934"/>
        <w:tblW w:w="8861" w:type="dxa"/>
        <w:jc w:val="center"/>
        <w:tblLayout w:type="fixed"/>
        <w:tblCellMar>
          <w:left w:w="108" w:type="dxa"/>
          <w:top w:w="0" w:type="dxa"/>
          <w:right w:w="108" w:type="dxa"/>
          <w:bottom w:w="0" w:type="dxa"/>
        </w:tblCellMar>
        <w:tblLook w:val="04A0" w:firstRow="1" w:lastRow="0" w:firstColumn="1" w:lastColumn="0" w:noHBand="0" w:noVBand="1"/>
      </w:tblPr>
      <w:tblGrid>
        <w:gridCol w:w="1098"/>
        <w:gridCol w:w="1688"/>
        <w:gridCol w:w="2476"/>
        <w:gridCol w:w="2122"/>
        <w:gridCol w:w="1477"/>
      </w:tblGrid>
      <w:tr>
        <w:trPr>
          <w:jc w:val="center"/>
          <w:trHeight w:val="608"/>
        </w:trPr>
        <w:tc>
          <w:tcPr>
            <w:shd w:val="clear" w:color="auto" w:fill="f3f3f3"/>
            <w:tcBorders>
              <w:top w:val="single" w:color="auto" w:sz="4" w:space="0"/>
              <w:left w:val="single" w:color="auto" w:sz="4" w:space="0"/>
              <w:bottom w:val="single" w:color="auto" w:sz="4" w:space="0"/>
              <w:right w:val="single" w:color="auto" w:sz="4" w:space="0"/>
            </w:tcBorders>
            <w:tcW w:w="1098" w:type="dxa"/>
            <w:vAlign w:val="center"/>
            <w:vMerge w:val="restart"/>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gridSpan w:val="3"/>
            <w:shd w:val="clear" w:color="auto" w:fill="f3f3f3"/>
            <w:tcBorders>
              <w:top w:val="single" w:color="auto" w:sz="4" w:space="0"/>
              <w:left w:val="none" w:color="000000" w:sz="4" w:space="0"/>
              <w:bottom w:val="single" w:color="auto" w:sz="4" w:space="0"/>
              <w:right w:val="single" w:color="auto" w:sz="4" w:space="0"/>
            </w:tcBorders>
            <w:tcW w:w="628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累计责任限额</w:t>
            </w:r>
            <w:r/>
          </w:p>
        </w:tc>
        <w:tc>
          <w:tcPr>
            <w:shd w:val="clear" w:color="auto" w:fill="f3f3f3"/>
            <w:tcBorders>
              <w:top w:val="single" w:color="auto" w:sz="4" w:space="0"/>
              <w:left w:val="none" w:color="000000" w:sz="4" w:space="0"/>
              <w:bottom w:val="single" w:color="auto" w:sz="4" w:space="0"/>
              <w:right w:val="single" w:color="auto" w:sz="4" w:space="0"/>
            </w:tcBorders>
            <w:tcW w:w="1477" w:type="dxa"/>
            <w:vAlign w:val="center"/>
            <w:vMerge w:val="restart"/>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Height w:val="488"/>
        </w:trPr>
        <w:tc>
          <w:tcPr>
            <w:shd w:val="clear" w:color="auto" w:fill="f3f3f3"/>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c>
          <w:tcPr>
            <w:shd w:val="clear" w:color="auto" w:fill="f3f3f3"/>
            <w:tcBorders>
              <w:top w:val="single" w:color="auto" w:sz="4" w:space="0"/>
              <w:left w:val="none" w:color="000000"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三级医院</w:t>
            </w:r>
            <w:r/>
          </w:p>
        </w:tc>
        <w:tc>
          <w:tcPr>
            <w:shd w:val="clear" w:color="auto" w:fill="f3f3f3"/>
            <w:tcBorders>
              <w:top w:val="single" w:color="auto" w:sz="4" w:space="0"/>
              <w:left w:val="none" w:color="000000" w:sz="4" w:space="0"/>
              <w:bottom w:val="single" w:color="auto" w:sz="4" w:space="0"/>
              <w:right w:val="single" w:color="auto" w:sz="4" w:space="0"/>
            </w:tcBorders>
            <w:tcW w:w="2476"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二级医院</w:t>
            </w:r>
            <w:r/>
          </w:p>
        </w:tc>
        <w:tc>
          <w:tcPr>
            <w:shd w:val="clear" w:color="auto" w:fill="f3f3f3"/>
            <w:tcBorders>
              <w:top w:val="single" w:color="auto" w:sz="4" w:space="0"/>
              <w:left w:val="none" w:color="000000" w:sz="4" w:space="0"/>
              <w:bottom w:val="single" w:color="auto" w:sz="4" w:space="0"/>
              <w:right w:val="single" w:color="auto" w:sz="4" w:space="0"/>
            </w:tcBorders>
            <w:tcW w:w="2122" w:type="dxa"/>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一级及以下</w:t>
            </w:r>
            <w:r/>
          </w:p>
        </w:tc>
        <w:tc>
          <w:tcPr>
            <w:shd w:val="clear" w:color="auto" w:fill="f3f3f3"/>
            <w:tcBorders>
              <w:top w:val="single" w:color="auto" w:sz="4" w:space="0"/>
              <w:left w:val="none" w:color="000000" w:sz="4" w:space="0"/>
              <w:bottom w:val="single" w:color="auto" w:sz="4" w:space="0"/>
              <w:right w:val="single" w:color="auto" w:sz="4" w:space="0"/>
            </w:tcBorders>
            <w:tcW w:w="1477" w:type="dxa"/>
            <w:vAlign w:val="center"/>
            <w:vMerge w:val="continue"/>
            <w:textDirection w:val="lrTb"/>
            <w:noWrap w:val="false"/>
          </w:tcPr>
          <w:p>
            <w:pPr>
              <w:keepLines w:val="0"/>
              <w:keepNext w:val="0"/>
              <w:pageBreakBefore w:val="0"/>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1688"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300万元</w:t>
            </w:r>
            <w:r/>
          </w:p>
        </w:tc>
        <w:tc>
          <w:tcPr>
            <w:tcBorders>
              <w:top w:val="single" w:color="auto" w:sz="4" w:space="0"/>
              <w:left w:val="none" w:color="000000" w:sz="4" w:space="0"/>
              <w:bottom w:val="single" w:color="auto" w:sz="4" w:space="0"/>
              <w:right w:val="single" w:color="auto" w:sz="4" w:space="0"/>
            </w:tcBorders>
            <w:tcW w:w="247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150万元</w:t>
            </w:r>
            <w:r/>
          </w:p>
        </w:tc>
        <w:tc>
          <w:tcPr>
            <w:tcBorders>
              <w:top w:val="single" w:color="auto" w:sz="4" w:space="0"/>
              <w:left w:val="none" w:color="000000" w:sz="4" w:space="0"/>
              <w:bottom w:val="single" w:color="auto" w:sz="4" w:space="0"/>
              <w:right w:val="single" w:color="auto" w:sz="4" w:space="0"/>
            </w:tcBorders>
            <w:tcW w:w="2122"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70</w:t>
            </w:r>
            <w:r>
              <w:rPr>
                <w:rFonts w:hint="eastAsia" w:ascii="宋体" w:hAnsi="宋体" w:eastAsia="宋体" w:cs="宋体"/>
                <w:sz w:val="24"/>
                <w:szCs w:val="24"/>
                <w:lang w:bidi="ar"/>
              </w:rPr>
              <w:t xml:space="preserve">万元</w:t>
            </w:r>
            <w:r/>
          </w:p>
        </w:tc>
        <w:tc>
          <w:tcPr>
            <w:tcBorders>
              <w:top w:val="single" w:color="auto" w:sz="4" w:space="0"/>
              <w:left w:val="none" w:color="000000" w:sz="4" w:space="0"/>
              <w:bottom w:val="single" w:color="auto" w:sz="4" w:space="0"/>
              <w:right w:val="single" w:color="auto" w:sz="4" w:space="0"/>
            </w:tcBorders>
            <w:tcW w:w="1477"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注：1、累计法律费用责任限额为累计责任限额的10%。</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2、如果投保人选择的累计责任限额小于总保险费的1.3倍，则累计责任限额上浮至其总保险费的1.3倍。</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3、未定级的营利性医院累计责任限额的选择适用与其对应等级的医疗机构累计责任限额调整因子。</w:t>
      </w:r>
      <w:r/>
    </w:p>
    <w:p>
      <w:pPr>
        <w:ind w:firstLine="482"/>
        <w:jc w:val="left"/>
        <w:keepLines w:val="0"/>
        <w:keepNext w:val="0"/>
        <w:pageBreakBefore w:val="0"/>
        <w:spacing w:line="400" w:lineRule="exact"/>
        <w:widowControl/>
        <w:rPr>
          <w:rFonts w:ascii="宋体" w:hAnsi="宋体" w:eastAsia="宋体" w:cs="宋体"/>
          <w:b/>
          <w:sz w:val="24"/>
          <w:szCs w:val="24"/>
          <w:lang w:bidi="ar"/>
        </w:rPr>
      </w:pPr>
      <w:r>
        <w:rPr>
          <w:rFonts w:hint="eastAsia" w:ascii="宋体" w:hAnsi="宋体" w:eastAsia="宋体" w:cs="宋体"/>
          <w:b/>
          <w:sz w:val="24"/>
          <w:szCs w:val="24"/>
          <w:lang w:bidi="ar"/>
        </w:rPr>
        <w:t xml:space="preserve">（二）每次事故责任限额调整因子</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（1）三级医院</w:t>
      </w:r>
      <w:r/>
    </w:p>
    <w:tbl>
      <w:tblPr>
        <w:tblStyle w:val="934"/>
        <w:tblW w:w="4993" w:type="pct"/>
        <w:jc w:val="center"/>
        <w:tblLayout w:type="autofit"/>
        <w:tblCellMar>
          <w:left w:w="108" w:type="dxa"/>
          <w:top w:w="0" w:type="dxa"/>
          <w:right w:w="108" w:type="dxa"/>
          <w:bottom w:w="0" w:type="dxa"/>
        </w:tblCellMar>
        <w:tblLook w:val="04A0" w:firstRow="1" w:lastRow="0" w:firstColumn="1" w:lastColumn="0" w:noHBand="0" w:noVBand="1"/>
      </w:tblPr>
      <w:tblGrid>
        <w:gridCol w:w="1028"/>
        <w:gridCol w:w="2818"/>
        <w:gridCol w:w="2818"/>
        <w:gridCol w:w="2421"/>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50万元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40万元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万元；</w:t>
      </w:r>
      <w:r/>
    </w:p>
    <w:p>
      <w:pPr>
        <w:numPr>
          <w:ilvl w:val="0"/>
          <w:numId w:val="7"/>
        </w:numPr>
        <w:ind w:firstLine="480"/>
        <w:keepLines w:val="0"/>
        <w:keepNext w:val="0"/>
        <w:pageBreakBefore w:val="0"/>
        <w:spacing w:line="40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每次事故法律费用责任限额为每次事故责任限额的10%。</w:t>
      </w:r>
      <w:r>
        <w:rPr>
          <w:rFonts w:hint="eastAsia" w:ascii="宋体" w:hAnsi="宋体" w:eastAsia="宋体" w:cs="宋体"/>
          <w:sz w:val="24"/>
          <w:szCs w:val="24"/>
          <w:lang w:val="en-US" w:eastAsia="zh-CN" w:bidi="ar"/>
        </w:rPr>
        <w:t xml:space="preserve"> </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（2）二级医院</w:t>
      </w:r>
      <w:r/>
    </w:p>
    <w:tbl>
      <w:tblPr>
        <w:tblStyle w:val="934"/>
        <w:tblW w:w="4993" w:type="pct"/>
        <w:jc w:val="center"/>
        <w:tblLayout w:type="autofit"/>
        <w:tblCellMar>
          <w:left w:w="108" w:type="dxa"/>
          <w:top w:w="0" w:type="dxa"/>
          <w:right w:w="108" w:type="dxa"/>
          <w:bottom w:w="0" w:type="dxa"/>
        </w:tblCellMar>
        <w:tblLook w:val="04A0" w:firstRow="1" w:lastRow="0" w:firstColumn="1" w:lastColumn="0" w:noHBand="0" w:noVBand="1"/>
      </w:tblPr>
      <w:tblGrid>
        <w:gridCol w:w="1028"/>
        <w:gridCol w:w="2818"/>
        <w:gridCol w:w="2818"/>
        <w:gridCol w:w="2421"/>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Times New Roman" w:hAnsi="Times New Roman" w:eastAsia="宋体" w:cs="Times New Roman"/>
          <w:sz w:val="24"/>
          <w:szCs w:val="24"/>
          <w:lang w:val="en-US" w:eastAsia="zh-CN"/>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万元；</w:t>
      </w:r>
      <w:r/>
    </w:p>
    <w:p>
      <w:pPr>
        <w:ind w:firstLine="1200"/>
        <w:jc w:val="left"/>
        <w:keepLines w:val="0"/>
        <w:keepNext w:val="0"/>
        <w:pageBreakBefore w:val="0"/>
        <w:spacing w:line="400" w:lineRule="exact"/>
        <w:widowControl/>
        <w:rPr>
          <w:rFonts w:hint="default" w:ascii="Times New Roman" w:hAnsi="Times New Roman" w:eastAsia="宋体" w:cs="Times New Roman"/>
          <w:sz w:val="24"/>
          <w:szCs w:val="24"/>
          <w:lang w:val="en-US" w:eastAsia="zh-CN"/>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每次事故法律费用责任限额为每次事故责任限额的10%。</w:t>
      </w:r>
      <w:r/>
    </w:p>
    <w:p>
      <w:pPr>
        <w:ind w:firstLine="482"/>
        <w:jc w:val="both"/>
        <w:keepLines w:val="0"/>
        <w:keepNext w:val="0"/>
        <w:pageBreakBefore w:val="0"/>
        <w:spacing w:line="400" w:lineRule="exact"/>
        <w:widowControl w:val="off"/>
        <w:tabs>
          <w:tab w:val="left" w:pos="2020" w:leader="none"/>
          <w:tab w:val="center" w:pos="4535" w:leader="none"/>
        </w:tabs>
        <w:rPr>
          <w:rFonts w:ascii="宋体" w:hAnsi="Times New Roman" w:eastAsia="宋体" w:cs="宋体"/>
          <w:b/>
          <w:sz w:val="24"/>
          <w:szCs w:val="24"/>
          <w:lang w:val="en-US" w:eastAsia="zh-CN" w:bidi="ar-SA"/>
        </w:rPr>
      </w:pPr>
      <w:r>
        <w:rPr>
          <w:rFonts w:hint="eastAsia" w:ascii="宋体" w:hAnsi="Times New Roman" w:eastAsia="宋体" w:cs="宋体"/>
          <w:b/>
          <w:sz w:val="24"/>
          <w:szCs w:val="24"/>
          <w:lang w:val="en-US" w:eastAsia="zh-CN" w:bidi="ar-SA"/>
        </w:rPr>
        <w:t xml:space="preserve">（3）一级及以下医院</w:t>
      </w:r>
      <w:r/>
    </w:p>
    <w:tbl>
      <w:tblPr>
        <w:tblStyle w:val="934"/>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1029"/>
        <w:gridCol w:w="2818"/>
        <w:gridCol w:w="2818"/>
        <w:gridCol w:w="2422"/>
      </w:tblGrid>
      <w:tr>
        <w:trPr>
          <w:jc w:val="center"/>
        </w:trPr>
        <w:tc>
          <w:tcPr>
            <w:shd w:val="clear" w:color="auto" w:fill="f2f2f2"/>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责任限额</w:t>
            </w:r>
            <w:r/>
          </w:p>
        </w:tc>
        <w:tc>
          <w:tcPr>
            <w:shd w:val="clear" w:color="auto" w:fill="f2f2f2"/>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每次事故每位</w:t>
            </w:r>
            <w:r/>
          </w:p>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患者责任限额</w:t>
            </w:r>
            <w:r/>
          </w:p>
        </w:tc>
        <w:tc>
          <w:tcPr>
            <w:shd w:val="clear" w:color="auto" w:fill="f2f2f2"/>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25</w:t>
            </w:r>
            <w:r>
              <w:rPr>
                <w:rFonts w:hint="eastAsia" w:ascii="宋体" w:hAnsi="宋体" w:eastAsia="宋体" w:cs="宋体"/>
                <w:sz w:val="24"/>
                <w:szCs w:val="24"/>
                <w:lang w:bidi="ar"/>
              </w:rPr>
              <w:t xml:space="preserve">万元</w:t>
            </w:r>
            <w:r/>
          </w:p>
        </w:tc>
        <w:tc>
          <w:tcPr>
            <w:tcBorders>
              <w:top w:val="single" w:color="000000" w:sz="4" w:space="0"/>
              <w:left w:val="none" w:color="000000" w:sz="4" w:space="0"/>
              <w:bottom w:val="single" w:color="000000" w:sz="4" w:space="0"/>
              <w:right w:val="single" w:color="000000" w:sz="4" w:space="0"/>
            </w:tcBorders>
            <w:tcW w:w="1550" w:type="pct"/>
            <w:vAlign w:val="center"/>
            <w:textDirection w:val="lrTb"/>
            <w:noWrap w:val="false"/>
          </w:tcPr>
          <w:p>
            <w:pPr>
              <w:ind w:firstLine="960"/>
              <w:jc w:val="both"/>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0万元</w:t>
            </w:r>
            <w:r/>
          </w:p>
        </w:tc>
        <w:tc>
          <w:tcPr>
            <w:tcBorders>
              <w:top w:val="single" w:color="000000" w:sz="4" w:space="0"/>
              <w:left w:val="none" w:color="000000" w:sz="4" w:space="0"/>
              <w:bottom w:val="single" w:color="000000" w:sz="4" w:space="0"/>
              <w:right w:val="single" w:color="000000" w:sz="4" w:space="0"/>
            </w:tcBorders>
            <w:tcW w:w="1332"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bidi="ar"/>
              </w:rPr>
              <w:t xml:space="preserve">0</w:t>
            </w:r>
            <w:r/>
          </w:p>
        </w:tc>
      </w:tr>
    </w:tbl>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bidi="ar"/>
        </w:rPr>
        <w:t xml:space="preserve">注：1、每次事故每位患者精神损害抚慰金责任限额均为</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万元；</w:t>
      </w:r>
      <w:r/>
    </w:p>
    <w:p>
      <w:pPr>
        <w:ind w:firstLine="480"/>
        <w:keepLines w:val="0"/>
        <w:keepNext w:val="0"/>
        <w:pageBreakBefore w:val="0"/>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2、每次事故法律费用责任限额为每次事故责任限额的10%。</w:t>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（三）地区经济发展水平调整因子</w:t>
      </w:r>
      <w:r/>
    </w:p>
    <w:tbl>
      <w:tblPr>
        <w:tblStyle w:val="93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50"/>
        <w:gridCol w:w="3254"/>
      </w:tblGrid>
      <w:tr>
        <w:trPr>
          <w:trHeight w:val="394"/>
        </w:trPr>
        <w:tc>
          <w:tcPr>
            <w:shd w:val="clear" w:color="auto" w:fill="ffffff"/>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lang w:bidi="ar"/>
              </w:rPr>
              <w:t xml:space="preserve">地区经济发展水平增长率</w:t>
            </w:r>
            <w:r/>
          </w:p>
        </w:tc>
        <w:tc>
          <w:tcPr>
            <w:shd w:val="clear" w:color="auto" w:fill="ffffff"/>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lang w:bidi="ar"/>
              </w:rPr>
              <w:t xml:space="preserve">浮动比例</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增长率≥30%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20%≤增长率＜30%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10%≤增长率＜20%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r>
        <w:trPr>
          <w:trHeight w:val="394"/>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0%≤增长率＜10%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w:t>
            </w:r>
            <w:r/>
          </w:p>
        </w:tc>
      </w:tr>
      <w:tr>
        <w:trPr>
          <w:trHeight w:val="416"/>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172"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增长率＜0%</w:t>
            </w:r>
            <w:r/>
          </w:p>
        </w:tc>
        <w:tc>
          <w:tcPr>
            <w:tcBorders>
              <w:top w:val="single" w:color="auto" w:sz="4" w:space="0"/>
              <w:left w:val="none" w:color="000000" w:sz="4" w:space="0"/>
              <w:bottom w:val="single" w:color="auto" w:sz="4" w:space="0"/>
              <w:right w:val="single" w:color="auto" w:sz="4" w:space="0"/>
            </w:tcBorders>
            <w:tcMar>
              <w:left w:w="12" w:type="dxa"/>
              <w:top w:w="12" w:type="dxa"/>
              <w:right w:w="12" w:type="dxa"/>
            </w:tcMar>
            <w:tcW w:w="1827" w:type="pct"/>
            <w:vAlign w:val="center"/>
            <w:textDirection w:val="lrTb"/>
            <w:noWrap w:val="false"/>
          </w:tcPr>
          <w:p>
            <w:pPr>
              <w:jc w:val="center"/>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注：1、该调整因子仅续保时适用。</w:t>
      </w:r>
      <w:r/>
    </w:p>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2、地区经济发展水平增长率=（上年度地区城镇居民人均可支配收入-本项目启动当年地区城镇居民人均可支配收入）/本项目启动当年地区城镇居民人均可支配收入×100%。</w:t>
      </w:r>
      <w:r/>
    </w:p>
    <w:p>
      <w:pPr>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（四）赔付率调整因子</w:t>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1327"/>
        <w:gridCol w:w="4976"/>
        <w:gridCol w:w="3659"/>
      </w:tblGrid>
      <w:tr>
        <w:trPr>
          <w:jc w:val="center"/>
          <w:trHeight w:val="567"/>
        </w:trPr>
        <w:tc>
          <w:tcPr>
            <w:shd w:val="clear" w:color="auto" w:fill="f2f2f2"/>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f2f2f2"/>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lang w:bidi="ar"/>
              </w:rPr>
              <w:t xml:space="preserve">医疗机构上一张医责险保单赔付率</w:t>
            </w:r>
            <w:r/>
          </w:p>
        </w:tc>
        <w:tc>
          <w:tcPr>
            <w:shd w:val="clear" w:color="auto" w:fill="f2f2f2"/>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浮动比例</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赔付率≥500%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250%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80%≤赔付率＜500%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(赔付率-80%)/420%*250%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30%≤赔付率＜80%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0%</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赔付率＜30%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(赔付率-30%)/30%*25%</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赔付率=0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-25%</w:t>
            </w:r>
            <w:r/>
          </w:p>
        </w:tc>
      </w:tr>
      <w:tr>
        <w:trPr>
          <w:jc w:val="center"/>
          <w:trHeight w:val="567"/>
        </w:trPr>
        <w:tc>
          <w:tcPr>
            <w:tcBorders>
              <w:top w:val="single" w:color="auto" w:sz="4" w:space="0"/>
              <w:left w:val="single" w:color="auto" w:sz="4" w:space="0"/>
              <w:bottom w:val="single" w:color="auto" w:sz="4" w:space="0"/>
              <w:right w:val="single" w:color="auto" w:sz="4" w:space="0"/>
            </w:tcBorders>
            <w:tcW w:w="1327"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auto" w:sz="4" w:space="0"/>
              <w:left w:val="none" w:color="000000" w:sz="4" w:space="0"/>
              <w:bottom w:val="single" w:color="auto" w:sz="4" w:space="0"/>
              <w:right w:val="single" w:color="auto" w:sz="4" w:space="0"/>
            </w:tcBorders>
            <w:tcW w:w="4976"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连续3年赔付率=0</w:t>
            </w:r>
            <w:r/>
          </w:p>
        </w:tc>
        <w:tc>
          <w:tcPr>
            <w:tcBorders>
              <w:top w:val="single" w:color="auto" w:sz="4" w:space="0"/>
              <w:left w:val="none" w:color="000000" w:sz="4" w:space="0"/>
              <w:bottom w:val="single" w:color="auto" w:sz="4" w:space="0"/>
              <w:right w:val="single" w:color="auto" w:sz="4" w:space="0"/>
            </w:tcBorders>
            <w:tcW w:w="3659" w:type="dxa"/>
            <w:vAlign w:val="center"/>
            <w:textDirection w:val="lrTb"/>
            <w:noWrap w:val="false"/>
          </w:tcPr>
          <w:p>
            <w:pPr>
              <w:jc w:val="center"/>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-35%</w:t>
            </w:r>
            <w:r/>
          </w:p>
        </w:tc>
      </w:tr>
    </w:tbl>
    <w:p>
      <w:pPr>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注：1、该调整因子仅续保时适用。</w:t>
      </w:r>
      <w:r/>
    </w:p>
    <w:p>
      <w:pPr>
        <w:ind w:firstLine="480"/>
        <w:jc w:val="left"/>
        <w:keepLines w:val="0"/>
        <w:keepNext w:val="0"/>
        <w:pageBreakBefore w:val="0"/>
        <w:spacing w:line="40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医疗机构上一张医责险保单赔付率=（上一张医责险保单已决赔款金额+上一张医责险保单未决赔款金额）/上一张医责险保单保险费×100%；其中上一张医责险保单未决赔款金额是指赔偿处理中心确定的案件估损金额。</w:t>
      </w:r>
      <w:r/>
    </w:p>
    <w:p>
      <w:pPr>
        <w:ind w:firstLine="482"/>
        <w:jc w:val="left"/>
        <w:keepLines w:val="0"/>
        <w:keepNext w:val="0"/>
        <w:pageBreakBefore w:val="0"/>
        <w:spacing w:line="400" w:lineRule="exact"/>
        <w:widowControl/>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t xml:space="preserve">五、其他</w:t>
      </w:r>
      <w:r/>
    </w:p>
    <w:p>
      <w:pPr>
        <w:ind w:firstLine="480"/>
        <w:jc w:val="left"/>
        <w:keepLines w:val="0"/>
        <w:keepNext w:val="0"/>
        <w:pageBreakBefore w:val="0"/>
        <w:spacing w:line="400" w:lineRule="exact"/>
        <w:widowControl/>
        <w:rPr>
          <w:rFonts w:ascii="宋体" w:hAnsi="宋体" w:eastAsia="宋体" w:cs="宋体"/>
          <w:sz w:val="24"/>
          <w:szCs w:val="24"/>
          <w:lang w:bidi="ar"/>
        </w:rPr>
      </w:pPr>
      <w:r>
        <w:rPr>
          <w:rFonts w:hint="eastAsia" w:ascii="宋体" w:hAnsi="宋体" w:eastAsia="宋体" w:cs="宋体"/>
          <w:sz w:val="24"/>
          <w:szCs w:val="24"/>
          <w:lang w:val="en-US" w:eastAsia="zh-CN" w:bidi="ar"/>
        </w:rPr>
        <w:t xml:space="preserve">若医疗机构选择其他保险方案，招标方与供应方结合以上费率机制进行动态调整，一单一议。供应方的报价不得与以上费率机制产生重大分歧。</w:t>
      </w:r>
      <w:r/>
    </w:p>
    <w:p>
      <w:pPr>
        <w:ind w:firstLine="482"/>
        <w:jc w:val="center"/>
        <w:keepLines w:val="0"/>
        <w:keepNext w:val="0"/>
        <w:pageBreakBefore w:val="0"/>
        <w:spacing w:line="400" w:lineRule="exact"/>
        <w:widowControl/>
        <w:rPr>
          <w:rFonts w:ascii="仿宋" w:hAnsi="仿宋" w:eastAsia="仿宋" w:cs="仿宋"/>
          <w:bCs/>
          <w:sz w:val="24"/>
          <w:szCs w:val="24"/>
        </w:rPr>
        <w:outlineLvl w:val="3"/>
      </w:pPr>
      <w:r>
        <w:rPr>
          <w:rFonts w:hint="eastAsia" w:ascii="宋体" w:hAnsi="宋体" w:eastAsia="宋体" w:cs="宋体"/>
          <w:b/>
          <w:bCs/>
          <w:sz w:val="24"/>
          <w:szCs w:val="24"/>
        </w:rPr>
        <w:t xml:space="preserve">第二部分  适用诊所、中医诊所、民族医诊所、卫生所、医务室、卫生保健所、卫生站、村卫生室(所)、社区卫生服务站</w:t>
      </w:r>
      <w:r/>
    </w:p>
    <w:tbl>
      <w:tblPr>
        <w:tblStyle w:val="9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1818"/>
        <w:gridCol w:w="1818"/>
        <w:gridCol w:w="1820"/>
        <w:gridCol w:w="1821"/>
      </w:tblGrid>
      <w:tr>
        <w:trPr>
          <w:jc w:val="center"/>
          <w:trHeight w:val="833"/>
        </w:trPr>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方案</w:t>
            </w:r>
            <w:r/>
          </w:p>
        </w:tc>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固定保险费</w:t>
            </w:r>
            <w:r/>
          </w:p>
        </w:tc>
      </w:tr>
      <w:tr>
        <w:trPr>
          <w:jc w:val="center"/>
          <w:trHeight w:val="660"/>
        </w:trPr>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方案一</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0万元</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25万元</w:t>
            </w:r>
            <w:r/>
          </w:p>
        </w:tc>
        <w:tc>
          <w:tcPr>
            <w:tcW w:w="100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15万元</w:t>
            </w:r>
            <w:r/>
          </w:p>
        </w:tc>
        <w:tc>
          <w:tcPr>
            <w:tcW w:w="1001"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jc w:val="center"/>
          <w:trHeight w:val="660"/>
        </w:trPr>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方案二</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0万元</w:t>
            </w:r>
            <w:r/>
          </w:p>
        </w:tc>
        <w:tc>
          <w:tcPr>
            <w:tcW w:w="999"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20万元</w:t>
            </w:r>
            <w:r/>
          </w:p>
        </w:tc>
        <w:tc>
          <w:tcPr>
            <w:tcW w:w="1000"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10万元</w:t>
            </w:r>
            <w:r/>
          </w:p>
        </w:tc>
        <w:tc>
          <w:tcPr>
            <w:tcW w:w="1001" w:type="pct"/>
            <w:vAlign w:val="center"/>
            <w:textDirection w:val="lrTb"/>
            <w:noWrap w:val="false"/>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bl>
    <w:p>
      <w:p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注：1、累计法律费用责任限额为累计责任限额的10%；</w:t>
      </w:r>
      <w:r/>
    </w:p>
    <w:p>
      <w:pPr>
        <w:numPr>
          <w:ilvl w:val="255"/>
          <w:numId w:val="0"/>
        </w:num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2、每次事故法律费用责任限额为每次事故责任限额的10%；</w:t>
      </w:r>
      <w:r/>
    </w:p>
    <w:p>
      <w:pPr>
        <w:numPr>
          <w:ilvl w:val="255"/>
          <w:numId w:val="0"/>
        </w:numPr>
        <w:ind w:firstLine="480"/>
        <w:keepLines w:val="0"/>
        <w:keepNext w:val="0"/>
        <w:pageBreakBefore w:val="0"/>
        <w:spacing w:line="400" w:lineRule="exact"/>
        <w:widowControl/>
        <w:rPr>
          <w:rFonts w:ascii="宋体" w:hAnsi="宋体" w:eastAsia="宋体" w:cs="宋体"/>
          <w:bCs/>
          <w:sz w:val="24"/>
          <w:szCs w:val="24"/>
          <w:lang w:bidi="ar"/>
        </w:rPr>
      </w:pPr>
      <w:r>
        <w:rPr>
          <w:rFonts w:hint="eastAsia" w:ascii="宋体" w:hAnsi="宋体" w:eastAsia="宋体" w:cs="宋体"/>
          <w:bCs/>
          <w:sz w:val="24"/>
          <w:szCs w:val="24"/>
          <w:lang w:bidi="ar"/>
        </w:rPr>
        <w:t xml:space="preserve">3、</w:t>
      </w:r>
      <w:r>
        <w:rPr>
          <w:rFonts w:hint="eastAsia" w:ascii="宋体" w:hAnsi="宋体" w:eastAsia="宋体" w:cs="宋体"/>
          <w:sz w:val="24"/>
          <w:szCs w:val="24"/>
          <w:lang w:bidi="ar"/>
        </w:rPr>
        <w:t xml:space="preserve">每次事故每位患者精神损害抚慰金责任限额均为</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万元。</w:t>
      </w:r>
      <w:r/>
    </w:p>
    <w:p>
      <w:pPr>
        <w:jc w:val="left"/>
        <w:keepLines w:val="0"/>
        <w:keepNext w:val="0"/>
        <w:pageBreakBefore w:val="0"/>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险种二：医疗机构公众责任保险</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Times New Roman" w:eastAsia="宋体" w:cs="宋体"/>
          <w:b/>
          <w:bCs/>
          <w:sz w:val="24"/>
          <w:szCs w:val="24"/>
          <w:lang w:val="en-US" w:eastAsia="zh-CN" w:bidi="ar-SA"/>
        </w:rPr>
        <w:t xml:space="preserve">滨海县</w:t>
      </w:r>
      <w:r>
        <w:rPr>
          <w:rFonts w:hint="eastAsia" w:ascii="宋体" w:hAnsi="宋体" w:eastAsia="宋体" w:cs="宋体"/>
          <w:b/>
          <w:bCs/>
          <w:sz w:val="24"/>
          <w:szCs w:val="24"/>
          <w:lang w:val="en-US" w:eastAsia="zh-CN" w:bidi="ar-SA"/>
        </w:rPr>
        <w:t xml:space="preserve">医疗机构公众责任保险</w:t>
      </w:r>
      <w:r/>
    </w:p>
    <w:p>
      <w:pPr>
        <w:ind w:firstLine="482"/>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方案明细表</w:t>
      </w: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5"/>
        <w:gridCol w:w="6999"/>
      </w:tblGrid>
      <w:tr>
        <w:trPr>
          <w:jc w:val="center"/>
          <w:trHeight w:val="567"/>
        </w:trPr>
        <w:tc>
          <w:tcPr>
            <w:shd w:val="clear" w:color="auto" w:fill="f1f1f1"/>
            <w:tcBorders>
              <w:top w:val="single" w:color="auto" w:sz="4" w:space="0"/>
              <w:left w:val="single" w:color="auto" w:sz="4" w:space="0"/>
              <w:bottom w:val="single" w:color="auto" w:sz="4" w:space="0"/>
              <w:right w:val="single" w:color="auto" w:sz="4" w:space="0"/>
            </w:tcBorders>
            <w:tcW w:w="1905" w:type="dxa"/>
            <w:vAlign w:val="center"/>
            <w:textDirection w:val="lrTb"/>
            <w:noWrap/>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项目</w:t>
            </w:r>
            <w:r/>
          </w:p>
        </w:tc>
        <w:tc>
          <w:tcPr>
            <w:shd w:val="clear" w:color="auto" w:fill="f1f1f1"/>
            <w:tcBorders>
              <w:top w:val="single" w:color="auto" w:sz="4" w:space="0"/>
              <w:left w:val="single" w:color="auto" w:sz="4" w:space="0"/>
              <w:bottom w:val="single" w:color="auto" w:sz="4" w:space="0"/>
              <w:right w:val="single" w:color="auto" w:sz="4" w:space="0"/>
            </w:tcBorders>
            <w:tcW w:w="6999" w:type="dxa"/>
            <w:vAlign w:val="center"/>
            <w:textDirection w:val="lrTb"/>
            <w:noWrap/>
          </w:tcPr>
          <w:p>
            <w:pPr>
              <w:jc w:val="cente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内容明细</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1.投保人名称</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2.投保人地址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待定</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3.被保险人名称</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依法设立的医疗机构</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4.被保险人地址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待定</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5.承保地域</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被保险人所在地。（保险事故发生后承保区域还包括受事故影响的周边区域）</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6.承保基础</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期内发生制</w:t>
            </w:r>
            <w:r/>
          </w:p>
        </w:tc>
      </w:tr>
      <w:tr>
        <w:trPr>
          <w:jc w:val="center"/>
          <w:trHeight w:val="567"/>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7.司法管辖</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中华人民共和国司法管辖（不含香港、澳门、台湾地区）</w:t>
            </w:r>
            <w:r/>
          </w:p>
        </w:tc>
      </w:tr>
      <w:tr>
        <w:trPr>
          <w:jc w:val="center"/>
          <w:trHeight w:val="297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8.责任限额</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4"/>
              <w:gridCol w:w="1345"/>
              <w:gridCol w:w="1189"/>
              <w:gridCol w:w="1200"/>
              <w:gridCol w:w="657"/>
            </w:tblGrid>
            <w:tr>
              <w:trPr>
                <w:trHeight w:val="698"/>
              </w:trPr>
              <w:tc>
                <w:tcPr>
                  <w:shd w:val="clear" w:color="auto" w:fill="f1f1f1"/>
                  <w:tcW w:w="2184"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医院等级</w:t>
                  </w:r>
                  <w:r/>
                </w:p>
              </w:tc>
              <w:tc>
                <w:tcPr>
                  <w:shd w:val="clear" w:color="auto" w:fill="f1f1f1"/>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每次事故及累计责任限额</w:t>
                  </w:r>
                  <w:r/>
                </w:p>
              </w:tc>
              <w:tc>
                <w:tcPr>
                  <w:shd w:val="clear" w:color="auto" w:fill="f1f1f1"/>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每次事故每人责任限额</w:t>
                  </w:r>
                  <w:r/>
                </w:p>
              </w:tc>
              <w:tc>
                <w:tcPr>
                  <w:shd w:val="clear" w:color="auto" w:fill="f1f1f1"/>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bCs/>
                      <w:sz w:val="24"/>
                      <w:szCs w:val="24"/>
                      <w:lang w:val="en-US" w:eastAsia="zh-CN" w:bidi="ar-SA"/>
                    </w:rPr>
                    <w:t xml:space="preserve">累计法律费用责任限额</w:t>
                  </w:r>
                  <w:r/>
                </w:p>
              </w:tc>
              <w:tc>
                <w:tcPr>
                  <w:shd w:val="clear" w:color="auto" w:fill="f1f1f1"/>
                  <w:tcW w:w="657"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保费</w:t>
                  </w:r>
                  <w:r/>
                </w:p>
              </w:tc>
            </w:tr>
            <w:tr>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300万元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trHeight w:val="428"/>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200万元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trHeight w:val="428"/>
              </w:trPr>
              <w:tc>
                <w:tcPr>
                  <w:tcW w:w="2184" w:type="dxa"/>
                  <w:vAlign w:val="center"/>
                  <w:textDirection w:val="lrTb"/>
                  <w:noWrap/>
                </w:tcPr>
                <w:p>
                  <w:pPr>
                    <w:ind w:firstLine="413"/>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一级医院</w:t>
                  </w:r>
                  <w:r/>
                </w:p>
              </w:tc>
              <w:tc>
                <w:tcPr>
                  <w:tcW w:w="1345"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100万元</w:t>
                  </w:r>
                  <w:r/>
                </w:p>
              </w:tc>
              <w:tc>
                <w:tcPr>
                  <w:tcW w:w="1189"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30万元</w:t>
                  </w:r>
                  <w:r/>
                </w:p>
              </w:tc>
              <w:tc>
                <w:tcPr>
                  <w:tcW w:w="1200" w:type="dxa"/>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10万元</w:t>
                  </w:r>
                  <w:r/>
                </w:p>
              </w:tc>
              <w:tc>
                <w:tcPr>
                  <w:tcW w:w="657" w:type="dxa"/>
                  <w:vAlign w:val="center"/>
                  <w:textDirection w:val="lrTb"/>
                  <w:noWrap/>
                </w:tcPr>
                <w:p>
                  <w:pPr>
                    <w:jc w:val="cente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元</w:t>
                  </w:r>
                  <w:r/>
                </w:p>
              </w:tc>
            </w:tr>
          </w:tbl>
          <w:p>
            <w:pPr>
              <w:ind w:firstLine="0"/>
              <w:jc w:val="both"/>
              <w:keepLines w:val="0"/>
              <w:keepNext w:val="0"/>
              <w:pageBreakBefore w:val="0"/>
              <w:spacing w:line="40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jc w:val="center"/>
          <w:trHeight w:val="934"/>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9.免赔额</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财产损失：无免赔</w:t>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人身损害：每次事故免赔金额为1000元或损失金额的10%，以高者为准。</w:t>
            </w:r>
            <w:r/>
          </w:p>
        </w:tc>
      </w:tr>
      <w:tr>
        <w:trPr>
          <w:jc w:val="center"/>
          <w:trHeight w:val="90"/>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10.保险期限</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共12个月，自   年 月 日0时起至    年 月 日24时止，以北京时间为准。</w:t>
            </w:r>
            <w:r/>
          </w:p>
        </w:tc>
      </w:tr>
      <w:tr>
        <w:trPr>
          <w:jc w:val="center"/>
          <w:trHeight w:val="534"/>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11.保费支付</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见费出单</w:t>
            </w:r>
            <w:r/>
          </w:p>
        </w:tc>
      </w:tr>
      <w:tr>
        <w:trPr>
          <w:jc w:val="center"/>
          <w:trHeight w:val="569"/>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12.基本条款</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公众责任保险条款，以最终承保公司公众责任保险基本条款为准</w:t>
            </w:r>
            <w:r/>
          </w:p>
        </w:tc>
      </w:tr>
      <w:tr>
        <w:trPr>
          <w:jc w:val="center"/>
          <w:trHeight w:val="41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13.附加条款</w:t>
            </w:r>
            <w:r/>
          </w:p>
        </w:tc>
        <w:tc>
          <w:tcPr>
            <w:tcBorders>
              <w:top w:val="single" w:color="auto" w:sz="4" w:space="0"/>
              <w:left w:val="single" w:color="auto" w:sz="4" w:space="0"/>
              <w:bottom w:val="single" w:color="auto" w:sz="4" w:space="0"/>
              <w:right w:val="single" w:color="auto" w:sz="4" w:space="0"/>
            </w:tcBorders>
            <w:tcW w:w="6999" w:type="dxa"/>
            <w:vAlign w:val="center"/>
            <w:textDirection w:val="lrTb"/>
            <w:noWrap/>
          </w:tcPr>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错误和遗漏条款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违反条件条款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火灾、爆炸、烟熏、水损责任条款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广告招牌及装饰物责任条款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自动承保新地点条款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停车场责任条款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电梯、机器及大厦自动装置条款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食品、饮料责任条款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罢工、暴乱、民众骚乱或恶意破坏扩展条款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出租人责任条款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恐怖活动条款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有缺陷的卫生设备条款</w:t>
            </w:r>
            <w:r/>
          </w:p>
          <w:p>
            <w:pPr>
              <w:numPr>
                <w:ilvl w:val="0"/>
                <w:numId w:val="8"/>
              </w:numPr>
              <w:ind w:left="420" w:hanging="420"/>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提供物品及服务条款</w:t>
            </w:r>
            <w:r/>
          </w:p>
          <w:p>
            <w:pPr>
              <w:numPr>
                <w:ilvl w:val="0"/>
                <w:numId w:val="8"/>
              </w:numPr>
              <w:ind w:left="420" w:hanging="420"/>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锅炉爆炸条款</w:t>
            </w:r>
            <w:r/>
          </w:p>
        </w:tc>
      </w:tr>
      <w:tr>
        <w:trPr>
          <w:jc w:val="center"/>
          <w:trHeight w:val="707"/>
        </w:trPr>
        <w:tc>
          <w:tcPr>
            <w:tcBorders>
              <w:top w:val="single" w:color="auto" w:sz="4" w:space="0"/>
              <w:left w:val="single" w:color="auto" w:sz="4" w:space="0"/>
              <w:bottom w:val="single" w:color="auto" w:sz="4" w:space="0"/>
              <w:right w:val="single" w:color="auto" w:sz="4" w:space="0"/>
            </w:tcBorders>
            <w:tcW w:w="1905" w:type="dxa"/>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14.特别约定</w:t>
            </w:r>
            <w:r/>
          </w:p>
        </w:tc>
        <w:tc>
          <w:tcPr>
            <w:tcBorders>
              <w:top w:val="single" w:color="auto" w:sz="4" w:space="0"/>
              <w:left w:val="single" w:color="auto" w:sz="4" w:space="0"/>
              <w:bottom w:val="single" w:color="auto" w:sz="4" w:space="0"/>
              <w:right w:val="single" w:color="auto" w:sz="4" w:space="0"/>
            </w:tcBorders>
            <w:tcW w:w="6999" w:type="dxa"/>
            <w:textDirection w:val="lrTb"/>
            <w:noWrap/>
          </w:tcPr>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1.赔偿处理特别约定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对于本保险合同所指对第三者的经济赔偿责任，保险人根据《最高人民法院关于审理人身损害赔偿案件适用法律若干问题的解释》（以下简称“司法解释”）计算的赔偿金额乘以被保险人在事故中承担的责任比例在本保险合同列明的责任限额内进行赔偿。赔偿项目及标准如下：</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①造成第三者人身损害的，第三者进行治疗所发生的各项费用以及因误工减少的收入，包括医疗费（含因抢救发生的医疗费）、误工费、护理费、交通费、住宿费、住院伙食补助费、必要的营养费；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②造成第三者残疾的，除应赔偿本条①中规定的相关费用外，还应赔偿其因增加生活上需要所支出的必要费用以及因丧失劳动能力导致的收入损失，包括残疾赔偿金、残疾辅助器具费、被扶养人生活费，以及因康复护理、继续治疗实际发生的必要的康复费、护理费、后续治疗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③造成第三者死亡的，除应当根据抢救治疗情况赔偿本条②中规定的相关费用外，还应当赔偿丧葬费、被扶养人生活费、死亡赔偿金以及第三者亲属办理丧葬事宜支出的合理的交通费、住宿费和误工损失；</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④造成第三者人身损害，经法院判决、调解所需支付的精神损害抚慰金；</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⑤对第三者因保险事故残疾的，伤残级别依照《人体损伤致残程度分级》确定；对残疾赔偿金按照下表，即伤残赔偿比例表，规定的伤残赔偿比例乘以《司法解释》规定的对受害人的死亡赔偿金计算。</w:t>
            </w:r>
            <w:r/>
          </w:p>
          <w:tbl>
            <w:tblPr>
              <w:tblStyle w:val="934"/>
              <w:tblW w:w="0" w:type="auto"/>
              <w:jc w:val="center"/>
              <w:tblLayout w:type="fixed"/>
              <w:tblCellMar>
                <w:left w:w="108" w:type="dxa"/>
                <w:top w:w="0" w:type="dxa"/>
                <w:right w:w="108" w:type="dxa"/>
                <w:bottom w:w="0" w:type="dxa"/>
              </w:tblCellMar>
              <w:tblLook w:val="04A0" w:firstRow="1" w:lastRow="0" w:firstColumn="1" w:lastColumn="0" w:noHBand="0" w:noVBand="1"/>
            </w:tblPr>
            <w:tblGrid>
              <w:gridCol w:w="1407"/>
              <w:gridCol w:w="1639"/>
              <w:gridCol w:w="2511"/>
            </w:tblGrid>
            <w:tr>
              <w:trPr>
                <w:jc w:val="center"/>
                <w:trHeight w:val="466"/>
              </w:trPr>
              <w:tc>
                <w:tcPr>
                  <w:shd w:val="clear" w:color="auto" w:fill="f3f3f3"/>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w:t>
                  </w:r>
                  <w:r/>
                </w:p>
              </w:tc>
              <w:tc>
                <w:tcPr>
                  <w:shd w:val="clear" w:color="auto" w:fill="f3f3f3"/>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伤残级别</w:t>
                  </w:r>
                  <w:r/>
                </w:p>
              </w:tc>
              <w:tc>
                <w:tcPr>
                  <w:shd w:val="clear" w:color="auto" w:fill="f3f3f3"/>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伤残赔偿比例</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Ⅰ级伤残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Ⅱ级伤残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Ⅲ级伤残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Ⅳ级伤残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Ⅴ级伤残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Ⅵ级伤残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Ⅶ级伤残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（八）</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Ⅷ级伤残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Ⅸ级伤残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r>
            <w:tr>
              <w:trPr>
                <w:jc w:val="center"/>
                <w:trHeight w:val="385"/>
              </w:trPr>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p>
              </w:tc>
              <w:tc>
                <w:tcPr>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Ⅹ级伤残</w:t>
                  </w:r>
                  <w:r/>
                </w:p>
              </w:tc>
              <w:tc>
                <w:tcPr>
                  <w:tcBorders>
                    <w:top w:val="single" w:color="000000" w:sz="4" w:space="0"/>
                    <w:left w:val="none" w:color="000000" w:sz="4" w:space="0"/>
                    <w:bottom w:val="single" w:color="000000" w:sz="4" w:space="0"/>
                    <w:right w:val="single" w:color="000000" w:sz="4" w:space="0"/>
                  </w:tcBorders>
                  <w:tcW w:w="2511" w:type="dxa"/>
                  <w:vAlign w:val="center"/>
                  <w:textDirection w:val="lrTb"/>
                  <w:noWrap/>
                </w:tcPr>
                <w:p>
                  <w:pPr>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r>
          </w:tbl>
          <w:p>
            <w:pPr>
              <w:jc w:val="both"/>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2.合同解除特别约定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除本保险合同约定及法律规定外，本保险合同成立后，保险人不得解除本保险合同。</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保险责任开始前，投保人或保险人要求解除保险合同的，保险人应当退还全部保险费。保险责任开始后，投保人要求解除保险合同的，自通知保险人之日起，保险合同解除，保险人应向投保人退还未满期保险费。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未满期保险费是指保险人应退还的剩余保险期限的保险费，未满期保险费按照以下公式计算：</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未满期保险费=保险费×（合同解除之日与保险期限截止日期间天数/保险期限天数）×（累计责任限额－累计赔偿金额）/累计责任限额</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累计赔偿金额=已决赔款金额+未决赔款金额</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累计赔偿金额是指在保险期间内，由保险人负责赔偿的保险赔偿金之和，但不包括法律费用。</w:t>
            </w:r>
            <w:r/>
          </w:p>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3.释义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第三者释义：本保险单所指第三者，是保险人、被保险人及其从业人员以外的自然人或组织。</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从业人员释义：是指与被保险人签订劳动合同或存在劳动关系（包括事实劳动关系）的各种用工形式、各种用工期限，接受被保险人给付的劳动报酬，且符合国家劳动法规定的合法劳动者，也包括退休返聘的人员、劳务派遣人员或兼职人员、短期工、临时工、季节工和徒工、实习生。</w:t>
            </w:r>
            <w:r/>
          </w:p>
          <w:p>
            <w:pPr>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4.兹经双方同意并约定，本保险合同扩展承保被保险人因改变、维修或装修房屋建筑造成第三者人身伤亡或财产损失时依照中华人民共和国（不含香港、澳门、台湾地区）法律应负的赔偿责任。</w:t>
            </w:r>
            <w:r/>
          </w:p>
          <w:p>
            <w:pPr>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5.兹经双方同意并约定，本保险合同扩展承保被保险人因在保险固定场所内所拥有、使用或经营的停车场发生意外事故造成的第三者人身伤亡或财产损失依法应由被保险人承担的经济赔偿责任。</w:t>
            </w:r>
            <w:r/>
          </w:p>
        </w:tc>
      </w:tr>
      <w:tr>
        <w:trPr>
          <w:jc w:val="center"/>
          <w:trHeight w:val="625"/>
        </w:trPr>
        <w:tc>
          <w:tcPr>
            <w:tcBorders>
              <w:top w:val="single" w:color="auto" w:sz="4" w:space="0"/>
              <w:left w:val="single" w:color="auto" w:sz="4" w:space="0"/>
              <w:bottom w:val="single" w:color="auto" w:sz="4" w:space="0"/>
              <w:right w:val="single" w:color="auto" w:sz="4" w:space="0"/>
            </w:tcBorders>
            <w:tcW w:w="1905" w:type="dxa"/>
            <w:vAlign w:val="center"/>
            <w:textDirection w:val="lrTb"/>
            <w:noWrap/>
          </w:tcPr>
          <w:p>
            <w:pPr>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15.其他</w:t>
            </w:r>
            <w:r/>
          </w:p>
        </w:tc>
        <w:tc>
          <w:tcPr>
            <w:tcBorders>
              <w:top w:val="single" w:color="auto" w:sz="4" w:space="0"/>
              <w:left w:val="single" w:color="auto" w:sz="4" w:space="0"/>
              <w:bottom w:val="single" w:color="auto" w:sz="4" w:space="0"/>
              <w:right w:val="single" w:color="auto" w:sz="4" w:space="0"/>
            </w:tcBorders>
            <w:tcW w:w="6999" w:type="dxa"/>
            <w:textDirection w:val="lrTb"/>
            <w:noWrap/>
          </w:tcPr>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在本保险单中，特别约定的效力高于特别条款和基本条款，特别条款的效力高于基本条款。</w:t>
            </w:r>
            <w:r/>
          </w:p>
        </w:tc>
      </w:tr>
    </w:tbl>
    <w:p>
      <w:pPr>
        <w:ind w:firstLine="4096"/>
        <w:keepLines w:val="0"/>
        <w:keepNext w:val="0"/>
        <w:pageBreakBefore w:val="0"/>
        <w:spacing w:line="400" w:lineRule="exact"/>
        <w:rPr>
          <w:rFonts w:hint="eastAsia" w:ascii="宋体" w:hAnsi="宋体" w:eastAsia="宋体" w:cs="宋体"/>
          <w:b/>
          <w:bCs/>
          <w:sz w:val="24"/>
          <w:szCs w:val="24"/>
        </w:rPr>
      </w:pPr>
      <w:r/>
      <w:bookmarkStart w:id="86" w:name="_Toc19284"/>
      <w:r/>
      <w:r/>
    </w:p>
    <w:p>
      <w:pPr>
        <w:ind w:firstLine="4096"/>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公</w:t>
      </w:r>
      <w:r>
        <w:rPr>
          <w:rFonts w:hint="eastAsia" w:ascii="宋体" w:hAnsi="宋体" w:eastAsia="宋体" w:cs="宋体"/>
          <w:b/>
          <w:bCs/>
          <w:sz w:val="24"/>
          <w:szCs w:val="24"/>
        </w:rPr>
        <w:t xml:space="preserve">众责任保险条款</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总则</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本保险合同由保险条款、投保单、保险单以及批单组成。凡涉及本保险合同的约定，均应采用书面形式。</w:t>
      </w:r>
      <w:r/>
    </w:p>
    <w:p>
      <w:pPr>
        <w:ind w:firstLine="482"/>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凡依法设立的企事业单位、社会团体、个体工商户、其他经济组织及自然人， 均可作为本保险合同的投保人、被保险人。</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保险责任</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第三条 </w:t>
      </w:r>
      <w:r>
        <w:rPr>
          <w:rFonts w:hint="eastAsia" w:ascii="宋体" w:hAnsi="宋体" w:eastAsia="宋体" w:cs="宋体"/>
          <w:sz w:val="24"/>
          <w:szCs w:val="24"/>
        </w:rPr>
        <w:t xml:space="preserve">在保险期间内，被保险人在本保险单明细表中列明的固定场所（以下简称保险固定场所）范围内依法从事生产、经营等活动以及由于意外事故造成下列损失或费用依照中华人民共和国法律（不包括港澳台地区法律）应由被保险人承担的民事赔偿责任，保险人负责赔偿：</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（一）第三者人身伤亡或财产损失；</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（二）事先经保险人书面同意的诉讼费用；</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（三）发生保险责任事故后，被保险人为缩小或减少对第三者人身伤亡或财产损失的赔偿责任所支付的必要的、合理的费用。</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责任免除</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第四条 下列原因造成的损失、费用或责任，保险人不负责赔偿：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（一）被保险人或其代表的故意或重大过失行为；</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（二）战争、敌对行为、军事行为、武装冲突、罢工、骚乱、暴动、盗窃、抢劫；</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（三）政府有关当局的没收、征用；</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（四）核反应、核子辐射或放射性污染；</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（五）地震、雷击、暴雨、洪水、火山爆发、地下火、龙卷风、台风、暴风等自然灾害；</w:t>
      </w:r>
      <w:r/>
    </w:p>
    <w:p>
      <w:pPr>
        <w:ind w:left="420"/>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（六）烟熏、大气、土地、水污染或其他污染；</w:t>
      </w:r>
      <w:r/>
    </w:p>
    <w:p>
      <w:pPr>
        <w:ind w:left="420"/>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（七）锅炉爆炸、空中运行物体坠落。</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第五条 被保险人的下列损失、费用或责任，保险人不负责赔偿：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（一）被保险人或其代表、雇佣人员人身伤亡的赔偿责任， 或上述人员所有的或由其保管或控制的财产的损失；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（二）罚款、罚金或惩罚性赔款；</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（三）被保险人根据与他人的协议应承担的责任，但即使没有这种协议，被保险人依法仍应承担的责任不在此限。</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第六条 下列属于其他险种保险责任范围的损失、费用和责任， 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（一）被保险人或其雇员因从事医师、律师、会计师、设计师、建筑师、美容师或其他专门职业所发生的赔偿责任；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（二）不洁、有害食物或饮料引起的食物中毒或传染性疾病， 有缺陷的卫生装置，或售出的商品、食物、饮料存在缺陷造成他人的损害；</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（三）对于未载入本保险单而属于被保险人的或其所占有的或以其名义使用的任何牲畜、车辆、火车头、各类船只、飞机、电梯、升降机、自动梯、起重机、吊车或其他升降装置造成的损失；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（四）由于震动、移动或减弱支撑引起任何土地、财产、建筑物的损害责任。被保险人因改变、维修或装修建筑物造成第三者人身伤亡或财产损失的赔偿责任；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（五）被保险人或第三者的停产、停业等造成的一切间接损失。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第七条 未经有关监督管理部门验收或经验收不合格的固定场所或设备发生火灾爆炸事故造成第三者人身伤亡或财产损失的赔偿责任，保险人不负责赔偿；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因保险固定场所周围建筑物发生火灾、爆炸波及保险固定场所，再经保险固定场所波及他处的火灾责任，保险人不负责赔偿。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第八条 下列原因造成的损失、费用或责任，保险人不负责赔偿：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（一）被保险人因在保险固定场所内所拥有、使用或经营的游泳池发生意外事故造成的第三者人身伤亡或财产损失；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（二）被保险人因在保险固定场所内布置的广告、霓虹灯、灯饰物发生意外事故造成的第三者人身伤亡或财产损失；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（三）被保险人因在保险固定场所内所拥有、使用或经营的停车场发生意外事故造成的第三者人身伤亡或财产损失；</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（四）被保险人因出租房屋或建筑物发生火灾造成第三者人身伤亡或财产损失的赔偿责任。</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第九条 本保险单列明的或有关条款中规定的应由被保险人自行负担的免赔额、按免赔率折算的免赔额，保险人不负责赔偿。</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第十条 其他不属于本保险责任范围内的一切损失、费用或责任，保险人不负责赔偿。</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赔偿限额与免赔额（ 率）</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第十一条 </w:t>
      </w:r>
      <w:r>
        <w:rPr>
          <w:rFonts w:hint="eastAsia" w:ascii="宋体" w:hAnsi="宋体" w:eastAsia="宋体" w:cs="宋体"/>
          <w:sz w:val="24"/>
          <w:szCs w:val="24"/>
        </w:rPr>
        <w:t xml:space="preserve">赔偿限额包括每次事故赔偿限额、每人人身伤亡赔偿限额、累计赔偿限额， 由投保人与保险人协商确定，并在保险合同中载明。</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第十二条 每次事故免赔额（ 率）由投保人与保险人在签订保险合同时协商确定， 并在保险合同中载明。</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保险期间</w:t>
      </w:r>
      <w:r/>
    </w:p>
    <w:p>
      <w:pPr>
        <w:ind w:firstLine="482"/>
        <w:jc w:val="left"/>
        <w:keepLines w:val="0"/>
        <w:keepNext w:val="0"/>
        <w:pageBreakBefore w:val="0"/>
        <w:spacing w:line="400" w:lineRule="exact"/>
        <w:rPr>
          <w:rFonts w:ascii="宋体" w:hAnsi="宋体" w:eastAsia="宋体" w:cs="宋体"/>
          <w:sz w:val="24"/>
          <w:szCs w:val="24"/>
          <w:highlight w:val="none"/>
          <w:lang w:val="en-US" w:eastAsia="zh-CN" w:bidi="ar-SA"/>
        </w:rPr>
      </w:pPr>
      <w:r>
        <w:rPr>
          <w:rFonts w:hint="eastAsia" w:ascii="宋体" w:hAnsi="宋体" w:eastAsia="宋体" w:cs="宋体"/>
          <w:b/>
          <w:sz w:val="24"/>
          <w:szCs w:val="24"/>
        </w:rPr>
        <w:t xml:space="preserve">第十三条 </w:t>
      </w:r>
      <w:r>
        <w:rPr>
          <w:rFonts w:hint="eastAsia" w:ascii="宋体" w:hAnsi="宋体" w:eastAsia="宋体" w:cs="宋体"/>
          <w:b/>
          <w:bCs/>
          <w:sz w:val="24"/>
          <w:szCs w:val="24"/>
          <w:highlight w:val="none"/>
        </w:rPr>
        <w:t xml:space="preserve">除另有约定外，保险期间为</w:t>
      </w:r>
      <w:r>
        <w:rPr>
          <w:rFonts w:hint="eastAsia" w:ascii="宋体" w:hAnsi="宋体" w:eastAsia="宋体" w:cs="宋体"/>
          <w:b/>
          <w:bCs/>
          <w:sz w:val="24"/>
          <w:szCs w:val="24"/>
          <w:highlight w:val="none"/>
          <w:lang w:val="en-US" w:eastAsia="zh-CN"/>
        </w:rPr>
        <w:t xml:space="preserve">一年</w:t>
      </w:r>
      <w:r>
        <w:rPr>
          <w:rFonts w:hint="eastAsia" w:ascii="宋体" w:hAnsi="宋体" w:eastAsia="宋体" w:cs="宋体"/>
          <w:b/>
          <w:bCs/>
          <w:sz w:val="24"/>
          <w:szCs w:val="24"/>
          <w:highlight w:val="none"/>
        </w:rPr>
        <w:t xml:space="preserve">，以保险单载明的起讫时间为准</w:t>
      </w:r>
      <w:r>
        <w:rPr>
          <w:rFonts w:hint="eastAsia" w:ascii="宋体" w:hAnsi="宋体" w:eastAsia="宋体" w:cs="宋体"/>
          <w:sz w:val="24"/>
          <w:szCs w:val="24"/>
          <w:highlight w:val="none"/>
        </w:rPr>
        <w:t xml:space="preserve">。</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保险人义务</w:t>
      </w:r>
      <w:r/>
    </w:p>
    <w:p>
      <w:pPr>
        <w:numPr>
          <w:ilvl w:val="0"/>
          <w:numId w:val="9"/>
        </w:numPr>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本保险合同成立后，保险人应当及时向投保人签发保险单或其他保险凭证。</w:t>
      </w:r>
      <w:r/>
    </w:p>
    <w:p>
      <w:pPr>
        <w:numPr>
          <w:ilvl w:val="0"/>
          <w:numId w:val="9"/>
        </w:num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保险人按照本保险合同的约定，认为被保险人提供的有关索赔的证明和资料不完整的，应当及时一次性通知投保人、被保险人补充提供。</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第十六条 </w:t>
      </w:r>
      <w:r>
        <w:rPr>
          <w:rFonts w:hint="eastAsia" w:ascii="宋体" w:hAnsi="宋体" w:eastAsia="宋体" w:cs="宋体"/>
          <w:sz w:val="24"/>
          <w:szCs w:val="24"/>
        </w:rPr>
        <w:t xml:space="preserve">保险人收到被保险人的赔偿保险金的请求后，应当及时作出是否属于保险责任的核定；情形复杂的，保险人将在确定是否属于保险责任的基本材料收集齐全后，尽快做出核定。</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应当将核定结果通知被保险人；对属于保险责任的，在与被保险人达成赔偿保险金的协议后十日内，履行赔偿保险金义务。保险合同对赔偿保险金的期限有约定的，保险人应当按照约定履行赔偿保险金的义务。保险人依照前款的规定作出核定后，对不属于保险责任的，应当自作出核定之日起三日内向被保险人发出拒绝赔偿保险金通知书，并说明理由。</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第十七条 </w:t>
      </w:r>
      <w:r>
        <w:rPr>
          <w:rFonts w:hint="eastAsia" w:ascii="宋体" w:hAnsi="宋体" w:eastAsia="宋体" w:cs="宋体"/>
          <w:sz w:val="24"/>
          <w:szCs w:val="24"/>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投保人、被保险人义务</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第十八条 </w:t>
      </w:r>
      <w:r>
        <w:rPr>
          <w:rFonts w:hint="eastAsia" w:ascii="宋体" w:hAnsi="宋体" w:eastAsia="宋体" w:cs="宋体"/>
          <w:sz w:val="24"/>
          <w:szCs w:val="24"/>
        </w:rPr>
        <w:t xml:space="preserve">订立保险合同时，投保人应履行如实告知义务，如实回答保险人就有关情况提出的询问，并如实填写投保单。</w:t>
      </w:r>
      <w:r/>
    </w:p>
    <w:p>
      <w:pPr>
        <w:ind w:right="141"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投保人故意或者因重大过失未履行前款规定的如实告知义务，足以影响保险人决定是否同意承保或者提高保险费率的，保险人有权解除保险合同。</w:t>
      </w:r>
      <w:r/>
    </w:p>
    <w:p>
      <w:pPr>
        <w:ind w:right="141"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前款规定的合同解除权，自保险人知道有解除事由之日起，超过三十日不行使而消灭。自合同成立之日起超过二年的，保险人不得解除合同；发生保险事故的，保险人应当承担赔偿保险金的责任。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投保人故意不履行如实告知义务的，保险人对于合同解除前发生的保险事故，不承担赔偿保险金的责任，并不退还保险费。</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投保人因重大过失未履行如实告知义务，对保险事故的发生有严重影响的，保险人对于合同解除前发生的保险事故，不承担赔偿保险金的责任，但应当退还保险费。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保险人在合同订立时已经知道投保人未如实告知的情况的，保险人不得解除合同；发生保险事故的，保险人应当承担赔偿保险金的责任。</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第十九条 </w:t>
      </w:r>
      <w:r>
        <w:rPr>
          <w:rFonts w:hint="eastAsia" w:ascii="宋体" w:hAnsi="宋体" w:eastAsia="宋体" w:cs="宋体"/>
          <w:sz w:val="24"/>
          <w:szCs w:val="24"/>
        </w:rPr>
        <w:t xml:space="preserve">除另有约定外，</w:t>
      </w:r>
      <w:r>
        <w:rPr>
          <w:rFonts w:hint="eastAsia" w:ascii="宋体" w:hAnsi="宋体" w:eastAsia="宋体" w:cs="宋体"/>
          <w:b/>
          <w:sz w:val="24"/>
          <w:szCs w:val="24"/>
        </w:rPr>
        <w:t xml:space="preserve">投保人应当在保险合同成立时交付保险费。</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约定一次性交付保险费的，投保人在约定交费日后交付保险费的，保险人对交费之前发生的保险事故不承担保险责任。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约定分期交付保险费的，保险人按照保险事故发生前保险人实际收取保险费总额与投保人应当交付的保险费的比例承担保险责任，投保人应当交付的保险费是指截至保险事故发生时投保人按约定分期应该缴纳的保费总额。</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第二十条</w:t>
      </w:r>
      <w:r>
        <w:rPr>
          <w:rFonts w:hint="eastAsia" w:ascii="宋体" w:hAnsi="宋体" w:eastAsia="宋体" w:cs="宋体"/>
          <w:sz w:val="24"/>
          <w:szCs w:val="24"/>
          <w:lang w:val="en-US" w:eastAsia="zh-CN" w:bidi="ar-SA"/>
        </w:rPr>
        <w:t xml:space="preserve"> 在保险期间内，如保险标的危险程度显著增加的，被保险人应及时书面通知保险人，保险人权要求增加保险费或者解除合同。</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危险程度显著增加， 是指与本保险所承保的被保险人之赔偿责任有密切关系的因素和投保时相比，出现了增加被保险人之赔偿责任发生可能性的变化，足以影响保险人决定是否继续承保或是否增加保险费的情况。包括但不限于被保险人的经营业务范围发生变更、消防设施发生变化等，导致被保险人造成他人人身伤害或财产损失的可能性增加等情况。</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被保险人未履行通知义务，因保险标的危险程度显著增加而发生的保险事故，保险人不承担赔偿责任。</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第二十一条 </w:t>
      </w:r>
      <w:r>
        <w:rPr>
          <w:rFonts w:hint="eastAsia" w:ascii="宋体" w:hAnsi="宋体" w:eastAsia="宋体" w:cs="宋体"/>
          <w:sz w:val="24"/>
          <w:szCs w:val="24"/>
        </w:rPr>
        <w:t xml:space="preserve">被保险人应选用合格的人员并且使拥有的建筑物、道路、工厂、机器、装修的设备处于坚实、良好可供使用状态。同时，应遵照法律法规和政府有关部门的要求对已经发现的缺陷立即修复，并采取临时性的预防措施以防止发生意外事故。</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第二十二条 </w:t>
      </w:r>
      <w:r>
        <w:rPr>
          <w:rFonts w:hint="eastAsia" w:ascii="宋体" w:hAnsi="宋体" w:eastAsia="宋体" w:cs="宋体"/>
          <w:sz w:val="24"/>
          <w:szCs w:val="24"/>
        </w:rPr>
        <w:t xml:space="preserve">被保险人一旦知道或应当知道保险责任范围内的第三者人身伤害或财产损失事故发生，应该：</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（一）尽力采取必要、合理的措施，防止或减少损失，</w:t>
      </w:r>
      <w:r>
        <w:rPr>
          <w:rFonts w:hint="eastAsia" w:ascii="宋体" w:hAnsi="宋体" w:eastAsia="宋体" w:cs="宋体"/>
          <w:b/>
          <w:sz w:val="24"/>
          <w:szCs w:val="24"/>
          <w:lang w:val="en-US" w:eastAsia="zh-CN" w:bidi="ar-SA"/>
        </w:rPr>
        <w:t xml:space="preserve">否则， 对因此扩大的损失，</w:t>
      </w:r>
      <w:r>
        <w:rPr>
          <w:rFonts w:hint="eastAsia" w:ascii="宋体" w:hAnsi="宋体" w:eastAsia="宋体" w:cs="宋体"/>
          <w:sz w:val="24"/>
          <w:szCs w:val="24"/>
          <w:lang w:val="en-US" w:eastAsia="zh-CN" w:bidi="ar-SA"/>
        </w:rPr>
        <w:t xml:space="preserve">保险人不承担赔偿责任；</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pacing w:val="-3"/>
          <w:sz w:val="24"/>
          <w:szCs w:val="24"/>
        </w:rPr>
        <w:t xml:space="preserve">立即通知保险人，并书面说明事故发生的原因、经过和损失情况； </w:t>
      </w:r>
      <w:r>
        <w:rPr>
          <w:rFonts w:hint="eastAsia" w:ascii="宋体" w:hAnsi="宋体" w:eastAsia="宋体" w:cs="宋体"/>
          <w:b/>
          <w:spacing w:val="12"/>
          <w:sz w:val="24"/>
          <w:szCs w:val="24"/>
        </w:rPr>
        <w:t xml:space="preserve">故意或者因</w:t>
      </w:r>
      <w:r>
        <w:rPr>
          <w:rFonts w:hint="eastAsia" w:ascii="宋体" w:hAnsi="宋体" w:eastAsia="宋体" w:cs="宋体"/>
          <w:b/>
          <w:spacing w:val="7"/>
          <w:sz w:val="24"/>
          <w:szCs w:val="24"/>
        </w:rPr>
        <w:t xml:space="preserve">重大过失未及时通知，致使保险事故的性质、原因、损失程度等难以确定的，保险</w:t>
      </w:r>
      <w:r>
        <w:rPr>
          <w:rFonts w:hint="eastAsia" w:ascii="宋体" w:hAnsi="宋体" w:eastAsia="宋体" w:cs="宋体"/>
          <w:b/>
          <w:spacing w:val="16"/>
          <w:sz w:val="24"/>
          <w:szCs w:val="24"/>
        </w:rPr>
        <w:t xml:space="preserve">人对无法确定的部分，不承担赔偿责任</w:t>
      </w:r>
      <w:r>
        <w:rPr>
          <w:rFonts w:hint="eastAsia" w:ascii="宋体" w:hAnsi="宋体" w:eastAsia="宋体" w:cs="宋体"/>
          <w:sz w:val="24"/>
          <w:szCs w:val="24"/>
        </w:rPr>
        <w:t xml:space="preserve">，但保险人通过其他途径已经及时知道或者应当及时知道保险事故发生的除外；</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（三）允许并且协助保险人进行事故调查；</w:t>
      </w:r>
      <w:r>
        <w:rPr>
          <w:rFonts w:hint="eastAsia" w:ascii="宋体" w:hAnsi="宋体" w:eastAsia="宋体" w:cs="宋体"/>
          <w:b/>
          <w:sz w:val="24"/>
          <w:szCs w:val="24"/>
        </w:rPr>
        <w:t xml:space="preserve">对于拒绝或者妨碍保险人进行事故调查导致不能确定事故原因或核实损失情况的，保险人对无法确定或核实的部分不承担赔偿责任</w:t>
      </w:r>
      <w:r>
        <w:rPr>
          <w:rFonts w:hint="eastAsia" w:ascii="宋体" w:hAnsi="宋体" w:eastAsia="宋体" w:cs="宋体"/>
          <w:sz w:val="24"/>
          <w:szCs w:val="24"/>
        </w:rPr>
        <w:t xml:space="preserve">；</w:t>
      </w:r>
      <w:r/>
    </w:p>
    <w:p>
      <w:pPr>
        <w:ind w:firstLine="480"/>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sz w:val="24"/>
          <w:szCs w:val="24"/>
        </w:rPr>
        <w:t xml:space="preserve">（四）在预期或获悉可能发生诉讼、仲裁时，应立即以书面形式通知保险人；接到法院传票或其他法律文书后，应将其副本及时送交保险人。保险人有权以被保险人的名义处理有关诉讼或仲裁事宜，被保险人应提供有关文件，并给予必要的协助。</w:t>
      </w:r>
      <w:r>
        <w:rPr>
          <w:rFonts w:hint="eastAsia" w:ascii="宋体" w:hAnsi="宋体" w:eastAsia="宋体" w:cs="宋体"/>
          <w:b/>
          <w:sz w:val="24"/>
          <w:szCs w:val="24"/>
        </w:rPr>
        <w:t xml:space="preserve">对因未及时提供上述通知或必要协助引起或扩大的损失，保险人不承担赔偿责任。</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第二十三条 </w:t>
      </w:r>
      <w:r>
        <w:rPr>
          <w:rFonts w:hint="eastAsia" w:ascii="宋体" w:hAnsi="宋体" w:eastAsia="宋体" w:cs="宋体"/>
          <w:sz w:val="24"/>
          <w:szCs w:val="24"/>
        </w:rPr>
        <w:t xml:space="preserve">被保险人收到受害人的损害赔偿请求时，应立即通知保险人。未经保险人书面同意，</w:t>
      </w:r>
      <w:r>
        <w:rPr>
          <w:rFonts w:hint="eastAsia" w:ascii="宋体" w:hAnsi="宋体" w:eastAsia="宋体" w:cs="宋体"/>
          <w:b/>
          <w:sz w:val="24"/>
          <w:szCs w:val="24"/>
        </w:rPr>
        <w:t xml:space="preserve">被保险人对受害人作出的任何承诺、拒绝、出价、约定、付款或赔偿，保险人不受其约束。对于被保险人自行承诺或支付的赔偿金额，保险人有权重新核定，不属于本保险责任范围或超出应赔偿限额的，保险人不承担赔偿责任。</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在处理索赔过程中，保险人有权自行处理由其承担最终赔偿责任的任何索赔案件，被保险人有义务向保险人提供一切所需的资料和协助。</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第二十四条 </w:t>
      </w:r>
      <w:r>
        <w:rPr>
          <w:rFonts w:hint="eastAsia" w:ascii="宋体" w:hAnsi="宋体" w:eastAsia="宋体" w:cs="宋体"/>
          <w:sz w:val="24"/>
          <w:szCs w:val="24"/>
        </w:rPr>
        <w:t xml:space="preserve">被保险人请求赔偿时，应向保险人提供下列证明和资料：</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（一）保险单正本；</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（二）被保险人或其代表填具的索赔申请书；</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（三）受害人向被保险人提出索赔的相关材料；</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四）造成受害人人身伤害的，应提供二级以上（含二级）医疗机构出具的受害人的病历、诊断证明、医疗费等医疗原始单据；受害人伤残的，还应提供伤残鉴定机构或有伤残鉴定资质的医疗机构出具的伤残程度证明；受害人死亡的，还应提供公安机关或医疗机构出具的死亡证明书；</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（六）造成受害人财产损失的，应提供财产损失、费用清单；</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（七）有关的法律文书（裁定书、裁决书、判决书、调解书等）；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（八）投保人、被保险人所能提供的与确认保险事故的性质、原因、损失程度等有关的其他证明和资料。</w:t>
      </w:r>
      <w:r/>
    </w:p>
    <w:p>
      <w:pPr>
        <w:ind w:firstLine="48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投保人、被保险人未履行前款约定的单证提供义务，导致保险人无法核实损失情况的，保险人对无法核实部分不承担赔偿责任。</w:t>
      </w:r>
      <w:r/>
    </w:p>
    <w:p>
      <w:pPr>
        <w:ind w:right="358"/>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赔偿处理</w:t>
      </w:r>
      <w:r/>
    </w:p>
    <w:p>
      <w:pPr>
        <w:ind w:firstLine="482"/>
        <w:jc w:val="left"/>
        <w:keepLines w:val="0"/>
        <w:keepNext w:val="0"/>
        <w:pageBreakBefore w:val="0"/>
        <w:spacing w:line="400" w:lineRule="exact"/>
        <w:rPr>
          <w:rFonts w:ascii="宋体" w:hAnsi="宋体" w:eastAsia="宋体" w:cs="宋体"/>
          <w:b/>
          <w:sz w:val="24"/>
          <w:szCs w:val="24"/>
        </w:rPr>
      </w:pPr>
      <w:r>
        <w:rPr>
          <w:rFonts w:hint="eastAsia" w:ascii="宋体" w:hAnsi="宋体" w:eastAsia="宋体" w:cs="宋体"/>
          <w:b/>
          <w:sz w:val="24"/>
          <w:szCs w:val="24"/>
        </w:rPr>
        <w:t xml:space="preserve">第二十五条 </w:t>
      </w:r>
      <w:r>
        <w:rPr>
          <w:rFonts w:hint="eastAsia" w:ascii="宋体" w:hAnsi="宋体" w:eastAsia="宋体" w:cs="宋体"/>
          <w:sz w:val="24"/>
          <w:szCs w:val="24"/>
        </w:rPr>
        <w:t xml:space="preserve">保险人对每次事故的赔偿，以法院判决、仲裁裁决或经被保险人、受害人及保险人协商确定的应由被保险人赔偿的金额为准，但在任何情况下，</w:t>
      </w:r>
      <w:r>
        <w:rPr>
          <w:rFonts w:hint="eastAsia" w:ascii="宋体" w:hAnsi="宋体" w:eastAsia="宋体" w:cs="宋体"/>
          <w:b/>
          <w:sz w:val="24"/>
          <w:szCs w:val="24"/>
        </w:rPr>
        <w:t xml:space="preserve">保险人对本保险条款第三条第（一）和第（二）项的每次事故赔偿金额之和不超过本保险单明细表中列明的每次事故赔偿限额。如本保险合同约定了每人人身伤亡赔偿限额的，保险人对每次事故每人人身伤亡的赔偿金额不超过每人人身伤亡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第二十六条 保险人根据本保险条款第三条的规定对每次事故中被保险人为缩小或减少损失所支付的必要的、合理的费用予以赔偿，最高不超过每次事故赔偿限额。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第二十七条 保险人对本保险期限内多次事故的累计赔偿金额，不超过本保险单明细表中列明的累计赔偿限额。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第二十八条 被保险人给第三者造成损害，被保险人未向该第三者赔偿的，保险人不负责向被保险人赔偿保险金。</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第二十九条 </w:t>
      </w:r>
      <w:r>
        <w:rPr>
          <w:rFonts w:hint="eastAsia" w:ascii="宋体" w:hAnsi="宋体" w:eastAsia="宋体" w:cs="宋体"/>
          <w:sz w:val="24"/>
          <w:szCs w:val="24"/>
        </w:rPr>
        <w:t xml:space="preserve">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被保险人已经从有关责任方取得赔偿的，保险人赔偿保险金时，可以相应扣减被保险人已从有关责任方取得的赔偿金额。</w:t>
      </w:r>
      <w:r/>
    </w:p>
    <w:p>
      <w:pPr>
        <w:ind w:firstLine="480"/>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险事故发生后，在保险人未赔偿保险金之前，被保险人放弃对有关责任方请求赔偿权利的，保险人不承担赔偿责任；保险人向被保险人赔偿保险金后，被保险人未经保险人同意放弃对有关责任方请求赔偿权利的，该行为无效；由于被保险人故意或者因重大过失致使保险人不能行使代位请求赔偿的权利的，保险人可以扣减或者要求返还相应的保险金。</w:t>
      </w:r>
      <w:r/>
    </w:p>
    <w:p>
      <w:pPr>
        <w:ind w:firstLine="482"/>
        <w:jc w:val="left"/>
        <w:keepLines w:val="0"/>
        <w:keepNext w:val="0"/>
        <w:pageBreakBefore w:val="0"/>
        <w:spacing w:line="400" w:lineRule="exact"/>
        <w:widowControl w:val="off"/>
        <w:tabs>
          <w:tab w:val="left" w:pos="2020" w:leader="none"/>
          <w:tab w:val="center" w:pos="4535" w:leader="none"/>
        </w:tabs>
        <w:rPr>
          <w:rFonts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第三十条</w:t>
      </w:r>
      <w:r>
        <w:rPr>
          <w:rFonts w:hint="eastAsia" w:ascii="宋体" w:hAnsi="宋体" w:eastAsia="宋体" w:cs="宋体"/>
          <w:sz w:val="24"/>
          <w:szCs w:val="24"/>
          <w:lang w:val="en-US" w:eastAsia="zh-CN" w:bidi="ar-SA"/>
        </w:rPr>
        <w:t xml:space="preserve"> 本保险单负责赔偿损失、费用或责任时，若另有其他保障相同的保险存在， 不论是否由被保险人或他人以其名义投保，也不论该保险赔偿与否，本保险单仅负责按比例分摊赔偿的责任。其他保险人应承担的赔偿金额，本保险人不负责垫付。</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被保险人在请求赔偿时应当如实向保险人说明与本保险合同保险责任有关的其他保险合同的情况。</w:t>
      </w:r>
      <w:r>
        <w:rPr>
          <w:rFonts w:hint="eastAsia" w:ascii="宋体" w:hAnsi="宋体" w:eastAsia="宋体" w:cs="宋体"/>
          <w:b/>
          <w:sz w:val="24"/>
          <w:szCs w:val="24"/>
        </w:rPr>
        <w:t xml:space="preserve">对未如实说明导致保险人多支付保险金的，保险人有权向被保险人追回多支付的部分。</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争议处理和法律适用</w:t>
      </w:r>
      <w:r/>
    </w:p>
    <w:p>
      <w:pPr>
        <w:ind w:firstLine="482"/>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b/>
          <w:sz w:val="24"/>
          <w:szCs w:val="24"/>
        </w:rPr>
        <w:t xml:space="preserve">第三十一条 </w:t>
      </w:r>
      <w:r>
        <w:rPr>
          <w:rFonts w:hint="eastAsia" w:ascii="宋体" w:hAnsi="宋体" w:eastAsia="宋体" w:cs="宋体"/>
          <w:sz w:val="24"/>
          <w:szCs w:val="24"/>
        </w:rPr>
        <w:t xml:space="preserve">因履行本保险合同发生的争议，由当事人协商解决。协商不成的，提交保险单载明的仲裁机构仲裁；保险单未载明仲裁机构且争议发生后未达成仲裁协议的，依法向中华人民共和国境内（港澳台地区除外）人民法院起诉。</w:t>
      </w:r>
      <w:r/>
    </w:p>
    <w:p>
      <w:pPr>
        <w:ind w:firstLine="48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第三十二条 本保险合同的争议处理适用中华人民共和国法律（不包括港澳台地区法律）。</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其他事项</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第三十三条 </w:t>
      </w:r>
      <w:r>
        <w:rPr>
          <w:rFonts w:hint="eastAsia" w:ascii="宋体" w:hAnsi="宋体" w:eastAsia="宋体" w:cs="宋体"/>
          <w:b/>
          <w:bCs/>
          <w:sz w:val="24"/>
          <w:szCs w:val="24"/>
        </w:rPr>
        <w:t xml:space="preserve">保险责任开始前，投保人要求解除保险合同的， 应当向保险人支付相当于保险费5%的退保手续费</w:t>
      </w:r>
      <w:r>
        <w:rPr>
          <w:rFonts w:hint="eastAsia" w:ascii="宋体" w:hAnsi="宋体" w:eastAsia="宋体" w:cs="宋体"/>
          <w:sz w:val="24"/>
          <w:szCs w:val="24"/>
        </w:rPr>
        <w:t xml:space="preserve">，保险人应当退还剩余部分保险费；保险人要求解除保险合同的，不得向投保人收取手续费并应退还已收取的保险费。</w:t>
      </w:r>
      <w:r/>
    </w:p>
    <w:p>
      <w:pPr>
        <w:ind w:firstLine="480"/>
        <w:jc w:val="left"/>
        <w:keepLines w:val="0"/>
        <w:keepNext w:val="0"/>
        <w:pageBreakBefore w:val="0"/>
        <w:spacing w:line="400" w:lineRule="exact"/>
        <w:rPr>
          <w:rFonts w:ascii="宋体" w:hAnsi="宋体" w:eastAsia="宋体" w:cs="宋体"/>
          <w:sz w:val="24"/>
          <w:szCs w:val="24"/>
          <w:lang w:val="en-US" w:eastAsia="zh-CN" w:bidi="ar-SA"/>
        </w:rPr>
      </w:pPr>
      <w:r>
        <w:rPr>
          <w:rFonts w:hint="eastAsia" w:ascii="宋体" w:hAnsi="宋体" w:eastAsia="宋体" w:cs="宋体"/>
          <w:sz w:val="24"/>
          <w:szCs w:val="24"/>
        </w:rPr>
        <w:t xml:space="preserve">保险责任开始后，投保人要求解除保险合同的，自通知保险人之日起，保险合同解除， 保险人按附表规定的短期费率表计收保险责任开始之日起至合同解除之日止期间的保险 费，并退还剩余部分保险费；保险人也可提前十五日向投保人发出解约通知书解除本 保险合同，并按保险责任开始之日起至合同解除之日止期间与保险期间的日比例计收保险费后，退还剩余部分保险费。</w:t>
      </w:r>
      <w:r/>
    </w:p>
    <w:p>
      <w:pPr>
        <w:jc w:val="center"/>
        <w:keepLines w:val="0"/>
        <w:keepNext w:val="0"/>
        <w:pageBreakBefore w:val="0"/>
        <w:spacing w:line="400" w:lineRule="exact"/>
        <w:widowControl w:val="off"/>
        <w:tabs>
          <w:tab w:val="left" w:pos="2020" w:leader="none"/>
          <w:tab w:val="center" w:pos="4535" w:leader="none"/>
        </w:tabs>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释义</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【意外事故】是指不可预料的以及被保险人无法控制并造成物质损失或人身伤亡的突发性事件。</w:t>
      </w:r>
      <w:r/>
    </w:p>
    <w:p>
      <w:pPr>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【每次事故】是指一次意外事故或者同一突发性事件引起的一系列意外事故。因同一意外事故造成多人人身伤亡或财产损失，导致多人同时或先后向被保险人索赔的，视为一次事故。</w:t>
      </w:r>
      <w:bookmarkEnd w:id="86"/>
      <w:r/>
      <w:r/>
    </w:p>
    <w:p>
      <w:pPr>
        <w:keepLines w:val="0"/>
        <w:keepNext w:val="0"/>
        <w:pageBreakBefore w:val="0"/>
        <w:spacing w:line="400" w:lineRule="exact"/>
        <w:rPr>
          <w:rFonts w:ascii="宋体" w:hAnsi="宋体" w:eastAsia="宋体" w:cs="宋体"/>
          <w:sz w:val="24"/>
          <w:szCs w:val="24"/>
        </w:rPr>
      </w:pPr>
      <w:r>
        <w:rPr>
          <w:rFonts w:hint="eastAsia" w:ascii="宋体" w:hAnsi="宋体" w:eastAsia="宋体" w:cs="宋体"/>
          <w:b/>
          <w:bCs/>
          <w:sz w:val="24"/>
          <w:szCs w:val="24"/>
        </w:rPr>
        <w:t xml:space="preserve">附加条款措辞：</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错误和遗漏条款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兹经合同双方同意，本保险项下的赔偿责任不因被保险人非故意地延迟、错误或遗漏向保险人申报有关所占用的场地、保险财产价值的变更或其他有关信息而被拒绝承担，一旦被保险人明白其疏忽或遗漏，</w:t>
      </w:r>
      <w:r>
        <w:rPr>
          <w:rFonts w:hint="eastAsia" w:ascii="宋体" w:hAnsi="宋体" w:eastAsia="宋体" w:cs="宋体"/>
          <w:b/>
          <w:sz w:val="24"/>
          <w:szCs w:val="24"/>
        </w:rPr>
        <w:t xml:space="preserve">应在合理的时间内尽快向保险人申报，并根据保险人的要求支付自风险增加之日起的适当的附加保险费。 </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不正确的、有缺陷的或错误的评估不可视为非故意的错误与遗漏，因此导致的未申报保险人不负责赔付。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违反条件条款</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第一条</w:t>
      </w:r>
      <w:r>
        <w:rPr>
          <w:rFonts w:hint="eastAsia" w:ascii="宋体" w:hAnsi="宋体" w:eastAsia="宋体" w:cs="宋体"/>
          <w:sz w:val="24"/>
          <w:szCs w:val="24"/>
        </w:rPr>
        <w:t xml:space="preserve"> 本附加保险合同须附加于责任保险主险合同（以下简称“主保险合同”）。</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主保险合同所附条款、投保单、保险单、保险凭证以及批单等，凡与本附加保险合同相关者，均为本附加保险合同的构成部分。凡涉及本附加保险合同的约定，均应采用书面形式。</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若主保险合同与本附加保险合同的条款互有冲突，则以本附加保险合同的条款为准。本附加保险合同未尽事宜，以主保险合同的条款规定为准。 </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本保险合同的条件和保证将分别适用于每一承保风险，而非共同适用于所有承保风险。因此，对某些条件和保证的违反仅使该违反所适用风险的那一部分保障失效，不影响有关其它风险保障的有效性。</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火灾、爆炸、烟熏、水损责任条款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兹经双方同意，本保险扩展承保本保险单明细表中列明地点范围内因火灾、爆炸、烟熏或水损造成第三者人身伤亡或财产损失时依法应由被保险人承担的经济赔偿责任。本保险合同所载其他条件不变。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广告招牌及装饰物责任条款</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兹经双方同意，鉴于被保险人已缴付了附加的保险费，本保险扩展承保在本保险单列明的营业场所内或其他列明场所布置的广告、霓红灯、装饰物因发生意外事故造成第三者人身伤亡或财产损失时被保险人应付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被保险人应保证指派合格人员对上述装置定期进行检查和维护。</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本保险单所载其他条件不变。</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自动承保新地点条款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保险合同须附加于公众责任保险主险合同（以下简称“主保险合同”）。主保险合同所附条款、投保单、保险单、保险凭证以及批单等，凡与本附加保险合同相关者，均为本附加保险合同的构成部分。凡涉及本附加保险合同的约定，均应采用书面形式。若主保险合同与本附加保险合同的条款互有冲突，则以本附加保险合同的条款为准。本附加保险合同未尽事宜，以主保险合同的条款规定为准。兹经合同双方同意，自</w:t>
      </w:r>
      <w:r>
        <w:rPr>
          <w:rFonts w:hint="eastAsia" w:ascii="宋体" w:hAnsi="宋体" w:eastAsia="宋体" w:cs="宋体"/>
          <w:b/>
          <w:sz w:val="24"/>
          <w:szCs w:val="24"/>
        </w:rPr>
        <w:t xml:space="preserve">保险合同载明的新置、新增营业场所（或投保地域范围）</w:t>
      </w:r>
      <w:r>
        <w:rPr>
          <w:rFonts w:hint="eastAsia" w:ascii="宋体" w:hAnsi="宋体" w:eastAsia="宋体" w:cs="宋体"/>
          <w:sz w:val="24"/>
          <w:szCs w:val="24"/>
        </w:rPr>
        <w:t xml:space="preserve">完全建成或获得，或其转移至被保险人名下，或被保险人开始对其负责（除非另有其它保险）时起，这些新置、新增营业场所（或投保地域范围）自动加入本保险合同投保地域范围。</w:t>
      </w:r>
      <w:r>
        <w:rPr>
          <w:rFonts w:hint="eastAsia" w:ascii="宋体" w:hAnsi="宋体" w:eastAsia="宋体" w:cs="宋体"/>
          <w:b/>
          <w:sz w:val="24"/>
          <w:szCs w:val="24"/>
        </w:rPr>
        <w:t xml:space="preserve">被保险人须在获得上述新置、新增营业场所（或投保地域范围）的 15 天内通知保险人并支付额外保费。被保险人未按照前述约定交付保费的，保险人不承担新增加营业场所（或投保地域范围）的赔偿责任。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特别约定：被保险人不需要缴纳额外保险费。</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停车场责任条款 </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兹经双方同意，本保险扩展承保因发生意外事故导致处于被保险人控制下的或停放于被保险人场所内或其毗邻场地的机动车辆（</w:t>
      </w:r>
      <w:r>
        <w:rPr>
          <w:rFonts w:hint="eastAsia" w:ascii="宋体" w:hAnsi="宋体" w:eastAsia="宋体" w:cs="宋体"/>
          <w:b/>
          <w:sz w:val="24"/>
          <w:szCs w:val="24"/>
        </w:rPr>
        <w:t xml:space="preserve">被保险人及其雇员自有或管控下的车辆除外</w:t>
      </w:r>
      <w:r>
        <w:rPr>
          <w:rFonts w:hint="eastAsia" w:ascii="宋体" w:hAnsi="宋体" w:eastAsia="宋体" w:cs="宋体"/>
          <w:sz w:val="24"/>
          <w:szCs w:val="24"/>
        </w:rPr>
        <w:t xml:space="preserve">）遭受损失时，被保险人应负的法律赔偿责任，</w:t>
      </w:r>
      <w:r>
        <w:rPr>
          <w:rFonts w:hint="eastAsia" w:ascii="宋体" w:hAnsi="宋体" w:eastAsia="宋体" w:cs="宋体"/>
          <w:b/>
          <w:sz w:val="24"/>
          <w:szCs w:val="24"/>
        </w:rPr>
        <w:t xml:space="preserve">且此限额是包含在明细表规定的累计赔偿限额之内，而并非是在其基础上的附加。</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每辆车赔偿限额：RMB200,000.00。</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电梯、机器及大厦自动装置条款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兹经双方同意，本保险扩展承保在保单列明的保险财产地址范围内的客货电梯、大厦自动装置、设施及机器设备发生意外事故导致第三者的人身伤亡或财产损失时依法应由被保险人承担的经济赔偿责任。</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被保险人应保证由授权承包商进行定期检查与维修。</w:t>
      </w:r>
      <w:r/>
    </w:p>
    <w:p>
      <w:pPr>
        <w:contextualSpacing/>
        <w:ind w:firstLine="482"/>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b/>
          <w:sz w:val="24"/>
          <w:szCs w:val="24"/>
        </w:rPr>
        <w:t xml:space="preserve">除非制造商和发证机构推荐其投入运行，否则保险人不负责赔偿。</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食品、饮料责任条款</w:t>
      </w:r>
      <w:r/>
    </w:p>
    <w:p>
      <w:pPr>
        <w:contextualSpacing/>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rPr>
        <w:t xml:space="preserve">兹经合同双方同意，鉴于被保险人已支付了附加保险费，本保险扩展承保被保险人在本保险单明细表中列明地点范围内因其提供的食品、饮料或掺有异物的食品、饮料造成第三者人身伤亡或财产损失时依法应负的赔偿责任。</w:t>
      </w:r>
      <w:r>
        <w:rPr>
          <w:rFonts w:hint="eastAsia" w:ascii="宋体" w:hAnsi="宋体" w:eastAsia="宋体" w:cs="宋体"/>
          <w:b/>
          <w:sz w:val="24"/>
          <w:szCs w:val="24"/>
        </w:rPr>
        <w:t xml:space="preserve">被保险人应恪尽职责防止出售或提供任何不洁的或不符合消费标准的食品或饮料。被保险人故意或者在重大过失的情况下出售或提供不洁的或不符合消费标准的食品或饮料导致的第三者损失，保险人不负责赔偿。</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罢工、暴乱、民众骚乱或恶意破坏扩展条款</w:t>
      </w:r>
      <w:r/>
    </w:p>
    <w:p>
      <w:pPr>
        <w:contextualSpacing/>
        <w:ind w:firstLine="480"/>
        <w:jc w:val="left"/>
        <w:keepLines w:val="0"/>
        <w:keepNext w:val="0"/>
        <w:pageBreakBefore w:val="0"/>
        <w:spacing w:line="400" w:lineRule="exact"/>
        <w:widowControl/>
        <w:rPr>
          <w:rFonts w:ascii="宋体" w:hAnsi="宋体" w:eastAsia="宋体" w:cs="宋体"/>
          <w:b/>
          <w:sz w:val="24"/>
          <w:szCs w:val="24"/>
        </w:rPr>
      </w:pPr>
      <w:r>
        <w:rPr>
          <w:rFonts w:hint="eastAsia" w:ascii="宋体" w:hAnsi="宋体" w:eastAsia="宋体" w:cs="宋体"/>
          <w:sz w:val="24"/>
          <w:szCs w:val="24"/>
        </w:rPr>
        <w:t xml:space="preserve">兹经双方同意，鉴于被保险人已缴付了附加的保险费，本保险扩展承保在本保险单中列明的地点范围内，直接由于罢工，暴动、民众骚乱及恶意破坏造成第三者人身伤亡或财产损失时被保险人应付的赔偿责任，</w:t>
      </w:r>
      <w:r>
        <w:rPr>
          <w:rFonts w:hint="eastAsia" w:ascii="宋体" w:hAnsi="宋体" w:eastAsia="宋体" w:cs="宋体"/>
          <w:b/>
          <w:sz w:val="24"/>
          <w:szCs w:val="24"/>
        </w:rPr>
        <w:t xml:space="preserve">但不超过本保险单列明的赔偿限额。</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w:t>
      </w:r>
      <w:r/>
    </w:p>
    <w:p>
      <w:pPr>
        <w:contextualSpacing/>
        <w:ind w:firstLine="482"/>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b/>
          <w:sz w:val="24"/>
          <w:szCs w:val="24"/>
        </w:rPr>
        <w:t xml:space="preserve">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出租人责任条款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兹经合同双方同意，鉴于被保险人已缴付附加保险费，本保险扩展承保被保险人因其出租的房屋、建筑发生火灾造成第三者</w:t>
      </w:r>
      <w:r>
        <w:rPr>
          <w:rFonts w:hint="eastAsia" w:ascii="宋体" w:hAnsi="宋体" w:eastAsia="宋体" w:cs="宋体"/>
          <w:b/>
          <w:sz w:val="24"/>
          <w:szCs w:val="24"/>
        </w:rPr>
        <w:t xml:space="preserve">（不含被保险人及其雇员）</w:t>
      </w:r>
      <w:r>
        <w:rPr>
          <w:rFonts w:hint="eastAsia" w:ascii="宋体" w:hAnsi="宋体" w:eastAsia="宋体" w:cs="宋体"/>
          <w:sz w:val="24"/>
          <w:szCs w:val="24"/>
        </w:rPr>
        <w:t xml:space="preserve">人身伤亡或财产损失时依法应负的赔偿责任。</w:t>
      </w:r>
      <w:r>
        <w:rPr>
          <w:rFonts w:hint="eastAsia" w:ascii="宋体" w:hAnsi="宋体" w:eastAsia="宋体" w:cs="宋体"/>
          <w:b/>
          <w:sz w:val="24"/>
          <w:szCs w:val="24"/>
        </w:rPr>
        <w:t xml:space="preserve">被保险人应采取必要的措施以防止在维修或装修过程中发生意外</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恐怖活动条款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为公众责任保险（以下简称主险）的附加险，投保人只有在投保主险的基础上方可投保本附加险。兹经合同双方同意，鉴于被保险人已缴付了附加保险费，本保险扩展承保本保险单明细表中列明的经营场所出现任何恐怖分子或组织进行恐怖活动直接造成第三者人身伤亡或财产损失时，被保险人依法应负的赔偿责任。</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本保险合同所载其他条件不变。 </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释义】恐怖活动：中华人民共和国全国人大常委会第二十三次会议审议的《关于加强反恐怖工作有关问题的决定（草案）》规定：“恐怖活动是指以制造社会恐慌、胁迫国家机关或者国际组织为目的，采取暴力、破坏、恐吓或者其他手段，造成或者意图造成人员伤亡、重大财产损失、公共设施损坏、社会秩序混乱等严重社会危害的行为。煽动、资助或者以其他方式协助实施上述活动的，也属于恐怖活动。”与恐怖活动相关的事件通常称为“恐怖事件”、“恐怖袭击”等。</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有缺陷的卫生设备条款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兹经合同双方同意，保险人负责赔偿被保险人因卫生设施发生意外事故导致污染物泄漏而依法应承担的对任何第三者人身伤亡及财产损失的赔偿责任（包括根据法律应由被保险人承担的清除污染物的费用），</w:t>
      </w:r>
      <w:r>
        <w:rPr>
          <w:rFonts w:hint="eastAsia" w:ascii="宋体" w:hAnsi="宋体" w:eastAsia="宋体" w:cs="宋体"/>
          <w:b/>
          <w:sz w:val="24"/>
          <w:szCs w:val="24"/>
        </w:rPr>
        <w:t xml:space="preserve">但不得超过本保险单规定的赔偿限额</w:t>
      </w:r>
      <w:r>
        <w:rPr>
          <w:rFonts w:hint="eastAsia" w:ascii="宋体" w:hAnsi="宋体" w:eastAsia="宋体" w:cs="宋体"/>
          <w:sz w:val="24"/>
          <w:szCs w:val="24"/>
        </w:rPr>
        <w:t xml:space="preserve">。本保险合同所载其他条件不变。本附加险条款与主险条款内容相悖之处，以本附加险条款为准；未尽之处，以主险条款为准。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提供物品及服务条款</w:t>
      </w:r>
      <w:r/>
    </w:p>
    <w:p>
      <w:pPr>
        <w:contextualSpacing/>
        <w:ind w:firstLine="480"/>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rPr>
        <w:t xml:space="preserve">兹经合同双方同意，鉴于被保险人已支付了附加保险费，本保险扩展承保被保险人因提供物品或服务，包括作为其正常经营过程中的运输服务，造成第三者</w:t>
      </w:r>
      <w:r>
        <w:rPr>
          <w:rFonts w:hint="eastAsia" w:ascii="宋体" w:hAnsi="宋体" w:eastAsia="宋体" w:cs="宋体"/>
          <w:b/>
          <w:sz w:val="24"/>
          <w:szCs w:val="24"/>
        </w:rPr>
        <w:t xml:space="preserve">（不含被保险人及其雇员）</w:t>
      </w:r>
      <w:r>
        <w:rPr>
          <w:rFonts w:hint="eastAsia" w:ascii="宋体" w:hAnsi="宋体" w:eastAsia="宋体" w:cs="宋体"/>
          <w:sz w:val="24"/>
          <w:szCs w:val="24"/>
        </w:rPr>
        <w:t xml:space="preserve">人身伤亡或财产损失时依法应负的赔偿责任。本保险合同所载其他条件不变。本附加险条款与主险条款内容相悖之处，以本附加险条款为准；未尽之处，以主险条款为准。</w:t>
      </w:r>
      <w:r/>
    </w:p>
    <w:p>
      <w:pPr>
        <w:numPr>
          <w:ilvl w:val="0"/>
          <w:numId w:val="10"/>
        </w:numPr>
        <w:contextualSpacing/>
        <w:ind w:left="-2" w:firstLine="422"/>
        <w:jc w:val="left"/>
        <w:keepLines w:val="0"/>
        <w:keepNext w:val="0"/>
        <w:pageBreakBefore w:val="0"/>
        <w:spacing w:after="120" w:line="400" w:lineRule="exact"/>
        <w:rPr>
          <w:rFonts w:ascii="宋体" w:hAnsi="宋体" w:eastAsia="宋体" w:cs="宋体"/>
          <w:bCs/>
          <w:sz w:val="24"/>
          <w:szCs w:val="24"/>
        </w:rPr>
      </w:pPr>
      <w:r>
        <w:rPr>
          <w:rFonts w:hint="eastAsia" w:ascii="宋体" w:hAnsi="宋体" w:eastAsia="宋体" w:cs="宋体"/>
          <w:b/>
          <w:bCs/>
          <w:sz w:val="24"/>
          <w:szCs w:val="24"/>
        </w:rPr>
        <w:t xml:space="preserve">锅炉爆炸条款</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兹经双方同意，鉴于被保险人已缴付了附加的保险费，本保险扩展承保在本保险单中列明的地点范围内，由于锅炉本身内部压力产生爆炸，造成第三者人身伤亡或财产损失时被保险人应付的赔偿责任。</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被保险人应持有政府有关部门颁发的锅炉合格证书，并保证指派合格的技术人员定期对锅炉进行检查和维修。</w:t>
      </w:r>
      <w:r/>
    </w:p>
    <w:p>
      <w:pPr>
        <w:contextualSpacing/>
        <w:ind w:firstLine="480"/>
        <w:jc w:val="left"/>
        <w:keepLines w:val="0"/>
        <w:keepNext w:val="0"/>
        <w:pageBreakBefore w:val="0"/>
        <w:spacing w:line="400" w:lineRule="exact"/>
        <w:rPr>
          <w:rFonts w:ascii="宋体" w:hAnsi="宋体" w:eastAsia="宋体" w:cs="宋体"/>
          <w:sz w:val="24"/>
          <w:szCs w:val="24"/>
        </w:rPr>
      </w:pPr>
      <w:r>
        <w:rPr>
          <w:rFonts w:hint="eastAsia" w:ascii="宋体" w:hAnsi="宋体" w:eastAsia="宋体" w:cs="宋体"/>
          <w:sz w:val="24"/>
          <w:szCs w:val="24"/>
        </w:rPr>
        <w:t xml:space="preserve">本保险单所载其他条件不变。</w:t>
      </w:r>
      <w:r/>
    </w:p>
    <w:p>
      <w:pPr>
        <w:contextualSpacing/>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本附加险条款与主险条款内容相悖之处，以本附加险条款为准；未尽之处，以主险条款为准。</w:t>
      </w:r>
      <w:r/>
    </w:p>
    <w:p>
      <w:pPr>
        <w:contextualSpacing/>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contextualSpacing/>
        <w:jc w:val="left"/>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附件：滨海县医疗机构医疗责任保险示范产品保险案件赔偿处理办法</w:t>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滨海县医疗机构医疗责任保险示范产品</w:t>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保险案件赔偿处理办法</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第一章 总则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第一条 为保护医疗机构、患者和供应方成员的合法权益，根据《滨海县医疗机构医疗责任保险示范产品采购协议书》（以下简称《采购协议》）的有关规定，特制订本办法。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第二条 本办法与《采购协议》正文的约定具有同等法律效力，协议各方共同遵守，《采购协议》未尽事宜以本办法为准。</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第二章 赔偿处理中心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第三条 江泰保险经纪股份有限公司盐城分公司（以下简称江泰公司）设立滨海县医疗机构医疗责任保险示范产品赔偿处理中心（以下简称赔处中心），负责本产品保险案件的赔偿处理相关事宜。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第四条 出单公司和江泰公司分别指定授权代表参加赔处中心。出单公司授权代表应当具有不低于保单约定的每次事故赔偿限额的案件审批权限，并提供公司签章的授权文件。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第五条 赔处中心应设立案件管理部、纠纷评估部、保险索赔部。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（一）案件管理部职责：受理所有本产品案件报案及接转、跟踪案件处理情况、分析医疗责任保险案件，为医疗风险防范提供相关数据。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（二）纠纷评估部职责：负责配合关于案件的定性、定责、定损、定赔的相关工作，及时完成案件处理。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（三）保险索赔部职责：根据院内和解协议书、纠纷调解协议书、行政调解协议书、人民法院的调解书或判决书等，负责协助医疗机构开展和完成医疗纠纷保险案件的索赔工作。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第六条 赔处中心应当遵循公正、公平的原则，依据事实和相关法律、法规、诊疗护理规范、保险合同等，对案件的定性、定责、定损、定赔进行审查，及时完成案件处理。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第七条 出单公司应指定专人负责本产品的理赔事宜，全力配合赔处中心的工作，如发生人员变动应及时通知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。出单公司的授权代表应当按时与江泰公司就各类案件赔偿处理意见进行会商。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第八条 赔处中心形成的相关决议、出具的相关文件，由江泰公司代为签章确认。</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第三章 赔偿处理流程</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第一节 医疗纠纷处理途径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第九条 根据国家相关法律法规，医疗纠纷可以通过以下途径进行处理：自行和解、第三方调解、司法诉讼、行政调解。</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第二节 接转报案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第十条 根据《采购协议》，患者或其近亲属或其代理人首次向医疗机构提出赔偿请求的时间（即索赔时间）为保险出险时间，此时间以下列三个时间中发生在前的为准，保险人有权对出险时间进行核实。</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（一）医疗机构出具的投诉登记材料中所载的患方在首次向医疗机构沟通或投诉过程中明确提出索赔要求的时间；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（二）或患方提出或同意通过医疗纠纷调解解决纠纷的时间；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（三）或患方向医疗机构提起诉讼的时间。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第十一条 江泰公司电话中心设立400-616-8811专线电话，7*24小时全年不间断受理滨海县医疗机构医疗责任保险示范产品的报案。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第十二条 赔处中心应引导医疗机构向赔处中心进行报案，赔处中心协助医疗机构向供应方进行转报案。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第十三条 赔处中心接到报案后，及时向出单公司转报案。如果医疗纠纷处理途径为第三方调解的，赔处中心应向相应的医疗纠纷调解组织转报案件信息。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第十四条 医疗机构向出单公司直接报案的，出单公司应将报案信息及时反馈至赔处中心。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医疗机构向医疗纠纷调解组织直接报案的，医疗纠纷调解组织应将报案信息转至赔处中心，由赔处中心完成向供应方进行转报案。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第十五条 出单公司受理报案后，需第一时间向报案人提供报案编号，同时反馈给赔处中心。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第十六条 医疗机构、赔处中心、出单公司按照本办法《集中接转报案操作细则》，完成接转报案工作。</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第三节 案件处理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第十七条 除《采购协议》约定可采用简易程序处理的案件外，其他案件处理均应完成定性、定责、定损、定赔。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（一）定性，指对医疗机构的诊疗护理活动是否存在过错，以及该过错与患者的损害后果之间是否存在关联性进行判定；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（二）定责，指经定性判定为医疗机构的过错与患者损害后果之间存在因果关系的案件，对医疗机构为患者所受损害所应承担的责任程度进行判定；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（三）定损，指对因诊疗活动中的过错给患者所造成的经济损失产品进行确定；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（四）定赔，指依据相关法律规定，对患者经济损失产品赔偿金额进行计算。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第十八条 本办法所称评估会，是指医疗纠纷调解组织，根据相应的法律法规对医疗纠纷案件进行性质认定、责任认定和赔偿损失认定的会议。评估会设有不超过10个且为奇数的表决席位，其中医疗纠纷调解组织、出单公司、江泰公司各占1个席位，其余表决席位视案件具体情况，由医学专家、法律专家补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第十九条 本办法所称合议会，是指医疗机构、供应方成员对赔偿处理意见提出重大异议的案件或有重大社会影响力的案件或重大疑难案件，赔处中心组织相关人员进行合议。合议会成员由江泰公司分支机构负责人、出单公司分支机构负责人、医疗纠纷调解组织负责人组成，可邀请卫生行政部门有关人员参加，合议会形成的结果由所有参会成员签字确认。</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第四节 自行和解简易程序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第二十条 根据《采购协议》，未超过规定权限的，医疗机构在规定金额及限额内采用自行和解简易程序处理的，应当及时通知赔处中心，赔处中心根据医疗机构要求提供赔偿处理意见，并负责协助参保医疗机构向患方收集案件相关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第二十一条 医患双方达成和解，签订医患自行和解协议书或通过医疗机构所在地医疗纠纷调解组织签订调解协议书。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第二十二条 赔处中心应当在和解协议生效之日起1个工作日内完成案件的登记、核实、归档，并将索赔材料提交出单公司，出单公司在《采购协议》约定的时效内向医疗机构或者患者支付赔款。</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第五节 第三方调解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第二十三条 赔处中心应跟踪、记录参保医疗机构医疗纠纷第三方调解案件受理情况。与医疗纠纷调解组织就医疗纠纷处理情况保持有效沟通。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第二十四条 赔处中心对于医疗纠纷调解组织不受理或终结调解的案件，应当在1个工作日内与医疗机构取得联系，告知医疗机构后续处理相关注意事项，并全程跟进。</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第二十五条 属于保险责任的医疗纠纷案件，医疗纠纷调解组织应视案件的实际情况和复杂程度，由赔处中心配合组织专家对医疗纠纷案件进行专业评估，或组织召开滨海县医疗机构医疗责任保险示范产品医疗责任保险案件评估会对医疗纠纷案件进行专业评估。无论采取何种方式进行评估，均需要出具《医疗责任保险案件专家评估意见书》。</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第二十六条 《医疗责任保险案件专家评估意见书》经医疗机构认可，医疗纠纷调解组织根据《医疗责任保险案件专家评估意见书》，进行调解并促成医患双方达成《调解协议书》。赔处中心根据《调解协议书》提供赔偿处理意见，供应方认可调解结果并按照相关约定进行理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第二十七条 赔处中心应当在医患双方签订调解协议后1个工作日内将索赔材料提交出单公司，出单公司在《采购协议》约定的时效内向医疗机构或者患者支付赔款。</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第六节 司法诉讼及行政调解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第二十八条 医疗机构在收到法院诉讼传票后1个工作日内，应将法院传票及原告诉状扫描件发至赔处中心。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第二十九条 赔处中心应协助医疗机构在处理医疗诉讼案件使用合作律师、自聘法律顾问时，代理律师的选定需经出单公司书面确认。若医疗机构无合作律师或自聘法律顾问，赔处中心可以协调出单公司指定代理律师。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第三十条 赔处中心应协助督促代理律师在收到诉讼材料及相关病历资料后，于法院开庭前3个工作日完成书面应诉方案。应诉方案应当征询医疗机构和出单公司的意见，取得同意后方可在诉讼中发表。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第三十一条 当法院决定案件需要进行司法鉴定时，代理律师应及时通知医疗机构、出单公司与赔处中心，各方应重视并共同做好司法鉴定前的准备工作。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鉴定机构出具鉴定意见后，赔处中心应当及时组织医疗机构、出单公司进行讨论，医疗机构、出单公司对鉴定意见有异议的，应当在法庭审理时申请鉴定人出庭质证。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第三十二条 医疗机构及其代理律师收到人民法院一审判决书，应在1个工作日内转交赔处中心及出单公司。医疗机构及出单公司在收到判决书之日起3个工作日内沟通协商确认是否上诉。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第三十三条 不需上诉的案件及终审结案案件，赔处中心提供赔偿处理意见，并在判决书生效之日起5个工作日内将索赔材料提交出单公司，出单公司在《采购协议》约定的时效内向医疗机构或者患者支付赔款。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第三十四条 医疗机构在选择司法调解途径前及达成司法调解协议前，应当就拟达成调解协议的内容征得出单公司书面同意。出单公司应当在司法调解达成一致意见前，与赔处中心协商并出具赔偿处理意见，医疗机构根据赔偿处理意见，参与司法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第三十五条 医疗纠纷案件通过行政调解途径进行处理的，其处理流程参照司法调解流程。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第三十六条 应当征求且已经征求出单公司意见，但出单公司在规定时间内未反馈的，视为同意；应当征求但没有征求出单公司意见，出单公司有权对于司法诉讼及行政调解的处理结果提出不同意见。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第三十七条 案件通过司法诉讼或行政调解途径解决过程中，当事人申请撤回诉讼或行政调解的，后向医疗纠纷调解组织申请第三方调解，医疗纠纷调解组织可以受理。其处理流程参照第三方调解。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第三十八条 医疗机构、赔处中心、出单公司按照本办法《诉讼案件操作细则》，完成诉讼案件处置工作。</w:t>
      </w:r>
      <w:r/>
    </w:p>
    <w:p>
      <w:pPr>
        <w:jc w:val="center"/>
        <w:keepLines w:val="0"/>
        <w:keepNext w:val="0"/>
        <w:pageBreakBefore w:val="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第四章 案件索赔材料清单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第三十九条 赔处中心应本着实事求是的原则，尊重客观事实，协助医疗机构收集并整理索赔资料。出单公司及供应方成员不得以以往的工作习惯及理赔标准，对于索赔材料提出额外的要求。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第四十条 出单公司应当依据下列单证进行保险赔偿，不再要求当事人提交其他单证。</w:t>
      </w:r>
      <w:r/>
    </w:p>
    <w:tbl>
      <w:tblPr>
        <w:tblStyle w:val="1052"/>
        <w:tblW w:w="8502"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7"/>
        <w:gridCol w:w="3685"/>
        <w:gridCol w:w="850"/>
        <w:gridCol w:w="850"/>
        <w:gridCol w:w="850"/>
        <w:gridCol w:w="850"/>
        <w:gridCol w:w="850"/>
      </w:tblGrid>
      <w:tr>
        <w:trPr>
          <w:trHeight w:val="1247"/>
        </w:trPr>
        <w:tc>
          <w:tcPr>
            <w:shd w:val="clear" w:color="auto" w:fill="fef2cb"/>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索赔单证</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自行和解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第三方</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调解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司法诉讼</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司法调解</w:t>
            </w:r>
            <w:r/>
          </w:p>
        </w:tc>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行政调解</w:t>
            </w:r>
            <w:r/>
          </w:p>
        </w:tc>
      </w:tr>
      <w:tr>
        <w:trPr>
          <w:trHeight w:val="298"/>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索赔申请书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591"/>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医疗纠纷调解组织主持签订的医疗纠纷调解协议书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623"/>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医疗纠纷调解组织案件评估会决定书或合议会决议书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545"/>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医疗技术鉴定意见书、司法过错鉴定意见书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如有需</w:t>
            </w:r>
            <w:r/>
          </w:p>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w:t>
            </w:r>
            <w:r/>
          </w:p>
        </w:tc>
      </w:tr>
      <w:tr>
        <w:trPr>
          <w:trHeight w:val="370"/>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开庭传票、司法判决书等诉讼相关文件</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378"/>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损失及赔偿金额计算所需单证</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279"/>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赔款支付通知书</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r>
        <w:trPr>
          <w:trHeight w:val="384"/>
        </w:trPr>
        <w:tc>
          <w:tcPr>
            <w:shd w:val="clear" w:color="auto" w:fill="auto"/>
            <w:tcW w:w="567"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shd w:val="clear" w:color="auto" w:fill="auto"/>
            <w:tcW w:w="368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赔处中心认为其他有必要的单证</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第四十一条 损失及赔偿金额计算所需单证包括： 患方身份证明材料、患者的死亡证明、患者伤残等级证明、误工费及收入证明材料、医疗费用证明材料、护理费用证明材料、患者病历资料复印件、其他费用材料。</w:t>
      </w:r>
      <w:r/>
    </w:p>
    <w:p>
      <w:pPr>
        <w:jc w:val="center"/>
        <w:keepLines w:val="0"/>
        <w:keepNext w:val="0"/>
        <w:pageBreakBefore w:val="0"/>
        <w:spacing w:line="4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第五章 损害赔偿产品及标准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第四十二条 依照《采购协议》约定，在《中华人民共和国民法典》及《最高人民法院关于审理人身损害赔偿案件适用法律若干问</w:t>
      </w:r>
      <w:r>
        <w:rPr>
          <w:rFonts w:hint="eastAsia" w:ascii="宋体" w:hAnsi="宋体" w:eastAsia="宋体" w:cs="宋体"/>
          <w:color w:val="000000"/>
          <w:sz w:val="24"/>
          <w:szCs w:val="24"/>
        </w:rPr>
        <w:t xml:space="preserve">题的解释》的基础上，滨海县医疗机构医疗责任保险示范产品案件涉及的医疗损害赔偿产品及标准，包括但不限于患者误工期的确定及误工费的计算、患者护理期的确定及护理费的计算、患者营养费的认定及计算、患者住院伙食补助费、患方精神损害抚慰金、患者医疗费、患者被扶养人生活费的认定及计算、患者死亡赔偿金、患者残疾赔偿金、交通费、住宿费、住院伙食补助费、必要的营养费、残疾辅助器具费、康复费、护理费、后续治疗费、丧葬费、办理丧葬事宜支出的合理的交通费、住宿费和误工损失、精神损害抚慰金等。依照本办法《损害赔偿产品及标准细则》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第四十三条 按照本办法《损害赔偿产品及标准细则》约定计算的损失金额，供应方应当予以认可。</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第六章 其他事项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第四十四条 发生保险责任范围内的保险事故，</w:t>
      </w:r>
      <w:r>
        <w:rPr>
          <w:rFonts w:hint="eastAsia" w:ascii="宋体" w:hAnsi="宋体" w:eastAsia="宋体" w:cs="宋体"/>
          <w:bCs/>
          <w:color w:val="000000"/>
          <w:sz w:val="24"/>
          <w:szCs w:val="24"/>
          <w:lang w:bidi="ar"/>
        </w:rPr>
        <w:t xml:space="preserve">医疗机构在保险事故中承担的责任度，根据2021年11月17日司法部下发的《人身损害与疾病因果关系判定指南》（附录A），按照人身损害在疾病后果中的原因力大小（因果关系类型），依次将人身损害参与程度分为以下六个等级： 完全因果关系：96%～100%； 主要因果关系：56%～95%； 同等因果关系：45%～55%； 次要因果关系：16%～44%； 轻微因果关系：5%～15%； 没有因果关系：0%～4%。</w:t>
      </w:r>
      <w:r>
        <w:rPr>
          <w:rFonts w:hint="eastAsia" w:ascii="宋体" w:hAnsi="宋体" w:eastAsia="宋体" w:cs="宋体"/>
          <w:color w:val="000000"/>
          <w:sz w:val="24"/>
          <w:szCs w:val="24"/>
        </w:rPr>
        <w:t xml:space="preserve">第四十五条 发生保险责任范围内的保险事故，根据医疗机构提供的索赔材料，参考案件的损害范围、受害人的经济承担能力等因素，在每次事故每位患者公平原则限额内酌情赔偿。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第四十六条 对于第三方侵权（如交通事故等）合并发生医疗责任保险案件，赔偿主体除医疗机构外尚有其他主体的，医疗纠纷调解组织召开案件评估会时，由专家对患者外伤入院时的不良预后风险及医疗机构的医疗过错责任进行评估。供应方应按照《医疗责任保险案件专家评估意见书》意见，承担相应的赔偿责任，认可或出具相应的分割单，同时不得以要求患者先行处理第三方侵权事件为由拒绝赔偿或拖延赔偿。</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第七章 附则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第四十七条 参与医疗责任保险案件赔偿处理的各方应当严格遵守本办法规定，如有违反，应当及时纠正，拒不纠正的视为构成对本产品的实质违约，本产品领导小组有权根据相应规定进行处理。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第四十八条 本办法由《采购协议》各方共同负责制订、修改、解释。</w:t>
      </w:r>
      <w:r/>
    </w:p>
    <w:p>
      <w:pPr>
        <w:ind w:firstLine="480"/>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color w:val="000000"/>
          <w:sz w:val="24"/>
          <w:szCs w:val="24"/>
        </w:rPr>
        <w:t xml:space="preserve">第四十九条 本办法自采购协议签订之日起施行。</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赔偿处理办法细则：《集中接转报案操作细则》</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赔偿处理办法细则：《诉讼案件操作细则》</w:t>
      </w:r>
      <w:r/>
    </w:p>
    <w:p>
      <w:pPr>
        <w:ind w:firstLine="482"/>
        <w:jc w:val="left"/>
        <w:keepLines w:val="0"/>
        <w:keepNext w:val="0"/>
        <w:pageBreakBefore w:val="0"/>
        <w:spacing w:line="400" w:lineRule="exact"/>
        <w:widowControl/>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赔偿处理办法细则：《损害赔偿产品及标准细则》</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赔偿处理办法细则：《集中接转报案操作细则》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一、赔处中心设置案件管理岗，配备专职人员，负责案件、数据管理，包括但不限于管理接收报案信息、向供应方报案、交接案件资料、案件归档、赔案数据管理等。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二、赔处中心应引导参保医疗机构向赔处中心进行报案，医疗纠纷调解组织或其他途径获取的报案信息，均需及时移交赔处中心。赔处中心将符合报案标准的案件向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报案标准：若医疗纠纷符合以下条件之一的，赔处中心案件管理岗可以协助客户向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（一）医患双方已达成自行和解协议的案件；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（二）医疗纠纷调解组织已受理医患双方的医疗纠纷调解申请的案件；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（三）医方已接到法院传票的案件；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（四）医方报案时告知医方有诊疗瑕疵，或造成患者人身损害的案件；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（五）赔处中心预审时，根据产品所在地的保险方案，认为可能属于保险责任的案件；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（六）其他属于医疗纠纷客户认为需要向供应方报案的情况。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不符合以上报案标准的其他类案件，赔处中心汇总相关案件信息后，每月向出单公司发送邮件报备。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三、估损金额确定的方式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对于索赔材料不齐全，责任度不明确，无法初步计算估损金额的案件，估损金额应在赔处中心向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400电话中心进行报案时，在100元至1000元范围内确定。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可以初步计算估损金额的案件，估损金额应在赔处中心向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400电话中心进行报案时，以实际估损金额为准。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应根据当地实际情况，组织召开产品承保联席会议，明确估损金额确定的方式，并形成会议纪要。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四、报案形式、时效及注意事项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（一）报案形式：赔处中心可以通过邮件或电话（三笔以下）的方式向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400电话中心进行报案。邮箱地址：400@jiangtai.com，案件信息模板后附。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（二）报案时效：赔处中心接到报案后，对于确定属于保险责任的医疗纠纷，须7个自然日内完成向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400电话中心报案的动作，最迟不得超过对应保单的保险止期。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（三）注意事项：因赔处中心未及时转报400电话中心，导致案件超过诉讼时效而被供应方拒赔处理的，由业务单位承担相应责任。另外，赔处中心完成向</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报案后，针对不符合报案标准的其他类案件，应同时完成向出单公司对接经办人员邮件备案（包括报备暂时未达到报案要求的投诉类、咨询类等其他类型报案信息）的动作。报案信息包括但不限于保单号、被保险人名称、出险时间、患者姓名及纠纷情况。与供应方对接时，应使用公司邮箱向对方公司邮箱发送邮件，同时抄送wshy@jiangtai.com，并截图留存。</w:t>
      </w:r>
      <w:r/>
    </w:p>
    <w:p>
      <w:pPr>
        <w:pStyle w:val="945"/>
        <w:rPr>
          <w:rFonts w:ascii="宋体" w:hAnsi="宋体" w:eastAsia="宋体" w:cs="宋体"/>
          <w:color w:val="000000"/>
          <w:sz w:val="24"/>
          <w:szCs w:val="24"/>
        </w:rPr>
      </w:pPr>
      <w:r>
        <w:rPr>
          <w:rFonts w:ascii="宋体" w:hAnsi="宋体" w:eastAsia="宋体" w:cs="宋体"/>
          <w:color w:val="000000"/>
          <w:sz w:val="24"/>
          <w:szCs w:val="24"/>
        </w:rPr>
      </w:r>
      <w:r/>
    </w:p>
    <w:p>
      <w:pPr>
        <w:pStyle w:val="942"/>
        <w:jc w:val="left"/>
        <w:rPr>
          <w:rFonts w:ascii="宋体" w:hAnsi="宋体" w:eastAsia="宋体" w:cs="宋体"/>
          <w:color w:val="000000"/>
          <w:sz w:val="24"/>
          <w:szCs w:val="24"/>
        </w:rPr>
      </w:pPr>
      <w:r>
        <w:rPr>
          <w:rFonts w:hint="eastAsia" w:ascii="宋体" w:hAnsi="宋体" w:eastAsia="宋体" w:cs="宋体"/>
          <w:b/>
          <w:bCs/>
          <w:color w:val="000000"/>
          <w:sz w:val="24"/>
          <w:szCs w:val="24"/>
        </w:rPr>
        <mc:AlternateContent>
          <mc:Choice Requires="wpg">
            <w:drawing>
              <wp:inline xmlns:wp="http://schemas.openxmlformats.org/drawingml/2006/wordprocessingDrawing" distT="0" distB="0" distL="0" distR="0">
                <wp:extent cx="4752340" cy="2441575"/>
                <wp:effectExtent l="0" t="0" r="10160" b="952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4752340" cy="244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4.2pt;height:192.2pt;mso-wrap-distance-left:0.0pt;mso-wrap-distance-top:0.0pt;mso-wrap-distance-right:0.0pt;mso-wrap-distance-bottom:0.0pt;" stroked="f">
                <v:path textboxrect="0,0,0,0"/>
                <v:imagedata r:id="rId14" o:title=""/>
              </v:shape>
            </w:pict>
          </mc:Fallback>
        </mc:AlternateContent>
      </w:r>
      <w:r/>
    </w:p>
    <w:p>
      <w:pP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400电话中心接到赔处中心报案后，完成公司案件系统录入，并将案件信息推送至卫健网案件系统，业务单位客户经理操作为保险案件，案件推送至公司案件系统后，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400电话中心完成向供应方的转报案动作，完成接转报案录音的留存。</w:t>
      </w:r>
      <w:r/>
    </w:p>
    <w:p>
      <w:pPr>
        <w:ind w:firstLine="48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六、赔处中心根据案件处理进度，实时在卫健网案件系统中进行维护。</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赔偿处理办法细则：《诉讼案件操作细则》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一、报案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赔处中心应了解并跟进医疗机构诉讼案件处理情况，提醒医疗机构在收到法院诉讼传票后1个工作日内，将法院传票及原告诉状扫描件发至赔处中心。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赔处中心应与医疗机构建立定期案件处理沟通机制，至少每个月与医疗机构保持沟通。保单到期前，赔处中心应将所有案件向供应方报案或备案。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二、应诉前</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（一）代理律师选定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在处理医疗诉讼案件使用合作律师、自聘法律顾问时，赔处中心需协助医疗机构与出单公司沟通，经出单公司书面确认后及时反馈医疗机构。规定时间内，出单公司未反馈的，视为同意。若医疗机构无合作律师或自聘法律顾问，赔处中心可以协调出单公司指定代理律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赔处中心协助医疗机构向出单公司确认的内容，包括但不限于诉讼费、鉴定费、取证费、公证费、律师费、质证费及其他相关费用标准等。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（二）诉前准备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协调出单公司、代理律师与医疗机构，在法院开庭前就应诉工作进行沟通。属于调解转诉讼的案件，应提前与代理律师沟通医学专家评估意见，索赔材料清单等。如案件存在以下情况的，赔处中心应告知代理律师提请法院一并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1、诉讼前已产生的尸检费、鉴定费；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2、原告（患者）存在医疗欠费；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3、医疗机构先行垫付的医疗费或其他费用。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三、应诉中</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（一）关注庭前调解</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与法院建立诉调对接机制的机构，要主动与法院沟通，建议法院在征得医患双方同意的前提下，委托医疗纠纷调解组织进行调解，调解过程可以请法院共同参与；如果法院单独进行调解，且医疗机构同意通过庭前调解的方式处理的，赔处中心应提前将赔付要求及医疗损害责任认定情况与医疗机构进行沟通，建议通过过错鉴定程序或者参考医疗纠纷调解组织专家评估意见，在此基础上依据专业鉴定或者评估意见进行调解；否则存在超出责任认定范围的赔偿，供应方不予理赔的风险。</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（二）关注案件审理进程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要及时与医院沟通，获悉法院启动对案件进行司法或者过错鉴定时，应告知出单公司，并协调医疗机构做好鉴定前材料准备工作，提醒代理律师与医疗机构应当积极参与鉴定，要选择医疗机构和患者都认可且相对客观公正的鉴定机构进行鉴定，提醒医疗机构和代理律师在鉴定过程中要主动与鉴定机构沟通诊疗情况及过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要与医疗机构和代理律师保持沟通，获悉鉴定意见出具后，立即通知出单公司。如果医疗机构对鉴定意见存在异议的，建议医疗机构和代理律师在法庭审理时申请鉴定人出庭质证。如果出单公司认为鉴定结果存在明显问题且通过书面形式明确表示不认可鉴定意见的，考虑保险条款中有关于“被保险人获悉可能发生诉讼、仲裁时，应及时以书面形式通知保险人；对因未及时提供上述通知或必要协助导致扩大的损失，保险人不承担赔偿责任”约定，赔处中心要做好沟通协调工作，引导医疗机构和代理律师，在法庭审理时申请鉴定人出庭质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四、应诉后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（一）上诉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赔处中心获悉医疗机构签收法院一审判决文书后2个工作日内，应协调医疗机构与出单公司商议是否上诉。出单公司应评估案件二审风险，并结合医疗机构的意见，提出是否上诉的建议。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（二）协助索赔</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对于医疗机构最终确定不上诉的案件或终审案件，赔处中心应协助医疗机构向出单公司进行索赔，督促出单公司按照采购协议的约定，及时完成案件赔付工作，避免后续产生强制执行费等问题。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（三）索赔材料收集及注意事项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赔处中心应及时提醒医疗机构、代理律师在诉讼案件结案前，及时准确收集相关索赔材料，结案后及时将案件索赔资料整理完毕并提交。在索赔资料收集时，应注意以下事项：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1、医疗机构索赔材料。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医疗机构可以将相关证照彩色扫描件向赔处中心进行报备，若此前已报备过的，无需重复提交。医疗机构主体材料原则上每一年度报备一次。</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2、患方索赔材料。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赔处中心应告知医疗机构和代理律师，在案件审理过程中，主动向法院索要当事人身份、户籍资料复印件等相关材料。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3、法律费用索赔材料。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法律费用如由医疗机构先行垫付的，在索赔资料收集阶段，医疗机构应提供缴纳相关法律费用的发票原件或复印件。若涉及鉴定的，需提供鉴定报告原件或复印件。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4、其他索赔材料。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其他索赔材料包括但不限于传票、判决书等诉讼相关文件，以及采购协议约定的其他索赔材料。</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赔偿处理办法细则：《损害赔偿产品及标准细则》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一、关于患者误工期的确定，按照下列标准执行。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（一）误工期起止时间的认定应当与医疗过错起止时间的认定相一致；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（二）因医疗过错致使患者疾病治疗发生迁延的住院时间，应当计入误工期；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（三）因医疗过错致使患者病休的合理时间，应当计入误工期；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因医疗损害构成残疾并持续误工的，误工期计算至定残日前一天；由于伤情变化，实际发生两次或两次以上伤残评定并持续误工的，误工期计算至案件处理中被采信的定残结果的定残日前一天（本处包含医疗纠纷调解组织对患者的伤残评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（五）患方无法提供医疗机构开具的医学休假诊断证明的，误工期应当结合患者年龄、体质等因素，参考《人身损害误工期、护理期、营养期评定规范》（GA/T 1193-2014），在标准范围内进行综合评定（本标准中的误工期已包含住院期间的误工期）；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（六）患者在医疗过错前属无劳动能力者、未成年人、在校学生或已退休人员（未继续工作）的，不予计算误工费；对于产妇未造成产假迁延后果的，不应计算误工费。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二、关于患者误工费的计算，按照下列标准执行。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（一）患者有固定收入的，应当按照其实际减少的损失计算误工费赔偿，其误工费=误工期间应得收入－务工期间实际收入。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（二）患者无固定收入，但能证明其最近三年的平均收入状况的，其误工费=误工时间（天）×最近三年的平均收入水平（元/天）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（三）患者无固定收入，且不能证明其最近三年的平均收入状况的，参照与患者相同或者相近行业上一年度职工平均工资计算，其误工费=误工时间（天）×相同、相近行业的上一年职工平均工资（天/元）。</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1、相同或相近行业判断标准如下：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（1）产业分类标准；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（2）同一产业内的社会评价标准；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（3）以省为判断标准。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相同或相近行业职工平均工资标准以本省高级人民法院每年公布的关于适用《最高人民法院关于审理人身损害赔偿案件适用法律若干问题的解释》有关赔偿产品的费用标准为准，或以本省统计局发布的最新的国民经济和社会发展统计公报及统计年鉴中的相关统计数据为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（四）患者无固定收入、不能证明其最近三年的平均收入状况，且不能确定其所属行业情况的，可以参照受诉法院所在地相同或者相近行业上一年度职工的平均工资计算。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三、患者因医疗过错导致损害，符合下列条件之一的，应当给付患者护理费。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（一）患者护理级别在二级护理以上（含本数）；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（二）医疗机构医嘱载明需陪护的；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（三）按照《人身损害误工期、护理期、营养期评定规范》（GA/T 1193-2014）规定需计算患者护理期的；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（四）经专业评定，患者因医疗损害确需护理的（本处包含医疗纠纷调解组织对患者护理依赖程度的专业评定）；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（五）其他应当给付患者护理费的情形。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四、关于患者护理期的确定，按照下列标准执行。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（一）住院期间患者护理期的计算，其起止时间的认定应当与医疗过错起止时间的认定相一致；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（二）患者护理期的计算，结合其年龄、体质等因素，可以参考《人身损害误工期、护理期、营养期评定规范》（GA/T 1193-2014），在标准范围内进行综合评定（本标准中的护理期已包含住院期间的护理期）；</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护理期应当计算至患者恢复生活自理能力时止；患者因医疗损害致残而不能恢复生活自理能力的，据其年龄、健康状况等方面确定护理期限，最长不超过20年。患者是否需要护理，根据其护理依赖程度来确定，可参照《人身损害护理依赖程度评定》（GB/T 31147-2014）相关标准。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五、关于患者护理费的计算，按照下列标准执行。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（一）护理人员有固定收入的，按其实际减少的收入计算（参照误工费相关计算标准）；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（二）护理人员无固定收入但能证明其最近三年的平均收入状况的，以其最近三年的平均收入来计算（参照误工费相关计算标准）；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（三）护理人员没有收入或雇佣护工的，参照当地护工从事同等级别护理的劳务报酬标准计算，但每日护理费应在国家统计局发布的最新服务业日工资标准内。</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（四）医患双方已达成调解协议，患者出院后在护理期限尚未届满前死亡的，已支付的护理费中尚未经过的护理期限的护理费不退还。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六、患者营养费的认定，应当注意下列事项。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（一）给付营养费应当根据患者的损害或伤残的具体情况；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（二）给付营养费应当参照医疗机构意见；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（三）无医疗机构意见，根据患者损害情况确需加强营养的，营养期的认定结合患者年龄、体质等因素，参照《人身损害误工期、护理期、营养期评定规范》（GA/T 1193-2014），在标准范围内进行综合评定（本标准中的营养期已包含住院期间的营养期） 。</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七、患者营养费的赔偿计算，按照下列标准执行。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（一）患者提供了购买营养品的票据的，参考其损害后果、伤残情况、当地消费水平及司法判决实践等因素合理确定赔付金额；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（二）患者未提供购买营养品的票据的，根据医疗机构的建议酌情考虑，可按照当地城镇居民日平均生活费标准的40%-60%进行计算。</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当地对营养费的赔偿计算有相关规定或标准的，参照当地规定或标准。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八、患者住院伙食补助费的计算，按照下列标准执行。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（一）患者住院伙食补助费的赔偿期以医疗机构责任范围内的住院天数为限。</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住院伙食补助费标准参照本省国家机关一般工作人员出差伙食补助费标准计算，住院伙食补助费=住院天数×本省国家机关一般工作人员伙食补助费标准。国家机关一般工作人员出差伙食补助费标准按照财政部发布的《中央和国家机关差旅费管理办法》的相关规定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九、患方精神损害抚慰金的赔偿，应当注意下列事项。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（一）医疗损害致患者死亡、伤残的，可以给付精神损害抚慰金。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（二）医疗损害致患者其他严重后果的，可以给付精神损害抚慰金，其他严重后果的情形包括但不限于：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1、胎死宫内的；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2、损害后果对患者造成职业妨害、严重影响其劳动就业；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3、给患者造成严重身体或精神损伤或巨大痛苦等。</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（三）精神损害抚慰金的赔偿数额，应当综合考虑医疗损害的过错程度、所造成后果的严重性、医疗损害的行为方式和当地平均生活水平等因素，酌情确定。</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当地对精神损害赔偿有相关规定或标准的，参照当地规定或标准。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十、患者医疗费的计算，应当注意下列事项。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（一）患者主张医疗费的赔偿，应当提供医疗费的相关证明材料，具体要求按照第三章执行。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医疗费的赔偿以其因医疗损害的发生而额外支出的医疗费用为准，应当剔除其治疗原发病的费用。由于医疗损害导致原发病加重或发生相关并发症需要合并治疗，无法明确区分的，可以不剔除医疗损害发生后原发病的治疗费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根据医疗证明（2-3家不低于当事医疗机构级别的当地医疗机构所出具）或者专业评定、鉴定意见确定后续治疗必然发生的费用，包括因器官功能恢复训练所必要的康复费、适当的整容费以及其他后续治疗费，可以与已经发生的医疗费一并予以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（四）患者医疗费已经医保、新农合、补充医疗保险等报销的，以报销后的医疗费为基础计算医疗费赔偿金额。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十一、患者被扶养人生活费给付情况的认定，应当注意以下事项。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（一）患者因医疗损害造成死亡或伤残，且伤残等级在1级至6级（含本数）范围内的，给付被扶养人生活费；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（二）患者因医疗损害造成的伤残等级低于6级（不含本数）的，原则上不考虑被扶养人生活费，但伤残后果造成职业妨害、严重影响其劳动就业的，可以给付被扶养人生活费；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（三）被扶养人有多个扶养人的，赔偿义务人只赔偿患者依法应当负担的部分，且患方应当提供被扶养人身份证明及关系证明文件；被抚养人为成年人的，还应当提供其无劳动能力又无其他生活来源的证明。</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十二、患者被抚养人生活费的计算方式，按照下列标准执行。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（一）不满18周岁的被抚养人生活费＝本省城镇居民人均消费性支出×（18－实际年龄）÷对被抚养人承担抚养义务的人数；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（二）18～60周岁被抚养人无劳动能力又无其他生活来源的生活费＝本省城镇居民人均消费性支出×20年÷对被抚养人承担抚养义务的人数；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（三）60～75周岁被抚养人无劳动能力又无其他生活来源的生活费＝本省城镇居民人均消费性支出×［20－（实际年龄－60）］年÷对被抚养人承担抚养义务的人数；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（四）75周岁以上被抚养人无劳动能力又无其他生活来源的生活费＝本省城镇居民人均消费性支出×5年÷对被抚养人承担抚养义务的人数。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被抚养人有数人时，赔偿义务承担的年赔偿总额≤城镇居民人均消费性支出。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十三、发生保险责任第三条范围内的保险事故，</w:t>
      </w:r>
      <w:r>
        <w:rPr>
          <w:rFonts w:hint="eastAsia" w:ascii="宋体" w:hAnsi="宋体" w:eastAsia="宋体" w:cs="宋体"/>
          <w:bCs/>
          <w:color w:val="000000"/>
          <w:sz w:val="24"/>
          <w:szCs w:val="24"/>
          <w:lang w:bidi="ar"/>
        </w:rPr>
        <w:t xml:space="preserve">医疗机构在保险事故中承担的责任度，根据2021年11月17日司法部下发的《人身损害与疾病因果关系判定指南》（附录A），按照人身损害在疾病后果中的原因力大小（因果关系类型），依次将人身损害参与程度分为以下六个等级： 完全因果关系：96%～100%； 主要因果关系：56%～95%； 同等因果关系：45%～55%； 次要因果关系：16%～44%； 轻微因果关系：5%～15%； 没有因果关系：0%～4%。</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十四、发生保险责任第四条范围内的保险事故，根据被参保医疗机构提供的索赔材料，参考案件的损害范围、受害人的经济承担能力等因素，在每次事故每位患者公平原则限额内酌情赔偿。</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适用保险条款中公平原则处理的案件，应当经赔处中心医学、法学专家对案件进行专业评定，首席承保公司依照保险合同约定进行赔偿。</w:t>
      </w:r>
      <w:r/>
    </w:p>
    <w:p>
      <w:pPr>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附件：滨海县医疗机构医疗责任保险示范产品相关工作流程</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滨海县医疗机构医疗责任保险示范产品相关工作流程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一、填写投保信息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（一）网络自助投保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医疗机构登陆卫健网进行注册并填写投保信息。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（二）现场投保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客户经理向医疗机构进行客户告知并与其签署经纪服务委托协议。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客户经理向医疗机构进行保险产品说明并告知医疗机构保险合同的基本内容，协助医疗机构填写投保单信息。医疗机构在投保单、营业执照（副本）、许可证复印件上加盖公章后提交给</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将投保单信息录入卫健网。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二、支付保险费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医疗机构将保险费以转账/汇款/支票的方式划付/供应方出单公司指定的统一保险费专收帐户。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账户信息如下：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账户名：</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三、出具保险单电子版</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供应方在收到保费后生成保险单电子版，将保险单电子版以数据报文的形式返回卫健网，卫健网系统自动将保险单电子版发送至</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邮箱或</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登录卫健网下载。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如果存在报文发送不成功时，供应方应及时补发。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向供应方提供查询卫健网中相关数据的权限。供应方出单时如需医疗机构的投保单电子版、营业执照、医疗机构执业许可证等相关材料，可自行登入卫健网查询、下载。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四、审核保险单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审核供应方发送的保险单电子版，审核无误后，向医疗机构注册邮箱发送保险单电子版，同时向医疗机构投保联系人预留手机发送出单成功的信息。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审核保险单发现有错误的立即通知供应方，供应方应在2个工作日内重新出单或出具批单。保单修改期间，发生的保险事故，供应方承担保险责任。</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五、递送保险单和保费发票</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供应方收到出单指示后，应于2个工作日内完成纸质保险单出单，并将保险单、全额保险费发票送达</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于两个工作日内将保险单、全额保险费发票递送给医疗机构。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供应方出具的纸质保单与电子保单所载订立保险合同的时间等信息应完全一致。</w:t>
      </w:r>
      <w:r/>
    </w:p>
    <w:p>
      <w:pPr>
        <w:jc w:val="center"/>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b/>
          <w:bCs/>
          <w:color w:val="000000"/>
          <w:sz w:val="24"/>
          <w:szCs w:val="24"/>
        </w:rPr>
        <w:t xml:space="preserve">滨海县医疗机构医疗责任保险示范产品系统对接流程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供应方认可</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为本产品投保、批改、查询、业务结算、网上对账、赔案处理等开发的业务系统（卫健网），并确保供应方出单公司核心业务系统与</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业务系统（卫健网）实现“一对一”对接。供应方同意使用</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开发的网上业务对账功能，要求出单公司及出发票公司登录卫健网及时录入、查询、更新保费到账信息、开具发票信息、保费划转信息、承保内保单信息、佣金发票信息、佣金结算、赔款分摊等信息。</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一、系统对接方式</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负责承建、运营的医疗机构医疗责任保险业务系统（卫健网）与供应方的业务系统之间采取xml报文格式为主、邮件为辅的方式进行数据交换。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以xml报文格式来进行的数据传输内容主要包括投保数据、供应方的保单数据、理赔数据、业务结算数据等内容。即在投保时由卫健网业务系统向供应方发送xml格式的投保数据，供应方接收投保数据，并发送数据接收回执；供应方出单公司在进行核保、承保完成时，由供应方出单公司的信息系统向卫健网业务系统返回保单号及电子保单或保单影印件。</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作为辅助方式，卫健网业务系统通过邮件向供应方发送投保单数据，投保单数据作为邮件附件、以HTML格式进行发送。</w:t>
      </w:r>
      <w:r/>
    </w:p>
    <w:p>
      <w:pPr>
        <w:ind w:firstLine="482"/>
        <w:keepLines w:val="0"/>
        <w:keepNext w:val="0"/>
        <w:pageBreakBefore w:val="0"/>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（一）数据报文格式</w:t>
      </w:r>
      <w:r/>
    </w:p>
    <w:tbl>
      <w:tblPr>
        <w:tblStyle w:val="1052"/>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1699"/>
        <w:gridCol w:w="6275"/>
      </w:tblGrid>
      <w:tr>
        <w:trPr>
          <w:trHeight w:val="425"/>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fef2cb"/>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要求</w:t>
            </w:r>
            <w:r/>
          </w:p>
        </w:tc>
      </w:tr>
      <w:tr>
        <w:trPr>
          <w:trHeight w:val="454"/>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数据传输系统</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基于 web service 方式以约定的 XML 报文格式进行数据传输。</w:t>
            </w:r>
            <w:r/>
          </w:p>
        </w:tc>
      </w:tr>
      <w:tr>
        <w:trPr>
          <w:trHeight w:val="831"/>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传输内容</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投保单信息（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向供应方发送）、保单信息（供应方出单公司向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发送）、批单申请信息（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向供应方发送） 、批单批复信息（供应方出单公司向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发送）等。</w:t>
            </w:r>
            <w:r/>
          </w:p>
        </w:tc>
      </w:tr>
      <w:tr>
        <w:trPr>
          <w:trHeight w:val="483"/>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数据报文格式</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制定、各方协商。</w:t>
            </w:r>
            <w:r/>
          </w:p>
        </w:tc>
      </w:tr>
      <w:tr>
        <w:trPr>
          <w:trHeight w:val="45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通信协议</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http/https。</w:t>
            </w:r>
            <w:r/>
          </w:p>
        </w:tc>
      </w:tr>
      <w:tr>
        <w:trPr>
          <w:trHeight w:val="57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数字签名</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具有合法的数字证书，对所传输数据进行数字签名和验签。</w:t>
            </w:r>
            <w:r/>
          </w:p>
        </w:tc>
      </w:tr>
      <w:tr>
        <w:trPr>
          <w:trHeight w:val="48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数据重发机制</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有。</w:t>
            </w:r>
            <w:r/>
          </w:p>
        </w:tc>
      </w:tr>
      <w:tr>
        <w:trPr>
          <w:trHeight w:val="529"/>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数据发送频度</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实时向供应方发送；供应方出单公司接收投保数据后，及时向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发送医疗机构投保单号、保单号、电子保单数据。</w:t>
            </w:r>
            <w:r/>
          </w:p>
        </w:tc>
      </w:tr>
      <w:tr>
        <w:trPr>
          <w:trHeight w:val="635"/>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数据接收频度</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实时接收，供应方实时接收。</w:t>
            </w:r>
            <w:r/>
          </w:p>
        </w:tc>
      </w:tr>
      <w:tr>
        <w:trPr>
          <w:trHeight w:val="395"/>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9</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网络电路形式</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互联网/专线。</w:t>
            </w:r>
            <w:r/>
          </w:p>
        </w:tc>
      </w:tr>
      <w:tr>
        <w:trPr>
          <w:trHeight w:val="490"/>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10</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系统自动核保</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是。</w:t>
            </w:r>
            <w:r/>
          </w:p>
        </w:tc>
      </w:tr>
      <w:tr>
        <w:trPr>
          <w:trHeight w:val="658"/>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短信平台</w:t>
            </w:r>
            <w:r/>
          </w:p>
        </w:tc>
        <w:tc>
          <w:tcPr>
            <w:shd w:val="clear" w:color="auto" w:fill="auto"/>
            <w:tcW w:w="6275" w:type="dxa"/>
            <w:vAlign w:val="center"/>
            <w:textDirection w:val="lrTb"/>
            <w:noWrap w:val="false"/>
          </w:tcPr>
          <w:p>
            <w:pPr>
              <w:jc w:val="both"/>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供应方在投保/承保成功后向</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、医疗机构发送投保单号、保单号的短信。</w:t>
            </w:r>
            <w:r/>
          </w:p>
        </w:tc>
      </w:tr>
      <w:tr>
        <w:trPr>
          <w:trHeight w:val="53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报文发送对象</w:t>
            </w:r>
            <w:r/>
          </w:p>
        </w:tc>
        <w:tc>
          <w:tcPr>
            <w:shd w:val="clear" w:color="auto" w:fill="auto"/>
            <w:tcW w:w="627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由</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向供应方各承保公司发送报文。</w:t>
            </w:r>
            <w:r/>
          </w:p>
        </w:tc>
      </w:tr>
      <w:tr>
        <w:trPr>
          <w:trHeight w:val="842"/>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w:t>
            </w:r>
            <w:r/>
          </w:p>
        </w:tc>
        <w:tc>
          <w:tcPr>
            <w:shd w:val="clear" w:color="auto" w:fill="auto"/>
            <w:tcW w:w="1699"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保费计算</w:t>
            </w:r>
            <w:r/>
          </w:p>
        </w:tc>
        <w:tc>
          <w:tcPr>
            <w:shd w:val="clear" w:color="auto" w:fill="auto"/>
            <w:tcW w:w="627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由</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计算供应方各公司保费，供应方各公司不再单独计算。供应方出单公司保费=总保费－共同承保人保费。共同承保人保费按约定比例计算。</w:t>
            </w:r>
            <w:r/>
          </w:p>
        </w:tc>
      </w:tr>
    </w:tbl>
    <w:p>
      <w:pPr>
        <w:jc w:val="both"/>
        <w:keepLines w:val="0"/>
        <w:keepNext w:val="0"/>
        <w:pageBreakBefore w:val="0"/>
        <w:spacing w:line="400" w:lineRule="exact"/>
        <w:rPr>
          <w:rFonts w:ascii="Calibri" w:hAnsi="Calibri" w:eastAsia="宋体"/>
          <w:b/>
          <w:bCs/>
          <w:sz w:val="24"/>
          <w:szCs w:val="24"/>
        </w:rPr>
      </w:pPr>
      <w:r>
        <w:rPr>
          <w:rFonts w:hint="eastAsia" w:ascii="Calibri" w:hAnsi="Calibri" w:eastAsia="宋体"/>
          <w:b/>
          <w:bCs/>
          <w:sz w:val="24"/>
          <w:szCs w:val="24"/>
        </w:rPr>
        <w:t xml:space="preserve">（二） 邮件格式</w:t>
      </w:r>
      <w:r/>
    </w:p>
    <w:tbl>
      <w:tblPr>
        <w:tblStyle w:val="1052"/>
        <w:tblW w:w="89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0"/>
        <w:gridCol w:w="1984"/>
        <w:gridCol w:w="5035"/>
        <w:gridCol w:w="1040"/>
      </w:tblGrid>
      <w:tr>
        <w:trPr>
          <w:trHeight w:val="429"/>
        </w:trPr>
        <w:tc>
          <w:tcPr>
            <w:shd w:val="clear" w:color="auto" w:fill="fef2cb"/>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fef2cb"/>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fef2cb"/>
            <w:tcW w:w="5035"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要求</w:t>
            </w:r>
            <w:r/>
          </w:p>
        </w:tc>
        <w:tc>
          <w:tcPr>
            <w:shd w:val="clear" w:color="auto" w:fill="fef2cb"/>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962"/>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w:t>
            </w:r>
            <w:r/>
          </w:p>
        </w:tc>
        <w:tc>
          <w:tcPr>
            <w:shd w:val="clear" w:color="auto" w:fill="auto"/>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提供的邮箱</w:t>
            </w:r>
            <w:r/>
          </w:p>
        </w:tc>
        <w:tc>
          <w:tcPr>
            <w:shd w:val="clear" w:color="auto" w:fill="auto"/>
            <w:tcW w:w="503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为确保供应方及时收到有关投保信息，</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可为供应方各出单公司、共同承保人提供</w:t>
            </w:r>
            <w:r>
              <w:rPr>
                <w:rFonts w:hint="eastAsia" w:ascii="宋体" w:hAnsi="宋体" w:eastAsia="宋体" w:cs="宋体"/>
                <w:b/>
                <w:bCs/>
                <w:sz w:val="24"/>
                <w:szCs w:val="24"/>
                <w:lang w:eastAsia="zh-CN"/>
              </w:rPr>
              <w:t xml:space="preserve">招标方</w:t>
            </w:r>
            <w:r>
              <w:rPr>
                <w:rFonts w:hint="eastAsia" w:ascii="宋体" w:hAnsi="宋体" w:eastAsia="宋体" w:cs="宋体"/>
                <w:b/>
                <w:bCs/>
                <w:sz w:val="24"/>
                <w:szCs w:val="24"/>
              </w:rPr>
              <w:t xml:space="preserve">邮箱，即后缀为</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"mailto:@jiangtai.com"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@jiangtai.com</w:t>
            </w:r>
            <w:r>
              <w:rPr>
                <w:rFonts w:hint="eastAsia" w:ascii="宋体" w:hAnsi="宋体" w:eastAsia="宋体" w:cs="宋体"/>
                <w:b/>
                <w:bCs/>
                <w:sz w:val="24"/>
                <w:szCs w:val="24"/>
              </w:rPr>
              <w:fldChar w:fldCharType="end"/>
            </w:r>
            <w:r>
              <w:rPr>
                <w:rFonts w:hint="eastAsia" w:ascii="宋体" w:hAnsi="宋体" w:eastAsia="宋体" w:cs="宋体"/>
                <w:b/>
                <w:bCs/>
                <w:sz w:val="24"/>
                <w:szCs w:val="24"/>
              </w:rPr>
              <w:t xml:space="preserve">的邮箱。</w:t>
            </w:r>
            <w:r/>
          </w:p>
        </w:tc>
        <w:tc>
          <w:tcPr>
            <w:shd w:val="clear" w:color="auto" w:fill="auto"/>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567"/>
        </w:trPr>
        <w:tc>
          <w:tcPr>
            <w:shd w:val="clear" w:color="auto" w:fill="auto"/>
            <w:tcW w:w="85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shd w:val="clear" w:color="auto" w:fill="auto"/>
            <w:tcW w:w="1984"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供应方自有邮箱</w:t>
            </w:r>
            <w:r/>
          </w:p>
        </w:tc>
        <w:tc>
          <w:tcPr>
            <w:shd w:val="clear" w:color="auto" w:fill="auto"/>
            <w:tcW w:w="5035" w:type="dxa"/>
            <w:vAlign w:val="center"/>
            <w:textDirection w:val="lrTb"/>
            <w:noWrap w:val="false"/>
          </w:tcPr>
          <w:p>
            <w:pPr>
              <w:jc w:val="left"/>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邮箱大小至少为2G，可收邮件附件大小至少为5M。</w:t>
            </w:r>
            <w:r/>
          </w:p>
        </w:tc>
        <w:tc>
          <w:tcPr>
            <w:shd w:val="clear" w:color="auto" w:fill="auto"/>
            <w:tcW w:w="104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tc>
      </w:tr>
    </w:tbl>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二、数据交换范围</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投保信息录入完成后，由卫健网业务系统向供应方出单公司和共同承保人发送xml格式的投保数据，但只接收供应方出单公司的数据接收回执，共同承保人不必发送数据接收回执。</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若供应方出单公司未能及时收到投保信息的报文数据，由卫健网业务系统向供应方出单公司重发投保数据报文。若供应方共同承保人未能及时收到投保信息的报文数据，可登录卫健网业务系统实时查询投保数据。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三、数据交换的安全保障</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卫健网业务系统向供应方发送xml格式的报文数据时，使用专门的数字证书对所发送的数据进行数字证书加签，供应方使用相配套的数字证书对所接收的报文进行解签。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条件具备时可考虑建立专线的方式进行数据交换。</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四、防火墙设置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与供应方因数据交换所需开放的防火墙原则上采取点对点的开放策略。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目前的服务器IP、端口另行告知。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五、时间要求</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供应方各承保公司的信息系统、系统对接工作均须在采购协议签署之后6个月内完成开发、调试、上线，能够实现投产、在线出单。</w:t>
      </w:r>
      <w:r/>
    </w:p>
    <w:p>
      <w:pPr>
        <w:jc w:val="center"/>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滨海县医疗机构医疗责任保险示范产品佣金</w:t>
      </w:r>
      <w:r>
        <w:rPr>
          <w:rFonts w:hint="eastAsia" w:ascii="宋体" w:hAnsi="宋体" w:eastAsia="宋体" w:cs="宋体"/>
          <w:b/>
          <w:bCs/>
          <w:color w:val="000000"/>
          <w:sz w:val="24"/>
          <w:szCs w:val="24"/>
          <w:lang w:val="en-US" w:eastAsia="zh-CN"/>
        </w:rPr>
      </w:r>
      <w:r>
        <w:rPr>
          <w:rFonts w:hint="eastAsia" w:ascii="宋体" w:hAnsi="宋体" w:eastAsia="宋体" w:cs="宋体"/>
          <w:b/>
          <w:bCs/>
          <w:color w:val="000000"/>
          <w:sz w:val="24"/>
          <w:szCs w:val="24"/>
        </w:rPr>
        <w:t xml:space="preserve">结算流程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为本产品的保险经纪人。</w:t>
      </w:r>
      <w:r/>
    </w:p>
    <w:p>
      <w:pPr>
        <w:ind w:firstLine="480"/>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en-US" w:eastAsia="zh-CN"/>
        </w:rPr>
        <w:t xml:space="preserve">保险经纪佣金</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保险经纪佣金</w:t>
      </w:r>
      <w:r>
        <w:rPr>
          <w:rFonts w:hint="eastAsia" w:ascii="宋体" w:hAnsi="宋体" w:eastAsia="宋体" w:cs="宋体"/>
          <w:color w:val="000000"/>
          <w:sz w:val="24"/>
          <w:szCs w:val="24"/>
          <w:lang w:val="en-US" w:eastAsia="zh-CN"/>
        </w:rPr>
        <w:t xml:space="preserve">标准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医疗责任保险：保单总保费的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14%-18%</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满足各家公司的监管政策</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医疗机构公众责任保险：保单总保费的</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u w:val="single"/>
        </w:rPr>
        <w:t xml:space="preserve">20</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其中“总保费”是指保险单签单保费的“保险费合计”金额或保费发票中“价税合计”金额；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此协议签署后且在整个协议有效期内，保险经纪佣金支付比例和支付方式不因任何因素而改变。</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佣金结算流程：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为做好滨海县医疗机构医疗责任保险工作，保证滨海县医疗机构医疗责任保险示范产品经纪费及时、准确结算，明确</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的责任，就经纪佣金结算流程明确如下：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1、每月20日前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就上期（上月20日－本月19日）业务收入与供应商完成对账，线下业务的，业务收入明细表由</w:t>
      </w: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出单保险公司签章确认。22日前，</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开具佣金发票，25日（遇国家法定节假日顺延）前，应将按上期结算总保费佣金比例计算的保险经纪佣金划入</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指定的经纪佣金结算账户。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收到供应方支付的经纪费后，向供应方开具付款事由为“经纪费”的发票，供应方应配合在</w:t>
      </w:r>
      <w:r>
        <w:rPr>
          <w:rFonts w:hint="eastAsia" w:ascii="宋体" w:hAnsi="宋体" w:eastAsia="宋体" w:cs="宋体"/>
          <w:color w:val="000000"/>
          <w:sz w:val="24"/>
          <w:szCs w:val="24"/>
          <w:lang w:val="en-US" w:eastAsia="zh-CN"/>
        </w:rPr>
        <w:t xml:space="preserve">招标方</w:t>
      </w:r>
      <w:r>
        <w:rPr>
          <w:rFonts w:hint="eastAsia" w:ascii="宋体" w:hAnsi="宋体" w:eastAsia="宋体" w:cs="宋体"/>
          <w:color w:val="000000"/>
          <w:sz w:val="24"/>
          <w:szCs w:val="24"/>
        </w:rPr>
        <w:t xml:space="preserve">出具的业务结算表上签章。</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2、经纪佣金计算方法为：</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供应方</w:t>
      </w:r>
      <w:r>
        <w:rPr>
          <w:rFonts w:hint="eastAsia" w:ascii="宋体" w:hAnsi="宋体" w:eastAsia="宋体" w:cs="宋体"/>
          <w:color w:val="000000"/>
          <w:sz w:val="24"/>
          <w:szCs w:val="24"/>
        </w:rPr>
        <w:t xml:space="preserve">应支付的经纪费在计算过程中采取四舍五入的原则，计算方法为：保费*佣金比例，计算结果保留两位小数。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3、佣金结算账号：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账户名称：</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纳税人识别号：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电话：</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开户行：</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w:t>
      </w:r>
      <w:r/>
    </w:p>
    <w:p>
      <w:pPr>
        <w:jc w:val="both"/>
        <w:keepLines w:val="0"/>
        <w:keepNext w:val="0"/>
        <w:pageBreakBefore w:val="0"/>
        <w:spacing w:line="400" w:lineRule="exact"/>
        <w:rPr>
          <w:rFonts w:ascii="宋体" w:hAnsi="宋体" w:eastAsia="宋体" w:cs="宋体"/>
          <w:color w:val="000000"/>
          <w:sz w:val="24"/>
          <w:szCs w:val="24"/>
        </w:rPr>
        <w:outlineLvl w:val="2"/>
      </w:pPr>
      <w:r>
        <w:rPr>
          <w:rFonts w:hint="eastAsia" w:ascii="宋体" w:hAnsi="宋体" w:eastAsia="宋体" w:cs="宋体"/>
          <w:b/>
          <w:bCs/>
          <w:color w:val="000000"/>
          <w:sz w:val="24"/>
          <w:szCs w:val="24"/>
        </w:rPr>
        <w:t xml:space="preserve">附件：滨海县医疗机构医疗责任保险示范产品服务质量考评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服务质量考评是指</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各个部门以及本产品所服务的医疗机构及其代表依据保险合同、供应方所签订的相关协议及其他相关文件，对供应方在本产品中的服务质量进行评价，建立考评档案，定期发布结果信息，由本产品工作领导小组依据评价结果提出处理意见。</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服务质量考评实行统一管理、实时评价，本产品工作领导小组负责服务质量评价体系建设，评价制度制订、修订，负责服务质量评价的动态管理，建立考评档案，发布考评结果情况信息，对违约的协议方进行通报。</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以及本产品所服务的医疗机构及其代表可通过滨海县医疗机构医疗责任保险示范产品信息平台或其他有效途径对本地区内提供服务的供应方每季度进行服务质量、履约能力评价，并公布其服务履约评定情况。</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二、履约评价</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（一）考评档案包括建立基本信息和确定履约服务等级两部分内容。</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参与滨海县医疗机构医疗责任保险示范产品工作协议方各成员单位原始履约服务分数为100分，若有违约项，扣除相应分数，剩余分数进行评级。等级按评分分为四个级别，即：</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A级（履约服务好）、B级（履约服务较好）；</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C级（履约服务一般）、D级（履约服务差）。</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A：严格履行保险合同与采购协议，服务质量、服务体系健全并全部得到落实。评分为90分及以上。</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B：基本履行保险合同与采购协议内容，服务质量、服务体系健全并基本得到落实。评分为70分至89分。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C：尚能遵守保险合同与采购协议及承诺。评分为60分至69分。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D：不履行保险合同与采购协议、承诺，服务内容、服务质量无法得到保证。评分为60分以下。</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（二）履约服务评价为D级的列入</w:t>
      </w:r>
      <w:r>
        <w:rPr>
          <w:rFonts w:hint="eastAsia" w:ascii="宋体" w:hAnsi="宋体" w:eastAsia="宋体" w:cs="宋体"/>
          <w:color w:val="000000"/>
          <w:sz w:val="24"/>
          <w:szCs w:val="24"/>
          <w:lang w:eastAsia="zh-CN"/>
        </w:rPr>
        <w:t xml:space="preserve">招标方</w:t>
      </w:r>
      <w:r>
        <w:rPr>
          <w:rFonts w:hint="eastAsia" w:ascii="宋体" w:hAnsi="宋体" w:eastAsia="宋体" w:cs="宋体"/>
          <w:color w:val="000000"/>
          <w:sz w:val="24"/>
          <w:szCs w:val="24"/>
        </w:rPr>
        <w:t xml:space="preserve">总公司供应商谨慎合作企业名录。</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三、凡履约服务评价期内协议方各成员单位有下列情况之一，并经本产品工作领导小组确认的，每次扣除5分：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（一）未在约定的时间内向投保医疗机构提供保单、发票的；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（二）未在约定的时间内支付保险经纪费（佣金）的；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（三）未在约定的时间内完成承保保费划分的；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（四）未在约定的时间内分摊赔款的。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四、凡履约服务评价期内有下列情况之一，并经本产品工作领导小组确认的，每次扣除5分：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（一）无正当理由拒绝被保险人投保的；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（二）为不符合退保条件的被保险人办理退保的；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（三）故意提供虚假的业务数据及资料的；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（四）无正当理由未按约定支付赔款或拒付赔款的；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（五）未按照合同约定向企业提供防灾防损服务的；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（六）接到医疗机构报案未按照约定时间到达现场的；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（七）对超出保险合同与采购协议所约定的保障范围进行理赔的；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（八）不能及时协助医疗机构完成投保，造成保险合同倒签；</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（九）不按照采购协议与保险合同约定，使用法律费用的；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（十）在案件处理过程中弄虚作假。</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五、凡履约服务评价期内供应商有下列情况之一，并经本产品工作领导小组确认的，每次扣除10分：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（一）在理赔过程中索要超出采购协议约定的理赔材料；</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（二）未按约定完成本产品电子商务系统对接的；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（三）采购协议期未结束，擅自退出承保的。</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六、罚则处理</w:t>
      </w:r>
      <w:r/>
    </w:p>
    <w:p>
      <w:pPr>
        <w:ind w:firstLine="480"/>
        <w:keepLines w:val="0"/>
        <w:keepNext w:val="0"/>
        <w:pageBreakBefore w:val="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（二）本产品工作领导小组定期将违约处理情况通报相关卫健部门、当地</w:t>
      </w:r>
      <w:r>
        <w:rPr>
          <w:rFonts w:hint="eastAsia" w:ascii="宋体" w:hAnsi="宋体" w:eastAsia="宋体" w:cs="宋体"/>
          <w:color w:val="000000"/>
          <w:sz w:val="24"/>
          <w:szCs w:val="24"/>
          <w:lang w:val="en-US" w:eastAsia="zh-CN"/>
        </w:rPr>
        <w:t xml:space="preserve">金融监管机构</w:t>
      </w:r>
      <w:r>
        <w:rPr>
          <w:rFonts w:hint="eastAsia" w:ascii="宋体" w:hAnsi="宋体" w:eastAsia="宋体" w:cs="宋体"/>
          <w:color w:val="000000"/>
          <w:sz w:val="24"/>
          <w:szCs w:val="24"/>
        </w:rPr>
        <w:t xml:space="preserve">以及相关保险行业协会。</w:t>
      </w:r>
      <w:r/>
    </w:p>
    <w:p>
      <w:pPr>
        <w:ind w:firstLine="480"/>
        <w:keepLines w:val="0"/>
        <w:keepNext w:val="0"/>
        <w:pageBreakBefore w:val="0"/>
        <w:spacing w:line="400" w:lineRule="exact"/>
        <w:rPr>
          <w:rFonts w:hint="eastAsia" w:ascii="黑体" w:hAnsi="宋体" w:eastAsia="黑体" w:cs="黑体"/>
          <w:color w:val="000000"/>
          <w:sz w:val="24"/>
          <w:szCs w:val="24"/>
          <w:highlight w:val="none"/>
        </w:rPr>
        <w:sectPr>
          <w:footerReference w:type="default" r:id="rId11"/>
          <w:footnotePr/>
          <w:endnotePr/>
          <w:type w:val="nextPage"/>
          <w:pgSz w:w="11906" w:h="16839" w:orient="portrait"/>
          <w:pgMar w:top="1431" w:right="1647" w:bottom="1062" w:left="1377" w:header="0" w:footer="886" w:gutter="0"/>
          <w:pgNumType w:start="1"/>
          <w:cols w:num="1" w:sep="0" w:space="720" w:equalWidth="1"/>
          <w:docGrid w:linePitch="360"/>
        </w:sectPr>
      </w:pPr>
      <w:r>
        <w:rPr>
          <w:rFonts w:hint="eastAsia" w:ascii="宋体" w:hAnsi="宋体" w:eastAsia="宋体" w:cs="宋体"/>
          <w:color w:val="000000"/>
          <w:sz w:val="24"/>
          <w:szCs w:val="24"/>
        </w:rPr>
        <w:t xml:space="preserve">（四）对供应商因被取消本产品医疗机构医疗责任保险准入资格或其他原因不再承保本产品医疗机构医疗责任保险的，其应承担的相应义务、责任在合同有效期内仍须履行。</w:t>
      </w:r>
      <w:r/>
    </w:p>
    <w:p>
      <w:pPr>
        <w:pStyle w:val="958"/>
        <w:numPr>
          <w:ilvl w:val="0"/>
          <w:numId w:val="11"/>
        </w:numPr>
        <w:ind w:firstLine="3120"/>
        <w:jc w:val="both"/>
        <w:keepLines w:val="0"/>
        <w:pageBreakBefore w:val="0"/>
        <w:spacing w:line="500" w:lineRule="exact"/>
        <w:rPr>
          <w:rFonts w:ascii="黑体" w:eastAsia="黑体"/>
          <w:bCs/>
          <w:sz w:val="48"/>
          <w:szCs w:val="48"/>
        </w:rPr>
      </w:pPr>
      <w:r/>
      <w:bookmarkStart w:id="87" w:name="_Toc16938590"/>
      <w:r/>
      <w:bookmarkEnd w:id="87"/>
      <w:r/>
      <w:bookmarkStart w:id="88" w:name="_Toc120614244"/>
      <w:r/>
      <w:bookmarkEnd w:id="88"/>
      <w:r/>
      <w:bookmarkStart w:id="89" w:name="_Hlt16619350"/>
      <w:r/>
      <w:bookmarkEnd w:id="89"/>
      <w:r/>
      <w:bookmarkStart w:id="90" w:name="_Hlt16619369"/>
      <w:r/>
      <w:bookmarkEnd w:id="90"/>
      <w:r/>
      <w:bookmarkStart w:id="91" w:name="_Toc20823346"/>
      <w:r/>
      <w:bookmarkEnd w:id="91"/>
      <w:r>
        <w:rPr>
          <w:rFonts w:hint="eastAsia" w:ascii="黑体" w:eastAsia="黑体"/>
          <w:bCs/>
          <w:sz w:val="48"/>
          <w:szCs w:val="48"/>
          <w:lang w:eastAsia="zh-CN"/>
        </w:rPr>
        <w:t xml:space="preserve">采购需求</w:t>
      </w:r>
      <w:r/>
    </w:p>
    <w:p>
      <w:pPr>
        <w:ind w:right="0" w:firstLine="48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outlineLvl w:val="1"/>
        <w:suppressLineNumbers w:val="0"/>
      </w:pPr>
      <w:r/>
      <w:bookmarkStart w:id="92" w:name="_Toc26554093"/>
      <w:r/>
      <w:bookmarkStart w:id="93" w:name="_Toc49090575"/>
      <w:r/>
      <w:bookmarkStart w:id="94" w:name="_Toc443902841"/>
      <w:r/>
      <w:r/>
    </w:p>
    <w:p>
      <w:pPr>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项目属性:服务类项目。</w:t>
      </w:r>
      <w:bookmarkEnd w:id="92"/>
      <w:r/>
      <w:bookmarkEnd w:id="93"/>
      <w:r/>
      <w:r/>
    </w:p>
    <w:p>
      <w:p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采购标的所属行业</w:t>
      </w:r>
      <w:r>
        <w:rPr>
          <w:rFonts w:hint="eastAsia" w:ascii="宋体" w:hAnsi="宋体" w:eastAsia="宋体" w:cs="宋体"/>
          <w:b/>
          <w:bCs/>
          <w:sz w:val="24"/>
          <w:szCs w:val="24"/>
          <w:lang w:eastAsia="zh-CN"/>
        </w:rPr>
        <w:t xml:space="preserve">：金融</w:t>
      </w:r>
      <w:r>
        <w:rPr>
          <w:rFonts w:hint="eastAsia" w:ascii="宋体" w:hAnsi="宋体" w:eastAsia="宋体" w:cs="宋体"/>
          <w:b/>
          <w:bCs/>
          <w:sz w:val="24"/>
          <w:szCs w:val="24"/>
        </w:rPr>
        <w:t xml:space="preserve">行业</w:t>
      </w:r>
      <w:r>
        <w:rPr>
          <w:rFonts w:hint="eastAsia" w:ascii="宋体" w:hAnsi="宋体" w:eastAsia="宋体" w:cs="宋体"/>
          <w:b/>
          <w:bCs/>
          <w:sz w:val="24"/>
          <w:szCs w:val="24"/>
          <w:lang w:eastAsia="zh-CN"/>
        </w:rPr>
        <w:t xml:space="preserve">。</w:t>
      </w:r>
      <w:bookmarkEnd w:id="94"/>
      <w:r/>
      <w:r/>
    </w:p>
    <w:p>
      <w:pPr>
        <w:ind w:firstLine="482"/>
        <w:keepLines w:val="0"/>
        <w:keepNext w:val="0"/>
        <w:pageBreakBefore w:val="0"/>
        <w:spacing w:line="500" w:lineRule="exact"/>
        <w:widowControl w:val="off"/>
        <w:rPr>
          <w:rFonts w:hint="eastAsia" w:ascii="宋体" w:hAnsi="宋体" w:eastAsia="宋体" w:cs="宋体"/>
          <w:b/>
          <w:bCs/>
          <w:sz w:val="24"/>
          <w:szCs w:val="24"/>
          <w:u w:val="none"/>
        </w:rPr>
      </w:pPr>
      <w:r>
        <w:rPr>
          <w:rFonts w:hint="eastAsia" w:ascii="宋体" w:hAnsi="宋体" w:eastAsia="宋体" w:cs="宋体"/>
          <w:b/>
          <w:bCs/>
          <w:sz w:val="24"/>
          <w:szCs w:val="24"/>
        </w:rPr>
        <w:t xml:space="preserve">本着公平、公正的原则，本项目采取公开招标方式选择</w:t>
      </w:r>
      <w:r>
        <w:rPr>
          <w:rFonts w:hint="eastAsia" w:ascii="宋体" w:hAnsi="宋体" w:cs="宋体"/>
          <w:b/>
          <w:bCs/>
          <w:sz w:val="24"/>
          <w:szCs w:val="24"/>
        </w:rPr>
        <w:t xml:space="preserve">首席保险人一名和其他共保人二名，承保比例分别为</w:t>
      </w:r>
      <w:r>
        <w:rPr>
          <w:rFonts w:hint="eastAsia" w:ascii="宋体" w:hAnsi="宋体" w:cs="宋体"/>
          <w:b/>
          <w:bCs/>
          <w:sz w:val="24"/>
          <w:szCs w:val="24"/>
          <w:lang w:val="en-US" w:eastAsia="zh-CN"/>
        </w:rPr>
        <w:t xml:space="preserve"> 40</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40</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20</w:t>
      </w:r>
      <w:r>
        <w:rPr>
          <w:rFonts w:hint="eastAsia" w:ascii="宋体" w:hAnsi="宋体" w:cs="宋体"/>
          <w:b/>
          <w:bCs/>
          <w:sz w:val="24"/>
          <w:szCs w:val="24"/>
        </w:rPr>
        <w:t xml:space="preserve">%</w:t>
      </w:r>
      <w:r>
        <w:rPr>
          <w:rFonts w:hint="eastAsia" w:ascii="宋体" w:hAnsi="宋体" w:eastAsia="宋体" w:cs="宋体"/>
          <w:b/>
          <w:bCs/>
          <w:sz w:val="24"/>
          <w:szCs w:val="24"/>
        </w:rPr>
        <w:t xml:space="preserve">，首席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与</w:t>
      </w:r>
      <w:r>
        <w:rPr>
          <w:rFonts w:hint="eastAsia" w:ascii="宋体" w:hAnsi="宋体" w:cs="宋体"/>
          <w:b/>
          <w:bCs/>
          <w:sz w:val="24"/>
          <w:szCs w:val="24"/>
          <w:lang w:val="en-US" w:eastAsia="zh-CN"/>
        </w:rPr>
        <w:t xml:space="preserve">其他二名共保人</w:t>
      </w:r>
      <w:r>
        <w:rPr>
          <w:rFonts w:hint="eastAsia" w:ascii="宋体" w:hAnsi="宋体" w:eastAsia="宋体" w:cs="宋体"/>
          <w:b/>
          <w:bCs/>
          <w:sz w:val="24"/>
          <w:szCs w:val="24"/>
        </w:rPr>
        <w:t xml:space="preserve">须签订共保协议，首席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代表共保</w:t>
      </w:r>
      <w:r>
        <w:rPr>
          <w:rFonts w:hint="eastAsia" w:ascii="宋体" w:hAnsi="宋体" w:cs="宋体"/>
          <w:b/>
          <w:bCs/>
          <w:sz w:val="24"/>
          <w:szCs w:val="24"/>
          <w:lang w:val="en-US" w:eastAsia="zh-CN"/>
        </w:rPr>
        <w:t xml:space="preserve">人</w:t>
      </w:r>
      <w:r>
        <w:rPr>
          <w:rFonts w:hint="eastAsia" w:ascii="宋体" w:hAnsi="宋体" w:eastAsia="宋体" w:cs="宋体"/>
          <w:b/>
          <w:bCs/>
          <w:sz w:val="24"/>
          <w:szCs w:val="24"/>
        </w:rPr>
        <w:t xml:space="preserve">对</w:t>
      </w:r>
      <w:r>
        <w:rPr>
          <w:rFonts w:hint="eastAsia" w:ascii="宋体" w:hAnsi="宋体" w:cs="宋体"/>
          <w:b/>
          <w:bCs/>
          <w:sz w:val="24"/>
          <w:szCs w:val="24"/>
          <w:u w:val="single"/>
          <w:lang w:eastAsia="zh-CN"/>
        </w:rPr>
        <w:t xml:space="preserve">滨海县医疗责任保险及附加险</w:t>
      </w:r>
      <w:r>
        <w:rPr>
          <w:rFonts w:hint="eastAsia" w:ascii="宋体" w:hAnsi="宋体" w:eastAsia="宋体" w:cs="宋体"/>
          <w:b/>
          <w:bCs/>
          <w:sz w:val="24"/>
          <w:szCs w:val="24"/>
        </w:rPr>
        <w:t xml:space="preserve">的理赔和服务总负责。</w:t>
      </w:r>
      <w:r>
        <w:rPr>
          <w:rFonts w:hint="eastAsia" w:ascii="宋体" w:hAnsi="宋体" w:cs="宋体"/>
          <w:b/>
          <w:bCs/>
          <w:sz w:val="24"/>
          <w:szCs w:val="24"/>
          <w:u w:val="single"/>
          <w:lang w:val="en-US" w:eastAsia="zh-CN"/>
        </w:rPr>
        <w:t xml:space="preserve">本次</w:t>
      </w:r>
      <w:r>
        <w:rPr>
          <w:rFonts w:hint="eastAsia" w:ascii="宋体" w:hAnsi="宋体" w:eastAsia="宋体" w:cs="宋体"/>
          <w:b/>
          <w:bCs/>
          <w:sz w:val="24"/>
          <w:szCs w:val="24"/>
          <w:u w:val="single"/>
          <w:lang w:eastAsia="zh-CN"/>
        </w:rPr>
        <w:t xml:space="preserve">滨海县医院医疗责任险及附加险采购</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val="en-US" w:eastAsia="zh-CN"/>
        </w:rPr>
        <w:t xml:space="preserve">包括</w:t>
      </w:r>
      <w:r>
        <w:rPr>
          <w:rFonts w:hint="eastAsia" w:ascii="宋体" w:hAnsi="宋体" w:eastAsia="宋体" w:cs="宋体"/>
          <w:b/>
          <w:bCs/>
          <w:sz w:val="24"/>
          <w:szCs w:val="24"/>
          <w:u w:val="single"/>
        </w:rPr>
        <w:t xml:space="preserve">医疗机构医疗责任保险</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single"/>
        </w:rPr>
        <w:t xml:space="preserve">医疗机构公众责任保险</w:t>
      </w:r>
      <w:r>
        <w:rPr>
          <w:rFonts w:hint="eastAsia" w:ascii="宋体" w:hAnsi="宋体" w:eastAsia="宋体" w:cs="宋体"/>
          <w:b/>
          <w:bCs/>
          <w:sz w:val="24"/>
          <w:szCs w:val="24"/>
          <w:u w:val="single"/>
          <w:lang w:eastAsia="zh-CN"/>
        </w:rPr>
        <w:t xml:space="preserve">，对滨海县医院在保险期间或保险合同载明的</w:t>
      </w:r>
      <w:r>
        <w:rPr>
          <w:rFonts w:hint="eastAsia" w:ascii="宋体" w:hAnsi="宋体" w:eastAsia="宋体" w:cs="宋体"/>
          <w:b/>
          <w:bCs/>
          <w:sz w:val="24"/>
          <w:szCs w:val="24"/>
          <w:u w:val="single"/>
          <w:lang w:eastAsia="zh-CN"/>
        </w:rPr>
        <w:t xml:space="preserve">追溯期内，被保险人的投保医务人员在本保险单明细表列明的承保区域内从事诊疗护理活动时，因执业过失导致意外事故，造成患者人身损害，由患者或其近亲属在保险期间内或发现期内首次向被保险人提出损害赔偿请求，依照中华人民共和国法律（不包括港澳台地区法律）应由被保险人承担的经济赔偿责任，保险人按照本保险合同约定负责赔偿。保险人按照本保险合同约定也负责赔偿在保险事故发生后，被保险人因保险事故而被提起仲裁或者诉讼的，对应由被保险人支付的仲裁或诉讼费用以及事先经保险人书面同意支付的其他必要的、合理的费用（以下简称“法律费用”）</w:t>
      </w:r>
      <w:r>
        <w:rPr>
          <w:rFonts w:hint="eastAsia" w:ascii="宋体" w:hAnsi="宋体" w:cs="宋体"/>
          <w:b/>
          <w:bCs/>
          <w:sz w:val="24"/>
          <w:szCs w:val="24"/>
          <w:u w:val="single"/>
          <w:lang w:eastAsia="zh-CN"/>
        </w:rPr>
        <w:t xml:space="preserve">，</w:t>
      </w:r>
      <w:r>
        <w:rPr>
          <w:rFonts w:hint="eastAsia" w:ascii="宋体" w:hAnsi="宋体" w:eastAsia="宋体" w:cs="宋体"/>
          <w:b/>
          <w:bCs/>
          <w:sz w:val="24"/>
          <w:szCs w:val="24"/>
          <w:u w:val="single"/>
          <w:lang w:eastAsia="zh-CN"/>
        </w:rPr>
        <w:t xml:space="preserve">本保险发现期为30天</w:t>
      </w:r>
      <w:r>
        <w:rPr>
          <w:rFonts w:hint="eastAsia" w:ascii="宋体" w:hAnsi="宋体" w:cs="宋体"/>
          <w:b/>
          <w:bCs/>
          <w:sz w:val="24"/>
          <w:szCs w:val="24"/>
          <w:u w:val="none"/>
          <w:lang w:eastAsia="zh-CN"/>
        </w:rPr>
        <w:t xml:space="preserve">。</w:t>
      </w:r>
      <w:r/>
    </w:p>
    <w:p>
      <w:pPr>
        <w:numPr>
          <w:ilvl w:val="0"/>
          <w:numId w:val="12"/>
        </w:numPr>
        <w:jc w:val="center"/>
        <w:keepLines w:val="0"/>
        <w:keepNext w:val="0"/>
        <w:pageBreakBefore w:val="0"/>
        <w:spacing w:line="500" w:lineRule="exact"/>
        <w:rPr>
          <w:rFonts w:ascii="宋体" w:hAnsi="宋体" w:eastAsia="宋体" w:cs="宋体"/>
          <w:b/>
          <w:bCs/>
          <w:color w:val="000000"/>
          <w:sz w:val="24"/>
          <w:szCs w:val="24"/>
        </w:rPr>
        <w:outlineLvl w:val="0"/>
      </w:pPr>
      <w:r>
        <w:rPr>
          <w:rFonts w:hint="eastAsia" w:ascii="宋体" w:hAnsi="宋体" w:eastAsia="宋体" w:cs="宋体"/>
          <w:b/>
          <w:bCs/>
          <w:color w:val="000000"/>
          <w:sz w:val="24"/>
          <w:szCs w:val="24"/>
          <w:lang w:val="en-US" w:eastAsia="zh-CN"/>
        </w:rPr>
        <w:t xml:space="preserve">医疗机构情况</w:t>
      </w:r>
      <w:r/>
    </w:p>
    <w:p>
      <w:pPr>
        <w:numPr>
          <w:ilvl w:val="255"/>
          <w:numId w:val="0"/>
        </w:numPr>
        <w:jc w:val="both"/>
        <w:keepLines w:val="0"/>
        <w:keepNext w:val="0"/>
        <w:pageBreakBefore w:val="0"/>
        <w:spacing w:line="500" w:lineRule="exact"/>
        <w:rPr>
          <w:rFonts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滨海县</w:t>
      </w:r>
      <w:r>
        <w:rPr>
          <w:rFonts w:hint="eastAsia" w:ascii="宋体" w:hAnsi="宋体" w:eastAsia="宋体" w:cs="宋体"/>
          <w:b/>
          <w:bCs/>
          <w:color w:val="000000"/>
          <w:sz w:val="24"/>
          <w:szCs w:val="24"/>
          <w:lang w:val="en-US" w:eastAsia="zh-CN"/>
        </w:rPr>
        <w:t xml:space="preserve">部分</w:t>
      </w:r>
      <w:r>
        <w:rPr>
          <w:rFonts w:hint="eastAsia" w:ascii="宋体" w:hAnsi="宋体" w:eastAsia="宋体" w:cs="宋体"/>
          <w:b/>
          <w:bCs/>
          <w:color w:val="000000"/>
          <w:sz w:val="24"/>
          <w:szCs w:val="24"/>
        </w:rPr>
        <w:t xml:space="preserve">医疗机构</w:t>
      </w:r>
      <w:r>
        <w:rPr>
          <w:rFonts w:ascii="宋体" w:hAnsi="宋体" w:eastAsia="宋体" w:cs="宋体"/>
          <w:b/>
          <w:bCs/>
          <w:color w:val="000000"/>
          <w:sz w:val="24"/>
          <w:szCs w:val="24"/>
        </w:rPr>
        <w:t xml:space="preserve">202</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年度的经营情况如下：</w:t>
      </w:r>
      <w:r/>
    </w:p>
    <w:tbl>
      <w:tblPr>
        <w:tblStyle w:val="934"/>
        <w:tblW w:w="4950" w:type="pct"/>
        <w:tblInd w:w="1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6"/>
        <w:gridCol w:w="3190"/>
        <w:gridCol w:w="1520"/>
        <w:gridCol w:w="785"/>
        <w:gridCol w:w="1170"/>
        <w:gridCol w:w="920"/>
        <w:gridCol w:w="955"/>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医院</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医生</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门诊</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人次</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ascii="Times New Roman" w:hAnsi="Times New Roman" w:eastAsia="宋体" w:cs="Times New Roman"/>
                <w:b/>
                <w:bCs/>
                <w:sz w:val="24"/>
                <w:szCs w:val="24"/>
                <w:lang w:val="en-US" w:eastAsia="zh-CN" w:bidi="ar"/>
              </w:rPr>
              <w:suppressLineNumbers w:val="0"/>
            </w:pPr>
            <w:r>
              <w:rPr>
                <w:rFonts w:ascii="宋体" w:hAnsi="宋体" w:eastAsia="宋体" w:cs="宋体"/>
                <w:b/>
                <w:bCs/>
                <w:color w:val="000000"/>
                <w:sz w:val="24"/>
                <w:szCs w:val="24"/>
                <w:u w:val="none"/>
                <w:lang w:val="en-US" w:eastAsia="zh-CN" w:bidi="ar"/>
              </w:rPr>
              <w:t xml:space="preserve">住院</w:t>
            </w:r>
            <w:r/>
          </w:p>
          <w:p>
            <w:pPr>
              <w:jc w:val="center"/>
              <w:keepLines w:val="0"/>
              <w:keepNext w:val="0"/>
              <w:pageBreakBefore w:val="0"/>
              <w:spacing w:line="500" w:lineRule="exact"/>
              <w:widowControl/>
              <w:rPr>
                <w:rFonts w:ascii="宋体" w:hAnsi="宋体" w:eastAsia="宋体" w:cs="宋体"/>
                <w:b/>
                <w:bCs/>
                <w:i w:val="0"/>
                <w:iCs w:val="0"/>
                <w:color w:val="000000"/>
                <w:sz w:val="24"/>
                <w:szCs w:val="24"/>
                <w:u w:val="none"/>
              </w:rPr>
              <w:suppressLineNumbers w:val="0"/>
            </w:pPr>
            <w:r>
              <w:rPr>
                <w:rFonts w:ascii="宋体" w:hAnsi="宋体" w:eastAsia="宋体" w:cs="宋体"/>
                <w:b/>
                <w:bCs/>
                <w:color w:val="000000"/>
                <w:sz w:val="24"/>
                <w:szCs w:val="24"/>
                <w:u w:val="none"/>
                <w:lang w:val="en-US" w:eastAsia="zh-CN" w:bidi="ar"/>
              </w:rPr>
              <w:t xml:space="preserve">人次</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手术</w:t>
            </w:r>
            <w:r/>
          </w:p>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三级综合</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815267</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46049</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12492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滨海县中医院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二级中医院</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274269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18181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3882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滨海县第二人民医院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二级中西医</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100335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3446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486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滨海县第三人民医院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二级专科</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51275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3686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五汛镇中心卫生院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57898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蔡桥镇卫生院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41862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1471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界牌镇中心卫生院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53390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滨海县妇计所</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38244</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滨海港镇卫生院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40459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滨海县八巨镇卫生院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41112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滨海县天场镇卫生院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49596</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1396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118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滨海现代农业产业园区卫生院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19460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滨海县滨淮镇中心卫生院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43409</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东坎街道卫生院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44320</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190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rPr>
              <w:suppressLineNumbers w:val="0"/>
            </w:pPr>
            <w:r>
              <w:rPr>
                <w:rFonts w:hint="eastAsia" w:ascii="宋体" w:hAnsi="宋体" w:cs="宋体"/>
                <w:b/>
                <w:bCs/>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盐城滨海港经济区中心卫生院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42938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滨海县陈涛镇中心卫生院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40478</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滨海县正红镇中心卫生院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53872</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keepLines w:val="0"/>
              <w:keepNext w:val="0"/>
              <w:pageBreakBefore w:val="0"/>
              <w:spacing w:line="500" w:lineRule="exact"/>
              <w:widowControl/>
              <w:rPr>
                <w:rFonts w:hint="default" w:ascii="宋体" w:hAnsi="宋体" w:eastAsia="宋体" w:cs="宋体"/>
                <w:b/>
                <w:bCs/>
                <w:i w:val="0"/>
                <w:iCs w:val="0"/>
                <w:color w:val="000000"/>
                <w:sz w:val="24"/>
                <w:szCs w:val="24"/>
                <w:u w:val="none"/>
                <w:lang w:val="en-US" w:eastAsia="zh-CN"/>
              </w:rPr>
              <w:suppressLineNumbers w:val="0"/>
            </w:pPr>
            <w:r>
              <w:rPr>
                <w:rFonts w:hint="eastAsia" w:ascii="宋体" w:hAnsi="宋体" w:cs="宋体"/>
                <w:b/>
                <w:bCs/>
                <w:i w:val="0"/>
                <w:iCs w:val="0"/>
                <w:color w:val="000000"/>
                <w:sz w:val="24"/>
                <w:szCs w:val="24"/>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滨海县通榆镇卫生院</w:t>
            </w:r>
            <w:r/>
          </w:p>
        </w:tc>
        <w:tc>
          <w:tcPr>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35161</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547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keepLines w:val="0"/>
              <w:keepNext w:val="0"/>
              <w:pageBreakBefore w:val="0"/>
              <w:spacing w:line="500" w:lineRule="exac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1843345</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83832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50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17652</w:t>
            </w:r>
            <w:r/>
          </w:p>
        </w:tc>
      </w:tr>
    </w:tbl>
    <w:p>
      <w:pPr>
        <w:ind w:firstLine="482"/>
        <w:jc w:val="left"/>
        <w:keepLines w:val="0"/>
        <w:keepNext w:val="0"/>
        <w:pageBreakBefore w:val="0"/>
        <w:spacing w:line="5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rPr>
        <w:t xml:space="preserve">注：滨海县部分医疗机构数据情况，供投标人参考</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highlight w:val="none"/>
          <w:lang w:val="en-US" w:eastAsia="zh-CN"/>
        </w:rPr>
        <w:t xml:space="preserve">投保时以各医院及镇卫生院提供数据为准</w:t>
      </w:r>
      <w:r>
        <w:rPr>
          <w:rFonts w:hint="eastAsia" w:ascii="宋体" w:hAnsi="宋体" w:eastAsia="宋体" w:cs="宋体"/>
          <w:b/>
          <w:bCs/>
          <w:color w:val="000000"/>
          <w:sz w:val="24"/>
          <w:szCs w:val="24"/>
          <w:highlight w:val="none"/>
          <w:lang w:eastAsia="zh-CN"/>
        </w:rPr>
        <w:t xml:space="preserve">。</w:t>
      </w:r>
      <w:r/>
    </w:p>
    <w:p>
      <w:pPr>
        <w:numPr>
          <w:ilvl w:val="0"/>
          <w:numId w:val="0"/>
        </w:numPr>
        <w:jc w:val="center"/>
        <w:keepLines w:val="0"/>
        <w:keepNext w:val="0"/>
        <w:pageBreakBefore w:val="0"/>
        <w:spacing w:line="500" w:lineRule="exact"/>
        <w:rPr>
          <w:rFonts w:ascii="Times New Roman" w:hAnsi="Times New Roman" w:eastAsia="宋体" w:cs="Times New Roman"/>
          <w:b/>
          <w:bCs/>
          <w:sz w:val="24"/>
          <w:szCs w:val="24"/>
        </w:rPr>
        <w:outlineLvl w:val="1"/>
      </w:pPr>
      <w:r>
        <w:rPr>
          <w:rFonts w:hint="eastAsia" w:eastAsia="宋体" w:cs="Times New Roman"/>
          <w:b/>
          <w:bCs/>
          <w:sz w:val="24"/>
          <w:szCs w:val="24"/>
          <w:lang w:val="en-US" w:eastAsia="zh-CN"/>
        </w:rPr>
        <w:t xml:space="preserve">二、</w:t>
      </w:r>
      <w:r>
        <w:rPr>
          <w:rFonts w:hint="eastAsia" w:ascii="Times New Roman" w:hAnsi="Times New Roman" w:eastAsia="宋体" w:cs="Times New Roman"/>
          <w:b/>
          <w:bCs/>
          <w:sz w:val="24"/>
          <w:szCs w:val="24"/>
          <w:lang w:val="en-US" w:eastAsia="zh-CN"/>
        </w:rPr>
        <w:t xml:space="preserve">限价费率</w:t>
      </w:r>
      <w:r>
        <w:rPr>
          <w:rFonts w:hint="eastAsia" w:ascii="Times New Roman" w:hAnsi="Times New Roman" w:eastAsia="宋体" w:cs="Times New Roman"/>
          <w:b/>
          <w:bCs/>
          <w:sz w:val="24"/>
          <w:szCs w:val="24"/>
        </w:rPr>
        <w:t xml:space="preserve">一览表</w:t>
      </w:r>
      <w:r/>
    </w:p>
    <w:p>
      <w:pPr>
        <w:ind w:firstLine="482"/>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险种一：医疗机构医疗责任保险</w:t>
      </w:r>
      <w:r/>
    </w:p>
    <w:p>
      <w:pPr>
        <w:ind w:firstLine="482"/>
        <w:jc w:val="left"/>
        <w:keepLines w:val="0"/>
        <w:keepNext w:val="0"/>
        <w:pageBreakBefore w:val="0"/>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第一部分</w:t>
      </w:r>
      <w:r>
        <w:rPr>
          <w:rFonts w:ascii="宋体" w:hAnsi="宋体" w:eastAsia="宋体" w:cs="宋体"/>
          <w:b/>
          <w:bCs/>
          <w:sz w:val="24"/>
          <w:szCs w:val="24"/>
        </w:rPr>
        <w:t xml:space="preserve">  </w:t>
      </w:r>
      <w:r>
        <w:rPr>
          <w:rFonts w:hint="eastAsia" w:ascii="宋体" w:hAnsi="宋体" w:eastAsia="宋体" w:cs="宋体"/>
          <w:b/>
          <w:bCs/>
          <w:sz w:val="24"/>
          <w:szCs w:val="24"/>
        </w:rPr>
        <w:t xml:space="preserve">适用医院及社区卫生服务中心、乡（镇）卫生院、综合门诊部、专科门诊部、中医门诊部、中西医结合门诊部、民族医门诊部等医疗机构</w:t>
      </w:r>
      <w:r/>
    </w:p>
    <w:tbl>
      <w:tblPr>
        <w:tblStyle w:val="934"/>
        <w:tblW w:w="4981" w:type="pct"/>
        <w:jc w:val="center"/>
        <w:tblLayout w:type="autofit"/>
        <w:tblCellMar>
          <w:left w:w="108" w:type="dxa"/>
          <w:top w:w="0" w:type="dxa"/>
          <w:right w:w="108" w:type="dxa"/>
          <w:bottom w:w="0" w:type="dxa"/>
        </w:tblCellMar>
        <w:tblLook w:val="04A0" w:firstRow="1" w:lastRow="0" w:firstColumn="1" w:lastColumn="0" w:noHBand="0" w:noVBand="1"/>
      </w:tblPr>
      <w:tblGrid>
        <w:gridCol w:w="2739"/>
        <w:gridCol w:w="2143"/>
        <w:gridCol w:w="2095"/>
        <w:gridCol w:w="2387"/>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医疗机构</w:t>
            </w:r>
            <w:r>
              <w:rPr>
                <w:rFonts w:hint="eastAsia" w:ascii="宋体" w:hAnsi="宋体" w:eastAsia="宋体" w:cs="宋体"/>
                <w:b/>
                <w:bCs/>
                <w:sz w:val="24"/>
                <w:szCs w:val="24"/>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bidi="ar"/>
              </w:rPr>
              <w:t xml:space="preserve">诊疗人次数</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c>
          <w:tcPr>
            <w:shd w:val="clear" w:color="auto" w:fill="f3f3f3"/>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出院人数</w:t>
            </w:r>
            <w:r/>
          </w:p>
          <w:p>
            <w:pPr>
              <w:jc w:val="center"/>
              <w:keepLines w:val="0"/>
              <w:keepNext w:val="0"/>
              <w:pageBreakBefore w:val="0"/>
              <w:spacing w:line="500" w:lineRule="exact"/>
              <w:rPr>
                <w:rFonts w:hint="default" w:ascii="宋体" w:hAnsi="宋体" w:eastAsia="宋体" w:cs="宋体"/>
                <w:b/>
                <w:bCs/>
                <w:sz w:val="24"/>
                <w:szCs w:val="24"/>
                <w:lang w:val="en-US"/>
              </w:rPr>
            </w:pP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c>
          <w:tcPr>
            <w:shd w:val="clear" w:color="auto" w:fill="f3f3f3"/>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hint="default" w:ascii="宋体" w:hAnsi="宋体" w:eastAsia="宋体" w:cs="宋体"/>
                <w:b/>
                <w:bCs/>
                <w:sz w:val="24"/>
                <w:szCs w:val="24"/>
                <w:lang w:val="en-US"/>
              </w:rPr>
            </w:pPr>
            <w:r>
              <w:rPr>
                <w:rFonts w:hint="eastAsia" w:ascii="宋体" w:hAnsi="宋体" w:eastAsia="宋体" w:cs="宋体"/>
                <w:b/>
                <w:bCs/>
                <w:sz w:val="24"/>
                <w:szCs w:val="24"/>
                <w:lang w:bidi="ar"/>
              </w:rPr>
              <w:t xml:space="preserve">住院病人手术人次数</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年费率</w:t>
            </w:r>
            <w:r>
              <w:rPr>
                <w:rFonts w:hint="eastAsia" w:ascii="宋体" w:hAnsi="宋体" w:eastAsia="宋体" w:cs="宋体"/>
                <w:b/>
                <w:bCs/>
                <w:sz w:val="24"/>
                <w:szCs w:val="24"/>
                <w:lang w:eastAsia="zh-CN" w:bidi="ar"/>
              </w:rPr>
              <w:t xml:space="preserve">）</w:t>
            </w:r>
            <w:r>
              <w:rPr>
                <w:rFonts w:hint="eastAsia" w:ascii="宋体" w:hAnsi="宋体" w:cs="宋体"/>
                <w:b/>
                <w:bCs/>
                <w:sz w:val="24"/>
                <w:szCs w:val="24"/>
                <w:lang w:val="en-US" w:eastAsia="zh-CN" w:bidi="ar"/>
              </w:rPr>
              <w:t xml:space="preserve">限价</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三级医院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bidi="ar"/>
              </w:rPr>
              <w:t xml:space="preserve">二级医院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1.2</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lang w:bidi="ar"/>
              </w:rPr>
            </w:pPr>
            <w:r>
              <w:rPr>
                <w:rFonts w:hint="eastAsia" w:ascii="宋体" w:hAnsi="宋体" w:eastAsia="宋体" w:cs="宋体"/>
                <w:b/>
                <w:bCs/>
                <w:sz w:val="24"/>
                <w:szCs w:val="24"/>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0.9</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1.3</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bidi="ar"/>
              </w:rPr>
              <w:t xml:space="preserve">37.5</w:t>
            </w:r>
            <w:r>
              <w:rPr>
                <w:rFonts w:hint="eastAsia" w:ascii="宋体" w:hAnsi="宋体" w:eastAsia="宋体" w:cs="宋体"/>
                <w:b/>
                <w:bCs/>
                <w:sz w:val="24"/>
                <w:szCs w:val="24"/>
                <w:lang w:bidi="ar"/>
              </w:rPr>
              <w:t xml:space="preserve">元</w:t>
            </w:r>
            <w:r>
              <w:rPr>
                <w:rFonts w:ascii="宋体" w:hAnsi="宋体" w:eastAsia="宋体" w:cs="宋体"/>
                <w:b/>
                <w:bCs/>
                <w:sz w:val="24"/>
                <w:szCs w:val="24"/>
                <w:lang w:bidi="ar"/>
              </w:rPr>
              <w:t xml:space="preserve">/人次</w:t>
            </w:r>
            <w:r/>
          </w:p>
        </w:tc>
      </w:tr>
    </w:tbl>
    <w:p>
      <w:pPr>
        <w:ind w:firstLine="482"/>
        <w:jc w:val="left"/>
        <w:keepLines w:val="0"/>
        <w:keepNext w:val="0"/>
        <w:pageBreakBefore w:val="0"/>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第二部分</w:t>
      </w:r>
      <w:r>
        <w:rPr>
          <w:rFonts w:ascii="宋体" w:hAnsi="宋体" w:eastAsia="宋体" w:cs="宋体"/>
          <w:b/>
          <w:bCs/>
          <w:sz w:val="24"/>
          <w:szCs w:val="24"/>
        </w:rPr>
        <w:t xml:space="preserve">  </w:t>
      </w:r>
      <w:r>
        <w:rPr>
          <w:rFonts w:hint="eastAsia" w:ascii="宋体" w:hAnsi="宋体" w:eastAsia="宋体" w:cs="宋体"/>
          <w:b/>
          <w:bCs/>
          <w:sz w:val="24"/>
          <w:szCs w:val="24"/>
        </w:rPr>
        <w:t xml:space="preserve">适用诊所、中医诊所、民族医诊所、卫生所、医务室、卫生保健所、卫生站、村卫生室</w:t>
      </w:r>
      <w:r>
        <w:rPr>
          <w:rFonts w:ascii="宋体" w:hAnsi="宋体" w:eastAsia="宋体" w:cs="宋体"/>
          <w:b/>
          <w:bCs/>
          <w:sz w:val="24"/>
          <w:szCs w:val="24"/>
        </w:rPr>
        <w:t xml:space="preserve">(所)、社区卫生服务站</w:t>
      </w:r>
      <w:r/>
    </w:p>
    <w:tbl>
      <w:tblPr>
        <w:tblStyle w:val="9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8"/>
        <w:gridCol w:w="1878"/>
        <w:gridCol w:w="1878"/>
        <w:gridCol w:w="1880"/>
        <w:gridCol w:w="1882"/>
      </w:tblGrid>
      <w:tr>
        <w:trPr>
          <w:trHeight w:val="833"/>
        </w:trPr>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w:t>
            </w:r>
            <w:r/>
          </w:p>
        </w:tc>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保费</w:t>
            </w:r>
            <w:r>
              <w:rPr>
                <w:rFonts w:hint="eastAsia" w:ascii="宋体" w:hAnsi="宋体" w:cs="宋体"/>
                <w:b/>
                <w:bCs/>
                <w:sz w:val="24"/>
                <w:szCs w:val="24"/>
                <w:lang w:val="en-US" w:eastAsia="zh-CN"/>
              </w:rPr>
              <w:t xml:space="preserve">限价</w:t>
            </w:r>
            <w:r/>
          </w:p>
        </w:tc>
      </w:tr>
      <w:tr>
        <w:trPr>
          <w:trHeight w:val="660"/>
        </w:trPr>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方案一</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60</w:t>
            </w:r>
            <w:r>
              <w:rPr>
                <w:rFonts w:hint="eastAsia" w:ascii="宋体" w:hAnsi="宋体" w:eastAsia="宋体" w:cs="宋体"/>
                <w:b/>
                <w:bCs/>
                <w:sz w:val="24"/>
                <w:szCs w:val="24"/>
              </w:rPr>
              <w:t xml:space="preserve">万元</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25</w:t>
            </w:r>
            <w:r>
              <w:rPr>
                <w:rFonts w:hint="eastAsia" w:ascii="宋体" w:hAnsi="宋体" w:eastAsia="宋体" w:cs="宋体"/>
                <w:b/>
                <w:bCs/>
                <w:sz w:val="24"/>
                <w:szCs w:val="24"/>
              </w:rPr>
              <w:t xml:space="preserve">万元</w:t>
            </w:r>
            <w:r/>
          </w:p>
        </w:tc>
        <w:tc>
          <w:tcPr>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15</w:t>
            </w:r>
            <w:r>
              <w:rPr>
                <w:rFonts w:hint="eastAsia" w:ascii="宋体" w:hAnsi="宋体" w:eastAsia="宋体" w:cs="宋体"/>
                <w:b/>
                <w:bCs/>
                <w:sz w:val="24"/>
                <w:szCs w:val="24"/>
              </w:rPr>
              <w:t xml:space="preserve">万元</w:t>
            </w:r>
            <w:r/>
          </w:p>
        </w:tc>
        <w:tc>
          <w:tcPr>
            <w:tcW w:w="1001"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3600</w:t>
            </w:r>
            <w:r>
              <w:rPr>
                <w:rFonts w:hint="eastAsia" w:ascii="宋体" w:hAnsi="宋体" w:eastAsia="宋体" w:cs="宋体"/>
                <w:b/>
                <w:bCs/>
                <w:sz w:val="24"/>
                <w:szCs w:val="24"/>
              </w:rPr>
              <w:t xml:space="preserve">元</w:t>
            </w:r>
            <w:r/>
          </w:p>
        </w:tc>
      </w:tr>
      <w:tr>
        <w:trPr>
          <w:trHeight w:val="660"/>
        </w:trPr>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方案二</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50万元</w:t>
            </w:r>
            <w:r/>
          </w:p>
        </w:tc>
        <w:tc>
          <w:tcPr>
            <w:tcW w:w="999"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20万元</w:t>
            </w:r>
            <w:r/>
          </w:p>
        </w:tc>
        <w:tc>
          <w:tcPr>
            <w:tcW w:w="1000"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ascii="宋体" w:hAnsi="宋体" w:eastAsia="宋体" w:cs="宋体"/>
                <w:b/>
                <w:bCs/>
                <w:sz w:val="24"/>
                <w:szCs w:val="24"/>
              </w:rPr>
              <w:t xml:space="preserve">10万元</w:t>
            </w:r>
            <w:r/>
          </w:p>
        </w:tc>
        <w:tc>
          <w:tcPr>
            <w:tcW w:w="1001" w:type="pct"/>
            <w:vAlign w:val="center"/>
            <w:textDirection w:val="lrTb"/>
            <w:noWrap w:val="false"/>
          </w:tcPr>
          <w:p>
            <w:pPr>
              <w:jc w:val="center"/>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3100</w:t>
            </w:r>
            <w:r>
              <w:rPr>
                <w:rFonts w:hint="eastAsia" w:ascii="宋体" w:hAnsi="宋体" w:eastAsia="宋体" w:cs="宋体"/>
                <w:b/>
                <w:bCs/>
                <w:sz w:val="24"/>
                <w:szCs w:val="24"/>
              </w:rPr>
              <w:t xml:space="preserve">元</w:t>
            </w:r>
            <w:r/>
          </w:p>
        </w:tc>
      </w:tr>
    </w:tbl>
    <w:p>
      <w:pPr>
        <w:ind w:firstLine="482"/>
        <w:keepLines w:val="0"/>
        <w:keepNext w:val="0"/>
        <w:pageBreakBefore w:val="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险种二：医疗机构公众责任保险</w:t>
      </w:r>
      <w:r/>
    </w:p>
    <w:tbl>
      <w:tblPr>
        <w:tblStyle w:val="934"/>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2497"/>
        <w:gridCol w:w="1789"/>
        <w:gridCol w:w="1277"/>
        <w:gridCol w:w="2168"/>
      </w:tblGrid>
      <w:tr>
        <w:trPr>
          <w:trHeight w:val="698"/>
        </w:trPr>
        <w:tc>
          <w:tcPr>
            <w:shd w:val="clear" w:color="auto" w:fill="f1f1f1"/>
            <w:tcW w:w="889"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医院等级</w:t>
            </w:r>
            <w:r/>
          </w:p>
        </w:tc>
        <w:tc>
          <w:tcPr>
            <w:shd w:val="clear" w:color="auto" w:fill="f1f1f1"/>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每次事故及累计责任限额</w:t>
            </w:r>
            <w:r/>
          </w:p>
        </w:tc>
        <w:tc>
          <w:tcPr>
            <w:shd w:val="clear" w:color="auto" w:fill="f1f1f1"/>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每次事故每人责任限额</w:t>
            </w:r>
            <w:r/>
          </w:p>
        </w:tc>
        <w:tc>
          <w:tcPr>
            <w:shd w:val="clear" w:color="auto" w:fill="f1f1f1"/>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累计法律费用责任限额</w:t>
            </w:r>
            <w:r/>
          </w:p>
        </w:tc>
        <w:tc>
          <w:tcPr>
            <w:shd w:val="clear" w:color="auto" w:fill="f1f1f1"/>
            <w:tcW w:w="1152" w:type="pct"/>
            <w:vAlign w:val="center"/>
            <w:textDirection w:val="lrTb"/>
            <w:noWrap/>
          </w:tcPr>
          <w:p>
            <w:pPr>
              <w:ind w:firstLine="0"/>
              <w:jc w:val="center"/>
              <w:keepLines w:val="0"/>
              <w:keepNext w:val="0"/>
              <w:pageBreakBefore w:val="0"/>
              <w:spacing w:line="500" w:lineRule="exact"/>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保费</w:t>
            </w:r>
            <w:r>
              <w:rPr>
                <w:rFonts w:hint="eastAsia" w:ascii="宋体" w:hAnsi="宋体" w:cs="宋体"/>
                <w:b/>
                <w:bCs/>
                <w:sz w:val="24"/>
                <w:szCs w:val="24"/>
                <w:lang w:val="en-US" w:eastAsia="zh-CN" w:bidi="ar-SA"/>
              </w:rPr>
              <w:t xml:space="preserve">限价</w:t>
            </w:r>
            <w:r/>
          </w:p>
        </w:tc>
      </w:tr>
      <w:tr>
        <w:trPr>
          <w:trHeight w:val="620"/>
        </w:trPr>
        <w:tc>
          <w:tcPr>
            <w:tcW w:w="889" w:type="pct"/>
            <w:vAlign w:val="center"/>
            <w:textDirection w:val="lrTb"/>
            <w:noWrap/>
          </w:tcPr>
          <w:p>
            <w:pPr>
              <w:ind w:firstLine="413"/>
              <w:jc w:val="both"/>
              <w:keepLines w:val="0"/>
              <w:keepNext w:val="0"/>
              <w:pageBreakBefore w:val="0"/>
              <w:spacing w:line="500" w:lineRule="exact"/>
              <w:widowControl w:val="off"/>
              <w:rPr>
                <w:rFonts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三级医院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14000</w:t>
            </w:r>
            <w:r>
              <w:rPr>
                <w:rFonts w:hint="eastAsia" w:ascii="宋体" w:hAnsi="宋体" w:eastAsia="宋体" w:cs="宋体"/>
                <w:b/>
                <w:bCs/>
                <w:sz w:val="24"/>
                <w:szCs w:val="24"/>
              </w:rPr>
              <w:t xml:space="preserve">元</w:t>
            </w:r>
            <w:r/>
          </w:p>
        </w:tc>
      </w:tr>
      <w:tr>
        <w:trPr>
          <w:trHeight w:val="620"/>
        </w:trPr>
        <w:tc>
          <w:tcPr>
            <w:tcW w:w="889" w:type="pct"/>
            <w:vAlign w:val="center"/>
            <w:textDirection w:val="lrTb"/>
            <w:noWrap/>
          </w:tcPr>
          <w:p>
            <w:pPr>
              <w:ind w:firstLine="413"/>
              <w:jc w:val="center"/>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二级医院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200万元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20万元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11500</w:t>
            </w:r>
            <w:r>
              <w:rPr>
                <w:rFonts w:hint="eastAsia" w:ascii="宋体" w:hAnsi="宋体" w:eastAsia="宋体" w:cs="宋体"/>
                <w:b/>
                <w:bCs/>
                <w:sz w:val="24"/>
                <w:szCs w:val="24"/>
              </w:rPr>
              <w:t xml:space="preserve">元</w:t>
            </w:r>
            <w:r/>
          </w:p>
        </w:tc>
      </w:tr>
      <w:tr>
        <w:trPr>
          <w:trHeight w:val="620"/>
        </w:trPr>
        <w:tc>
          <w:tcPr>
            <w:tcW w:w="889" w:type="pct"/>
            <w:vAlign w:val="center"/>
            <w:textDirection w:val="lrTb"/>
            <w:noWrap/>
          </w:tcPr>
          <w:p>
            <w:pPr>
              <w:ind w:firstLine="413"/>
              <w:jc w:val="center"/>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一级医院</w:t>
            </w:r>
            <w:r/>
          </w:p>
        </w:tc>
        <w:tc>
          <w:tcPr>
            <w:tcW w:w="1327"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100万元</w:t>
            </w:r>
            <w:r/>
          </w:p>
        </w:tc>
        <w:tc>
          <w:tcPr>
            <w:tcW w:w="951"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30万元</w:t>
            </w:r>
            <w:r/>
          </w:p>
        </w:tc>
        <w:tc>
          <w:tcPr>
            <w:tcW w:w="678" w:type="pct"/>
            <w:vAlign w:val="center"/>
            <w:textDirection w:val="lrTb"/>
            <w:noWrap/>
          </w:tcPr>
          <w:p>
            <w:pPr>
              <w:ind w:firstLine="0"/>
              <w:jc w:val="center"/>
              <w:keepLines w:val="0"/>
              <w:keepNext w:val="0"/>
              <w:pageBreakBefore w:val="0"/>
              <w:spacing w:line="500" w:lineRule="exact"/>
              <w:widowControl w:val="off"/>
              <w:rPr>
                <w:rFonts w:ascii="宋体" w:hAnsi="宋体" w:eastAsia="宋体" w:cs="宋体"/>
                <w:b/>
                <w:bCs/>
                <w:sz w:val="24"/>
                <w:szCs w:val="24"/>
                <w:lang w:val="en-US" w:eastAsia="zh-CN" w:bidi="ar-SA"/>
              </w:rPr>
            </w:pPr>
            <w:r>
              <w:rPr>
                <w:rFonts w:ascii="宋体" w:hAnsi="宋体" w:eastAsia="宋体" w:cs="宋体"/>
                <w:b/>
                <w:bCs/>
                <w:sz w:val="24"/>
                <w:szCs w:val="24"/>
                <w:lang w:val="en-US" w:eastAsia="zh-CN" w:bidi="ar-SA"/>
              </w:rPr>
              <w:t xml:space="preserve">10万元</w:t>
            </w:r>
            <w:r/>
          </w:p>
        </w:tc>
        <w:tc>
          <w:tcPr>
            <w:tcW w:w="1152" w:type="pct"/>
            <w:vAlign w:val="center"/>
            <w:textDirection w:val="lrTb"/>
            <w:noWrap/>
          </w:tcPr>
          <w:p>
            <w:pPr>
              <w:jc w:val="center"/>
              <w:keepLines w:val="0"/>
              <w:keepNext w:val="0"/>
              <w:pageBreakBefore w:val="0"/>
              <w:spacing w:line="500" w:lineRule="exact"/>
              <w:widowControl w:val="off"/>
              <w:rPr>
                <w:rFonts w:ascii="宋体" w:hAnsi="宋体" w:eastAsia="宋体" w:cs="宋体"/>
                <w:b/>
                <w:bCs/>
                <w:sz w:val="24"/>
                <w:szCs w:val="24"/>
              </w:rPr>
            </w:pPr>
            <w:r>
              <w:rPr>
                <w:rFonts w:hint="eastAsia" w:ascii="宋体" w:hAnsi="宋体" w:eastAsia="宋体" w:cs="宋体"/>
                <w:b/>
                <w:bCs/>
                <w:sz w:val="24"/>
                <w:szCs w:val="24"/>
                <w:lang w:val="en-US" w:eastAsia="zh-CN"/>
              </w:rPr>
              <w:t xml:space="preserve">6500</w:t>
            </w:r>
            <w:r>
              <w:rPr>
                <w:rFonts w:hint="eastAsia" w:ascii="宋体" w:hAnsi="宋体" w:eastAsia="宋体" w:cs="宋体"/>
                <w:b/>
                <w:bCs/>
                <w:sz w:val="24"/>
                <w:szCs w:val="24"/>
              </w:rPr>
              <w:t xml:space="preserve">元</w:t>
            </w:r>
            <w:r/>
          </w:p>
        </w:tc>
      </w:tr>
    </w:tbl>
    <w:p>
      <w:pPr>
        <w:ind w:left="0" w:firstLine="0"/>
        <w:jc w:val="both"/>
        <w:spacing w:line="360" w:lineRule="auto"/>
        <w:widowControl w:val="off"/>
        <w:rPr>
          <w:rFonts w:hint="eastAsia" w:ascii="仿宋_GB2312" w:hAnsi="Times New Roman" w:eastAsia="仿宋_GB2312" w:cs="Times New Roman"/>
          <w:sz w:val="24"/>
          <w:szCs w:val="24"/>
          <w:lang w:val="en-US" w:eastAsia="zh-CN" w:bidi="ar-SA"/>
        </w:rPr>
      </w:pPr>
      <w:r>
        <w:rPr>
          <w:rFonts w:hint="eastAsia" w:ascii="仿宋_GB2312" w:hAnsi="Times New Roman" w:eastAsia="仿宋_GB2312" w:cs="Times New Roman"/>
          <w:sz w:val="24"/>
          <w:szCs w:val="24"/>
          <w:lang w:val="en-US" w:eastAsia="zh-CN" w:bidi="ar-SA"/>
        </w:rPr>
      </w:r>
      <w:r/>
    </w:p>
    <w:p>
      <w:pPr>
        <w:numPr>
          <w:ilvl w:val="0"/>
          <w:numId w:val="0"/>
        </w:numPr>
        <w:jc w:val="center"/>
        <w:spacing w:line="960" w:lineRule="auto"/>
        <w:rPr>
          <w:rFonts w:hint="eastAsia" w:ascii="黑体" w:hAnsi="黑体" w:eastAsia="黑体" w:cs="黑体"/>
          <w:b/>
          <w:bCs/>
          <w:sz w:val="24"/>
          <w:szCs w:val="24"/>
          <w:lang w:val="en-US" w:eastAsia="zh-CN"/>
        </w:rPr>
        <w:outlineLvl w:val="0"/>
      </w:pPr>
      <w:r>
        <w:rPr>
          <w:rFonts w:hint="eastAsia" w:ascii="黑体" w:hAnsi="黑体" w:eastAsia="黑体" w:cs="黑体"/>
          <w:b/>
          <w:bCs/>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sz w:val="24"/>
          <w:szCs w:val="24"/>
          <w:lang w:val="en-US" w:eastAsia="zh-CN"/>
        </w:rPr>
      </w:pPr>
      <w:r>
        <w:rPr>
          <w:rFonts w:hint="eastAsia"/>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sz w:val="24"/>
          <w:szCs w:val="24"/>
          <w:lang w:val="en-US" w:eastAsia="zh-CN"/>
        </w:rPr>
      </w:pPr>
      <w:r>
        <w:rPr>
          <w:rFonts w:hint="eastAsia"/>
          <w:sz w:val="24"/>
          <w:szCs w:val="24"/>
          <w:lang w:val="en-US" w:eastAsia="zh-CN"/>
        </w:rPr>
      </w:r>
      <w:r/>
    </w:p>
    <w:p>
      <w:pPr>
        <w:pStyle w:val="942"/>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pStyle w:val="945"/>
        <w:rPr>
          <w:rFonts w:hint="eastAsia"/>
          <w:lang w:val="en-US" w:eastAsia="zh-CN"/>
        </w:rPr>
      </w:pPr>
      <w:r>
        <w:rPr>
          <w:rFonts w:hint="eastAsia"/>
          <w:lang w:val="en-US" w:eastAsia="zh-CN"/>
        </w:rPr>
      </w:r>
      <w:r>
        <w:rPr>
          <w:rFonts w:hint="eastAsia"/>
          <w:lang w:val="en-US" w:eastAsia="zh-CN"/>
        </w:rPr>
      </w:r>
      <w:r/>
    </w:p>
    <w:p>
      <w:pPr>
        <w:pStyle w:val="945"/>
        <w:rPr>
          <w:rFonts w:hint="eastAsia"/>
          <w:lang w:val="en-US" w:eastAsia="zh-CN"/>
        </w:rPr>
      </w:pPr>
      <w:r>
        <w:rPr>
          <w:rFonts w:hint="eastAsia"/>
          <w:lang w:val="en-US" w:eastAsia="zh-CN"/>
        </w:rPr>
      </w:r>
      <w:r>
        <w:rPr>
          <w:rFonts w:hint="eastAsia"/>
          <w:lang w:val="en-US" w:eastAsia="zh-CN"/>
        </w:rPr>
      </w:r>
      <w:r/>
    </w:p>
    <w:p>
      <w:pPr>
        <w:pStyle w:val="945"/>
        <w:rPr>
          <w:rFonts w:hint="eastAsia"/>
          <w:lang w:val="en-US" w:eastAsia="zh-CN"/>
        </w:rPr>
      </w:pPr>
      <w:r>
        <w:rPr>
          <w:rFonts w:hint="eastAsia"/>
          <w:lang w:val="en-US" w:eastAsia="zh-CN"/>
        </w:rPr>
      </w:r>
      <w:r/>
    </w:p>
    <w:p>
      <w:pPr>
        <w:rPr>
          <w:rFonts w:hint="eastAsia"/>
          <w:sz w:val="24"/>
          <w:szCs w:val="24"/>
          <w:lang w:val="en-US" w:eastAsia="zh-CN"/>
        </w:rPr>
      </w:pPr>
      <w:r>
        <w:rPr>
          <w:rFonts w:hint="eastAsia"/>
          <w:sz w:val="24"/>
          <w:szCs w:val="24"/>
          <w:lang w:val="en-US" w:eastAsia="zh-CN"/>
        </w:rPr>
      </w:r>
      <w:r/>
    </w:p>
    <w:p>
      <w:pPr>
        <w:rPr>
          <w:rFonts w:hint="eastAsia"/>
          <w:sz w:val="24"/>
          <w:szCs w:val="24"/>
          <w:lang w:val="en-US" w:eastAsia="zh-CN"/>
        </w:rPr>
      </w:pPr>
      <w:r>
        <w:rPr>
          <w:rFonts w:hint="eastAsia"/>
          <w:sz w:val="24"/>
          <w:szCs w:val="24"/>
          <w:lang w:val="en-US" w:eastAsia="zh-CN"/>
        </w:rPr>
      </w:r>
      <w:r/>
    </w:p>
    <w:p>
      <w:pPr>
        <w:jc w:val="center"/>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 xml:space="preserve">第五章  </w:t>
      </w:r>
      <w:r>
        <w:rPr>
          <w:rFonts w:hint="eastAsia" w:ascii="黑体" w:hAnsi="黑体" w:eastAsia="黑体" w:cs="黑体"/>
          <w:sz w:val="48"/>
          <w:szCs w:val="48"/>
        </w:rPr>
        <w:t xml:space="preserve">评标方法与评标标准</w:t>
      </w:r>
      <w:r/>
    </w:p>
    <w:p>
      <w:pPr>
        <w:spacing w:line="360" w:lineRule="auto"/>
        <w:rPr>
          <w:rFonts w:hint="eastAsia" w:ascii="宋体" w:hAnsi="宋体" w:eastAsia="宋体" w:cs="Courier New"/>
          <w:b/>
          <w:bCs/>
          <w:sz w:val="24"/>
          <w:szCs w:val="24"/>
        </w:rPr>
      </w:pPr>
      <w:r>
        <w:rPr>
          <w:rFonts w:hint="eastAsia" w:ascii="宋体" w:hAnsi="宋体" w:eastAsia="宋体" w:cs="Courier New"/>
          <w:b/>
          <w:bCs/>
          <w:sz w:val="24"/>
          <w:szCs w:val="24"/>
        </w:rPr>
      </w:r>
      <w:r/>
    </w:p>
    <w:p>
      <w:pPr>
        <w:ind w:firstLine="482"/>
        <w:keepLines w:val="0"/>
        <w:keepNext w:val="0"/>
        <w:pageBreakBefore w:val="0"/>
        <w:spacing w:line="440" w:lineRule="exact"/>
        <w:rPr>
          <w:rFonts w:hint="eastAsia" w:ascii="宋体" w:hAnsi="宋体" w:eastAsia="宋体" w:cs="Courier New"/>
          <w:b/>
          <w:bCs/>
          <w:sz w:val="24"/>
          <w:szCs w:val="24"/>
        </w:rPr>
      </w:pPr>
      <w:r>
        <w:rPr>
          <w:rFonts w:hint="eastAsia" w:ascii="宋体" w:hAnsi="宋体" w:eastAsia="宋体" w:cs="Courier New"/>
          <w:b/>
          <w:bCs/>
          <w:sz w:val="24"/>
          <w:szCs w:val="24"/>
        </w:rPr>
        <w:t xml:space="preserve">一、定标原则</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sz w:val="24"/>
          <w:szCs w:val="24"/>
          <w:highlight w:val="none"/>
        </w:rPr>
      </w:pPr>
      <w:r>
        <w:rPr>
          <w:rFonts w:hint="eastAsia" w:asciiTheme="majorEastAsia" w:hAnsiTheme="majorEastAsia" w:eastAsiaTheme="majorEastAsia" w:cstheme="majorEastAsia"/>
          <w:b/>
          <w:bCs w:val="0"/>
          <w:sz w:val="24"/>
          <w:szCs w:val="24"/>
          <w:highlight w:val="none"/>
          <w:lang w:val="en-US" w:eastAsia="zh-CN"/>
        </w:rPr>
        <w:t xml:space="preserve">1、</w:t>
      </w:r>
      <w:r>
        <w:rPr>
          <w:rFonts w:hint="eastAsia" w:asciiTheme="majorEastAsia" w:hAnsiTheme="majorEastAsia" w:eastAsiaTheme="majorEastAsia" w:cstheme="majorEastAsia"/>
          <w:b/>
          <w:bCs w:val="0"/>
          <w:sz w:val="24"/>
          <w:szCs w:val="24"/>
          <w:highlight w:val="none"/>
        </w:rPr>
        <w:t xml:space="preserve">本项目采用</w:t>
      </w:r>
      <w:r>
        <w:rPr>
          <w:rFonts w:hint="eastAsia" w:asciiTheme="majorEastAsia" w:hAnsiTheme="majorEastAsia" w:eastAsiaTheme="majorEastAsia" w:cstheme="majorEastAsia"/>
          <w:b/>
          <w:bCs w:val="0"/>
          <w:sz w:val="24"/>
          <w:szCs w:val="24"/>
          <w:highlight w:val="none"/>
          <w:u w:val="single"/>
        </w:rPr>
        <w:t xml:space="preserve"> 综合评分 </w:t>
      </w:r>
      <w:r>
        <w:rPr>
          <w:rFonts w:hint="eastAsia" w:asciiTheme="majorEastAsia" w:hAnsiTheme="majorEastAsia" w:eastAsiaTheme="majorEastAsia" w:cstheme="majorEastAsia"/>
          <w:b/>
          <w:bCs w:val="0"/>
          <w:sz w:val="24"/>
          <w:szCs w:val="24"/>
          <w:highlight w:val="none"/>
        </w:rPr>
        <w:t xml:space="preserve">法。</w:t>
      </w:r>
      <w:r>
        <w:rPr>
          <w:rFonts w:hint="eastAsia" w:asciiTheme="majorEastAsia" w:hAnsiTheme="majorEastAsia" w:eastAsiaTheme="majorEastAsia" w:cstheme="majorEastAsia"/>
          <w:b/>
          <w:bCs w:val="0"/>
          <w:sz w:val="24"/>
          <w:szCs w:val="24"/>
          <w:highlight w:val="none"/>
        </w:rPr>
        <w:t xml:space="preserve">评标结果按评审后得分由高到低顺序排列。</w:t>
      </w:r>
      <w:r>
        <w:rPr>
          <w:rFonts w:hint="eastAsia" w:asciiTheme="majorEastAsia" w:hAnsiTheme="majorEastAsia" w:eastAsiaTheme="majorEastAsia" w:cstheme="majorEastAsia"/>
          <w:b/>
          <w:bCs w:val="0"/>
          <w:color w:val="000000"/>
          <w:sz w:val="24"/>
          <w:szCs w:val="24"/>
          <w:highlight w:val="none"/>
        </w:rPr>
        <w:t xml:space="preserve">总分相同的，按投标报价由高到低顺序排列。总分且投标报价相同的，按综合实力得分由高到低排列；总分、投标报价得分均相同的，按综合实力得分由高到低排列。</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rPr>
        <w:t xml:space="preserve">2、</w:t>
      </w:r>
      <w:r>
        <w:rPr>
          <w:rFonts w:hint="eastAsia" w:asciiTheme="majorEastAsia" w:hAnsiTheme="majorEastAsia" w:eastAsiaTheme="majorEastAsia" w:cstheme="majorEastAsia"/>
          <w:b/>
          <w:bCs w:val="0"/>
          <w:sz w:val="24"/>
          <w:szCs w:val="24"/>
          <w:lang w:val="en-US" w:eastAsia="zh-CN"/>
        </w:rPr>
        <w:t xml:space="preserve">本项目为固定价格采购项目，无价格分值。</w:t>
      </w:r>
      <w:r>
        <w:rPr>
          <w:rFonts w:hint="eastAsia" w:asciiTheme="majorEastAsia" w:hAnsiTheme="majorEastAsia" w:eastAsiaTheme="majorEastAsia" w:cstheme="majorEastAsia"/>
          <w:b/>
          <w:bCs w:val="0"/>
          <w:sz w:val="24"/>
          <w:szCs w:val="24"/>
        </w:rPr>
        <w:t xml:space="preserve">评审结果按评审后得分由高到低顺序排列，得分相同的，按</w:t>
      </w:r>
      <w:r>
        <w:rPr>
          <w:rFonts w:hint="eastAsia" w:asciiTheme="majorEastAsia" w:hAnsiTheme="majorEastAsia" w:eastAsiaTheme="majorEastAsia" w:cstheme="majorEastAsia"/>
          <w:b/>
          <w:bCs w:val="0"/>
          <w:sz w:val="24"/>
          <w:szCs w:val="24"/>
          <w:lang w:val="en-US" w:eastAsia="zh-CN"/>
        </w:rPr>
        <w:t xml:space="preserve">保费报价得分</w:t>
      </w:r>
      <w:r>
        <w:rPr>
          <w:rFonts w:hint="eastAsia" w:asciiTheme="majorEastAsia" w:hAnsiTheme="majorEastAsia" w:eastAsiaTheme="majorEastAsia" w:cstheme="majorEastAsia"/>
          <w:b/>
          <w:bCs w:val="0"/>
          <w:sz w:val="24"/>
          <w:szCs w:val="24"/>
        </w:rPr>
        <w:t xml:space="preserve">由高到低顺序排列。总分、投标报价得分均相同的，按综合实力</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综合实力</w:t>
      </w:r>
      <w:r>
        <w:rPr>
          <w:rFonts w:hint="eastAsia" w:asciiTheme="majorEastAsia" w:hAnsiTheme="majorEastAsia" w:eastAsiaTheme="majorEastAsia" w:cstheme="majorEastAsia"/>
          <w:b/>
          <w:bCs w:val="0"/>
          <w:sz w:val="24"/>
          <w:szCs w:val="24"/>
          <w:lang w:val="en-US" w:eastAsia="zh-CN"/>
        </w:rPr>
        <w:t xml:space="preserve">指：</w:t>
      </w:r>
      <w:r>
        <w:rPr>
          <w:rFonts w:hint="eastAsia" w:asciiTheme="majorEastAsia" w:hAnsiTheme="majorEastAsia" w:eastAsiaTheme="majorEastAsia" w:cstheme="majorEastAsia"/>
          <w:b/>
          <w:bCs w:val="0"/>
          <w:sz w:val="24"/>
          <w:szCs w:val="24"/>
        </w:rPr>
        <w:t xml:space="preserve">投标人资信医责险项目</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经验实质性优惠</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rPr>
        <w:t xml:space="preserve">承诺承保意向</w:t>
      </w:r>
      <w:r>
        <w:rPr>
          <w:rFonts w:hint="eastAsia" w:asciiTheme="majorEastAsia" w:hAnsiTheme="majorEastAsia" w:eastAsiaTheme="majorEastAsia" w:cstheme="majorEastAsia"/>
          <w:b/>
          <w:bCs w:val="0"/>
          <w:sz w:val="24"/>
          <w:szCs w:val="24"/>
          <w:lang w:val="en-US" w:eastAsia="zh-CN"/>
        </w:rPr>
        <w:t xml:space="preserve">评分项</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
          <w:bCs w:val="0"/>
          <w:sz w:val="24"/>
          <w:szCs w:val="24"/>
          <w:lang w:val="en-US" w:eastAsia="zh-CN"/>
        </w:rPr>
        <w:t xml:space="preserve">总</w:t>
      </w:r>
      <w:r>
        <w:rPr>
          <w:rFonts w:hint="eastAsia" w:asciiTheme="majorEastAsia" w:hAnsiTheme="majorEastAsia" w:eastAsiaTheme="majorEastAsia" w:cstheme="majorEastAsia"/>
          <w:b/>
          <w:bCs w:val="0"/>
          <w:sz w:val="24"/>
          <w:szCs w:val="24"/>
        </w:rPr>
        <w:t xml:space="preserve">得分由高到低排列。</w:t>
      </w:r>
      <w:r/>
    </w:p>
    <w:p>
      <w:pPr>
        <w:ind w:firstLine="470"/>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rPr>
        <w:t xml:space="preserve">3、</w:t>
      </w:r>
      <w:r>
        <w:rPr>
          <w:rFonts w:hint="eastAsia" w:asciiTheme="majorEastAsia" w:hAnsiTheme="majorEastAsia" w:eastAsiaTheme="majorEastAsia" w:cstheme="majorEastAsia"/>
          <w:b/>
          <w:bCs w:val="0"/>
          <w:sz w:val="24"/>
          <w:szCs w:val="24"/>
          <w:highlight w:val="none"/>
          <w:lang w:val="en-US" w:eastAsia="zh-CN"/>
        </w:rPr>
        <w:t xml:space="preserve">评标委员会</w:t>
      </w:r>
      <w:r>
        <w:rPr>
          <w:rFonts w:hint="eastAsia" w:asciiTheme="majorEastAsia" w:hAnsiTheme="majorEastAsia" w:eastAsiaTheme="majorEastAsia" w:cstheme="majorEastAsia"/>
          <w:b/>
          <w:bCs w:val="0"/>
          <w:sz w:val="24"/>
          <w:szCs w:val="24"/>
          <w:highlight w:val="none"/>
        </w:rPr>
        <w:t xml:space="preserve">决定</w:t>
      </w:r>
      <w:bookmarkStart w:id="95" w:name="_Hlk45973460"/>
      <w:r>
        <w:rPr>
          <w:rFonts w:hint="eastAsia" w:asciiTheme="majorEastAsia" w:hAnsiTheme="majorEastAsia" w:eastAsiaTheme="majorEastAsia" w:cstheme="majorEastAsia"/>
          <w:b/>
          <w:bCs w:val="0"/>
          <w:sz w:val="24"/>
          <w:szCs w:val="24"/>
          <w:highlight w:val="none"/>
        </w:rPr>
        <w:t xml:space="preserve">响应</w:t>
      </w:r>
      <w:bookmarkEnd w:id="95"/>
      <w:r>
        <w:rPr>
          <w:rFonts w:hint="eastAsia" w:asciiTheme="majorEastAsia" w:hAnsiTheme="majorEastAsia" w:eastAsiaTheme="majorEastAsia" w:cstheme="majorEastAsia"/>
          <w:b/>
          <w:bCs w:val="0"/>
          <w:sz w:val="24"/>
          <w:szCs w:val="24"/>
          <w:highlight w:val="none"/>
        </w:rPr>
        <w:t xml:space="preserve">文件的响应性只根据响应文件本身的内容，而不寻求外部的证据。</w:t>
      </w:r>
      <w:r/>
    </w:p>
    <w:p>
      <w:pPr>
        <w:ind w:firstLine="470"/>
        <w:keepLines w:val="0"/>
        <w:keepNext w:val="0"/>
        <w:pageBreakBefore w:val="0"/>
        <w:spacing w:line="440" w:lineRule="exact"/>
        <w:widowControl w:val="off"/>
        <w:rPr>
          <w:rFonts w:hint="eastAsia" w:asciiTheme="majorEastAsia" w:hAnsiTheme="majorEastAsia" w:eastAsiaTheme="majorEastAsia" w:cstheme="majorEastAsia"/>
          <w:b/>
          <w:bCs w:val="0"/>
          <w:sz w:val="24"/>
          <w:szCs w:val="24"/>
          <w:highlight w:val="none"/>
        </w:rPr>
      </w:pPr>
      <w:r>
        <w:rPr>
          <w:rFonts w:hint="eastAsia" w:asciiTheme="majorEastAsia" w:hAnsiTheme="majorEastAsia" w:eastAsiaTheme="majorEastAsia" w:cstheme="majorEastAsia"/>
          <w:b/>
          <w:bCs w:val="0"/>
          <w:sz w:val="24"/>
          <w:szCs w:val="24"/>
          <w:highlight w:val="none"/>
          <w:lang w:val="en-US" w:eastAsia="zh-CN"/>
        </w:rPr>
        <w:t xml:space="preserve">4</w:t>
      </w:r>
      <w:r>
        <w:rPr>
          <w:rFonts w:hint="eastAsia" w:asciiTheme="majorEastAsia" w:hAnsiTheme="majorEastAsia" w:eastAsiaTheme="majorEastAsia" w:cstheme="majorEastAsia"/>
          <w:b/>
          <w:bCs w:val="0"/>
          <w:sz w:val="24"/>
          <w:szCs w:val="24"/>
          <w:highlight w:val="none"/>
        </w:rPr>
        <w:t xml:space="preserve">、对未成交的</w:t>
      </w:r>
      <w:bookmarkStart w:id="96" w:name="_Hlk45973615"/>
      <w:r>
        <w:rPr>
          <w:rFonts w:hint="eastAsia" w:asciiTheme="majorEastAsia" w:hAnsiTheme="majorEastAsia" w:eastAsiaTheme="majorEastAsia" w:cstheme="majorEastAsia"/>
          <w:b/>
          <w:bCs w:val="0"/>
          <w:sz w:val="24"/>
          <w:szCs w:val="24"/>
          <w:highlight w:val="none"/>
        </w:rPr>
        <w:t xml:space="preserve">供应商</w:t>
      </w:r>
      <w:bookmarkEnd w:id="96"/>
      <w:r>
        <w:rPr>
          <w:rFonts w:hint="eastAsia" w:asciiTheme="majorEastAsia" w:hAnsiTheme="majorEastAsia" w:eastAsiaTheme="majorEastAsia" w:cstheme="majorEastAsia"/>
          <w:b/>
          <w:bCs w:val="0"/>
          <w:sz w:val="24"/>
          <w:szCs w:val="24"/>
          <w:highlight w:val="none"/>
        </w:rPr>
        <w:t xml:space="preserve">，采购人有权不作任何解释。</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sz w:val="24"/>
          <w:szCs w:val="24"/>
          <w:highlight w:val="none"/>
          <w:lang w:eastAsia="zh-CN"/>
        </w:rPr>
      </w:pPr>
      <w:r>
        <w:rPr>
          <w:rFonts w:hint="eastAsia" w:asciiTheme="majorEastAsia" w:hAnsiTheme="majorEastAsia" w:eastAsiaTheme="majorEastAsia" w:cstheme="majorEastAsia"/>
          <w:b/>
          <w:bCs w:val="0"/>
          <w:color w:val="000000"/>
          <w:sz w:val="24"/>
          <w:szCs w:val="24"/>
          <w:highlight w:val="none"/>
          <w:lang w:val="en-US" w:eastAsia="zh-CN"/>
        </w:rPr>
        <w:t xml:space="preserve">5、</w:t>
      </w:r>
      <w:r>
        <w:rPr>
          <w:rFonts w:hint="eastAsia" w:asciiTheme="majorEastAsia" w:hAnsiTheme="majorEastAsia" w:eastAsiaTheme="majorEastAsia" w:cstheme="majorEastAsia"/>
          <w:b/>
          <w:bCs w:val="0"/>
          <w:color w:val="000000"/>
          <w:sz w:val="24"/>
          <w:szCs w:val="24"/>
          <w:highlight w:val="none"/>
        </w:rPr>
        <w:t xml:space="preserve">本项目推选三名中标候选人，</w:t>
      </w:r>
      <w:r>
        <w:rPr>
          <w:rFonts w:hint="eastAsia" w:asciiTheme="majorEastAsia" w:hAnsiTheme="majorEastAsia" w:eastAsiaTheme="majorEastAsia" w:cstheme="majorEastAsia"/>
          <w:b/>
          <w:bCs w:val="0"/>
          <w:sz w:val="24"/>
          <w:szCs w:val="24"/>
          <w:highlight w:val="none"/>
        </w:rPr>
        <w:t xml:space="preserve">第一中标候选人为</w:t>
      </w:r>
      <w:r>
        <w:rPr>
          <w:rFonts w:hint="eastAsia" w:asciiTheme="majorEastAsia" w:hAnsiTheme="majorEastAsia" w:eastAsiaTheme="majorEastAsia" w:cstheme="majorEastAsia"/>
          <w:b/>
          <w:bCs w:val="0"/>
          <w:color w:val="000000"/>
          <w:sz w:val="24"/>
          <w:szCs w:val="24"/>
          <w:highlight w:val="none"/>
        </w:rPr>
        <w:t xml:space="preserve">首席</w:t>
      </w:r>
      <w:r>
        <w:rPr>
          <w:rFonts w:hint="eastAsia" w:asciiTheme="majorEastAsia" w:hAnsiTheme="majorEastAsia" w:eastAsiaTheme="majorEastAsia" w:cstheme="majorEastAsia"/>
          <w:b/>
          <w:bCs w:val="0"/>
          <w:color w:val="000000"/>
          <w:sz w:val="24"/>
          <w:szCs w:val="24"/>
          <w:highlight w:val="none"/>
          <w:lang w:eastAsia="zh-CN"/>
        </w:rPr>
        <w:t xml:space="preserve">保险人</w:t>
      </w:r>
      <w:r>
        <w:rPr>
          <w:rFonts w:hint="eastAsia" w:asciiTheme="majorEastAsia" w:hAnsiTheme="majorEastAsia" w:eastAsiaTheme="majorEastAsia" w:cstheme="majorEastAsia"/>
          <w:b/>
          <w:bCs w:val="0"/>
          <w:color w:val="000000"/>
          <w:sz w:val="24"/>
          <w:szCs w:val="24"/>
          <w:highlight w:val="none"/>
        </w:rPr>
        <w:t xml:space="preserve">，</w:t>
      </w:r>
      <w:bookmarkStart w:id="97" w:name="_Hlk135665080"/>
      <w:r>
        <w:rPr>
          <w:rFonts w:hint="eastAsia" w:asciiTheme="majorEastAsia" w:hAnsiTheme="majorEastAsia" w:eastAsiaTheme="majorEastAsia" w:cstheme="majorEastAsia"/>
          <w:b/>
          <w:bCs w:val="0"/>
          <w:color w:val="000000"/>
          <w:sz w:val="24"/>
          <w:szCs w:val="24"/>
          <w:highlight w:val="none"/>
        </w:rPr>
        <w:t xml:space="preserve">第二中标候选人、第三中标候选人</w:t>
      </w:r>
      <w:bookmarkEnd w:id="97"/>
      <w:r>
        <w:rPr>
          <w:rFonts w:hint="eastAsia" w:asciiTheme="majorEastAsia" w:hAnsiTheme="majorEastAsia" w:eastAsiaTheme="majorEastAsia" w:cstheme="majorEastAsia"/>
          <w:b/>
          <w:bCs w:val="0"/>
          <w:color w:val="000000"/>
          <w:sz w:val="24"/>
          <w:szCs w:val="24"/>
          <w:highlight w:val="none"/>
        </w:rPr>
        <w:t xml:space="preserve">顺次为本项目其他二名共保人</w:t>
      </w:r>
      <w:r>
        <w:rPr>
          <w:rFonts w:hint="eastAsia" w:asciiTheme="majorEastAsia" w:hAnsiTheme="majorEastAsia" w:eastAsiaTheme="majorEastAsia" w:cstheme="majorEastAsia"/>
          <w:b/>
          <w:bCs w:val="0"/>
          <w:color w:val="000000"/>
          <w:sz w:val="24"/>
          <w:szCs w:val="24"/>
          <w:highlight w:val="none"/>
          <w:lang w:eastAsia="zh-CN"/>
        </w:rPr>
        <w:t xml:space="preserve">。</w:t>
      </w:r>
      <w:r>
        <w:rPr>
          <w:rFonts w:hint="eastAsia" w:asciiTheme="majorEastAsia" w:hAnsiTheme="majorEastAsia" w:eastAsiaTheme="majorEastAsia" w:cstheme="majorEastAsia"/>
          <w:b/>
          <w:bCs w:val="0"/>
          <w:sz w:val="24"/>
          <w:szCs w:val="24"/>
        </w:rPr>
        <w:t xml:space="preserve">承保比例分别为</w:t>
      </w:r>
      <w:r>
        <w:rPr>
          <w:rFonts w:hint="eastAsia" w:asciiTheme="majorEastAsia" w:hAnsiTheme="majorEastAsia" w:eastAsiaTheme="majorEastAsia" w:cstheme="majorEastAsia"/>
          <w:b/>
          <w:bCs w:val="0"/>
          <w:sz w:val="24"/>
          <w:szCs w:val="24"/>
          <w:highlight w:val="none"/>
        </w:rPr>
        <w:t xml:space="preserve">第一中标候选人</w:t>
      </w:r>
      <w:r>
        <w:rPr>
          <w:rFonts w:hint="eastAsia" w:asciiTheme="majorEastAsia" w:hAnsiTheme="majorEastAsia" w:eastAsiaTheme="majorEastAsia" w:cstheme="majorEastAsia"/>
          <w:b/>
          <w:bCs w:val="0"/>
          <w:sz w:val="24"/>
          <w:szCs w:val="24"/>
          <w:lang w:val="en-US" w:eastAsia="zh-CN"/>
        </w:rPr>
        <w:t xml:space="preserve">40</w:t>
      </w:r>
      <w:r>
        <w:rPr>
          <w:rFonts w:hint="eastAsia" w:asciiTheme="majorEastAsia" w:hAnsiTheme="majorEastAsia" w:eastAsiaTheme="majorEastAsia" w:cstheme="majorEastAsia"/>
          <w:b/>
          <w:bCs w:val="0"/>
          <w:sz w:val="24"/>
          <w:szCs w:val="24"/>
        </w:rPr>
        <w:t xml:space="preserve">%、</w:t>
      </w:r>
      <w:r>
        <w:rPr>
          <w:rFonts w:hint="eastAsia" w:asciiTheme="majorEastAsia" w:hAnsiTheme="majorEastAsia" w:eastAsiaTheme="majorEastAsia" w:cstheme="majorEastAsia"/>
          <w:b/>
          <w:bCs w:val="0"/>
          <w:sz w:val="24"/>
          <w:szCs w:val="24"/>
          <w:highlight w:val="none"/>
        </w:rPr>
        <w:t xml:space="preserve">第</w:t>
      </w:r>
      <w:r>
        <w:rPr>
          <w:rFonts w:hint="eastAsia" w:asciiTheme="majorEastAsia" w:hAnsiTheme="majorEastAsia" w:eastAsiaTheme="majorEastAsia" w:cstheme="majorEastAsia"/>
          <w:b/>
          <w:bCs w:val="0"/>
          <w:sz w:val="24"/>
          <w:szCs w:val="24"/>
          <w:highlight w:val="none"/>
          <w:lang w:val="en-US" w:eastAsia="zh-CN"/>
        </w:rPr>
        <w:t xml:space="preserve">二</w:t>
      </w:r>
      <w:r>
        <w:rPr>
          <w:rFonts w:hint="eastAsia" w:asciiTheme="majorEastAsia" w:hAnsiTheme="majorEastAsia" w:eastAsiaTheme="majorEastAsia" w:cstheme="majorEastAsia"/>
          <w:b/>
          <w:bCs w:val="0"/>
          <w:sz w:val="24"/>
          <w:szCs w:val="24"/>
          <w:highlight w:val="none"/>
        </w:rPr>
        <w:t xml:space="preserve">中标候选人</w:t>
      </w:r>
      <w:r>
        <w:rPr>
          <w:rFonts w:hint="eastAsia" w:asciiTheme="majorEastAsia" w:hAnsiTheme="majorEastAsia" w:eastAsiaTheme="majorEastAsia" w:cstheme="majorEastAsia"/>
          <w:b/>
          <w:bCs w:val="0"/>
          <w:sz w:val="24"/>
          <w:szCs w:val="24"/>
          <w:lang w:val="en-US" w:eastAsia="zh-CN"/>
        </w:rPr>
        <w:t xml:space="preserve">40</w:t>
      </w:r>
      <w:r>
        <w:rPr>
          <w:rFonts w:hint="eastAsia" w:asciiTheme="majorEastAsia" w:hAnsiTheme="majorEastAsia" w:eastAsiaTheme="majorEastAsia" w:cstheme="majorEastAsia"/>
          <w:b/>
          <w:bCs w:val="0"/>
          <w:sz w:val="24"/>
          <w:szCs w:val="24"/>
        </w:rPr>
        <w:t xml:space="preserve">%、</w:t>
      </w:r>
      <w:r>
        <w:rPr>
          <w:rFonts w:hint="eastAsia" w:asciiTheme="majorEastAsia" w:hAnsiTheme="majorEastAsia" w:eastAsiaTheme="majorEastAsia" w:cstheme="majorEastAsia"/>
          <w:b/>
          <w:bCs w:val="0"/>
          <w:sz w:val="24"/>
          <w:szCs w:val="24"/>
          <w:highlight w:val="none"/>
        </w:rPr>
        <w:t xml:space="preserve">第一中标候选人</w:t>
      </w:r>
      <w:r>
        <w:rPr>
          <w:rFonts w:hint="eastAsia" w:asciiTheme="majorEastAsia" w:hAnsiTheme="majorEastAsia" w:eastAsiaTheme="majorEastAsia" w:cstheme="majorEastAsia"/>
          <w:b/>
          <w:bCs w:val="0"/>
          <w:sz w:val="24"/>
          <w:szCs w:val="24"/>
          <w:lang w:val="en-US" w:eastAsia="zh-CN"/>
        </w:rPr>
        <w:t xml:space="preserve">20</w:t>
      </w:r>
      <w:r>
        <w:rPr>
          <w:rFonts w:hint="eastAsia" w:asciiTheme="majorEastAsia" w:hAnsiTheme="majorEastAsia" w:eastAsiaTheme="majorEastAsia" w:cstheme="majorEastAsia"/>
          <w:b/>
          <w:bCs w:val="0"/>
          <w:sz w:val="24"/>
          <w:szCs w:val="24"/>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6、</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最终</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限额以首席保险人的</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保费报价</w:t>
      </w:r>
      <w:r>
        <w:rPr>
          <w:rFonts w:hint="eastAsia" w:asciiTheme="majorEastAsia" w:hAnsiTheme="majorEastAsia" w:eastAsiaTheme="majorEastAsia" w:cstheme="majorEastAsia"/>
          <w:b/>
          <w:bCs w:val="0"/>
          <w:color w:val="000000" w:themeColor="text1"/>
          <w:sz w:val="24"/>
          <w:szCs w:val="24"/>
          <w:highlight w:val="none"/>
          <w:lang w:eastAsia="en-US"/>
          <w14:textFill>
            <w14:solidFill>
              <w14:schemeClr w14:val="tx1"/>
            </w14:solidFill>
          </w14:textFill>
        </w:rPr>
        <w:t xml:space="preserve">为准</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如出现本项目</w:t>
      </w:r>
      <w:bookmarkStart w:id="98" w:name="_Hlk135665282"/>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共保人</w:t>
      </w:r>
      <w:bookmarkEnd w:id="98"/>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不认同首席</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保险人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投标时</w:t>
      </w:r>
      <w:r>
        <w:rPr>
          <w:rFonts w:hint="eastAsia" w:asciiTheme="majorEastAsia" w:hAnsiTheme="majorEastAsia" w:eastAsiaTheme="majorEastAsia" w:cstheme="majorEastAsia"/>
          <w:b/>
          <w:bCs w:val="0"/>
          <w:color w:val="000000" w:themeColor="text1"/>
          <w:sz w:val="24"/>
          <w:szCs w:val="24"/>
          <w:highlight w:val="none"/>
          <w:lang w:val="en-US" w:eastAsia="zh-CN"/>
          <w14:textFill>
            <w14:solidFill>
              <w14:schemeClr w14:val="tx1"/>
            </w14:solidFill>
          </w14:textFill>
        </w:rPr>
        <w:t xml:space="preserve">保费报价</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，则</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采购人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有权取消其共保人中标候选人资格，</w:t>
      </w:r>
      <w:r>
        <w:rPr>
          <w:rFonts w:hint="eastAsia" w:asciiTheme="majorEastAsia" w:hAnsiTheme="majorEastAsia" w:eastAsiaTheme="majorEastAsia" w:cstheme="majorEastAsia"/>
          <w:b/>
          <w:bCs w:val="0"/>
          <w:color w:val="000000" w:themeColor="text1"/>
          <w:sz w:val="24"/>
          <w:szCs w:val="24"/>
          <w:highlight w:val="none"/>
          <w:lang w:eastAsia="zh-CN"/>
          <w14:textFill>
            <w14:solidFill>
              <w14:schemeClr w14:val="tx1"/>
            </w14:solidFill>
          </w14:textFill>
        </w:rPr>
        <w:t xml:space="preserve">采购人</w:t>
      </w:r>
      <w:r>
        <w:rPr>
          <w:rFonts w:hint="eastAsia" w:asciiTheme="majorEastAsia" w:hAnsiTheme="majorEastAsia" w:eastAsiaTheme="majorEastAsia" w:cstheme="majorEastAsia"/>
          <w:b/>
          <w:bCs w:val="0"/>
          <w:color w:val="000000" w:themeColor="text1"/>
          <w:sz w:val="24"/>
          <w:szCs w:val="24"/>
          <w:highlight w:val="none"/>
          <w14:textFill>
            <w14:solidFill>
              <w14:schemeClr w14:val="tx1"/>
            </w14:solidFill>
          </w14:textFill>
        </w:rPr>
        <w:t xml:space="preserve">将推荐顺次排名的投标人为本项目其他二名共保人，依次类推。</w:t>
      </w:r>
      <w:r/>
    </w:p>
    <w:p>
      <w:pPr>
        <w:ind w:firstLine="482"/>
        <w:keepLines w:val="0"/>
        <w:keepNext w:val="0"/>
        <w:pageBreakBefore w:val="0"/>
        <w:spacing w:line="440" w:lineRule="exact"/>
        <w:widowControl/>
        <w:rPr>
          <w:b/>
          <w:bCs/>
          <w:sz w:val="24"/>
          <w:szCs w:val="24"/>
        </w:rPr>
      </w:pPr>
      <w:r>
        <w:rPr>
          <w:rFonts w:hint="eastAsia"/>
          <w:b/>
          <w:bCs/>
          <w:sz w:val="24"/>
          <w:szCs w:val="24"/>
          <w:lang w:val="en-US" w:eastAsia="zh-CN"/>
        </w:rPr>
        <w:t xml:space="preserve">二、</w:t>
      </w:r>
      <w:r>
        <w:rPr>
          <w:b/>
          <w:bCs/>
          <w:sz w:val="24"/>
          <w:szCs w:val="24"/>
        </w:rPr>
        <w:t xml:space="preserve">政府采购政策功能落实</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（1）本项目对小型和微型企业产品给予20%的扣除价格，用扣除后的价格参与评审。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（2）供应商需按照采购文件的要求提供相应的《企业声明函》。</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72"/>
        <w:jc w:val="both"/>
        <w:keepLines w:val="0"/>
        <w:keepNext w:val="0"/>
        <w:pageBreakBefore w:val="0"/>
        <w:spacing w:before="0" w:after="0" w:line="440" w:lineRule="exact"/>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rPr>
        <w:t xml:space="preserve">（4）在货物采购项目中，供应商提供的货物既有中小企业制造货物，也有大型企业制造货物的，不享受本办法规定的中小企业扶持政策。</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（1）本项目对残疾人福利性单位视同小型、微型企业，给予20%的价格扣除，用扣除后的价格参与评审。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（1）本项目对监狱和戒毒企业（简称监狱企业）视同小型、微型企业，给予20%的价格扣除，用扣除后的价格参与评审。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w:t>
      </w:r>
      <w:r>
        <w:rPr>
          <w:rFonts w:ascii="宋体" w:hAnsi="宋体" w:eastAsia="宋体" w:cs="宋体"/>
          <w:color w:val="000000"/>
          <w:sz w:val="24"/>
        </w:rPr>
        <w:t xml:space="preserve">的价格扣除。</w:t>
      </w:r>
      <w:r/>
    </w:p>
    <w:p>
      <w:pPr>
        <w:ind w:left="0" w:right="0" w:firstLine="480"/>
        <w:jc w:val="both"/>
        <w:keepLines w:val="0"/>
        <w:keepNext w:val="0"/>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i/>
          <w:color w:val="000000"/>
          <w:sz w:val="24"/>
        </w:rPr>
        <w:t xml:space="preserve">如属政府强制采购产品未提供认证证书的或认证证书提供不全的将视为未实质性响应采购要求</w:t>
      </w:r>
      <w:r>
        <w:rPr>
          <w:rFonts w:ascii="宋体" w:hAnsi="宋体" w:eastAsia="宋体" w:cs="宋体"/>
          <w:i/>
          <w:color w:val="000000"/>
          <w:sz w:val="24"/>
        </w:rPr>
        <w:t xml:space="preserve">。</w:t>
      </w:r>
      <w:r>
        <w:rPr>
          <w:rFonts w:ascii="宋体" w:hAnsi="宋体" w:eastAsia="宋体" w:cs="宋体"/>
          <w:color w:val="000000"/>
          <w:sz w:val="24"/>
        </w:rPr>
        <w:t xml:space="preserve">其他条件相同情况下，应当优先采购节能产品、环境标志产品。</w:t>
      </w:r>
      <w:r/>
    </w:p>
    <w:p>
      <w:pPr>
        <w:ind w:firstLine="480"/>
        <w:keepLines w:val="0"/>
        <w:keepNext w:val="0"/>
        <w:pageBreakBefore w:val="0"/>
        <w:spacing w:line="440" w:lineRule="exact"/>
        <w:widowControl w:val="off"/>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40" w:lineRule="exact"/>
        <w:widowControl w:val="off"/>
        <w:rPr>
          <w:rFonts w:hint="eastAsia" w:ascii="宋体" w:hAnsi="宋体" w:cs="宋体"/>
          <w:color w:val="ff0000"/>
          <w:sz w:val="24"/>
        </w:rPr>
      </w:pPr>
      <w:r>
        <w:rPr>
          <w:rFonts w:hint="eastAsia" w:ascii="宋体" w:hAnsi="宋体" w:cs="宋体"/>
          <w:color w:val="ff0000"/>
          <w:sz w:val="24"/>
        </w:rPr>
        <w:t xml:space="preserve">9.本文件中若涉及数据中心采购，应按照《〈绿色数据中心政府采购需求标准（试行）〉的通知》（财库〔2023〕7号）执行。</w:t>
      </w:r>
      <w:r/>
    </w:p>
    <w:p>
      <w:pPr>
        <w:ind w:firstLine="482"/>
        <w:keepLines w:val="0"/>
        <w:keepNext w:val="0"/>
        <w:pageBreakBefore w:val="0"/>
        <w:spacing w:line="440" w:lineRule="exact"/>
        <w:rPr>
          <w:rFonts w:hint="eastAsia" w:ascii="宋体" w:hAnsi="宋体" w:eastAsia="宋体" w:cs="Courier New"/>
          <w:b/>
          <w:bCs/>
          <w:sz w:val="24"/>
          <w:szCs w:val="24"/>
          <w:lang w:eastAsia="zh-CN"/>
        </w:rPr>
      </w:pPr>
      <w:r>
        <w:rPr>
          <w:rFonts w:hint="eastAsia" w:ascii="宋体" w:hAnsi="宋体" w:cs="Courier New"/>
          <w:b/>
          <w:bCs/>
          <w:sz w:val="24"/>
          <w:szCs w:val="24"/>
          <w:lang w:val="en-US" w:eastAsia="zh-CN"/>
        </w:rPr>
        <w:t xml:space="preserve">三</w:t>
      </w:r>
      <w:r>
        <w:rPr>
          <w:rFonts w:hint="eastAsia" w:ascii="宋体" w:hAnsi="宋体" w:eastAsia="宋体" w:cs="Courier New"/>
          <w:b/>
          <w:bCs/>
          <w:sz w:val="24"/>
          <w:szCs w:val="24"/>
        </w:rPr>
        <w:t xml:space="preserve">、评标标准</w:t>
      </w:r>
      <w:r>
        <w:rPr>
          <w:rFonts w:hint="eastAsia" w:ascii="宋体" w:hAnsi="宋体" w:eastAsia="宋体" w:cs="Courier New"/>
          <w:b/>
          <w:bCs/>
          <w:sz w:val="24"/>
          <w:szCs w:val="24"/>
          <w:lang w:eastAsia="zh-CN"/>
        </w:rPr>
        <w:t xml:space="preserve">：</w:t>
      </w:r>
      <w:r/>
    </w:p>
    <w:tbl>
      <w:tblPr>
        <w:tblStyle w:val="934"/>
        <w:tblW w:w="9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68"/>
        <w:gridCol w:w="1170"/>
        <w:gridCol w:w="6579"/>
      </w:tblGrid>
      <w:tr>
        <w:trPr>
          <w:trHeight w:val="90"/>
        </w:trPr>
        <w:tc>
          <w:tcPr>
            <w:tcMar>
              <w:left w:w="0" w:type="dxa"/>
              <w:top w:w="0" w:type="dxa"/>
              <w:right w:w="0" w:type="dxa"/>
              <w:bottom w:w="0" w:type="dxa"/>
            </w:tcMar>
            <w:tcW w:w="1468" w:type="dxa"/>
            <w:vAlign w:val="center"/>
            <w:textDirection w:val="lrTb"/>
            <w:noWrap/>
          </w:tcPr>
          <w:p>
            <w:pPr>
              <w:ind w:firstLine="240"/>
              <w:jc w:val="left"/>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评分项目</w:t>
            </w:r>
            <w:r/>
          </w:p>
        </w:tc>
        <w:tc>
          <w:tcPr>
            <w:tcMar>
              <w:left w:w="0" w:type="dxa"/>
              <w:top w:w="0" w:type="dxa"/>
              <w:right w:w="0" w:type="dxa"/>
              <w:bottom w:w="0" w:type="dxa"/>
            </w:tcMar>
            <w:tcW w:w="1170" w:type="dxa"/>
            <w:vAlign w:val="center"/>
            <w:textDirection w:val="lrTb"/>
            <w:noWrap/>
          </w:tcPr>
          <w:p>
            <w:pPr>
              <w:ind w:firstLine="240"/>
              <w:jc w:val="left"/>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满分值</w:t>
            </w:r>
            <w:r/>
          </w:p>
        </w:tc>
        <w:tc>
          <w:tcPr>
            <w:tcMar>
              <w:left w:w="0" w:type="dxa"/>
              <w:top w:w="0" w:type="dxa"/>
              <w:right w:w="0" w:type="dxa"/>
              <w:bottom w:w="0" w:type="dxa"/>
            </w:tcMar>
            <w:tcW w:w="6579" w:type="dxa"/>
            <w:vAlign w:val="center"/>
            <w:textDirection w:val="lrTb"/>
            <w:noWrap/>
          </w:tcPr>
          <w:p>
            <w:pPr>
              <w:ind w:firstLine="480"/>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评分标准</w:t>
            </w:r>
            <w:r/>
          </w:p>
        </w:tc>
      </w:tr>
      <w:tr>
        <w:trPr>
          <w:trHeight w:val="71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保费报价评分</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cs="宋体"/>
                <w:b/>
                <w:bCs w:val="0"/>
                <w:color w:val="000000"/>
                <w:sz w:val="24"/>
                <w:szCs w:val="24"/>
                <w:lang w:val="en-US" w:eastAsia="zh-CN"/>
              </w:rPr>
              <w:t xml:space="preserve">3</w:t>
            </w:r>
            <w:r>
              <w:rPr>
                <w:rFonts w:hint="eastAsia" w:ascii="宋体" w:hAnsi="宋体" w:eastAsia="宋体" w:cs="宋体"/>
                <w:b/>
                <w:bCs w:val="0"/>
                <w:color w:val="000000"/>
                <w:sz w:val="24"/>
                <w:szCs w:val="24"/>
              </w:rPr>
              <w:t xml:space="preserve">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本项总分为30分，其中医疗责任保险报价满分为25分，需投标人报价的基础保险费共有</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项，每一项满分为25/</w:t>
            </w: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分。公众责任保险报价满分为5分，需投标人报价的基础保险费共有</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项，每一项满分为5/</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分。</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所有投标人每一档保费报价的最低价作为基准价；每一档投标人保费报价得分按照下列公式确定：</w:t>
            </w:r>
            <w:r/>
          </w:p>
          <w:p>
            <w:pPr>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每一档报价得分=（每一档投标人报价基准价/每一档投标人保费报价）*每一档报价满分</w:t>
            </w:r>
            <w:r>
              <w:rPr>
                <w:rFonts w:hint="eastAsia" w:ascii="宋体" w:hAnsi="宋体" w:cs="宋体"/>
                <w:b/>
                <w:bCs/>
                <w:sz w:val="24"/>
                <w:szCs w:val="24"/>
                <w:lang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b/>
                <w:bCs/>
                <w:sz w:val="24"/>
                <w:szCs w:val="24"/>
              </w:rPr>
              <w:outlineLvl w:val="1"/>
            </w:pPr>
            <w:r>
              <w:rPr>
                <w:rFonts w:hint="eastAsia" w:ascii="宋体" w:hAnsi="宋体" w:cs="宋体"/>
                <w:b/>
                <w:bCs/>
                <w:sz w:val="24"/>
                <w:szCs w:val="24"/>
                <w:lang w:val="en-US" w:eastAsia="zh-CN"/>
              </w:rPr>
              <w:t xml:space="preserve">注：1、</w:t>
            </w:r>
            <w:r>
              <w:rPr>
                <w:rFonts w:hint="eastAsia" w:ascii="宋体" w:hAnsi="宋体" w:eastAsia="宋体" w:cs="宋体"/>
                <w:b/>
                <w:bCs/>
                <w:sz w:val="24"/>
                <w:szCs w:val="24"/>
              </w:rPr>
              <w:t xml:space="preserve">投标人报价总得分为</w:t>
            </w:r>
            <w:r>
              <w:rPr>
                <w:rFonts w:hint="eastAsia" w:ascii="宋体" w:hAnsi="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项</w:t>
            </w:r>
            <w:r>
              <w:rPr>
                <w:rFonts w:hint="eastAsia" w:ascii="宋体" w:hAnsi="宋体" w:eastAsia="宋体" w:cs="宋体"/>
                <w:b/>
                <w:bCs/>
                <w:sz w:val="24"/>
                <w:szCs w:val="24"/>
              </w:rPr>
              <w:t xml:space="preserve">得分总和。</w:t>
            </w:r>
            <w:r/>
          </w:p>
          <w:p>
            <w:pPr>
              <w:numPr>
                <w:ilvl w:val="0"/>
                <w:numId w:val="0"/>
              </w:numPr>
              <w:ind w:firstLine="482"/>
              <w:jc w:val="left"/>
              <w:keepLines w:val="0"/>
              <w:keepNext w:val="0"/>
              <w:pageBreakBefore w:val="0"/>
              <w:spacing w:line="440" w:lineRule="exact"/>
              <w:widowControl w:val="off"/>
              <w:rPr>
                <w:rFonts w:hint="eastAsia" w:ascii="宋体" w:hAnsi="宋体" w:eastAsia="宋体" w:cs="宋体"/>
                <w:b/>
                <w:bCs w:val="0"/>
                <w:color w:val="000000"/>
                <w:sz w:val="24"/>
                <w:szCs w:val="24"/>
              </w:rPr>
              <w:outlineLvl w:val="1"/>
            </w:pPr>
            <w:r>
              <w:rPr>
                <w:rFonts w:hint="eastAsia" w:ascii="宋体" w:hAnsi="宋体" w:eastAsia="宋体" w:cs="宋体"/>
                <w:b/>
                <w:bCs/>
                <w:sz w:val="24"/>
                <w:szCs w:val="24"/>
                <w:u w:val="none"/>
                <w:lang w:val="en-US" w:eastAsia="zh-CN"/>
              </w:rPr>
              <w:t xml:space="preserve">2、本项目</w:t>
            </w:r>
            <w:r>
              <w:rPr>
                <w:rFonts w:hint="eastAsia" w:ascii="宋体" w:hAnsi="宋体" w:cs="宋体"/>
                <w:b/>
                <w:bCs/>
                <w:sz w:val="24"/>
                <w:szCs w:val="24"/>
                <w:u w:val="none"/>
                <w:lang w:val="en-US" w:eastAsia="zh-CN"/>
              </w:rPr>
              <w:t xml:space="preserve">采购人</w:t>
            </w:r>
            <w:r>
              <w:rPr>
                <w:rFonts w:hint="eastAsia" w:ascii="宋体" w:hAnsi="宋体" w:eastAsia="宋体" w:cs="宋体"/>
                <w:b/>
                <w:bCs/>
                <w:sz w:val="24"/>
                <w:szCs w:val="24"/>
                <w:u w:val="none"/>
                <w:lang w:val="en-US" w:eastAsia="zh-CN"/>
              </w:rPr>
              <w:t xml:space="preserve">设定保费报价限价详见本项目招标文件第四章采购需求中</w:t>
            </w:r>
            <w:r>
              <w:rPr>
                <w:rFonts w:hint="eastAsia" w:ascii="Times New Roman" w:hAnsi="Times New Roman" w:eastAsia="宋体" w:cs="Times New Roman"/>
                <w:b/>
                <w:bCs/>
                <w:sz w:val="24"/>
                <w:szCs w:val="24"/>
                <w:u w:val="none"/>
                <w:lang w:val="en-US" w:eastAsia="zh-CN"/>
              </w:rPr>
              <w:t xml:space="preserve">限价费率</w:t>
            </w:r>
            <w:r>
              <w:rPr>
                <w:rFonts w:hint="eastAsia" w:ascii="Times New Roman" w:hAnsi="Times New Roman" w:eastAsia="宋体" w:cs="Times New Roman"/>
                <w:b/>
                <w:bCs/>
                <w:sz w:val="24"/>
                <w:szCs w:val="24"/>
                <w:u w:val="none"/>
              </w:rPr>
              <w:t xml:space="preserve">一览表</w:t>
            </w:r>
            <w:r>
              <w:rPr>
                <w:rFonts w:hint="eastAsia" w:ascii="宋体" w:hAnsi="宋体" w:eastAsia="宋体" w:cs="宋体"/>
                <w:b/>
                <w:bCs/>
                <w:sz w:val="24"/>
                <w:szCs w:val="24"/>
                <w:u w:val="none"/>
                <w:lang w:val="en-US" w:eastAsia="zh-CN"/>
              </w:rPr>
              <w:t xml:space="preserve">，超过最高限价的</w:t>
            </w:r>
            <w:r>
              <w:rPr>
                <w:rFonts w:hint="eastAsia" w:ascii="宋体" w:hAnsi="宋体" w:eastAsia="宋体" w:cs="宋体"/>
                <w:b/>
                <w:bCs/>
                <w:sz w:val="24"/>
                <w:szCs w:val="24"/>
                <w:u w:val="none"/>
              </w:rPr>
              <w:t xml:space="preserve">报价</w:t>
            </w:r>
            <w:r>
              <w:rPr>
                <w:rFonts w:hint="eastAsia" w:ascii="宋体" w:hAnsi="宋体" w:eastAsia="宋体" w:cs="宋体"/>
                <w:b/>
                <w:bCs/>
                <w:sz w:val="24"/>
                <w:szCs w:val="24"/>
                <w:u w:val="none"/>
                <w:lang w:val="en-US" w:eastAsia="zh-CN"/>
              </w:rPr>
              <w:t xml:space="preserve">作</w:t>
            </w:r>
            <w:r>
              <w:rPr>
                <w:rFonts w:hint="eastAsia" w:ascii="宋体" w:hAnsi="宋体" w:eastAsia="宋体" w:cs="宋体"/>
                <w:b/>
                <w:bCs/>
                <w:sz w:val="24"/>
                <w:szCs w:val="24"/>
                <w:u w:val="none"/>
              </w:rPr>
              <w:t xml:space="preserve">无效标处理</w:t>
            </w:r>
            <w:r>
              <w:rPr>
                <w:rFonts w:hint="eastAsia" w:ascii="宋体" w:hAnsi="宋体" w:eastAsia="宋体" w:cs="宋体"/>
                <w:b/>
                <w:bCs/>
                <w:sz w:val="24"/>
                <w:szCs w:val="24"/>
                <w:u w:val="none"/>
                <w:lang w:eastAsia="zh-CN"/>
              </w:rPr>
              <w:t xml:space="preserve">。</w:t>
            </w:r>
            <w:r/>
          </w:p>
        </w:tc>
      </w:tr>
      <w:tr>
        <w:trPr>
          <w:trHeight w:val="4423"/>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val="0"/>
                <w:color w:val="000000"/>
                <w:sz w:val="24"/>
                <w:szCs w:val="24"/>
              </w:rPr>
            </w:pPr>
            <w:r>
              <w:rPr>
                <w:rFonts w:hint="eastAsia" w:ascii="宋体" w:hAnsi="宋体" w:eastAsia="宋体" w:cs="宋体"/>
                <w:b/>
                <w:bCs/>
                <w:sz w:val="24"/>
                <w:szCs w:val="24"/>
              </w:rPr>
              <w:t xml:space="preserve">投标人资信</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hint="default" w:ascii="宋体" w:hAnsi="宋体" w:eastAsia="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20分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风险综合评级为A级的得10分，风险综合评级为B级的得8分，风险综合评级为C级得6分，</w:t>
            </w:r>
            <w:r>
              <w:rPr>
                <w:rFonts w:hint="eastAsia" w:ascii="宋体" w:hAnsi="宋体" w:eastAsia="宋体" w:cs="宋体"/>
                <w:b/>
                <w:bCs/>
                <w:sz w:val="24"/>
                <w:szCs w:val="24"/>
              </w:rPr>
              <w:t xml:space="preserve">风险综合评级为C级以下的得4分。（</w:t>
            </w:r>
            <w:r>
              <w:rPr>
                <w:rFonts w:hint="eastAsia" w:ascii="宋体" w:hAnsi="宋体" w:eastAsia="宋体" w:cs="宋体"/>
                <w:b/>
                <w:bCs/>
                <w:sz w:val="24"/>
                <w:szCs w:val="24"/>
                <w:lang w:val="en-US" w:eastAsia="zh-CN"/>
              </w:rPr>
              <w:t xml:space="preserve">投标人投标时提供</w:t>
            </w:r>
            <w:r>
              <w:rPr>
                <w:rFonts w:hint="eastAsia" w:ascii="宋体" w:hAnsi="宋体" w:eastAsia="宋体" w:cs="宋体"/>
                <w:b/>
                <w:bCs/>
                <w:sz w:val="24"/>
                <w:szCs w:val="24"/>
              </w:rPr>
              <w:t xml:space="preserve">在保险公司网站</w:t>
            </w:r>
            <w:r>
              <w:rPr>
                <w:rFonts w:hint="eastAsia" w:ascii="宋体" w:hAnsi="宋体" w:eastAsia="宋体" w:cs="宋体"/>
                <w:b/>
                <w:bCs/>
                <w:sz w:val="24"/>
                <w:szCs w:val="24"/>
                <w:lang w:val="en-US" w:eastAsia="zh-CN"/>
              </w:rPr>
              <w:t xml:space="preserve">或</w:t>
            </w:r>
            <w:r>
              <w:rPr>
                <w:rFonts w:hint="eastAsia" w:ascii="宋体" w:hAnsi="宋体" w:eastAsia="宋体" w:cs="宋体"/>
                <w:b/>
                <w:bCs/>
                <w:sz w:val="24"/>
                <w:szCs w:val="24"/>
              </w:rPr>
              <w:t xml:space="preserve">国家金融监管总局指定的媒介上发布的</w:t>
            </w:r>
            <w:bookmarkStart w:id="99" w:name="OLE_LINK5"/>
            <w:r>
              <w:rPr>
                <w:rFonts w:hint="eastAsia" w:ascii="宋体" w:hAnsi="宋体" w:eastAsia="宋体" w:cs="宋体"/>
                <w:b/>
                <w:bCs/>
                <w:sz w:val="24"/>
                <w:szCs w:val="24"/>
              </w:rPr>
              <w:t xml:space="preserve">2024年度第四季度的风险综合评级</w:t>
            </w:r>
            <w:bookmarkEnd w:id="99"/>
            <w:r>
              <w:rPr>
                <w:rFonts w:hint="eastAsia" w:ascii="宋体" w:hAnsi="宋体" w:eastAsia="宋体" w:cs="宋体"/>
                <w:b/>
                <w:bCs/>
                <w:sz w:val="24"/>
                <w:szCs w:val="24"/>
              </w:rPr>
              <w:t xml:space="preserve">为准的截屏</w:t>
            </w:r>
            <w:r>
              <w:rPr>
                <w:rFonts w:hint="eastAsia" w:ascii="宋体" w:hAnsi="宋体" w:eastAsia="宋体" w:cs="宋体"/>
                <w:b/>
                <w:bCs/>
                <w:sz w:val="24"/>
                <w:szCs w:val="24"/>
                <w:lang w:val="en-US" w:eastAsia="zh-CN"/>
              </w:rPr>
              <w:t xml:space="preserve">扫描件</w:t>
            </w:r>
            <w:r>
              <w:rPr>
                <w:rFonts w:hint="eastAsia" w:ascii="宋体" w:hAnsi="宋体" w:eastAsia="宋体" w:cs="宋体"/>
                <w:b/>
                <w:bCs/>
                <w:sz w:val="24"/>
                <w:szCs w:val="24"/>
              </w:rPr>
              <w:t xml:space="preserve">，未提供</w:t>
            </w:r>
            <w:r>
              <w:rPr>
                <w:rFonts w:hint="eastAsia" w:ascii="宋体" w:hAnsi="宋体" w:eastAsia="宋体" w:cs="宋体"/>
                <w:b/>
                <w:bCs/>
                <w:sz w:val="24"/>
                <w:szCs w:val="24"/>
                <w:lang w:val="en-US" w:eastAsia="zh-CN"/>
              </w:rPr>
              <w:t xml:space="preserve">或提供的证明材料不符合本项要求的</w:t>
            </w:r>
            <w:r>
              <w:rPr>
                <w:rFonts w:hint="eastAsia" w:ascii="宋体" w:hAnsi="宋体" w:eastAsia="宋体" w:cs="宋体"/>
                <w:b/>
                <w:bCs/>
                <w:sz w:val="24"/>
                <w:szCs w:val="24"/>
              </w:rPr>
              <w:t xml:space="preserve">不得分）</w:t>
            </w:r>
            <w:r>
              <w:rPr>
                <w:rFonts w:hint="eastAsia" w:ascii="宋体" w:hAnsi="宋体" w:eastAsia="宋体" w:cs="宋体"/>
                <w:b/>
                <w:bCs/>
                <w:sz w:val="24"/>
                <w:szCs w:val="24"/>
              </w:rPr>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综合偿付能力充足率达到200%（含）以上的得10分，180%（含）-200%得8分，150%（含）-180%得6分，150%以下得0分。</w:t>
            </w:r>
            <w:r/>
          </w:p>
          <w:p>
            <w:pPr>
              <w:pStyle w:val="945"/>
              <w:keepLines w:val="0"/>
              <w:keepNext w:val="0"/>
              <w:pageBreakBefore w:val="0"/>
              <w:spacing w:line="440" w:lineRule="exact"/>
              <w:rPr>
                <w:rFonts w:hint="eastAsia"/>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投标人投标时</w:t>
            </w:r>
            <w:r>
              <w:rPr>
                <w:rFonts w:hint="eastAsia" w:ascii="宋体" w:hAnsi="宋体" w:eastAsia="宋体" w:cs="宋体"/>
                <w:b/>
                <w:bCs/>
                <w:sz w:val="24"/>
                <w:szCs w:val="24"/>
              </w:rPr>
              <w:t xml:space="preserve">投标人202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年第二季度</w:t>
            </w:r>
            <w:r>
              <w:rPr>
                <w:rFonts w:hint="eastAsia" w:ascii="宋体" w:hAnsi="宋体" w:eastAsia="宋体" w:cs="宋体"/>
                <w:b/>
                <w:bCs/>
                <w:sz w:val="24"/>
                <w:szCs w:val="24"/>
                <w:lang w:val="en-US" w:eastAsia="zh-CN"/>
              </w:rPr>
              <w:t xml:space="preserve">或以后</w:t>
            </w:r>
            <w:r>
              <w:rPr>
                <w:rFonts w:hint="eastAsia" w:ascii="宋体" w:hAnsi="宋体" w:eastAsia="宋体" w:cs="宋体"/>
                <w:b/>
                <w:bCs/>
                <w:sz w:val="24"/>
                <w:szCs w:val="24"/>
              </w:rPr>
              <w:t xml:space="preserve">的偿付能力（专题）财务报告扫描件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提供的证明材料不符合本项要求的</w:t>
            </w:r>
            <w:r>
              <w:rPr>
                <w:rFonts w:hint="eastAsia" w:ascii="宋体" w:hAnsi="宋体" w:eastAsia="宋体" w:cs="宋体"/>
                <w:b/>
                <w:bCs/>
                <w:sz w:val="24"/>
                <w:szCs w:val="24"/>
              </w:rPr>
              <w:t xml:space="preserve">不得分</w:t>
            </w:r>
            <w:r>
              <w:rPr>
                <w:rFonts w:hint="eastAsia" w:ascii="宋体" w:hAnsi="宋体" w:eastAsia="宋体" w:cs="宋体"/>
                <w:b/>
                <w:bCs/>
                <w:sz w:val="24"/>
                <w:szCs w:val="24"/>
                <w:lang w:eastAsia="zh-CN"/>
              </w:rPr>
              <w:t xml:space="preserve">）</w:t>
            </w:r>
            <w:r/>
          </w:p>
        </w:tc>
      </w:tr>
      <w:tr>
        <w:trPr>
          <w:trHeight w:val="2293"/>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医责险项目</w:t>
            </w:r>
            <w:r/>
          </w:p>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经验</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hint="eastAsia" w:ascii="宋体" w:hAnsi="宋体" w:cs="宋体"/>
                <w:b/>
                <w:bCs w:val="0"/>
                <w:color w:val="000000"/>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0分</w:t>
            </w:r>
            <w:r/>
          </w:p>
        </w:tc>
        <w:tc>
          <w:tcPr>
            <w:tcMar>
              <w:left w:w="0" w:type="dxa"/>
              <w:top w:w="0" w:type="dxa"/>
              <w:right w:w="0" w:type="dxa"/>
              <w:bottom w:w="0" w:type="dxa"/>
            </w:tcMar>
            <w:tcW w:w="6579" w:type="dxa"/>
            <w:vAlign w:val="center"/>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投标人自202</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年1月1日以来，</w:t>
            </w:r>
            <w:r>
              <w:rPr>
                <w:rFonts w:hint="eastAsia" w:ascii="宋体" w:hAnsi="宋体" w:eastAsia="宋体" w:cs="宋体"/>
                <w:b/>
                <w:bCs/>
                <w:sz w:val="24"/>
                <w:szCs w:val="24"/>
              </w:rPr>
              <w:t xml:space="preserve">承保医疗责任保险项目经验，如果该投标人为独家承保公司或首席承保公司的，每提供1个项目经验得</w:t>
            </w:r>
            <w:r>
              <w:rPr>
                <w:rFonts w:hint="eastAsia" w:ascii="宋体" w:hAnsi="宋体" w:cs="宋体"/>
                <w:b/>
                <w:bCs/>
                <w:sz w:val="24"/>
                <w:szCs w:val="24"/>
                <w:lang w:val="en-US" w:eastAsia="zh-CN"/>
              </w:rPr>
              <w:t xml:space="preserve">5</w:t>
            </w:r>
            <w:r>
              <w:rPr>
                <w:rFonts w:hint="eastAsia" w:ascii="宋体" w:hAnsi="宋体" w:eastAsia="宋体" w:cs="宋体"/>
                <w:b/>
                <w:bCs/>
                <w:sz w:val="24"/>
                <w:szCs w:val="24"/>
              </w:rPr>
              <w:t xml:space="preserve">分；如果该投标人为共保公司的，每提供1个项目经验得</w:t>
            </w: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没有不得分。</w:t>
            </w:r>
            <w:r/>
          </w:p>
          <w:p>
            <w:pPr>
              <w:pStyle w:val="945"/>
              <w:keepLines w:val="0"/>
              <w:keepNext w:val="0"/>
              <w:pageBreakBefore w:val="0"/>
              <w:spacing w:line="44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该项累计得分最高得20分，没有不得分。（投标人投标时提供每一项目经验须附协议或保单，如所提供材料中无法体现承保类别，则不予认可。）</w:t>
            </w:r>
            <w:r/>
          </w:p>
        </w:tc>
      </w:tr>
      <w:tr>
        <w:trPr>
          <w:trHeight w:val="184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实质性优惠</w:t>
            </w:r>
            <w:r/>
          </w:p>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承诺</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25分</w:t>
            </w:r>
            <w:r/>
          </w:p>
        </w:tc>
        <w:tc>
          <w:tcPr>
            <w:tcMar>
              <w:left w:w="0" w:type="dxa"/>
              <w:top w:w="0" w:type="dxa"/>
              <w:right w:w="0" w:type="dxa"/>
              <w:bottom w:w="0" w:type="dxa"/>
            </w:tcMar>
            <w:tcW w:w="6579" w:type="dxa"/>
            <w:vAlign w:val="top"/>
            <w:textDirection w:val="lrTb"/>
            <w:noWrap/>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投标人针对医疗责任保险方案及费率机制、采购协议、赔偿处理办法作出书面实质性优惠承诺的，每提供一条得5分，本项最多得25分，不承诺不得分。</w:t>
            </w:r>
            <w:r/>
          </w:p>
          <w:p>
            <w:pP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注：投标人须完全满足或优于招标文件中关于保险方案及费率机制、采购协议、赔偿处理办法要求，否则不得分。</w:t>
            </w:r>
            <w:r/>
          </w:p>
        </w:tc>
      </w:tr>
      <w:tr>
        <w:trPr>
          <w:trHeight w:val="79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承保意向</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5分</w:t>
            </w:r>
            <w:r/>
          </w:p>
        </w:tc>
        <w:tc>
          <w:tcPr>
            <w:tcMar>
              <w:left w:w="0" w:type="dxa"/>
              <w:top w:w="0" w:type="dxa"/>
              <w:right w:w="0" w:type="dxa"/>
              <w:bottom w:w="0" w:type="dxa"/>
            </w:tcMar>
            <w:tcW w:w="6579" w:type="dxa"/>
            <w:vAlign w:val="center"/>
            <w:textDirection w:val="lrTb"/>
            <w:noWrap/>
          </w:tcPr>
          <w:p>
            <w:pPr>
              <w:ind w:firstLine="482"/>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投标人针对本产品是否具有出单公司意愿，书面确认愿意成为出单公司的得5分，否则不得分。</w:t>
            </w:r>
            <w:r/>
          </w:p>
        </w:tc>
      </w:tr>
    </w:tbl>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投标人的总得分为所有评委评审该单位总得分的平均值。</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2、投标人若为</w:t>
      </w:r>
      <w:r>
        <w:rPr>
          <w:rFonts w:hint="eastAsia" w:ascii="宋体" w:hAnsi="宋体" w:eastAsia="宋体" w:cs="宋体"/>
          <w:b/>
          <w:bCs/>
          <w:sz w:val="24"/>
          <w:szCs w:val="24"/>
        </w:rPr>
        <w:t xml:space="preserve">总公司作为独立法人，其下设分公司（分支机构）</w:t>
      </w:r>
      <w:r>
        <w:rPr>
          <w:rFonts w:hint="eastAsia" w:ascii="宋体" w:hAnsi="宋体" w:eastAsia="宋体" w:cs="宋体"/>
          <w:b/>
          <w:bCs/>
          <w:sz w:val="24"/>
          <w:szCs w:val="24"/>
          <w:lang w:val="en-US" w:eastAsia="zh-CN"/>
        </w:rPr>
        <w:t xml:space="preserve">的理赔经验和承保经验能力可作为有效资料参与评审。</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3、投标人若为分公司（分支机构）</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不具备独立法人资格</w:t>
      </w:r>
      <w:r>
        <w:rPr>
          <w:rFonts w:hint="eastAsia" w:ascii="宋体" w:hAnsi="宋体" w:cs="宋体"/>
          <w:b/>
          <w:bCs/>
          <w:sz w:val="24"/>
          <w:szCs w:val="24"/>
          <w:lang w:val="en-US" w:eastAsia="zh-CN"/>
        </w:rPr>
        <w:t xml:space="preserve">的</w:t>
      </w:r>
      <w:r>
        <w:rPr>
          <w:rFonts w:hint="eastAsia" w:ascii="宋体" w:hAnsi="宋体" w:eastAsia="宋体" w:cs="宋体"/>
          <w:b/>
          <w:bCs/>
          <w:sz w:val="24"/>
          <w:szCs w:val="24"/>
          <w:lang w:val="en-US" w:eastAsia="zh-CN"/>
        </w:rPr>
        <w:t xml:space="preserve">分公司投标时，仅认可其</w:t>
      </w:r>
      <w:r>
        <w:rPr>
          <w:rFonts w:hint="eastAsia" w:ascii="宋体" w:hAnsi="宋体" w:cs="宋体"/>
          <w:b/>
          <w:bCs/>
          <w:sz w:val="24"/>
          <w:szCs w:val="24"/>
          <w:lang w:val="en-US" w:eastAsia="zh-CN"/>
        </w:rPr>
        <w:t xml:space="preserve">总公司或</w:t>
      </w:r>
      <w:r>
        <w:rPr>
          <w:rFonts w:hint="eastAsia" w:ascii="宋体" w:hAnsi="宋体" w:eastAsia="宋体" w:cs="宋体"/>
          <w:b/>
          <w:bCs/>
          <w:sz w:val="24"/>
          <w:szCs w:val="24"/>
          <w:lang w:val="en-US" w:eastAsia="zh-CN"/>
        </w:rPr>
        <w:t xml:space="preserve">以自身名义承接的业绩（如：理赔经验和承保经验），其他分支机构业绩均不予认可。</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4、上述材料如有虚假表述，作无效响应文件处理。</w:t>
      </w:r>
      <w:r/>
    </w:p>
    <w:p>
      <w:pPr>
        <w:spacing w:line="460" w:lineRule="exact"/>
        <w:rPr>
          <w:rFonts w:ascii="宋体" w:hAnsi="宋体" w:eastAsia="宋体" w:cs="宋体"/>
          <w:color w:val="000000"/>
          <w:sz w:val="24"/>
        </w:rPr>
      </w:pPr>
      <w:r>
        <w:rPr>
          <w:rFonts w:ascii="宋体" w:hAnsi="宋体" w:eastAsia="宋体" w:cs="宋体"/>
          <w:color w:val="000000"/>
          <w:sz w:val="24"/>
        </w:rPr>
      </w:r>
      <w:r/>
    </w:p>
    <w:p>
      <w:pPr>
        <w:pStyle w:val="945"/>
        <w:ind w:left="0" w:firstLine="0"/>
        <w:rPr>
          <w:rFonts w:hint="eastAsia"/>
        </w:rPr>
      </w:pPr>
      <w:r>
        <w:rPr>
          <w:rFonts w:hint="eastAsia"/>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hint="eastAsia" w:ascii="黑体" w:eastAsia="黑体"/>
          <w:bCs/>
          <w:sz w:val="44"/>
        </w:rPr>
      </w:pPr>
      <w:r>
        <w:rPr>
          <w:rFonts w:hint="eastAsia" w:ascii="黑体" w:eastAsia="黑体"/>
          <w:bCs/>
          <w:sz w:val="44"/>
        </w:rPr>
      </w:r>
      <w:r/>
    </w:p>
    <w:p>
      <w:pPr>
        <w:jc w:val="center"/>
        <w:rPr>
          <w:rFonts w:ascii="黑体" w:eastAsia="黑体"/>
          <w:bCs/>
          <w:sz w:val="44"/>
        </w:rPr>
      </w:pPr>
      <w:r>
        <w:rPr>
          <w:rFonts w:hint="eastAsia" w:ascii="黑体" w:eastAsia="黑体"/>
          <w:bCs/>
          <w:sz w:val="44"/>
        </w:rPr>
        <w:t xml:space="preserve">第六章</w:t>
      </w:r>
      <w:r>
        <w:rPr>
          <w:rFonts w:hint="eastAsia" w:ascii="黑体" w:eastAsia="黑体"/>
          <w:bCs/>
          <w:sz w:val="44"/>
          <w:lang w:val="en-US" w:eastAsia="zh-CN"/>
        </w:rPr>
        <w:t xml:space="preserve">  </w:t>
      </w:r>
      <w:r>
        <w:rPr>
          <w:rFonts w:hint="eastAsia" w:ascii="黑体" w:eastAsia="黑体"/>
          <w:bCs/>
          <w:sz w:val="44"/>
        </w:rPr>
        <w:t xml:space="preserve">投标文件格式</w:t>
      </w:r>
      <w:r/>
    </w:p>
    <w:p>
      <w:pPr>
        <w:pStyle w:val="944"/>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00" w:name="_Hlt26671244"/>
      <w:r/>
      <w:bookmarkEnd w:id="100"/>
      <w:r/>
      <w:bookmarkStart w:id="101" w:name="_Hlt26955039"/>
      <w:r/>
      <w:bookmarkEnd w:id="101"/>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项目名称：</w:t>
      </w:r>
      <w:r>
        <w:rPr>
          <w:rFonts w:hint="eastAsia" w:ascii="宋体" w:hAnsi="宋体" w:eastAsia="宋体" w:cs="宋体"/>
          <w:b/>
          <w:bCs/>
          <w:color w:val="000000"/>
          <w:sz w:val="36"/>
          <w:szCs w:val="36"/>
          <w:u w:val="single"/>
        </w:rPr>
        <w:t xml:space="preserve">             </w:t>
      </w:r>
      <w:r/>
    </w:p>
    <w:p>
      <w:pPr>
        <w:pStyle w:val="944"/>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项目编号：</w:t>
      </w:r>
      <w:r>
        <w:rPr>
          <w:rFonts w:hint="eastAsia" w:ascii="宋体" w:hAnsi="宋体" w:eastAsia="宋体" w:cs="宋体"/>
          <w:b/>
          <w:bCs/>
          <w:color w:val="000000"/>
          <w:sz w:val="36"/>
          <w:szCs w:val="36"/>
          <w:u w:val="single"/>
        </w:rPr>
        <w:t xml:space="preserve">             </w:t>
      </w:r>
      <w:r/>
    </w:p>
    <w:p>
      <w:pPr>
        <w:pStyle w:val="944"/>
        <w:jc w:val="both"/>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投标人名称：</w:t>
      </w:r>
      <w:r>
        <w:rPr>
          <w:rFonts w:hint="eastAsia" w:ascii="宋体" w:hAnsi="宋体" w:eastAsia="宋体" w:cs="宋体"/>
          <w:b/>
          <w:bCs/>
          <w:color w:val="000000"/>
          <w:sz w:val="36"/>
          <w:szCs w:val="36"/>
          <w:u w:val="single"/>
        </w:rPr>
        <w:t xml:space="preserve">（加盖CA电子公章）</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w:t>
      </w:r>
      <w:r>
        <w:rPr>
          <w:rFonts w:hint="eastAsia" w:ascii="宋体" w:hAnsi="宋体" w:eastAsia="宋体" w:cs="宋体"/>
          <w:b/>
          <w:bCs/>
          <w:color w:val="000000"/>
          <w:sz w:val="36"/>
          <w:szCs w:val="36"/>
          <w:u w:val="single"/>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pStyle w:val="944"/>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lang w:eastAsia="zh-CN"/>
        </w:rPr>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lang w:val="en-US" w:eastAsia="zh-CN"/>
        </w:rPr>
        <w:t xml:space="preserve">须提供2024年度或2025年度</w:t>
      </w:r>
      <w:r>
        <w:rPr>
          <w:rFonts w:hint="eastAsia" w:ascii="宋体" w:hAnsi="宋体" w:eastAsia="宋体" w:cs="宋体"/>
          <w:b/>
          <w:bCs/>
          <w:sz w:val="24"/>
          <w:szCs w:val="24"/>
        </w:rPr>
        <w:t xml:space="preserve">的</w:t>
      </w:r>
      <w:r>
        <w:rPr>
          <w:rFonts w:ascii="宋体" w:hAnsi="宋体" w:cs="宋体"/>
          <w:b/>
          <w:bCs/>
          <w:sz w:val="24"/>
          <w:szCs w:val="24"/>
        </w:rPr>
        <w:t xml:space="preserve">财务审计报告</w:t>
      </w:r>
      <w:r>
        <w:rPr>
          <w:rFonts w:hint="eastAsia" w:ascii="宋体" w:hAnsi="宋体" w:eastAsia="宋体" w:cs="宋体"/>
          <w:b/>
          <w:bCs/>
          <w:sz w:val="24"/>
          <w:szCs w:val="24"/>
        </w:rPr>
        <w:t xml:space="preserve">（至少提供资产负债表、利润表、现金流量表，投标人成立不满一年无需提供）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三、具备履行合同所必需的设备和专业技术能力的书面声明（格式附后）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五、参加政府采购活动前3年内在经营活动中没有重大违法记录的书面声明（格式附后）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六、特定资格要求的证明文件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单位负责人为同一人或者存在直接控股、</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关系的不同供应商，不得参加同一合同项下的政府采购活动证明文件书面声明（格式附后）；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投标人</w:t>
      </w:r>
      <w:r>
        <w:rPr>
          <w:rFonts w:hint="eastAsia" w:ascii="宋体" w:hAnsi="宋体" w:eastAsia="宋体" w:cs="宋体"/>
          <w:b/>
          <w:bCs/>
          <w:sz w:val="24"/>
          <w:szCs w:val="24"/>
          <w:lang w:val="en-US" w:eastAsia="zh-CN"/>
        </w:rPr>
        <w:t xml:space="preserve">提供</w:t>
      </w:r>
      <w:r>
        <w:rPr>
          <w:rFonts w:hint="eastAsia" w:ascii="宋体" w:hAnsi="宋体" w:cs="宋体"/>
          <w:b/>
          <w:bCs/>
          <w:sz w:val="24"/>
          <w:szCs w:val="24"/>
          <w:lang w:val="en-US" w:eastAsia="zh-CN"/>
        </w:rPr>
        <w:t xml:space="preserve">有效的</w:t>
      </w:r>
      <w:r>
        <w:rPr>
          <w:rFonts w:hint="eastAsia" w:ascii="宋体" w:hAnsi="宋体" w:eastAsia="宋体" w:cs="宋体"/>
          <w:b/>
          <w:bCs/>
          <w:color w:val="000000"/>
          <w:sz w:val="24"/>
          <w:szCs w:val="24"/>
        </w:rPr>
        <w:t xml:space="preserve">《保险许可证》</w:t>
      </w:r>
      <w:r>
        <w:rPr>
          <w:rFonts w:hint="eastAsia" w:ascii="宋体" w:hAnsi="宋体" w:cs="宋体"/>
          <w:b/>
          <w:bCs/>
          <w:color w:val="000000"/>
          <w:sz w:val="24"/>
          <w:szCs w:val="24"/>
          <w:lang w:val="en-US" w:eastAsia="zh-CN"/>
        </w:rPr>
        <w:t xml:space="preserve">扫描件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sz w:val="24"/>
          <w:szCs w:val="24"/>
        </w:rPr>
        <w:t xml:space="preserve">保险条款报备的手续说明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格式附后</w:t>
      </w:r>
      <w:r>
        <w:rPr>
          <w:rFonts w:hint="eastAsia" w:ascii="宋体" w:hAnsi="宋体" w:eastAsia="宋体" w:cs="宋体"/>
          <w:b/>
          <w:bCs/>
          <w:sz w:val="24"/>
          <w:szCs w:val="24"/>
          <w:lang w:eastAsia="zh-CN"/>
        </w:rPr>
        <w:t xml:space="preserve">）</w:t>
      </w:r>
      <w:r/>
    </w:p>
    <w:p>
      <w:pPr>
        <w:pStyle w:val="969"/>
        <w:ind w:firstLine="482"/>
        <w:jc w:val="left"/>
        <w:keepLines w:val="0"/>
        <w:keepNext w:val="0"/>
        <w:pageBreakBefore w:val="0"/>
        <w:spacing w:line="400" w:lineRule="exact"/>
        <w:widowControl w:val="off"/>
        <w:rPr>
          <w:rFonts w:hint="eastAsia" w:ascii="宋体" w:hAnsi="宋体" w:eastAsia="宋体" w:cs="宋体"/>
          <w:b/>
          <w:bCs/>
          <w:i w:val="0"/>
          <w:iCs w:val="0"/>
          <w:sz w:val="24"/>
          <w:szCs w:val="24"/>
          <w:lang w:val="en-US" w:eastAsia="zh-CN"/>
        </w:rPr>
      </w:pPr>
      <w:r>
        <w:rPr>
          <w:rFonts w:hint="eastAsia" w:ascii="宋体" w:hAnsi="宋体" w:cs="宋体"/>
          <w:b/>
          <w:bCs/>
          <w:color w:val="000000" w:themeColor="text1"/>
          <w:sz w:val="24"/>
          <w:szCs w:val="24"/>
          <w:lang w:val="en-US" w:eastAsia="zh-CN"/>
          <w14:textFill>
            <w14:solidFill>
              <w14:schemeClr w14:val="tx1"/>
            </w14:solidFill>
          </w14:textFill>
        </w:rPr>
        <w:t xml:space="preserve">5、若</w:t>
      </w:r>
      <w:r>
        <w:rPr>
          <w:rFonts w:hint="eastAsia" w:ascii="宋体" w:hAnsi="宋体"/>
          <w:b/>
          <w:bCs/>
          <w:color w:val="000000" w:themeColor="text1"/>
          <w:sz w:val="24"/>
          <w:lang w:val="zh-CN"/>
          <w14:textFill>
            <w14:solidFill>
              <w14:schemeClr w14:val="tx1"/>
            </w14:solidFill>
          </w14:textFill>
        </w:rPr>
        <w:t xml:space="preserve">分支机构投标的，须提供分支机构的营业执照扫描件及总公司出具给分支机构的授权书</w:t>
      </w:r>
      <w:r>
        <w:rPr>
          <w:rFonts w:hint="eastAsia" w:ascii="宋体" w:hAnsi="宋体"/>
          <w:b/>
          <w:bCs/>
          <w:color w:val="000000" w:themeColor="text1"/>
          <w:sz w:val="24"/>
          <w:lang w:val="en-US" w:eastAsia="zh-CN"/>
          <w14:textFill>
            <w14:solidFill>
              <w14:schemeClr w14:val="tx1"/>
            </w14:solidFill>
          </w14:textFill>
        </w:rPr>
        <w:t xml:space="preserve">扫描件。</w:t>
      </w:r>
      <w:r>
        <w:rPr>
          <w:rFonts w:hint="eastAsia" w:ascii="宋体" w:hAnsi="宋体" w:eastAsia="宋体" w:cs="宋体"/>
          <w:b/>
          <w:i w:val="0"/>
          <w:iCs w:val="0"/>
          <w:color w:val="000000" w:themeColor="text1"/>
          <w:sz w:val="24"/>
          <w:szCs w:val="24"/>
          <w14:textFill>
            <w14:solidFill>
              <w14:schemeClr w14:val="tx1"/>
            </w14:solidFill>
          </w14:textFill>
        </w:rPr>
        <w:t xml:space="preserve">（如为分支机构投标时提供，格式自拟）</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法人授权书（格式附后）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、投标函（格式附后）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b/>
          <w:bCs/>
          <w:sz w:val="24"/>
          <w:szCs w:val="24"/>
          <w:lang w:val="en-US" w:eastAsia="zh-CN"/>
        </w:rPr>
        <w:t xml:space="preserve">九</w:t>
      </w:r>
      <w:r>
        <w:rPr>
          <w:rFonts w:hint="eastAsia"/>
          <w:b/>
          <w:bCs/>
          <w:sz w:val="24"/>
          <w:szCs w:val="24"/>
        </w:rPr>
        <w:t xml:space="preserve">、投入本项目服务人员配备表</w:t>
      </w:r>
      <w:r>
        <w:rPr>
          <w:rFonts w:hint="eastAsia" w:ascii="宋体" w:hAnsi="宋体" w:eastAsia="宋体" w:cs="宋体"/>
          <w:b/>
          <w:bCs/>
          <w:sz w:val="24"/>
          <w:szCs w:val="24"/>
        </w:rPr>
        <w:t xml:space="preserve">（格式附后）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十、中</w:t>
      </w:r>
      <w:r>
        <w:rPr>
          <w:rFonts w:hint="eastAsia" w:ascii="宋体" w:hAnsi="宋体" w:eastAsia="宋体" w:cs="宋体"/>
          <w:b/>
          <w:bCs/>
          <w:sz w:val="24"/>
          <w:szCs w:val="24"/>
        </w:rPr>
        <w:t xml:space="preserve">小企业声明函（格式附后）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、残疾人福利性单位声明函（格式附后）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、商务要求响应及偏离表（格式附后）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、开标一览表（格式附后）</w:t>
      </w:r>
      <w:r/>
    </w:p>
    <w:p>
      <w:pPr>
        <w:ind w:firstLine="482"/>
        <w:keepLines w:val="0"/>
        <w:keepNext w:val="0"/>
        <w:pageBreakBefore w:val="0"/>
        <w:spacing w:line="400" w:lineRule="exact"/>
        <w:widowControl w:val="off"/>
        <w:rPr>
          <w:rFonts w:hint="default"/>
          <w:b/>
          <w:bCs/>
          <w:sz w:val="24"/>
          <w:szCs w:val="24"/>
          <w:lang w:val="en-US"/>
        </w:rPr>
      </w:pPr>
      <w:r>
        <w:rPr>
          <w:rFonts w:hint="eastAsia"/>
          <w:b/>
          <w:bCs/>
          <w:sz w:val="24"/>
          <w:szCs w:val="24"/>
        </w:rPr>
        <w:t xml:space="preserve">十</w:t>
      </w:r>
      <w:r>
        <w:rPr>
          <w:rFonts w:hint="eastAsia"/>
          <w:b/>
          <w:bCs/>
          <w:sz w:val="24"/>
          <w:szCs w:val="24"/>
          <w:lang w:val="en-US" w:eastAsia="zh-CN"/>
        </w:rPr>
        <w:t xml:space="preserve">四</w:t>
      </w:r>
      <w:r>
        <w:rPr>
          <w:rFonts w:hint="eastAsia"/>
          <w:b/>
          <w:bCs/>
          <w:sz w:val="24"/>
          <w:szCs w:val="24"/>
        </w:rPr>
        <w:t xml:space="preserve">、</w:t>
      </w:r>
      <w:r>
        <w:rPr>
          <w:rFonts w:hint="eastAsia"/>
          <w:b/>
          <w:bCs/>
          <w:sz w:val="24"/>
          <w:szCs w:val="24"/>
          <w:lang w:val="en-US" w:eastAsia="zh-CN"/>
        </w:rPr>
        <w:t xml:space="preserve">保费报价表（</w:t>
      </w:r>
      <w:r>
        <w:rPr>
          <w:rFonts w:hint="eastAsia" w:ascii="宋体" w:hAnsi="宋体" w:eastAsia="宋体" w:cs="宋体"/>
          <w:b/>
          <w:bCs/>
          <w:sz w:val="24"/>
          <w:szCs w:val="24"/>
        </w:rPr>
        <w:t xml:space="preserve">格式附后</w:t>
      </w:r>
      <w:r>
        <w:rPr>
          <w:rFonts w:hint="eastAsia"/>
          <w:b/>
          <w:bCs/>
          <w:sz w:val="24"/>
          <w:szCs w:val="24"/>
          <w:lang w:val="en-US" w:eastAsia="zh-CN"/>
        </w:rPr>
        <w:t xml:space="preserve">）</w:t>
      </w:r>
      <w:r/>
    </w:p>
    <w:p>
      <w:pPr>
        <w:ind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rPr>
        <w:t xml:space="preserve">盐城市政府采购事前信用承诺书（格式附后）</w:t>
      </w:r>
      <w:r/>
    </w:p>
    <w:p>
      <w:pPr>
        <w:ind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、其他材料（如有） </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944"/>
        <w:jc w:val="both"/>
        <w:keepLines w:val="0"/>
        <w:keepNext w:val="0"/>
        <w:spacing w:before="0" w:beforeAutospacing="0" w:after="0" w:afterAutospacing="0" w:line="0" w:lineRule="atLeast"/>
        <w:widowControl w:val="off"/>
        <w:rPr>
          <w:rFonts w:hint="eastAsia" w:ascii="宋体" w:hAnsi="宋体" w:eastAsia="宋体" w:cs="宋体"/>
          <w:b/>
          <w:bCs/>
          <w:i/>
          <w:i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t xml:space="preserve">一、法人或者其他组织的营业执照等证明文件，自然人的身份证明</w:t>
      </w:r>
      <w:r/>
    </w:p>
    <w:p>
      <w:pPr>
        <w:pStyle w:val="94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ind w:firstLine="640"/>
        <w:keepLines w:val="0"/>
        <w:keepNext w:val="0"/>
        <w:pageBreakBefore w:val="0"/>
        <w:spacing w:line="420" w:lineRule="exact"/>
        <w:widowControl w:val="off"/>
        <w:rPr>
          <w:rFonts w:hint="eastAsia" w:ascii="宋体" w:hAnsi="宋体" w:eastAsia="宋体" w:cs="宋体"/>
          <w:b/>
          <w:bCs/>
          <w:i/>
          <w:iCs w:val="0"/>
          <w:sz w:val="32"/>
          <w:szCs w:val="32"/>
          <w:u w:val="single"/>
        </w:rPr>
      </w:pPr>
      <w:r>
        <w:rPr>
          <w:rFonts w:hint="eastAsia" w:ascii="黑体" w:hAnsi="宋体" w:eastAsia="黑体" w:cs="黑体"/>
          <w:i/>
          <w:iCs w:val="0"/>
          <w:color w:val="000000"/>
          <w:sz w:val="32"/>
          <w:szCs w:val="32"/>
          <w:highlight w:val="none"/>
          <w:u w:val="none"/>
        </w:rPr>
        <w:t xml:space="preserve">二、</w:t>
      </w:r>
      <w:r>
        <w:rPr>
          <w:rFonts w:hint="eastAsia" w:ascii="宋体" w:hAnsi="宋体" w:eastAsia="宋体" w:cs="宋体"/>
          <w:b/>
          <w:bCs/>
          <w:i/>
          <w:iCs w:val="0"/>
          <w:sz w:val="32"/>
          <w:szCs w:val="32"/>
          <w:u w:val="single"/>
          <w:lang w:val="en-US" w:eastAsia="zh-CN"/>
        </w:rPr>
        <w:t xml:space="preserve">须提供2024年度或2025年度</w:t>
      </w:r>
      <w:r>
        <w:rPr>
          <w:rFonts w:hint="eastAsia" w:ascii="宋体" w:hAnsi="宋体" w:eastAsia="宋体" w:cs="宋体"/>
          <w:b/>
          <w:bCs/>
          <w:i/>
          <w:iCs w:val="0"/>
          <w:sz w:val="32"/>
          <w:szCs w:val="32"/>
          <w:u w:val="single"/>
        </w:rPr>
        <w:t xml:space="preserve">的</w:t>
      </w:r>
      <w:r>
        <w:rPr>
          <w:rFonts w:ascii="宋体" w:hAnsi="宋体" w:eastAsia="宋体" w:cs="宋体"/>
          <w:b/>
          <w:bCs/>
          <w:i/>
          <w:iCs w:val="0"/>
          <w:sz w:val="32"/>
          <w:szCs w:val="32"/>
          <w:u w:val="single"/>
        </w:rPr>
        <w:t xml:space="preserve">财务审计报告</w:t>
      </w:r>
      <w:r>
        <w:rPr>
          <w:rFonts w:hint="eastAsia" w:ascii="宋体" w:hAnsi="宋体" w:eastAsia="宋体" w:cs="宋体"/>
          <w:b/>
          <w:bCs/>
          <w:i/>
          <w:iCs w:val="0"/>
          <w:sz w:val="32"/>
          <w:szCs w:val="32"/>
          <w:u w:val="single"/>
        </w:rPr>
        <w:t xml:space="preserve">（至少提供资产负债表、利润表、现金流量表，投标人成立不满一年无需提供）</w:t>
      </w:r>
      <w:r/>
    </w:p>
    <w:p>
      <w:pPr>
        <w:pStyle w:val="1051"/>
        <w:jc w:val="both"/>
        <w:spacing w:beforeAutospacing="0" w:afterAutospacing="0" w:line="360" w:lineRule="auto"/>
        <w:rPr>
          <w:color w:val="000000"/>
        </w:rPr>
      </w:pPr>
      <w:r>
        <w:rPr>
          <w:color w:val="000000"/>
        </w:rPr>
      </w:r>
      <w:r/>
    </w:p>
    <w:p>
      <w:pPr>
        <w:pStyle w:val="944"/>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944"/>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1220"/>
        <w:jc w:val="both"/>
        <w:spacing w:beforeAutospacing="0" w:afterAutospacing="0" w:line="0" w:lineRule="atLeast"/>
        <w:rPr>
          <w:rFonts w:hint="eastAsia" w:ascii="宋体" w:hAnsi="宋体" w:eastAsia="宋体" w:cs="宋体"/>
          <w:b/>
          <w:bCs/>
          <w:i w:val="0"/>
          <w:iCs/>
          <w:color w:val="000000"/>
          <w:sz w:val="28"/>
          <w:szCs w:val="28"/>
          <w:highlight w:val="none"/>
          <w:u w:val="none"/>
        </w:rPr>
      </w:pPr>
      <w:r>
        <w:rPr>
          <w:rFonts w:hint="eastAsia" w:ascii="宋体" w:hAnsi="宋体" w:eastAsia="宋体" w:cs="宋体"/>
          <w:b/>
          <w:bCs/>
          <w:i w:val="0"/>
          <w:iCs/>
          <w:color w:val="000000"/>
          <w:sz w:val="28"/>
          <w:szCs w:val="28"/>
          <w:highlight w:val="none"/>
          <w:u w:val="none"/>
        </w:rPr>
        <w:t xml:space="preserve">具备履行合同所必需的设备和专业技术能力的书面声明</w:t>
      </w:r>
      <w:r/>
    </w:p>
    <w:p>
      <w:pPr>
        <w:pStyle w:val="944"/>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44"/>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0"/>
        <w:spacing w:line="460" w:lineRule="exact"/>
        <w:rPr>
          <w:rFonts w:hint="eastAsia" w:ascii="宋体" w:hAnsi="宋体"/>
          <w:b w:val="0"/>
          <w:bCs w:val="0"/>
          <w:sz w:val="24"/>
          <w:lang w:val="en-US" w:eastAsia="zh-CN"/>
        </w:rPr>
      </w:pPr>
      <w:r>
        <w:rPr>
          <w:rFonts w:hint="eastAsia" w:ascii="宋体" w:hAnsi="宋体"/>
          <w:b w:val="0"/>
          <w:bCs w:val="0"/>
          <w:sz w:val="24"/>
          <w:lang w:val="en-US" w:eastAsia="zh-CN"/>
        </w:rPr>
      </w:r>
      <w:r/>
    </w:p>
    <w:p>
      <w:pPr>
        <w:ind w:firstLine="4800"/>
        <w:spacing w:line="460" w:lineRule="exact"/>
        <w:rPr>
          <w:rFonts w:hint="eastAsia" w:ascii="宋体" w:hAnsi="宋体"/>
          <w:b w:val="0"/>
          <w:bCs w:val="0"/>
          <w:sz w:val="24"/>
        </w:rPr>
      </w:pPr>
      <w:r>
        <w:rPr>
          <w:rFonts w:hint="eastAsia" w:ascii="宋体" w:hAnsi="宋体"/>
          <w:b w:val="0"/>
          <w:bCs w:val="0"/>
          <w:sz w:val="24"/>
          <w:lang w:val="en-US" w:eastAsia="zh-CN"/>
        </w:rPr>
        <w:t xml:space="preserve">投标人</w:t>
      </w:r>
      <w:r>
        <w:rPr>
          <w:rFonts w:hint="eastAsia" w:ascii="宋体" w:hAnsi="宋体"/>
          <w:b w:val="0"/>
          <w:bCs w:val="0"/>
          <w:sz w:val="24"/>
        </w:rPr>
        <w:t xml:space="preserve">名称（公章）：</w:t>
      </w:r>
      <w:r/>
    </w:p>
    <w:p>
      <w:pPr>
        <w:ind w:firstLine="4800"/>
        <w:spacing w:line="460" w:lineRule="exact"/>
        <w:rPr>
          <w:rFonts w:hint="eastAsia" w:ascii="宋体" w:hAnsi="宋体"/>
          <w:b w:val="0"/>
          <w:bCs w:val="0"/>
          <w:sz w:val="24"/>
        </w:rPr>
      </w:pPr>
      <w:r>
        <w:rPr>
          <w:rFonts w:hint="eastAsia" w:ascii="宋体" w:hAnsi="宋体"/>
          <w:b w:val="0"/>
          <w:bCs w:val="0"/>
          <w:sz w:val="24"/>
        </w:rPr>
        <w:t xml:space="preserve">日期：</w:t>
      </w:r>
      <w:r>
        <w:rPr>
          <w:rFonts w:hint="eastAsia" w:ascii="宋体" w:hAnsi="宋体"/>
          <w:b w:val="0"/>
          <w:bCs w:val="0"/>
          <w:sz w:val="24"/>
          <w:u w:val="none"/>
        </w:rPr>
        <w:t xml:space="preserve">____</w:t>
      </w:r>
      <w:r>
        <w:rPr>
          <w:rFonts w:hint="eastAsia" w:ascii="宋体" w:hAnsi="宋体"/>
          <w:b w:val="0"/>
          <w:bCs w:val="0"/>
          <w:sz w:val="24"/>
        </w:rPr>
        <w:t xml:space="preserve">年</w:t>
      </w:r>
      <w:r>
        <w:rPr>
          <w:rFonts w:hint="eastAsia" w:ascii="宋体" w:hAnsi="宋体"/>
          <w:b w:val="0"/>
          <w:bCs w:val="0"/>
          <w:sz w:val="24"/>
          <w:u w:val="single"/>
          <w:lang w:val="en-US" w:eastAsia="zh-CN"/>
        </w:rPr>
        <w:t xml:space="preserve">   </w:t>
      </w:r>
      <w:r>
        <w:rPr>
          <w:rFonts w:hint="eastAsia" w:ascii="宋体" w:hAnsi="宋体"/>
          <w:b w:val="0"/>
          <w:bCs w:val="0"/>
          <w:sz w:val="24"/>
        </w:rPr>
        <w:t xml:space="preserve">月</w:t>
      </w:r>
      <w:r>
        <w:rPr>
          <w:rFonts w:hint="eastAsia" w:ascii="宋体" w:hAnsi="宋体"/>
          <w:b w:val="0"/>
          <w:bCs w:val="0"/>
          <w:sz w:val="24"/>
          <w:u w:val="single"/>
          <w:lang w:val="en-US" w:eastAsia="zh-CN"/>
        </w:rPr>
        <w:t xml:space="preserve">    </w:t>
      </w:r>
      <w:r>
        <w:rPr>
          <w:rFonts w:hint="eastAsia" w:ascii="宋体" w:hAnsi="宋体"/>
          <w:b w:val="0"/>
          <w:bCs w:val="0"/>
          <w:sz w:val="24"/>
        </w:rPr>
        <w:t xml:space="preserve">日</w:t>
      </w:r>
      <w:r/>
    </w:p>
    <w:p>
      <w:pPr>
        <w:pStyle w:val="944"/>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944"/>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944"/>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944"/>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44"/>
        <w:numPr>
          <w:ilvl w:val="0"/>
          <w:numId w:val="13"/>
        </w:numPr>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参加政府采购活动前3年内在经营活动中没有重大违法记录的书面声明</w:t>
      </w:r>
      <w:r/>
    </w:p>
    <w:p>
      <w:pPr>
        <w:pStyle w:val="944"/>
        <w:jc w:val="both"/>
        <w:spacing w:beforeAutospacing="0" w:afterAutospacing="0" w:line="0" w:lineRule="atLeast"/>
        <w:rPr>
          <w:sz w:val="32"/>
          <w:szCs w:val="32"/>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32"/>
          <w:szCs w:val="32"/>
          <w:highlight w:val="none"/>
        </w:rPr>
        <w:t xml:space="preserve"> </w:t>
      </w:r>
      <w:r>
        <w:rPr>
          <w:rFonts w:hint="eastAsia" w:ascii="宋体" w:hAnsi="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声 明</w:t>
      </w:r>
      <w:r/>
    </w:p>
    <w:p>
      <w:pPr>
        <w:pStyle w:val="944"/>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320"/>
        <w:spacing w:line="460" w:lineRule="exact"/>
        <w:rPr>
          <w:rFonts w:hint="eastAsia" w:ascii="宋体" w:hAnsi="宋体"/>
          <w:bCs/>
          <w:sz w:val="24"/>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firstLine="4320"/>
        <w:spacing w:line="460" w:lineRule="exact"/>
        <w:rPr>
          <w:rFonts w:hint="eastAsia" w:ascii="宋体" w:hAnsi="宋体"/>
          <w:bCs/>
          <w:sz w:val="24"/>
          <w:u w:val="none"/>
        </w:rPr>
      </w:pPr>
      <w:r>
        <w:rPr>
          <w:rFonts w:hint="eastAsia" w:ascii="宋体" w:hAnsi="宋体"/>
          <w:bCs/>
          <w:sz w:val="24"/>
        </w:rPr>
        <w:t xml:space="preserve">授权代表签字：</w:t>
      </w:r>
      <w:r>
        <w:rPr>
          <w:rFonts w:hint="eastAsia" w:ascii="宋体" w:hAnsi="宋体"/>
          <w:bCs/>
          <w:sz w:val="24"/>
          <w:u w:val="none"/>
        </w:rPr>
        <w:t xml:space="preserve">______________________</w:t>
      </w:r>
      <w:r/>
    </w:p>
    <w:p>
      <w:pPr>
        <w:ind w:firstLine="4320"/>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944"/>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六、</w:t>
      </w:r>
      <w:r>
        <w:rPr>
          <w:rFonts w:hint="eastAsia" w:ascii="黑体" w:hAnsi="黑体" w:eastAsia="黑体" w:cs="黑体"/>
          <w:b/>
          <w:bCs/>
          <w:i/>
          <w:iCs/>
          <w:sz w:val="32"/>
          <w:szCs w:val="32"/>
        </w:rPr>
        <w:t xml:space="preserve">特定资格要求的证明文件</w:t>
      </w:r>
      <w:r>
        <w:rPr>
          <w:rFonts w:hint="eastAsia" w:ascii="黑体" w:hAnsi="黑体" w:eastAsia="黑体" w:cs="黑体"/>
          <w:b/>
          <w:bCs/>
          <w:i/>
          <w:iCs/>
          <w:sz w:val="32"/>
          <w:szCs w:val="32"/>
          <w:lang w:eastAsia="zh-CN"/>
        </w:rPr>
        <w:t xml:space="preserve">：</w:t>
      </w:r>
      <w:r/>
    </w:p>
    <w:p>
      <w:pPr>
        <w:ind w:firstLine="643"/>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1、</w:t>
      </w:r>
      <w:r>
        <w:rPr>
          <w:rFonts w:hint="eastAsia" w:ascii="黑体" w:hAnsi="黑体" w:eastAsia="黑体" w:cs="黑体"/>
          <w:b/>
          <w:bCs/>
          <w:i/>
          <w:iCs/>
          <w:sz w:val="32"/>
          <w:szCs w:val="32"/>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i/>
          <w:iCs/>
          <w:sz w:val="32"/>
          <w:szCs w:val="32"/>
          <w:lang w:val="en-US" w:eastAsia="zh-CN"/>
        </w:rPr>
        <w:t xml:space="preserve">投标</w:t>
      </w:r>
      <w:r>
        <w:rPr>
          <w:rFonts w:hint="eastAsia" w:ascii="黑体" w:hAnsi="黑体" w:eastAsia="黑体" w:cs="黑体"/>
          <w:b/>
          <w:bCs/>
          <w:i/>
          <w:iCs/>
          <w:sz w:val="32"/>
          <w:szCs w:val="32"/>
        </w:rPr>
        <w:t xml:space="preserve">文件中无需提供证明材料）</w:t>
      </w:r>
      <w:r/>
    </w:p>
    <w:p>
      <w:pPr>
        <w:pStyle w:val="944"/>
        <w:ind w:firstLine="643"/>
        <w:jc w:val="both"/>
        <w:keepLines w:val="0"/>
        <w:keepNext w:val="0"/>
        <w:spacing w:before="0" w:beforeAutospacing="0" w:after="0" w:afterAutospacing="0"/>
        <w:widowControl w:val="off"/>
        <w:rPr>
          <w:rFonts w:hint="eastAsia" w:ascii="黑体" w:hAnsi="黑体" w:eastAsia="黑体" w:cs="黑体"/>
          <w:b/>
          <w:bCs/>
          <w:i/>
          <w:iCs/>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t xml:space="preserve">2、</w:t>
      </w:r>
      <w:r>
        <w:rPr>
          <w:rFonts w:hint="eastAsia" w:ascii="黑体" w:hAnsi="黑体" w:eastAsia="黑体" w:cs="黑体"/>
          <w:b/>
          <w:bCs/>
          <w:i/>
          <w:iCs/>
          <w:color w:val="000000"/>
          <w:sz w:val="32"/>
          <w:szCs w:val="32"/>
          <w:u w:val="single"/>
        </w:rPr>
        <w:t xml:space="preserve">单位负责人为同一人或者存在直接控股、</w:t>
      </w:r>
      <w:r>
        <w:rPr>
          <w:rFonts w:hint="eastAsia" w:ascii="黑体" w:hAnsi="黑体" w:eastAsia="黑体" w:cs="黑体"/>
          <w:b/>
          <w:bCs/>
          <w:i/>
          <w:iCs/>
          <w:color w:val="000000"/>
          <w:sz w:val="32"/>
          <w:szCs w:val="32"/>
          <w:u w:val="single"/>
          <w:lang w:val="en-US" w:eastAsia="zh-CN"/>
        </w:rPr>
        <w:t xml:space="preserve">管理</w:t>
      </w:r>
      <w:r>
        <w:rPr>
          <w:rFonts w:hint="eastAsia" w:ascii="黑体" w:hAnsi="黑体" w:eastAsia="黑体" w:cs="黑体"/>
          <w:b/>
          <w:bCs/>
          <w:i/>
          <w:iCs/>
          <w:color w:val="000000"/>
          <w:sz w:val="32"/>
          <w:szCs w:val="32"/>
          <w:u w:val="single"/>
        </w:rPr>
        <w:t xml:space="preserve">关系的不同供应商，不得参加同一合同项下的政府采购活动证明文件</w:t>
      </w:r>
      <w:r>
        <w:rPr>
          <w:rFonts w:hint="eastAsia" w:ascii="黑体" w:hAnsi="黑体" w:eastAsia="黑体" w:cs="黑体"/>
          <w:b/>
          <w:bCs/>
          <w:i/>
          <w:iCs/>
          <w:color w:val="000000"/>
          <w:sz w:val="32"/>
          <w:szCs w:val="32"/>
          <w:u w:val="single"/>
          <w:lang w:val="en-US" w:eastAsia="zh-CN"/>
        </w:rPr>
        <w:t xml:space="preserve">书面声明</w:t>
      </w:r>
      <w:r/>
    </w:p>
    <w:p>
      <w:pPr>
        <w:pStyle w:val="944"/>
        <w:ind w:left="0" w:firstLine="16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44"/>
          <w:szCs w:val="44"/>
        </w:rPr>
        <w:t xml:space="preserve"> 声 明</w:t>
      </w:r>
      <w:r/>
    </w:p>
    <w:p>
      <w:pPr>
        <w:pStyle w:val="944"/>
        <w:ind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spacing w:line="460" w:lineRule="exact"/>
        <w:rPr>
          <w:rFonts w:hint="eastAsia" w:ascii="宋体" w:hAnsi="宋体" w:eastAsia="宋体"/>
          <w:bCs/>
          <w:sz w:val="24"/>
          <w:lang w:val="en-US" w:eastAsia="zh-CN"/>
        </w:rPr>
      </w:pPr>
      <w:r/>
      <w:bookmarkStart w:id="102" w:name="_Toc120614284"/>
      <w:r/>
      <w:r/>
    </w:p>
    <w:p>
      <w:pPr>
        <w:ind w:left="4788" w:firstLine="480"/>
        <w:jc w:val="left"/>
        <w:spacing w:line="460" w:lineRule="exact"/>
        <w:rPr>
          <w:rFonts w:hint="eastAsia" w:ascii="宋体" w:hAnsi="宋体" w:eastAsia="宋体"/>
          <w:bCs/>
          <w:sz w:val="24"/>
          <w:lang w:eastAsia="zh-CN"/>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left="4788" w:firstLine="480"/>
        <w:jc w:val="lef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pStyle w:val="951"/>
        <w:rPr>
          <w:rFonts w:hint="eastAsia"/>
        </w:rPr>
      </w:pPr>
      <w:r>
        <w:rPr>
          <w:rFonts w:hint="eastAsia"/>
        </w:rPr>
      </w:r>
      <w:r/>
    </w:p>
    <w:p>
      <w:pPr>
        <w:pStyle w:val="944"/>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643"/>
        <w:keepLines w:val="0"/>
        <w:keepNext w:val="0"/>
        <w:pageBreakBefore w:val="0"/>
        <w:spacing w:line="440" w:lineRule="exact"/>
        <w:widowControl w:val="off"/>
        <w:rPr>
          <w:rFonts w:hint="eastAsia" w:ascii="黑体" w:hAnsi="黑体" w:eastAsia="黑体" w:cs="黑体"/>
          <w:b/>
          <w:bCs/>
          <w:i/>
          <w:iCs/>
          <w:sz w:val="32"/>
          <w:szCs w:val="32"/>
        </w:rPr>
      </w:pPr>
      <w:r>
        <w:rPr>
          <w:rFonts w:hint="eastAsia" w:ascii="黑体" w:hAnsi="黑体" w:eastAsia="黑体" w:cs="黑体"/>
          <w:b/>
          <w:bCs/>
          <w:i/>
          <w:iCs/>
          <w:sz w:val="32"/>
          <w:szCs w:val="32"/>
          <w:lang w:val="en-US" w:eastAsia="zh-CN"/>
        </w:rPr>
        <w:t xml:space="preserve">3、</w:t>
      </w:r>
      <w:r>
        <w:rPr>
          <w:rFonts w:hint="eastAsia" w:ascii="黑体" w:hAnsi="黑体" w:eastAsia="黑体" w:cs="黑体"/>
          <w:b/>
          <w:bCs/>
          <w:i/>
          <w:iCs/>
          <w:sz w:val="32"/>
          <w:szCs w:val="32"/>
        </w:rPr>
        <w:t xml:space="preserve">保险条款报备的手续说明</w:t>
      </w:r>
      <w:r/>
    </w:p>
    <w:p>
      <w:pPr>
        <w:jc w:val="center"/>
        <w:spacing w:line="520" w:lineRule="exact"/>
        <w:rPr>
          <w:rFonts w:ascii="宋体" w:hAnsi="宋体" w:eastAsia="宋体" w:cs="Times New Roman"/>
          <w:color w:val="000000"/>
          <w:sz w:val="24"/>
          <w:szCs w:val="24"/>
        </w:rPr>
      </w:pPr>
      <w:r>
        <w:rPr>
          <w:rFonts w:hint="eastAsia" w:ascii="宋体" w:hAnsi="宋体" w:eastAsia="宋体" w:cs="Times New Roman"/>
          <w:b/>
          <w:bCs/>
          <w:color w:val="000000"/>
          <w:sz w:val="24"/>
          <w:szCs w:val="24"/>
        </w:rPr>
        <w:t xml:space="preserve">保险条款报备的手续说明</w:t>
      </w:r>
      <w:r/>
    </w:p>
    <w:p>
      <w:pPr>
        <w:ind w:firstLine="480"/>
        <w:jc w:val="left"/>
        <w:spacing w:after="145" w:line="520" w:lineRule="exact"/>
      </w:pPr>
      <w:r>
        <w:rPr>
          <w:rFonts w:hint="eastAsia" w:ascii="宋体" w:hAnsi="宋体" w:eastAsia="宋体" w:cs="Times New Roman"/>
          <w:color w:val="000000"/>
          <w:sz w:val="24"/>
          <w:szCs w:val="24"/>
        </w:rPr>
        <w:t xml:space="preserve">我公司投标文件中涉及的险种条款及相关措辞，均已按照中国银行保险监督管理委员会（原中国保险监督管理委员会）有关规定履行过条款报批或报备手续，报备险种条款项下已包括相关附加、扩展条款。</w:t>
      </w:r>
      <w:r/>
    </w:p>
    <w:p>
      <w:pPr>
        <w:spacing w:after="145"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spacing w:after="145" w:line="5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投标人名称（公章）：</w:t>
      </w:r>
      <w:r/>
    </w:p>
    <w:p>
      <w:pPr>
        <w:spacing w:after="145" w:line="52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授权代表（签字或盖章）：</w:t>
      </w:r>
      <w:r/>
    </w:p>
    <w:p>
      <w:pPr>
        <w:spacing w:after="145" w:line="520" w:lineRule="exact"/>
        <w:rPr>
          <w:rFonts w:hint="eastAsia" w:ascii="黑体" w:hAnsi="黑体" w:eastAsia="黑体" w:cs="黑体"/>
          <w:b/>
          <w:bCs/>
          <w:i/>
          <w:iCs/>
          <w:color w:val="000000"/>
          <w:sz w:val="32"/>
          <w:szCs w:val="32"/>
          <w:u w:val="none"/>
          <w:lang w:val="en-US" w:eastAsia="zh-CN"/>
        </w:rPr>
      </w:pPr>
      <w:r>
        <w:rPr>
          <w:rFonts w:hint="eastAsia" w:ascii="宋体" w:hAnsi="宋体" w:eastAsia="宋体" w:cs="Times New Roman"/>
          <w:bCs/>
          <w:color w:val="000000"/>
          <w:sz w:val="24"/>
        </w:rPr>
        <w:t xml:space="preserve">日期：年月日</w:t>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0"/>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ind w:firstLine="562"/>
        <w:keepLines w:val="0"/>
        <w:keepNext w:val="0"/>
        <w:pageBreakBefore w:val="0"/>
        <w:spacing w:line="440" w:lineRule="exact"/>
        <w:widowControl w:val="off"/>
        <w:rPr>
          <w:rFonts w:hint="eastAsia" w:ascii="黑体" w:hAnsi="黑体" w:eastAsia="黑体" w:cs="黑体"/>
          <w:b/>
          <w:bCs/>
          <w:i/>
          <w:iCs/>
          <w:sz w:val="28"/>
          <w:szCs w:val="28"/>
          <w:lang w:eastAsia="zh-CN"/>
        </w:rPr>
      </w:pPr>
      <w:r>
        <w:rPr>
          <w:rFonts w:hint="eastAsia" w:ascii="黑体" w:hAnsi="黑体" w:eastAsia="黑体" w:cs="黑体"/>
          <w:b/>
          <w:bCs/>
          <w:i/>
          <w:iCs/>
          <w:sz w:val="28"/>
          <w:szCs w:val="28"/>
          <w:lang w:val="en-US" w:eastAsia="zh-CN"/>
        </w:rPr>
        <w:t xml:space="preserve">4、</w:t>
      </w:r>
      <w:r>
        <w:rPr>
          <w:rFonts w:hint="eastAsia" w:ascii="黑体" w:hAnsi="黑体" w:eastAsia="黑体" w:cs="黑体"/>
          <w:b/>
          <w:bCs/>
          <w:i/>
          <w:iCs/>
          <w:sz w:val="28"/>
          <w:szCs w:val="28"/>
        </w:rPr>
        <w:t xml:space="preserve">投标人</w:t>
      </w:r>
      <w:r>
        <w:rPr>
          <w:rFonts w:hint="eastAsia" w:ascii="黑体" w:hAnsi="黑体" w:eastAsia="黑体" w:cs="黑体"/>
          <w:b/>
          <w:bCs/>
          <w:i/>
          <w:iCs/>
          <w:sz w:val="28"/>
          <w:szCs w:val="28"/>
          <w:lang w:val="en-US" w:eastAsia="zh-CN"/>
        </w:rPr>
        <w:t xml:space="preserve">提供有效的</w:t>
      </w:r>
      <w:r>
        <w:rPr>
          <w:rFonts w:hint="eastAsia" w:ascii="黑体" w:hAnsi="黑体" w:eastAsia="黑体" w:cs="黑体"/>
          <w:b/>
          <w:bCs/>
          <w:i/>
          <w:iCs/>
          <w:color w:val="000000"/>
          <w:sz w:val="28"/>
          <w:szCs w:val="28"/>
        </w:rPr>
        <w:t xml:space="preserve">《保险许可证》</w:t>
      </w:r>
      <w:r>
        <w:rPr>
          <w:rFonts w:hint="eastAsia" w:ascii="黑体" w:hAnsi="黑体" w:eastAsia="黑体" w:cs="黑体"/>
          <w:b/>
          <w:bCs/>
          <w:i/>
          <w:iCs/>
          <w:color w:val="000000"/>
          <w:sz w:val="28"/>
          <w:szCs w:val="28"/>
          <w:lang w:val="en-US" w:eastAsia="zh-CN"/>
        </w:rPr>
        <w:t xml:space="preserve">扫描件</w:t>
      </w:r>
      <w:r>
        <w:rPr>
          <w:rFonts w:hint="eastAsia" w:ascii="黑体" w:hAnsi="黑体" w:eastAsia="黑体" w:cs="黑体"/>
          <w:b/>
          <w:bCs/>
          <w:i/>
          <w:iCs/>
          <w:sz w:val="28"/>
          <w:szCs w:val="28"/>
          <w:lang w:eastAsia="zh-CN"/>
        </w:rPr>
        <w:t xml:space="preserve">；</w:t>
      </w:r>
      <w:r/>
    </w:p>
    <w:p>
      <w:pPr>
        <w:ind w:firstLine="562"/>
        <w:keepLines w:val="0"/>
        <w:keepNext w:val="0"/>
        <w:pageBreakBefore w:val="0"/>
        <w:spacing w:line="440" w:lineRule="exact"/>
        <w:widowControl w:val="off"/>
        <w:rPr>
          <w:rFonts w:hint="eastAsia" w:ascii="黑体" w:hAnsi="黑体" w:eastAsia="黑体" w:cs="黑体"/>
          <w:b/>
          <w:bCs/>
          <w:i/>
          <w:iCs/>
          <w:color w:val="000000" w:themeColor="text1"/>
          <w:sz w:val="28"/>
          <w:szCs w:val="28"/>
          <w:lang w:val="en-US" w:eastAsia="zh-CN"/>
          <w14:textFill>
            <w14:solidFill>
              <w14:schemeClr w14:val="tx1"/>
            </w14:solidFill>
          </w14:textFill>
        </w:rPr>
      </w:pPr>
      <w:r>
        <w:rPr>
          <w:rFonts w:hint="eastAsia" w:ascii="黑体" w:hAnsi="黑体" w:eastAsia="黑体" w:cs="黑体"/>
          <w:b/>
          <w:bCs/>
          <w:i/>
          <w:iCs/>
          <w:color w:val="000000" w:themeColor="text1"/>
          <w:sz w:val="28"/>
          <w:szCs w:val="28"/>
          <w:lang w:val="en-US" w:eastAsia="zh-CN"/>
          <w14:textFill>
            <w14:solidFill>
              <w14:schemeClr w14:val="tx1"/>
            </w14:solidFill>
          </w14:textFill>
        </w:rPr>
      </w:r>
      <w:r/>
    </w:p>
    <w:p>
      <w:pPr>
        <w:pStyle w:val="969"/>
        <w:ind w:firstLine="0"/>
        <w:jc w:val="left"/>
        <w:spacing w:line="0" w:lineRule="atLeast"/>
        <w:rPr>
          <w:rFonts w:hint="eastAsia" w:ascii="黑体" w:hAnsi="黑体" w:eastAsia="黑体" w:cs="黑体"/>
          <w:i/>
          <w:iCs/>
          <w:color w:val="000000" w:themeColor="text1"/>
          <w:sz w:val="28"/>
          <w:szCs w:val="28"/>
          <w14:textFill>
            <w14:solidFill>
              <w14:schemeClr w14:val="tx1"/>
            </w14:solidFill>
          </w14:textFill>
        </w:rPr>
      </w:pP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   5、若</w:t>
      </w:r>
      <w:r>
        <w:rPr>
          <w:rFonts w:hint="eastAsia" w:ascii="黑体" w:hAnsi="黑体" w:eastAsia="黑体" w:cs="黑体"/>
          <w:b/>
          <w:bCs/>
          <w:i/>
          <w:iCs/>
          <w:color w:val="000000" w:themeColor="text1"/>
          <w:sz w:val="28"/>
          <w:szCs w:val="28"/>
          <w:lang w:val="zh-CN"/>
          <w14:textFill>
            <w14:solidFill>
              <w14:schemeClr w14:val="tx1"/>
            </w14:solidFill>
          </w14:textFill>
        </w:rPr>
        <w:t xml:space="preserve">分支机构投标的，须提供分支机构的营业执照扫描件及总公司出具给分支机构的授权书</w:t>
      </w: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扫描件。</w:t>
      </w:r>
      <w:r>
        <w:rPr>
          <w:rFonts w:hint="eastAsia" w:ascii="黑体" w:hAnsi="黑体" w:eastAsia="黑体" w:cs="黑体"/>
          <w:b/>
          <w:i/>
          <w:iCs/>
          <w:color w:val="000000" w:themeColor="text1"/>
          <w:sz w:val="28"/>
          <w:szCs w:val="28"/>
          <w14:textFill>
            <w14:solidFill>
              <w14:schemeClr w14:val="tx1"/>
            </w14:solidFill>
          </w14:textFill>
        </w:rPr>
        <w:t xml:space="preserve">（如为分支机构投标时提供，格式自拟）</w:t>
      </w:r>
      <w:r/>
    </w:p>
    <w:p>
      <w:pPr>
        <w:ind w:firstLine="562"/>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both"/>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both"/>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944"/>
        <w:jc w:val="center"/>
        <w:keepLines w:val="0"/>
        <w:keepNext w:val="0"/>
        <w:spacing w:before="0" w:beforeAutospacing="0" w:after="0" w:afterAutospacing="0"/>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t xml:space="preserve">七</w:t>
      </w:r>
      <w:r>
        <w:rPr>
          <w:rFonts w:hint="eastAsia" w:ascii="黑体" w:hAnsi="宋体" w:eastAsia="黑体" w:cs="黑体"/>
          <w:color w:val="000000"/>
          <w:sz w:val="32"/>
          <w:szCs w:val="32"/>
          <w:u w:val="none"/>
        </w:rPr>
        <w:t xml:space="preserve">、法人授权书</w:t>
      </w:r>
      <w:r/>
    </w:p>
    <w:p>
      <w:pPr>
        <w:pStyle w:val="944"/>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本授权书声明：____________（投标人名称）授权________________（被授权人的姓名）为我方就号项目采购活动的合法代理人，以本单位名义全权处理一切与该项目采购有关的事务。</w:t>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944"/>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44"/>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44"/>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44"/>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944"/>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944"/>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944"/>
        <w:jc w:val="center"/>
        <w:keepLines/>
        <w:keepNext/>
        <w:pageBreakBefore w:val="0"/>
        <w:spacing w:before="260" w:beforeAutospacing="0" w:after="260" w:afterAutospacing="0" w:line="44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lang w:val="en-US" w:eastAsia="zh-CN"/>
        </w:rPr>
        <w:t xml:space="preserve">八</w:t>
      </w:r>
      <w:r>
        <w:rPr>
          <w:rFonts w:hint="eastAsia" w:ascii="黑体" w:hAnsi="宋体" w:eastAsia="黑体" w:cs="黑体"/>
          <w:b/>
          <w:bCs/>
          <w:color w:val="000000"/>
          <w:sz w:val="32"/>
          <w:szCs w:val="32"/>
          <w:u w:val="none"/>
        </w:rPr>
        <w:t xml:space="preserve">、投标函</w:t>
      </w:r>
      <w:r/>
    </w:p>
    <w:p>
      <w:pPr>
        <w:keepLines w:val="0"/>
        <w:keepNext w:val="0"/>
        <w:pageBreakBefore w:val="0"/>
        <w:spacing w:line="420" w:lineRule="exact"/>
        <w:widowControl w:val="off"/>
        <w:rPr>
          <w:rFonts w:hint="default" w:eastAsia="宋体"/>
          <w:u w:val="none"/>
          <w:lang w:val="en-US" w:eastAsia="zh-CN"/>
        </w:rPr>
      </w:pPr>
      <w:r>
        <w:rPr>
          <w:rFonts w:hint="eastAsia" w:ascii="宋体" w:hAnsi="宋体" w:eastAsia="宋体" w:cs="宋体"/>
          <w:color w:val="000000"/>
          <w:sz w:val="24"/>
          <w:szCs w:val="24"/>
          <w:u w:val="none"/>
        </w:rPr>
        <w:t xml:space="preserve">致：</w:t>
      </w:r>
      <w:r>
        <w:rPr>
          <w:rFonts w:hint="eastAsia" w:ascii="宋体" w:hAnsi="宋体" w:cs="宋体"/>
          <w:b w:val="0"/>
          <w:bCs w:val="0"/>
          <w:sz w:val="24"/>
          <w:szCs w:val="24"/>
          <w:u w:val="single"/>
          <w:lang w:val="en-US" w:eastAsia="zh-CN"/>
        </w:rPr>
        <w:t xml:space="preserve">滨海县卫生健康委员会</w:t>
      </w:r>
      <w:r/>
    </w:p>
    <w:p>
      <w:pPr>
        <w:ind w:firstLine="480"/>
        <w:keepLines w:val="0"/>
        <w:keepNext w:val="0"/>
        <w:pageBreakBefore w:val="0"/>
        <w:spacing w:line="500" w:lineRule="exact"/>
        <w:widowControl w:val="off"/>
        <w:rPr>
          <w:sz w:val="24"/>
          <w:szCs w:val="24"/>
          <w:highlight w:val="none"/>
        </w:rPr>
      </w:pPr>
      <w:r>
        <w:rPr>
          <w:rFonts w:hint="eastAsia" w:ascii="宋体" w:hAnsi="宋体" w:eastAsia="宋体" w:cs="宋体"/>
          <w:color w:val="000000"/>
          <w:sz w:val="24"/>
          <w:szCs w:val="24"/>
          <w:highlight w:val="none"/>
        </w:rPr>
        <w:t xml:space="preserve">根据贵方的</w:t>
      </w:r>
      <w:r>
        <w:rPr>
          <w:rFonts w:hint="eastAsia" w:ascii="宋体" w:hAnsi="宋体" w:eastAsia="宋体" w:cs="宋体"/>
          <w:b w:val="0"/>
          <w:bCs/>
          <w:color w:val="000000"/>
          <w:sz w:val="24"/>
          <w:szCs w:val="24"/>
          <w:highlight w:val="none"/>
          <w:u w:val="single"/>
          <w:lang w:eastAsia="zh-CN"/>
        </w:rPr>
        <w:t xml:space="preserve">JSZC-320922-ZQYC-G2026-0013</w:t>
      </w:r>
      <w:r>
        <w:rPr>
          <w:rFonts w:hint="eastAsia" w:ascii="宋体" w:hAnsi="宋体" w:eastAsia="宋体" w:cs="宋体"/>
          <w:color w:val="000000"/>
          <w:sz w:val="24"/>
          <w:szCs w:val="24"/>
          <w:highlight w:val="none"/>
        </w:rPr>
        <w:t xml:space="preserve">号招标文件，正式授权下述签字人______(姓名)代表我方______________（投标人的名称），全权处理本次项目投标的有关事宜。</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1018"/>
        <w:spacing w:before="0" w:after="0" w:line="400" w:lineRule="exact"/>
        <w:rPr>
          <w:highlight w:val="none"/>
        </w:rPr>
      </w:pPr>
      <w:r>
        <w:rPr>
          <w:rFonts w:hint="eastAsia" w:ascii="宋体" w:hAnsi="宋体" w:eastAsia="宋体" w:cs="宋体"/>
          <w:color w:val="000000"/>
          <w:highlight w:val="none"/>
        </w:rPr>
        <w:t xml:space="preserve">1.</w:t>
      </w:r>
      <w:r>
        <w:rPr>
          <w:rFonts w:hint="eastAsia" w:ascii="宋体" w:hAnsi="宋体" w:eastAsia="宋体" w:cs="Times New Roman"/>
          <w:color w:val="000000"/>
        </w:rPr>
        <w:t xml:space="preserve">按招标文件规定的各项要求，向买方提供所需服务。</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44"/>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地    址：</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邮    编：</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电    话：</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传    真：</w:t>
      </w:r>
      <w:r/>
    </w:p>
    <w:p>
      <w:pPr>
        <w:pStyle w:val="944"/>
        <w:ind w:left="420"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投标人开户行：</w:t>
      </w:r>
      <w:r/>
    </w:p>
    <w:p>
      <w:pPr>
        <w:pStyle w:val="944"/>
        <w:ind w:left="420" w:firstLine="482"/>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账    号：</w:t>
      </w:r>
      <w:r/>
    </w:p>
    <w:p>
      <w:pPr>
        <w:pStyle w:val="944"/>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9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944"/>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jc w:val="left"/>
        <w:widowControl w:val="off"/>
        <w:rPr>
          <w:rFonts w:hint="default" w:ascii="宋体" w:hAnsi="Calibri" w:eastAsia="宋体" w:cs="宋体"/>
          <w:color w:val="auto"/>
          <w:sz w:val="24"/>
          <w:szCs w:val="24"/>
          <w:highlight w:val="none"/>
          <w:lang w:val="en-US" w:eastAsia="zh-CN" w:bidi="ar-SA"/>
        </w:rPr>
      </w:pPr>
      <w:r>
        <w:rPr>
          <w:rFonts w:hint="default" w:ascii="宋体" w:hAnsi="Calibri" w:eastAsia="宋体" w:cs="宋体"/>
          <w:color w:val="auto"/>
          <w:sz w:val="24"/>
          <w:szCs w:val="24"/>
          <w:highlight w:val="none"/>
          <w:lang w:val="en-US" w:eastAsia="zh-CN" w:bidi="ar-SA"/>
        </w:rPr>
      </w:r>
      <w:r/>
    </w:p>
    <w:p>
      <w:pPr>
        <w:numPr>
          <w:ilvl w:val="0"/>
          <w:numId w:val="14"/>
        </w:numPr>
        <w:ind w:firstLine="482"/>
        <w:jc w:val="center"/>
        <w:spacing w:line="50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投入本项目服务人员配备表</w:t>
      </w:r>
      <w:r/>
    </w:p>
    <w:p>
      <w:pPr>
        <w:numPr>
          <w:ilvl w:val="0"/>
          <w:numId w:val="0"/>
        </w:numPr>
        <w:jc w:val="both"/>
        <w:spacing w:line="50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tbl>
      <w:tblPr>
        <w:tblStyle w:val="934"/>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866"/>
        <w:gridCol w:w="866"/>
        <w:gridCol w:w="866"/>
        <w:gridCol w:w="1285"/>
        <w:gridCol w:w="1258"/>
        <w:gridCol w:w="1790"/>
        <w:gridCol w:w="1370"/>
      </w:tblGrid>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姓名</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性别</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年龄</w:t>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学历</w:t>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从业年限</w:t>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相关经验</w:t>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人员性质</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项目负责人</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867"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866"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85"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258" w:type="dxa"/>
            <w:vAlign w:val="center"/>
            <w:textDirection w:val="lrTb"/>
            <w:noWrap w:val="false"/>
          </w:tcPr>
          <w:p>
            <w:pPr>
              <w:ind w:firstLine="0"/>
              <w:jc w:val="center"/>
              <w:spacing w:line="46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tc>
        <w:tc>
          <w:tcPr>
            <w:tcW w:w="179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70" w:type="dxa"/>
            <w:vAlign w:val="center"/>
            <w:textDirection w:val="lrTb"/>
            <w:noWrap w:val="false"/>
          </w:tcPr>
          <w:p>
            <w:pPr>
              <w:ind w:firstLine="0"/>
              <w:jc w:val="center"/>
              <w:spacing w:line="4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r>
      <w:r/>
    </w:p>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r>
      <w:r/>
    </w:p>
    <w:p>
      <w:pPr>
        <w:ind w:firstLine="210"/>
        <w:spacing w:line="440" w:lineRule="exact"/>
        <w:rPr>
          <w:rFonts w:hint="eastAsia" w:ascii="新宋体" w:hAnsi="新宋体" w:eastAsia="新宋体" w:cs="新宋体"/>
          <w:color w:val="auto"/>
          <w:szCs w:val="24"/>
          <w:highlight w:val="none"/>
        </w:rPr>
      </w:pPr>
      <w:r>
        <w:rPr>
          <w:rFonts w:hint="eastAsia" w:ascii="新宋体" w:hAnsi="新宋体" w:eastAsia="新宋体" w:cs="新宋体"/>
          <w:color w:val="auto"/>
          <w:szCs w:val="24"/>
          <w:highlight w:val="none"/>
        </w:rPr>
        <w:t xml:space="preserve">后附： 服务团队人员身份证、证件/书，最近三个月任意一个月为其缴纳社保的缴费记录等（复印件加盖公章）。</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560"/>
        <w:jc w:val="both"/>
        <w:spacing w:after="120"/>
        <w:widowControl w:val="off"/>
        <w:rPr>
          <w:rFonts w:hint="default" w:ascii="Calibri" w:hAnsi="Calibri" w:eastAsia="宋体" w:cs="Times New Roman"/>
          <w:color w:val="auto"/>
          <w:sz w:val="21"/>
          <w:szCs w:val="22"/>
          <w:highlight w:val="none"/>
          <w:lang w:val="en-US" w:eastAsia="zh-CN" w:bidi="ar-SA"/>
        </w:rPr>
      </w:pPr>
      <w:r>
        <w:rPr>
          <w:rFonts w:hint="default" w:ascii="Calibri" w:hAnsi="Calibri" w:eastAsia="宋体" w:cs="Times New Roman"/>
          <w:color w:val="auto"/>
          <w:sz w:val="21"/>
          <w:szCs w:val="22"/>
          <w:highlight w:val="none"/>
          <w:lang w:val="en-US" w:eastAsia="zh-CN" w:bidi="ar-SA"/>
        </w:rPr>
      </w:r>
      <w:r/>
    </w:p>
    <w:p>
      <w:pPr>
        <w:ind w:firstLine="294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294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620"/>
        <w:rPr>
          <w:rFonts w:hint="default" w:ascii="宋体" w:hAnsi="Calibri" w:eastAsia="宋体" w:cs="Times New Roman"/>
          <w:color w:val="auto"/>
          <w:szCs w:val="24"/>
          <w:highlight w:val="none"/>
        </w:rPr>
      </w:pPr>
      <w:r>
        <w:rPr>
          <w:rFonts w:hint="eastAsia" w:ascii="宋体" w:hAnsi="宋体" w:eastAsia="宋体" w:cs="Times New Roman"/>
          <w:bCs/>
          <w:color w:val="auto"/>
          <w:sz w:val="24"/>
          <w:szCs w:val="24"/>
          <w:highlight w:val="none"/>
        </w:rPr>
        <w:t xml:space="preserve">投标人全称（加盖公章）</w:t>
      </w:r>
      <w:r>
        <w:rPr>
          <w:rFonts w:hint="eastAsia" w:ascii="宋体" w:hAnsi="宋体" w:eastAsia="宋体" w:cs="宋体"/>
          <w:color w:val="auto"/>
          <w:szCs w:val="24"/>
          <w:highlight w:val="none"/>
        </w:rPr>
        <w:t xml:space="preserve">：</w:t>
      </w:r>
      <w:r/>
    </w:p>
    <w:p>
      <w:pPr>
        <w:jc w:val="center"/>
        <w:spacing w:before="50" w:after="5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default" w:ascii="宋体" w:hAnsi="宋体" w:eastAsia="宋体" w:cs="Times New Roman"/>
          <w:bCs/>
          <w:color w:val="auto"/>
          <w:sz w:val="24"/>
          <w:szCs w:val="24"/>
          <w:highlight w:val="none"/>
        </w:rPr>
        <w:t xml:space="preserve">法定代表人或授权代表</w:t>
      </w:r>
      <w:r>
        <w:rPr>
          <w:rFonts w:hint="eastAsia" w:ascii="宋体" w:hAnsi="宋体" w:eastAsia="宋体" w:cs="Times New Roman"/>
          <w:bCs/>
          <w:color w:val="auto"/>
          <w:sz w:val="24"/>
          <w:szCs w:val="24"/>
          <w:highlight w:val="none"/>
        </w:rPr>
        <w:t xml:space="preserve">（盖章或签字）</w:t>
      </w:r>
      <w:r>
        <w:rPr>
          <w:rFonts w:hint="eastAsia" w:ascii="宋体" w:hAnsi="宋体" w:eastAsia="宋体" w:cs="宋体"/>
          <w:color w:val="auto"/>
          <w:szCs w:val="24"/>
          <w:highlight w:val="none"/>
        </w:rPr>
        <w:t xml:space="preserve">：</w:t>
      </w:r>
      <w:r/>
    </w:p>
    <w:p>
      <w:pPr>
        <w:pStyle w:val="944"/>
        <w:ind w:left="420" w:firstLine="3424"/>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bCs/>
          <w:color w:val="auto"/>
          <w:sz w:val="32"/>
          <w:szCs w:val="32"/>
          <w:highlight w:val="none"/>
          <w:lang w:val="en-US" w:eastAsia="zh-CN"/>
        </w:rPr>
      </w:r>
      <w:r>
        <w:rPr>
          <w:rFonts w:hint="eastAsia" w:ascii="黑体" w:hAnsi="宋体" w:eastAsia="黑体" w:cs="黑体"/>
          <w:b/>
          <w:bCs/>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bCs/>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944"/>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十、中小</w:t>
      </w:r>
      <w:r>
        <w:rPr>
          <w:rFonts w:hint="eastAsia" w:ascii="黑体" w:hAnsi="宋体" w:eastAsia="黑体" w:cs="黑体"/>
          <w:b/>
          <w:color w:val="auto"/>
          <w:sz w:val="32"/>
          <w:szCs w:val="32"/>
          <w:highlight w:val="none"/>
        </w:rPr>
        <w:t xml:space="preserve">企业声明函（服务）</w:t>
      </w:r>
      <w:r/>
    </w:p>
    <w:p>
      <w:pPr>
        <w:pStyle w:val="944"/>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滨海县卫生健康委员会      </w:t>
      </w:r>
      <w:r>
        <w:rPr>
          <w:rFonts w:hint="eastAsia"/>
          <w:color w:val="auto"/>
          <w:sz w:val="24"/>
          <w:highlight w:val="none"/>
        </w:rPr>
        <w:t xml:space="preserve">组织的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ascii="宋体" w:hAnsi="宋体" w:eastAsia="宋体" w:cs="宋体"/>
          <w:b/>
          <w:color w:val="000000"/>
          <w:sz w:val="24"/>
          <w:szCs w:val="24"/>
          <w:highlight w:val="none"/>
          <w:u w:val="single"/>
          <w:lang w:eastAsia="zh-CN"/>
        </w:rPr>
        <w:t xml:space="preserve">JSZC-320922-ZQYC-G2026-0013</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5"/>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金融行业</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w:t>
      </w:r>
      <w:r>
        <w:rPr>
          <w:rFonts w:hint="eastAsia"/>
          <w:color w:val="auto"/>
          <w:sz w:val="24"/>
          <w:highlight w:val="none"/>
          <w:u w:val="none"/>
        </w:rPr>
        <w:t xml:space="preserve">营业收入为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w:t>
      </w:r>
      <w:r>
        <w:rPr>
          <w:rFonts w:hint="eastAsia"/>
          <w:color w:val="auto"/>
          <w:sz w:val="24"/>
          <w:highlight w:val="none"/>
          <w:u w:val="none"/>
        </w:rPr>
        <w:t xml:space="preserve">资产总额为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5"/>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w:t>
      </w:r>
      <w:r>
        <w:rPr>
          <w:rFonts w:hint="eastAsia"/>
          <w:color w:val="auto"/>
          <w:sz w:val="24"/>
          <w:highlight w:val="none"/>
          <w:u w:val="none"/>
        </w:rPr>
        <w:t xml:space="preserve">营业收入为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w:t>
      </w:r>
      <w:r>
        <w:rPr>
          <w:rFonts w:hint="eastAsia"/>
          <w:color w:val="auto"/>
          <w:sz w:val="24"/>
          <w:highlight w:val="none"/>
          <w:u w:val="none"/>
        </w:rPr>
        <w:t xml:space="preserve">资产总额为</w:t>
      </w:r>
      <w:r>
        <w:rPr>
          <w:rFonts w:hint="eastAsia"/>
          <w:color w:val="auto"/>
          <w:sz w:val="24"/>
          <w:highlight w:val="none"/>
          <w:u w:val="single"/>
        </w:rPr>
        <w:t xml:space="preserve">  </w:t>
      </w:r>
      <w:r>
        <w:rPr>
          <w:rFonts w:hint="eastAsia"/>
          <w:color w:val="auto"/>
          <w:sz w:val="24"/>
          <w:highlight w:val="none"/>
          <w:u w:val="none"/>
        </w:rPr>
        <w:t xml:space="preserve">万元</w:t>
      </w:r>
      <w:r>
        <w:rPr>
          <w:rFonts w:hint="eastAsia"/>
          <w:color w:val="auto"/>
          <w:sz w:val="24"/>
          <w:highlight w:val="none"/>
        </w:rPr>
        <w:t xml:space="preserve">，属于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944"/>
        <w:ind w:right="720"/>
        <w:jc w:val="both"/>
        <w:spacing w:beforeAutospacing="0" w:afterAutospacing="0" w:line="0" w:lineRule="atLeast"/>
        <w:rPr>
          <w:color w:val="auto"/>
          <w:highlight w:val="none"/>
        </w:rPr>
      </w:pPr>
      <w:r>
        <w:rPr>
          <w:color w:val="auto"/>
          <w:highlight w:val="none"/>
        </w:rPr>
        <w:t xml:space="preserve"> </w:t>
      </w:r>
      <w:r/>
    </w:p>
    <w:p>
      <w:pPr>
        <w:pStyle w:val="944"/>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944"/>
        <w:ind w:right="480" w:firstLine="552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 期：</w:t>
      </w:r>
      <w:r/>
    </w:p>
    <w:p>
      <w:pPr>
        <w:pStyle w:val="944"/>
        <w:ind w:firstLine="240"/>
        <w:jc w:val="both"/>
        <w:spacing w:beforeAutospacing="0" w:afterAutospacing="0" w:line="0" w:lineRule="atLeast"/>
        <w:rPr>
          <w:color w:val="auto"/>
          <w:highlight w:val="none"/>
        </w:rPr>
      </w:pPr>
      <w:r>
        <w:rPr>
          <w:color w:val="auto"/>
          <w:highlight w:val="none"/>
        </w:rPr>
        <w:t xml:space="preserve"> </w:t>
      </w:r>
      <w:r/>
    </w:p>
    <w:p>
      <w:pPr>
        <w:pStyle w:val="94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94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944"/>
        <w:ind w:left="0" w:firstLine="48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rPr>
        <w:br w:type="page" w:clear="all"/>
      </w:r>
      <w:r/>
    </w:p>
    <w:p>
      <w:pPr>
        <w:pStyle w:val="944"/>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十一、</w:t>
      </w:r>
      <w:r>
        <w:rPr>
          <w:rFonts w:hint="eastAsia" w:ascii="黑体" w:hAnsi="宋体" w:eastAsia="黑体" w:cs="黑体"/>
          <w:b/>
          <w:bCs/>
          <w:color w:val="000000"/>
          <w:sz w:val="32"/>
          <w:szCs w:val="32"/>
        </w:rPr>
        <w:t xml:space="preserve">残疾人福利性单位声明函</w:t>
      </w:r>
      <w:r/>
    </w:p>
    <w:p>
      <w:pPr>
        <w:pStyle w:val="944"/>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ind w:firstLine="420"/>
        <w:keepLines w:val="0"/>
        <w:keepNext w:val="0"/>
        <w:pageBreakBefore w:val="0"/>
        <w:spacing w:line="500" w:lineRule="exact"/>
        <w:widowControl w:val="off"/>
        <w:rPr>
          <w:highlight w:val="none"/>
        </w:rPr>
      </w:pPr>
      <w:r>
        <w:rPr>
          <w:rFonts w:hint="eastAsia" w:ascii="宋体" w:hAnsi="宋体" w:eastAsia="宋体" w:cs="宋体"/>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highlight w:val="none"/>
          <w:u w:val="single"/>
          <w:lang w:val="en-US" w:eastAsia="zh-CN"/>
        </w:rPr>
        <w:t xml:space="preserve">滨海县卫生健康委员会</w:t>
      </w:r>
      <w:r>
        <w:rPr>
          <w:rFonts w:hint="eastAsia" w:ascii="宋体" w:hAnsi="宋体" w:eastAsia="宋体" w:cs="宋体"/>
          <w:color w:val="000000"/>
          <w:highlight w:val="none"/>
        </w:rPr>
        <w:t xml:space="preserve">单位的采购文件编号为</w:t>
      </w:r>
      <w:r>
        <w:rPr>
          <w:rFonts w:hint="eastAsia" w:ascii="宋体" w:hAnsi="宋体" w:eastAsia="宋体" w:cs="宋体"/>
          <w:b/>
          <w:color w:val="000000"/>
          <w:sz w:val="24"/>
          <w:szCs w:val="24"/>
          <w:highlight w:val="none"/>
          <w:u w:val="single"/>
          <w:lang w:eastAsia="zh-CN"/>
        </w:rPr>
        <w:t xml:space="preserve">JSZC-320922-ZQYC-G2026-0013</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项目名称）</w:t>
      </w:r>
      <w:r>
        <w:rPr>
          <w:rFonts w:hint="eastAsia" w:ascii="宋体" w:hAnsi="宋体" w:eastAsia="宋体" w:cs="宋体"/>
          <w:color w:val="000000"/>
          <w:highlight w:val="none"/>
        </w:rPr>
        <w:t xml:space="preserve">项目采购活动由本单位提供服务。</w:t>
      </w:r>
      <w:r/>
    </w:p>
    <w:p>
      <w:pPr>
        <w:pStyle w:val="944"/>
        <w:ind w:firstLine="48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44"/>
        <w:ind w:firstLine="480"/>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944"/>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944"/>
        <w:ind w:firstLine="720"/>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cs="宋体"/>
          <w:color w:val="000000"/>
          <w:highlight w:val="none"/>
          <w:lang w:eastAsia="zh-CN"/>
        </w:rPr>
        <w:t xml:space="preserve">。</w:t>
      </w:r>
      <w:r/>
    </w:p>
    <w:p>
      <w:pPr>
        <w:pStyle w:val="944"/>
        <w:ind w:firstLine="624"/>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944"/>
        <w:ind w:right="1560" w:firstLine="624"/>
        <w:jc w:val="center"/>
        <w:keepLines w:val="0"/>
        <w:keepNext w:val="0"/>
        <w:pageBreakBefore w:val="0"/>
        <w:spacing w:beforeAutospacing="0" w:afterAutospacing="0" w:line="6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44"/>
        <w:ind w:right="1560" w:firstLine="480"/>
        <w:jc w:val="center"/>
        <w:keepLines w:val="0"/>
        <w:keepNext w:val="0"/>
        <w:pageBreakBefore w:val="0"/>
        <w:spacing w:beforeAutospacing="0" w:afterAutospacing="0" w:line="6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sectPr>
          <w:footerReference w:type="default" r:id="rId12"/>
          <w:footnotePr/>
          <w:endnotePr/>
          <w:type w:val="nextPage"/>
          <w:pgSz w:w="11906" w:h="16838" w:orient="portrait"/>
          <w:pgMar w:top="1418" w:right="1361" w:bottom="1418" w:left="1361" w:header="851" w:footer="907" w:gutter="0"/>
          <w:cols w:num="1" w:sep="0" w:space="720" w:equalWidth="1"/>
          <w:docGrid w:linePitch="360"/>
        </w:sectPr>
      </w:pPr>
      <w:r>
        <w:br w:type="page" w:clear="all"/>
      </w:r>
      <w:r/>
    </w:p>
    <w:p>
      <w:pPr>
        <w:rPr>
          <w:color w:val="000000"/>
        </w:rPr>
      </w:pPr>
      <w:r/>
      <w:bookmarkStart w:id="103" w:name="_Hlt26955054"/>
      <w:r/>
      <w:r/>
    </w:p>
    <w:p>
      <w:pPr>
        <w:pStyle w:val="944"/>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十二、</w:t>
      </w:r>
      <w:r>
        <w:rPr>
          <w:rFonts w:hint="eastAsia" w:ascii="黑体" w:hAnsi="宋体" w:eastAsia="黑体" w:cs="黑体"/>
          <w:b/>
          <w:bCs/>
          <w:color w:val="000000"/>
          <w:sz w:val="32"/>
          <w:szCs w:val="32"/>
        </w:rPr>
        <w:t xml:space="preserve">商务要求响应及偏离表</w:t>
      </w:r>
      <w:r/>
    </w:p>
    <w:p>
      <w:pPr>
        <w:pStyle w:val="944"/>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934"/>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2778"/>
        <w:gridCol w:w="2608"/>
        <w:gridCol w:w="1509"/>
        <w:gridCol w:w="1430"/>
      </w:tblGrid>
      <w:tr>
        <w:trPr>
          <w:tblCellSpacing w:w="0" w:type="dxa"/>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bookmarkStart w:id="104" w:name="_Hlt26955064"/>
            <w:r/>
            <w:bookmarkStart w:id="105" w:name="_Hlt26782999"/>
            <w:r/>
            <w:bookmarkStart w:id="106" w:name="_Hlt26671372"/>
            <w:r/>
            <w:bookmarkStart w:id="107" w:name="_Hlt26609391"/>
            <w:r/>
            <w:bookmarkStart w:id="108" w:name="_Hlt24879081"/>
            <w:r/>
            <w:bookmarkStart w:id="109" w:name="_Hlt26671343"/>
            <w:r/>
            <w:bookmarkStart w:id="110" w:name="_Hlt26955056"/>
            <w:r/>
            <w:bookmarkStart w:id="111" w:name="_Hlt26580838"/>
            <w:r>
              <w:rPr>
                <w:rFonts w:hint="eastAsia" w:ascii="宋体" w:hAnsi="宋体" w:eastAsia="宋体" w:cs="宋体"/>
                <w:b/>
                <w:bCs/>
                <w:color w:val="000000"/>
                <w:sz w:val="24"/>
                <w:szCs w:val="24"/>
              </w:rPr>
              <w:t xml:space="preserve">序号</w:t>
            </w:r>
            <w:bookmarkEnd w:id="104"/>
            <w:r/>
            <w:bookmarkEnd w:id="105"/>
            <w:r/>
            <w:bookmarkEnd w:id="106"/>
            <w:r/>
            <w:bookmarkEnd w:id="107"/>
            <w:r/>
            <w:bookmarkEnd w:id="108"/>
            <w:r/>
            <w:bookmarkEnd w:id="109"/>
            <w:r/>
            <w:bookmarkEnd w:id="110"/>
            <w:r/>
            <w:bookmarkEnd w:id="111"/>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招标文件要求</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投标响应情况</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超出、符合或负偏离</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证明</w:t>
            </w:r>
            <w:r/>
          </w:p>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材料</w:t>
            </w:r>
            <w:r/>
          </w:p>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（如有）</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最高限价</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法人授权书</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投标函</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开标一览表</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合同履约</w:t>
            </w:r>
            <w:r>
              <w:rPr>
                <w:rFonts w:hint="eastAsia" w:ascii="宋体" w:hAnsi="宋体" w:eastAsia="宋体" w:cs="宋体"/>
                <w:b/>
                <w:bCs/>
                <w:color w:val="000000"/>
                <w:sz w:val="24"/>
                <w:szCs w:val="24"/>
              </w:rPr>
              <w:t xml:space="preserve">期限</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6</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质量标准</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7</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8</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pacing w:val="-4"/>
                <w:sz w:val="24"/>
                <w:szCs w:val="24"/>
                <w:lang w:val="en-US" w:eastAsia="en-US" w:bidi="ar-SA"/>
              </w:rPr>
              <w:t xml:space="preserve">投标货币</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default"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9</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其他</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77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ffffff"/>
            <w:tcW w:w="2608"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944"/>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bl>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 行数不够，可自行添加。</w:t>
      </w:r>
      <w:r/>
    </w:p>
    <w:p>
      <w:pPr>
        <w:ind w:right="0" w:firstLine="6000"/>
        <w:jc w:val="both"/>
        <w:spacing w:before="0" w:after="0"/>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szCs w:val="24"/>
        </w:rPr>
        <w:t xml:space="preserve"> </w:t>
      </w:r>
      <w:r/>
    </w:p>
    <w:p>
      <w:pPr>
        <w:ind w:firstLine="5520"/>
        <w:keepLines w:val="0"/>
        <w:keepNext w:val="0"/>
        <w:pageBreakBefore w:val="0"/>
        <w:spacing w:line="540" w:lineRule="exact"/>
        <w:widowControl w:val="off"/>
        <w:rPr>
          <w:sz w:val="24"/>
          <w:szCs w:val="24"/>
        </w:rPr>
      </w:pPr>
      <w:r>
        <w:rPr>
          <w:sz w:val="24"/>
          <w:szCs w:val="24"/>
        </w:rPr>
        <w:t xml:space="preserve">投标人（公章）：</w:t>
      </w:r>
      <w:r/>
    </w:p>
    <w:p>
      <w:pPr>
        <w:ind w:firstLine="3120"/>
        <w:keepLines w:val="0"/>
        <w:keepNext w:val="0"/>
        <w:pageBreakBefore w:val="0"/>
        <w:spacing w:line="540" w:lineRule="exact"/>
        <w:widowControl w:val="off"/>
        <w:rPr>
          <w:sz w:val="24"/>
          <w:szCs w:val="24"/>
        </w:rPr>
      </w:pPr>
      <w:r>
        <w:rPr>
          <w:sz w:val="24"/>
          <w:szCs w:val="24"/>
        </w:rPr>
      </w:r>
      <w:r/>
    </w:p>
    <w:p>
      <w:pPr>
        <w:ind w:firstLine="1440"/>
        <w:keepLines w:val="0"/>
        <w:keepNext w:val="0"/>
        <w:pageBreakBefore w:val="0"/>
        <w:spacing w:line="540" w:lineRule="exact"/>
        <w:widowControl w:val="off"/>
        <w:rPr>
          <w:sz w:val="24"/>
          <w:szCs w:val="24"/>
        </w:rPr>
      </w:pPr>
      <w:r>
        <w:rPr>
          <w:sz w:val="24"/>
          <w:szCs w:val="24"/>
        </w:rPr>
        <w:t xml:space="preserve">法定代表人</w:t>
      </w:r>
      <w:r>
        <w:rPr>
          <w:rFonts w:hint="eastAsia"/>
          <w:sz w:val="24"/>
          <w:szCs w:val="24"/>
          <w:lang w:eastAsia="zh-CN"/>
        </w:rPr>
        <w:t xml:space="preserve">（</w:t>
      </w:r>
      <w:r>
        <w:rPr>
          <w:rFonts w:hint="eastAsia"/>
          <w:sz w:val="24"/>
          <w:szCs w:val="24"/>
          <w:lang w:val="en-US" w:eastAsia="zh-CN"/>
        </w:rPr>
        <w:t xml:space="preserve">单位负责人</w:t>
      </w:r>
      <w:r>
        <w:rPr>
          <w:rFonts w:hint="eastAsia"/>
          <w:sz w:val="24"/>
          <w:szCs w:val="24"/>
          <w:lang w:eastAsia="zh-CN"/>
        </w:rPr>
        <w:t xml:space="preserve">）</w:t>
      </w:r>
      <w:r>
        <w:rPr>
          <w:sz w:val="24"/>
          <w:szCs w:val="24"/>
        </w:rPr>
        <w:t xml:space="preserve">或授权代表（签字或盖章）：</w:t>
      </w:r>
      <w:r/>
    </w:p>
    <w:p>
      <w:pPr>
        <w:keepLines w:val="0"/>
        <w:keepNext w:val="0"/>
        <w:pageBreakBefore w:val="0"/>
        <w:spacing w:line="540" w:lineRule="exact"/>
        <w:widowControl w:val="off"/>
        <w:rPr>
          <w:sz w:val="24"/>
          <w:szCs w:val="24"/>
        </w:rPr>
      </w:pPr>
      <w:r>
        <w:rPr>
          <w:sz w:val="24"/>
          <w:szCs w:val="24"/>
        </w:rPr>
        <w:t xml:space="preserve">      </w:t>
      </w:r>
      <w:r/>
    </w:p>
    <w:p>
      <w:pPr>
        <w:ind w:firstLine="5760"/>
        <w:keepLines w:val="0"/>
        <w:keepNext w:val="0"/>
        <w:pageBreakBefore w:val="0"/>
        <w:spacing w:line="540" w:lineRule="exact"/>
        <w:widowControl w:val="off"/>
        <w:rPr>
          <w:sz w:val="24"/>
          <w:szCs w:val="24"/>
        </w:rPr>
      </w:pPr>
      <w:r>
        <w:rPr>
          <w:sz w:val="24"/>
          <w:szCs w:val="24"/>
        </w:rPr>
        <w:t xml:space="preserve">日期：年月日</w:t>
      </w:r>
      <w:r/>
    </w:p>
    <w:p>
      <w:pPr>
        <w:pStyle w:val="944"/>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line="480" w:lineRule="auto"/>
        <w:widowControl w:val="off"/>
        <w:rPr>
          <w:rFonts w:hint="eastAsia" w:ascii="等线" w:hAnsi="等线" w:eastAsia="等线" w:cs="等线"/>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bookmarkStart w:id="112" w:name="_Hlt26609389"/>
      <w:r/>
      <w:bookmarkStart w:id="113" w:name="_Toc462564146"/>
      <w:r/>
      <w:bookmarkStart w:id="114" w:name="_Hlt26955066"/>
      <w:r/>
      <w:bookmarkStart w:id="115" w:name="_格式2__法定代表人授权书"/>
      <w:r/>
      <w:bookmarkStart w:id="116" w:name="_Hlt26671374"/>
      <w:r>
        <w:rPr>
          <w:rFonts w:hint="eastAsia" w:ascii="等线" w:hAnsi="等线" w:eastAsia="等线" w:cs="等线"/>
          <w:color w:val="000000"/>
          <w:sz w:val="24"/>
          <w:szCs w:val="24"/>
        </w:rPr>
        <w:t xml:space="preserve"> </w:t>
      </w:r>
      <w:bookmarkEnd w:id="112"/>
      <w:r/>
      <w:bookmarkEnd w:id="113"/>
      <w:r/>
      <w:bookmarkEnd w:id="114"/>
      <w:r/>
      <w:bookmarkEnd w:id="115"/>
      <w:r/>
      <w:bookmarkEnd w:id="116"/>
      <w:r>
        <w:rPr>
          <w:rFonts w:hint="eastAsia" w:ascii="等线" w:hAnsi="等线" w:eastAsia="等线" w:cs="等线"/>
          <w:color w:val="000000"/>
          <w:sz w:val="24"/>
          <w:szCs w:val="24"/>
        </w:rPr>
        <w:t xml:space="preserve"> </w:t>
      </w:r>
      <w:r/>
    </w:p>
    <w:p>
      <w:pPr>
        <w:pStyle w:val="944"/>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highlight w:val="none"/>
        </w:rPr>
      </w:r>
      <w:r>
        <w:rPr>
          <w:rFonts w:hint="eastAsia" w:ascii="等线" w:hAnsi="等线" w:eastAsia="等线" w:cs="等线"/>
          <w:color w:val="000000"/>
          <w:sz w:val="24"/>
          <w:szCs w:val="24"/>
          <w:highlight w:val="none"/>
        </w:rPr>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三</w:t>
      </w:r>
      <w:r>
        <w:rPr>
          <w:rFonts w:hint="eastAsia" w:ascii="黑体" w:hAnsi="宋体" w:eastAsia="黑体" w:cs="黑体"/>
          <w:b/>
          <w:bCs/>
          <w:color w:val="000000"/>
          <w:sz w:val="32"/>
          <w:szCs w:val="32"/>
          <w:u w:val="none"/>
        </w:rPr>
        <w:t xml:space="preserve">、开标一览表</w:t>
      </w:r>
      <w:r/>
    </w:p>
    <w:p>
      <w:pPr>
        <w:pStyle w:val="944"/>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944"/>
        <w:ind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招标编号： </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934"/>
        <w:tblW w:w="0" w:type="auto"/>
        <w:tblCellSpacing w:w="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16"/>
      </w:tblGrid>
      <w:tr>
        <w:trPr>
          <w:tblCellSpacing w:w="0" w:type="dxa"/>
          <w:trHeight w:val="725"/>
        </w:trPr>
        <w:tc>
          <w:tcPr>
            <w:shd w:val="clear" w:color="auto" w:fill="ffffff"/>
            <w:tcW w:w="8916" w:type="dxa"/>
            <w:vAlign w:val="center"/>
            <w:textDirection w:val="lrTb"/>
            <w:noWrap w:val="false"/>
          </w:tcPr>
          <w:p>
            <w:pPr>
              <w:pStyle w:val="944"/>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投标总报价</w:t>
            </w:r>
            <w:r/>
          </w:p>
        </w:tc>
      </w:tr>
      <w:tr>
        <w:trPr>
          <w:tblCellSpacing w:w="0" w:type="dxa"/>
          <w:trHeight w:val="1632"/>
        </w:trPr>
        <w:tc>
          <w:tcPr>
            <w:shd w:val="clear" w:color="auto" w:fill="ffffff"/>
            <w:tcW w:w="8916" w:type="dxa"/>
            <w:vAlign w:val="center"/>
            <w:textDirection w:val="lrTb"/>
            <w:noWrap w:val="false"/>
          </w:tcPr>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小写：</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944"/>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大写：                      （人民币：元）  </w:t>
            </w:r>
            <w:r/>
          </w:p>
        </w:tc>
      </w:tr>
    </w:tbl>
    <w:p>
      <w:pPr>
        <w:keepLines w:val="0"/>
        <w:keepNext w:val="0"/>
        <w:pageBreakBefore w:val="0"/>
        <w:spacing w:line="440" w:lineRule="exact"/>
        <w:widowControl w:val="off"/>
        <w:rPr>
          <w:rFonts w:hint="eastAsia" w:asciiTheme="majorEastAsia" w:hAnsiTheme="majorEastAsia" w:eastAsiaTheme="majorEastAsia" w:cstheme="majorEastAsia"/>
          <w:b/>
          <w:bCs/>
          <w:sz w:val="21"/>
          <w:szCs w:val="21"/>
          <w:lang w:eastAsia="zh-CN"/>
        </w:rPr>
      </w:pPr>
      <w:r/>
      <w:bookmarkStart w:id="117" w:name="_Toc12603"/>
      <w:r>
        <w:rPr>
          <w:rFonts w:hint="eastAsia" w:asciiTheme="majorEastAsia" w:hAnsiTheme="majorEastAsia" w:eastAsiaTheme="majorEastAsia" w:cstheme="majorEastAsia"/>
          <w:b/>
          <w:bCs/>
          <w:sz w:val="21"/>
          <w:szCs w:val="21"/>
          <w:lang w:val="en-US" w:eastAsia="zh-CN"/>
        </w:rPr>
        <w:t xml:space="preserve">注：</w:t>
      </w:r>
      <w:r>
        <w:rPr>
          <w:rFonts w:hint="eastAsia" w:asciiTheme="majorEastAsia" w:hAnsiTheme="majorEastAsia" w:eastAsiaTheme="majorEastAsia" w:cstheme="majorEastAsia"/>
          <w:b/>
          <w:bCs/>
          <w:sz w:val="21"/>
          <w:szCs w:val="21"/>
        </w:rPr>
        <w:t xml:space="preserve">1、开标一览表不得填报选择性报价，否则将作为无效投标</w:t>
      </w:r>
      <w:bookmarkEnd w:id="117"/>
      <w:r>
        <w:rPr>
          <w:rFonts w:hint="eastAsia" w:asciiTheme="majorEastAsia" w:hAnsiTheme="majorEastAsia" w:eastAsiaTheme="majorEastAsia" w:cstheme="majorEastAsia"/>
          <w:b/>
          <w:bCs/>
          <w:sz w:val="21"/>
          <w:szCs w:val="21"/>
          <w:lang w:eastAsia="zh-CN"/>
        </w:rPr>
        <w:t xml:space="preserve">。</w:t>
      </w:r>
      <w:r/>
    </w:p>
    <w:p>
      <w:pPr>
        <w:ind w:firstLine="422"/>
        <w:keepLines w:val="0"/>
        <w:keepNext w:val="0"/>
        <w:pageBreakBefore w:val="0"/>
        <w:spacing w:line="440" w:lineRule="exact"/>
        <w:widowControl w:val="off"/>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2、</w:t>
      </w:r>
      <w:r>
        <w:rPr>
          <w:rFonts w:hint="eastAsia" w:asciiTheme="majorEastAsia" w:hAnsiTheme="majorEastAsia" w:eastAsiaTheme="majorEastAsia" w:cstheme="majorEastAsia"/>
          <w:b/>
          <w:bCs/>
          <w:sz w:val="21"/>
          <w:szCs w:val="21"/>
          <w:lang w:val="en-US" w:eastAsia="zh-CN"/>
        </w:rPr>
        <w:t xml:space="preserve">本项目为采用固定价格采购的项目（无需进行报价），其价格不列为评审因素，</w:t>
      </w:r>
      <w:r>
        <w:rPr>
          <w:rFonts w:hint="eastAsia" w:asciiTheme="majorEastAsia" w:hAnsiTheme="majorEastAsia" w:eastAsiaTheme="majorEastAsia" w:cstheme="majorEastAsia"/>
          <w:b/>
          <w:bCs/>
          <w:sz w:val="21"/>
          <w:szCs w:val="21"/>
        </w:rPr>
        <w:t xml:space="preserve">固定价格为</w:t>
      </w:r>
      <w:r>
        <w:rPr>
          <w:rFonts w:hint="eastAsia" w:asciiTheme="majorEastAsia" w:hAnsiTheme="majorEastAsia" w:eastAsiaTheme="majorEastAsia" w:cstheme="majorEastAsia"/>
          <w:b/>
          <w:bCs/>
          <w:sz w:val="21"/>
          <w:szCs w:val="21"/>
          <w:lang w:val="en-US" w:eastAsia="zh-CN"/>
        </w:rPr>
        <w:t xml:space="preserve">750万元，投标人</w:t>
      </w:r>
      <w:r>
        <w:rPr>
          <w:rFonts w:hint="eastAsia" w:asciiTheme="majorEastAsia" w:hAnsiTheme="majorEastAsia" w:eastAsiaTheme="majorEastAsia" w:cstheme="majorEastAsia"/>
          <w:b/>
          <w:bCs/>
          <w:sz w:val="21"/>
          <w:szCs w:val="21"/>
        </w:rPr>
        <w:t xml:space="preserve">开标一览表</w:t>
      </w:r>
      <w:r>
        <w:rPr>
          <w:rFonts w:hint="eastAsia" w:asciiTheme="majorEastAsia" w:hAnsiTheme="majorEastAsia" w:eastAsiaTheme="majorEastAsia" w:cstheme="majorEastAsia"/>
          <w:b/>
          <w:bCs/>
          <w:sz w:val="21"/>
          <w:szCs w:val="21"/>
          <w:lang w:val="en-US" w:eastAsia="zh-CN"/>
        </w:rPr>
        <w:t xml:space="preserve">投标总报价填写750万元，不得上、下浮动</w:t>
      </w:r>
      <w:r>
        <w:rPr>
          <w:rFonts w:hint="eastAsia" w:asciiTheme="majorEastAsia" w:hAnsiTheme="majorEastAsia" w:eastAsiaTheme="majorEastAsia" w:cstheme="majorEastAsia"/>
          <w:b/>
          <w:bCs/>
          <w:sz w:val="21"/>
          <w:szCs w:val="21"/>
          <w:lang w:eastAsia="zh-CN"/>
        </w:rPr>
        <w:t xml:space="preserve">。</w:t>
      </w:r>
      <w:r/>
    </w:p>
    <w:p>
      <w:pPr>
        <w:ind w:firstLine="422"/>
        <w:keepLines w:val="0"/>
        <w:keepNext w:val="0"/>
        <w:pageBreakBefore w:val="0"/>
        <w:spacing w:line="440" w:lineRule="exact"/>
        <w:widowControl w:val="off"/>
        <w:rPr>
          <w:rFonts w:hint="eastAsia" w:asciiTheme="majorEastAsia" w:hAnsiTheme="majorEastAsia" w:eastAsiaTheme="majorEastAsia" w:cstheme="majorEastAsia"/>
          <w:b/>
          <w:bCs/>
          <w:sz w:val="21"/>
          <w:szCs w:val="21"/>
        </w:rPr>
      </w:pPr>
      <w:r>
        <w:rPr>
          <w:rFonts w:hint="eastAsia" w:asciiTheme="majorEastAsia" w:hAnsiTheme="majorEastAsia" w:eastAsiaTheme="majorEastAsia" w:cstheme="majorEastAsia"/>
          <w:b/>
          <w:bCs/>
          <w:sz w:val="21"/>
          <w:szCs w:val="21"/>
        </w:rPr>
        <w:t xml:space="preserve">3、投标时，如投标系统中开标一览表格式与此不一致且无法修改的，以系统内格式为准。</w:t>
      </w:r>
      <w:r/>
    </w:p>
    <w:p>
      <w:pPr>
        <w:keepLines w:val="0"/>
        <w:keepNext w:val="0"/>
        <w:pageBreakBefore w:val="0"/>
        <w:spacing w:line="440" w:lineRule="exact"/>
        <w:widowControl w:val="off"/>
        <w:rPr>
          <w:rFonts w:hint="eastAsia" w:eastAsia="宋体"/>
          <w:lang w:eastAsia="zh-CN"/>
        </w:rPr>
      </w:pPr>
      <w:r>
        <w:rPr>
          <w:rFonts w:hint="eastAsia" w:asciiTheme="majorEastAsia" w:hAnsiTheme="majorEastAsia" w:eastAsiaTheme="majorEastAsia" w:cstheme="majorEastAsia"/>
          <w:b/>
          <w:bCs/>
          <w:sz w:val="24"/>
          <w:szCs w:val="24"/>
        </w:rPr>
        <w:t xml:space="preserve">                                       </w:t>
      </w:r>
      <w:r>
        <w:rPr>
          <w:rFonts w:hint="eastAsia" w:ascii="宋体" w:hAnsi="宋体" w:eastAsia="宋体" w:cs="宋体"/>
          <w:color w:val="000000"/>
          <w:sz w:val="24"/>
          <w:szCs w:val="24"/>
        </w:rPr>
        <w:t xml:space="preserve">      </w:t>
      </w:r>
      <w:r/>
    </w:p>
    <w:p>
      <w:pPr>
        <w:pStyle w:val="944"/>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19" w:name="_GoBack"/>
      <w:r/>
      <w:bookmarkEnd w:id="119"/>
      <w:r>
        <w:t xml:space="preserve"> </w:t>
      </w:r>
      <w:r/>
    </w:p>
    <w:p>
      <w:pPr>
        <w:pStyle w:val="944"/>
        <w:ind w:left="0" w:firstLine="480"/>
        <w:jc w:val="right"/>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日期： </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日</w:t>
      </w:r>
      <w:r/>
    </w:p>
    <w:p>
      <w:pPr>
        <w:pStyle w:val="94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944"/>
        <w:jc w:val="both"/>
        <w:keepLines w:val="0"/>
        <w:keepNext w:val="0"/>
        <w:spacing w:before="0" w:beforeAutospacing="0" w:after="0" w:afterAutospacing="0"/>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十四、保费报价表</w:t>
      </w:r>
      <w:r/>
    </w:p>
    <w:p>
      <w:pPr>
        <w:ind w:firstLine="562"/>
        <w:spacing w:line="360" w:lineRule="auto"/>
        <w:rPr>
          <w:rFonts w:ascii="宋体" w:hAnsi="宋体" w:eastAsia="宋体" w:cs="宋体"/>
          <w:sz w:val="28"/>
          <w:szCs w:val="28"/>
        </w:rPr>
      </w:pPr>
      <w:r>
        <w:rPr>
          <w:rFonts w:hint="eastAsia" w:ascii="宋体" w:hAnsi="宋体" w:eastAsia="宋体" w:cs="宋体"/>
          <w:b/>
          <w:sz w:val="28"/>
          <w:szCs w:val="28"/>
          <w:lang w:bidi="ar"/>
        </w:rPr>
        <w:t xml:space="preserve">险种一：医疗机构医疗责任保险</w:t>
      </w:r>
      <w:r/>
    </w:p>
    <w:p>
      <w:pPr>
        <w:ind w:firstLine="562"/>
        <w:jc w:val="left"/>
        <w:keepLines w:val="0"/>
        <w:keepNext w:val="0"/>
        <w:pageBreakBefore w:val="0"/>
        <w:spacing w:line="400" w:lineRule="exact"/>
        <w:widowControl w:val="off"/>
        <w:rPr>
          <w:rFonts w:ascii="宋体" w:hAnsi="宋体" w:eastAsia="宋体" w:cs="宋体"/>
          <w:b/>
          <w:bCs/>
          <w:sz w:val="28"/>
          <w:szCs w:val="28"/>
        </w:rPr>
        <w:outlineLvl w:val="3"/>
      </w:pPr>
      <w:r/>
      <w:bookmarkStart w:id="118" w:name="_Toc23580"/>
      <w:r>
        <w:rPr>
          <w:rFonts w:hint="eastAsia" w:ascii="宋体" w:hAnsi="宋体" w:eastAsia="宋体" w:cs="宋体"/>
          <w:b/>
          <w:bCs/>
          <w:sz w:val="28"/>
          <w:szCs w:val="28"/>
        </w:rPr>
        <w:t xml:space="preserve">第一部分</w:t>
      </w:r>
      <w:r>
        <w:rPr>
          <w:rFonts w:ascii="宋体" w:hAnsi="宋体" w:eastAsia="宋体" w:cs="宋体"/>
          <w:b/>
          <w:bCs/>
          <w:sz w:val="28"/>
          <w:szCs w:val="28"/>
        </w:rPr>
        <w:t xml:space="preserve">  </w:t>
      </w:r>
      <w:bookmarkEnd w:id="118"/>
      <w:r>
        <w:rPr>
          <w:rFonts w:hint="eastAsia" w:ascii="宋体" w:hAnsi="宋体" w:eastAsia="宋体" w:cs="宋体"/>
          <w:b/>
          <w:bCs/>
          <w:sz w:val="28"/>
          <w:szCs w:val="28"/>
        </w:rPr>
        <w:t xml:space="preserve">适用医院及社区卫生服务中心、乡（镇）卫生院、综合门诊部、专科门诊部、中医门诊部、中西医结合门诊部、民族医门诊部等医疗机构</w:t>
      </w:r>
      <w:r/>
    </w:p>
    <w:tbl>
      <w:tblPr>
        <w:tblStyle w:val="934"/>
        <w:tblW w:w="4981" w:type="pct"/>
        <w:jc w:val="center"/>
        <w:tblLayout w:type="autofit"/>
        <w:tblCellMar>
          <w:left w:w="108" w:type="dxa"/>
          <w:top w:w="0" w:type="dxa"/>
          <w:right w:w="108" w:type="dxa"/>
          <w:bottom w:w="0" w:type="dxa"/>
        </w:tblCellMar>
        <w:tblLook w:val="04A0" w:firstRow="1" w:lastRow="0" w:firstColumn="1" w:lastColumn="0" w:noHBand="0" w:noVBand="1"/>
      </w:tblPr>
      <w:tblGrid>
        <w:gridCol w:w="2672"/>
        <w:gridCol w:w="2091"/>
        <w:gridCol w:w="2043"/>
        <w:gridCol w:w="2328"/>
      </w:tblGrid>
      <w:tr>
        <w:trPr>
          <w:jc w:val="center"/>
          <w:trHeight w:val="549"/>
        </w:trPr>
        <w:tc>
          <w:tcPr>
            <w:shd w:val="clear" w:color="auto" w:fill="f3f3f3"/>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bidi="ar"/>
              </w:rPr>
              <w:t xml:space="preserve">医疗机构</w:t>
            </w:r>
            <w:r>
              <w:rPr>
                <w:rFonts w:hint="eastAsia" w:ascii="宋体" w:hAnsi="宋体" w:eastAsia="宋体" w:cs="宋体"/>
                <w:b/>
                <w:sz w:val="28"/>
                <w:szCs w:val="28"/>
                <w:lang w:bidi="ar"/>
              </w:rPr>
              <w:t xml:space="preserve">等级</w:t>
            </w:r>
            <w:r/>
          </w:p>
        </w:tc>
        <w:tc>
          <w:tcPr>
            <w:shd w:val="clear" w:color="auto" w:fill="f3f3f3"/>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8"/>
                <w:szCs w:val="28"/>
                <w:lang w:eastAsia="zh-CN"/>
              </w:rPr>
            </w:pPr>
            <w:r>
              <w:rPr>
                <w:rFonts w:hint="eastAsia" w:ascii="宋体" w:hAnsi="宋体" w:eastAsia="宋体" w:cs="宋体"/>
                <w:b/>
                <w:sz w:val="28"/>
                <w:szCs w:val="28"/>
                <w:lang w:bidi="ar"/>
              </w:rPr>
              <w:t xml:space="preserve">诊疗人次数</w:t>
            </w: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sz w:val="28"/>
                <w:szCs w:val="28"/>
                <w:lang w:bidi="ar"/>
              </w:rPr>
            </w:pPr>
            <w:r>
              <w:rPr>
                <w:rFonts w:hint="eastAsia" w:ascii="宋体" w:hAnsi="宋体" w:eastAsia="宋体" w:cs="宋体"/>
                <w:b/>
                <w:sz w:val="28"/>
                <w:szCs w:val="28"/>
                <w:lang w:bidi="ar"/>
              </w:rPr>
              <w:t xml:space="preserve">出院人数</w:t>
            </w:r>
            <w:r/>
          </w:p>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c>
          <w:tcPr>
            <w:shd w:val="clear" w:color="auto" w:fill="f3f3f3"/>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rPr>
            </w:pPr>
            <w:r>
              <w:rPr>
                <w:rFonts w:hint="eastAsia" w:ascii="宋体" w:hAnsi="宋体" w:eastAsia="宋体" w:cs="宋体"/>
                <w:b/>
                <w:sz w:val="28"/>
                <w:szCs w:val="28"/>
                <w:lang w:bidi="ar"/>
              </w:rPr>
              <w:t xml:space="preserve">住院病人手术人次数</w:t>
            </w:r>
            <w:r>
              <w:rPr>
                <w:rFonts w:hint="eastAsia" w:ascii="宋体" w:hAnsi="宋体" w:eastAsia="宋体" w:cs="宋体"/>
                <w:b/>
                <w:sz w:val="28"/>
                <w:szCs w:val="28"/>
                <w:lang w:eastAsia="zh-CN" w:bidi="ar"/>
              </w:rPr>
              <w:t xml:space="preserve">（</w:t>
            </w:r>
            <w:r>
              <w:rPr>
                <w:rFonts w:hint="eastAsia" w:ascii="宋体" w:hAnsi="宋体" w:eastAsia="宋体" w:cs="宋体"/>
                <w:b/>
                <w:sz w:val="28"/>
                <w:szCs w:val="28"/>
                <w:lang w:val="en-US" w:eastAsia="zh-CN" w:bidi="ar"/>
              </w:rPr>
              <w:t xml:space="preserve">年费率</w:t>
            </w:r>
            <w:r>
              <w:rPr>
                <w:rFonts w:hint="eastAsia" w:ascii="宋体" w:hAnsi="宋体" w:eastAsia="宋体" w:cs="宋体"/>
                <w:b/>
                <w:sz w:val="28"/>
                <w:szCs w:val="28"/>
                <w:lang w:eastAsia="zh-CN" w:bidi="ar"/>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sz w:val="28"/>
                <w:szCs w:val="28"/>
                <w:lang w:bidi="ar"/>
              </w:rPr>
              <w:t xml:space="preserve">三级医院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sz w:val="28"/>
                <w:szCs w:val="28"/>
                <w:lang w:bidi="ar"/>
              </w:rPr>
              <w:t xml:space="preserve">二级医院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r>
        <w:trPr>
          <w:jc w:val="center"/>
          <w:trHeight w:val="567"/>
        </w:trPr>
        <w:tc>
          <w:tcPr>
            <w:tcBorders>
              <w:top w:val="single" w:color="auto" w:sz="4" w:space="0"/>
              <w:left w:val="single" w:color="auto" w:sz="4" w:space="0"/>
              <w:bottom w:val="single" w:color="auto" w:sz="4" w:space="0"/>
              <w:right w:val="single" w:color="auto" w:sz="4" w:space="0"/>
            </w:tcBorders>
            <w:tcW w:w="1462"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sz w:val="28"/>
                <w:szCs w:val="28"/>
                <w:lang w:bidi="ar"/>
              </w:rPr>
            </w:pPr>
            <w:r>
              <w:rPr>
                <w:rFonts w:hint="eastAsia" w:ascii="宋体" w:hAnsi="宋体" w:eastAsia="宋体" w:cs="宋体"/>
                <w:b/>
                <w:sz w:val="28"/>
                <w:szCs w:val="28"/>
                <w:lang w:bidi="ar"/>
              </w:rPr>
              <w:t xml:space="preserve">一级及以下医院</w:t>
            </w:r>
            <w:r/>
          </w:p>
        </w:tc>
        <w:tc>
          <w:tcPr>
            <w:tcBorders>
              <w:top w:val="single" w:color="auto" w:sz="4" w:space="0"/>
              <w:left w:val="none" w:color="000000" w:sz="4" w:space="0"/>
              <w:bottom w:val="single" w:color="auto" w:sz="4" w:space="0"/>
              <w:right w:val="single" w:color="auto" w:sz="4" w:space="0"/>
            </w:tcBorders>
            <w:tcW w:w="114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c>
          <w:tcPr>
            <w:tcBorders>
              <w:top w:val="single" w:color="auto" w:sz="4" w:space="0"/>
              <w:left w:val="none" w:color="000000" w:sz="4" w:space="0"/>
              <w:bottom w:val="single" w:color="auto" w:sz="4" w:space="0"/>
              <w:right w:val="single" w:color="auto" w:sz="4" w:space="0"/>
            </w:tcBorders>
            <w:tcW w:w="1118"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w:t>
            </w:r>
            <w:r/>
          </w:p>
        </w:tc>
        <w:tc>
          <w:tcPr>
            <w:tcBorders>
              <w:top w:val="single" w:color="auto" w:sz="4" w:space="0"/>
              <w:left w:val="none" w:color="000000" w:sz="4" w:space="0"/>
              <w:bottom w:val="single" w:color="auto" w:sz="4" w:space="0"/>
              <w:right w:val="single" w:color="auto" w:sz="4" w:space="0"/>
            </w:tcBorders>
            <w:tcW w:w="1274"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bidi="ar"/>
              </w:rPr>
              <w:t xml:space="preserve">    </w:t>
            </w:r>
            <w:r>
              <w:rPr>
                <w:rFonts w:hint="eastAsia" w:ascii="宋体" w:hAnsi="宋体" w:eastAsia="宋体" w:cs="宋体"/>
                <w:sz w:val="28"/>
                <w:szCs w:val="28"/>
                <w:lang w:bidi="ar"/>
              </w:rPr>
              <w:t xml:space="preserve">元</w:t>
            </w:r>
            <w:r>
              <w:rPr>
                <w:rFonts w:ascii="宋体" w:hAnsi="宋体" w:eastAsia="宋体" w:cs="宋体"/>
                <w:sz w:val="28"/>
                <w:szCs w:val="28"/>
                <w:lang w:bidi="ar"/>
              </w:rPr>
              <w:t xml:space="preserve">/人次</w:t>
            </w:r>
            <w:r/>
          </w:p>
        </w:tc>
      </w:tr>
    </w:tbl>
    <w:p>
      <w:pPr>
        <w:ind w:firstLine="562"/>
        <w:jc w:val="left"/>
        <w:keepLines w:val="0"/>
        <w:keepNext w:val="0"/>
        <w:pageBreakBefore w:val="0"/>
        <w:spacing w:line="400" w:lineRule="exact"/>
        <w:widowControl w:val="off"/>
        <w:rPr>
          <w:rFonts w:ascii="宋体" w:hAnsi="宋体" w:eastAsia="宋体" w:cs="宋体"/>
          <w:b/>
          <w:bCs/>
          <w:sz w:val="28"/>
          <w:szCs w:val="28"/>
        </w:rPr>
        <w:outlineLvl w:val="3"/>
      </w:pPr>
      <w:r>
        <w:rPr>
          <w:rFonts w:hint="eastAsia" w:ascii="宋体" w:hAnsi="宋体" w:eastAsia="宋体" w:cs="宋体"/>
          <w:b/>
          <w:bCs/>
          <w:sz w:val="28"/>
          <w:szCs w:val="28"/>
        </w:rPr>
        <w:t xml:space="preserve">第二部分</w:t>
      </w:r>
      <w:r>
        <w:rPr>
          <w:rFonts w:ascii="宋体" w:hAnsi="宋体" w:eastAsia="宋体" w:cs="宋体"/>
          <w:b/>
          <w:bCs/>
          <w:sz w:val="28"/>
          <w:szCs w:val="28"/>
        </w:rPr>
        <w:t xml:space="preserve">  </w:t>
      </w:r>
      <w:r>
        <w:rPr>
          <w:rFonts w:hint="eastAsia" w:ascii="宋体" w:hAnsi="宋体" w:eastAsia="宋体" w:cs="宋体"/>
          <w:b/>
          <w:bCs/>
          <w:sz w:val="28"/>
          <w:szCs w:val="28"/>
        </w:rPr>
        <w:t xml:space="preserve">适用诊所、中医诊所、民族医诊所、卫生所、医务室、卫生保健所、卫生站、村卫生室</w:t>
      </w:r>
      <w:r>
        <w:rPr>
          <w:rFonts w:ascii="宋体" w:hAnsi="宋体" w:eastAsia="宋体" w:cs="宋体"/>
          <w:b/>
          <w:bCs/>
          <w:sz w:val="28"/>
          <w:szCs w:val="28"/>
        </w:rPr>
        <w:t xml:space="preserve">(所)、社区卫生服务站</w:t>
      </w:r>
      <w:r/>
    </w:p>
    <w:tbl>
      <w:tblPr>
        <w:tblStyle w:val="9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1"/>
        <w:gridCol w:w="1832"/>
        <w:gridCol w:w="1832"/>
        <w:gridCol w:w="1834"/>
        <w:gridCol w:w="1836"/>
      </w:tblGrid>
      <w:tr>
        <w:trPr>
          <w:trHeight w:val="833"/>
        </w:trPr>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方案</w:t>
            </w:r>
            <w:r/>
          </w:p>
        </w:tc>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累计责任限额</w:t>
            </w:r>
            <w:r/>
          </w:p>
        </w:tc>
        <w:tc>
          <w:tcPr>
            <w:shd w:val="clear" w:color="auto" w:fill="f1f1f1"/>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每次事故责任限额</w:t>
            </w:r>
            <w:r/>
          </w:p>
        </w:tc>
        <w:tc>
          <w:tcPr>
            <w:shd w:val="clear" w:color="auto" w:fill="f1f1f1"/>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每次事故每人责任限额</w:t>
            </w:r>
            <w:r/>
          </w:p>
        </w:tc>
        <w:tc>
          <w:tcPr>
            <w:shd w:val="clear" w:color="auto" w:fill="f1f1f1"/>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b/>
                <w:bCs/>
                <w:sz w:val="28"/>
                <w:szCs w:val="28"/>
              </w:rPr>
            </w:pPr>
            <w:r>
              <w:rPr>
                <w:rFonts w:hint="eastAsia" w:ascii="宋体" w:hAnsi="宋体" w:eastAsia="宋体" w:cs="宋体"/>
                <w:b/>
                <w:bCs/>
                <w:sz w:val="28"/>
                <w:szCs w:val="28"/>
              </w:rPr>
              <w:t xml:space="preserve">固定保险费</w:t>
            </w:r>
            <w:r/>
          </w:p>
        </w:tc>
      </w:tr>
      <w:tr>
        <w:trPr>
          <w:trHeight w:val="660"/>
        </w:trPr>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sz w:val="28"/>
                <w:szCs w:val="28"/>
              </w:rPr>
              <w:t xml:space="preserve">方案一</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60</w:t>
            </w:r>
            <w:r>
              <w:rPr>
                <w:rFonts w:hint="eastAsia" w:ascii="宋体" w:hAnsi="宋体" w:eastAsia="宋体" w:cs="宋体"/>
                <w:sz w:val="28"/>
                <w:szCs w:val="28"/>
              </w:rPr>
              <w:t xml:space="preserve">万元</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25</w:t>
            </w:r>
            <w:r>
              <w:rPr>
                <w:rFonts w:hint="eastAsia" w:ascii="宋体" w:hAnsi="宋体" w:eastAsia="宋体" w:cs="宋体"/>
                <w:sz w:val="28"/>
                <w:szCs w:val="28"/>
              </w:rPr>
              <w:t xml:space="preserve">万元</w:t>
            </w:r>
            <w:r/>
          </w:p>
        </w:tc>
        <w:tc>
          <w:tcPr>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15</w:t>
            </w:r>
            <w:r>
              <w:rPr>
                <w:rFonts w:hint="eastAsia" w:ascii="宋体" w:hAnsi="宋体" w:eastAsia="宋体" w:cs="宋体"/>
                <w:sz w:val="28"/>
                <w:szCs w:val="28"/>
              </w:rPr>
              <w:t xml:space="preserve">万元</w:t>
            </w:r>
            <w:r/>
          </w:p>
        </w:tc>
        <w:tc>
          <w:tcPr>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元</w:t>
            </w:r>
            <w:r/>
          </w:p>
        </w:tc>
      </w:tr>
      <w:tr>
        <w:trPr>
          <w:trHeight w:val="660"/>
        </w:trPr>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sz w:val="28"/>
                <w:szCs w:val="28"/>
              </w:rPr>
              <w:t xml:space="preserve">方案二</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50万元</w:t>
            </w:r>
            <w:r/>
          </w:p>
        </w:tc>
        <w:tc>
          <w:tcPr>
            <w:tcW w:w="999"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20万元</w:t>
            </w:r>
            <w:r/>
          </w:p>
        </w:tc>
        <w:tc>
          <w:tcPr>
            <w:tcW w:w="1000"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ascii="宋体" w:hAnsi="宋体" w:eastAsia="宋体" w:cs="宋体"/>
                <w:sz w:val="28"/>
                <w:szCs w:val="28"/>
              </w:rPr>
              <w:t xml:space="preserve">10万元</w:t>
            </w:r>
            <w:r/>
          </w:p>
        </w:tc>
        <w:tc>
          <w:tcPr>
            <w:tcW w:w="1001" w:type="pct"/>
            <w:vAlign w:val="center"/>
            <w:textDirection w:val="lrTb"/>
            <w:noWrap w:val="false"/>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元</w:t>
            </w:r>
            <w:r/>
          </w:p>
        </w:tc>
      </w:tr>
    </w:tbl>
    <w:p>
      <w:pPr>
        <w:ind w:firstLine="562"/>
        <w:keepLines w:val="0"/>
        <w:keepNext w:val="0"/>
        <w:pageBreakBefore w:val="0"/>
        <w:spacing w:line="400" w:lineRule="exact"/>
        <w:widowControl w:val="off"/>
        <w:rPr>
          <w:rFonts w:ascii="宋体" w:hAnsi="宋体" w:eastAsia="宋体" w:cs="宋体"/>
          <w:sz w:val="28"/>
          <w:szCs w:val="28"/>
        </w:rPr>
      </w:pPr>
      <w:r>
        <w:rPr>
          <w:rFonts w:hint="eastAsia" w:ascii="宋体" w:hAnsi="宋体" w:eastAsia="宋体" w:cs="宋体"/>
          <w:b/>
          <w:bCs/>
          <w:sz w:val="28"/>
          <w:szCs w:val="28"/>
        </w:rPr>
        <w:t xml:space="preserve">险种二：医疗机构公众责任保险</w:t>
      </w:r>
      <w:r/>
    </w:p>
    <w:tbl>
      <w:tblPr>
        <w:tblStyle w:val="9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3"/>
        <w:gridCol w:w="2048"/>
        <w:gridCol w:w="2160"/>
        <w:gridCol w:w="1770"/>
        <w:gridCol w:w="1378"/>
      </w:tblGrid>
      <w:tr>
        <w:trPr>
          <w:trHeight w:val="698"/>
        </w:trPr>
        <w:tc>
          <w:tcPr>
            <w:shd w:val="clear" w:color="auto" w:fill="f1f1f1"/>
            <w:tcW w:w="988"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医院等级</w:t>
            </w:r>
            <w:r/>
          </w:p>
        </w:tc>
        <w:tc>
          <w:tcPr>
            <w:shd w:val="clear" w:color="auto" w:fill="f1f1f1"/>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每次事故及累计责任限额</w:t>
            </w:r>
            <w:r/>
          </w:p>
        </w:tc>
        <w:tc>
          <w:tcPr>
            <w:shd w:val="clear" w:color="auto" w:fill="f1f1f1"/>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每次事故每人责任限额</w:t>
            </w:r>
            <w:r/>
          </w:p>
        </w:tc>
        <w:tc>
          <w:tcPr>
            <w:shd w:val="clear" w:color="auto" w:fill="f1f1f1"/>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bCs/>
                <w:sz w:val="28"/>
                <w:szCs w:val="28"/>
                <w:lang w:val="en-US" w:eastAsia="zh-CN" w:bidi="ar-SA"/>
              </w:rPr>
              <w:t xml:space="preserve">累计法律费用责任限额</w:t>
            </w:r>
            <w:r/>
          </w:p>
        </w:tc>
        <w:tc>
          <w:tcPr>
            <w:shd w:val="clear" w:color="auto" w:fill="f1f1f1"/>
            <w:tcW w:w="751"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保费</w:t>
            </w:r>
            <w:r/>
          </w:p>
        </w:tc>
      </w:tr>
      <w:tr>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三级医院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300万元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751" w:type="pct"/>
            <w:vAlign w:val="center"/>
            <w:textDirection w:val="lrTb"/>
            <w:noWrap/>
          </w:tcPr>
          <w:p>
            <w:pPr>
              <w:jc w:val="both"/>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r>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二级医院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200万元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20万元</w:t>
            </w:r>
            <w:r/>
          </w:p>
        </w:tc>
        <w:tc>
          <w:tcPr>
            <w:tcW w:w="751" w:type="pct"/>
            <w:vAlign w:val="center"/>
            <w:textDirection w:val="lrTb"/>
            <w:noWrap/>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r>
        <w:trPr>
          <w:trHeight w:val="393"/>
        </w:trPr>
        <w:tc>
          <w:tcPr>
            <w:tcW w:w="988" w:type="pct"/>
            <w:vAlign w:val="center"/>
            <w:textDirection w:val="lrTb"/>
            <w:noWrap/>
          </w:tcPr>
          <w:p>
            <w:pPr>
              <w:ind w:firstLine="413"/>
              <w:jc w:val="center"/>
              <w:keepLines w:val="0"/>
              <w:keepNext w:val="0"/>
              <w:pageBreakBefore w:val="0"/>
              <w:spacing w:line="400" w:lineRule="exact"/>
              <w:widowControl w:val="off"/>
              <w:rPr>
                <w:rFonts w:hint="default" w:ascii="宋体" w:hAnsi="宋体" w:eastAsia="宋体" w:cs="宋体"/>
                <w:b/>
                <w:sz w:val="28"/>
                <w:szCs w:val="28"/>
                <w:lang w:val="en-US" w:eastAsia="zh-CN" w:bidi="ar-SA"/>
              </w:rPr>
            </w:pPr>
            <w:r>
              <w:rPr>
                <w:rFonts w:hint="eastAsia" w:ascii="宋体" w:hAnsi="宋体" w:cs="宋体"/>
                <w:b/>
                <w:sz w:val="28"/>
                <w:szCs w:val="28"/>
                <w:lang w:val="en-US" w:eastAsia="zh-CN" w:bidi="ar-SA"/>
              </w:rPr>
              <w:t xml:space="preserve">一级医院</w:t>
            </w:r>
            <w:r/>
          </w:p>
        </w:tc>
        <w:tc>
          <w:tcPr>
            <w:tcW w:w="1116"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b/>
                <w:sz w:val="28"/>
                <w:szCs w:val="28"/>
                <w:lang w:val="en-US" w:eastAsia="zh-CN" w:bidi="ar-SA"/>
              </w:rPr>
            </w:pPr>
            <w:r>
              <w:rPr>
                <w:rFonts w:ascii="宋体" w:hAnsi="宋体" w:eastAsia="宋体" w:cs="宋体"/>
                <w:sz w:val="28"/>
                <w:szCs w:val="28"/>
                <w:lang w:val="en-US" w:eastAsia="zh-CN" w:bidi="ar-SA"/>
              </w:rPr>
              <w:t xml:space="preserve">100万元</w:t>
            </w:r>
            <w:r/>
          </w:p>
        </w:tc>
        <w:tc>
          <w:tcPr>
            <w:tcW w:w="1177"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30万元</w:t>
            </w:r>
            <w:r/>
          </w:p>
        </w:tc>
        <w:tc>
          <w:tcPr>
            <w:tcW w:w="965" w:type="pct"/>
            <w:vAlign w:val="center"/>
            <w:textDirection w:val="lrTb"/>
            <w:noWrap/>
          </w:tcPr>
          <w:p>
            <w:pPr>
              <w:ind w:firstLine="0"/>
              <w:jc w:val="center"/>
              <w:keepLines w:val="0"/>
              <w:keepNext w:val="0"/>
              <w:pageBreakBefore w:val="0"/>
              <w:spacing w:line="400" w:lineRule="exact"/>
              <w:widowControl w:val="off"/>
              <w:rPr>
                <w:rFonts w:ascii="宋体" w:hAnsi="宋体" w:eastAsia="宋体" w:cs="宋体"/>
                <w:sz w:val="28"/>
                <w:szCs w:val="28"/>
                <w:lang w:val="en-US" w:eastAsia="zh-CN" w:bidi="ar-SA"/>
              </w:rPr>
            </w:pPr>
            <w:r>
              <w:rPr>
                <w:rFonts w:ascii="宋体" w:hAnsi="宋体" w:eastAsia="宋体" w:cs="宋体"/>
                <w:sz w:val="28"/>
                <w:szCs w:val="28"/>
                <w:lang w:val="en-US" w:eastAsia="zh-CN" w:bidi="ar-SA"/>
              </w:rPr>
              <w:t xml:space="preserve">10万元</w:t>
            </w:r>
            <w:r/>
          </w:p>
        </w:tc>
        <w:tc>
          <w:tcPr>
            <w:tcW w:w="751" w:type="pct"/>
            <w:vAlign w:val="center"/>
            <w:textDirection w:val="lrTb"/>
            <w:noWrap/>
          </w:tcPr>
          <w:p>
            <w:pPr>
              <w:jc w:val="center"/>
              <w:keepLines w:val="0"/>
              <w:keepNext w:val="0"/>
              <w:pageBreakBefore w:val="0"/>
              <w:spacing w:line="400" w:lineRule="exact"/>
              <w:widowControl w:val="off"/>
              <w:rPr>
                <w:rFonts w:ascii="宋体" w:hAnsi="宋体" w:eastAsia="宋体" w:cs="宋体"/>
                <w:sz w:val="28"/>
                <w:szCs w:val="28"/>
              </w:rPr>
            </w:pP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万元</w:t>
            </w:r>
            <w:r/>
          </w:p>
        </w:tc>
      </w:tr>
    </w:tbl>
    <w:p>
      <w:pPr>
        <w:keepLines w:val="0"/>
        <w:keepNext w:val="0"/>
        <w:pageBreakBefore w:val="0"/>
        <w:spacing w:line="400" w:lineRule="exact"/>
        <w:widowControl w:val="off"/>
        <w:rPr>
          <w:rFonts w:ascii="宋体" w:hAnsi="宋体" w:eastAsia="宋体" w:cs="宋体"/>
          <w:sz w:val="28"/>
          <w:szCs w:val="28"/>
          <w:u w:val="none"/>
        </w:rPr>
      </w:pPr>
      <w:r>
        <w:rPr>
          <w:rFonts w:hint="eastAsia" w:ascii="宋体" w:hAnsi="宋体" w:eastAsia="宋体" w:cs="宋体"/>
          <w:b/>
          <w:bCs/>
          <w:sz w:val="24"/>
          <w:szCs w:val="24"/>
          <w:u w:val="none"/>
          <w:lang w:val="en-US" w:eastAsia="zh-CN"/>
        </w:rPr>
        <w:t xml:space="preserve">注：本项目</w:t>
      </w:r>
      <w:r>
        <w:rPr>
          <w:rFonts w:hint="eastAsia" w:ascii="宋体" w:hAnsi="宋体" w:cs="宋体"/>
          <w:b/>
          <w:bCs/>
          <w:sz w:val="24"/>
          <w:szCs w:val="24"/>
          <w:u w:val="none"/>
          <w:lang w:val="en-US" w:eastAsia="zh-CN"/>
        </w:rPr>
        <w:t xml:space="preserve">采购人</w:t>
      </w:r>
      <w:r>
        <w:rPr>
          <w:rFonts w:hint="eastAsia" w:ascii="宋体" w:hAnsi="宋体" w:eastAsia="宋体" w:cs="宋体"/>
          <w:b/>
          <w:bCs/>
          <w:sz w:val="24"/>
          <w:szCs w:val="24"/>
          <w:u w:val="none"/>
          <w:lang w:val="en-US" w:eastAsia="zh-CN"/>
        </w:rPr>
        <w:t xml:space="preserve">设定保费报价限价详见本项目招标文件第四章采购需求中</w:t>
      </w:r>
      <w:r>
        <w:rPr>
          <w:rFonts w:hint="eastAsia" w:ascii="Times New Roman" w:hAnsi="Times New Roman" w:eastAsia="宋体" w:cs="Times New Roman"/>
          <w:b/>
          <w:bCs/>
          <w:sz w:val="24"/>
          <w:szCs w:val="24"/>
          <w:u w:val="none"/>
          <w:lang w:val="en-US" w:eastAsia="zh-CN"/>
        </w:rPr>
        <w:t xml:space="preserve">限价费率</w:t>
      </w:r>
      <w:r>
        <w:rPr>
          <w:rFonts w:hint="eastAsia" w:ascii="Times New Roman" w:hAnsi="Times New Roman" w:eastAsia="宋体" w:cs="Times New Roman"/>
          <w:b/>
          <w:bCs/>
          <w:sz w:val="24"/>
          <w:szCs w:val="24"/>
          <w:u w:val="none"/>
        </w:rPr>
        <w:t xml:space="preserve">一览表</w:t>
      </w:r>
      <w:r>
        <w:rPr>
          <w:rFonts w:hint="eastAsia" w:ascii="宋体" w:hAnsi="宋体" w:eastAsia="宋体" w:cs="宋体"/>
          <w:b/>
          <w:bCs/>
          <w:sz w:val="24"/>
          <w:szCs w:val="24"/>
          <w:u w:val="none"/>
          <w:lang w:val="en-US" w:eastAsia="zh-CN"/>
        </w:rPr>
        <w:t xml:space="preserve">，超过最高限价的</w:t>
      </w:r>
      <w:r>
        <w:rPr>
          <w:rFonts w:hint="eastAsia" w:ascii="宋体" w:hAnsi="宋体" w:eastAsia="宋体" w:cs="宋体"/>
          <w:b/>
          <w:bCs/>
          <w:sz w:val="24"/>
          <w:szCs w:val="24"/>
          <w:u w:val="none"/>
        </w:rPr>
        <w:t xml:space="preserve">报价</w:t>
      </w:r>
      <w:r>
        <w:rPr>
          <w:rFonts w:hint="eastAsia" w:ascii="宋体" w:hAnsi="宋体" w:eastAsia="宋体" w:cs="宋体"/>
          <w:b/>
          <w:bCs/>
          <w:sz w:val="24"/>
          <w:szCs w:val="24"/>
          <w:u w:val="none"/>
          <w:lang w:val="en-US" w:eastAsia="zh-CN"/>
        </w:rPr>
        <w:t xml:space="preserve">作</w:t>
      </w:r>
      <w:r>
        <w:rPr>
          <w:rFonts w:hint="eastAsia" w:ascii="宋体" w:hAnsi="宋体" w:eastAsia="宋体" w:cs="宋体"/>
          <w:b/>
          <w:bCs/>
          <w:sz w:val="24"/>
          <w:szCs w:val="24"/>
          <w:u w:val="none"/>
        </w:rPr>
        <w:t xml:space="preserve">无效标处理</w:t>
      </w:r>
      <w:r>
        <w:rPr>
          <w:rFonts w:hint="eastAsia" w:ascii="宋体" w:hAnsi="宋体" w:eastAsia="宋体" w:cs="宋体"/>
          <w:b/>
          <w:bCs/>
          <w:sz w:val="24"/>
          <w:szCs w:val="24"/>
          <w:u w:val="none"/>
          <w:lang w:eastAsia="zh-CN"/>
        </w:rPr>
        <w:t xml:space="preserve">。</w:t>
      </w:r>
      <w:r/>
    </w:p>
    <w:p>
      <w:pPr>
        <w:ind w:firstLine="562"/>
        <w:jc w:val="left"/>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投标人：（盖章）</w:t>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法定代表人或授权代理人：（签字）</w:t>
      </w:r>
      <w:r/>
    </w:p>
    <w:p>
      <w:pPr>
        <w:ind w:firstLine="562"/>
        <w:jc w:val="left"/>
        <w:spacing w:line="360" w:lineRule="auto"/>
        <w:widowControl/>
        <w:rPr>
          <w:rFonts w:ascii="宋体" w:hAnsi="宋体" w:eastAsia="宋体" w:cs="宋体"/>
          <w:b/>
          <w:bCs/>
          <w:sz w:val="28"/>
          <w:szCs w:val="28"/>
        </w:rPr>
      </w:pPr>
      <w:r>
        <w:rPr>
          <w:rFonts w:hint="eastAsia" w:ascii="宋体" w:hAnsi="宋体" w:eastAsia="宋体" w:cs="宋体"/>
          <w:b/>
          <w:bCs/>
          <w:sz w:val="28"/>
          <w:szCs w:val="28"/>
        </w:rPr>
        <w:t xml:space="preserve">投标人总公司核保负责人：（签字）</w:t>
      </w:r>
      <w:r/>
    </w:p>
    <w:p>
      <w:pPr>
        <w:ind w:firstLine="562"/>
        <w:spacing w:line="360" w:lineRule="auto"/>
        <w:rPr>
          <w:rFonts w:ascii="宋体" w:hAnsi="宋体" w:eastAsia="宋体" w:cs="宋体"/>
          <w:sz w:val="28"/>
          <w:szCs w:val="28"/>
        </w:rPr>
      </w:pPr>
      <w:r>
        <w:rPr>
          <w:rFonts w:hint="eastAsia" w:ascii="宋体" w:hAnsi="宋体" w:eastAsia="宋体" w:cs="宋体"/>
          <w:b/>
          <w:bCs/>
          <w:sz w:val="28"/>
          <w:szCs w:val="28"/>
        </w:rPr>
        <w:t xml:space="preserve">日期：</w:t>
      </w:r>
      <w:r/>
    </w:p>
    <w:p>
      <w:pPr>
        <w:pStyle w:val="944"/>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944"/>
        <w:ind w:left="0" w:firstLine="1600"/>
        <w:jc w:val="both"/>
        <w:keepLines w:val="0"/>
        <w:keepNext w:val="0"/>
        <w:spacing w:before="0" w:beforeAutospacing="0" w:after="0" w:afterAutospacing="0" w:line="499" w:lineRule="atLeast"/>
        <w:widowControl/>
        <w:rPr>
          <w:rFonts w:hint="eastAsia" w:ascii="黑体" w:hAnsi="黑体" w:eastAsia="黑体" w:cs="黑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五</w:t>
      </w:r>
      <w:r>
        <w:rPr>
          <w:rFonts w:hint="eastAsia" w:ascii="黑体" w:hAnsi="黑体" w:eastAsia="黑体" w:cs="黑体"/>
          <w:b/>
          <w:bCs/>
          <w:color w:val="000000"/>
          <w:sz w:val="32"/>
          <w:szCs w:val="32"/>
        </w:rPr>
        <w:t xml:space="preserve">、盐城市政府采购事前信用承诺书</w:t>
      </w:r>
      <w:r/>
    </w:p>
    <w:p>
      <w:pPr>
        <w:pStyle w:val="944"/>
        <w:ind w:left="0" w:firstLine="64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 </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44"/>
        <w:keepLines w:val="0"/>
        <w:keepNext w:val="0"/>
        <w:pageBreakBefore w:val="0"/>
        <w:spacing w:before="0" w:beforeAutospacing="0" w:after="0" w:afterAutospacing="0" w:line="500" w:lineRule="exac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（四）严格遵守即时信息公示规定，及时维护和更新盐城市政府采购网中与本单位相关的信息；</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（六）自觉接受政府、行业组织、社会公众、新闻舆论的监督；</w:t>
      </w:r>
      <w:r/>
    </w:p>
    <w:p>
      <w:pPr>
        <w:pStyle w:val="944"/>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44"/>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（八）本人已认真阅读了上述承诺，并向本单位员工作了宣传教育。</w:t>
      </w:r>
      <w:r/>
    </w:p>
    <w:p>
      <w:pPr>
        <w:pStyle w:val="944"/>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944"/>
        <w:ind w:firstLine="40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单位负责人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签名：</w:t>
      </w:r>
      <w:r/>
    </w:p>
    <w:p>
      <w:pPr>
        <w:pStyle w:val="944"/>
        <w:jc w:val="center"/>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单位名称（盖章）：</w:t>
      </w:r>
      <w:r/>
    </w:p>
    <w:p>
      <w:pPr>
        <w:pStyle w:val="944"/>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年 月 日</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jc w:val="center"/>
        <w:keepLines w:val="0"/>
        <w:keepNext w:val="0"/>
        <w:spacing w:before="0" w:beforeAutospacing="0" w:after="0" w:afterAutospacing="0"/>
        <w:widowControl w:val="off"/>
        <w:rPr>
          <w:rFonts w:hint="eastAsia" w:ascii="黑体" w:hAnsi="黑体" w:eastAsia="黑体" w:cs="黑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六</w:t>
      </w:r>
      <w:r>
        <w:rPr>
          <w:rFonts w:hint="eastAsia" w:ascii="黑体" w:hAnsi="黑体" w:eastAsia="黑体" w:cs="黑体"/>
          <w:b/>
          <w:bCs/>
          <w:color w:val="000000"/>
          <w:sz w:val="32"/>
          <w:szCs w:val="32"/>
        </w:rPr>
        <w:t xml:space="preserve">、其他材料（如有）</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44"/>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End w:id="102"/>
      <w:r/>
      <w:bookmarkEnd w:id="103"/>
      <w:r/>
      <w:r/>
    </w:p>
    <w:p>
      <w:pPr>
        <w:pStyle w:val="944"/>
        <w:jc w:val="center"/>
        <w:keepLines w:val="0"/>
        <w:keepNext w:val="0"/>
        <w:pageBreakBefore w:val="0"/>
        <w:spacing w:beforeAutospacing="0" w:afterAutospacing="0" w:line="34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44"/>
        <w:jc w:val="both"/>
        <w:keepLines w:val="0"/>
        <w:keepNext w:val="0"/>
        <w:pageBreakBefore w:val="0"/>
        <w:spacing w:before="290"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44"/>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w:t>
      </w:r>
      <w:r/>
    </w:p>
    <w:p>
      <w:pPr>
        <w:pStyle w:val="944"/>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公章：  </w:t>
      </w:r>
      <w:r/>
    </w:p>
    <w:p>
      <w:pPr>
        <w:pStyle w:val="944"/>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日期：   </w:t>
      </w:r>
      <w:r/>
    </w:p>
    <w:p>
      <w:pPr>
        <w:pStyle w:val="944"/>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44"/>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944"/>
        <w:ind w:firstLine="480"/>
        <w:keepLines w:val="0"/>
        <w:keepNext w:val="0"/>
        <w:pageBreakBefore w:val="0"/>
        <w:spacing w:beforeAutospacing="0" w:afterAutospacing="0" w:line="340" w:lineRule="exact"/>
        <w:widowControl/>
        <w:rPr>
          <w:rFonts w:hint="eastAsia" w:ascii="宋体" w:hAnsi="宋体"/>
          <w:sz w:val="24"/>
          <w:szCs w:val="24"/>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lear" w:pos="4153" w:leader="none"/>
        <w:tab w:val="clear" w:pos="8306" w:leader="none"/>
      </w:tabs>
      <w:rPr>
        <w:rFonts w:hint="eastAsia" w:eastAsia="宋体"/>
        <w:b/>
        <w:i/>
        <w:sz w:val="20"/>
        <w:lang w:eastAsia="zh-CN"/>
      </w:rPr>
    </w:pPr>
    <w:r>
      <w:rPr>
        <w:rFonts w:hint="eastAsia" w:eastAsia="宋体"/>
        <w:b/>
        <w:i/>
        <w:sz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5"/>
      <w:jc w:val="left"/>
      <w:spacing w:line="170" w:lineRule="auto"/>
      <w:widowControl/>
      <w:tabs>
        <w:tab w:val="left" w:pos="4567" w:leader="none"/>
      </w:tabs>
      <w:rPr>
        <w:rFonts w:ascii="宋体" w:hAnsi="宋体" w:eastAsia="宋体" w:cs="宋体"/>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2734201</wp:posOffset>
              </wp:positionH>
              <wp:positionV relativeFrom="paragraph">
                <wp:posOffset>-6762</wp:posOffset>
              </wp:positionV>
              <wp:extent cx="301134" cy="131433"/>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30113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5.3pt;mso-position-horizontal:absolute;mso-position-vertical-relative:text;margin-top:-0.5pt;mso-position-vertical:absolute;width:23.7pt;height:10.3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宋体" w:hAnsi="宋体" w:eastAsia="宋体" w:cs="宋体"/>
        <w:color w:val="000000"/>
        <w:sz w:val="18"/>
        <w:szCs w:val="18"/>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lear" w:pos="4153" w:leader="none"/>
        <w:tab w:val="clear" w:pos="8306" w:leader="none"/>
      </w:tabs>
      <w:rPr>
        <w:rFonts w:hint="eastAsia" w:eastAsia="宋体"/>
        <w:b/>
        <w:i/>
        <w:sz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2853655</wp:posOffset>
              </wp:positionH>
              <wp:positionV relativeFrom="paragraph">
                <wp:posOffset>0</wp:posOffset>
              </wp:positionV>
              <wp:extent cx="226358" cy="22550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226358" cy="225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24.7pt;mso-position-horizontal:absolute;mso-position-vertical-relative:text;margin-top:0.0pt;mso-position-vertical:absolute;width:17.8pt;height:17.8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3"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pStyle w:val="956"/>
      <w:isLgl w:val="false"/>
      <w:suff w:val="tab"/>
      <w:lvlText w:val="%2)"/>
      <w:lvlJc w:val="left"/>
      <w:pPr>
        <w:ind w:left="840" w:hanging="420"/>
      </w:pPr>
    </w:lvl>
    <w:lvl w:ilvl="2">
      <w:start w:val="1"/>
      <w:numFmt w:val="lowerRoman"/>
      <w:pStyle w:val="95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2"/>
  </w:num>
  <w:num w:numId="3">
    <w:abstractNumId w:val="9"/>
  </w:num>
  <w:num w:numId="4">
    <w:abstractNumId w:val="10"/>
  </w:num>
  <w:num w:numId="5">
    <w:abstractNumId w:val="3"/>
  </w:num>
  <w:num w:numId="6">
    <w:abstractNumId w:val="1"/>
  </w:num>
  <w:num w:numId="7">
    <w:abstractNumId w:val="4"/>
  </w:num>
  <w:num w:numId="8">
    <w:abstractNumId w:val="14"/>
  </w:num>
  <w:num w:numId="9">
    <w:abstractNumId w:val="8"/>
  </w:num>
  <w:num w:numId="10">
    <w:abstractNumId w:val="7"/>
  </w:num>
  <w:num w:numId="11">
    <w:abstractNumId w:val="11"/>
  </w:num>
  <w:num w:numId="12">
    <w:abstractNumId w:val="2"/>
  </w:num>
  <w:num w:numId="13">
    <w:abstractNumId w:val="6"/>
  </w:num>
  <w:num w:numId="14">
    <w:abstractNumId w:val="0"/>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33"/>
    <w:link w:val="929"/>
    <w:uiPriority w:val="9"/>
    <w:rPr>
      <w:rFonts w:ascii="Arial" w:hAnsi="Arial" w:eastAsia="Arial" w:cs="Arial"/>
      <w:sz w:val="40"/>
      <w:szCs w:val="40"/>
    </w:rPr>
  </w:style>
  <w:style w:type="character" w:styleId="758">
    <w:name w:val="Heading 2 Char"/>
    <w:basedOn w:val="933"/>
    <w:link w:val="930"/>
    <w:uiPriority w:val="9"/>
    <w:rPr>
      <w:rFonts w:ascii="Arial" w:hAnsi="Arial" w:eastAsia="Arial" w:cs="Arial"/>
      <w:sz w:val="34"/>
    </w:rPr>
  </w:style>
  <w:style w:type="character" w:styleId="759">
    <w:name w:val="Heading 3 Char"/>
    <w:basedOn w:val="933"/>
    <w:link w:val="931"/>
    <w:uiPriority w:val="9"/>
    <w:rPr>
      <w:rFonts w:ascii="Arial" w:hAnsi="Arial" w:eastAsia="Arial" w:cs="Arial"/>
      <w:sz w:val="30"/>
      <w:szCs w:val="30"/>
    </w:rPr>
  </w:style>
  <w:style w:type="character" w:styleId="760">
    <w:name w:val="Heading 4 Char"/>
    <w:basedOn w:val="933"/>
    <w:link w:val="932"/>
    <w:uiPriority w:val="9"/>
    <w:rPr>
      <w:rFonts w:ascii="Arial" w:hAnsi="Arial" w:eastAsia="Arial" w:cs="Arial"/>
      <w:b/>
      <w:bCs/>
      <w:sz w:val="26"/>
      <w:szCs w:val="26"/>
    </w:rPr>
  </w:style>
  <w:style w:type="paragraph" w:styleId="761">
    <w:name w:val="Heading 5"/>
    <w:basedOn w:val="928"/>
    <w:next w:val="928"/>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33"/>
    <w:link w:val="761"/>
    <w:uiPriority w:val="9"/>
    <w:rPr>
      <w:rFonts w:ascii="Arial" w:hAnsi="Arial" w:eastAsia="Arial" w:cs="Arial"/>
      <w:b/>
      <w:bCs/>
      <w:sz w:val="24"/>
      <w:szCs w:val="24"/>
    </w:rPr>
  </w:style>
  <w:style w:type="paragraph" w:styleId="763">
    <w:name w:val="Heading 6"/>
    <w:basedOn w:val="928"/>
    <w:next w:val="928"/>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33"/>
    <w:link w:val="763"/>
    <w:uiPriority w:val="9"/>
    <w:rPr>
      <w:rFonts w:ascii="Arial" w:hAnsi="Arial" w:eastAsia="Arial" w:cs="Arial"/>
      <w:b/>
      <w:bCs/>
      <w:sz w:val="22"/>
      <w:szCs w:val="22"/>
    </w:rPr>
  </w:style>
  <w:style w:type="paragraph" w:styleId="765">
    <w:name w:val="Heading 7"/>
    <w:basedOn w:val="928"/>
    <w:next w:val="928"/>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33"/>
    <w:link w:val="765"/>
    <w:uiPriority w:val="9"/>
    <w:rPr>
      <w:rFonts w:ascii="Arial" w:hAnsi="Arial" w:eastAsia="Arial" w:cs="Arial"/>
      <w:b/>
      <w:bCs/>
      <w:i/>
      <w:iCs/>
      <w:sz w:val="22"/>
      <w:szCs w:val="22"/>
    </w:rPr>
  </w:style>
  <w:style w:type="paragraph" w:styleId="767">
    <w:name w:val="Heading 8"/>
    <w:basedOn w:val="928"/>
    <w:next w:val="928"/>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33"/>
    <w:link w:val="767"/>
    <w:uiPriority w:val="9"/>
    <w:rPr>
      <w:rFonts w:ascii="Arial" w:hAnsi="Arial" w:eastAsia="Arial" w:cs="Arial"/>
      <w:i/>
      <w:iCs/>
      <w:sz w:val="22"/>
      <w:szCs w:val="22"/>
    </w:rPr>
  </w:style>
  <w:style w:type="paragraph" w:styleId="769">
    <w:name w:val="Heading 9"/>
    <w:basedOn w:val="928"/>
    <w:next w:val="928"/>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33"/>
    <w:link w:val="769"/>
    <w:uiPriority w:val="9"/>
    <w:rPr>
      <w:rFonts w:ascii="Arial" w:hAnsi="Arial" w:eastAsia="Arial" w:cs="Arial"/>
      <w:i/>
      <w:iCs/>
      <w:sz w:val="21"/>
      <w:szCs w:val="21"/>
    </w:rPr>
  </w:style>
  <w:style w:type="paragraph" w:styleId="771">
    <w:name w:val="List Paragraph"/>
    <w:basedOn w:val="928"/>
    <w:uiPriority w:val="34"/>
    <w:qFormat/>
    <w:pPr>
      <w:contextualSpacing/>
      <w:ind w:left="720"/>
    </w:pPr>
  </w:style>
  <w:style w:type="paragraph" w:styleId="772">
    <w:name w:val="No Spacing"/>
    <w:uiPriority w:val="1"/>
    <w:qFormat/>
    <w:pPr>
      <w:spacing w:before="0" w:after="0" w:line="240" w:lineRule="auto"/>
    </w:pPr>
  </w:style>
  <w:style w:type="paragraph" w:styleId="773">
    <w:name w:val="Title"/>
    <w:basedOn w:val="928"/>
    <w:next w:val="928"/>
    <w:link w:val="774"/>
    <w:uiPriority w:val="10"/>
    <w:qFormat/>
    <w:pPr>
      <w:contextualSpacing/>
      <w:spacing w:before="300" w:after="200"/>
    </w:pPr>
    <w:rPr>
      <w:sz w:val="48"/>
      <w:szCs w:val="48"/>
    </w:rPr>
  </w:style>
  <w:style w:type="character" w:styleId="774">
    <w:name w:val="Title Char"/>
    <w:basedOn w:val="933"/>
    <w:link w:val="773"/>
    <w:uiPriority w:val="10"/>
    <w:rPr>
      <w:sz w:val="48"/>
      <w:szCs w:val="48"/>
    </w:rPr>
  </w:style>
  <w:style w:type="paragraph" w:styleId="775">
    <w:name w:val="Subtitle"/>
    <w:basedOn w:val="928"/>
    <w:next w:val="928"/>
    <w:link w:val="776"/>
    <w:uiPriority w:val="11"/>
    <w:qFormat/>
    <w:pPr>
      <w:spacing w:before="200" w:after="200"/>
    </w:pPr>
    <w:rPr>
      <w:sz w:val="24"/>
      <w:szCs w:val="24"/>
    </w:rPr>
  </w:style>
  <w:style w:type="character" w:styleId="776">
    <w:name w:val="Subtitle Char"/>
    <w:basedOn w:val="933"/>
    <w:link w:val="775"/>
    <w:uiPriority w:val="11"/>
    <w:rPr>
      <w:sz w:val="24"/>
      <w:szCs w:val="24"/>
    </w:rPr>
  </w:style>
  <w:style w:type="paragraph" w:styleId="777">
    <w:name w:val="Quote"/>
    <w:basedOn w:val="928"/>
    <w:next w:val="928"/>
    <w:link w:val="778"/>
    <w:uiPriority w:val="29"/>
    <w:qFormat/>
    <w:pPr>
      <w:ind w:left="720" w:right="720"/>
    </w:pPr>
    <w:rPr>
      <w:i/>
    </w:rPr>
  </w:style>
  <w:style w:type="character" w:styleId="778">
    <w:name w:val="Quote Char"/>
    <w:link w:val="777"/>
    <w:uiPriority w:val="29"/>
    <w:rPr>
      <w:i/>
    </w:rPr>
  </w:style>
  <w:style w:type="paragraph" w:styleId="779">
    <w:name w:val="Intense Quote"/>
    <w:basedOn w:val="928"/>
    <w:next w:val="928"/>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28"/>
    <w:link w:val="782"/>
    <w:uiPriority w:val="99"/>
    <w:unhideWhenUsed/>
    <w:pPr>
      <w:spacing w:after="0" w:line="240" w:lineRule="auto"/>
      <w:tabs>
        <w:tab w:val="center" w:pos="7143" w:leader="none"/>
        <w:tab w:val="right" w:pos="14287" w:leader="none"/>
      </w:tabs>
    </w:pPr>
  </w:style>
  <w:style w:type="character" w:styleId="782">
    <w:name w:val="Header Char"/>
    <w:basedOn w:val="933"/>
    <w:link w:val="781"/>
    <w:uiPriority w:val="99"/>
  </w:style>
  <w:style w:type="character" w:styleId="783">
    <w:name w:val="Footer Char"/>
    <w:basedOn w:val="933"/>
    <w:link w:val="941"/>
    <w:uiPriority w:val="99"/>
  </w:style>
  <w:style w:type="paragraph" w:styleId="784">
    <w:name w:val="Caption"/>
    <w:basedOn w:val="928"/>
    <w:next w:val="928"/>
    <w:uiPriority w:val="35"/>
    <w:semiHidden/>
    <w:unhideWhenUsed/>
    <w:qFormat/>
    <w:pPr>
      <w:spacing w:line="276" w:lineRule="auto"/>
    </w:pPr>
    <w:rPr>
      <w:b/>
      <w:bCs/>
      <w:color w:val="4f81bd" w:themeColor="accent1"/>
      <w:sz w:val="18"/>
      <w:szCs w:val="18"/>
    </w:rPr>
  </w:style>
  <w:style w:type="character" w:styleId="785">
    <w:name w:val="Caption Char"/>
    <w:basedOn w:val="784"/>
    <w:link w:val="941"/>
    <w:uiPriority w:val="99"/>
  </w:style>
  <w:style w:type="table" w:styleId="786">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8"/>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basedOn w:val="933"/>
    <w:uiPriority w:val="99"/>
    <w:unhideWhenUsed/>
    <w:rPr>
      <w:vertAlign w:val="superscript"/>
    </w:rPr>
  </w:style>
  <w:style w:type="paragraph" w:styleId="915">
    <w:name w:val="endnote text"/>
    <w:basedOn w:val="928"/>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3"/>
    <w:uiPriority w:val="99"/>
    <w:semiHidden/>
    <w:unhideWhenUsed/>
    <w:rPr>
      <w:vertAlign w:val="superscript"/>
    </w:rPr>
  </w:style>
  <w:style w:type="paragraph" w:styleId="918">
    <w:name w:val="toc 1"/>
    <w:basedOn w:val="928"/>
    <w:next w:val="928"/>
    <w:uiPriority w:val="39"/>
    <w:unhideWhenUsed/>
    <w:pPr>
      <w:ind w:left="0" w:right="0" w:firstLine="0"/>
      <w:spacing w:after="57"/>
    </w:pPr>
  </w:style>
  <w:style w:type="paragraph" w:styleId="919">
    <w:name w:val="toc 2"/>
    <w:basedOn w:val="928"/>
    <w:next w:val="928"/>
    <w:uiPriority w:val="39"/>
    <w:unhideWhenUsed/>
    <w:pPr>
      <w:ind w:left="283" w:right="0" w:firstLine="0"/>
      <w:spacing w:after="57"/>
    </w:pPr>
  </w:style>
  <w:style w:type="paragraph" w:styleId="920">
    <w:name w:val="toc 3"/>
    <w:basedOn w:val="928"/>
    <w:next w:val="928"/>
    <w:uiPriority w:val="39"/>
    <w:unhideWhenUsed/>
    <w:pPr>
      <w:ind w:left="567" w:right="0" w:firstLine="0"/>
      <w:spacing w:after="57"/>
    </w:pPr>
  </w:style>
  <w:style w:type="paragraph" w:styleId="921">
    <w:name w:val="toc 4"/>
    <w:basedOn w:val="928"/>
    <w:next w:val="928"/>
    <w:uiPriority w:val="39"/>
    <w:unhideWhenUsed/>
    <w:pPr>
      <w:ind w:left="850" w:right="0" w:firstLine="0"/>
      <w:spacing w:after="57"/>
    </w:pPr>
  </w:style>
  <w:style w:type="paragraph" w:styleId="922">
    <w:name w:val="toc 5"/>
    <w:basedOn w:val="928"/>
    <w:next w:val="928"/>
    <w:uiPriority w:val="39"/>
    <w:unhideWhenUsed/>
    <w:pPr>
      <w:ind w:left="1134"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link w:val="1012"/>
    <w:uiPriority w:val="0"/>
    <w:qFormat/>
    <w:pPr>
      <w:jc w:val="both"/>
      <w:widowControl w:val="off"/>
    </w:pPr>
    <w:rPr>
      <w:rFonts w:ascii="Times New Roman" w:hAnsi="Times New Roman" w:eastAsia="宋体" w:cs="Times New Roman"/>
      <w:sz w:val="21"/>
      <w:szCs w:val="21"/>
      <w:lang w:val="en-US" w:eastAsia="zh-CN" w:bidi="ar-SA"/>
    </w:rPr>
  </w:style>
  <w:style w:type="paragraph" w:styleId="929">
    <w:name w:val="Heading 1"/>
    <w:basedOn w:val="928"/>
    <w:uiPriority w:val="0"/>
    <w:qFormat/>
    <w:pPr>
      <w:jc w:val="center"/>
      <w:keepLines/>
      <w:keepNext/>
      <w:spacing w:before="340" w:after="330" w:line="576" w:lineRule="auto"/>
      <w:outlineLvl w:val="0"/>
    </w:pPr>
    <w:rPr>
      <w:b/>
      <w:bCs/>
      <w:sz w:val="44"/>
      <w:szCs w:val="44"/>
    </w:rPr>
  </w:style>
  <w:style w:type="paragraph" w:styleId="930">
    <w:name w:val="Heading 2"/>
    <w:basedOn w:val="928"/>
    <w:next w:val="92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1">
    <w:name w:val="Heading 3"/>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35"/>
    <w:uiPriority w:val="9"/>
    <w:unhideWhenUsed/>
    <w:qFormat/>
    <w:pPr>
      <w:keepLines/>
      <w:keepNext/>
      <w:spacing w:before="320" w:after="200"/>
      <w:outlineLvl w:val="3"/>
    </w:pPr>
    <w:rPr>
      <w:rFonts w:ascii="Arial" w:hAnsi="Arial" w:eastAsia="Arial" w:cs="Arial"/>
      <w:b/>
      <w:bCs/>
      <w:sz w:val="26"/>
      <w:szCs w:val="26"/>
    </w:rPr>
  </w:style>
  <w:style w:type="character" w:styleId="933" w:default="1">
    <w:name w:val="Default Paragraph Font"/>
    <w:uiPriority w:val="0"/>
    <w:semiHidden/>
    <w:qFormat/>
  </w:style>
  <w:style w:type="table" w:styleId="934" w:default="1">
    <w:name w:val="Normal Table"/>
    <w:uiPriority w:val="0"/>
    <w:semiHidden/>
    <w:qFormat/>
    <w:tblPr>
      <w:tblCellMar>
        <w:left w:w="108" w:type="dxa"/>
        <w:top w:w="0" w:type="dxa"/>
        <w:right w:w="108" w:type="dxa"/>
        <w:bottom w:w="0" w:type="dxa"/>
      </w:tblCellMar>
    </w:tblPr>
  </w:style>
  <w:style w:type="paragraph" w:styleId="935">
    <w:name w:val="Normal Indent"/>
    <w:basedOn w:val="928"/>
    <w:uiPriority w:val="0"/>
    <w:qFormat/>
    <w:pPr>
      <w:ind w:firstLine="420"/>
    </w:pPr>
  </w:style>
  <w:style w:type="paragraph" w:styleId="936">
    <w:name w:val="annotation text"/>
    <w:basedOn w:val="928"/>
    <w:uiPriority w:val="0"/>
    <w:qFormat/>
    <w:pPr>
      <w:jc w:val="left"/>
    </w:pPr>
  </w:style>
  <w:style w:type="paragraph" w:styleId="937">
    <w:name w:val="Body Text"/>
    <w:basedOn w:val="928"/>
    <w:next w:val="928"/>
    <w:uiPriority w:val="0"/>
    <w:qFormat/>
    <w:pPr>
      <w:spacing w:after="120"/>
    </w:pPr>
    <w:rPr>
      <w:sz w:val="21"/>
      <w:szCs w:val="24"/>
    </w:rPr>
  </w:style>
  <w:style w:type="paragraph" w:styleId="938">
    <w:name w:val="Body Text Indent"/>
    <w:basedOn w:val="928"/>
    <w:uiPriority w:val="0"/>
    <w:qFormat/>
    <w:pPr>
      <w:ind w:firstLine="645"/>
    </w:pPr>
    <w:rPr>
      <w:rFonts w:ascii="楷体_GB2312" w:eastAsia="楷体_GB2312"/>
      <w:sz w:val="32"/>
      <w:szCs w:val="32"/>
    </w:rPr>
  </w:style>
  <w:style w:type="paragraph" w:styleId="939">
    <w:name w:val="Block Text"/>
    <w:basedOn w:val="928"/>
    <w:uiPriority w:val="99"/>
    <w:qFormat/>
    <w:pPr>
      <w:ind w:left="560" w:right="-512"/>
    </w:pPr>
    <w:rPr>
      <w:rFonts w:ascii="幼圆" w:hAnsi="Times New Roman" w:eastAsia="幼圆" w:cs="Garamond"/>
      <w:sz w:val="24"/>
      <w:szCs w:val="21"/>
    </w:rPr>
  </w:style>
  <w:style w:type="paragraph" w:styleId="940">
    <w:name w:val="Plain Text"/>
    <w:basedOn w:val="928"/>
    <w:uiPriority w:val="0"/>
    <w:qFormat/>
    <w:rPr>
      <w:rFonts w:ascii="宋体" w:hAnsi="Courier New" w:eastAsia="楷体_GB2312"/>
      <w:sz w:val="28"/>
      <w:szCs w:val="20"/>
    </w:rPr>
  </w:style>
  <w:style w:type="paragraph" w:styleId="941">
    <w:name w:val="Footer"/>
    <w:basedOn w:val="928"/>
    <w:uiPriority w:val="0"/>
    <w:qFormat/>
    <w:pPr>
      <w:jc w:val="left"/>
      <w:tabs>
        <w:tab w:val="center" w:pos="4153" w:leader="none"/>
        <w:tab w:val="right" w:pos="8306" w:leader="none"/>
      </w:tabs>
    </w:pPr>
    <w:rPr>
      <w:sz w:val="18"/>
    </w:rPr>
  </w:style>
  <w:style w:type="paragraph" w:styleId="942">
    <w:name w:val="toc 6"/>
    <w:basedOn w:val="928"/>
    <w:next w:val="928"/>
    <w:uiPriority w:val="0"/>
    <w:semiHidden/>
    <w:qFormat/>
    <w:pPr>
      <w:ind w:left="1050"/>
      <w:jc w:val="left"/>
    </w:pPr>
  </w:style>
  <w:style w:type="paragraph" w:styleId="943">
    <w:name w:val="HTML Preformatted"/>
    <w:basedOn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944">
    <w:name w:val="Normal (Web)"/>
    <w:basedOn w:val="928"/>
    <w:uiPriority w:val="0"/>
    <w:qFormat/>
    <w:pPr>
      <w:ind w:left="0" w:right="0"/>
      <w:jc w:val="left"/>
      <w:spacing w:before="0" w:beforeAutospacing="1" w:after="0" w:afterAutospacing="1"/>
    </w:pPr>
    <w:rPr>
      <w:sz w:val="24"/>
      <w:lang w:val="en-US" w:eastAsia="zh-CN" w:bidi="ar"/>
    </w:rPr>
  </w:style>
  <w:style w:type="paragraph" w:styleId="945">
    <w:name w:val="Body Text First Indent"/>
    <w:basedOn w:val="937"/>
    <w:next w:val="942"/>
    <w:uiPriority w:val="0"/>
    <w:qFormat/>
    <w:pPr>
      <w:ind w:firstLine="420"/>
    </w:pPr>
    <w:rPr>
      <w:sz w:val="28"/>
      <w:szCs w:val="20"/>
    </w:rPr>
  </w:style>
  <w:style w:type="paragraph" w:styleId="946">
    <w:name w:val="Body Text First Indent 2"/>
    <w:basedOn w:val="938"/>
    <w:uiPriority w:val="0"/>
    <w:qFormat/>
    <w:pPr>
      <w:ind w:firstLine="420"/>
      <w:spacing w:line="360" w:lineRule="auto"/>
    </w:pPr>
    <w:rPr>
      <w:rFonts w:ascii="宋体" w:hAnsi="宋体" w:eastAsia="宋体"/>
      <w:sz w:val="21"/>
      <w:szCs w:val="20"/>
    </w:rPr>
  </w:style>
  <w:style w:type="table" w:styleId="947">
    <w:name w:val="Table Grid"/>
    <w:basedOn w:val="9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basedOn w:val="933"/>
    <w:uiPriority w:val="0"/>
    <w:qFormat/>
    <w:rPr>
      <w:b/>
    </w:rPr>
  </w:style>
  <w:style w:type="paragraph" w:styleId="949" w:customStyle="1">
    <w:name w:val="Default"/>
    <w:uiPriority w:val="0"/>
    <w:qFormat/>
    <w:pPr>
      <w:widowControl w:val="off"/>
    </w:pPr>
    <w:rPr>
      <w:rFonts w:hint="eastAsia" w:ascii="仿宋_GB2312" w:hAnsi="仿宋_GB2312" w:eastAsia="仿宋_GB2312" w:cs="Times New Roman"/>
      <w:color w:val="000000"/>
      <w:sz w:val="24"/>
      <w:lang w:val="en-US" w:eastAsia="zh-CN" w:bidi="ar-SA"/>
    </w:rPr>
  </w:style>
  <w:style w:type="paragraph" w:styleId="950" w:customStyle="1">
    <w:name w:val="标题 31"/>
    <w:basedOn w:val="928"/>
    <w:next w:val="928"/>
    <w:link w:val="968"/>
    <w:uiPriority w:val="0"/>
    <w:qFormat/>
    <w:pPr>
      <w:keepLines/>
      <w:keepNext/>
      <w:spacing w:before="260" w:after="260" w:line="416" w:lineRule="auto"/>
      <w:outlineLvl w:val="2"/>
    </w:pPr>
    <w:rPr>
      <w:b/>
      <w:bCs/>
      <w:sz w:val="32"/>
      <w:szCs w:val="32"/>
    </w:rPr>
  </w:style>
  <w:style w:type="paragraph" w:styleId="951" w:customStyle="1">
    <w:name w:val="正文1"/>
    <w:basedOn w:val="952"/>
    <w:uiPriority w:val="0"/>
    <w:qFormat/>
    <w:pPr>
      <w:ind w:firstLine="510"/>
      <w:spacing w:before="156"/>
    </w:pPr>
  </w:style>
  <w:style w:type="paragraph" w:styleId="952" w:customStyle="1">
    <w:name w:val="正文11"/>
    <w:next w:val="953"/>
    <w:uiPriority w:val="0"/>
    <w:qFormat/>
    <w:pPr>
      <w:jc w:val="both"/>
      <w:widowControl w:val="off"/>
    </w:pPr>
    <w:rPr>
      <w:rFonts w:hint="default" w:ascii="Times New Roman" w:hAnsi="Times New Roman" w:eastAsia="Arial" w:cs="Times New Roman"/>
    </w:rPr>
  </w:style>
  <w:style w:type="paragraph" w:styleId="953" w:customStyle="1">
    <w:name w:val="文本块1"/>
    <w:basedOn w:val="954"/>
    <w:uiPriority w:val="0"/>
    <w:qFormat/>
    <w:pPr>
      <w:ind w:left="1440"/>
      <w:spacing w:after="120"/>
    </w:pPr>
    <w:rPr>
      <w:rFonts w:hint="eastAsia"/>
      <w:sz w:val="21"/>
    </w:rPr>
  </w:style>
  <w:style w:type="paragraph" w:styleId="954" w:customStyle="1">
    <w:name w:val="正文111"/>
    <w:next w:val="953"/>
    <w:uiPriority w:val="0"/>
    <w:qFormat/>
    <w:pPr>
      <w:jc w:val="both"/>
      <w:widowControl w:val="off"/>
    </w:pPr>
    <w:rPr>
      <w:rFonts w:hint="default" w:ascii="Times New Roman" w:hAnsi="Times New Roman" w:eastAsia="宋体" w:cs="Times New Roman"/>
      <w:sz w:val="21"/>
      <w:szCs w:val="24"/>
    </w:rPr>
  </w:style>
  <w:style w:type="paragraph" w:styleId="955" w:customStyle="1">
    <w:name w:val="一级条标题"/>
    <w:basedOn w:val="956"/>
    <w:next w:val="957"/>
    <w:uiPriority w:val="0"/>
    <w:qFormat/>
    <w:pPr>
      <w:numPr>
        <w:ilvl w:val="2"/>
        <w:numId w:val="1"/>
      </w:numPr>
      <w:spacing w:before="0" w:after="0"/>
      <w:tabs>
        <w:tab w:val="left" w:pos="0" w:leader="none"/>
        <w:tab w:val="left" w:pos="700" w:leader="none"/>
        <w:tab w:val="left" w:pos="880" w:leader="none"/>
        <w:tab w:val="left" w:pos="1000" w:leader="none"/>
      </w:tabs>
      <w:outlineLvl w:val="2"/>
    </w:pPr>
  </w:style>
  <w:style w:type="paragraph" w:styleId="956" w:customStyle="1">
    <w:name w:val="章标题"/>
    <w:next w:val="928"/>
    <w:uiPriority w:val="0"/>
    <w:qFormat/>
    <w:pPr>
      <w:numPr>
        <w:ilvl w:val="1"/>
        <w:numId w:val="1"/>
      </w:numPr>
      <w:jc w:val="both"/>
      <w:spacing w:before="156" w:after="156"/>
      <w:tabs>
        <w:tab w:val="left" w:pos="700" w:leader="none"/>
        <w:tab w:val="left" w:pos="880" w:leader="none"/>
      </w:tabs>
      <w:outlineLvl w:val="1"/>
    </w:pPr>
    <w:rPr>
      <w:rFonts w:ascii="黑体" w:hAnsi="Times New Roman" w:eastAsia="黑体" w:cs="Times New Roman"/>
      <w:sz w:val="21"/>
      <w:lang w:val="en-US" w:eastAsia="zh-CN" w:bidi="ar-SA"/>
    </w:rPr>
  </w:style>
  <w:style w:type="paragraph" w:styleId="957" w:customStyle="1">
    <w:name w:val="段"/>
    <w:next w:val="928"/>
    <w:uiPriority w:val="0"/>
    <w:qFormat/>
    <w:pPr>
      <w:ind w:firstLine="200"/>
      <w:jc w:val="both"/>
    </w:pPr>
    <w:rPr>
      <w:rFonts w:ascii="宋体" w:hAnsi="Times New Roman" w:eastAsia="宋体" w:cs="Times New Roman"/>
      <w:sz w:val="21"/>
      <w:lang w:val="en-US" w:eastAsia="zh-CN" w:bidi="ar-SA"/>
    </w:rPr>
  </w:style>
  <w:style w:type="paragraph" w:styleId="958" w:customStyle="1">
    <w:name w:val="标题 11"/>
    <w:basedOn w:val="928"/>
    <w:uiPriority w:val="0"/>
    <w:qFormat/>
    <w:pPr>
      <w:jc w:val="center"/>
      <w:keepNext/>
      <w:outlineLvl w:val="0"/>
    </w:pPr>
    <w:rPr>
      <w:rFonts w:ascii="楷体_GB2312" w:eastAsia="楷体_GB2312"/>
      <w:sz w:val="28"/>
      <w:szCs w:val="28"/>
    </w:rPr>
  </w:style>
  <w:style w:type="paragraph" w:styleId="959" w:customStyle="1">
    <w:name w:val="标题 21"/>
    <w:basedOn w:val="928"/>
    <w:uiPriority w:val="0"/>
    <w:qFormat/>
    <w:pPr>
      <w:jc w:val="center"/>
      <w:keepLines/>
      <w:keepNext/>
      <w:spacing w:before="260" w:after="260" w:line="416" w:lineRule="auto"/>
      <w:outlineLvl w:val="1"/>
    </w:pPr>
    <w:rPr>
      <w:rFonts w:ascii="Arial" w:hAnsi="Arial" w:eastAsia="幼圆"/>
      <w:b/>
      <w:bCs/>
      <w:sz w:val="44"/>
      <w:szCs w:val="44"/>
    </w:rPr>
  </w:style>
  <w:style w:type="paragraph" w:styleId="960" w:customStyle="1">
    <w:name w:val="标题 41"/>
    <w:basedOn w:val="928"/>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 51"/>
    <w:basedOn w:val="928"/>
    <w:uiPriority w:val="0"/>
    <w:qFormat/>
    <w:pPr>
      <w:keepNext/>
      <w:outlineLvl w:val="4"/>
    </w:pPr>
    <w:rPr>
      <w:rFonts w:ascii="宋体"/>
      <w:color w:val="000000"/>
      <w:sz w:val="28"/>
      <w:szCs w:val="28"/>
    </w:rPr>
  </w:style>
  <w:style w:type="paragraph" w:styleId="962" w:customStyle="1">
    <w:name w:val="标题 61"/>
    <w:basedOn w:val="92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63" w:customStyle="1">
    <w:name w:val="标题 71"/>
    <w:basedOn w:val="928"/>
    <w:uiPriority w:val="0"/>
    <w:qFormat/>
    <w:pPr>
      <w:numPr>
        <w:ilvl w:val="6"/>
        <w:numId w:val="2"/>
      </w:numPr>
      <w:keepLines/>
      <w:keepNext/>
      <w:spacing w:before="240" w:after="64" w:line="320" w:lineRule="auto"/>
      <w:outlineLvl w:val="6"/>
    </w:pPr>
    <w:rPr>
      <w:b/>
      <w:bCs/>
      <w:sz w:val="24"/>
      <w:szCs w:val="24"/>
    </w:rPr>
  </w:style>
  <w:style w:type="paragraph" w:styleId="964" w:customStyle="1">
    <w:name w:val="标题 81"/>
    <w:basedOn w:val="92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65" w:customStyle="1">
    <w:name w:val="标题 91"/>
    <w:basedOn w:val="928"/>
    <w:uiPriority w:val="0"/>
    <w:qFormat/>
    <w:pPr>
      <w:numPr>
        <w:ilvl w:val="8"/>
        <w:numId w:val="2"/>
      </w:numPr>
      <w:keepLines/>
      <w:keepNext/>
      <w:spacing w:before="240" w:after="64" w:line="320" w:lineRule="auto"/>
      <w:outlineLvl w:val="8"/>
    </w:pPr>
    <w:rPr>
      <w:rFonts w:ascii="Arial" w:hAnsi="Arial" w:eastAsia="黑体"/>
    </w:rPr>
  </w:style>
  <w:style w:type="character" w:styleId="966" w:customStyle="1">
    <w:name w:val="默认段落字体1"/>
    <w:link w:val="928"/>
    <w:uiPriority w:val="0"/>
    <w:semiHidden/>
    <w:qFormat/>
  </w:style>
  <w:style w:type="table" w:styleId="967" w:customStyle="1">
    <w:name w:val="普通表格1"/>
    <w:uiPriority w:val="0"/>
    <w:semiHidden/>
    <w:qFormat/>
    <w:tblPr/>
  </w:style>
  <w:style w:type="character" w:styleId="968" w:customStyle="1">
    <w:name w:val="标题 3 字符"/>
    <w:link w:val="950"/>
    <w:uiPriority w:val="0"/>
    <w:qFormat/>
    <w:rPr>
      <w:rFonts w:eastAsia="宋体"/>
      <w:b/>
      <w:bCs/>
      <w:sz w:val="32"/>
      <w:szCs w:val="32"/>
      <w:lang w:val="en-US" w:eastAsia="zh-CN" w:bidi="ar-SA"/>
    </w:rPr>
  </w:style>
  <w:style w:type="paragraph" w:styleId="969" w:customStyle="1">
    <w:name w:val="正文缩进1"/>
    <w:basedOn w:val="928"/>
    <w:link w:val="970"/>
    <w:uiPriority w:val="0"/>
    <w:qFormat/>
    <w:pPr>
      <w:ind w:firstLine="420"/>
    </w:pPr>
  </w:style>
  <w:style w:type="character" w:styleId="970" w:customStyle="1">
    <w:name w:val="正文缩进 字符"/>
    <w:link w:val="969"/>
    <w:uiPriority w:val="0"/>
    <w:qFormat/>
    <w:rPr>
      <w:sz w:val="21"/>
      <w:szCs w:val="21"/>
    </w:rPr>
  </w:style>
  <w:style w:type="paragraph" w:styleId="971" w:customStyle="1">
    <w:name w:val="列表 31"/>
    <w:basedOn w:val="928"/>
    <w:uiPriority w:val="0"/>
    <w:qFormat/>
    <w:pPr>
      <w:ind w:left="100" w:hanging="200"/>
    </w:pPr>
  </w:style>
  <w:style w:type="paragraph" w:styleId="972" w:customStyle="1">
    <w:name w:val="目录 71"/>
    <w:basedOn w:val="928"/>
    <w:uiPriority w:val="0"/>
    <w:semiHidden/>
    <w:qFormat/>
    <w:pPr>
      <w:ind w:left="1260"/>
      <w:jc w:val="left"/>
    </w:pPr>
  </w:style>
  <w:style w:type="paragraph" w:styleId="973" w:customStyle="1">
    <w:name w:val="文档结构图1"/>
    <w:basedOn w:val="928"/>
    <w:link w:val="974"/>
    <w:uiPriority w:val="0"/>
    <w:semiHidden/>
    <w:qFormat/>
    <w:pPr>
      <w:shd w:val="clear" w:color="auto" w:fill="000080"/>
    </w:pPr>
  </w:style>
  <w:style w:type="character" w:styleId="974" w:customStyle="1">
    <w:name w:val="文档结构图 字符"/>
    <w:link w:val="973"/>
    <w:uiPriority w:val="0"/>
    <w:qFormat/>
    <w:rPr>
      <w:rFonts w:eastAsia="宋体"/>
      <w:sz w:val="21"/>
      <w:szCs w:val="21"/>
      <w:lang w:val="en-US" w:eastAsia="zh-CN" w:bidi="ar-SA"/>
    </w:rPr>
  </w:style>
  <w:style w:type="paragraph" w:styleId="975" w:customStyle="1">
    <w:name w:val="批注文字1"/>
    <w:basedOn w:val="928"/>
    <w:uiPriority w:val="0"/>
    <w:semiHidden/>
    <w:qFormat/>
    <w:pPr>
      <w:jc w:val="left"/>
    </w:pPr>
  </w:style>
  <w:style w:type="paragraph" w:styleId="976" w:customStyle="1">
    <w:name w:val="正文文本 31"/>
    <w:basedOn w:val="928"/>
    <w:uiPriority w:val="0"/>
    <w:qFormat/>
    <w:rPr>
      <w:rFonts w:ascii="仿宋_GB2312" w:hAnsi="Arial" w:eastAsia="仿宋_GB2312"/>
      <w:sz w:val="32"/>
      <w:szCs w:val="32"/>
    </w:rPr>
  </w:style>
  <w:style w:type="paragraph" w:styleId="977" w:customStyle="1">
    <w:name w:val="正文文本1"/>
    <w:basedOn w:val="928"/>
    <w:uiPriority w:val="0"/>
    <w:qFormat/>
    <w:rPr>
      <w:rFonts w:ascii="楷体_GB2312" w:hAnsi="Arial" w:eastAsia="楷体_GB2312"/>
      <w:sz w:val="28"/>
      <w:szCs w:val="28"/>
    </w:rPr>
  </w:style>
  <w:style w:type="paragraph" w:styleId="978" w:customStyle="1">
    <w:name w:val="正文文本缩进1"/>
    <w:basedOn w:val="928"/>
    <w:uiPriority w:val="0"/>
    <w:qFormat/>
    <w:pPr>
      <w:ind w:firstLine="645"/>
    </w:pPr>
    <w:rPr>
      <w:rFonts w:ascii="楷体_GB2312" w:eastAsia="楷体_GB2312"/>
      <w:sz w:val="32"/>
      <w:szCs w:val="32"/>
    </w:rPr>
  </w:style>
  <w:style w:type="paragraph" w:styleId="979" w:customStyle="1">
    <w:name w:val="列表 21"/>
    <w:basedOn w:val="928"/>
    <w:uiPriority w:val="0"/>
    <w:qFormat/>
    <w:pPr>
      <w:ind w:left="100" w:hanging="200"/>
    </w:pPr>
  </w:style>
  <w:style w:type="paragraph" w:styleId="980" w:customStyle="1">
    <w:name w:val="目录 51"/>
    <w:basedOn w:val="928"/>
    <w:uiPriority w:val="0"/>
    <w:semiHidden/>
    <w:qFormat/>
    <w:pPr>
      <w:ind w:left="840"/>
      <w:jc w:val="left"/>
    </w:pPr>
  </w:style>
  <w:style w:type="paragraph" w:styleId="981" w:customStyle="1">
    <w:name w:val="目录 31"/>
    <w:basedOn w:val="928"/>
    <w:uiPriority w:val="0"/>
    <w:semiHidden/>
    <w:qFormat/>
    <w:pPr>
      <w:ind w:left="420"/>
      <w:jc w:val="left"/>
    </w:pPr>
    <w:rPr>
      <w:i/>
      <w:iCs/>
      <w:szCs w:val="24"/>
    </w:rPr>
  </w:style>
  <w:style w:type="paragraph" w:styleId="982" w:customStyle="1">
    <w:name w:val="纯文本1"/>
    <w:basedOn w:val="928"/>
    <w:link w:val="983"/>
    <w:uiPriority w:val="0"/>
    <w:qFormat/>
    <w:rPr>
      <w:rFonts w:ascii="宋体" w:hAnsi="Courier New"/>
    </w:rPr>
  </w:style>
  <w:style w:type="character" w:styleId="983" w:customStyle="1">
    <w:name w:val="纯文本 字符"/>
    <w:link w:val="982"/>
    <w:uiPriority w:val="0"/>
    <w:qFormat/>
    <w:rPr>
      <w:rFonts w:ascii="宋体" w:hAnsi="Courier New"/>
      <w:sz w:val="21"/>
      <w:szCs w:val="21"/>
    </w:rPr>
  </w:style>
  <w:style w:type="paragraph" w:styleId="984" w:customStyle="1">
    <w:name w:val="目录 81"/>
    <w:basedOn w:val="928"/>
    <w:uiPriority w:val="0"/>
    <w:semiHidden/>
    <w:qFormat/>
    <w:pPr>
      <w:ind w:left="1470"/>
      <w:jc w:val="left"/>
    </w:pPr>
  </w:style>
  <w:style w:type="paragraph" w:styleId="985" w:customStyle="1">
    <w:name w:val="日期1"/>
    <w:basedOn w:val="928"/>
    <w:uiPriority w:val="0"/>
    <w:qFormat/>
    <w:rPr>
      <w:sz w:val="24"/>
      <w:szCs w:val="24"/>
    </w:rPr>
  </w:style>
  <w:style w:type="paragraph" w:styleId="986" w:customStyle="1">
    <w:name w:val="正文文本缩进 21"/>
    <w:basedOn w:val="928"/>
    <w:uiPriority w:val="0"/>
    <w:qFormat/>
    <w:pPr>
      <w:ind w:left="630" w:firstLine="645"/>
    </w:pPr>
    <w:rPr>
      <w:rFonts w:ascii="Arial" w:hAnsi="Arial" w:eastAsia="仿宋_GB2312"/>
      <w:sz w:val="32"/>
      <w:szCs w:val="32"/>
    </w:rPr>
  </w:style>
  <w:style w:type="paragraph" w:styleId="987" w:customStyle="1">
    <w:name w:val="批注框文本1"/>
    <w:basedOn w:val="928"/>
    <w:uiPriority w:val="0"/>
    <w:semiHidden/>
    <w:qFormat/>
    <w:rPr>
      <w:sz w:val="18"/>
      <w:szCs w:val="18"/>
    </w:rPr>
  </w:style>
  <w:style w:type="paragraph" w:styleId="988" w:customStyle="1">
    <w:name w:val="页脚1"/>
    <w:basedOn w:val="928"/>
    <w:uiPriority w:val="0"/>
    <w:qFormat/>
    <w:pPr>
      <w:jc w:val="left"/>
      <w:tabs>
        <w:tab w:val="center" w:pos="4153" w:leader="none"/>
        <w:tab w:val="right" w:pos="8306" w:leader="none"/>
      </w:tabs>
    </w:pPr>
    <w:rPr>
      <w:sz w:val="18"/>
      <w:szCs w:val="18"/>
    </w:rPr>
  </w:style>
  <w:style w:type="paragraph" w:styleId="989" w:customStyle="1">
    <w:name w:val="页眉1"/>
    <w:basedOn w:val="928"/>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目录 11"/>
    <w:basedOn w:val="928"/>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928"/>
    <w:uiPriority w:val="0"/>
    <w:semiHidden/>
    <w:qFormat/>
    <w:pPr>
      <w:ind w:left="630"/>
      <w:jc w:val="left"/>
    </w:pPr>
  </w:style>
  <w:style w:type="paragraph" w:styleId="992" w:customStyle="1">
    <w:name w:val="列表1"/>
    <w:basedOn w:val="928"/>
    <w:uiPriority w:val="0"/>
    <w:qFormat/>
    <w:pPr>
      <w:ind w:left="200" w:hanging="200"/>
    </w:pPr>
  </w:style>
  <w:style w:type="paragraph" w:styleId="993" w:customStyle="1">
    <w:name w:val="目录 61"/>
    <w:basedOn w:val="928"/>
    <w:uiPriority w:val="0"/>
    <w:semiHidden/>
    <w:qFormat/>
    <w:pPr>
      <w:ind w:left="1050"/>
      <w:jc w:val="left"/>
    </w:pPr>
  </w:style>
  <w:style w:type="paragraph" w:styleId="994" w:customStyle="1">
    <w:name w:val="正文文本缩进 31"/>
    <w:basedOn w:val="928"/>
    <w:uiPriority w:val="0"/>
    <w:qFormat/>
    <w:pPr>
      <w:ind w:left="645" w:firstLine="645"/>
    </w:pPr>
    <w:rPr>
      <w:rFonts w:ascii="Arial" w:hAnsi="Arial" w:eastAsia="仿宋_GB2312"/>
      <w:color w:val="ffff00"/>
      <w:sz w:val="32"/>
      <w:szCs w:val="32"/>
    </w:rPr>
  </w:style>
  <w:style w:type="paragraph" w:styleId="995" w:customStyle="1">
    <w:name w:val="图表目录1"/>
    <w:basedOn w:val="928"/>
    <w:uiPriority w:val="0"/>
    <w:semiHidden/>
    <w:qFormat/>
    <w:pPr>
      <w:ind w:left="840" w:hanging="420"/>
    </w:pPr>
  </w:style>
  <w:style w:type="paragraph" w:styleId="996" w:customStyle="1">
    <w:name w:val="目录 21"/>
    <w:basedOn w:val="928"/>
    <w:uiPriority w:val="0"/>
    <w:semiHidden/>
    <w:qFormat/>
    <w:pPr>
      <w:ind w:left="210"/>
      <w:jc w:val="left"/>
    </w:pPr>
    <w:rPr>
      <w:szCs w:val="24"/>
    </w:rPr>
  </w:style>
  <w:style w:type="paragraph" w:styleId="997" w:customStyle="1">
    <w:name w:val="目录 91"/>
    <w:basedOn w:val="928"/>
    <w:uiPriority w:val="0"/>
    <w:semiHidden/>
    <w:qFormat/>
    <w:pPr>
      <w:ind w:left="1680"/>
      <w:jc w:val="left"/>
    </w:pPr>
  </w:style>
  <w:style w:type="paragraph" w:styleId="998" w:customStyle="1">
    <w:name w:val="正文文本 21"/>
    <w:basedOn w:val="928"/>
    <w:uiPriority w:val="0"/>
    <w:qFormat/>
    <w:pPr>
      <w:jc w:val="center"/>
      <w:widowControl/>
    </w:pPr>
    <w:rPr>
      <w:rFonts w:ascii="楷体_GB2312" w:eastAsia="楷体_GB2312"/>
      <w:sz w:val="28"/>
      <w:szCs w:val="28"/>
    </w:rPr>
  </w:style>
  <w:style w:type="paragraph" w:styleId="999" w:customStyle="1">
    <w:name w:val="列表接续 21"/>
    <w:basedOn w:val="928"/>
    <w:uiPriority w:val="0"/>
    <w:qFormat/>
    <w:pPr>
      <w:ind w:left="840"/>
      <w:spacing w:after="120"/>
    </w:pPr>
    <w:rPr>
      <w:rFonts w:hint="eastAsia"/>
      <w:sz w:val="24"/>
      <w:szCs w:val="24"/>
    </w:rPr>
  </w:style>
  <w:style w:type="paragraph" w:styleId="1000" w:customStyle="1">
    <w:name w:val="普通(网站)1"/>
    <w:basedOn w:val="928"/>
    <w:uiPriority w:val="0"/>
    <w:qFormat/>
    <w:pPr>
      <w:jc w:val="left"/>
      <w:spacing w:before="100" w:beforeAutospacing="1" w:after="100" w:afterAutospacing="1"/>
      <w:widowControl/>
    </w:pPr>
    <w:rPr>
      <w:rFonts w:ascii="宋体" w:hAnsi="宋体"/>
      <w:sz w:val="24"/>
      <w:szCs w:val="24"/>
    </w:rPr>
  </w:style>
  <w:style w:type="paragraph" w:styleId="1001" w:customStyle="1">
    <w:name w:val="索引 11"/>
    <w:basedOn w:val="928"/>
    <w:uiPriority w:val="0"/>
    <w:semiHidden/>
    <w:qFormat/>
    <w:pPr>
      <w:spacing w:line="240" w:lineRule="atLeast"/>
    </w:pPr>
    <w:rPr>
      <w:b/>
      <w:bCs/>
    </w:rPr>
  </w:style>
  <w:style w:type="paragraph" w:styleId="1002" w:customStyle="1">
    <w:name w:val="批注主题1"/>
    <w:basedOn w:val="975"/>
    <w:uiPriority w:val="0"/>
    <w:semiHidden/>
    <w:qFormat/>
    <w:rPr>
      <w:b/>
      <w:bCs/>
    </w:rPr>
  </w:style>
  <w:style w:type="paragraph" w:styleId="1003" w:customStyle="1">
    <w:name w:val="正文首行缩进1"/>
    <w:basedOn w:val="977"/>
    <w:uiPriority w:val="0"/>
    <w:qFormat/>
    <w:pPr>
      <w:ind w:firstLine="200"/>
      <w:spacing w:line="360" w:lineRule="auto"/>
    </w:pPr>
    <w:rPr>
      <w:rFonts w:ascii="仿宋_GB2312" w:eastAsia="仿宋_GB2312"/>
      <w:sz w:val="30"/>
      <w:szCs w:val="30"/>
    </w:rPr>
  </w:style>
  <w:style w:type="paragraph" w:styleId="1004" w:customStyle="1">
    <w:name w:val="正文首行缩进 21"/>
    <w:basedOn w:val="978"/>
    <w:uiPriority w:val="0"/>
    <w:qFormat/>
    <w:pPr>
      <w:ind w:firstLine="420"/>
      <w:spacing w:line="360" w:lineRule="auto"/>
    </w:pPr>
    <w:rPr>
      <w:rFonts w:ascii="宋体" w:hAnsi="宋体" w:eastAsia="宋体"/>
      <w:sz w:val="21"/>
      <w:szCs w:val="20"/>
    </w:rPr>
  </w:style>
  <w:style w:type="table" w:styleId="1005" w:customStyle="1">
    <w:name w:val="网格型1"/>
    <w:basedOn w:val="967"/>
    <w:uiPriority w:val="0"/>
    <w:qFormat/>
    <w:pPr>
      <w:jc w:val="both"/>
      <w:widowControl w:val="off"/>
    </w:pPr>
    <w:tblPr/>
  </w:style>
  <w:style w:type="character" w:styleId="1006" w:customStyle="1">
    <w:name w:val="要点1"/>
    <w:link w:val="928"/>
    <w:uiPriority w:val="0"/>
    <w:qFormat/>
    <w:rPr>
      <w:b/>
      <w:bCs/>
    </w:rPr>
  </w:style>
  <w:style w:type="character" w:styleId="1007" w:customStyle="1">
    <w:name w:val="页码1"/>
    <w:link w:val="928"/>
    <w:uiPriority w:val="0"/>
    <w:qFormat/>
  </w:style>
  <w:style w:type="character" w:styleId="1008" w:customStyle="1">
    <w:name w:val="已访问的超链接1"/>
    <w:link w:val="928"/>
    <w:uiPriority w:val="0"/>
    <w:qFormat/>
    <w:rPr>
      <w:color w:val="555555"/>
      <w:u w:val="none"/>
    </w:rPr>
  </w:style>
  <w:style w:type="character" w:styleId="1009" w:customStyle="1">
    <w:name w:val="超链接1"/>
    <w:link w:val="928"/>
    <w:uiPriority w:val="0"/>
    <w:qFormat/>
    <w:rPr>
      <w:color w:val="555555"/>
      <w:u w:val="none"/>
    </w:rPr>
  </w:style>
  <w:style w:type="character" w:styleId="1010" w:customStyle="1">
    <w:name w:val="批注引用1"/>
    <w:link w:val="928"/>
    <w:uiPriority w:val="0"/>
    <w:semiHidden/>
    <w:qFormat/>
    <w:rPr>
      <w:sz w:val="21"/>
      <w:szCs w:val="21"/>
    </w:rPr>
  </w:style>
  <w:style w:type="character" w:styleId="1011" w:customStyle="1">
    <w:name w:val="font5 Char"/>
    <w:link w:val="928"/>
    <w:uiPriority w:val="0"/>
    <w:qFormat/>
    <w:rPr>
      <w:rFonts w:ascii="宋体" w:hAnsi="宋体" w:eastAsia="宋体"/>
      <w:sz w:val="28"/>
      <w:szCs w:val="28"/>
      <w:lang w:val="en-US" w:eastAsia="zh-CN" w:bidi="ar-SA"/>
    </w:rPr>
  </w:style>
  <w:style w:type="character" w:styleId="1012" w:customStyle="1">
    <w:name w:val="apple-converted-space"/>
    <w:link w:val="928"/>
    <w:uiPriority w:val="0"/>
    <w:qFormat/>
  </w:style>
  <w:style w:type="character" w:styleId="1013" w:customStyle="1">
    <w:name w:val="列出段落 Char"/>
    <w:link w:val="1014"/>
    <w:uiPriority w:val="0"/>
    <w:qFormat/>
    <w:rPr>
      <w:rFonts w:ascii="Calibri" w:hAnsi="Calibri"/>
      <w:sz w:val="24"/>
      <w:szCs w:val="24"/>
      <w:lang w:eastAsia="en-US" w:bidi="en-US"/>
    </w:rPr>
  </w:style>
  <w:style w:type="paragraph" w:styleId="1014" w:customStyle="1">
    <w:name w:val="列出段落1"/>
    <w:basedOn w:val="928"/>
    <w:link w:val="1013"/>
    <w:uiPriority w:val="0"/>
    <w:qFormat/>
    <w:pPr>
      <w:contextualSpacing/>
      <w:ind w:left="720"/>
      <w:jc w:val="left"/>
      <w:widowControl/>
    </w:pPr>
    <w:rPr>
      <w:rFonts w:ascii="Calibri" w:hAnsi="Calibri"/>
      <w:sz w:val="24"/>
      <w:szCs w:val="24"/>
      <w:lang w:eastAsia="en-US" w:bidi="en-US"/>
    </w:rPr>
  </w:style>
  <w:style w:type="character" w:styleId="1015" w:customStyle="1">
    <w:name w:val=" Char Char Char Char Char"/>
    <w:link w:val="1016"/>
    <w:uiPriority w:val="0"/>
    <w:qFormat/>
    <w:rPr>
      <w:rFonts w:ascii="Tahoma" w:hAnsi="Tahoma" w:eastAsia="宋体"/>
      <w:sz w:val="24"/>
      <w:szCs w:val="24"/>
      <w:lang w:val="en-US" w:eastAsia="zh-CN" w:bidi="ar-SA"/>
    </w:rPr>
  </w:style>
  <w:style w:type="paragraph" w:styleId="1016" w:customStyle="1">
    <w:name w:val=" Char Char Char Char"/>
    <w:basedOn w:val="973"/>
    <w:link w:val="1015"/>
    <w:uiPriority w:val="0"/>
    <w:qFormat/>
    <w:pPr>
      <w:spacing w:line="360" w:lineRule="auto"/>
    </w:pPr>
    <w:rPr>
      <w:rFonts w:ascii="Tahoma" w:hAnsi="Tahoma"/>
      <w:sz w:val="24"/>
      <w:szCs w:val="24"/>
    </w:rPr>
  </w:style>
  <w:style w:type="character" w:styleId="1017" w:customStyle="1">
    <w:name w:val="普通正文 Char"/>
    <w:link w:val="1018"/>
    <w:uiPriority w:val="0"/>
    <w:qFormat/>
    <w:rPr>
      <w:rFonts w:ascii="Arial" w:hAnsi="Arial"/>
      <w:sz w:val="24"/>
      <w:szCs w:val="24"/>
    </w:rPr>
  </w:style>
  <w:style w:type="paragraph" w:styleId="1018" w:customStyle="1">
    <w:name w:val="普通正文"/>
    <w:basedOn w:val="928"/>
    <w:link w:val="1017"/>
    <w:uiPriority w:val="0"/>
    <w:qFormat/>
    <w:pPr>
      <w:ind w:firstLine="480"/>
      <w:jc w:val="left"/>
      <w:spacing w:before="120" w:after="120" w:line="360" w:lineRule="auto"/>
    </w:pPr>
    <w:rPr>
      <w:rFonts w:ascii="Arial" w:hAnsi="Arial"/>
      <w:sz w:val="24"/>
      <w:szCs w:val="24"/>
    </w:rPr>
  </w:style>
  <w:style w:type="character" w:styleId="1019" w:customStyle="1">
    <w:name w:val="二级目录 Char"/>
    <w:link w:val="1020"/>
    <w:uiPriority w:val="0"/>
    <w:qFormat/>
    <w:rPr>
      <w:b/>
      <w:sz w:val="30"/>
      <w:szCs w:val="28"/>
      <w:lang w:val="en-US" w:eastAsia="zh-CN" w:bidi="ar-SA"/>
    </w:rPr>
  </w:style>
  <w:style w:type="paragraph" w:styleId="1020" w:customStyle="1">
    <w:name w:val="二级目录"/>
    <w:link w:val="1019"/>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paragraph" w:styleId="1021" w:customStyle="1">
    <w:name w:val="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022" w:customStyle="1">
    <w:name w:val=" Char Char Char Char Char Char Char Char"/>
    <w:basedOn w:val="928"/>
    <w:uiPriority w:val="0"/>
    <w:qFormat/>
    <w:pPr>
      <w:jc w:val="left"/>
      <w:spacing w:after="160" w:line="240" w:lineRule="exact"/>
      <w:widowControl/>
    </w:pPr>
    <w:rPr>
      <w:rFonts w:ascii="Verdana" w:hAnsi="Verdana"/>
      <w:sz w:val="20"/>
      <w:szCs w:val="20"/>
      <w:lang w:eastAsia="en-US"/>
    </w:rPr>
  </w:style>
  <w:style w:type="paragraph" w:styleId="1023" w:customStyle="1">
    <w:name w:val="font6"/>
    <w:basedOn w:val="92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Body Text(ch)"/>
    <w:basedOn w:val="928"/>
    <w:uiPriority w:val="0"/>
    <w:qFormat/>
    <w:pPr>
      <w:spacing w:after="120"/>
    </w:pPr>
    <w:rPr>
      <w:rFonts w:ascii="宋体" w:hAnsi="Arial"/>
      <w:bCs/>
      <w:iCs/>
      <w:szCs w:val="24"/>
    </w:rPr>
  </w:style>
  <w:style w:type="paragraph" w:styleId="1025"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1026" w:customStyle="1">
    <w:name w:val="font7"/>
    <w:basedOn w:val="928"/>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标题3"/>
    <w:basedOn w:val="928"/>
    <w:uiPriority w:val="0"/>
    <w:qFormat/>
    <w:pPr>
      <w:ind w:firstLine="624"/>
      <w:spacing w:line="590" w:lineRule="atLeast"/>
    </w:pPr>
    <w:rPr>
      <w:rFonts w:ascii="方正黑体_GBK" w:eastAsia="方正黑体_GBK"/>
      <w:sz w:val="32"/>
      <w:szCs w:val="32"/>
    </w:rPr>
  </w:style>
  <w:style w:type="paragraph" w:styleId="1029" w:customStyle="1">
    <w:name w:val="普通 (Web)"/>
    <w:basedOn w:val="928"/>
    <w:uiPriority w:val="0"/>
    <w:qFormat/>
    <w:pPr>
      <w:jc w:val="left"/>
      <w:spacing w:before="100" w:beforeAutospacing="1" w:after="100" w:afterAutospacing="1"/>
      <w:widowControl/>
    </w:pPr>
    <w:rPr>
      <w:rFonts w:ascii="宋体" w:hAnsi="宋体"/>
      <w:sz w:val="24"/>
      <w:szCs w:val="24"/>
    </w:rPr>
  </w:style>
  <w:style w:type="paragraph" w:styleId="1030" w:customStyle="1">
    <w:name w:val="xl30"/>
    <w:basedOn w:val="928"/>
    <w:uiPriority w:val="0"/>
    <w:qFormat/>
    <w:pPr>
      <w:jc w:val="center"/>
      <w:spacing w:before="100" w:beforeAutospacing="1" w:after="100" w:afterAutospacing="1"/>
      <w:widowControl/>
    </w:pPr>
    <w:rPr>
      <w:rFonts w:ascii="宋体" w:hAnsi="宋体"/>
      <w:b/>
      <w:bCs/>
      <w:sz w:val="36"/>
      <w:szCs w:val="36"/>
    </w:rPr>
  </w:style>
  <w:style w:type="paragraph" w:styleId="1031" w:customStyle="1">
    <w:name w:val=" Char Char Char Char Char Char Char Char Char Char"/>
    <w:basedOn w:val="928"/>
    <w:uiPriority w:val="0"/>
    <w:qFormat/>
    <w:pPr>
      <w:spacing w:line="360" w:lineRule="auto"/>
    </w:pPr>
    <w:rPr>
      <w:sz w:val="24"/>
      <w:szCs w:val="20"/>
    </w:rPr>
  </w:style>
  <w:style w:type="paragraph" w:styleId="1032" w:customStyle="1">
    <w:name w:val="font5"/>
    <w:basedOn w:val="928"/>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列表段落"/>
    <w:basedOn w:val="928"/>
    <w:uiPriority w:val="0"/>
    <w:qFormat/>
    <w:pPr>
      <w:contextualSpacing/>
      <w:ind w:left="720"/>
      <w:jc w:val="left"/>
      <w:widowControl/>
    </w:pPr>
    <w:rPr>
      <w:rFonts w:ascii="Calibri" w:hAnsi="Calibri"/>
      <w:sz w:val="24"/>
      <w:szCs w:val="24"/>
      <w:lang w:eastAsia="en-US" w:bidi="en-US"/>
    </w:rPr>
  </w:style>
  <w:style w:type="paragraph" w:styleId="1034" w:customStyle="1">
    <w:name w:val="样式1"/>
    <w:basedOn w:val="928"/>
    <w:uiPriority w:val="0"/>
    <w:qFormat/>
    <w:pPr>
      <w:numPr>
        <w:ilvl w:val="0"/>
        <w:numId w:val="4"/>
      </w:numPr>
      <w:tabs>
        <w:tab w:val="clear" w:pos="709" w:leader="none"/>
      </w:tabs>
    </w:pPr>
    <w:rPr>
      <w:rFonts w:ascii="宋体" w:hAnsi="宋体"/>
    </w:rPr>
  </w:style>
  <w:style w:type="paragraph" w:styleId="1035" w:customStyle="1">
    <w:name w:val="Char Char Char Char"/>
    <w:basedOn w:val="973"/>
    <w:uiPriority w:val="0"/>
    <w:qFormat/>
    <w:pPr>
      <w:spacing w:line="360" w:lineRule="auto"/>
    </w:pPr>
    <w:rPr>
      <w:rFonts w:ascii="Tahoma" w:hAnsi="Tahoma"/>
      <w:sz w:val="24"/>
      <w:szCs w:val="24"/>
    </w:rPr>
  </w:style>
  <w:style w:type="paragraph" w:styleId="1036" w:customStyle="1">
    <w:name w:val="table_lines"/>
    <w:basedOn w:val="928"/>
    <w:uiPriority w:val="0"/>
    <w:qFormat/>
    <w:pPr>
      <w:jc w:val="left"/>
      <w:widowControl/>
    </w:pPr>
    <w:rPr>
      <w:sz w:val="20"/>
      <w:szCs w:val="20"/>
      <w:lang w:val="de-DE" w:eastAsia="de-DE"/>
    </w:rPr>
  </w:style>
  <w:style w:type="paragraph" w:styleId="1037" w:customStyle="1">
    <w:name w:val="标题1"/>
    <w:basedOn w:val="9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xl26"/>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table_1stline"/>
    <w:basedOn w:val="928"/>
    <w:uiPriority w:val="0"/>
    <w:qFormat/>
    <w:pPr>
      <w:jc w:val="left"/>
      <w:spacing w:before="120"/>
      <w:widowControl/>
    </w:pPr>
    <w:rPr>
      <w:bCs/>
      <w:sz w:val="20"/>
      <w:szCs w:val="20"/>
      <w:lang w:val="de-DE" w:eastAsia="de-DE"/>
    </w:rPr>
  </w:style>
  <w:style w:type="paragraph" w:styleId="1041" w:customStyle="1">
    <w:name w:val="图标"/>
    <w:basedOn w:val="9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4"/>
    <w:basedOn w:val="928"/>
    <w:uiPriority w:val="0"/>
    <w:qFormat/>
    <w:pPr>
      <w:ind w:firstLine="420"/>
      <w:spacing w:line="360" w:lineRule="auto"/>
    </w:pPr>
    <w:rPr>
      <w:color w:val="ff0000"/>
      <w:sz w:val="24"/>
      <w:szCs w:val="24"/>
    </w:rPr>
  </w:style>
  <w:style w:type="paragraph" w:styleId="1043" w:customStyle="1">
    <w:name w:val="Char"/>
    <w:basedOn w:val="928"/>
    <w:uiPriority w:val="0"/>
    <w:qFormat/>
    <w:pPr>
      <w:ind w:firstLine="200"/>
      <w:tabs>
        <w:tab w:val="left" w:pos="360" w:leader="none"/>
      </w:tabs>
    </w:pPr>
    <w:rPr>
      <w:sz w:val="28"/>
      <w:szCs w:val="30"/>
    </w:rPr>
  </w:style>
  <w:style w:type="paragraph" w:styleId="1044" w:customStyle="1">
    <w:name w:val="xl25"/>
    <w:basedOn w:val="928"/>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045" w:customStyle="1">
    <w:name w:val=" Char"/>
    <w:basedOn w:val="973"/>
    <w:uiPriority w:val="0"/>
    <w:qFormat/>
    <w:rPr>
      <w:rFonts w:ascii="Tahoma" w:hAnsi="Tahoma"/>
      <w:sz w:val="24"/>
      <w:szCs w:val="24"/>
    </w:rPr>
  </w:style>
  <w:style w:type="paragraph" w:styleId="1046"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1049" w:customStyle="1">
    <w:name w:val="无间隔"/>
    <w:uiPriority w:val="0"/>
    <w:qFormat/>
    <w:pPr>
      <w:jc w:val="both"/>
      <w:widowControl w:val="off"/>
    </w:pPr>
    <w:rPr>
      <w:rFonts w:ascii="Calibri" w:hAnsi="Calibri" w:eastAsia="宋体" w:cs="Times New Roman"/>
      <w:sz w:val="21"/>
      <w:szCs w:val="22"/>
      <w:lang w:val="en-US" w:eastAsia="zh-CN" w:bidi="ar-SA"/>
    </w:rPr>
  </w:style>
  <w:style w:type="paragraph" w:styleId="1050" w:customStyle="1">
    <w:name w:val="列出段落111"/>
    <w:basedOn w:val="928"/>
    <w:uiPriority w:val="0"/>
    <w:qFormat/>
    <w:pPr>
      <w:ind w:firstLine="420"/>
    </w:pPr>
    <w:rPr>
      <w:sz w:val="24"/>
    </w:rPr>
  </w:style>
  <w:style w:type="paragraph" w:styleId="1051" w:customStyle="1">
    <w:name w:val="普通(网站)111"/>
    <w:basedOn w:val="928"/>
    <w:uiPriority w:val="0"/>
    <w:qFormat/>
    <w:pPr>
      <w:jc w:val="left"/>
      <w:spacing w:beforeAutospacing="1" w:afterAutospacing="1"/>
    </w:pPr>
    <w:rPr>
      <w:sz w:val="24"/>
    </w:rPr>
  </w:style>
  <w:style w:type="table" w:styleId="1052" w:customStyle="1">
    <w:name w:val="Table Normal"/>
    <w:uiPriority w:val="0"/>
    <w:semiHidden/>
    <w:unhideWhenUsed/>
    <w:qFormat/>
    <w:tblPr>
      <w:tblCellMar>
        <w:left w:w="0" w:type="dxa"/>
        <w:top w:w="0" w:type="dxa"/>
        <w:right w:w="0" w:type="dxa"/>
        <w:bottom w:w="0" w:type="dxa"/>
      </w:tblCellMar>
    </w:tblPr>
  </w:style>
  <w:style w:type="paragraph" w:styleId="1053" w:customStyle="1">
    <w:name w:val="正文首行缩进11"/>
    <w:next w:val="1054"/>
    <w:uiPriority w:val="0"/>
    <w:qFormat/>
    <w:pPr>
      <w:ind w:firstLine="200"/>
      <w:jc w:val="both"/>
      <w:spacing w:line="360" w:lineRule="auto"/>
      <w:widowControl w:val="off"/>
    </w:pPr>
    <w:rPr>
      <w:rFonts w:ascii="仿宋_GB2312" w:hAnsi="Times New Roman" w:eastAsia="仿宋_GB2312" w:cs="Times New Roman"/>
      <w:sz w:val="30"/>
      <w:szCs w:val="30"/>
      <w:lang w:val="en-US" w:eastAsia="zh-CN" w:bidi="ar-SA"/>
    </w:rPr>
  </w:style>
  <w:style w:type="paragraph" w:styleId="1054" w:customStyle="1">
    <w:name w:val="目录 611"/>
    <w:next w:val="928"/>
    <w:uiPriority w:val="39"/>
    <w:unhideWhenUsed/>
    <w:qFormat/>
    <w:pPr>
      <w:ind w:left="1417"/>
      <w:jc w:val="both"/>
      <w:spacing w:after="57"/>
      <w:widowControl w:val="off"/>
    </w:pPr>
    <w:rPr>
      <w:rFonts w:ascii="Times New Roman" w:hAnsi="Times New Roman" w:eastAsia="宋体" w:cs="Times New Roman"/>
      <w:sz w:val="21"/>
      <w:szCs w:val="21"/>
      <w:lang w:val="en-US" w:eastAsia="zh-CN" w:bidi="ar-SA"/>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骆成</cp:lastModifiedBy>
  <cp:revision>10</cp:revision>
  <dcterms:created xsi:type="dcterms:W3CDTF">2023-11-20T00:56:00Z</dcterms:created>
  <dcterms:modified xsi:type="dcterms:W3CDTF">2026-07-15T02:54:27Z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4E68D32BE9DD4603B6CF6CD46C3373C0_13</vt:lpwstr>
  </property>
  <property fmtid="{D5CDD505-2E9C-101B-9397-08002B2CF9AE}" pid="4" name="KSOTemplateDocerSaveRecord">
    <vt:lpwstr>eyJoZGlkIjoiYjk4OTRjZmRiOWM3NjZlMTM2ZjczNjFkNWNjNzViMjIiLCJ1c2VySWQiOiI1MTY4NjMxNTUifQ==</vt:lpwstr>
  </property>
</Properties>
</file>