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A89275">
      <w:pPr>
        <w:pStyle w:val="36"/>
        <w:spacing w:before="120" w:beforeAutospacing="0" w:after="120" w:afterAutospacing="0" w:line="360" w:lineRule="auto"/>
        <w:rPr>
          <w:color w:val="auto"/>
          <w:highlight w:val="none"/>
        </w:rPr>
      </w:pPr>
      <w:r>
        <w:rPr>
          <w:color w:val="auto"/>
          <w:highlight w:val="none"/>
        </w:rPr>
        <w:t> </w:t>
      </w:r>
    </w:p>
    <w:p w14:paraId="20E09C31">
      <w:pPr>
        <w:pStyle w:val="36"/>
        <w:spacing w:before="120" w:beforeAutospacing="0" w:after="120" w:afterAutospacing="0" w:line="360" w:lineRule="auto"/>
        <w:jc w:val="center"/>
        <w:rPr>
          <w:rFonts w:ascii="Arial" w:hAnsi="Arial" w:cs="Arial"/>
          <w:b/>
          <w:color w:val="auto"/>
          <w:sz w:val="84"/>
          <w:szCs w:val="84"/>
          <w:highlight w:val="none"/>
        </w:rPr>
      </w:pPr>
    </w:p>
    <w:p w14:paraId="1D5AA4FA">
      <w:pPr>
        <w:pStyle w:val="36"/>
        <w:spacing w:before="120" w:beforeAutospacing="0" w:after="120" w:afterAutospacing="0" w:line="360" w:lineRule="auto"/>
        <w:jc w:val="center"/>
        <w:rPr>
          <w:rFonts w:ascii="Arial" w:hAnsi="Arial" w:cs="Arial"/>
          <w:b/>
          <w:color w:val="auto"/>
          <w:sz w:val="84"/>
          <w:szCs w:val="84"/>
          <w:highlight w:val="none"/>
        </w:rPr>
      </w:pPr>
      <w:r>
        <w:rPr>
          <w:rFonts w:ascii="Arial" w:hAnsi="Arial" w:cs="Arial"/>
          <w:b/>
          <w:color w:val="auto"/>
          <w:sz w:val="84"/>
          <w:szCs w:val="84"/>
          <w:highlight w:val="none"/>
        </w:rPr>
        <w:t>竞争性磋商文件</w:t>
      </w:r>
    </w:p>
    <w:p w14:paraId="2B44AECC">
      <w:pPr>
        <w:pStyle w:val="36"/>
        <w:spacing w:before="120" w:beforeAutospacing="0" w:after="120" w:afterAutospacing="0" w:line="360" w:lineRule="auto"/>
        <w:jc w:val="both"/>
        <w:rPr>
          <w:rFonts w:ascii="Arial" w:hAnsi="Arial" w:cs="Arial"/>
          <w:b/>
          <w:color w:val="auto"/>
          <w:sz w:val="48"/>
          <w:szCs w:val="48"/>
          <w:highlight w:val="none"/>
        </w:rPr>
      </w:pPr>
    </w:p>
    <w:p w14:paraId="3312B16A">
      <w:pPr>
        <w:pStyle w:val="36"/>
        <w:spacing w:before="120" w:beforeAutospacing="0" w:after="120" w:afterAutospacing="0" w:line="360" w:lineRule="auto"/>
        <w:rPr>
          <w:rFonts w:ascii="Arial" w:hAnsi="Arial" w:cs="Arial"/>
          <w:b/>
          <w:color w:val="auto"/>
          <w:sz w:val="32"/>
          <w:szCs w:val="32"/>
          <w:highlight w:val="none"/>
        </w:rPr>
      </w:pPr>
    </w:p>
    <w:p w14:paraId="5A2E9E9A">
      <w:pPr>
        <w:pStyle w:val="36"/>
        <w:spacing w:before="120" w:beforeAutospacing="0" w:after="120" w:afterAutospacing="0" w:line="360" w:lineRule="auto"/>
        <w:jc w:val="center"/>
        <w:rPr>
          <w:rFonts w:hint="default" w:ascii="Arial" w:hAnsi="Arial" w:cs="Arial" w:eastAsiaTheme="minorEastAsia"/>
          <w:b/>
          <w:color w:val="auto"/>
          <w:sz w:val="24"/>
          <w:szCs w:val="24"/>
          <w:highlight w:val="none"/>
          <w:lang w:eastAsia="zh-CN"/>
        </w:rPr>
      </w:pPr>
      <w:r>
        <w:rPr>
          <w:rFonts w:ascii="Arial" w:hAnsi="Arial" w:cs="Arial"/>
          <w:b/>
          <w:color w:val="auto"/>
          <w:sz w:val="28"/>
          <w:szCs w:val="28"/>
          <w:highlight w:val="none"/>
        </w:rPr>
        <w:t>项目名称：</w:t>
      </w:r>
      <w:r>
        <w:rPr>
          <w:rFonts w:hint="eastAsia" w:ascii="宋体"/>
          <w:b/>
          <w:color w:val="auto"/>
          <w:sz w:val="32"/>
          <w:szCs w:val="32"/>
          <w:highlight w:val="none"/>
          <w:lang w:eastAsia="zh-CN"/>
        </w:rPr>
        <w:t>射阳县长荡镇黄沙港支流（中心河）生态河道建设项目</w:t>
      </w:r>
    </w:p>
    <w:p w14:paraId="06510849">
      <w:pPr>
        <w:pStyle w:val="36"/>
        <w:spacing w:before="120" w:beforeAutospacing="0" w:after="120" w:afterAutospacing="0" w:line="360" w:lineRule="auto"/>
        <w:ind w:firstLine="1281"/>
        <w:rPr>
          <w:rFonts w:hint="eastAsia" w:ascii="Arial" w:hAnsi="Arial" w:eastAsia="宋体" w:cs="Arial"/>
          <w:b/>
          <w:color w:val="auto"/>
          <w:sz w:val="32"/>
          <w:szCs w:val="32"/>
          <w:highlight w:val="none"/>
          <w:lang w:val="en-US" w:eastAsia="zh-CN"/>
        </w:rPr>
      </w:pPr>
      <w:r>
        <w:rPr>
          <w:rFonts w:ascii="Arial" w:hAnsi="Arial" w:cs="Arial"/>
          <w:b/>
          <w:color w:val="auto"/>
          <w:sz w:val="32"/>
          <w:szCs w:val="32"/>
          <w:highlight w:val="none"/>
        </w:rPr>
        <w:t>项目编号：</w:t>
      </w:r>
      <w:r>
        <w:rPr>
          <w:rFonts w:hint="eastAsia" w:ascii="Segoe UI" w:hAnsi="Segoe UI" w:eastAsia="宋体" w:cs="Segoe UI"/>
          <w:i w:val="0"/>
          <w:iCs w:val="0"/>
          <w:caps w:val="0"/>
          <w:color w:val="auto"/>
          <w:spacing w:val="0"/>
          <w:sz w:val="28"/>
          <w:szCs w:val="28"/>
          <w:highlight w:val="none"/>
          <w:shd w:val="clear" w:color="auto" w:fill="FFFFFF"/>
          <w:lang w:eastAsia="zh-CN"/>
        </w:rPr>
        <w:t>JSZC-320924-YCXD-C2026-0003</w:t>
      </w:r>
    </w:p>
    <w:p w14:paraId="093A9852">
      <w:pPr>
        <w:pStyle w:val="36"/>
        <w:spacing w:before="120" w:beforeAutospacing="0" w:after="120" w:afterAutospacing="0" w:line="360" w:lineRule="auto"/>
        <w:ind w:firstLine="2249"/>
        <w:rPr>
          <w:color w:val="auto"/>
          <w:highlight w:val="none"/>
        </w:rPr>
      </w:pPr>
      <w:r>
        <w:rPr>
          <w:rFonts w:ascii="Times New Roman" w:hAnsi="Times New Roman"/>
          <w:b/>
          <w:color w:val="auto"/>
          <w:sz w:val="30"/>
          <w:szCs w:val="30"/>
          <w:highlight w:val="none"/>
        </w:rPr>
        <w:t xml:space="preserve">  </w:t>
      </w:r>
    </w:p>
    <w:p w14:paraId="281BBF67">
      <w:pPr>
        <w:pStyle w:val="36"/>
        <w:spacing w:beforeAutospacing="0" w:afterAutospacing="0" w:line="360" w:lineRule="auto"/>
        <w:rPr>
          <w:color w:val="auto"/>
          <w:highlight w:val="none"/>
        </w:rPr>
      </w:pPr>
      <w:r>
        <w:rPr>
          <w:color w:val="auto"/>
          <w:highlight w:val="none"/>
        </w:rPr>
        <w:t> </w:t>
      </w:r>
    </w:p>
    <w:p w14:paraId="40F8625A">
      <w:pPr>
        <w:pStyle w:val="36"/>
        <w:spacing w:beforeAutospacing="0" w:afterAutospacing="0" w:line="360" w:lineRule="auto"/>
        <w:rPr>
          <w:color w:val="auto"/>
          <w:highlight w:val="none"/>
        </w:rPr>
      </w:pPr>
      <w:r>
        <w:rPr>
          <w:color w:val="auto"/>
          <w:highlight w:val="none"/>
        </w:rPr>
        <w:t> </w:t>
      </w:r>
    </w:p>
    <w:p w14:paraId="154ADF0A">
      <w:pPr>
        <w:pStyle w:val="36"/>
        <w:spacing w:beforeAutospacing="0" w:afterAutospacing="0" w:line="360" w:lineRule="auto"/>
        <w:rPr>
          <w:color w:val="auto"/>
          <w:highlight w:val="none"/>
        </w:rPr>
      </w:pPr>
      <w:r>
        <w:rPr>
          <w:color w:val="auto"/>
          <w:highlight w:val="none"/>
        </w:rPr>
        <w:t> </w:t>
      </w:r>
    </w:p>
    <w:p w14:paraId="21605040">
      <w:pPr>
        <w:pStyle w:val="36"/>
        <w:spacing w:beforeAutospacing="0" w:afterAutospacing="0" w:line="360" w:lineRule="auto"/>
        <w:rPr>
          <w:color w:val="auto"/>
          <w:highlight w:val="none"/>
        </w:rPr>
      </w:pPr>
    </w:p>
    <w:p w14:paraId="48645B86">
      <w:pPr>
        <w:pStyle w:val="36"/>
        <w:keepNext w:val="0"/>
        <w:keepLines w:val="0"/>
        <w:pageBreakBefore w:val="0"/>
        <w:widowControl w:val="0"/>
        <w:spacing w:beforeAutospacing="0" w:afterAutospacing="0" w:line="800" w:lineRule="exact"/>
        <w:ind w:firstLine="643"/>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rPr>
        <w:t>采   购   人：</w:t>
      </w:r>
      <w:r>
        <w:rPr>
          <w:rFonts w:hint="eastAsia" w:ascii="Arial" w:hAnsi="Arial" w:cs="Arial"/>
          <w:b/>
          <w:color w:val="auto"/>
          <w:sz w:val="32"/>
          <w:szCs w:val="32"/>
          <w:highlight w:val="none"/>
          <w:lang w:eastAsia="zh-CN"/>
        </w:rPr>
        <w:t>射阳县长荡镇人民政府</w:t>
      </w:r>
    </w:p>
    <w:p w14:paraId="1B1906AD">
      <w:pPr>
        <w:pStyle w:val="36"/>
        <w:keepNext w:val="0"/>
        <w:keepLines w:val="0"/>
        <w:pageBreakBefore w:val="0"/>
        <w:widowControl w:val="0"/>
        <w:spacing w:beforeAutospacing="0" w:afterAutospacing="0" w:line="800" w:lineRule="exact"/>
        <w:ind w:firstLine="643"/>
        <w:rPr>
          <w:rFonts w:hint="eastAsia" w:ascii="Arial" w:hAnsi="Arial" w:cs="Arial"/>
          <w:b/>
          <w:color w:val="auto"/>
          <w:sz w:val="32"/>
          <w:szCs w:val="32"/>
          <w:highlight w:val="none"/>
          <w:lang w:eastAsia="zh-CN"/>
        </w:rPr>
      </w:pPr>
      <w:r>
        <w:rPr>
          <w:rFonts w:hint="eastAsia" w:ascii="Arial" w:hAnsi="Arial" w:cs="Arial"/>
          <w:b/>
          <w:color w:val="auto"/>
          <w:sz w:val="32"/>
          <w:szCs w:val="32"/>
          <w:highlight w:val="none"/>
        </w:rPr>
        <w:t>采购代理机构：</w:t>
      </w:r>
      <w:r>
        <w:rPr>
          <w:rFonts w:hint="eastAsia" w:ascii="Arial" w:hAnsi="Arial" w:cs="Arial"/>
          <w:b/>
          <w:color w:val="auto"/>
          <w:sz w:val="32"/>
          <w:szCs w:val="32"/>
          <w:highlight w:val="none"/>
          <w:lang w:val="en-US" w:eastAsia="zh-CN"/>
        </w:rPr>
        <w:t>盐城现代建设工程项目管理有限公司</w:t>
      </w:r>
    </w:p>
    <w:p w14:paraId="6BFDCF70">
      <w:pPr>
        <w:keepNext w:val="0"/>
        <w:keepLines w:val="0"/>
        <w:pageBreakBefore w:val="0"/>
        <w:widowControl w:val="0"/>
        <w:spacing w:line="800" w:lineRule="exact"/>
        <w:ind w:firstLine="2530"/>
        <w:jc w:val="both"/>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32"/>
          <w:szCs w:val="28"/>
          <w:highlight w:val="none"/>
        </w:rPr>
        <w:t>日   期：</w:t>
      </w:r>
      <w:r>
        <w:rPr>
          <w:rFonts w:hint="eastAsia" w:ascii="宋体" w:hAnsi="宋体" w:eastAsia="宋体" w:cs="宋体"/>
          <w:b/>
          <w:bCs/>
          <w:color w:val="auto"/>
          <w:sz w:val="32"/>
          <w:szCs w:val="28"/>
          <w:highlight w:val="none"/>
          <w:lang w:val="en-US" w:eastAsia="zh-CN"/>
        </w:rPr>
        <w:t>2026</w:t>
      </w:r>
      <w:r>
        <w:rPr>
          <w:rFonts w:hint="eastAsia" w:ascii="宋体" w:hAnsi="宋体" w:eastAsia="宋体" w:cs="宋体"/>
          <w:b/>
          <w:bCs/>
          <w:color w:val="auto"/>
          <w:sz w:val="32"/>
          <w:szCs w:val="28"/>
          <w:highlight w:val="none"/>
          <w:lang w:eastAsia="zh-CN"/>
        </w:rPr>
        <w:t>年</w:t>
      </w:r>
      <w:r>
        <w:rPr>
          <w:rFonts w:hint="eastAsia" w:ascii="宋体" w:hAnsi="宋体" w:eastAsia="宋体" w:cs="宋体"/>
          <w:b/>
          <w:bCs/>
          <w:color w:val="auto"/>
          <w:sz w:val="32"/>
          <w:szCs w:val="28"/>
          <w:highlight w:val="none"/>
          <w:lang w:val="en-US" w:eastAsia="zh-CN"/>
        </w:rPr>
        <w:t>09</w:t>
      </w:r>
      <w:r>
        <w:rPr>
          <w:rFonts w:hint="eastAsia" w:ascii="宋体" w:hAnsi="宋体" w:eastAsia="宋体" w:cs="宋体"/>
          <w:b/>
          <w:bCs/>
          <w:color w:val="auto"/>
          <w:sz w:val="32"/>
          <w:szCs w:val="28"/>
          <w:highlight w:val="none"/>
          <w:lang w:eastAsia="zh-CN"/>
        </w:rPr>
        <w:t>月</w:t>
      </w:r>
    </w:p>
    <w:p w14:paraId="142829E3">
      <w:pPr>
        <w:pStyle w:val="36"/>
        <w:spacing w:before="120" w:beforeAutospacing="0" w:after="120" w:afterAutospacing="0" w:line="360" w:lineRule="auto"/>
        <w:rPr>
          <w:color w:val="auto"/>
          <w:highlight w:val="none"/>
        </w:rPr>
      </w:pPr>
      <w:r>
        <w:rPr>
          <w:rFonts w:ascii="Arial" w:hAnsi="Arial" w:cs="Arial"/>
          <w:color w:val="auto"/>
          <w:highlight w:val="none"/>
        </w:rPr>
        <w:t xml:space="preserve">                        </w:t>
      </w:r>
    </w:p>
    <w:p w14:paraId="08790E95">
      <w:pPr>
        <w:pStyle w:val="36"/>
        <w:spacing w:before="120" w:beforeAutospacing="0" w:after="120" w:afterAutospacing="0" w:line="360" w:lineRule="auto"/>
        <w:jc w:val="center"/>
        <w:rPr>
          <w:color w:val="auto"/>
          <w:highlight w:val="none"/>
        </w:rPr>
      </w:pPr>
      <w:r>
        <w:rPr>
          <w:color w:val="auto"/>
          <w:highlight w:val="none"/>
        </w:rPr>
        <w:t> </w:t>
      </w:r>
    </w:p>
    <w:p w14:paraId="4E8A27E0">
      <w:pPr>
        <w:pStyle w:val="36"/>
        <w:spacing w:beforeAutospacing="0" w:afterAutospacing="0" w:line="480" w:lineRule="auto"/>
        <w:jc w:val="center"/>
        <w:rPr>
          <w:rFonts w:ascii="Times New Roman" w:hAnsi="Times New Roman"/>
          <w:color w:val="auto"/>
          <w:sz w:val="21"/>
          <w:szCs w:val="21"/>
          <w:highlight w:val="none"/>
        </w:rPr>
      </w:pPr>
    </w:p>
    <w:p w14:paraId="26E9BE31">
      <w:pPr>
        <w:pStyle w:val="36"/>
        <w:spacing w:beforeAutospacing="0" w:afterAutospacing="0" w:line="480" w:lineRule="auto"/>
        <w:jc w:val="center"/>
        <w:rPr>
          <w:rFonts w:ascii="Times New Roman" w:hAnsi="Times New Roman"/>
          <w:color w:val="auto"/>
          <w:sz w:val="21"/>
          <w:szCs w:val="21"/>
          <w:highlight w:val="none"/>
        </w:rPr>
      </w:pPr>
    </w:p>
    <w:p w14:paraId="41F8D60A">
      <w:pPr>
        <w:pStyle w:val="36"/>
        <w:spacing w:beforeAutospacing="0" w:afterAutospacing="0" w:line="480" w:lineRule="auto"/>
        <w:jc w:val="center"/>
        <w:rPr>
          <w:color w:val="auto"/>
          <w:highlight w:val="none"/>
        </w:rPr>
      </w:pPr>
      <w:r>
        <w:rPr>
          <w:rFonts w:ascii="Times New Roman" w:hAnsi="Times New Roman"/>
          <w:color w:val="auto"/>
          <w:sz w:val="21"/>
          <w:szCs w:val="21"/>
          <w:highlight w:val="none"/>
        </w:rPr>
        <w:t> </w:t>
      </w:r>
      <w:bookmarkStart w:id="0" w:name="_Toc120614210"/>
      <w:bookmarkStart w:id="1" w:name="_Toc20823272"/>
      <w:bookmarkStart w:id="2" w:name="_Toc513029200"/>
      <w:bookmarkStart w:id="3" w:name="_Toc523127445"/>
      <w:bookmarkStart w:id="4" w:name="_Toc479757206"/>
      <w:bookmarkStart w:id="5" w:name="_Toc16938516"/>
      <w:r>
        <w:rPr>
          <w:rFonts w:ascii="黑体" w:hAnsi="宋体" w:eastAsia="黑体" w:cs="黑体"/>
          <w:b/>
          <w:color w:val="auto"/>
          <w:sz w:val="44"/>
          <w:szCs w:val="44"/>
          <w:highlight w:val="none"/>
        </w:rPr>
        <w:t>总  目  录</w:t>
      </w:r>
      <w:bookmarkEnd w:id="0"/>
      <w:bookmarkEnd w:id="1"/>
      <w:bookmarkEnd w:id="2"/>
      <w:bookmarkEnd w:id="3"/>
      <w:bookmarkEnd w:id="4"/>
      <w:bookmarkEnd w:id="5"/>
    </w:p>
    <w:p w14:paraId="5B66F7A2">
      <w:pPr>
        <w:pStyle w:val="36"/>
        <w:spacing w:beforeAutospacing="0" w:afterAutospacing="0" w:line="480" w:lineRule="auto"/>
        <w:jc w:val="both"/>
        <w:rPr>
          <w:color w:val="auto"/>
          <w:highlight w:val="none"/>
        </w:rPr>
      </w:pPr>
      <w:r>
        <w:rPr>
          <w:color w:val="auto"/>
          <w:highlight w:val="none"/>
        </w:rPr>
        <w:t> </w:t>
      </w:r>
    </w:p>
    <w:p w14:paraId="445E4409">
      <w:pPr>
        <w:pStyle w:val="36"/>
        <w:tabs>
          <w:tab w:val="left" w:pos="1441"/>
        </w:tabs>
        <w:spacing w:beforeAutospacing="0" w:afterAutospacing="0" w:line="480" w:lineRule="auto"/>
        <w:ind w:left="2160" w:hanging="1440"/>
        <w:jc w:val="both"/>
        <w:rPr>
          <w:rFonts w:hint="eastAsia" w:eastAsia="黑体"/>
          <w:color w:val="auto"/>
          <w:highlight w:val="none"/>
          <w:lang w:val="en-US" w:eastAsia="zh-CN"/>
        </w:rPr>
      </w:pPr>
      <w:r>
        <w:rPr>
          <w:rFonts w:hint="eastAsia" w:ascii="黑体" w:hAnsi="宋体" w:eastAsia="黑体" w:cs="黑体"/>
          <w:color w:val="auto"/>
          <w:sz w:val="36"/>
          <w:szCs w:val="36"/>
          <w:highlight w:val="none"/>
          <w:lang w:val="en-US" w:eastAsia="zh-CN"/>
        </w:rPr>
        <w:t>竞争性磋商公告</w:t>
      </w:r>
      <w:r>
        <w:rPr>
          <w:rFonts w:hint="eastAsia" w:ascii="黑体" w:hAnsi="宋体" w:eastAsia="黑体" w:cs="黑体"/>
          <w:color w:val="auto"/>
          <w:sz w:val="36"/>
          <w:szCs w:val="36"/>
          <w:highlight w:val="none"/>
        </w:rPr>
        <w:t>……………………………</w:t>
      </w:r>
      <w:r>
        <w:rPr>
          <w:rFonts w:hint="eastAsia" w:ascii="黑体" w:hAnsi="宋体" w:eastAsia="黑体" w:cs="黑体"/>
          <w:color w:val="auto"/>
          <w:sz w:val="36"/>
          <w:szCs w:val="36"/>
          <w:highlight w:val="none"/>
          <w:lang w:val="en-US" w:eastAsia="zh-CN"/>
        </w:rPr>
        <w:t>1</w:t>
      </w:r>
    </w:p>
    <w:p w14:paraId="66083A0D">
      <w:pPr>
        <w:pStyle w:val="36"/>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供应商须知…………………………………</w:t>
      </w:r>
      <w:r>
        <w:rPr>
          <w:rFonts w:hint="eastAsia" w:ascii="黑体" w:hAnsi="宋体" w:eastAsia="黑体" w:cs="黑体"/>
          <w:color w:val="auto"/>
          <w:sz w:val="36"/>
          <w:szCs w:val="36"/>
          <w:highlight w:val="none"/>
          <w:lang w:val="en-US" w:eastAsia="zh-CN"/>
        </w:rPr>
        <w:t>6</w:t>
      </w:r>
      <w:r>
        <w:rPr>
          <w:rFonts w:hint="eastAsia" w:ascii="黑体" w:hAnsi="宋体" w:eastAsia="黑体" w:cs="黑体"/>
          <w:color w:val="auto"/>
          <w:sz w:val="36"/>
          <w:szCs w:val="36"/>
          <w:highlight w:val="none"/>
        </w:rPr>
        <w:t xml:space="preserve">  </w:t>
      </w:r>
    </w:p>
    <w:p w14:paraId="276DD87A">
      <w:pPr>
        <w:pStyle w:val="36"/>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合同文本……………………………………</w:t>
      </w:r>
      <w:r>
        <w:rPr>
          <w:rFonts w:hint="eastAsia" w:ascii="黑体" w:hAnsi="宋体" w:eastAsia="黑体" w:cs="黑体"/>
          <w:color w:val="auto"/>
          <w:sz w:val="36"/>
          <w:szCs w:val="36"/>
          <w:highlight w:val="none"/>
          <w:lang w:val="en-US" w:eastAsia="zh-CN"/>
        </w:rPr>
        <w:t>20</w:t>
      </w:r>
    </w:p>
    <w:p w14:paraId="1D41848E">
      <w:pPr>
        <w:pStyle w:val="36"/>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68</w:t>
      </w:r>
    </w:p>
    <w:p w14:paraId="695F1970">
      <w:pPr>
        <w:pStyle w:val="36"/>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评审方法与评审标准………………………</w:t>
      </w:r>
      <w:r>
        <w:rPr>
          <w:rFonts w:hint="eastAsia" w:ascii="黑体" w:hAnsi="宋体" w:eastAsia="黑体" w:cs="黑体"/>
          <w:color w:val="auto"/>
          <w:sz w:val="36"/>
          <w:szCs w:val="36"/>
          <w:highlight w:val="none"/>
          <w:lang w:val="en-US" w:eastAsia="zh-CN"/>
        </w:rPr>
        <w:t xml:space="preserve">70   </w:t>
      </w:r>
    </w:p>
    <w:p w14:paraId="4E8421F2">
      <w:pPr>
        <w:pStyle w:val="36"/>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响应文件格式………………………………</w:t>
      </w:r>
      <w:r>
        <w:rPr>
          <w:rFonts w:hint="eastAsia" w:ascii="黑体" w:hAnsi="宋体" w:eastAsia="黑体" w:cs="黑体"/>
          <w:color w:val="auto"/>
          <w:sz w:val="36"/>
          <w:szCs w:val="36"/>
          <w:highlight w:val="none"/>
          <w:lang w:val="en-US" w:eastAsia="zh-CN"/>
        </w:rPr>
        <w:t>75</w:t>
      </w:r>
    </w:p>
    <w:p w14:paraId="02532C2F">
      <w:pPr>
        <w:pStyle w:val="36"/>
        <w:spacing w:beforeAutospacing="0" w:afterAutospacing="0"/>
        <w:jc w:val="both"/>
        <w:rPr>
          <w:color w:val="auto"/>
          <w:highlight w:val="none"/>
        </w:rPr>
      </w:pPr>
      <w:r>
        <w:rPr>
          <w:color w:val="auto"/>
          <w:highlight w:val="none"/>
        </w:rPr>
        <w:t> </w:t>
      </w:r>
    </w:p>
    <w:p w14:paraId="79D4D086">
      <w:pPr>
        <w:pStyle w:val="36"/>
        <w:spacing w:beforeAutospacing="0" w:afterAutospacing="0"/>
        <w:jc w:val="both"/>
        <w:rPr>
          <w:color w:val="auto"/>
          <w:highlight w:val="none"/>
        </w:rPr>
      </w:pPr>
      <w:r>
        <w:rPr>
          <w:color w:val="auto"/>
          <w:highlight w:val="none"/>
        </w:rPr>
        <w:t> </w:t>
      </w:r>
    </w:p>
    <w:p w14:paraId="511409AE">
      <w:pPr>
        <w:pStyle w:val="36"/>
        <w:spacing w:beforeAutospacing="0" w:afterAutospacing="0"/>
        <w:jc w:val="both"/>
        <w:rPr>
          <w:color w:val="auto"/>
          <w:highlight w:val="none"/>
        </w:rPr>
      </w:pPr>
      <w:r>
        <w:rPr>
          <w:color w:val="auto"/>
          <w:highlight w:val="none"/>
        </w:rPr>
        <w:t> </w:t>
      </w:r>
    </w:p>
    <w:p w14:paraId="583B3CC6">
      <w:pPr>
        <w:pStyle w:val="36"/>
        <w:spacing w:beforeAutospacing="0" w:afterAutospacing="0"/>
        <w:jc w:val="both"/>
        <w:rPr>
          <w:color w:val="auto"/>
          <w:highlight w:val="none"/>
        </w:rPr>
      </w:pPr>
      <w:r>
        <w:rPr>
          <w:color w:val="auto"/>
          <w:highlight w:val="none"/>
        </w:rPr>
        <w:t> </w:t>
      </w:r>
    </w:p>
    <w:p w14:paraId="18F59961">
      <w:pPr>
        <w:pStyle w:val="36"/>
        <w:spacing w:beforeAutospacing="0" w:afterAutospacing="0"/>
        <w:jc w:val="both"/>
        <w:rPr>
          <w:color w:val="auto"/>
          <w:highlight w:val="none"/>
        </w:rPr>
      </w:pPr>
      <w:r>
        <w:rPr>
          <w:color w:val="auto"/>
          <w:highlight w:val="none"/>
        </w:rPr>
        <w:t> </w:t>
      </w:r>
    </w:p>
    <w:p w14:paraId="490795BB">
      <w:pPr>
        <w:pStyle w:val="36"/>
        <w:spacing w:beforeAutospacing="0" w:afterAutospacing="0"/>
        <w:jc w:val="both"/>
        <w:rPr>
          <w:color w:val="auto"/>
          <w:highlight w:val="none"/>
        </w:rPr>
      </w:pPr>
      <w:r>
        <w:rPr>
          <w:color w:val="auto"/>
          <w:highlight w:val="none"/>
        </w:rPr>
        <w:t> </w:t>
      </w:r>
    </w:p>
    <w:p w14:paraId="2B35A00F">
      <w:pPr>
        <w:pStyle w:val="36"/>
        <w:spacing w:beforeAutospacing="0" w:afterAutospacing="0"/>
        <w:jc w:val="both"/>
        <w:rPr>
          <w:color w:val="auto"/>
          <w:highlight w:val="none"/>
        </w:rPr>
      </w:pPr>
      <w:r>
        <w:rPr>
          <w:color w:val="auto"/>
          <w:highlight w:val="none"/>
        </w:rPr>
        <w:t> </w:t>
      </w:r>
    </w:p>
    <w:p w14:paraId="70E266F6">
      <w:pPr>
        <w:pStyle w:val="36"/>
        <w:spacing w:beforeAutospacing="0" w:afterAutospacing="0"/>
        <w:jc w:val="both"/>
        <w:rPr>
          <w:color w:val="auto"/>
          <w:highlight w:val="none"/>
        </w:rPr>
      </w:pPr>
      <w:r>
        <w:rPr>
          <w:color w:val="auto"/>
          <w:highlight w:val="none"/>
        </w:rPr>
        <w:t> </w:t>
      </w:r>
    </w:p>
    <w:p w14:paraId="59555176">
      <w:pPr>
        <w:pStyle w:val="36"/>
        <w:spacing w:beforeAutospacing="0" w:afterAutospacing="0"/>
        <w:jc w:val="both"/>
        <w:rPr>
          <w:color w:val="auto"/>
          <w:highlight w:val="none"/>
        </w:rPr>
      </w:pPr>
      <w:r>
        <w:rPr>
          <w:color w:val="auto"/>
          <w:highlight w:val="none"/>
        </w:rPr>
        <w:t> </w:t>
      </w:r>
    </w:p>
    <w:p w14:paraId="0B561BD7">
      <w:pPr>
        <w:pStyle w:val="36"/>
        <w:spacing w:beforeAutospacing="0" w:afterAutospacing="0"/>
        <w:jc w:val="both"/>
        <w:rPr>
          <w:color w:val="auto"/>
          <w:highlight w:val="none"/>
        </w:rPr>
      </w:pPr>
      <w:r>
        <w:rPr>
          <w:color w:val="auto"/>
          <w:highlight w:val="none"/>
        </w:rPr>
        <w:t> </w:t>
      </w:r>
    </w:p>
    <w:p w14:paraId="58B5DB07">
      <w:pPr>
        <w:pStyle w:val="36"/>
        <w:spacing w:beforeAutospacing="0" w:afterAutospacing="0"/>
        <w:jc w:val="both"/>
        <w:rPr>
          <w:color w:val="auto"/>
          <w:highlight w:val="none"/>
        </w:rPr>
      </w:pPr>
      <w:r>
        <w:rPr>
          <w:color w:val="auto"/>
          <w:highlight w:val="none"/>
        </w:rPr>
        <w:t> </w:t>
      </w:r>
    </w:p>
    <w:p w14:paraId="4474E8B0">
      <w:pPr>
        <w:pStyle w:val="36"/>
        <w:spacing w:beforeAutospacing="0" w:afterAutospacing="0"/>
        <w:jc w:val="both"/>
        <w:rPr>
          <w:color w:val="auto"/>
          <w:highlight w:val="none"/>
        </w:rPr>
      </w:pPr>
      <w:r>
        <w:rPr>
          <w:color w:val="auto"/>
          <w:highlight w:val="none"/>
        </w:rPr>
        <w:t> </w:t>
      </w:r>
    </w:p>
    <w:p w14:paraId="70C92A20">
      <w:pPr>
        <w:pStyle w:val="36"/>
        <w:spacing w:beforeAutospacing="0" w:afterAutospacing="0"/>
        <w:jc w:val="both"/>
        <w:rPr>
          <w:color w:val="auto"/>
          <w:highlight w:val="none"/>
        </w:rPr>
      </w:pPr>
      <w:r>
        <w:rPr>
          <w:color w:val="auto"/>
          <w:highlight w:val="none"/>
        </w:rPr>
        <w:t> </w:t>
      </w:r>
    </w:p>
    <w:p w14:paraId="48F86FF2">
      <w:pPr>
        <w:pStyle w:val="36"/>
        <w:spacing w:beforeAutospacing="0" w:afterAutospacing="0"/>
        <w:jc w:val="both"/>
        <w:rPr>
          <w:color w:val="auto"/>
          <w:highlight w:val="none"/>
        </w:rPr>
      </w:pPr>
      <w:r>
        <w:rPr>
          <w:color w:val="auto"/>
          <w:highlight w:val="none"/>
        </w:rPr>
        <w:t> </w:t>
      </w:r>
    </w:p>
    <w:p w14:paraId="24516BF1">
      <w:pPr>
        <w:pStyle w:val="36"/>
        <w:spacing w:beforeAutospacing="0" w:afterAutospacing="0"/>
        <w:jc w:val="both"/>
        <w:rPr>
          <w:color w:val="auto"/>
          <w:highlight w:val="none"/>
        </w:rPr>
      </w:pPr>
      <w:r>
        <w:rPr>
          <w:color w:val="auto"/>
          <w:highlight w:val="none"/>
        </w:rPr>
        <w:t> </w:t>
      </w:r>
    </w:p>
    <w:p w14:paraId="40E3FA19">
      <w:pPr>
        <w:pStyle w:val="36"/>
        <w:spacing w:beforeAutospacing="0" w:afterAutospacing="0"/>
        <w:jc w:val="both"/>
        <w:rPr>
          <w:color w:val="auto"/>
          <w:highlight w:val="none"/>
        </w:rPr>
      </w:pPr>
      <w:r>
        <w:rPr>
          <w:color w:val="auto"/>
          <w:highlight w:val="none"/>
        </w:rPr>
        <w:t> </w:t>
      </w:r>
    </w:p>
    <w:p w14:paraId="6DC018CD">
      <w:pPr>
        <w:pStyle w:val="36"/>
        <w:spacing w:beforeAutospacing="0" w:afterAutospacing="0"/>
        <w:jc w:val="both"/>
        <w:rPr>
          <w:color w:val="auto"/>
          <w:highlight w:val="none"/>
        </w:rPr>
      </w:pPr>
      <w:r>
        <w:rPr>
          <w:color w:val="auto"/>
          <w:highlight w:val="none"/>
        </w:rPr>
        <w:t> </w:t>
      </w:r>
    </w:p>
    <w:p w14:paraId="38EF4AD9">
      <w:pPr>
        <w:pStyle w:val="36"/>
        <w:spacing w:beforeAutospacing="0" w:afterAutospacing="0"/>
        <w:jc w:val="both"/>
        <w:rPr>
          <w:color w:val="auto"/>
          <w:highlight w:val="none"/>
        </w:rPr>
      </w:pPr>
      <w:r>
        <w:rPr>
          <w:color w:val="auto"/>
          <w:highlight w:val="none"/>
        </w:rPr>
        <w:t> </w:t>
      </w:r>
    </w:p>
    <w:p w14:paraId="3CD8DC34">
      <w:pPr>
        <w:pStyle w:val="36"/>
        <w:spacing w:beforeAutospacing="0" w:afterAutospacing="0"/>
        <w:jc w:val="both"/>
        <w:rPr>
          <w:color w:val="auto"/>
          <w:highlight w:val="none"/>
        </w:rPr>
      </w:pPr>
      <w:r>
        <w:rPr>
          <w:color w:val="auto"/>
          <w:highlight w:val="none"/>
        </w:rPr>
        <w:t> </w:t>
      </w:r>
    </w:p>
    <w:p w14:paraId="4EE362DF">
      <w:pPr>
        <w:pStyle w:val="36"/>
        <w:spacing w:beforeAutospacing="0" w:afterAutospacing="0"/>
        <w:jc w:val="both"/>
        <w:rPr>
          <w:color w:val="auto"/>
          <w:highlight w:val="none"/>
        </w:rPr>
      </w:pPr>
      <w:r>
        <w:rPr>
          <w:color w:val="auto"/>
          <w:highlight w:val="none"/>
        </w:rPr>
        <w:t> </w:t>
      </w:r>
    </w:p>
    <w:p w14:paraId="718A807B">
      <w:pPr>
        <w:pStyle w:val="36"/>
        <w:spacing w:beforeAutospacing="0" w:afterAutospacing="0"/>
        <w:jc w:val="both"/>
        <w:rPr>
          <w:color w:val="auto"/>
          <w:highlight w:val="none"/>
        </w:rPr>
      </w:pPr>
      <w:r>
        <w:rPr>
          <w:color w:val="auto"/>
          <w:highlight w:val="none"/>
        </w:rPr>
        <w:t> </w:t>
      </w:r>
    </w:p>
    <w:p w14:paraId="306FD563">
      <w:pPr>
        <w:pStyle w:val="36"/>
        <w:spacing w:beforeAutospacing="0" w:afterAutospacing="0"/>
        <w:jc w:val="both"/>
        <w:rPr>
          <w:color w:val="auto"/>
          <w:highlight w:val="none"/>
        </w:rPr>
        <w:sectPr>
          <w:headerReference r:id="rId5" w:type="first"/>
          <w:headerReference r:id="rId4" w:type="default"/>
          <w:footerReference r:id="rId6" w:type="default"/>
          <w:pgSz w:w="11906" w:h="16838"/>
          <w:pgMar w:top="1418" w:right="1304" w:bottom="1418" w:left="1304" w:header="851" w:footer="992" w:gutter="0"/>
          <w:cols w:space="720" w:num="1"/>
          <w:titlePg/>
          <w:docGrid w:linePitch="360" w:charSpace="0"/>
        </w:sectPr>
      </w:pPr>
    </w:p>
    <w:p w14:paraId="158B4E96">
      <w:pPr>
        <w:pStyle w:val="36"/>
        <w:spacing w:beforeAutospacing="0" w:afterAutospacing="0"/>
        <w:jc w:val="center"/>
        <w:rPr>
          <w:rFonts w:hint="eastAsia" w:ascii="仿宋" w:hAnsi="仿宋" w:eastAsia="仿宋" w:cs="仿宋"/>
          <w:color w:val="auto"/>
          <w:sz w:val="28"/>
          <w:szCs w:val="28"/>
          <w:highlight w:val="none"/>
          <w:lang w:val="en-US" w:eastAsia="zh-CN"/>
        </w:rPr>
      </w:pPr>
      <w:bookmarkStart w:id="6" w:name="_Toc28359086"/>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竞争性磋商公告</w:t>
      </w:r>
    </w:p>
    <w:p w14:paraId="1667AB20">
      <w:pPr>
        <w:pStyle w:val="36"/>
        <w:keepNext w:val="0"/>
        <w:keepLines w:val="0"/>
        <w:pageBreakBefore w:val="0"/>
        <w:widowControl w:val="0"/>
        <w:pBdr>
          <w:top w:val="single" w:color="000000" w:sz="4" w:space="0"/>
          <w:left w:val="single" w:color="000000" w:sz="4" w:space="0"/>
          <w:bottom w:val="single" w:color="000000" w:sz="4" w:space="0"/>
          <w:right w:val="single" w:color="000000" w:sz="4" w:space="0"/>
        </w:pBdr>
        <w:spacing w:beforeAutospacing="0" w:afterAutospacing="0" w:line="500" w:lineRule="exact"/>
        <w:ind w:firstLine="560"/>
        <w:jc w:val="both"/>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项目概况</w:t>
      </w:r>
      <w:r>
        <w:rPr>
          <w:rFonts w:hint="eastAsia" w:ascii="仿宋" w:hAnsi="仿宋" w:eastAsia="仿宋" w:cs="仿宋"/>
          <w:color w:val="auto"/>
          <w:sz w:val="28"/>
          <w:szCs w:val="28"/>
          <w:highlight w:val="none"/>
          <w:lang w:eastAsia="zh-CN"/>
        </w:rPr>
        <w:t>：</w:t>
      </w:r>
    </w:p>
    <w:p w14:paraId="5A07C3A2">
      <w:pPr>
        <w:pStyle w:val="36"/>
        <w:keepNext w:val="0"/>
        <w:keepLines w:val="0"/>
        <w:pageBreakBefore w:val="0"/>
        <w:widowControl w:val="0"/>
        <w:pBdr>
          <w:top w:val="single" w:color="000000" w:sz="4" w:space="0"/>
          <w:left w:val="single" w:color="000000" w:sz="4" w:space="0"/>
          <w:bottom w:val="single" w:color="000000" w:sz="4" w:space="0"/>
          <w:right w:val="single" w:color="000000" w:sz="4" w:space="0"/>
        </w:pBdr>
        <w:spacing w:beforeAutospacing="0" w:afterAutospacing="0" w:line="500" w:lineRule="exact"/>
        <w:ind w:firstLine="56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eastAsia="zh-CN"/>
        </w:rPr>
        <w:t>射阳县长荡镇黄沙港支流（中心河）生态河道建设项目</w:t>
      </w:r>
      <w:r>
        <w:rPr>
          <w:rFonts w:hint="eastAsia" w:ascii="仿宋" w:hAnsi="仿宋" w:eastAsia="仿宋" w:cs="仿宋"/>
          <w:color w:val="auto"/>
          <w:sz w:val="28"/>
          <w:szCs w:val="28"/>
          <w:highlight w:val="none"/>
          <w:lang w:val="en-US" w:eastAsia="zh-CN"/>
        </w:rPr>
        <w:t>采购</w:t>
      </w:r>
      <w:r>
        <w:rPr>
          <w:rFonts w:hint="eastAsia" w:ascii="仿宋" w:hAnsi="仿宋" w:eastAsia="仿宋" w:cs="仿宋"/>
          <w:color w:val="auto"/>
          <w:sz w:val="28"/>
          <w:szCs w:val="28"/>
          <w:highlight w:val="none"/>
        </w:rPr>
        <w:t>项目的潜在供应商</w:t>
      </w:r>
      <w:r>
        <w:rPr>
          <w:rFonts w:hint="eastAsia" w:ascii="仿宋" w:hAnsi="仿宋" w:eastAsia="仿宋" w:cs="仿宋"/>
          <w:color w:val="auto"/>
          <w:sz w:val="28"/>
          <w:szCs w:val="28"/>
          <w:highlight w:val="none"/>
          <w:lang w:val="en-US" w:eastAsia="zh-CN"/>
        </w:rPr>
        <w:t>应</w:t>
      </w:r>
      <w:r>
        <w:rPr>
          <w:rFonts w:hint="eastAsia" w:ascii="仿宋" w:hAnsi="仿宋" w:eastAsia="仿宋" w:cs="仿宋"/>
          <w:color w:val="auto"/>
          <w:sz w:val="28"/>
          <w:szCs w:val="28"/>
          <w:highlight w:val="none"/>
        </w:rPr>
        <w:t>在</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u w:val="single"/>
          <w:lang w:val="en-US" w:eastAsia="zh-CN"/>
        </w:rPr>
        <w:t>中国政府采购网、</w:t>
      </w:r>
      <w:r>
        <w:rPr>
          <w:rFonts w:hint="eastAsia" w:ascii="仿宋" w:hAnsi="仿宋" w:eastAsia="仿宋" w:cs="仿宋"/>
          <w:color w:val="auto"/>
          <w:sz w:val="28"/>
          <w:szCs w:val="28"/>
          <w:highlight w:val="none"/>
          <w:u w:val="single"/>
        </w:rPr>
        <w:t>江苏政府采购网、盐城市政采购网”</w:t>
      </w:r>
      <w:r>
        <w:rPr>
          <w:rFonts w:hint="eastAsia" w:ascii="仿宋" w:hAnsi="仿宋" w:eastAsia="仿宋" w:cs="仿宋"/>
          <w:color w:val="auto"/>
          <w:sz w:val="28"/>
          <w:szCs w:val="28"/>
          <w:highlight w:val="none"/>
          <w:lang w:val="en-US" w:eastAsia="zh-CN"/>
        </w:rPr>
        <w:t>获取磋商</w:t>
      </w:r>
      <w:r>
        <w:rPr>
          <w:rFonts w:hint="eastAsia" w:ascii="仿宋" w:hAnsi="仿宋" w:eastAsia="仿宋" w:cs="仿宋"/>
          <w:color w:val="auto"/>
          <w:sz w:val="28"/>
          <w:szCs w:val="28"/>
          <w:highlight w:val="none"/>
        </w:rPr>
        <w:t>文件，并于</w:t>
      </w:r>
      <w:r>
        <w:rPr>
          <w:rFonts w:hint="eastAsia" w:ascii="仿宋" w:hAnsi="仿宋" w:eastAsia="仿宋" w:cs="仿宋"/>
          <w:color w:val="auto"/>
          <w:sz w:val="28"/>
          <w:szCs w:val="28"/>
          <w:highlight w:val="none"/>
          <w:u w:val="single"/>
        </w:rPr>
        <w:t> </w:t>
      </w:r>
      <w:r>
        <w:rPr>
          <w:rFonts w:hint="eastAsia" w:ascii="仿宋" w:hAnsi="仿宋" w:eastAsia="仿宋" w:cs="仿宋"/>
          <w:color w:val="auto"/>
          <w:sz w:val="28"/>
          <w:szCs w:val="28"/>
          <w:highlight w:val="none"/>
          <w:u w:val="single"/>
          <w:lang w:val="en-US" w:eastAsia="zh-CN"/>
        </w:rPr>
        <w:t>2026</w:t>
      </w:r>
      <w:r>
        <w:rPr>
          <w:rFonts w:hint="eastAsia" w:ascii="仿宋" w:hAnsi="仿宋" w:eastAsia="仿宋" w:cs="仿宋"/>
          <w:color w:val="auto"/>
          <w:sz w:val="28"/>
          <w:szCs w:val="28"/>
          <w:highlight w:val="none"/>
          <w:u w:val="single"/>
        </w:rPr>
        <w:t>年</w:t>
      </w:r>
      <w:r>
        <w:rPr>
          <w:rFonts w:hint="eastAsia" w:ascii="仿宋" w:hAnsi="仿宋" w:eastAsia="仿宋" w:cs="仿宋"/>
          <w:color w:val="auto"/>
          <w:sz w:val="28"/>
          <w:szCs w:val="28"/>
          <w:highlight w:val="none"/>
          <w:u w:val="single"/>
          <w:lang w:val="en-US" w:eastAsia="zh-CN"/>
        </w:rPr>
        <w:t>10</w:t>
      </w:r>
      <w:r>
        <w:rPr>
          <w:rFonts w:hint="eastAsia" w:ascii="仿宋" w:hAnsi="仿宋" w:eastAsia="仿宋" w:cs="仿宋"/>
          <w:color w:val="auto"/>
          <w:sz w:val="28"/>
          <w:szCs w:val="28"/>
          <w:highlight w:val="none"/>
          <w:u w:val="single"/>
        </w:rPr>
        <w:t>月</w:t>
      </w:r>
      <w:r>
        <w:rPr>
          <w:rFonts w:hint="eastAsia" w:ascii="仿宋" w:hAnsi="仿宋" w:eastAsia="仿宋" w:cs="仿宋"/>
          <w:color w:val="auto"/>
          <w:sz w:val="28"/>
          <w:szCs w:val="28"/>
          <w:highlight w:val="none"/>
          <w:u w:val="single"/>
          <w:lang w:val="en-US" w:eastAsia="zh-CN"/>
        </w:rPr>
        <w:t>16</w:t>
      </w:r>
      <w:r>
        <w:rPr>
          <w:rFonts w:hint="eastAsia" w:ascii="仿宋" w:hAnsi="仿宋" w:eastAsia="仿宋" w:cs="仿宋"/>
          <w:color w:val="auto"/>
          <w:sz w:val="28"/>
          <w:szCs w:val="28"/>
          <w:highlight w:val="none"/>
          <w:u w:val="single"/>
        </w:rPr>
        <w:t>日</w:t>
      </w:r>
      <w:r>
        <w:rPr>
          <w:rFonts w:hint="eastAsia" w:ascii="仿宋" w:hAnsi="仿宋" w:eastAsia="仿宋" w:cs="仿宋"/>
          <w:color w:val="auto"/>
          <w:sz w:val="28"/>
          <w:szCs w:val="28"/>
          <w:highlight w:val="none"/>
          <w:u w:val="single"/>
          <w:lang w:val="en-US" w:eastAsia="zh-CN"/>
        </w:rPr>
        <w:t>09</w:t>
      </w:r>
      <w:r>
        <w:rPr>
          <w:rFonts w:hint="eastAsia" w:ascii="仿宋" w:hAnsi="仿宋" w:eastAsia="仿宋" w:cs="仿宋"/>
          <w:color w:val="auto"/>
          <w:sz w:val="28"/>
          <w:szCs w:val="28"/>
          <w:highlight w:val="none"/>
          <w:u w:val="single"/>
        </w:rPr>
        <w:t>点</w:t>
      </w:r>
      <w:r>
        <w:rPr>
          <w:rFonts w:hint="eastAsia" w:ascii="仿宋" w:hAnsi="仿宋" w:eastAsia="仿宋" w:cs="仿宋"/>
          <w:color w:val="auto"/>
          <w:sz w:val="28"/>
          <w:szCs w:val="28"/>
          <w:highlight w:val="none"/>
          <w:u w:val="single"/>
          <w:lang w:val="en-US" w:eastAsia="zh-CN"/>
        </w:rPr>
        <w:t>00</w:t>
      </w:r>
      <w:r>
        <w:rPr>
          <w:rFonts w:hint="eastAsia" w:ascii="仿宋" w:hAnsi="仿宋" w:eastAsia="仿宋" w:cs="仿宋"/>
          <w:color w:val="auto"/>
          <w:sz w:val="28"/>
          <w:szCs w:val="28"/>
          <w:highlight w:val="none"/>
          <w:u w:val="single"/>
        </w:rPr>
        <w:t>分</w:t>
      </w:r>
      <w:r>
        <w:rPr>
          <w:rFonts w:hint="eastAsia" w:ascii="仿宋" w:hAnsi="仿宋" w:eastAsia="仿宋" w:cs="仿宋"/>
          <w:color w:val="auto"/>
          <w:sz w:val="28"/>
          <w:szCs w:val="28"/>
          <w:highlight w:val="none"/>
          <w:u w:val="none"/>
        </w:rPr>
        <w:t>（</w:t>
      </w:r>
      <w:r>
        <w:rPr>
          <w:rFonts w:hint="eastAsia" w:ascii="仿宋" w:hAnsi="仿宋" w:eastAsia="仿宋" w:cs="仿宋"/>
          <w:color w:val="auto"/>
          <w:sz w:val="28"/>
          <w:szCs w:val="28"/>
          <w:highlight w:val="none"/>
        </w:rPr>
        <w:t>北京时间）前递交响应文件。</w:t>
      </w:r>
    </w:p>
    <w:p w14:paraId="6118C63E">
      <w:pPr>
        <w:pStyle w:val="36"/>
        <w:keepNext/>
        <w:keepLines/>
        <w:pageBreakBefore w:val="0"/>
        <w:spacing w:beforeAutospacing="0" w:afterAutospacing="0" w:line="440" w:lineRule="exact"/>
        <w:ind w:firstLine="562"/>
        <w:jc w:val="both"/>
        <w:rPr>
          <w:rFonts w:hint="eastAsia" w:ascii="仿宋" w:hAnsi="仿宋" w:eastAsia="仿宋" w:cs="仿宋"/>
          <w:color w:val="auto"/>
          <w:sz w:val="28"/>
          <w:szCs w:val="28"/>
          <w:highlight w:val="none"/>
        </w:rPr>
      </w:pPr>
      <w:bookmarkStart w:id="7" w:name="_Hlk24379207"/>
      <w:bookmarkStart w:id="8" w:name="_Toc35393790"/>
      <w:bookmarkStart w:id="9" w:name="_Toc28359079"/>
      <w:bookmarkStart w:id="10" w:name="_Toc38985263"/>
      <w:bookmarkStart w:id="11" w:name="_Toc35393621"/>
      <w:bookmarkStart w:id="12" w:name="_Toc28359002"/>
      <w:r>
        <w:rPr>
          <w:rFonts w:hint="eastAsia" w:ascii="仿宋" w:hAnsi="仿宋" w:eastAsia="仿宋" w:cs="仿宋"/>
          <w:b/>
          <w:color w:val="auto"/>
          <w:sz w:val="28"/>
          <w:szCs w:val="28"/>
          <w:highlight w:val="none"/>
        </w:rPr>
        <w:t>一、项目基本情况</w:t>
      </w:r>
      <w:bookmarkEnd w:id="7"/>
      <w:bookmarkEnd w:id="8"/>
      <w:bookmarkEnd w:id="9"/>
      <w:bookmarkEnd w:id="10"/>
      <w:bookmarkEnd w:id="11"/>
      <w:bookmarkEnd w:id="12"/>
    </w:p>
    <w:p w14:paraId="4EF4849B">
      <w:pPr>
        <w:pStyle w:val="36"/>
        <w:keepNext w:val="0"/>
        <w:keepLines w:val="0"/>
        <w:pageBreakBefore w:val="0"/>
        <w:widowControl w:val="0"/>
        <w:spacing w:beforeAutospacing="0" w:afterAutospacing="0" w:line="440" w:lineRule="exact"/>
        <w:ind w:firstLine="560"/>
        <w:jc w:val="both"/>
        <w:rPr>
          <w:rFonts w:hint="eastAsia" w:ascii="Segoe UI" w:hAnsi="Segoe UI" w:eastAsia="仿宋" w:cs="Segoe UI"/>
          <w:i w:val="0"/>
          <w:iCs w:val="0"/>
          <w:caps w:val="0"/>
          <w:color w:val="auto"/>
          <w:spacing w:val="0"/>
          <w:sz w:val="28"/>
          <w:szCs w:val="28"/>
          <w:highlight w:val="none"/>
          <w:shd w:val="clear" w:color="auto" w:fill="FFFFFF"/>
          <w:lang w:eastAsia="zh-CN"/>
        </w:rPr>
      </w:pPr>
      <w:r>
        <w:rPr>
          <w:rFonts w:hint="eastAsia" w:ascii="仿宋" w:hAnsi="仿宋" w:eastAsia="仿宋" w:cs="仿宋"/>
          <w:color w:val="auto"/>
          <w:sz w:val="28"/>
          <w:szCs w:val="28"/>
          <w:highlight w:val="none"/>
        </w:rPr>
        <w:t>1.项目编号：</w:t>
      </w:r>
      <w:r>
        <w:rPr>
          <w:rFonts w:hint="eastAsia" w:ascii="Segoe UI" w:hAnsi="Segoe UI" w:eastAsia="宋体" w:cs="Segoe UI"/>
          <w:i w:val="0"/>
          <w:iCs w:val="0"/>
          <w:caps w:val="0"/>
          <w:color w:val="auto"/>
          <w:spacing w:val="0"/>
          <w:sz w:val="28"/>
          <w:szCs w:val="28"/>
          <w:highlight w:val="none"/>
          <w:shd w:val="clear" w:color="auto" w:fill="FFFFFF"/>
          <w:lang w:eastAsia="zh-CN"/>
        </w:rPr>
        <w:t>JSZC-320924-YCXD-C2026-0003</w:t>
      </w:r>
    </w:p>
    <w:p w14:paraId="51323227">
      <w:pPr>
        <w:pStyle w:val="36"/>
        <w:keepNext w:val="0"/>
        <w:keepLines w:val="0"/>
        <w:pageBreakBefore w:val="0"/>
        <w:widowControl w:val="0"/>
        <w:spacing w:beforeAutospacing="0" w:afterAutospacing="0" w:line="440" w:lineRule="exact"/>
        <w:ind w:firstLine="560"/>
        <w:jc w:val="both"/>
        <w:rPr>
          <w:rFonts w:hint="default" w:ascii="仿宋" w:hAnsi="仿宋" w:eastAsia="仿宋" w:cs="仿宋"/>
          <w:i w:val="0"/>
          <w:iCs w:val="0"/>
          <w:caps w:val="0"/>
          <w:color w:val="auto"/>
          <w:spacing w:val="0"/>
          <w:sz w:val="28"/>
          <w:szCs w:val="28"/>
          <w:highlight w:val="none"/>
          <w:shd w:val="clear" w:color="auto" w:fill="FFFFFF"/>
          <w:lang w:eastAsia="zh-CN"/>
        </w:rPr>
      </w:pPr>
      <w:r>
        <w:rPr>
          <w:rFonts w:hint="eastAsia" w:ascii="仿宋" w:hAnsi="仿宋" w:eastAsia="仿宋" w:cs="仿宋"/>
          <w:color w:val="auto"/>
          <w:sz w:val="28"/>
          <w:szCs w:val="28"/>
          <w:highlight w:val="none"/>
        </w:rPr>
        <w:t>2.项目名称：</w:t>
      </w:r>
      <w:r>
        <w:rPr>
          <w:rFonts w:hint="eastAsia" w:ascii="仿宋" w:hAnsi="仿宋" w:eastAsia="仿宋" w:cs="仿宋"/>
          <w:i w:val="0"/>
          <w:iCs w:val="0"/>
          <w:caps w:val="0"/>
          <w:color w:val="auto"/>
          <w:spacing w:val="0"/>
          <w:sz w:val="28"/>
          <w:szCs w:val="28"/>
          <w:highlight w:val="none"/>
          <w:shd w:val="clear" w:color="auto" w:fill="FFFFFF"/>
          <w:lang w:eastAsia="zh-CN"/>
        </w:rPr>
        <w:t>射阳县长荡镇黄沙港支流（中心河）生态河道建设项目</w:t>
      </w:r>
    </w:p>
    <w:p w14:paraId="32152B9A">
      <w:pPr>
        <w:pStyle w:val="36"/>
        <w:keepNext w:val="0"/>
        <w:keepLines w:val="0"/>
        <w:pageBreakBefore w:val="0"/>
        <w:widowControl w:val="0"/>
        <w:spacing w:beforeAutospacing="0" w:afterAutospacing="0" w:line="440" w:lineRule="exact"/>
        <w:ind w:firstLine="560"/>
        <w:jc w:val="both"/>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lang w:val="en-US" w:eastAsia="zh-CN"/>
        </w:rPr>
        <w:t>3.</w:t>
      </w:r>
      <w:r>
        <w:rPr>
          <w:rFonts w:hint="eastAsia" w:ascii="仿宋" w:hAnsi="仿宋" w:eastAsia="仿宋" w:cs="仿宋"/>
          <w:i w:val="0"/>
          <w:iCs w:val="0"/>
          <w:caps w:val="0"/>
          <w:color w:val="auto"/>
          <w:spacing w:val="0"/>
          <w:sz w:val="28"/>
          <w:szCs w:val="28"/>
          <w:highlight w:val="none"/>
          <w:shd w:val="clear" w:color="auto" w:fill="FFFFFF"/>
        </w:rPr>
        <w:t>采购方式：竞争性磋商</w:t>
      </w:r>
    </w:p>
    <w:p w14:paraId="0BB4A526">
      <w:pPr>
        <w:pStyle w:val="36"/>
        <w:keepNext w:val="0"/>
        <w:keepLines w:val="0"/>
        <w:pageBreakBefore w:val="0"/>
        <w:widowControl w:val="0"/>
        <w:spacing w:beforeAutospacing="0" w:afterAutospacing="0" w:line="440" w:lineRule="exact"/>
        <w:ind w:firstLine="560"/>
        <w:jc w:val="both"/>
        <w:rPr>
          <w:rFonts w:hint="eastAsia" w:ascii="仿宋" w:hAnsi="仿宋" w:eastAsia="仿宋" w:cs="仿宋"/>
          <w:color w:val="auto"/>
          <w:sz w:val="28"/>
          <w:szCs w:val="28"/>
          <w:highlight w:val="none"/>
          <w:shd w:val="clear" w:color="auto" w:fill="FFFF00"/>
        </w:rPr>
      </w:pPr>
      <w:r>
        <w:rPr>
          <w:rFonts w:hint="eastAsia" w:ascii="仿宋" w:hAnsi="仿宋" w:eastAsia="仿宋" w:cs="仿宋"/>
          <w:i w:val="0"/>
          <w:iCs w:val="0"/>
          <w:caps w:val="0"/>
          <w:color w:val="auto"/>
          <w:spacing w:val="0"/>
          <w:sz w:val="28"/>
          <w:szCs w:val="28"/>
          <w:highlight w:val="none"/>
          <w:shd w:val="clear" w:color="auto" w:fill="FFFFFF"/>
          <w:lang w:val="en-US" w:eastAsia="zh-CN"/>
        </w:rPr>
        <w:t>4.预算金额：270.1万元</w:t>
      </w:r>
    </w:p>
    <w:p w14:paraId="1178EE7B">
      <w:pPr>
        <w:pStyle w:val="36"/>
        <w:keepNext w:val="0"/>
        <w:keepLines w:val="0"/>
        <w:pageBreakBefore w:val="0"/>
        <w:widowControl w:val="0"/>
        <w:spacing w:beforeAutospacing="0" w:afterAutospacing="0" w:line="440" w:lineRule="exact"/>
        <w:ind w:firstLine="560"/>
        <w:jc w:val="both"/>
        <w:rPr>
          <w:rFonts w:hint="eastAsia" w:ascii="仿宋" w:hAnsi="仿宋" w:eastAsia="仿宋" w:cs="仿宋"/>
          <w:color w:val="auto"/>
          <w:sz w:val="28"/>
          <w:szCs w:val="28"/>
          <w:highlight w:val="none"/>
          <w:shd w:val="clear" w:color="auto" w:fill="FFFF00"/>
        </w:rPr>
      </w:pPr>
      <w:r>
        <w:rPr>
          <w:rFonts w:hint="eastAsia" w:ascii="仿宋" w:hAnsi="仿宋" w:eastAsia="仿宋" w:cs="仿宋"/>
          <w:i w:val="0"/>
          <w:iCs w:val="0"/>
          <w:caps w:val="0"/>
          <w:color w:val="auto"/>
          <w:spacing w:val="0"/>
          <w:sz w:val="28"/>
          <w:szCs w:val="28"/>
          <w:highlight w:val="none"/>
          <w:shd w:val="clear" w:color="auto" w:fill="FFFFFF"/>
          <w:lang w:val="en-US" w:eastAsia="zh-CN"/>
        </w:rPr>
        <w:t>5.</w:t>
      </w:r>
      <w:r>
        <w:rPr>
          <w:rFonts w:hint="eastAsia" w:ascii="仿宋" w:hAnsi="仿宋" w:eastAsia="仿宋" w:cs="仿宋"/>
          <w:i w:val="0"/>
          <w:iCs w:val="0"/>
          <w:caps w:val="0"/>
          <w:color w:val="auto"/>
          <w:spacing w:val="0"/>
          <w:sz w:val="28"/>
          <w:szCs w:val="28"/>
          <w:highlight w:val="none"/>
          <w:shd w:val="clear" w:color="auto" w:fill="FFFFFF"/>
        </w:rPr>
        <w:t>最高限价：</w:t>
      </w:r>
      <w:r>
        <w:rPr>
          <w:rFonts w:hint="eastAsia" w:ascii="仿宋" w:hAnsi="仿宋" w:eastAsia="仿宋" w:cs="仿宋"/>
          <w:i w:val="0"/>
          <w:iCs w:val="0"/>
          <w:caps w:val="0"/>
          <w:color w:val="auto"/>
          <w:spacing w:val="0"/>
          <w:sz w:val="28"/>
          <w:szCs w:val="28"/>
          <w:highlight w:val="none"/>
          <w:shd w:val="clear" w:color="auto" w:fill="FFFFFF"/>
          <w:lang w:val="en-US" w:eastAsia="zh-CN"/>
        </w:rPr>
        <w:t>270.1万元</w:t>
      </w:r>
    </w:p>
    <w:p w14:paraId="26790CD6">
      <w:pPr>
        <w:pStyle w:val="36"/>
        <w:keepNext w:val="0"/>
        <w:keepLines w:val="0"/>
        <w:pageBreakBefore w:val="0"/>
        <w:widowControl w:val="0"/>
        <w:spacing w:beforeAutospacing="0" w:afterAutospacing="0" w:line="440" w:lineRule="exact"/>
        <w:ind w:firstLine="560"/>
        <w:jc w:val="both"/>
        <w:rPr>
          <w:rFonts w:hint="eastAsia" w:ascii="宋体" w:hAnsi="宋体" w:eastAsia="宋体" w:cs="宋体"/>
          <w:color w:val="auto"/>
          <w:sz w:val="24"/>
          <w:szCs w:val="24"/>
          <w:highlight w:val="none"/>
        </w:rPr>
      </w:pPr>
      <w:r>
        <w:rPr>
          <w:rFonts w:hint="eastAsia" w:ascii="仿宋" w:hAnsi="仿宋" w:eastAsia="仿宋" w:cs="仿宋"/>
          <w:i w:val="0"/>
          <w:iCs w:val="0"/>
          <w:caps w:val="0"/>
          <w:color w:val="auto"/>
          <w:spacing w:val="0"/>
          <w:sz w:val="28"/>
          <w:szCs w:val="28"/>
          <w:highlight w:val="none"/>
          <w:shd w:val="clear" w:color="auto" w:fill="FFFFFF"/>
          <w:lang w:val="en-US" w:eastAsia="zh-CN"/>
        </w:rPr>
        <w:t>6</w:t>
      </w:r>
      <w:r>
        <w:rPr>
          <w:rFonts w:hint="eastAsia" w:ascii="仿宋" w:hAnsi="仿宋" w:eastAsia="仿宋" w:cs="仿宋"/>
          <w:i w:val="0"/>
          <w:iCs w:val="0"/>
          <w:caps w:val="0"/>
          <w:color w:val="auto"/>
          <w:spacing w:val="0"/>
          <w:sz w:val="28"/>
          <w:szCs w:val="28"/>
          <w:highlight w:val="none"/>
          <w:shd w:val="clear" w:color="auto" w:fill="FFFFFF"/>
        </w:rPr>
        <w:t>.采购需求（简介）：</w:t>
      </w:r>
      <w:r>
        <w:rPr>
          <w:rFonts w:hint="eastAsia" w:ascii="仿宋" w:hAnsi="仿宋" w:eastAsia="仿宋" w:cs="仿宋"/>
          <w:i w:val="0"/>
          <w:iCs w:val="0"/>
          <w:caps w:val="0"/>
          <w:color w:val="auto"/>
          <w:spacing w:val="0"/>
          <w:sz w:val="28"/>
          <w:szCs w:val="28"/>
          <w:highlight w:val="none"/>
          <w:shd w:val="clear" w:color="auto" w:fill="FFFFFF"/>
          <w:lang w:val="en-US" w:eastAsia="zh-CN"/>
        </w:rPr>
        <w:t>本工程为</w:t>
      </w:r>
      <w:r>
        <w:rPr>
          <w:rFonts w:hint="eastAsia" w:ascii="仿宋" w:hAnsi="仿宋" w:eastAsia="仿宋" w:cs="仿宋"/>
          <w:i w:val="0"/>
          <w:iCs w:val="0"/>
          <w:caps w:val="0"/>
          <w:color w:val="auto"/>
          <w:spacing w:val="0"/>
          <w:sz w:val="28"/>
          <w:szCs w:val="28"/>
          <w:highlight w:val="none"/>
          <w:shd w:val="clear" w:color="auto" w:fill="FFFFFF"/>
          <w:lang w:eastAsia="zh-CN"/>
        </w:rPr>
        <w:t>射阳县长荡镇黄沙港支流（中心河）生态河道建设项目</w:t>
      </w:r>
      <w:r>
        <w:rPr>
          <w:rFonts w:hint="eastAsia" w:ascii="仿宋" w:hAnsi="仿宋" w:eastAsia="仿宋" w:cs="仿宋"/>
          <w:i w:val="0"/>
          <w:iCs w:val="0"/>
          <w:caps w:val="0"/>
          <w:color w:val="auto"/>
          <w:spacing w:val="0"/>
          <w:sz w:val="28"/>
          <w:szCs w:val="28"/>
          <w:highlight w:val="none"/>
          <w:shd w:val="clear" w:color="auto" w:fill="FFFFFF"/>
          <w:lang w:val="en-US" w:eastAsia="zh-CN"/>
        </w:rPr>
        <w:t>，具体以招标人提供的工程量清单、图纸为准。</w:t>
      </w:r>
    </w:p>
    <w:p w14:paraId="506DA3C1">
      <w:pPr>
        <w:pStyle w:val="36"/>
        <w:keepNext w:val="0"/>
        <w:keepLines w:val="0"/>
        <w:pageBreakBefore w:val="0"/>
        <w:widowControl w:val="0"/>
        <w:spacing w:beforeAutospacing="0" w:afterAutospacing="0" w:line="440" w:lineRule="exact"/>
        <w:ind w:firstLine="560"/>
        <w:jc w:val="both"/>
        <w:rPr>
          <w:rFonts w:hint="eastAsia" w:ascii="仿宋" w:hAnsi="仿宋" w:eastAsia="仿宋" w:cs="仿宋"/>
          <w:i w:val="0"/>
          <w:iCs w:val="0"/>
          <w:caps w:val="0"/>
          <w:color w:val="auto"/>
          <w:spacing w:val="0"/>
          <w:sz w:val="28"/>
          <w:szCs w:val="28"/>
          <w:highlight w:val="none"/>
          <w:shd w:val="clear" w:color="auto" w:fill="FFFFFF"/>
        </w:rPr>
      </w:pPr>
      <w:r>
        <w:rPr>
          <w:rFonts w:hint="eastAsia" w:ascii="仿宋" w:hAnsi="仿宋" w:eastAsia="仿宋" w:cs="仿宋"/>
          <w:i w:val="0"/>
          <w:iCs w:val="0"/>
          <w:caps w:val="0"/>
          <w:color w:val="auto"/>
          <w:spacing w:val="0"/>
          <w:sz w:val="28"/>
          <w:szCs w:val="28"/>
          <w:highlight w:val="none"/>
          <w:shd w:val="clear" w:color="auto" w:fill="FFFFFF"/>
          <w:lang w:val="en-US" w:eastAsia="zh-CN"/>
        </w:rPr>
        <w:t>7</w:t>
      </w:r>
      <w:r>
        <w:rPr>
          <w:rFonts w:hint="eastAsia" w:ascii="仿宋" w:hAnsi="仿宋" w:eastAsia="仿宋" w:cs="仿宋"/>
          <w:i w:val="0"/>
          <w:iCs w:val="0"/>
          <w:caps w:val="0"/>
          <w:color w:val="auto"/>
          <w:spacing w:val="0"/>
          <w:sz w:val="28"/>
          <w:szCs w:val="28"/>
          <w:highlight w:val="none"/>
          <w:shd w:val="clear" w:color="auto" w:fill="FFFFFF"/>
        </w:rPr>
        <w:t>.合同履行期限：</w:t>
      </w:r>
      <w:r>
        <w:rPr>
          <w:rFonts w:hint="eastAsia" w:ascii="仿宋" w:hAnsi="仿宋" w:eastAsia="仿宋" w:cs="仿宋"/>
          <w:i w:val="0"/>
          <w:iCs w:val="0"/>
          <w:caps w:val="0"/>
          <w:color w:val="auto"/>
          <w:spacing w:val="0"/>
          <w:sz w:val="28"/>
          <w:szCs w:val="28"/>
          <w:highlight w:val="none"/>
          <w:shd w:val="clear" w:color="auto" w:fill="FFFFFF"/>
          <w:lang w:val="en-US" w:eastAsia="zh-CN"/>
        </w:rPr>
        <w:t>60日历天</w:t>
      </w:r>
    </w:p>
    <w:p w14:paraId="2DEBCEFE">
      <w:pPr>
        <w:pStyle w:val="36"/>
        <w:keepNext w:val="0"/>
        <w:keepLines w:val="0"/>
        <w:pageBreakBefore w:val="0"/>
        <w:widowControl w:val="0"/>
        <w:spacing w:beforeAutospacing="0" w:afterAutospacing="0" w:line="440" w:lineRule="exact"/>
        <w:ind w:firstLine="560"/>
        <w:jc w:val="both"/>
        <w:rPr>
          <w:rFonts w:hint="default" w:ascii="仿宋" w:hAnsi="仿宋" w:eastAsia="仿宋" w:cs="仿宋"/>
          <w:color w:val="auto"/>
          <w:sz w:val="28"/>
          <w:szCs w:val="28"/>
          <w:highlight w:val="none"/>
          <w:shd w:val="clear" w:color="auto" w:fill="FFFF00"/>
          <w:lang w:val="en-US"/>
        </w:rPr>
      </w:pPr>
      <w:r>
        <w:rPr>
          <w:rFonts w:hint="eastAsia" w:ascii="仿宋" w:hAnsi="仿宋" w:eastAsia="仿宋" w:cs="仿宋"/>
          <w:i w:val="0"/>
          <w:iCs w:val="0"/>
          <w:caps w:val="0"/>
          <w:color w:val="auto"/>
          <w:spacing w:val="0"/>
          <w:sz w:val="28"/>
          <w:szCs w:val="28"/>
          <w:highlight w:val="none"/>
          <w:shd w:val="clear" w:color="auto" w:fill="FFFFFF"/>
          <w:lang w:val="en-US" w:eastAsia="zh-CN"/>
        </w:rPr>
        <w:t>8.本项目（是/否）接受联合体参与磋商:不接受联合体。</w:t>
      </w:r>
    </w:p>
    <w:p w14:paraId="146DFF5F">
      <w:pPr>
        <w:pStyle w:val="36"/>
        <w:keepNext/>
        <w:keepLines/>
        <w:pageBreakBefore w:val="0"/>
        <w:spacing w:beforeAutospacing="0" w:afterAutospacing="0" w:line="440" w:lineRule="exact"/>
        <w:ind w:firstLine="562"/>
        <w:jc w:val="both"/>
        <w:rPr>
          <w:rFonts w:hint="eastAsia" w:ascii="仿宋" w:hAnsi="仿宋" w:eastAsia="仿宋" w:cs="仿宋"/>
          <w:color w:val="auto"/>
          <w:sz w:val="28"/>
          <w:szCs w:val="28"/>
          <w:highlight w:val="none"/>
        </w:rPr>
      </w:pPr>
      <w:bookmarkStart w:id="13" w:name="_Toc38985264"/>
      <w:bookmarkStart w:id="14" w:name="_Toc35393791"/>
      <w:bookmarkStart w:id="15" w:name="_Toc35393622"/>
      <w:bookmarkStart w:id="16" w:name="_Toc28359003"/>
      <w:bookmarkStart w:id="17" w:name="_Toc28359080"/>
      <w:r>
        <w:rPr>
          <w:rFonts w:hint="eastAsia" w:ascii="仿宋" w:hAnsi="仿宋" w:eastAsia="仿宋" w:cs="仿宋"/>
          <w:b/>
          <w:color w:val="auto"/>
          <w:sz w:val="28"/>
          <w:szCs w:val="28"/>
          <w:highlight w:val="none"/>
        </w:rPr>
        <w:t>二、申请人的资格要求：</w:t>
      </w:r>
      <w:bookmarkEnd w:id="13"/>
      <w:bookmarkEnd w:id="14"/>
      <w:bookmarkEnd w:id="15"/>
      <w:bookmarkEnd w:id="16"/>
      <w:bookmarkEnd w:id="17"/>
    </w:p>
    <w:p w14:paraId="1399E056">
      <w:pPr>
        <w:pStyle w:val="36"/>
        <w:keepNext w:val="0"/>
        <w:keepLines w:val="0"/>
        <w:pageBreakBefore w:val="0"/>
        <w:widowControl w:val="0"/>
        <w:spacing w:beforeAutospacing="0" w:afterAutospacing="0" w:line="440" w:lineRule="exact"/>
        <w:ind w:firstLine="56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1.满足《中华人民共和国政府采购法》第二十二条规定，并提供下列材料：</w:t>
      </w:r>
    </w:p>
    <w:p w14:paraId="781356AA">
      <w:pPr>
        <w:pStyle w:val="36"/>
        <w:keepNext w:val="0"/>
        <w:keepLines w:val="0"/>
        <w:pageBreakBefore w:val="0"/>
        <w:widowControl w:val="0"/>
        <w:spacing w:beforeAutospacing="0" w:afterAutospacing="0" w:line="440" w:lineRule="exact"/>
        <w:ind w:firstLine="56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1.1 法人或者其他组织的营业执照等证明文件</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自然人的身份证明</w:t>
      </w:r>
      <w:r>
        <w:rPr>
          <w:rFonts w:hint="eastAsia" w:ascii="仿宋" w:hAnsi="仿宋" w:eastAsia="仿宋" w:cs="仿宋"/>
          <w:color w:val="auto"/>
          <w:sz w:val="28"/>
          <w:szCs w:val="28"/>
          <w:highlight w:val="none"/>
        </w:rPr>
        <w:t>；</w:t>
      </w:r>
    </w:p>
    <w:p w14:paraId="3B1C7CBB">
      <w:pPr>
        <w:pStyle w:val="36"/>
        <w:keepNext w:val="0"/>
        <w:keepLines w:val="0"/>
        <w:pageBreakBefore w:val="0"/>
        <w:widowControl w:val="0"/>
        <w:spacing w:beforeAutospacing="0" w:afterAutospacing="0" w:line="440" w:lineRule="exact"/>
        <w:ind w:firstLine="56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1.2</w:t>
      </w:r>
      <w:r>
        <w:rPr>
          <w:rFonts w:hint="eastAsia" w:ascii="仿宋" w:hAnsi="仿宋" w:eastAsia="仿宋" w:cs="仿宋"/>
          <w:color w:val="auto"/>
          <w:sz w:val="28"/>
          <w:szCs w:val="28"/>
          <w:highlight w:val="none"/>
          <w:lang w:val="en-US" w:eastAsia="zh-CN"/>
        </w:rPr>
        <w:t>上一年度的财务状况报表（成立不满一年无需提供）</w:t>
      </w:r>
      <w:r>
        <w:rPr>
          <w:rFonts w:hint="eastAsia" w:ascii="仿宋" w:hAnsi="仿宋" w:eastAsia="仿宋" w:cs="仿宋"/>
          <w:color w:val="auto"/>
          <w:sz w:val="28"/>
          <w:szCs w:val="28"/>
          <w:highlight w:val="none"/>
        </w:rPr>
        <w:t>；</w:t>
      </w:r>
    </w:p>
    <w:p w14:paraId="67701409">
      <w:pPr>
        <w:pStyle w:val="36"/>
        <w:keepNext w:val="0"/>
        <w:keepLines w:val="0"/>
        <w:pageBreakBefore w:val="0"/>
        <w:widowControl w:val="0"/>
        <w:spacing w:beforeAutospacing="0" w:afterAutospacing="0" w:line="440" w:lineRule="exact"/>
        <w:ind w:firstLine="560"/>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1.3</w:t>
      </w:r>
      <w:r>
        <w:rPr>
          <w:rFonts w:hint="eastAsia" w:ascii="仿宋" w:hAnsi="仿宋" w:eastAsia="仿宋" w:cs="仿宋"/>
          <w:color w:val="auto"/>
          <w:sz w:val="28"/>
          <w:szCs w:val="28"/>
          <w:highlight w:val="none"/>
        </w:rPr>
        <w:t>具备履行合同所必需的设备和专业技术能力的书面声明；</w:t>
      </w:r>
    </w:p>
    <w:p w14:paraId="319139E8">
      <w:pPr>
        <w:pStyle w:val="36"/>
        <w:keepNext w:val="0"/>
        <w:keepLines w:val="0"/>
        <w:pageBreakBefore w:val="0"/>
        <w:widowControl w:val="0"/>
        <w:spacing w:beforeAutospacing="0" w:afterAutospacing="0" w:line="440" w:lineRule="exact"/>
        <w:ind w:firstLine="56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3DEA865D">
      <w:pPr>
        <w:pStyle w:val="36"/>
        <w:keepNext w:val="0"/>
        <w:keepLines w:val="0"/>
        <w:pageBreakBefore w:val="0"/>
        <w:widowControl w:val="0"/>
        <w:spacing w:beforeAutospacing="0" w:afterAutospacing="0" w:line="440" w:lineRule="exact"/>
        <w:ind w:firstLine="56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.5参加政府采购活动前3年内在经营活动中没有重大违法记录的书面声明。</w:t>
      </w:r>
    </w:p>
    <w:p w14:paraId="7F56EB76">
      <w:pPr>
        <w:pStyle w:val="36"/>
        <w:pageBreakBefore w:val="0"/>
        <w:spacing w:beforeAutospacing="0" w:afterAutospacing="0" w:line="440" w:lineRule="exact"/>
        <w:ind w:firstLine="560"/>
        <w:jc w:val="both"/>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1.6法律、行政法规规定的其他条件。</w:t>
      </w:r>
    </w:p>
    <w:p w14:paraId="01DC33EF">
      <w:pPr>
        <w:pStyle w:val="36"/>
        <w:pageBreakBefore w:val="0"/>
        <w:spacing w:beforeAutospacing="0" w:afterAutospacing="0" w:line="440" w:lineRule="exact"/>
        <w:ind w:firstLine="56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1.7</w:t>
      </w:r>
      <w:r>
        <w:rPr>
          <w:rFonts w:hint="eastAsia" w:ascii="仿宋" w:hAnsi="仿宋" w:eastAsia="仿宋" w:cs="仿宋"/>
          <w:color w:val="auto"/>
          <w:sz w:val="28"/>
          <w:szCs w:val="28"/>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w:t>
      </w:r>
    </w:p>
    <w:p w14:paraId="6698541F">
      <w:pPr>
        <w:pStyle w:val="36"/>
        <w:pageBreakBefore w:val="0"/>
        <w:spacing w:beforeAutospacing="0" w:afterAutospacing="0" w:line="440" w:lineRule="exact"/>
        <w:ind w:firstLine="56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1.8</w:t>
      </w:r>
      <w:r>
        <w:rPr>
          <w:rFonts w:hint="eastAsia" w:ascii="仿宋" w:hAnsi="仿宋" w:eastAsia="仿宋" w:cs="仿宋"/>
          <w:color w:val="auto"/>
          <w:sz w:val="28"/>
          <w:szCs w:val="28"/>
          <w:highlight w:val="none"/>
        </w:rPr>
        <w:t>单位负责人为同一人或者存在直接控股、</w:t>
      </w:r>
      <w:r>
        <w:rPr>
          <w:rFonts w:hint="eastAsia" w:ascii="仿宋" w:hAnsi="仿宋" w:eastAsia="仿宋" w:cs="仿宋"/>
          <w:color w:val="auto"/>
          <w:sz w:val="28"/>
          <w:szCs w:val="28"/>
          <w:highlight w:val="none"/>
          <w:lang w:val="en-US" w:eastAsia="zh-CN"/>
        </w:rPr>
        <w:t>管理</w:t>
      </w:r>
      <w:r>
        <w:rPr>
          <w:rFonts w:hint="eastAsia" w:ascii="仿宋" w:hAnsi="仿宋" w:eastAsia="仿宋" w:cs="仿宋"/>
          <w:color w:val="auto"/>
          <w:sz w:val="28"/>
          <w:szCs w:val="28"/>
          <w:highlight w:val="none"/>
        </w:rPr>
        <w:t>关系的不同供应商，不得参加同一合同项下的政府采购活动。</w:t>
      </w:r>
    </w:p>
    <w:p w14:paraId="485DC2EA">
      <w:pPr>
        <w:pStyle w:val="36"/>
        <w:pageBreakBefore w:val="0"/>
        <w:spacing w:beforeAutospacing="0" w:afterAutospacing="0" w:line="440" w:lineRule="exact"/>
        <w:ind w:firstLine="56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落实政府采购政策需满足的资格要求：本项目为专门面向中小微企业采购的项目,供应商必须为中小微企业，不接受非中小型企业参与本项目投标。响应文件中需提供《中小企业声明函》，否则按无效标处理。具体中小企业划分标准详见《关于印发中小企业划型标准规定的通知》工信部联企业【2011】300号文件。</w:t>
      </w:r>
    </w:p>
    <w:p w14:paraId="04F293BD">
      <w:pPr>
        <w:pStyle w:val="36"/>
        <w:pageBreakBefore w:val="0"/>
        <w:spacing w:beforeAutospacing="0" w:afterAutospacing="0" w:line="440" w:lineRule="exact"/>
        <w:ind w:firstLine="56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监狱企业、残疾人福利性单位视同小微企业。</w:t>
      </w:r>
    </w:p>
    <w:p w14:paraId="689F306C">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本项目的特定资格要求</w:t>
      </w:r>
      <w:r>
        <w:rPr>
          <w:rFonts w:hint="eastAsia" w:ascii="仿宋" w:hAnsi="仿宋" w:eastAsia="仿宋" w:cs="仿宋"/>
          <w:color w:val="auto"/>
          <w:sz w:val="28"/>
          <w:szCs w:val="28"/>
          <w:highlight w:val="none"/>
          <w:lang w:eastAsia="zh-CN"/>
        </w:rPr>
        <w:t>：</w:t>
      </w:r>
    </w:p>
    <w:p w14:paraId="5A940C77">
      <w:pPr>
        <w:pStyle w:val="216"/>
        <w:pageBreakBefore w:val="0"/>
        <w:spacing w:before="0" w:after="0" w:line="440" w:lineRule="exact"/>
        <w:ind w:firstLine="560"/>
        <w:jc w:val="both"/>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①供应商具备建设行政主管部门核定的水利水电工程施工总承包贰级及以上资质。</w:t>
      </w:r>
    </w:p>
    <w:p w14:paraId="037B44C6">
      <w:pPr>
        <w:pStyle w:val="216"/>
        <w:pageBreakBefore w:val="0"/>
        <w:spacing w:before="0" w:after="0" w:line="440" w:lineRule="exact"/>
        <w:ind w:firstLine="560"/>
        <w:jc w:val="both"/>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②具有建设行政主管部门核发在有效期内的安全生产许可证。</w:t>
      </w:r>
    </w:p>
    <w:p w14:paraId="7364DC91">
      <w:pPr>
        <w:pageBreakBefore w:val="0"/>
        <w:spacing w:line="440" w:lineRule="exact"/>
        <w:ind w:firstLine="560"/>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 xml:space="preserve">③项目负责人必须是本单位正式职工，具有水利水电工程专业二级及以上建造师注册证书且具有有效的安全生产考核合格证书（B类证），必须满足下列条件： </w:t>
      </w:r>
    </w:p>
    <w:p w14:paraId="7C1BA299">
      <w:pPr>
        <w:pageBreakBefore w:val="0"/>
        <w:numPr>
          <w:ilvl w:val="0"/>
          <w:numId w:val="1"/>
        </w:numPr>
        <w:spacing w:line="440" w:lineRule="exact"/>
        <w:ind w:firstLine="560"/>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项目负责人不得同时在两个或者两个以上单位受聘或者执业。</w:t>
      </w:r>
    </w:p>
    <w:p w14:paraId="27417F60">
      <w:pPr>
        <w:pageBreakBefore w:val="0"/>
        <w:numPr>
          <w:ilvl w:val="0"/>
          <w:numId w:val="1"/>
        </w:numPr>
        <w:spacing w:line="440" w:lineRule="exact"/>
        <w:ind w:firstLine="560"/>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项目负责人是非变更后无在建工程，或项目负责人是变更后无在建工程（必须原合同工期已满且变更备案之日已满 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 项目负责人执业范围之内。</w:t>
      </w:r>
    </w:p>
    <w:p w14:paraId="7348D0AF">
      <w:pPr>
        <w:pageBreakBefore w:val="0"/>
        <w:spacing w:line="440" w:lineRule="exact"/>
        <w:ind w:firstLine="560"/>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w:t>
      </w:r>
    </w:p>
    <w:p w14:paraId="3C0E6CD5">
      <w:pPr>
        <w:pageBreakBefore w:val="0"/>
        <w:spacing w:line="440" w:lineRule="exact"/>
        <w:ind w:firstLine="560"/>
        <w:rPr>
          <w:rFonts w:hint="eastAsia" w:ascii="仿宋" w:hAnsi="仿宋" w:eastAsia="仿宋" w:cs="仿宋"/>
          <w:b w:val="0"/>
          <w:color w:val="auto"/>
          <w:sz w:val="28"/>
          <w:szCs w:val="28"/>
          <w:highlight w:val="none"/>
          <w:lang w:val="en-US" w:eastAsia="zh-CN" w:bidi="ar-SA"/>
        </w:rPr>
      </w:pPr>
      <w:r>
        <w:rPr>
          <w:rFonts w:hint="eastAsia" w:ascii="仿宋" w:hAnsi="仿宋" w:eastAsia="仿宋" w:cs="仿宋"/>
          <w:b w:val="0"/>
          <w:color w:val="auto"/>
          <w:sz w:val="28"/>
          <w:szCs w:val="28"/>
          <w:highlight w:val="none"/>
          <w:lang w:val="en-US" w:eastAsia="zh-CN" w:bidi="ar-SA"/>
        </w:rPr>
        <w:t>④投标承诺的项目负责人为本单位的正式职工，投标时提供从2026年07月开始至投标截止之日当月至少1个月在本单位缴纳养老保险缴费记录证明。</w:t>
      </w:r>
    </w:p>
    <w:p w14:paraId="70351403">
      <w:pPr>
        <w:pStyle w:val="36"/>
        <w:keepNext/>
        <w:keepLines/>
        <w:pageBreakBefore w:val="0"/>
        <w:spacing w:beforeAutospacing="0" w:afterAutospacing="0" w:line="440" w:lineRule="exact"/>
        <w:ind w:firstLine="562"/>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三、获取</w:t>
      </w:r>
      <w:r>
        <w:rPr>
          <w:rFonts w:hint="eastAsia" w:ascii="仿宋" w:hAnsi="仿宋" w:eastAsia="仿宋" w:cs="仿宋"/>
          <w:b/>
          <w:color w:val="auto"/>
          <w:sz w:val="28"/>
          <w:szCs w:val="28"/>
          <w:highlight w:val="none"/>
          <w:lang w:val="en-US" w:eastAsia="zh-CN"/>
        </w:rPr>
        <w:t>磋商</w:t>
      </w:r>
      <w:r>
        <w:rPr>
          <w:rFonts w:hint="eastAsia" w:ascii="仿宋" w:hAnsi="仿宋" w:eastAsia="仿宋" w:cs="仿宋"/>
          <w:b/>
          <w:color w:val="auto"/>
          <w:sz w:val="28"/>
          <w:szCs w:val="28"/>
          <w:highlight w:val="none"/>
        </w:rPr>
        <w:t>文件</w:t>
      </w:r>
    </w:p>
    <w:p w14:paraId="419933BE">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eastAsia" w:ascii="仿宋" w:hAnsi="仿宋" w:eastAsia="仿宋" w:cs="仿宋"/>
          <w:color w:val="auto"/>
          <w:sz w:val="28"/>
          <w:szCs w:val="28"/>
          <w:highlight w:val="none"/>
        </w:rPr>
      </w:pPr>
      <w:bookmarkStart w:id="18" w:name="_Toc28359082"/>
      <w:bookmarkStart w:id="19" w:name="_Toc28359005"/>
      <w:bookmarkStart w:id="20" w:name="_Toc35393793"/>
      <w:bookmarkStart w:id="21" w:name="_Toc35393624"/>
      <w:bookmarkStart w:id="22" w:name="_Toc38985266"/>
      <w:r>
        <w:rPr>
          <w:rFonts w:hint="eastAsia" w:ascii="仿宋" w:hAnsi="仿宋" w:eastAsia="仿宋" w:cs="仿宋"/>
          <w:color w:val="auto"/>
          <w:sz w:val="28"/>
          <w:szCs w:val="28"/>
          <w:highlight w:val="none"/>
        </w:rPr>
        <w:t>1.时间：</w:t>
      </w:r>
      <w:r>
        <w:rPr>
          <w:rFonts w:hint="eastAsia" w:ascii="仿宋" w:hAnsi="仿宋" w:eastAsia="仿宋" w:cs="仿宋"/>
          <w:color w:val="auto"/>
          <w:sz w:val="28"/>
          <w:szCs w:val="28"/>
          <w:highlight w:val="none"/>
          <w:lang w:val="en-US" w:eastAsia="zh-CN"/>
        </w:rPr>
        <w:t>自磋商文件公告发布之日起5个工作日</w:t>
      </w:r>
      <w:r>
        <w:rPr>
          <w:rFonts w:hint="eastAsia" w:ascii="仿宋" w:hAnsi="仿宋" w:eastAsia="仿宋" w:cs="仿宋"/>
          <w:color w:val="auto"/>
          <w:sz w:val="28"/>
          <w:szCs w:val="28"/>
          <w:highlight w:val="none"/>
        </w:rPr>
        <w:t>。</w:t>
      </w:r>
      <w:bookmarkEnd w:id="18"/>
      <w:bookmarkEnd w:id="19"/>
      <w:bookmarkEnd w:id="20"/>
      <w:bookmarkEnd w:id="21"/>
      <w:bookmarkEnd w:id="22"/>
    </w:p>
    <w:p w14:paraId="0F5C2BF5">
      <w:pPr>
        <w:pStyle w:val="36"/>
        <w:pageBreakBefore w:val="0"/>
        <w:spacing w:beforeAutospacing="0" w:afterAutospacing="0" w:line="440" w:lineRule="exact"/>
        <w:ind w:firstLine="560"/>
        <w:jc w:val="both"/>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2.地点：“苏采云”系统内免费下载（投标人必须在苏采云系统中获取磋商文件，方能参与政府采购项目）</w:t>
      </w:r>
    </w:p>
    <w:p w14:paraId="1E20D180">
      <w:pPr>
        <w:pStyle w:val="36"/>
        <w:pageBreakBefore w:val="0"/>
        <w:spacing w:beforeAutospacing="0" w:afterAutospacing="0" w:line="440" w:lineRule="exact"/>
        <w:ind w:firstLine="560"/>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.方式：</w:t>
      </w:r>
      <w:r>
        <w:rPr>
          <w:rFonts w:hint="eastAsia" w:ascii="仿宋" w:hAnsi="仿宋" w:eastAsia="仿宋" w:cs="仿宋"/>
          <w:color w:val="auto"/>
          <w:sz w:val="28"/>
          <w:szCs w:val="28"/>
          <w:highlight w:val="none"/>
          <w:lang w:val="en-US" w:eastAsia="zh-CN"/>
        </w:rPr>
        <w:t>本项目采用网上注册登记方式</w:t>
      </w:r>
    </w:p>
    <w:p w14:paraId="434E99B4">
      <w:pPr>
        <w:pageBreakBefore w:val="0"/>
        <w:widowControl/>
        <w:spacing w:line="440" w:lineRule="exact"/>
        <w:ind w:firstLine="560"/>
        <w:jc w:val="left"/>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4.售价：0元</w:t>
      </w:r>
    </w:p>
    <w:p w14:paraId="19DCAA31">
      <w:pPr>
        <w:pStyle w:val="36"/>
        <w:keepNext/>
        <w:keepLines/>
        <w:pageBreakBefore w:val="0"/>
        <w:spacing w:beforeAutospacing="0" w:afterAutospacing="0" w:line="440" w:lineRule="exact"/>
        <w:ind w:firstLine="562"/>
        <w:jc w:val="both"/>
        <w:rPr>
          <w:rFonts w:hint="eastAsia" w:ascii="仿宋" w:hAnsi="仿宋" w:eastAsia="仿宋" w:cs="仿宋"/>
          <w:color w:val="auto"/>
          <w:sz w:val="28"/>
          <w:szCs w:val="28"/>
          <w:highlight w:val="none"/>
          <w:lang w:eastAsia="zh-CN"/>
        </w:rPr>
      </w:pPr>
      <w:r>
        <w:rPr>
          <w:rFonts w:hint="eastAsia" w:ascii="仿宋" w:hAnsi="仿宋" w:eastAsia="仿宋" w:cs="仿宋"/>
          <w:b/>
          <w:color w:val="auto"/>
          <w:sz w:val="28"/>
          <w:szCs w:val="28"/>
          <w:highlight w:val="none"/>
        </w:rPr>
        <w:t>四、响应文件</w:t>
      </w:r>
      <w:r>
        <w:rPr>
          <w:rFonts w:hint="eastAsia" w:ascii="仿宋" w:hAnsi="仿宋" w:eastAsia="仿宋" w:cs="仿宋"/>
          <w:b/>
          <w:color w:val="auto"/>
          <w:sz w:val="28"/>
          <w:szCs w:val="28"/>
          <w:highlight w:val="none"/>
          <w:lang w:val="en-US" w:eastAsia="zh-CN"/>
        </w:rPr>
        <w:t>提交</w:t>
      </w:r>
    </w:p>
    <w:p w14:paraId="71B12F8C">
      <w:pPr>
        <w:pStyle w:val="36"/>
        <w:pageBreakBefore w:val="0"/>
        <w:spacing w:beforeAutospacing="0" w:afterAutospacing="0" w:line="440" w:lineRule="exact"/>
        <w:ind w:firstLine="560"/>
        <w:jc w:val="both"/>
        <w:rPr>
          <w:rFonts w:hint="eastAsia" w:ascii="仿宋" w:hAnsi="仿宋" w:eastAsia="仿宋" w:cs="仿宋"/>
          <w:color w:val="auto"/>
          <w:sz w:val="28"/>
          <w:szCs w:val="28"/>
          <w:highlight w:val="none"/>
          <w:shd w:val="clear" w:color="auto" w:fill="FFFF00"/>
        </w:rPr>
      </w:pPr>
      <w:r>
        <w:rPr>
          <w:rFonts w:hint="eastAsia" w:ascii="仿宋" w:hAnsi="仿宋" w:eastAsia="仿宋" w:cs="仿宋"/>
          <w:i w:val="0"/>
          <w:iCs w:val="0"/>
          <w:caps w:val="0"/>
          <w:color w:val="auto"/>
          <w:spacing w:val="0"/>
          <w:sz w:val="28"/>
          <w:szCs w:val="28"/>
          <w:highlight w:val="none"/>
          <w:shd w:val="clear" w:color="auto" w:fill="FFFFFF"/>
        </w:rPr>
        <w:t>1.截止时间：</w:t>
      </w:r>
      <w:r>
        <w:rPr>
          <w:rFonts w:hint="eastAsia" w:ascii="仿宋" w:hAnsi="仿宋" w:eastAsia="仿宋" w:cs="仿宋"/>
          <w:color w:val="auto"/>
          <w:sz w:val="28"/>
          <w:szCs w:val="28"/>
          <w:highlight w:val="none"/>
          <w:u w:val="single"/>
          <w:lang w:val="en-US" w:eastAsia="zh-CN"/>
        </w:rPr>
        <w:t>2026</w:t>
      </w:r>
      <w:r>
        <w:rPr>
          <w:rFonts w:hint="eastAsia" w:ascii="仿宋" w:hAnsi="仿宋" w:eastAsia="仿宋" w:cs="仿宋"/>
          <w:color w:val="auto"/>
          <w:sz w:val="28"/>
          <w:szCs w:val="28"/>
          <w:highlight w:val="none"/>
          <w:u w:val="single"/>
        </w:rPr>
        <w:t>年</w:t>
      </w:r>
      <w:r>
        <w:rPr>
          <w:rFonts w:hint="eastAsia" w:ascii="仿宋" w:hAnsi="仿宋" w:eastAsia="仿宋" w:cs="仿宋"/>
          <w:color w:val="auto"/>
          <w:sz w:val="28"/>
          <w:szCs w:val="28"/>
          <w:highlight w:val="none"/>
          <w:u w:val="single"/>
          <w:lang w:val="en-US" w:eastAsia="zh-CN"/>
        </w:rPr>
        <w:t>10</w:t>
      </w:r>
      <w:r>
        <w:rPr>
          <w:rFonts w:hint="eastAsia" w:ascii="仿宋" w:hAnsi="仿宋" w:eastAsia="仿宋" w:cs="仿宋"/>
          <w:color w:val="auto"/>
          <w:sz w:val="28"/>
          <w:szCs w:val="28"/>
          <w:highlight w:val="none"/>
          <w:u w:val="single"/>
        </w:rPr>
        <w:t>月</w:t>
      </w:r>
      <w:r>
        <w:rPr>
          <w:rFonts w:hint="eastAsia" w:ascii="仿宋" w:hAnsi="仿宋" w:eastAsia="仿宋" w:cs="仿宋"/>
          <w:color w:val="auto"/>
          <w:sz w:val="28"/>
          <w:szCs w:val="28"/>
          <w:highlight w:val="none"/>
          <w:u w:val="single"/>
          <w:lang w:val="en-US" w:eastAsia="zh-CN"/>
        </w:rPr>
        <w:t>16</w:t>
      </w:r>
      <w:r>
        <w:rPr>
          <w:rFonts w:hint="eastAsia" w:ascii="仿宋" w:hAnsi="仿宋" w:eastAsia="仿宋" w:cs="仿宋"/>
          <w:color w:val="auto"/>
          <w:sz w:val="28"/>
          <w:szCs w:val="28"/>
          <w:highlight w:val="none"/>
          <w:u w:val="single"/>
        </w:rPr>
        <w:t>日</w:t>
      </w:r>
      <w:r>
        <w:rPr>
          <w:rFonts w:hint="eastAsia" w:ascii="仿宋" w:hAnsi="仿宋" w:eastAsia="仿宋" w:cs="仿宋"/>
          <w:color w:val="auto"/>
          <w:sz w:val="28"/>
          <w:szCs w:val="28"/>
          <w:highlight w:val="none"/>
          <w:u w:val="single"/>
          <w:lang w:val="en-US" w:eastAsia="zh-CN"/>
        </w:rPr>
        <w:t>09</w:t>
      </w:r>
      <w:r>
        <w:rPr>
          <w:rFonts w:hint="eastAsia" w:ascii="仿宋" w:hAnsi="仿宋" w:eastAsia="仿宋" w:cs="仿宋"/>
          <w:color w:val="auto"/>
          <w:sz w:val="28"/>
          <w:szCs w:val="28"/>
          <w:highlight w:val="none"/>
          <w:u w:val="single"/>
        </w:rPr>
        <w:t>点</w:t>
      </w:r>
      <w:r>
        <w:rPr>
          <w:rFonts w:hint="eastAsia" w:ascii="仿宋" w:hAnsi="仿宋" w:eastAsia="仿宋" w:cs="仿宋"/>
          <w:color w:val="auto"/>
          <w:sz w:val="28"/>
          <w:szCs w:val="28"/>
          <w:highlight w:val="none"/>
          <w:u w:val="single"/>
          <w:lang w:val="en-US" w:eastAsia="zh-CN"/>
        </w:rPr>
        <w:t>00</w:t>
      </w:r>
      <w:r>
        <w:rPr>
          <w:rFonts w:hint="eastAsia" w:ascii="仿宋" w:hAnsi="仿宋" w:eastAsia="仿宋" w:cs="仿宋"/>
          <w:color w:val="auto"/>
          <w:sz w:val="28"/>
          <w:szCs w:val="28"/>
          <w:highlight w:val="none"/>
          <w:u w:val="single"/>
        </w:rPr>
        <w:t>分</w:t>
      </w:r>
      <w:r>
        <w:rPr>
          <w:rFonts w:hint="eastAsia" w:ascii="仿宋" w:hAnsi="仿宋" w:eastAsia="仿宋" w:cs="仿宋"/>
          <w:color w:val="auto"/>
          <w:sz w:val="28"/>
          <w:szCs w:val="28"/>
          <w:highlight w:val="none"/>
        </w:rPr>
        <w:t>（北京时间）。</w:t>
      </w:r>
    </w:p>
    <w:p w14:paraId="11BFEB29">
      <w:pPr>
        <w:pageBreakBefore w:val="0"/>
        <w:widowControl/>
        <w:spacing w:line="440" w:lineRule="exact"/>
        <w:ind w:firstLine="560"/>
        <w:jc w:val="left"/>
        <w:rPr>
          <w:rFonts w:hint="eastAsia" w:ascii="仿宋" w:hAnsi="仿宋" w:eastAsia="仿宋" w:cs="仿宋"/>
          <w:color w:val="auto"/>
          <w:sz w:val="28"/>
          <w:szCs w:val="28"/>
          <w:highlight w:val="none"/>
          <w:shd w:val="clear" w:color="auto" w:fill="FFFF00"/>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bidi="ar-SA"/>
        </w:rPr>
        <w:t xml:space="preserve">2.地点：苏采云“不见面”开标大厅 </w:t>
      </w:r>
      <w:r>
        <w:rPr>
          <w:rFonts w:hint="eastAsia" w:ascii="仿宋" w:hAnsi="仿宋" w:eastAsia="仿宋" w:cs="仿宋"/>
          <w:color w:val="auto"/>
          <w:sz w:val="28"/>
          <w:szCs w:val="28"/>
          <w:highlight w:val="none"/>
          <w:lang w:val="en-US" w:eastAsia="zh-CN"/>
        </w:rPr>
        <w:t>。</w:t>
      </w:r>
    </w:p>
    <w:p w14:paraId="3143FEEF">
      <w:pPr>
        <w:pStyle w:val="36"/>
        <w:keepNext/>
        <w:keepLines/>
        <w:pageBreakBefore w:val="0"/>
        <w:spacing w:beforeAutospacing="0" w:afterAutospacing="0" w:line="440" w:lineRule="exact"/>
        <w:ind w:firstLine="562"/>
        <w:jc w:val="both"/>
        <w:rPr>
          <w:rFonts w:hint="eastAsia" w:ascii="仿宋" w:hAnsi="仿宋" w:eastAsia="仿宋" w:cs="仿宋"/>
          <w:b/>
          <w:color w:val="auto"/>
          <w:sz w:val="28"/>
          <w:szCs w:val="28"/>
          <w:highlight w:val="none"/>
        </w:rPr>
      </w:pPr>
      <w:bookmarkStart w:id="23" w:name="_Toc38985268"/>
      <w:bookmarkStart w:id="24" w:name="_Toc35393795"/>
      <w:bookmarkStart w:id="25" w:name="_Toc35393626"/>
      <w:r>
        <w:rPr>
          <w:rFonts w:hint="eastAsia" w:ascii="仿宋" w:hAnsi="仿宋" w:eastAsia="仿宋" w:cs="仿宋"/>
          <w:b/>
          <w:color w:val="auto"/>
          <w:sz w:val="28"/>
          <w:szCs w:val="28"/>
          <w:highlight w:val="none"/>
        </w:rPr>
        <w:t>五、开启</w:t>
      </w:r>
    </w:p>
    <w:p w14:paraId="251F6787">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eastAsia" w:ascii="仿宋" w:hAnsi="仿宋" w:eastAsia="仿宋" w:cs="仿宋"/>
          <w:color w:val="auto"/>
          <w:sz w:val="28"/>
          <w:szCs w:val="28"/>
          <w:highlight w:val="none"/>
        </w:rPr>
      </w:pPr>
      <w:r>
        <w:rPr>
          <w:rFonts w:hint="eastAsia" w:ascii="仿宋" w:hAnsi="仿宋" w:eastAsia="仿宋" w:cs="仿宋"/>
          <w:i w:val="0"/>
          <w:iCs w:val="0"/>
          <w:caps w:val="0"/>
          <w:color w:val="auto"/>
          <w:spacing w:val="0"/>
          <w:sz w:val="28"/>
          <w:szCs w:val="28"/>
          <w:highlight w:val="none"/>
          <w:shd w:val="clear" w:color="auto" w:fill="FFFFFF"/>
          <w:lang w:val="en-US" w:eastAsia="zh-CN"/>
        </w:rPr>
        <w:t>1.</w:t>
      </w:r>
      <w:r>
        <w:rPr>
          <w:rFonts w:hint="eastAsia" w:ascii="仿宋" w:hAnsi="仿宋" w:eastAsia="仿宋" w:cs="仿宋"/>
          <w:i w:val="0"/>
          <w:iCs w:val="0"/>
          <w:caps w:val="0"/>
          <w:color w:val="auto"/>
          <w:spacing w:val="0"/>
          <w:sz w:val="28"/>
          <w:szCs w:val="28"/>
          <w:highlight w:val="none"/>
          <w:shd w:val="clear" w:color="auto" w:fill="FFFFFF"/>
        </w:rPr>
        <w:t>时间：</w:t>
      </w:r>
      <w:r>
        <w:rPr>
          <w:rFonts w:hint="eastAsia" w:ascii="仿宋" w:hAnsi="仿宋" w:eastAsia="仿宋" w:cs="仿宋"/>
          <w:color w:val="auto"/>
          <w:sz w:val="28"/>
          <w:szCs w:val="28"/>
          <w:highlight w:val="none"/>
          <w:u w:val="single"/>
          <w:lang w:val="en-US" w:eastAsia="zh-CN"/>
        </w:rPr>
        <w:t>2026</w:t>
      </w:r>
      <w:r>
        <w:rPr>
          <w:rFonts w:hint="eastAsia" w:ascii="仿宋" w:hAnsi="仿宋" w:eastAsia="仿宋" w:cs="仿宋"/>
          <w:color w:val="auto"/>
          <w:sz w:val="28"/>
          <w:szCs w:val="28"/>
          <w:highlight w:val="none"/>
          <w:u w:val="single"/>
        </w:rPr>
        <w:t>年</w:t>
      </w:r>
      <w:r>
        <w:rPr>
          <w:rFonts w:hint="eastAsia" w:ascii="仿宋" w:hAnsi="仿宋" w:eastAsia="仿宋" w:cs="仿宋"/>
          <w:color w:val="auto"/>
          <w:sz w:val="28"/>
          <w:szCs w:val="28"/>
          <w:highlight w:val="none"/>
          <w:u w:val="single"/>
          <w:lang w:val="en-US" w:eastAsia="zh-CN"/>
        </w:rPr>
        <w:t>10</w:t>
      </w:r>
      <w:r>
        <w:rPr>
          <w:rFonts w:hint="eastAsia" w:ascii="仿宋" w:hAnsi="仿宋" w:eastAsia="仿宋" w:cs="仿宋"/>
          <w:color w:val="auto"/>
          <w:sz w:val="28"/>
          <w:szCs w:val="28"/>
          <w:highlight w:val="none"/>
          <w:u w:val="single"/>
        </w:rPr>
        <w:t>月</w:t>
      </w:r>
      <w:r>
        <w:rPr>
          <w:rFonts w:hint="eastAsia" w:ascii="仿宋" w:hAnsi="仿宋" w:eastAsia="仿宋" w:cs="仿宋"/>
          <w:color w:val="auto"/>
          <w:sz w:val="28"/>
          <w:szCs w:val="28"/>
          <w:highlight w:val="none"/>
          <w:u w:val="single"/>
          <w:lang w:val="en-US" w:eastAsia="zh-CN"/>
        </w:rPr>
        <w:t>16</w:t>
      </w:r>
      <w:r>
        <w:rPr>
          <w:rFonts w:hint="eastAsia" w:ascii="仿宋" w:hAnsi="仿宋" w:eastAsia="仿宋" w:cs="仿宋"/>
          <w:color w:val="auto"/>
          <w:sz w:val="28"/>
          <w:szCs w:val="28"/>
          <w:highlight w:val="none"/>
          <w:u w:val="single"/>
        </w:rPr>
        <w:t>日</w:t>
      </w:r>
      <w:r>
        <w:rPr>
          <w:rFonts w:hint="eastAsia" w:ascii="仿宋" w:hAnsi="仿宋" w:eastAsia="仿宋" w:cs="仿宋"/>
          <w:color w:val="auto"/>
          <w:sz w:val="28"/>
          <w:szCs w:val="28"/>
          <w:highlight w:val="none"/>
          <w:u w:val="single"/>
          <w:lang w:val="en-US" w:eastAsia="zh-CN"/>
        </w:rPr>
        <w:t>09</w:t>
      </w:r>
      <w:r>
        <w:rPr>
          <w:rFonts w:hint="eastAsia" w:ascii="仿宋" w:hAnsi="仿宋" w:eastAsia="仿宋" w:cs="仿宋"/>
          <w:color w:val="auto"/>
          <w:sz w:val="28"/>
          <w:szCs w:val="28"/>
          <w:highlight w:val="none"/>
          <w:u w:val="single"/>
        </w:rPr>
        <w:t>点 </w:t>
      </w:r>
      <w:r>
        <w:rPr>
          <w:rFonts w:hint="eastAsia" w:ascii="仿宋" w:hAnsi="仿宋" w:eastAsia="仿宋" w:cs="仿宋"/>
          <w:color w:val="auto"/>
          <w:sz w:val="28"/>
          <w:szCs w:val="28"/>
          <w:highlight w:val="none"/>
          <w:u w:val="single"/>
          <w:lang w:val="en-US" w:eastAsia="zh-CN"/>
        </w:rPr>
        <w:t>00</w:t>
      </w:r>
      <w:r>
        <w:rPr>
          <w:rFonts w:hint="eastAsia" w:ascii="仿宋" w:hAnsi="仿宋" w:eastAsia="仿宋" w:cs="仿宋"/>
          <w:color w:val="auto"/>
          <w:sz w:val="28"/>
          <w:szCs w:val="28"/>
          <w:highlight w:val="none"/>
          <w:u w:val="single"/>
        </w:rPr>
        <w:t>分</w:t>
      </w:r>
      <w:r>
        <w:rPr>
          <w:rFonts w:hint="eastAsia" w:ascii="仿宋" w:hAnsi="仿宋" w:eastAsia="仿宋" w:cs="仿宋"/>
          <w:i w:val="0"/>
          <w:iCs w:val="0"/>
          <w:caps w:val="0"/>
          <w:color w:val="auto"/>
          <w:spacing w:val="0"/>
          <w:sz w:val="28"/>
          <w:szCs w:val="28"/>
          <w:highlight w:val="none"/>
          <w:shd w:val="clear" w:color="auto" w:fill="FFFFFF"/>
        </w:rPr>
        <w:t>（北京时间）</w:t>
      </w:r>
      <w:r>
        <w:rPr>
          <w:rFonts w:hint="eastAsia" w:ascii="仿宋" w:hAnsi="仿宋" w:eastAsia="仿宋" w:cs="仿宋"/>
          <w:color w:val="auto"/>
          <w:sz w:val="28"/>
          <w:szCs w:val="28"/>
          <w:highlight w:val="none"/>
        </w:rPr>
        <w:t>。</w:t>
      </w:r>
      <w:bookmarkEnd w:id="23"/>
      <w:bookmarkEnd w:id="24"/>
      <w:bookmarkEnd w:id="25"/>
    </w:p>
    <w:p w14:paraId="7BD6FD36">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2.</w:t>
      </w:r>
      <w:r>
        <w:rPr>
          <w:rFonts w:hint="eastAsia" w:ascii="仿宋" w:hAnsi="仿宋" w:eastAsia="仿宋" w:cs="仿宋"/>
          <w:i w:val="0"/>
          <w:iCs w:val="0"/>
          <w:caps w:val="0"/>
          <w:color w:val="auto"/>
          <w:spacing w:val="0"/>
          <w:sz w:val="28"/>
          <w:szCs w:val="28"/>
          <w:highlight w:val="none"/>
          <w:shd w:val="clear" w:color="auto" w:fill="FFFFFF"/>
        </w:rPr>
        <w:t>地点：</w:t>
      </w:r>
      <w:r>
        <w:rPr>
          <w:rFonts w:hint="eastAsia" w:ascii="仿宋" w:hAnsi="仿宋" w:eastAsia="仿宋" w:cs="仿宋"/>
          <w:i w:val="0"/>
          <w:iCs w:val="0"/>
          <w:caps w:val="0"/>
          <w:color w:val="auto"/>
          <w:spacing w:val="0"/>
          <w:sz w:val="28"/>
          <w:szCs w:val="28"/>
          <w:highlight w:val="none"/>
          <w:shd w:val="clear" w:color="auto" w:fill="FFFFFF"/>
          <w:lang w:val="en-US" w:eastAsia="zh-CN"/>
        </w:rPr>
        <w:t>射阳县市民中心八楼开标室（县城幸福大道16号）开标室</w:t>
      </w:r>
    </w:p>
    <w:p w14:paraId="40566E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right="0" w:firstLine="562"/>
        <w:jc w:val="both"/>
        <w:rPr>
          <w:rFonts w:hint="eastAsia" w:ascii="仿宋" w:hAnsi="仿宋" w:eastAsia="仿宋" w:cs="仿宋"/>
          <w:b/>
          <w:bCs w:val="0"/>
          <w:color w:val="auto"/>
          <w:sz w:val="28"/>
          <w:szCs w:val="28"/>
          <w:highlight w:val="none"/>
          <w:lang w:val="en-US" w:eastAsia="zh-CN" w:bidi="ar-SA"/>
        </w:rPr>
      </w:pPr>
      <w:bookmarkStart w:id="26" w:name="_Toc28359094"/>
      <w:r>
        <w:rPr>
          <w:rFonts w:hint="eastAsia" w:ascii="仿宋" w:hAnsi="仿宋" w:eastAsia="仿宋" w:cs="仿宋"/>
          <w:b/>
          <w:bCs w:val="0"/>
          <w:color w:val="auto"/>
          <w:sz w:val="28"/>
          <w:szCs w:val="28"/>
          <w:highlight w:val="none"/>
          <w:lang w:val="en-US" w:eastAsia="zh-CN" w:bidi="ar-SA"/>
        </w:rPr>
        <w:t>六、公告期限</w:t>
      </w:r>
      <w:bookmarkEnd w:id="26"/>
    </w:p>
    <w:p w14:paraId="29DEBC6D">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eastAsia" w:ascii="仿宋" w:hAnsi="仿宋" w:eastAsia="仿宋" w:cs="仿宋"/>
          <w:color w:val="auto"/>
          <w:sz w:val="28"/>
          <w:szCs w:val="28"/>
          <w:highlight w:val="none"/>
        </w:rPr>
      </w:pPr>
      <w:r>
        <w:rPr>
          <w:rFonts w:hint="eastAsia" w:ascii="仿宋" w:hAnsi="仿宋" w:eastAsia="仿宋" w:cs="仿宋"/>
          <w:i w:val="0"/>
          <w:iCs w:val="0"/>
          <w:caps w:val="0"/>
          <w:color w:val="auto"/>
          <w:spacing w:val="0"/>
          <w:sz w:val="28"/>
          <w:szCs w:val="28"/>
          <w:highlight w:val="none"/>
          <w:shd w:val="clear" w:color="auto" w:fill="FFFFFF"/>
        </w:rPr>
        <w:t>自本公告发布之日起</w:t>
      </w:r>
      <w:r>
        <w:rPr>
          <w:rFonts w:hint="eastAsia" w:ascii="仿宋" w:hAnsi="仿宋" w:eastAsia="仿宋" w:cs="仿宋"/>
          <w:i w:val="0"/>
          <w:iCs w:val="0"/>
          <w:caps w:val="0"/>
          <w:color w:val="auto"/>
          <w:spacing w:val="0"/>
          <w:sz w:val="28"/>
          <w:szCs w:val="28"/>
          <w:highlight w:val="none"/>
          <w:shd w:val="clear" w:color="auto" w:fill="FFFFFF"/>
          <w:lang w:val="en-US" w:eastAsia="zh-CN"/>
        </w:rPr>
        <w:t>3</w:t>
      </w:r>
      <w:r>
        <w:rPr>
          <w:rFonts w:hint="eastAsia" w:ascii="仿宋" w:hAnsi="仿宋" w:eastAsia="仿宋" w:cs="仿宋"/>
          <w:i w:val="0"/>
          <w:iCs w:val="0"/>
          <w:caps w:val="0"/>
          <w:color w:val="auto"/>
          <w:spacing w:val="0"/>
          <w:sz w:val="28"/>
          <w:szCs w:val="28"/>
          <w:highlight w:val="none"/>
          <w:shd w:val="clear" w:color="auto" w:fill="FFFFFF"/>
        </w:rPr>
        <w:t>个工作日。</w:t>
      </w:r>
    </w:p>
    <w:p w14:paraId="79A81586">
      <w:pPr>
        <w:pStyle w:val="36"/>
        <w:keepNext/>
        <w:keepLines/>
        <w:pageBreakBefore w:val="0"/>
        <w:spacing w:beforeAutospacing="0" w:afterAutospacing="0" w:line="440" w:lineRule="exact"/>
        <w:ind w:firstLine="562"/>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七</w:t>
      </w:r>
      <w:r>
        <w:rPr>
          <w:rFonts w:hint="eastAsia" w:ascii="仿宋" w:hAnsi="仿宋" w:eastAsia="仿宋" w:cs="仿宋"/>
          <w:b/>
          <w:color w:val="auto"/>
          <w:sz w:val="28"/>
          <w:szCs w:val="28"/>
          <w:highlight w:val="none"/>
        </w:rPr>
        <w:t>、其他补充事宜</w:t>
      </w:r>
    </w:p>
    <w:p w14:paraId="65B5BEB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b w:val="0"/>
          <w:bCs w:val="0"/>
          <w:color w:val="auto"/>
          <w:sz w:val="28"/>
          <w:szCs w:val="28"/>
          <w:highlight w:val="none"/>
          <w:lang w:val="en-US" w:eastAsia="zh-CN" w:bidi="ar-SA"/>
        </w:rPr>
      </w:pPr>
      <w:bookmarkStart w:id="27" w:name="_Toc28359018"/>
      <w:r>
        <w:rPr>
          <w:rFonts w:hint="eastAsia" w:ascii="仿宋" w:hAnsi="仿宋" w:eastAsia="仿宋" w:cs="仿宋"/>
          <w:b w:val="0"/>
          <w:bCs w:val="0"/>
          <w:color w:val="auto"/>
          <w:sz w:val="28"/>
          <w:szCs w:val="28"/>
          <w:highlight w:val="none"/>
          <w:lang w:val="en-US" w:eastAsia="zh-CN" w:bidi="ar-SA"/>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7F65E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p>
    <w:p w14:paraId="1ECEDF2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2.潜在供应商访问电子招标响应交易平台的网络地址和方法： </w:t>
      </w:r>
    </w:p>
    <w:p w14:paraId="7F1418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p>
    <w:p w14:paraId="6AE761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2.2 潜在投标人访问“苏采云”系统方法：江苏省政府采购网首页-“苏采云”链接。 </w:t>
      </w:r>
    </w:p>
    <w:p w14:paraId="74DD4CC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2.3 磋商文件（后缀名为“.kedt”）、供应商操作手册及政府采购客户端 工具可通过“苏采云”系统相应链接进行下载。 </w:t>
      </w:r>
    </w:p>
    <w:p w14:paraId="24E4B1D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2.4 采购代理机构将数据电文形式的磋商文件加载至“苏采云”系统，供潜在供应商下载或者查阅。 </w:t>
      </w:r>
    </w:p>
    <w:p w14:paraId="708CA3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2.5 请潜在投标单位提前安装相应的控件（详见《“苏采云”系统供应商操作手册》）并使用谷歌浏览器登录“苏采云”系统参与不见面开评标。 </w:t>
      </w:r>
    </w:p>
    <w:p w14:paraId="2C6246A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如潜在投标人未按上述要求操作，将自行承担所产生的风险。</w:t>
      </w:r>
    </w:p>
    <w:p w14:paraId="67E5FA7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3. 有关本次磋商的事项若存在变动或修改，敬请及时关注在“中国政府采购网”“江苏政府采购网”“盐城市政府采购网”发布的更正公告。</w:t>
      </w:r>
    </w:p>
    <w:p w14:paraId="6DE7AA9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4. 本次磋商不收取磋商保证金，不收取质量保证金。</w:t>
      </w:r>
    </w:p>
    <w:p w14:paraId="65E33F0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2"/>
        <w:jc w:val="both"/>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八、凡对本次采购提出询问，请按以下方式联系。</w:t>
      </w:r>
      <w:bookmarkEnd w:id="27"/>
    </w:p>
    <w:p w14:paraId="5298AC1C">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1.采购人信息</w:t>
      </w:r>
    </w:p>
    <w:p w14:paraId="1FA92CC0">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名  称：射阳县长荡镇人民政府</w:t>
      </w:r>
    </w:p>
    <w:p w14:paraId="66D8A0D5">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default"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地  址：江苏省盐城市射阳县府前路130号</w:t>
      </w:r>
    </w:p>
    <w:p w14:paraId="7B4FF70D">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default"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联系人：倪华</w:t>
      </w:r>
    </w:p>
    <w:p w14:paraId="2D0AD1F3">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default"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联系方式：</w:t>
      </w:r>
      <w:bookmarkStart w:id="28" w:name="_Toc28359009"/>
      <w:bookmarkEnd w:id="28"/>
      <w:r>
        <w:rPr>
          <w:rFonts w:hint="eastAsia" w:ascii="仿宋" w:hAnsi="仿宋" w:eastAsia="仿宋" w:cs="仿宋"/>
          <w:i w:val="0"/>
          <w:iCs w:val="0"/>
          <w:caps w:val="0"/>
          <w:color w:val="auto"/>
          <w:spacing w:val="0"/>
          <w:sz w:val="28"/>
          <w:szCs w:val="28"/>
          <w:highlight w:val="none"/>
          <w:shd w:val="clear" w:color="auto" w:fill="FFFFFF"/>
          <w:lang w:val="en-US" w:eastAsia="zh-CN"/>
        </w:rPr>
        <w:t>13770186009</w:t>
      </w:r>
    </w:p>
    <w:p w14:paraId="1D8B6078">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2.采购代理机构信息</w:t>
      </w:r>
    </w:p>
    <w:p w14:paraId="70360289">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名  称： 盐城现代建设工程项目管理有限公司</w:t>
      </w:r>
    </w:p>
    <w:p w14:paraId="066F2467">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地  址：射阳县金阳哈罗斯27号楼4楼</w:t>
      </w:r>
    </w:p>
    <w:p w14:paraId="321FF64E">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联系人：周磊               </w:t>
      </w:r>
    </w:p>
    <w:p w14:paraId="202DC126">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 xml:space="preserve">联系方式：18352060602          </w:t>
      </w:r>
    </w:p>
    <w:p w14:paraId="701DF798">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eastAsia" w:ascii="仿宋" w:hAnsi="仿宋" w:eastAsia="仿宋" w:cs="仿宋"/>
          <w:i w:val="0"/>
          <w:iCs w:val="0"/>
          <w:caps w:val="0"/>
          <w:color w:val="auto"/>
          <w:spacing w:val="0"/>
          <w:sz w:val="28"/>
          <w:szCs w:val="28"/>
          <w:highlight w:val="none"/>
          <w:shd w:val="clear" w:color="auto" w:fill="FFFFFF"/>
          <w:lang w:val="en-US" w:eastAsia="zh-CN"/>
        </w:rPr>
      </w:pPr>
      <w:bookmarkStart w:id="29" w:name="_Toc28359021"/>
      <w:r>
        <w:rPr>
          <w:rFonts w:hint="eastAsia" w:ascii="仿宋" w:hAnsi="仿宋" w:eastAsia="仿宋" w:cs="仿宋"/>
          <w:i w:val="0"/>
          <w:iCs w:val="0"/>
          <w:caps w:val="0"/>
          <w:color w:val="auto"/>
          <w:spacing w:val="0"/>
          <w:sz w:val="28"/>
          <w:szCs w:val="28"/>
          <w:highlight w:val="none"/>
          <w:shd w:val="clear" w:color="auto" w:fill="FFFFFF"/>
          <w:lang w:val="en-US" w:eastAsia="zh-CN"/>
        </w:rPr>
        <w:t>3.</w:t>
      </w:r>
      <w:bookmarkEnd w:id="29"/>
      <w:r>
        <w:rPr>
          <w:rFonts w:hint="eastAsia" w:ascii="仿宋" w:hAnsi="仿宋" w:eastAsia="仿宋" w:cs="仿宋"/>
          <w:i w:val="0"/>
          <w:iCs w:val="0"/>
          <w:caps w:val="0"/>
          <w:color w:val="auto"/>
          <w:spacing w:val="0"/>
          <w:sz w:val="28"/>
          <w:szCs w:val="28"/>
          <w:highlight w:val="none"/>
          <w:shd w:val="clear" w:color="auto" w:fill="FFFFFF"/>
          <w:lang w:val="en-US" w:eastAsia="zh-CN"/>
        </w:rPr>
        <w:t>项目联系方式</w:t>
      </w:r>
    </w:p>
    <w:p w14:paraId="47C3484C">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项目联系人：周磊</w:t>
      </w:r>
    </w:p>
    <w:p w14:paraId="352E7CED">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Autospacing="0" w:afterAutospacing="0" w:line="440" w:lineRule="exact"/>
        <w:ind w:left="0" w:right="0" w:firstLine="560"/>
        <w:jc w:val="both"/>
        <w:rPr>
          <w:rFonts w:hint="eastAsia" w:ascii="仿宋" w:hAnsi="仿宋" w:eastAsia="仿宋" w:cs="仿宋"/>
          <w:i w:val="0"/>
          <w:iCs w:val="0"/>
          <w:caps w:val="0"/>
          <w:color w:val="auto"/>
          <w:spacing w:val="0"/>
          <w:sz w:val="28"/>
          <w:szCs w:val="28"/>
          <w:highlight w:val="none"/>
          <w:shd w:val="clear" w:color="auto" w:fill="FFFFFF"/>
          <w:lang w:val="en-US" w:eastAsia="zh-CN"/>
        </w:rPr>
      </w:pPr>
      <w:r>
        <w:rPr>
          <w:rFonts w:hint="eastAsia" w:ascii="仿宋" w:hAnsi="仿宋" w:eastAsia="仿宋" w:cs="仿宋"/>
          <w:i w:val="0"/>
          <w:iCs w:val="0"/>
          <w:caps w:val="0"/>
          <w:color w:val="auto"/>
          <w:spacing w:val="0"/>
          <w:sz w:val="28"/>
          <w:szCs w:val="28"/>
          <w:highlight w:val="none"/>
          <w:shd w:val="clear" w:color="auto" w:fill="FFFFFF"/>
          <w:lang w:val="en-US" w:eastAsia="zh-CN"/>
        </w:rPr>
        <w:t>电　　 话：18352060602</w:t>
      </w:r>
    </w:p>
    <w:p w14:paraId="694B7A59">
      <w:pPr>
        <w:rPr>
          <w:color w:val="auto"/>
          <w:highlight w:val="none"/>
        </w:rPr>
      </w:pPr>
      <w:r>
        <w:rPr>
          <w:rFonts w:hint="eastAsia" w:ascii="仿宋" w:hAnsi="仿宋" w:eastAsia="仿宋" w:cs="仿宋"/>
          <w:b/>
          <w:color w:val="auto"/>
          <w:sz w:val="28"/>
          <w:szCs w:val="28"/>
          <w:highlight w:val="none"/>
        </w:rPr>
        <w:br w:type="page" w:clear="all"/>
      </w:r>
    </w:p>
    <w:p w14:paraId="2979B411">
      <w:pPr>
        <w:pStyle w:val="36"/>
        <w:keepNext/>
        <w:keepLines/>
        <w:spacing w:before="260" w:beforeAutospacing="0" w:after="260" w:afterAutospacing="0" w:line="415" w:lineRule="auto"/>
        <w:jc w:val="center"/>
        <w:rPr>
          <w:color w:val="auto"/>
          <w:highlight w:val="none"/>
        </w:rPr>
      </w:pPr>
      <w:bookmarkStart w:id="30" w:name="_Toc120614211"/>
      <w:r>
        <w:rPr>
          <w:rFonts w:hint="eastAsia" w:ascii="黑体" w:hAnsi="宋体" w:eastAsia="黑体" w:cs="黑体"/>
          <w:b/>
          <w:color w:val="auto"/>
          <w:sz w:val="44"/>
          <w:szCs w:val="44"/>
          <w:highlight w:val="none"/>
        </w:rPr>
        <w:t xml:space="preserve">第二章  </w:t>
      </w:r>
      <w:bookmarkEnd w:id="30"/>
      <w:r>
        <w:rPr>
          <w:rFonts w:hint="eastAsia" w:ascii="黑体" w:hAnsi="宋体" w:eastAsia="黑体" w:cs="黑体"/>
          <w:b/>
          <w:color w:val="auto"/>
          <w:sz w:val="44"/>
          <w:szCs w:val="44"/>
          <w:highlight w:val="none"/>
        </w:rPr>
        <w:t>供应商须知</w:t>
      </w:r>
    </w:p>
    <w:p w14:paraId="4960D904">
      <w:pPr>
        <w:pStyle w:val="36"/>
        <w:keepNext/>
        <w:keepLines/>
        <w:pageBreakBefore w:val="0"/>
        <w:widowControl w:val="0"/>
        <w:spacing w:beforeAutospacing="0" w:afterAutospacing="0" w:line="440" w:lineRule="exact"/>
        <w:ind w:firstLine="640"/>
        <w:jc w:val="both"/>
        <w:rPr>
          <w:color w:val="auto"/>
          <w:highlight w:val="none"/>
        </w:rPr>
      </w:pPr>
      <w:bookmarkStart w:id="31" w:name="_Toc16938519"/>
      <w:bookmarkStart w:id="32" w:name="_Toc20823275"/>
      <w:bookmarkStart w:id="33" w:name="_Toc513029203"/>
      <w:bookmarkStart w:id="34" w:name="_Toc120614214"/>
      <w:r>
        <w:rPr>
          <w:rFonts w:ascii="Times New Roman" w:hAnsi="Times New Roman"/>
          <w:b/>
          <w:color w:val="auto"/>
          <w:sz w:val="32"/>
          <w:szCs w:val="32"/>
          <w:highlight w:val="none"/>
        </w:rPr>
        <w:t>一、总则</w:t>
      </w:r>
      <w:bookmarkEnd w:id="31"/>
      <w:bookmarkEnd w:id="32"/>
      <w:bookmarkEnd w:id="33"/>
      <w:bookmarkEnd w:id="34"/>
    </w:p>
    <w:p w14:paraId="6B3A4D47">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35" w:name="_Toc20823276"/>
      <w:bookmarkStart w:id="36" w:name="_Toc513029204"/>
      <w:bookmarkStart w:id="37" w:name="_Toc16938520"/>
      <w:bookmarkStart w:id="38" w:name="_Toc458694821"/>
      <w:bookmarkStart w:id="39" w:name="_Hlt16619475"/>
      <w:r>
        <w:rPr>
          <w:rFonts w:hint="eastAsia" w:ascii="宋体" w:hAnsi="宋体" w:eastAsia="宋体" w:cs="宋体"/>
          <w:b/>
          <w:color w:val="auto"/>
          <w:sz w:val="30"/>
          <w:szCs w:val="30"/>
          <w:highlight w:val="none"/>
        </w:rPr>
        <w:t>1</w:t>
      </w:r>
      <w:bookmarkEnd w:id="35"/>
      <w:r>
        <w:rPr>
          <w:rFonts w:hint="eastAsia" w:ascii="宋体" w:hAnsi="宋体" w:eastAsia="宋体" w:cs="宋体"/>
          <w:b/>
          <w:color w:val="auto"/>
          <w:sz w:val="30"/>
          <w:szCs w:val="30"/>
          <w:highlight w:val="none"/>
        </w:rPr>
        <w:t>、采购方式</w:t>
      </w:r>
      <w:bookmarkEnd w:id="36"/>
      <w:bookmarkEnd w:id="37"/>
      <w:bookmarkEnd w:id="38"/>
    </w:p>
    <w:p w14:paraId="09FCAB21">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1.1 本次政府采购活动采取竞争性磋商(以下简称磋商)方式，本磋商文件仅适用于磋商公告中所述项目。</w:t>
      </w:r>
    </w:p>
    <w:p w14:paraId="25D4CFFA">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40" w:name="_Toc20823277"/>
      <w:bookmarkStart w:id="41" w:name="_Toc513029205"/>
      <w:bookmarkStart w:id="42" w:name="_Toc16938521"/>
      <w:r>
        <w:rPr>
          <w:rFonts w:hint="eastAsia" w:ascii="宋体" w:hAnsi="宋体" w:eastAsia="宋体" w:cs="宋体"/>
          <w:b/>
          <w:color w:val="auto"/>
          <w:sz w:val="30"/>
          <w:szCs w:val="30"/>
          <w:highlight w:val="none"/>
        </w:rPr>
        <w:t>2、合格的</w:t>
      </w:r>
      <w:bookmarkEnd w:id="40"/>
      <w:bookmarkEnd w:id="41"/>
      <w:bookmarkEnd w:id="42"/>
      <w:r>
        <w:rPr>
          <w:rFonts w:hint="eastAsia" w:ascii="宋体" w:hAnsi="宋体" w:eastAsia="宋体" w:cs="宋体"/>
          <w:b/>
          <w:color w:val="auto"/>
          <w:sz w:val="30"/>
          <w:szCs w:val="30"/>
          <w:highlight w:val="none"/>
        </w:rPr>
        <w:t>供应商</w:t>
      </w:r>
    </w:p>
    <w:p w14:paraId="646D6087">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2.1满足磋商公告中供应商资格要求的规定。</w:t>
      </w:r>
    </w:p>
    <w:p w14:paraId="53E5F8B7">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2.2 满足本磋商文件实质性要求和条件的规定。</w:t>
      </w:r>
    </w:p>
    <w:p w14:paraId="27327D1B">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43" w:name="_Toc20823278"/>
      <w:bookmarkStart w:id="44" w:name="_Toc16938522"/>
      <w:bookmarkStart w:id="45" w:name="_Toc513029206"/>
      <w:r>
        <w:rPr>
          <w:rFonts w:hint="eastAsia" w:ascii="宋体" w:hAnsi="宋体" w:eastAsia="宋体" w:cs="宋体"/>
          <w:b/>
          <w:color w:val="auto"/>
          <w:sz w:val="30"/>
          <w:szCs w:val="30"/>
          <w:highlight w:val="none"/>
        </w:rPr>
        <w:t>3、适用法律</w:t>
      </w:r>
      <w:bookmarkEnd w:id="43"/>
      <w:bookmarkEnd w:id="44"/>
      <w:bookmarkEnd w:id="45"/>
    </w:p>
    <w:p w14:paraId="5FFEFBD1">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3.1 本次磋商及由此产生的合同受中华人民共和国有关的法律法规制约和保护。</w:t>
      </w:r>
    </w:p>
    <w:p w14:paraId="077D255C">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46" w:name="_Toc462564067"/>
      <w:bookmarkStart w:id="47" w:name="_Toc20823279"/>
      <w:bookmarkStart w:id="48" w:name="_Toc513029207"/>
      <w:bookmarkStart w:id="49" w:name="_Toc16938523"/>
      <w:r>
        <w:rPr>
          <w:rFonts w:hint="eastAsia" w:ascii="宋体" w:hAnsi="宋体" w:eastAsia="宋体" w:cs="宋体"/>
          <w:b/>
          <w:color w:val="auto"/>
          <w:sz w:val="30"/>
          <w:szCs w:val="30"/>
          <w:highlight w:val="none"/>
        </w:rPr>
        <w:t>4、磋商费用</w:t>
      </w:r>
      <w:bookmarkEnd w:id="46"/>
      <w:bookmarkEnd w:id="47"/>
      <w:bookmarkEnd w:id="48"/>
      <w:bookmarkEnd w:id="49"/>
    </w:p>
    <w:p w14:paraId="75CEDCA1">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4.1供应商应自行承担所有与参加本次磋商有关的费用，无论磋商过程中的做法和结果如何，采购人在任何情况下均无义务和责任承担这些费用。</w:t>
      </w:r>
    </w:p>
    <w:p w14:paraId="2BCB3654">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4.2本次磋商招标代理机构和采购人不收取标书工本费。</w:t>
      </w:r>
    </w:p>
    <w:p w14:paraId="7A918113">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5、磋商文件的约束力</w:t>
      </w:r>
    </w:p>
    <w:p w14:paraId="4CDF8331">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5.1供应商一旦参加本项目采购活动，即被认为接受了本磋商文件的规定和约束。</w:t>
      </w:r>
    </w:p>
    <w:p w14:paraId="3101A079">
      <w:pPr>
        <w:pStyle w:val="36"/>
        <w:keepNext/>
        <w:keepLines/>
        <w:pageBreakBefore w:val="0"/>
        <w:widowControl w:val="0"/>
        <w:spacing w:beforeAutospacing="0" w:afterAutospacing="0" w:line="440" w:lineRule="exact"/>
        <w:ind w:firstLine="640"/>
        <w:jc w:val="both"/>
        <w:rPr>
          <w:color w:val="auto"/>
          <w:highlight w:val="none"/>
        </w:rPr>
      </w:pPr>
      <w:bookmarkStart w:id="50" w:name="_Toc120614215"/>
      <w:bookmarkStart w:id="51" w:name="_Toc16938525"/>
      <w:bookmarkStart w:id="52" w:name="_Toc513029209"/>
      <w:bookmarkStart w:id="53" w:name="_Toc20823281"/>
      <w:r>
        <w:rPr>
          <w:rFonts w:ascii="Times New Roman" w:hAnsi="Times New Roman"/>
          <w:b/>
          <w:color w:val="auto"/>
          <w:sz w:val="32"/>
          <w:szCs w:val="32"/>
          <w:highlight w:val="none"/>
        </w:rPr>
        <w:t>二、</w:t>
      </w:r>
      <w:bookmarkEnd w:id="50"/>
      <w:bookmarkEnd w:id="51"/>
      <w:bookmarkEnd w:id="52"/>
      <w:bookmarkEnd w:id="53"/>
      <w:r>
        <w:rPr>
          <w:rFonts w:ascii="Times New Roman" w:hAnsi="Times New Roman"/>
          <w:b/>
          <w:color w:val="auto"/>
          <w:sz w:val="32"/>
          <w:szCs w:val="32"/>
          <w:highlight w:val="none"/>
        </w:rPr>
        <w:t>磋商文件</w:t>
      </w:r>
    </w:p>
    <w:p w14:paraId="0E63769C">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54" w:name="_Toc16938526"/>
      <w:bookmarkStart w:id="55" w:name="_Toc20823282"/>
      <w:bookmarkStart w:id="56" w:name="_Toc513029210"/>
      <w:r>
        <w:rPr>
          <w:rFonts w:hint="eastAsia" w:ascii="宋体" w:hAnsi="宋体" w:eastAsia="宋体" w:cs="宋体"/>
          <w:b/>
          <w:color w:val="auto"/>
          <w:sz w:val="30"/>
          <w:szCs w:val="30"/>
          <w:highlight w:val="none"/>
        </w:rPr>
        <w:t>6、磋商文件构成</w:t>
      </w:r>
      <w:bookmarkEnd w:id="54"/>
      <w:bookmarkEnd w:id="55"/>
      <w:bookmarkEnd w:id="56"/>
    </w:p>
    <w:p w14:paraId="62312091">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6.1磋商文件由以下部分组成：</w:t>
      </w:r>
    </w:p>
    <w:p w14:paraId="68F29661">
      <w:pPr>
        <w:pStyle w:val="36"/>
        <w:pageBreakBefore w:val="0"/>
        <w:widowControl w:val="0"/>
        <w:spacing w:beforeAutospacing="0" w:afterAutospacing="0" w:line="440" w:lineRule="exact"/>
        <w:ind w:firstLine="480"/>
        <w:jc w:val="both"/>
        <w:rPr>
          <w:rFonts w:hint="eastAsia" w:eastAsia="宋体"/>
          <w:color w:val="auto"/>
          <w:highlight w:val="none"/>
          <w:lang w:eastAsia="zh-CN"/>
        </w:rPr>
      </w:pPr>
      <w:r>
        <w:rPr>
          <w:rFonts w:hint="eastAsia" w:ascii="宋体" w:hAnsi="宋体" w:eastAsia="宋体" w:cs="宋体"/>
          <w:color w:val="auto"/>
          <w:highlight w:val="none"/>
        </w:rPr>
        <w:t>（1）磋商</w:t>
      </w:r>
      <w:r>
        <w:rPr>
          <w:rFonts w:hint="eastAsia" w:ascii="宋体" w:hAnsi="宋体" w:eastAsia="宋体" w:cs="宋体"/>
          <w:color w:val="auto"/>
          <w:highlight w:val="none"/>
          <w:lang w:val="en-US" w:eastAsia="zh-CN"/>
        </w:rPr>
        <w:t>公告</w:t>
      </w:r>
    </w:p>
    <w:p w14:paraId="3CEE6019">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（2）供应商须知</w:t>
      </w:r>
    </w:p>
    <w:p w14:paraId="0840852F">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（3）合同文本</w:t>
      </w:r>
    </w:p>
    <w:p w14:paraId="068C9C81">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（4）采购需求</w:t>
      </w:r>
    </w:p>
    <w:p w14:paraId="0F7ABB72">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（5）</w:t>
      </w:r>
      <w:r>
        <w:rPr>
          <w:rFonts w:ascii="Times New Roman" w:hAnsi="Times New Roman"/>
          <w:color w:val="auto"/>
          <w:highlight w:val="none"/>
        </w:rPr>
        <w:t>评审方法与评审标准</w:t>
      </w:r>
    </w:p>
    <w:p w14:paraId="24B302B8">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（6）响应文件格式</w:t>
      </w:r>
    </w:p>
    <w:p w14:paraId="5AFC7221">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请仔细检查磋商文件是否齐全，如有缺漏请立即与招标代理机构联系解决。</w:t>
      </w:r>
    </w:p>
    <w:p w14:paraId="06F581EC">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3764848">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57" w:name="_Toc462564070"/>
      <w:bookmarkStart w:id="58" w:name="_Toc16938527"/>
      <w:bookmarkStart w:id="59" w:name="_Toc513029211"/>
      <w:bookmarkStart w:id="60" w:name="_Toc20823283"/>
      <w:r>
        <w:rPr>
          <w:rFonts w:hint="eastAsia" w:ascii="宋体" w:hAnsi="宋体" w:eastAsia="宋体" w:cs="宋体"/>
          <w:b/>
          <w:color w:val="auto"/>
          <w:sz w:val="30"/>
          <w:szCs w:val="30"/>
          <w:highlight w:val="none"/>
        </w:rPr>
        <w:t>7、磋商文件的澄清</w:t>
      </w:r>
      <w:bookmarkEnd w:id="57"/>
      <w:bookmarkEnd w:id="58"/>
      <w:bookmarkEnd w:id="59"/>
      <w:bookmarkEnd w:id="60"/>
    </w:p>
    <w:p w14:paraId="0219701F">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7.1 任何要求对磋商文件进行澄清的供应商，应在磋商截止期5日</w:t>
      </w:r>
      <w:r>
        <w:rPr>
          <w:rFonts w:ascii="仿宋_GB2312" w:eastAsia="仿宋_GB2312" w:cs="仿宋_GB2312"/>
          <w:color w:val="auto"/>
          <w:highlight w:val="none"/>
        </w:rPr>
        <w:t>前</w:t>
      </w:r>
      <w:r>
        <w:rPr>
          <w:rFonts w:hint="eastAsia" w:ascii="宋体" w:hAnsi="宋体" w:eastAsia="宋体" w:cs="宋体"/>
          <w:color w:val="auto"/>
          <w:highlight w:val="none"/>
        </w:rPr>
        <w:t>按磋商公告中的通讯地址，以书面形式通知招标代理机构。</w:t>
      </w:r>
    </w:p>
    <w:p w14:paraId="3CA54F32">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61" w:name="_Toc16938528"/>
      <w:bookmarkStart w:id="62" w:name="_Toc513029212"/>
      <w:bookmarkStart w:id="63" w:name="_Toc462564071"/>
      <w:bookmarkStart w:id="64" w:name="_Toc20823284"/>
      <w:r>
        <w:rPr>
          <w:rFonts w:hint="eastAsia" w:ascii="宋体" w:hAnsi="宋体" w:eastAsia="宋体" w:cs="宋体"/>
          <w:b/>
          <w:color w:val="auto"/>
          <w:sz w:val="30"/>
          <w:szCs w:val="30"/>
          <w:highlight w:val="none"/>
        </w:rPr>
        <w:t>8、磋商文件的澄清和修改</w:t>
      </w:r>
      <w:bookmarkEnd w:id="61"/>
      <w:bookmarkEnd w:id="62"/>
      <w:bookmarkEnd w:id="63"/>
      <w:bookmarkEnd w:id="64"/>
    </w:p>
    <w:p w14:paraId="00C78B86">
      <w:pPr>
        <w:pStyle w:val="36"/>
        <w:pageBreakBefore w:val="0"/>
        <w:widowControl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8.1 在响应文件提交截止时间前，采购人可以对磋商文件进行澄清和修改,</w:t>
      </w:r>
      <w:r>
        <w:rPr>
          <w:rFonts w:hint="eastAsia" w:ascii="宋体" w:hAnsi="宋体" w:eastAsia="宋体" w:cs="宋体"/>
          <w:color w:val="auto"/>
          <w:sz w:val="21"/>
          <w:szCs w:val="21"/>
          <w:highlight w:val="none"/>
        </w:rPr>
        <w:t> </w:t>
      </w:r>
      <w:r>
        <w:rPr>
          <w:rFonts w:hint="eastAsia" w:ascii="宋体" w:hAnsi="宋体" w:eastAsia="宋体" w:cs="宋体"/>
          <w:color w:val="auto"/>
          <w:highlight w:val="none"/>
        </w:rPr>
        <w:t>澄清或者修改的内容作为磋商文件的组成部分。澄清或者修改的内容可能影响响应文件编制的，招标代理机构将在提交首次响应文件截止时间至少5日前，在“</w:t>
      </w:r>
      <w:r>
        <w:rPr>
          <w:rFonts w:hint="eastAsia" w:ascii="宋体" w:hAnsi="宋体" w:eastAsia="宋体" w:cs="宋体"/>
          <w:color w:val="auto"/>
          <w:highlight w:val="none"/>
          <w:lang w:val="en-US" w:eastAsia="zh-CN"/>
        </w:rPr>
        <w:t>中国政府采购网</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“江苏政府采购网”、“盐城市政府采购网”上发布书面更正公告形式通知所有获取磋商文件的供应商, 更正公告内容将作为磋商文件的组成部分，并对供应商具有约束力。不足5日的，采购人将顺延提交首次响应文件截止时间。</w:t>
      </w:r>
    </w:p>
    <w:p w14:paraId="477A89DD">
      <w:pPr>
        <w:pStyle w:val="36"/>
        <w:pageBreakBefore w:val="0"/>
        <w:widowControl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8.2采购人可以视采购项目的具体情况，组织供应商进行现场考察或召开磋商前答疑会，但不单独或分别组织只有一个供应商参加的现场考察和答疑会。</w:t>
      </w:r>
    </w:p>
    <w:p w14:paraId="3DEE2E18">
      <w:pPr>
        <w:pStyle w:val="36"/>
        <w:keepNext/>
        <w:keepLines/>
        <w:pageBreakBefore w:val="0"/>
        <w:widowControl w:val="0"/>
        <w:spacing w:beforeAutospacing="0" w:afterAutospacing="0" w:line="440" w:lineRule="exact"/>
        <w:ind w:firstLine="640"/>
        <w:jc w:val="both"/>
        <w:rPr>
          <w:color w:val="auto"/>
          <w:highlight w:val="none"/>
        </w:rPr>
      </w:pPr>
      <w:bookmarkStart w:id="65" w:name="_Toc513029213"/>
      <w:bookmarkStart w:id="66" w:name="_Toc20823285"/>
      <w:bookmarkStart w:id="67" w:name="_Toc120614216"/>
      <w:bookmarkStart w:id="68" w:name="_Toc462564072"/>
      <w:bookmarkStart w:id="69" w:name="_Toc16938529"/>
      <w:r>
        <w:rPr>
          <w:rFonts w:ascii="Times New Roman" w:hAnsi="Times New Roman"/>
          <w:b/>
          <w:color w:val="auto"/>
          <w:sz w:val="32"/>
          <w:szCs w:val="32"/>
          <w:highlight w:val="none"/>
        </w:rPr>
        <w:t>三、响应文件的编制</w:t>
      </w:r>
      <w:bookmarkEnd w:id="65"/>
      <w:bookmarkEnd w:id="66"/>
      <w:bookmarkEnd w:id="67"/>
      <w:bookmarkEnd w:id="68"/>
      <w:bookmarkEnd w:id="69"/>
    </w:p>
    <w:p w14:paraId="40429F17">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70" w:name="_Toc16938530"/>
      <w:bookmarkStart w:id="71" w:name="_Toc462564073"/>
      <w:bookmarkStart w:id="72" w:name="_Toc513029214"/>
      <w:bookmarkStart w:id="73" w:name="_Toc20823286"/>
      <w:r>
        <w:rPr>
          <w:rFonts w:hint="eastAsia" w:ascii="宋体" w:hAnsi="宋体" w:eastAsia="宋体" w:cs="宋体"/>
          <w:b/>
          <w:color w:val="auto"/>
          <w:sz w:val="30"/>
          <w:szCs w:val="30"/>
          <w:highlight w:val="none"/>
        </w:rPr>
        <w:t>9、响应文件的语言及度量衡单位</w:t>
      </w:r>
      <w:bookmarkEnd w:id="70"/>
      <w:bookmarkEnd w:id="71"/>
      <w:bookmarkEnd w:id="72"/>
      <w:bookmarkEnd w:id="73"/>
    </w:p>
    <w:p w14:paraId="1C1E72B8">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9.1供应商提交的响应文件以及供应商与招标代理机构就有关磋商的所有来往通知、函件和文件均应使用</w:t>
      </w:r>
      <w:r>
        <w:rPr>
          <w:rFonts w:hint="eastAsia" w:ascii="宋体" w:hAnsi="宋体" w:eastAsia="宋体" w:cs="宋体"/>
          <w:b/>
          <w:color w:val="auto"/>
          <w:highlight w:val="none"/>
        </w:rPr>
        <w:t>简体中文</w:t>
      </w:r>
      <w:r>
        <w:rPr>
          <w:rFonts w:hint="eastAsia" w:ascii="宋体" w:hAnsi="宋体" w:eastAsia="宋体" w:cs="宋体"/>
          <w:color w:val="auto"/>
          <w:highlight w:val="none"/>
        </w:rPr>
        <w:t>。</w:t>
      </w:r>
    </w:p>
    <w:p w14:paraId="59997C90">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9.2 除技术性能另有规定外，响应文件所使用的度量衡单位，均须采用国家法定计量单位。</w:t>
      </w:r>
    </w:p>
    <w:p w14:paraId="05F1B56E">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74" w:name="_Toc20823287"/>
      <w:bookmarkStart w:id="75" w:name="_Toc462564074"/>
      <w:bookmarkStart w:id="76" w:name="_Toc16938531"/>
      <w:bookmarkStart w:id="77" w:name="_Toc513029215"/>
      <w:r>
        <w:rPr>
          <w:rFonts w:hint="eastAsia" w:ascii="宋体" w:hAnsi="宋体" w:eastAsia="宋体" w:cs="宋体"/>
          <w:b/>
          <w:color w:val="auto"/>
          <w:sz w:val="30"/>
          <w:szCs w:val="30"/>
          <w:highlight w:val="none"/>
        </w:rPr>
        <w:t>10、响应文件构成</w:t>
      </w:r>
      <w:bookmarkEnd w:id="74"/>
      <w:bookmarkEnd w:id="75"/>
      <w:bookmarkEnd w:id="76"/>
      <w:bookmarkEnd w:id="77"/>
    </w:p>
    <w:p w14:paraId="44FD3E25">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10.1供应商编写的响应文件应包括资格证明文件、符合性证明文件、分项报价表、技术要求响应及偏离表、商务要求响应及偏离表、其他证明文件、磋商响应函等部分。</w:t>
      </w:r>
    </w:p>
    <w:p w14:paraId="3080A8C6">
      <w:pPr>
        <w:pStyle w:val="36"/>
        <w:pageBreakBefore w:val="0"/>
        <w:widowControl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10.2 如标书制作工具中格式和内容与“</w:t>
      </w:r>
      <w:r>
        <w:rPr>
          <w:rFonts w:hint="eastAsia" w:ascii="宋体" w:hAnsi="宋体" w:eastAsia="宋体" w:cs="宋体"/>
          <w:color w:val="auto"/>
          <w:highlight w:val="none"/>
          <w:lang w:val="en-US" w:eastAsia="zh-CN"/>
        </w:rPr>
        <w:t>中国政府采购网</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“江苏政府采购网”、“盐城市政府采购网”发布的磋商文件不一致，请以“</w:t>
      </w:r>
      <w:r>
        <w:rPr>
          <w:rFonts w:hint="eastAsia" w:ascii="宋体" w:hAnsi="宋体" w:eastAsia="宋体" w:cs="宋体"/>
          <w:color w:val="auto"/>
          <w:highlight w:val="none"/>
          <w:lang w:val="en-US" w:eastAsia="zh-CN"/>
        </w:rPr>
        <w:t>中国政府采购网</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“江苏政府采购网”、发布的磋商文件为准。</w:t>
      </w:r>
    </w:p>
    <w:p w14:paraId="1AC98025">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78" w:name="_Toc14577355"/>
      <w:bookmarkStart w:id="79" w:name="_Toc513029216"/>
      <w:bookmarkStart w:id="80" w:name="_Toc49090509"/>
      <w:bookmarkStart w:id="81" w:name="_Toc14577357"/>
      <w:bookmarkStart w:id="82" w:name="_Toc49090508"/>
      <w:bookmarkStart w:id="83" w:name="_Toc49090507"/>
      <w:bookmarkStart w:id="84" w:name="_Toc513029219"/>
      <w:bookmarkStart w:id="85" w:name="_Toc14577354"/>
      <w:bookmarkStart w:id="86" w:name="_Hlt26670360"/>
      <w:bookmarkStart w:id="87" w:name="_Hlt26954838"/>
      <w:bookmarkStart w:id="88" w:name="_Hlt26668975"/>
      <w:r>
        <w:rPr>
          <w:rFonts w:hint="eastAsia" w:ascii="宋体" w:hAnsi="宋体" w:eastAsia="宋体" w:cs="宋体"/>
          <w:b/>
          <w:color w:val="auto"/>
          <w:sz w:val="30"/>
          <w:szCs w:val="30"/>
          <w:highlight w:val="none"/>
        </w:rPr>
        <w:t>11、证明磋商响应标的符合磋商文件规定的文件</w:t>
      </w:r>
      <w:bookmarkEnd w:id="78"/>
      <w:bookmarkEnd w:id="79"/>
      <w:bookmarkEnd w:id="80"/>
      <w:bookmarkEnd w:id="81"/>
      <w:bookmarkEnd w:id="82"/>
      <w:bookmarkEnd w:id="83"/>
      <w:bookmarkEnd w:id="84"/>
      <w:bookmarkEnd w:id="85"/>
    </w:p>
    <w:p w14:paraId="0E278772">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11.1供应商应按照磋商文件要求提交证明文件，证明其及磋商响应标的符合磋商文件规定。</w:t>
      </w:r>
    </w:p>
    <w:p w14:paraId="53BB3832">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11.2磋商文件对证明文件无明确形式要求的，证明文件可以以文字资料、图纸和数据等形式提交。</w:t>
      </w:r>
    </w:p>
    <w:p w14:paraId="3B09FBD5">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12、分项报价表</w:t>
      </w:r>
    </w:p>
    <w:p w14:paraId="11500C26">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12.1供应商应按照磋商文件规定格式填报分项报价表。</w:t>
      </w:r>
    </w:p>
    <w:p w14:paraId="68ED0600">
      <w:pPr>
        <w:pStyle w:val="36"/>
        <w:pageBreakBefore w:val="0"/>
        <w:widowControl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12.2磋商货币。响应文件中的单价和总价无特殊规定的采用人民币报价，以元为单位标注。磋商文件中另有规定的按规定执行。</w:t>
      </w:r>
    </w:p>
    <w:p w14:paraId="1F69B68C">
      <w:pPr>
        <w:pStyle w:val="36"/>
        <w:pageBreakBefore w:val="0"/>
        <w:widowControl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12.3其他费用处理</w:t>
      </w:r>
    </w:p>
    <w:p w14:paraId="69007F6F">
      <w:pPr>
        <w:pStyle w:val="36"/>
        <w:pageBreakBefore w:val="0"/>
        <w:widowControl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本次采购磋商供应商的总报价应包括磋商供应商为完成竞争性磋商文件所确定的招标范围内的全部服务工作内容所发生的一切费用。</w:t>
      </w:r>
    </w:p>
    <w:p w14:paraId="5552696D">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89" w:name="_Hlt26670482"/>
      <w:bookmarkStart w:id="90" w:name="_Hlt26954846"/>
      <w:bookmarkStart w:id="91" w:name="_Hlt26954731"/>
      <w:bookmarkStart w:id="92" w:name="_Hlt26954848"/>
      <w:bookmarkStart w:id="93" w:name="_Hlt26670486"/>
      <w:r>
        <w:rPr>
          <w:rFonts w:hint="eastAsia" w:ascii="宋体" w:hAnsi="宋体" w:eastAsia="宋体" w:cs="宋体"/>
          <w:b/>
          <w:color w:val="auto"/>
          <w:sz w:val="30"/>
          <w:szCs w:val="30"/>
          <w:highlight w:val="none"/>
        </w:rPr>
        <w:t>13、技术要求响应及偏离表、商务要求响应及偏离表</w:t>
      </w:r>
    </w:p>
    <w:p w14:paraId="754980B8">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13.1供应商需对磋商文件中的技术要求与商务要求逐项作出响应或偏离，并说明原因。</w:t>
      </w:r>
    </w:p>
    <w:p w14:paraId="3F687586">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13.2供应商可在响应文件中提供认为需要的其他技术文件或说明。</w:t>
      </w:r>
    </w:p>
    <w:p w14:paraId="07CB77D7">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14、服务承诺、培训计划、人员安排及其他</w:t>
      </w:r>
    </w:p>
    <w:p w14:paraId="6166D6F4">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14.1供应商需根据磋商文件要求提供有关售后服务的管理制度，售后服务机构的分布情况，售后服务人员的数量、素质、技术水平及售后服务的反应能力等。</w:t>
      </w:r>
    </w:p>
    <w:p w14:paraId="3ABF9843">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14.2供应商需根据磋商文件要求提供培训计划。</w:t>
      </w:r>
    </w:p>
    <w:p w14:paraId="47B62FA2">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14.3供应商需根据磋商文件要求提供磋商响应标的的主要组成部分、功能设计、实现思路及关键技术等。</w:t>
      </w:r>
    </w:p>
    <w:p w14:paraId="3E22BB46">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94" w:name="_Toc49090510"/>
      <w:bookmarkStart w:id="95" w:name="_Toc14577359"/>
      <w:r>
        <w:rPr>
          <w:rFonts w:hint="eastAsia" w:ascii="宋体" w:hAnsi="宋体" w:eastAsia="宋体" w:cs="宋体"/>
          <w:b/>
          <w:color w:val="auto"/>
          <w:sz w:val="30"/>
          <w:szCs w:val="30"/>
          <w:highlight w:val="none"/>
        </w:rPr>
        <w:t>15、磋商响应函</w:t>
      </w:r>
      <w:bookmarkEnd w:id="94"/>
      <w:bookmarkEnd w:id="95"/>
    </w:p>
    <w:p w14:paraId="47E11FD7">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15.1供应商应按照磋商文件中提供的格式完整、正确填写磋商响应函。</w:t>
      </w:r>
    </w:p>
    <w:p w14:paraId="686C329E">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96" w:name="_Toc49090511"/>
      <w:bookmarkStart w:id="97" w:name="_Toc14577360"/>
      <w:r>
        <w:rPr>
          <w:rFonts w:hint="eastAsia" w:ascii="宋体" w:hAnsi="宋体" w:eastAsia="宋体" w:cs="宋体"/>
          <w:b/>
          <w:color w:val="auto"/>
          <w:sz w:val="30"/>
          <w:szCs w:val="30"/>
          <w:highlight w:val="none"/>
        </w:rPr>
        <w:t>16、磋商有效期</w:t>
      </w:r>
      <w:bookmarkEnd w:id="96"/>
      <w:bookmarkEnd w:id="97"/>
    </w:p>
    <w:p w14:paraId="535E593A">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16.1磋商有效期为招标人规定的提交响应文件截止之日后</w:t>
      </w:r>
      <w:r>
        <w:rPr>
          <w:rFonts w:ascii="仿宋_GB2312" w:eastAsia="仿宋_GB2312" w:cs="仿宋_GB2312"/>
          <w:b/>
          <w:color w:val="auto"/>
          <w:highlight w:val="none"/>
          <w:u w:val="single"/>
        </w:rPr>
        <w:t>六十（60）天</w:t>
      </w:r>
      <w:r>
        <w:rPr>
          <w:rFonts w:hint="eastAsia" w:ascii="宋体" w:hAnsi="宋体" w:eastAsia="宋体" w:cs="宋体"/>
          <w:color w:val="auto"/>
          <w:highlight w:val="none"/>
        </w:rPr>
        <w:t>。磋商有效期比规定短的将被视为非实质性响应磋商文件而予以拒绝。</w:t>
      </w:r>
    </w:p>
    <w:p w14:paraId="4AC2DC07">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17、磋商有效期的延长</w:t>
      </w:r>
    </w:p>
    <w:p w14:paraId="113BE9F3">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17.1在特殊情况下，招标人于原磋商有效期满之前，可向供应商提出延长磋商有效期的要求。这种要求与答复均应采用书面形式。供应商可以拒绝招标人的这一要求而放弃磋商，同意延长磋商有效期的供应商既不能要求也不允许修改其响应文件。受磋商有效期约束的所有权利与义务均延长至新的有效期。</w:t>
      </w:r>
    </w:p>
    <w:p w14:paraId="70D52FB0">
      <w:pPr>
        <w:pStyle w:val="36"/>
        <w:keepNext/>
        <w:keepLines/>
        <w:pageBreakBefore w:val="0"/>
        <w:widowControl w:val="0"/>
        <w:spacing w:beforeAutospacing="0" w:afterAutospacing="0" w:line="440" w:lineRule="exact"/>
        <w:ind w:firstLine="640"/>
        <w:jc w:val="both"/>
        <w:rPr>
          <w:color w:val="auto"/>
          <w:highlight w:val="none"/>
        </w:rPr>
      </w:pPr>
      <w:bookmarkStart w:id="98" w:name="_Toc16938540"/>
      <w:bookmarkStart w:id="99" w:name="_Toc120614217"/>
      <w:bookmarkStart w:id="100" w:name="_Toc20823296"/>
      <w:bookmarkStart w:id="101" w:name="_Toc513029224"/>
      <w:bookmarkStart w:id="102" w:name="_Hlt26954739"/>
      <w:bookmarkStart w:id="103" w:name="_Hlt26954852"/>
      <w:r>
        <w:rPr>
          <w:rFonts w:ascii="Times New Roman" w:hAnsi="Times New Roman"/>
          <w:b/>
          <w:color w:val="auto"/>
          <w:sz w:val="32"/>
          <w:szCs w:val="32"/>
          <w:highlight w:val="none"/>
        </w:rPr>
        <w:t>四、响应文件的递交</w:t>
      </w:r>
      <w:bookmarkEnd w:id="98"/>
      <w:bookmarkEnd w:id="99"/>
      <w:bookmarkEnd w:id="100"/>
      <w:bookmarkEnd w:id="101"/>
    </w:p>
    <w:p w14:paraId="1734E774">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104" w:name="_Toc20823297"/>
      <w:bookmarkStart w:id="105" w:name="_Toc462564084"/>
      <w:bookmarkStart w:id="106" w:name="_Toc16938541"/>
      <w:bookmarkStart w:id="107" w:name="_Toc513029225"/>
      <w:r>
        <w:rPr>
          <w:rFonts w:hint="eastAsia" w:ascii="宋体" w:hAnsi="宋体" w:eastAsia="宋体" w:cs="宋体"/>
          <w:b/>
          <w:color w:val="auto"/>
          <w:sz w:val="30"/>
          <w:szCs w:val="30"/>
          <w:highlight w:val="none"/>
        </w:rPr>
        <w:t>18、电子磋商</w:t>
      </w:r>
      <w:bookmarkEnd w:id="104"/>
      <w:bookmarkEnd w:id="105"/>
      <w:bookmarkEnd w:id="106"/>
      <w:bookmarkEnd w:id="107"/>
      <w:r>
        <w:rPr>
          <w:rFonts w:hint="eastAsia" w:ascii="宋体" w:hAnsi="宋体" w:eastAsia="宋体" w:cs="宋体"/>
          <w:b/>
          <w:color w:val="auto"/>
          <w:sz w:val="30"/>
          <w:szCs w:val="30"/>
          <w:highlight w:val="none"/>
        </w:rPr>
        <w:t>响应文件的递交</w:t>
      </w:r>
    </w:p>
    <w:p w14:paraId="6E5F53D8">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18.1供应商应当按照《操作手册》规定，在提交响应文件截止时间前制作并上传电子响应文件。</w:t>
      </w:r>
      <w:bookmarkStart w:id="108" w:name="_Toc20823298"/>
      <w:bookmarkEnd w:id="108"/>
      <w:bookmarkStart w:id="109" w:name="_Toc16938542"/>
      <w:bookmarkEnd w:id="109"/>
      <w:bookmarkStart w:id="110" w:name="_Toc513029226"/>
    </w:p>
    <w:p w14:paraId="6755878B">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19、提交响应文件截止时间</w:t>
      </w:r>
    </w:p>
    <w:p w14:paraId="6B51312A">
      <w:pPr>
        <w:pStyle w:val="36"/>
        <w:pageBreakBefore w:val="0"/>
        <w:widowControl w:val="0"/>
        <w:spacing w:beforeAutospacing="0" w:afterAutospacing="0" w:line="440" w:lineRule="exact"/>
        <w:ind w:firstLine="480"/>
        <w:jc w:val="both"/>
        <w:rPr>
          <w:i w:val="0"/>
          <w:iCs/>
          <w:color w:val="auto"/>
          <w:highlight w:val="none"/>
        </w:rPr>
      </w:pPr>
      <w:r>
        <w:rPr>
          <w:rFonts w:hint="eastAsia" w:ascii="宋体" w:hAnsi="宋体" w:eastAsia="宋体" w:cs="宋体"/>
          <w:i w:val="0"/>
          <w:iCs/>
          <w:color w:val="auto"/>
          <w:highlight w:val="none"/>
          <w:u w:val="single"/>
        </w:rPr>
        <w:t>19.1供应商上传电子响应文件的时间不得迟于磋商公告中规定的提交响应文件截止时间。</w:t>
      </w:r>
    </w:p>
    <w:p w14:paraId="13E5BBA5">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供应商应充分考虑到网络环境、网络带宽等风险因素，如因供应商自身原因造成的电子响应文件上传不成功的按照本磋商文件第二章第26.3.2条规定做无效响应处理。</w:t>
      </w:r>
    </w:p>
    <w:p w14:paraId="40175539">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19.2 采购人可以按照规定，通过修改磋商文件酌情延长提交响应文件截止日期，在此情况下，供应商的所有权利和义务以及供应商受制的截止日期均应以延长后新的截止日期为准。</w:t>
      </w:r>
    </w:p>
    <w:p w14:paraId="51C269DD">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111" w:name="_Toc16938543"/>
      <w:bookmarkStart w:id="112" w:name="_Toc513029227"/>
      <w:bookmarkStart w:id="113" w:name="_Toc20823299"/>
      <w:r>
        <w:rPr>
          <w:rFonts w:hint="eastAsia" w:ascii="宋体" w:hAnsi="宋体" w:eastAsia="宋体" w:cs="宋体"/>
          <w:b/>
          <w:color w:val="auto"/>
          <w:sz w:val="30"/>
          <w:szCs w:val="30"/>
          <w:highlight w:val="none"/>
        </w:rPr>
        <w:t>20、响应文件</w:t>
      </w:r>
      <w:bookmarkEnd w:id="111"/>
      <w:bookmarkEnd w:id="112"/>
      <w:bookmarkEnd w:id="113"/>
      <w:r>
        <w:rPr>
          <w:rFonts w:hint="eastAsia" w:ascii="宋体" w:hAnsi="宋体" w:eastAsia="宋体" w:cs="宋体"/>
          <w:b/>
          <w:color w:val="auto"/>
          <w:sz w:val="30"/>
          <w:szCs w:val="30"/>
          <w:highlight w:val="none"/>
        </w:rPr>
        <w:t>的拒收</w:t>
      </w:r>
    </w:p>
    <w:p w14:paraId="07AAA1A1">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20.1招标代理机构拒绝接收在其规定的提交响应文件截止时间后上传的任何电子响应文件。</w:t>
      </w:r>
    </w:p>
    <w:p w14:paraId="5D49C488">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114" w:name="_Toc20823300"/>
      <w:bookmarkStart w:id="115" w:name="_Toc16938544"/>
      <w:bookmarkStart w:id="116" w:name="_Toc513029228"/>
      <w:r>
        <w:rPr>
          <w:rFonts w:hint="eastAsia" w:ascii="宋体" w:hAnsi="宋体" w:eastAsia="宋体" w:cs="宋体"/>
          <w:b/>
          <w:color w:val="auto"/>
          <w:sz w:val="30"/>
          <w:szCs w:val="30"/>
          <w:highlight w:val="none"/>
        </w:rPr>
        <w:t>21、响应文件的撤回和修改</w:t>
      </w:r>
      <w:bookmarkEnd w:id="114"/>
      <w:bookmarkEnd w:id="115"/>
      <w:bookmarkEnd w:id="116"/>
    </w:p>
    <w:p w14:paraId="18872A52">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21.1响应文件的撤回</w:t>
      </w:r>
    </w:p>
    <w:p w14:paraId="32C7B322">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21.1.1 电子响应文件的撤回</w:t>
      </w:r>
    </w:p>
    <w:p w14:paraId="7E9695E8">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供应商可在提交响应文件截止时间前，撤回其电子响应文件，具体操作方法见《操作手册》。</w:t>
      </w:r>
    </w:p>
    <w:p w14:paraId="02F0829B">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21.1.2供应商撤回电子响应文件，则认为其不再参与本项目磋商活动。</w:t>
      </w:r>
    </w:p>
    <w:p w14:paraId="429D7912">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21.2响应文件的修改</w:t>
      </w:r>
    </w:p>
    <w:p w14:paraId="063846DE">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供应商可在提交响应文件截止时间前，对其电子响应文件进行修改，具体操作方法见《操作手册》。</w:t>
      </w:r>
    </w:p>
    <w:p w14:paraId="6F06E0E7">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21.3 在提交响应文件截止时间之后，供应商不得对其电子响应文件作任何修改。</w:t>
      </w:r>
    </w:p>
    <w:p w14:paraId="366B536B">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21.4 在提交响应文件截止时间至磋商文件中规定的磋商有效期满之间的这段时间内，供应商不得撤回其响应文件。</w:t>
      </w:r>
    </w:p>
    <w:p w14:paraId="3E7ECE65">
      <w:pPr>
        <w:pStyle w:val="36"/>
        <w:keepNext/>
        <w:keepLines/>
        <w:pageBreakBefore w:val="0"/>
        <w:widowControl w:val="0"/>
        <w:spacing w:beforeAutospacing="0" w:afterAutospacing="0" w:line="440" w:lineRule="exact"/>
        <w:ind w:firstLine="640"/>
        <w:jc w:val="both"/>
        <w:rPr>
          <w:color w:val="auto"/>
          <w:highlight w:val="none"/>
        </w:rPr>
      </w:pPr>
      <w:bookmarkStart w:id="117" w:name="_Toc20823301"/>
      <w:bookmarkStart w:id="118" w:name="_Toc513029229"/>
      <w:bookmarkStart w:id="119" w:name="_Toc120614218"/>
      <w:bookmarkStart w:id="120" w:name="_Toc16938545"/>
      <w:r>
        <w:rPr>
          <w:rFonts w:ascii="Times New Roman" w:hAnsi="Times New Roman"/>
          <w:b/>
          <w:color w:val="auto"/>
          <w:sz w:val="32"/>
          <w:szCs w:val="32"/>
          <w:highlight w:val="none"/>
        </w:rPr>
        <w:t>五、响应文件的解密与评审</w:t>
      </w:r>
      <w:bookmarkEnd w:id="117"/>
      <w:bookmarkEnd w:id="118"/>
      <w:bookmarkEnd w:id="119"/>
      <w:bookmarkEnd w:id="120"/>
    </w:p>
    <w:p w14:paraId="3B8919D7">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121" w:name="_Toc16938546"/>
      <w:bookmarkStart w:id="122" w:name="_Toc513029230"/>
      <w:bookmarkStart w:id="123" w:name="_Toc20823302"/>
      <w:r>
        <w:rPr>
          <w:rFonts w:hint="eastAsia" w:ascii="宋体" w:hAnsi="宋体" w:eastAsia="宋体" w:cs="宋体"/>
          <w:b/>
          <w:color w:val="auto"/>
          <w:sz w:val="30"/>
          <w:szCs w:val="30"/>
          <w:highlight w:val="none"/>
        </w:rPr>
        <w:t>22、</w:t>
      </w:r>
      <w:bookmarkEnd w:id="121"/>
      <w:bookmarkEnd w:id="122"/>
      <w:bookmarkEnd w:id="123"/>
      <w:r>
        <w:rPr>
          <w:rFonts w:hint="eastAsia" w:ascii="宋体" w:hAnsi="宋体" w:eastAsia="宋体" w:cs="宋体"/>
          <w:b/>
          <w:color w:val="auto"/>
          <w:sz w:val="30"/>
          <w:szCs w:val="30"/>
          <w:highlight w:val="none"/>
        </w:rPr>
        <w:t>响应文件解密</w:t>
      </w:r>
    </w:p>
    <w:p w14:paraId="456B7522">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22.1供应商应当按照《操作手册》规定，在苏采云系统规定的时间内对磋商响应文件进行解密。</w:t>
      </w:r>
    </w:p>
    <w:p w14:paraId="38D2E58C">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124" w:name="_Toc20823303"/>
      <w:bookmarkStart w:id="125" w:name="_Toc513029231"/>
      <w:bookmarkStart w:id="126" w:name="_Toc16938547"/>
      <w:r>
        <w:rPr>
          <w:rFonts w:hint="eastAsia" w:ascii="宋体" w:hAnsi="宋体" w:eastAsia="宋体" w:cs="宋体"/>
          <w:b/>
          <w:color w:val="auto"/>
          <w:sz w:val="30"/>
          <w:szCs w:val="30"/>
          <w:highlight w:val="none"/>
        </w:rPr>
        <w:t>23、磋商小组</w:t>
      </w:r>
      <w:bookmarkEnd w:id="124"/>
      <w:bookmarkEnd w:id="125"/>
      <w:bookmarkEnd w:id="126"/>
    </w:p>
    <w:p w14:paraId="1E267934">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23.1招标代理机构将组织磋商小组对响应文件进行评审。磋商小组由采购人代表和有关技术、经济等方面的专家组成，且人员构成符合政府采购有关规定。</w:t>
      </w:r>
    </w:p>
    <w:p w14:paraId="4B7F2288">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23.2磋商小组独立工作，负责评审所有响应文件并确定成交侯选人。</w:t>
      </w:r>
    </w:p>
    <w:p w14:paraId="65C2B360">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24、评审过程的保密与公正</w:t>
      </w:r>
    </w:p>
    <w:p w14:paraId="215BD198">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24.1磋商小组、采购人和招标代理机构工作人员、相关监督人员等与评审工作有关的人员，对评审情况以及在评审过程中获悉的国家秘密、商业秘密负有保密责任。</w:t>
      </w:r>
    </w:p>
    <w:p w14:paraId="42738DF2">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24.2在评审过程中，供应商不得以任何行为影响磋商评审过程，否则其响应文件将被作为无效响应文件。</w:t>
      </w:r>
    </w:p>
    <w:p w14:paraId="2C3E3027">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24.3在项目评审期间，招标代理机构将设专门人员与供应商联系。</w:t>
      </w:r>
    </w:p>
    <w:p w14:paraId="4410C84A">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24.4 采购人、招标代理机构和磋商小组不向未成交的供应商解释未成交原因，也不公布评审过程中的相关细节。</w:t>
      </w:r>
    </w:p>
    <w:p w14:paraId="28E33F32">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127" w:name="_Toc16938548"/>
      <w:bookmarkStart w:id="128" w:name="_Toc20823304"/>
      <w:bookmarkStart w:id="129" w:name="_Toc513029232"/>
      <w:r>
        <w:rPr>
          <w:rFonts w:hint="eastAsia" w:ascii="宋体" w:hAnsi="宋体" w:eastAsia="宋体" w:cs="宋体"/>
          <w:b/>
          <w:color w:val="auto"/>
          <w:sz w:val="30"/>
          <w:szCs w:val="30"/>
          <w:highlight w:val="none"/>
        </w:rPr>
        <w:t>25、评审过程中的的澄清</w:t>
      </w:r>
      <w:bookmarkEnd w:id="127"/>
      <w:bookmarkEnd w:id="128"/>
      <w:bookmarkEnd w:id="129"/>
    </w:p>
    <w:p w14:paraId="6CA9648B">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D8A5A71">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磋商小组并非对每个供应商都作澄清要求。</w:t>
      </w:r>
    </w:p>
    <w:p w14:paraId="4F5E8DF0">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6B21EEEE">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25.3 接到磋商小组澄清、说明和更正要求的供应商如未按规定做出澄清、说明和 更正，其风险由供应商自行承担。</w:t>
      </w:r>
    </w:p>
    <w:p w14:paraId="2164C492">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130" w:name="_Toc513029233"/>
      <w:bookmarkStart w:id="131" w:name="_Toc16938549"/>
      <w:bookmarkStart w:id="132" w:name="_Toc20823305"/>
      <w:r>
        <w:rPr>
          <w:rFonts w:hint="eastAsia" w:ascii="宋体" w:hAnsi="宋体" w:eastAsia="宋体" w:cs="宋体"/>
          <w:b/>
          <w:color w:val="auto"/>
          <w:sz w:val="30"/>
          <w:szCs w:val="30"/>
          <w:highlight w:val="none"/>
        </w:rPr>
        <w:t>26、对响应文件的审</w:t>
      </w:r>
      <w:bookmarkEnd w:id="130"/>
      <w:bookmarkEnd w:id="131"/>
      <w:bookmarkEnd w:id="132"/>
      <w:r>
        <w:rPr>
          <w:rFonts w:hint="eastAsia" w:ascii="宋体" w:hAnsi="宋体" w:eastAsia="宋体" w:cs="宋体"/>
          <w:b/>
          <w:color w:val="auto"/>
          <w:sz w:val="30"/>
          <w:szCs w:val="30"/>
          <w:highlight w:val="none"/>
        </w:rPr>
        <w:t>查</w:t>
      </w:r>
    </w:p>
    <w:p w14:paraId="6B84CDF6">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26.1响应文件审查分为资格审查和符合性审查。</w:t>
      </w:r>
    </w:p>
    <w:p w14:paraId="51EF258F">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26.1.1 资格审查：由磋商小组依据法律法规和磋商文件的规定，对响应文件中的资格证明文件进行审查，以确定供应商是否具备参加磋商的资格。</w:t>
      </w:r>
    </w:p>
    <w:p w14:paraId="0FFD559B">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磋商小组在进行资格审查的同时，将在“信用中国”网站（www.creditchina.gov.cn）查询供应商的信用记录，以确定供应商是否具备磋商资格,查询结果留存并归档。</w:t>
      </w:r>
    </w:p>
    <w:p w14:paraId="3FAA50FB">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2506ED0A">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26.1.2 符合性审查：依据磋商文件的规定，由磋商小组从响应文件的有效性、完整性和对磋商文件的响应程度进行审查，以确定是否对磋商文件的实质性要求作出响应。</w:t>
      </w:r>
    </w:p>
    <w:p w14:paraId="2EFB073A">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26.1.3 未通过资格审查或符合性审查的供应商，磋商小组将在苏采云系统中告知未通过资格审查或符合性审查的原因，评审结束后，磋商小组将不再告知未通过资格审查或符合性审查的原因。</w:t>
      </w:r>
    </w:p>
    <w:p w14:paraId="78F92024">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3536A066">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所谓重大偏离或保留是指与磋商文件规定的实质性要求存在负偏离，或者在实质上与磋商文件不一致，而且限制了合同中买方和招标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E732DE5">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26.3未实质性响应磋商文件的情形</w:t>
      </w:r>
    </w:p>
    <w:p w14:paraId="0BC53095">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26.3.1供应商在苏采云系统规定的时间内未成功解密电子响应文件的。</w:t>
      </w:r>
    </w:p>
    <w:p w14:paraId="20DCCA7C">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26.3.2供应商未按照磋商文件要求上传电子响应文件的。</w:t>
      </w:r>
    </w:p>
    <w:p w14:paraId="2CD7FB4A">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26.3.3同一供应商提交两个（含两个）以上不同的响应文件或者最后报价的。</w:t>
      </w:r>
    </w:p>
    <w:p w14:paraId="07BA0690">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26.3.4供应商不具备磋商文件中规定资格要求的。</w:t>
      </w:r>
    </w:p>
    <w:p w14:paraId="2E3B5639">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26.3.5供应商的最后报价超过了采购预算。</w:t>
      </w:r>
    </w:p>
    <w:p w14:paraId="5514B197">
      <w:pPr>
        <w:pStyle w:val="36"/>
        <w:pageBreakBefore w:val="0"/>
        <w:widowControl w:val="0"/>
        <w:spacing w:beforeAutospacing="0" w:afterAutospacing="0" w:line="440" w:lineRule="exact"/>
        <w:ind w:firstLine="480"/>
        <w:jc w:val="both"/>
        <w:rPr>
          <w:i w:val="0"/>
          <w:iCs/>
          <w:color w:val="auto"/>
          <w:highlight w:val="none"/>
        </w:rPr>
      </w:pPr>
      <w:r>
        <w:rPr>
          <w:rFonts w:hint="eastAsia" w:ascii="宋体" w:hAnsi="宋体" w:eastAsia="宋体" w:cs="宋体"/>
          <w:color w:val="auto"/>
          <w:highlight w:val="none"/>
        </w:rPr>
        <w:t>26.3.6不符合磋商文件中规定的实质性要求和条件的</w:t>
      </w:r>
      <w:r>
        <w:rPr>
          <w:rFonts w:hint="eastAsia" w:ascii="宋体" w:hAnsi="宋体" w:eastAsia="宋体" w:cs="宋体"/>
          <w:i w:val="0"/>
          <w:iCs/>
          <w:color w:val="auto"/>
          <w:highlight w:val="none"/>
          <w:u w:val="single"/>
        </w:rPr>
        <w:t>（本磋商文件中斜体且有下划线部分为实质性要求和条件）。</w:t>
      </w:r>
    </w:p>
    <w:p w14:paraId="54AAB7B6">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F324DED">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26.3.8响应文件含有采购人不能接受的附加条件的。</w:t>
      </w:r>
    </w:p>
    <w:p w14:paraId="70A99F9A">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5428DD74">
      <w:pPr>
        <w:pStyle w:val="36"/>
        <w:pageBreakBefore w:val="0"/>
        <w:widowControl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26.3.10供应商不能证明其报价合理性的，磋商小组应当将其作为无效响应处理。</w:t>
      </w:r>
    </w:p>
    <w:p w14:paraId="5D784FB7">
      <w:pPr>
        <w:pStyle w:val="36"/>
        <w:pageBreakBefore w:val="0"/>
        <w:widowControl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（一）评审过程中出现下列情形之一的，磋商小组应当启动异常低价响应审查程序：</w:t>
      </w:r>
    </w:p>
    <w:p w14:paraId="28A519CD">
      <w:pPr>
        <w:pStyle w:val="36"/>
        <w:pageBreakBefore w:val="0"/>
        <w:widowControl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1.响应报价低于采购项目预算50%的，即响应报价&lt;采购项目预算×50%；</w:t>
      </w:r>
    </w:p>
    <w:p w14:paraId="4D3E0122">
      <w:pPr>
        <w:pStyle w:val="36"/>
        <w:pageBreakBefore w:val="0"/>
        <w:widowControl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2.响应报价低于采购项目最高限价45%的，即响应报价&lt;采购项目最高限价×45%；</w:t>
      </w:r>
    </w:p>
    <w:p w14:paraId="779DBC0F">
      <w:pPr>
        <w:pStyle w:val="36"/>
        <w:pageBreakBefore w:val="0"/>
        <w:widowControl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3.磋商小组认定的供应商报价过低、有可能影响产品质量或者不能诚信履约的其他情形。</w:t>
      </w:r>
    </w:p>
    <w:p w14:paraId="5D461ED8">
      <w:pPr>
        <w:pStyle w:val="36"/>
        <w:pageBreakBefore w:val="0"/>
        <w:widowControl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p>
    <w:p w14:paraId="2F49F222">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26.3.1</w:t>
      </w:r>
      <w:r>
        <w:rPr>
          <w:rFonts w:hint="eastAsia" w:ascii="宋体" w:hAnsi="宋体" w:eastAsia="宋体" w:cs="宋体"/>
          <w:color w:val="auto"/>
          <w:highlight w:val="none"/>
          <w:lang w:val="en-US" w:eastAsia="zh-CN"/>
        </w:rPr>
        <w:t xml:space="preserve">1 </w:t>
      </w:r>
      <w:r>
        <w:rPr>
          <w:rFonts w:hint="eastAsia" w:ascii="宋体" w:hAnsi="宋体" w:eastAsia="宋体" w:cs="宋体"/>
          <w:color w:val="auto"/>
          <w:highlight w:val="none"/>
        </w:rPr>
        <w:t>响应文件未按照磋商文件要求加盖CA电子公章的。</w:t>
      </w:r>
    </w:p>
    <w:p w14:paraId="570E1C6C">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26.4未实质性响应磋商文件的响应文件按无效响应处理。</w:t>
      </w:r>
    </w:p>
    <w:p w14:paraId="7CCA2DA4">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26.5如果响应文件实质上没有响应磋商文件的要求，磋商小组将予以拒绝，供应商不得通过修改或撤销不合要求的偏离或保留而使其成为实质性响应的文件。</w:t>
      </w:r>
    </w:p>
    <w:p w14:paraId="12F138BB">
      <w:pPr>
        <w:pStyle w:val="36"/>
        <w:pageBreakBefore w:val="0"/>
        <w:widowControl w:val="0"/>
        <w:spacing w:beforeAutospacing="0" w:afterAutospacing="0" w:line="440" w:lineRule="exact"/>
        <w:ind w:firstLine="480"/>
        <w:jc w:val="both"/>
        <w:rPr>
          <w:color w:val="auto"/>
          <w:highlight w:val="none"/>
        </w:rPr>
      </w:pPr>
      <w:bookmarkStart w:id="133" w:name="_Toc513029234"/>
      <w:bookmarkStart w:id="134" w:name="_Toc16938550"/>
      <w:bookmarkStart w:id="135" w:name="_Toc20823306"/>
      <w:r>
        <w:rPr>
          <w:rFonts w:hint="eastAsia" w:ascii="宋体" w:hAnsi="宋体" w:eastAsia="宋体" w:cs="宋体"/>
          <w:color w:val="auto"/>
          <w:highlight w:val="none"/>
        </w:rPr>
        <w:t>26.6供应商在项目评审全过程中应保持通讯畅通，并安排专人与招标代理机构及磋商小组联系。</w:t>
      </w:r>
      <w:bookmarkEnd w:id="133"/>
      <w:bookmarkEnd w:id="134"/>
      <w:bookmarkEnd w:id="135"/>
    </w:p>
    <w:p w14:paraId="40FF7D33">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27、磋商程序及评审方法和评审标准</w:t>
      </w:r>
    </w:p>
    <w:p w14:paraId="70A110EB">
      <w:pPr>
        <w:pStyle w:val="36"/>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27.1磋商程序</w:t>
      </w:r>
    </w:p>
    <w:p w14:paraId="1B7F1687">
      <w:pPr>
        <w:pStyle w:val="36"/>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ED78395">
      <w:pPr>
        <w:pStyle w:val="36"/>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02DEE3D9">
      <w:pPr>
        <w:pStyle w:val="36"/>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64943425">
      <w:pPr>
        <w:pageBreakBefore w:val="0"/>
        <w:widowControl w:val="0"/>
        <w:tabs>
          <w:tab w:val="left" w:pos="900"/>
        </w:tabs>
        <w:spacing w:line="440" w:lineRule="exact"/>
        <w:ind w:firstLine="480"/>
        <w:rPr>
          <w:color w:val="auto"/>
          <w:highlight w:val="none"/>
        </w:rPr>
      </w:pPr>
      <w:r>
        <w:rPr>
          <w:rFonts w:hint="eastAsia" w:ascii="宋体" w:hAnsi="宋体" w:eastAsia="宋体" w:cs="宋体"/>
          <w:color w:val="auto"/>
          <w:sz w:val="24"/>
          <w:szCs w:val="32"/>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auto"/>
          <w:sz w:val="24"/>
          <w:highlight w:val="none"/>
        </w:rPr>
        <w:t>(报价分二轮，第一轮报价做在响应文件中；第二轮报价在磋商现场网上填报，二轮报价为最后报价。如果项目需求没有变化，最后报价金额须低于投标人自己第一轮报价的金额，否则价格分为零分)。</w:t>
      </w:r>
    </w:p>
    <w:p w14:paraId="70C6513C">
      <w:pPr>
        <w:pStyle w:val="36"/>
        <w:keepNext w:val="0"/>
        <w:keepLines w:val="0"/>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1BBB72C8">
      <w:pPr>
        <w:pStyle w:val="36"/>
        <w:keepNext w:val="0"/>
        <w:keepLines w:val="0"/>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8CCAC9E">
      <w:pPr>
        <w:pStyle w:val="36"/>
        <w:keepNext w:val="0"/>
        <w:keepLines w:val="0"/>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27.2 评审方法和评审标准</w:t>
      </w:r>
    </w:p>
    <w:p w14:paraId="346F2E10">
      <w:pPr>
        <w:pStyle w:val="36"/>
        <w:keepNext w:val="0"/>
        <w:keepLines w:val="0"/>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27.2.1评审方法。经磋商确定最终采购需求和提交最后报价的供应商后，由磋商小组采用综合评分法对提交最后报价的供应商的响应文件和最后报价进行综合评分。</w:t>
      </w:r>
    </w:p>
    <w:p w14:paraId="6E979F9A">
      <w:pPr>
        <w:pStyle w:val="36"/>
        <w:keepNext w:val="0"/>
        <w:keepLines w:val="0"/>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4BEA3780">
      <w:pPr>
        <w:pStyle w:val="36"/>
        <w:keepNext w:val="0"/>
        <w:keepLines w:val="0"/>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27.2.2评审标准</w:t>
      </w:r>
    </w:p>
    <w:p w14:paraId="1B9FAECD">
      <w:pPr>
        <w:pStyle w:val="36"/>
        <w:keepNext w:val="0"/>
        <w:keepLines w:val="0"/>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见本磋商文件第五章规定。</w:t>
      </w:r>
    </w:p>
    <w:p w14:paraId="6522FFC2">
      <w:pPr>
        <w:pStyle w:val="36"/>
        <w:keepNext w:val="0"/>
        <w:keepLines w:val="0"/>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27.3采购活动终止的情况</w:t>
      </w:r>
    </w:p>
    <w:p w14:paraId="5C739AED">
      <w:pPr>
        <w:pStyle w:val="36"/>
        <w:keepNext w:val="0"/>
        <w:keepLines w:val="0"/>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出现下列情形之一的，本次竞争性磋商采购活动将被终止：</w:t>
      </w:r>
    </w:p>
    <w:p w14:paraId="7C09A019">
      <w:pPr>
        <w:pStyle w:val="36"/>
        <w:keepNext w:val="0"/>
        <w:keepLines w:val="0"/>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27.3.1因情况变化，不再符合规定的竞争性磋商采购方式适用情形的。</w:t>
      </w:r>
    </w:p>
    <w:p w14:paraId="290E713B">
      <w:pPr>
        <w:pStyle w:val="36"/>
        <w:keepNext w:val="0"/>
        <w:keepLines w:val="0"/>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27.3.2出现影响采购公正的违法、违规行为的。</w:t>
      </w:r>
    </w:p>
    <w:p w14:paraId="67711CB7">
      <w:pPr>
        <w:pStyle w:val="36"/>
        <w:keepNext w:val="0"/>
        <w:keepLines w:val="0"/>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27.3.3除本磋商文件第二章第27.1.2条第三款规定的情形外，在采购过程中符合要求的供应商或者最后报价未超过采购预算的供应商不足3家的。</w:t>
      </w:r>
    </w:p>
    <w:p w14:paraId="51AC5243">
      <w:pPr>
        <w:pStyle w:val="36"/>
        <w:keepNext w:val="0"/>
        <w:keepLines w:val="0"/>
        <w:pageBreakBefore w:val="0"/>
        <w:widowControl w:val="0"/>
        <w:tabs>
          <w:tab w:val="left" w:pos="901"/>
        </w:tabs>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27.3.4在苏采云系统规定时间内成功解密电子响应文件的供应商不足3家的。</w:t>
      </w:r>
    </w:p>
    <w:p w14:paraId="641223CE">
      <w:pPr>
        <w:pStyle w:val="36"/>
        <w:keepNext/>
        <w:keepLines/>
        <w:pageBreakBefore w:val="0"/>
        <w:widowControl w:val="0"/>
        <w:spacing w:beforeAutospacing="0" w:afterAutospacing="0" w:line="440" w:lineRule="exact"/>
        <w:ind w:firstLine="640"/>
        <w:jc w:val="both"/>
        <w:rPr>
          <w:color w:val="auto"/>
          <w:highlight w:val="none"/>
        </w:rPr>
      </w:pPr>
      <w:bookmarkStart w:id="136" w:name="_Toc513029235"/>
      <w:bookmarkStart w:id="137" w:name="_Toc16938551"/>
      <w:bookmarkStart w:id="138" w:name="_Toc120614219"/>
      <w:bookmarkStart w:id="139" w:name="_Toc20823307"/>
      <w:r>
        <w:rPr>
          <w:rFonts w:ascii="Times New Roman" w:hAnsi="Times New Roman"/>
          <w:b/>
          <w:color w:val="auto"/>
          <w:sz w:val="32"/>
          <w:szCs w:val="32"/>
          <w:highlight w:val="none"/>
        </w:rPr>
        <w:t>六、</w:t>
      </w:r>
      <w:bookmarkEnd w:id="136"/>
      <w:bookmarkEnd w:id="137"/>
      <w:bookmarkEnd w:id="138"/>
      <w:bookmarkEnd w:id="139"/>
      <w:r>
        <w:rPr>
          <w:rFonts w:ascii="Times New Roman" w:hAnsi="Times New Roman"/>
          <w:b/>
          <w:color w:val="auto"/>
          <w:sz w:val="32"/>
          <w:szCs w:val="32"/>
          <w:highlight w:val="none"/>
        </w:rPr>
        <w:t>成交</w:t>
      </w:r>
    </w:p>
    <w:p w14:paraId="2BF381F1">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140" w:name="_Toc20823310"/>
      <w:bookmarkStart w:id="141" w:name="_Toc16938554"/>
      <w:bookmarkStart w:id="142" w:name="_Toc513029238"/>
      <w:r>
        <w:rPr>
          <w:rFonts w:hint="eastAsia" w:ascii="宋体" w:hAnsi="宋体" w:eastAsia="宋体" w:cs="宋体"/>
          <w:b/>
          <w:color w:val="auto"/>
          <w:sz w:val="30"/>
          <w:szCs w:val="30"/>
          <w:highlight w:val="none"/>
        </w:rPr>
        <w:t>28、</w:t>
      </w:r>
      <w:bookmarkEnd w:id="140"/>
      <w:r>
        <w:rPr>
          <w:rFonts w:hint="eastAsia" w:ascii="宋体" w:hAnsi="宋体" w:eastAsia="宋体" w:cs="宋体"/>
          <w:b/>
          <w:color w:val="auto"/>
          <w:sz w:val="30"/>
          <w:szCs w:val="30"/>
          <w:highlight w:val="none"/>
        </w:rPr>
        <w:t>确定</w:t>
      </w:r>
      <w:bookmarkEnd w:id="141"/>
      <w:bookmarkEnd w:id="142"/>
      <w:r>
        <w:rPr>
          <w:rFonts w:hint="eastAsia" w:ascii="宋体" w:hAnsi="宋体" w:eastAsia="宋体" w:cs="宋体"/>
          <w:b/>
          <w:color w:val="auto"/>
          <w:sz w:val="30"/>
          <w:szCs w:val="30"/>
          <w:highlight w:val="none"/>
        </w:rPr>
        <w:t>成交单位</w:t>
      </w:r>
    </w:p>
    <w:p w14:paraId="08D94E8E">
      <w:pPr>
        <w:pStyle w:val="36"/>
        <w:pageBreakBefore w:val="0"/>
        <w:widowControl w:val="0"/>
        <w:tabs>
          <w:tab w:val="left" w:pos="901"/>
        </w:tabs>
        <w:spacing w:beforeAutospacing="0" w:afterAutospacing="0" w:line="44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7779BDC4">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E9E7742">
      <w:pPr>
        <w:pStyle w:val="36"/>
        <w:pageBreakBefore w:val="0"/>
        <w:widowControl w:val="0"/>
        <w:spacing w:beforeAutospacing="0" w:afterAutospacing="0" w:line="440" w:lineRule="exact"/>
        <w:ind w:firstLine="480"/>
        <w:jc w:val="both"/>
        <w:rPr>
          <w:b/>
          <w:bCs/>
          <w:color w:val="auto"/>
          <w:highlight w:val="none"/>
        </w:rPr>
      </w:pPr>
      <w:r>
        <w:rPr>
          <w:rFonts w:hint="eastAsia" w:ascii="宋体" w:hAnsi="宋体" w:eastAsia="宋体" w:cs="宋体"/>
          <w:color w:val="auto"/>
          <w:highlight w:val="none"/>
        </w:rPr>
        <w:t>28.2采购人从评审报告提出的成交候选供应商中，按照排序由高到低的原则确定成交供应商。采购人确定成交供应商后，</w:t>
      </w:r>
      <w:r>
        <w:rPr>
          <w:rFonts w:hint="eastAsia" w:ascii="宋体" w:hAnsi="宋体" w:eastAsia="宋体" w:cs="宋体"/>
          <w:b/>
          <w:bCs/>
          <w:color w:val="auto"/>
          <w:highlight w:val="none"/>
        </w:rPr>
        <w:t>招标代理机构将在“江苏政府采购网”、发布成交结果公告，公告期限为1个工作日。</w:t>
      </w:r>
    </w:p>
    <w:p w14:paraId="2E449EE0">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28.3若有充分证据证明，成交供应商出现下列情况之一的，一经查实，将被取消成交资格：</w:t>
      </w:r>
    </w:p>
    <w:p w14:paraId="4FC7A527">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28.3.1提供虚假材料谋取成交的。</w:t>
      </w:r>
    </w:p>
    <w:p w14:paraId="152E30E5">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28.3.2与评审专家、采购人、其他供应商或者招标代理机构工作人员恶意串通的。</w:t>
      </w:r>
    </w:p>
    <w:p w14:paraId="645E268F">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28.3.3向评审专家、采购人或招标代理机构工作人员行贿或者提供其他不正当利益的。</w:t>
      </w:r>
    </w:p>
    <w:p w14:paraId="0A3E99E2">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28.3.4恶意竞争，最后报价明显低于其自身合理成本且又无法提供证明的。</w:t>
      </w:r>
    </w:p>
    <w:p w14:paraId="11165D8E">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28.3.5不满足本磋商文件规定的实质性要求，但在评审过程中又未被磋商小组发现的。</w:t>
      </w:r>
    </w:p>
    <w:p w14:paraId="63BD1699">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28.3.6成交后无正当理由拒不与采购人签订政府采购合同或者未按照磋商文件确定的事项签订政府采购合同的。</w:t>
      </w:r>
    </w:p>
    <w:p w14:paraId="5419ECF8">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28.3.7将政府采购合同转包的。</w:t>
      </w:r>
    </w:p>
    <w:p w14:paraId="65B210FF">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143" w:name="_Toc200451960"/>
      <w:r>
        <w:rPr>
          <w:rFonts w:hint="eastAsia" w:ascii="宋体" w:hAnsi="宋体" w:eastAsia="宋体" w:cs="宋体"/>
          <w:b/>
          <w:color w:val="auto"/>
          <w:sz w:val="30"/>
          <w:szCs w:val="30"/>
          <w:highlight w:val="none"/>
        </w:rPr>
        <w:t>29、质疑处理</w:t>
      </w:r>
      <w:bookmarkEnd w:id="143"/>
    </w:p>
    <w:p w14:paraId="27108BCD">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29.1 提出质疑的供应商应当是参与所质疑项目采购活动的供应商。潜在供应商依法获取其可质疑的采购文件的，可以对采购文件提出质疑。</w:t>
      </w:r>
    </w:p>
    <w:p w14:paraId="013349E8">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29.4条款的规定向招标代理机构或采购人提出质疑。上述应知其权益受到损害之日，是指：</w:t>
      </w:r>
    </w:p>
    <w:p w14:paraId="60496714">
      <w:pPr>
        <w:pStyle w:val="36"/>
        <w:pageBreakBefore w:val="0"/>
        <w:widowControl w:val="0"/>
        <w:spacing w:beforeAutospacing="0" w:afterAutospacing="0" w:line="440" w:lineRule="exact"/>
        <w:ind w:firstLine="480"/>
        <w:jc w:val="both"/>
        <w:rPr>
          <w:rFonts w:hint="eastAsia" w:ascii="Times New Roman" w:hAnsi="Times New Roman" w:eastAsiaTheme="minorEastAsia"/>
          <w:color w:val="auto"/>
          <w:highlight w:val="none"/>
          <w:lang w:eastAsia="zh-CN"/>
        </w:rPr>
      </w:pPr>
      <w:r>
        <w:rPr>
          <w:rFonts w:hint="eastAsia" w:ascii="宋体" w:hAnsi="宋体" w:eastAsia="宋体" w:cs="宋体"/>
          <w:color w:val="auto"/>
          <w:highlight w:val="none"/>
        </w:rPr>
        <w:t>29.2.1</w:t>
      </w:r>
      <w:r>
        <w:rPr>
          <w:rFonts w:ascii="Times New Roman" w:hAnsi="Times New Roman"/>
          <w:color w:val="auto"/>
          <w:highlight w:val="none"/>
        </w:rPr>
        <w:t>对可以质疑的采购文件提出质疑的，为收到采购文件之日或者采购文件公告期限届满之日。</w:t>
      </w:r>
    </w:p>
    <w:p w14:paraId="271BE68B">
      <w:pPr>
        <w:pStyle w:val="36"/>
        <w:pageBreakBefore w:val="0"/>
        <w:widowControl w:val="0"/>
        <w:spacing w:beforeAutospacing="0" w:afterAutospacing="0" w:line="440" w:lineRule="exact"/>
        <w:ind w:firstLine="480"/>
        <w:jc w:val="both"/>
        <w:rPr>
          <w:rFonts w:hint="eastAsia" w:ascii="Times New Roman" w:hAnsi="Times New Roman" w:eastAsiaTheme="minorEastAsia"/>
          <w:color w:val="auto"/>
          <w:highlight w:val="none"/>
          <w:lang w:eastAsia="zh-CN"/>
        </w:rPr>
      </w:pPr>
      <w:r>
        <w:rPr>
          <w:rFonts w:hint="eastAsia" w:ascii="宋体" w:hAnsi="宋体" w:eastAsia="宋体" w:cs="宋体"/>
          <w:color w:val="auto"/>
          <w:highlight w:val="none"/>
        </w:rPr>
        <w:t>29.2.2</w:t>
      </w:r>
      <w:r>
        <w:rPr>
          <w:rFonts w:ascii="Times New Roman" w:hAnsi="Times New Roman"/>
          <w:color w:val="auto"/>
          <w:highlight w:val="none"/>
        </w:rPr>
        <w:t>对采购过程提出质疑的，为各采购程序环节结束之日。</w:t>
      </w:r>
    </w:p>
    <w:p w14:paraId="39E937FB">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29.2.3</w:t>
      </w:r>
      <w:r>
        <w:rPr>
          <w:rFonts w:ascii="Times New Roman" w:hAnsi="Times New Roman"/>
          <w:color w:val="auto"/>
          <w:highlight w:val="none"/>
        </w:rPr>
        <w:t>对成交结果提出质疑的，为成交结果公告期限届满之日。</w:t>
      </w:r>
    </w:p>
    <w:p w14:paraId="4A991598">
      <w:pPr>
        <w:pStyle w:val="36"/>
        <w:pageBreakBefore w:val="0"/>
        <w:widowControl w:val="0"/>
        <w:spacing w:beforeAutospacing="0" w:afterAutospacing="0" w:line="440" w:lineRule="exact"/>
        <w:ind w:firstLine="480"/>
        <w:jc w:val="both"/>
        <w:rPr>
          <w:color w:val="auto"/>
          <w:highlight w:val="none"/>
        </w:rPr>
      </w:pPr>
      <w:r>
        <w:rPr>
          <w:rFonts w:ascii="Times New Roman" w:hAnsi="Times New Roman"/>
          <w:color w:val="auto"/>
          <w:highlight w:val="none"/>
        </w:rPr>
        <w:t>供应商应当在法定质疑期内一次性提出针对同一采购程序环节的质疑。供应商如在法定期限内对同一采购程序环节提出多次质疑的，采购人将只对供应商第一次质疑作出答复。</w:t>
      </w:r>
    </w:p>
    <w:p w14:paraId="2C9AB706">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57C5FFA2">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29.4 供应商（含潜在供应商）对采购方式、采购需求、供应商资格条件、评审方法与评审标准、合同文本的询问、质疑请向采购人提出，由采购人负责答复。供应商对其他事项的询问、质疑请向采购人提出，由采购人负责答复。</w:t>
      </w:r>
    </w:p>
    <w:p w14:paraId="7876069D">
      <w:pPr>
        <w:pStyle w:val="36"/>
        <w:pageBreakBefore w:val="0"/>
        <w:widowControl w:val="0"/>
        <w:spacing w:beforeAutospacing="0" w:afterAutospacing="0" w:line="440" w:lineRule="exact"/>
        <w:ind w:firstLine="480"/>
        <w:jc w:val="both"/>
        <w:rPr>
          <w:rFonts w:ascii="宋体" w:hAnsi="宋体" w:eastAsia="宋体" w:cs="宋体"/>
          <w:color w:val="auto"/>
          <w:highlight w:val="none"/>
        </w:rPr>
      </w:pPr>
      <w:r>
        <w:rPr>
          <w:rFonts w:hint="eastAsia" w:ascii="宋体" w:hAnsi="宋体" w:eastAsia="宋体" w:cs="宋体"/>
          <w:color w:val="auto"/>
          <w:highlight w:val="none"/>
        </w:rPr>
        <w:t>采购人只接收以纸质原件形式送达的质疑,采购人不接受未填写快递运单的快件。</w:t>
      </w:r>
    </w:p>
    <w:p w14:paraId="33184B3A">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29.5 以下情形的质疑不予受理</w:t>
      </w:r>
    </w:p>
    <w:p w14:paraId="3EB8C0FF">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29.5.1 内容不符合《政府采购质疑和投诉办法》第十二条规定的质疑。</w:t>
      </w:r>
    </w:p>
    <w:p w14:paraId="5B26736D">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29.5.2 超出政府采购法定期限的质疑。</w:t>
      </w:r>
    </w:p>
    <w:p w14:paraId="41BA4D99">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29.5.3 以传真、电子邮件等方式递交的非原件形式的质疑。</w:t>
      </w:r>
    </w:p>
    <w:p w14:paraId="70117DEA">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29.5.4 未参加磋商活动的供应商或在磋商活动中自身权益未受到损害的供应商所提出的质疑。</w:t>
      </w:r>
    </w:p>
    <w:p w14:paraId="6755DAD6">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29.5.5供应商组成联合体参加磋商，联合体中任何一方或多方未按要求签字、盖章、加盖公章的质疑。</w:t>
      </w:r>
    </w:p>
    <w:p w14:paraId="2A2C258A">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192F2B81">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30、成交通知书</w:t>
      </w:r>
    </w:p>
    <w:p w14:paraId="168568D2">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30.1成交结果确定后，招标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7BEBCA58">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30.2成交通知书将是合同的一个组成部分。对采购人和成交供应商均具有法律效力。成交通知书发出后，采购人改变成交结果的，或者成交供应商放弃成交项目的，应当依法承担法律责任。</w:t>
      </w:r>
    </w:p>
    <w:p w14:paraId="4D94C648">
      <w:pPr>
        <w:pStyle w:val="36"/>
        <w:keepNext/>
        <w:keepLines/>
        <w:pageBreakBefore w:val="0"/>
        <w:widowControl w:val="0"/>
        <w:spacing w:beforeAutospacing="0" w:afterAutospacing="0" w:line="440" w:lineRule="exact"/>
        <w:ind w:firstLine="640"/>
        <w:jc w:val="both"/>
        <w:rPr>
          <w:color w:val="auto"/>
          <w:highlight w:val="none"/>
        </w:rPr>
      </w:pPr>
      <w:bookmarkStart w:id="144" w:name="_Toc120614220"/>
      <w:bookmarkStart w:id="145" w:name="_Toc16938552"/>
      <w:bookmarkStart w:id="146" w:name="_Toc513029236"/>
      <w:bookmarkStart w:id="147" w:name="_Toc20823308"/>
      <w:r>
        <w:rPr>
          <w:rFonts w:ascii="Times New Roman" w:hAnsi="Times New Roman"/>
          <w:b/>
          <w:color w:val="auto"/>
          <w:sz w:val="32"/>
          <w:szCs w:val="32"/>
          <w:highlight w:val="none"/>
        </w:rPr>
        <w:t>七、授予合同</w:t>
      </w:r>
      <w:bookmarkEnd w:id="144"/>
      <w:bookmarkEnd w:id="145"/>
      <w:bookmarkEnd w:id="146"/>
      <w:bookmarkEnd w:id="147"/>
    </w:p>
    <w:p w14:paraId="6F06C6E6">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bookmarkStart w:id="148" w:name="_Toc20823309"/>
      <w:bookmarkStart w:id="149" w:name="_Toc513029237"/>
      <w:bookmarkStart w:id="150" w:name="_Toc16938553"/>
      <w:r>
        <w:rPr>
          <w:rFonts w:hint="eastAsia" w:ascii="宋体" w:hAnsi="宋体" w:eastAsia="宋体" w:cs="宋体"/>
          <w:b/>
          <w:color w:val="auto"/>
          <w:sz w:val="30"/>
          <w:szCs w:val="30"/>
          <w:highlight w:val="none"/>
        </w:rPr>
        <w:t>31. 签订合同</w:t>
      </w:r>
      <w:bookmarkEnd w:id="148"/>
      <w:bookmarkEnd w:id="149"/>
      <w:bookmarkEnd w:id="150"/>
    </w:p>
    <w:p w14:paraId="1A1BB89E">
      <w:pPr>
        <w:pStyle w:val="36"/>
        <w:keepNext/>
        <w:keepLines/>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31.l成交供应商应当在成交通知书发出之日起三十日内</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原则上应在15日内签订采购合同</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，按照磋商文件确定的事项与采购人签订政府采购合同。合同签订之日起2个工作日内公告采购合同。</w:t>
      </w:r>
    </w:p>
    <w:p w14:paraId="578D6886">
      <w:pPr>
        <w:pStyle w:val="36"/>
        <w:keepNext w:val="0"/>
        <w:keepLines w:val="0"/>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31.2磋商文件、成交供应商的响应文件及磋商过程中有关澄清、承诺文件均应作为合同附件。</w:t>
      </w:r>
    </w:p>
    <w:p w14:paraId="4C61B3F5">
      <w:pPr>
        <w:pStyle w:val="36"/>
        <w:pageBreakBefore w:val="0"/>
        <w:widowControl w:val="0"/>
        <w:spacing w:beforeAutospacing="0" w:afterAutospacing="0" w:line="440" w:lineRule="exact"/>
        <w:ind w:firstLine="480"/>
        <w:jc w:val="both"/>
        <w:rPr>
          <w:color w:val="auto"/>
          <w:highlight w:val="none"/>
        </w:rPr>
      </w:pPr>
      <w:r>
        <w:rPr>
          <w:rFonts w:hint="eastAsia" w:ascii="宋体" w:hAnsi="宋体" w:eastAsia="宋体" w:cs="宋体"/>
          <w:color w:val="auto"/>
          <w:highlight w:val="none"/>
        </w:rPr>
        <w:t>31.3 签订合同后，</w:t>
      </w:r>
      <w:r>
        <w:rPr>
          <w:rFonts w:hint="eastAsia" w:ascii="宋体" w:hAnsi="宋体" w:eastAsia="宋体" w:cs="宋体"/>
          <w:i w:val="0"/>
          <w:iCs/>
          <w:color w:val="auto"/>
          <w:highlight w:val="none"/>
          <w:u w:val="single"/>
        </w:rPr>
        <w:t>成交供应商不得将合同标的进行转包</w:t>
      </w:r>
      <w:r>
        <w:rPr>
          <w:rFonts w:hint="eastAsia" w:ascii="宋体" w:hAnsi="宋体" w:eastAsia="宋体" w:cs="宋体"/>
          <w:color w:val="auto"/>
          <w:highlight w:val="none"/>
        </w:rPr>
        <w:t>。未经采购人同意，成交供应商也不得采用分包形式履行合同,否则采购人有权终止合同。转包或分包造成采购人损失的，成交供应商应承担相应赔偿责任。</w:t>
      </w:r>
    </w:p>
    <w:p w14:paraId="272F36B9">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32、标的物的追加</w:t>
      </w:r>
    </w:p>
    <w:p w14:paraId="440FD55B">
      <w:pPr>
        <w:pStyle w:val="36"/>
        <w:pageBreakBefore w:val="0"/>
        <w:widowControl w:val="0"/>
        <w:spacing w:beforeAutospacing="0" w:afterAutospacing="0" w:line="440" w:lineRule="exac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067D5D3F">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 xml:space="preserve">33、收费 </w:t>
      </w:r>
    </w:p>
    <w:p w14:paraId="5F406FCA">
      <w:pPr>
        <w:keepNext w:val="0"/>
        <w:keepLines w:val="0"/>
        <w:pageBreakBefore w:val="0"/>
        <w:widowControl w:val="0"/>
        <w:spacing w:line="440" w:lineRule="exact"/>
        <w:ind w:firstLine="480"/>
        <w:rPr>
          <w:rFonts w:hint="eastAsia" w:ascii="宋体" w:hAnsi="宋体" w:cs="Times New Roman"/>
          <w:color w:val="auto"/>
          <w:sz w:val="24"/>
          <w:szCs w:val="24"/>
          <w:highlight w:val="none"/>
        </w:rPr>
      </w:pPr>
      <w:r>
        <w:rPr>
          <w:rFonts w:hint="eastAsia" w:ascii="宋体" w:hAnsi="宋体" w:eastAsia="宋体" w:cs="宋体"/>
          <w:color w:val="auto"/>
          <w:sz w:val="24"/>
          <w:szCs w:val="24"/>
          <w:highlight w:val="none"/>
          <w:lang w:val="en-US" w:eastAsia="zh-CN" w:bidi="ar-SA"/>
        </w:rPr>
        <w:t>33.1</w:t>
      </w:r>
      <w:r>
        <w:rPr>
          <w:rFonts w:hint="eastAsia" w:ascii="宋体" w:hAnsi="宋体" w:cs="Times New Roman"/>
          <w:color w:val="auto"/>
          <w:sz w:val="24"/>
          <w:szCs w:val="24"/>
          <w:highlight w:val="none"/>
        </w:rPr>
        <w:t>收费标准：</w:t>
      </w:r>
      <w:r>
        <w:rPr>
          <w:rFonts w:hint="eastAsia" w:ascii="宋体" w:hAnsi="宋体" w:eastAsia="宋体" w:cs="Times New Roman"/>
          <w:color w:val="auto"/>
          <w:sz w:val="24"/>
          <w:szCs w:val="24"/>
          <w:highlight w:val="none"/>
          <w:lang w:val="en-US" w:eastAsia="zh-CN"/>
        </w:rPr>
        <w:t>本次</w:t>
      </w:r>
      <w:r>
        <w:rPr>
          <w:rFonts w:hint="eastAsia" w:ascii="宋体" w:hAnsi="宋体" w:cs="Times New Roman"/>
          <w:color w:val="auto"/>
          <w:sz w:val="24"/>
          <w:szCs w:val="24"/>
          <w:highlight w:val="none"/>
        </w:rPr>
        <w:t>招标的代理服务费按苏政采协【2024】20号文规定标准计取</w:t>
      </w:r>
      <w:r>
        <w:rPr>
          <w:rFonts w:hint="eastAsia" w:ascii="宋体" w:hAnsi="宋体" w:eastAsia="宋体" w:cs="Times New Roman"/>
          <w:color w:val="auto"/>
          <w:sz w:val="24"/>
          <w:szCs w:val="24"/>
          <w:highlight w:val="none"/>
          <w:lang w:eastAsia="zh-CN"/>
        </w:rPr>
        <w:t>，</w:t>
      </w:r>
      <w:r>
        <w:rPr>
          <w:rFonts w:hint="eastAsia" w:ascii="宋体" w:hAnsi="宋体" w:eastAsia="宋体" w:cs="宋体"/>
          <w:color w:val="auto"/>
          <w:sz w:val="24"/>
          <w:szCs w:val="24"/>
          <w:highlight w:val="none"/>
          <w:lang w:val="en-US" w:eastAsia="zh-CN" w:bidi="ar-SA"/>
        </w:rPr>
        <w:t>由中标单位向招标代理机构支付。</w:t>
      </w:r>
    </w:p>
    <w:p w14:paraId="03E6FEA7">
      <w:pPr>
        <w:keepNext w:val="0"/>
        <w:keepLines w:val="0"/>
        <w:pageBreakBefore w:val="0"/>
        <w:widowControl w:val="0"/>
        <w:spacing w:line="440" w:lineRule="exact"/>
        <w:ind w:firstLine="480"/>
        <w:rPr>
          <w:rFonts w:hint="eastAsia" w:ascii="黑体" w:hAnsi="宋体" w:eastAsia="黑体" w:cs="Times New Roman"/>
          <w:bCs/>
          <w:color w:val="auto"/>
          <w:sz w:val="30"/>
          <w:szCs w:val="30"/>
          <w:highlight w:val="none"/>
          <w:lang w:val="en-US" w:eastAsia="zh-CN" w:bidi="ar-SA"/>
        </w:rPr>
      </w:pPr>
      <w:r>
        <w:rPr>
          <w:rFonts w:hint="eastAsia" w:ascii="宋体" w:hAnsi="宋体" w:cs="Times New Roman"/>
          <w:color w:val="auto"/>
          <w:sz w:val="24"/>
          <w:szCs w:val="24"/>
          <w:highlight w:val="none"/>
        </w:rPr>
        <w:t>收款帐户为：</w:t>
      </w:r>
      <w:r>
        <w:rPr>
          <w:rFonts w:hint="eastAsia" w:ascii="宋体" w:hAnsi="宋体" w:cs="Times New Roman"/>
          <w:color w:val="auto"/>
          <w:sz w:val="24"/>
          <w:szCs w:val="24"/>
          <w:highlight w:val="none"/>
          <w:lang w:val="en-US" w:eastAsia="zh-CN"/>
        </w:rPr>
        <w:t>盐城现代建设工程项目管理有限公司</w:t>
      </w:r>
      <w:r>
        <w:rPr>
          <w:rFonts w:hint="eastAsia" w:ascii="宋体" w:hAnsi="宋体" w:cs="Times New Roman"/>
          <w:color w:val="auto"/>
          <w:sz w:val="24"/>
          <w:szCs w:val="24"/>
          <w:highlight w:val="none"/>
        </w:rPr>
        <w:t>，开户行：</w:t>
      </w:r>
      <w:r>
        <w:rPr>
          <w:rFonts w:hint="eastAsia" w:ascii="宋体" w:hAnsi="宋体" w:cs="Times New Roman"/>
          <w:color w:val="auto"/>
          <w:sz w:val="24"/>
          <w:szCs w:val="24"/>
          <w:highlight w:val="none"/>
          <w:lang w:val="en-US" w:eastAsia="zh-CN"/>
        </w:rPr>
        <w:t>江苏射阳农村商业银行股份有限公司黄海支行</w:t>
      </w:r>
      <w:r>
        <w:rPr>
          <w:rFonts w:hint="eastAsia" w:ascii="宋体" w:hAnsi="宋体" w:cs="Times New Roman"/>
          <w:color w:val="auto"/>
          <w:sz w:val="24"/>
          <w:szCs w:val="24"/>
          <w:highlight w:val="none"/>
        </w:rPr>
        <w:t>，账号：</w:t>
      </w:r>
      <w:r>
        <w:rPr>
          <w:rFonts w:hint="eastAsia" w:ascii="宋体" w:hAnsi="宋体" w:cs="Times New Roman"/>
          <w:color w:val="auto"/>
          <w:sz w:val="24"/>
          <w:szCs w:val="24"/>
          <w:highlight w:val="none"/>
          <w:lang w:val="en-US" w:eastAsia="zh-CN"/>
        </w:rPr>
        <w:t>3209243001201000000375。</w:t>
      </w:r>
    </w:p>
    <w:p w14:paraId="51DDC36F">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3</w:t>
      </w:r>
      <w:r>
        <w:rPr>
          <w:rFonts w:hint="eastAsia" w:ascii="宋体" w:hAnsi="宋体" w:eastAsia="宋体" w:cs="宋体"/>
          <w:b/>
          <w:color w:val="auto"/>
          <w:sz w:val="30"/>
          <w:szCs w:val="30"/>
          <w:highlight w:val="none"/>
          <w:lang w:val="en-US" w:eastAsia="zh-CN"/>
        </w:rPr>
        <w:t>4</w:t>
      </w:r>
      <w:r>
        <w:rPr>
          <w:rFonts w:hint="eastAsia" w:ascii="宋体" w:hAnsi="宋体" w:eastAsia="宋体" w:cs="宋体"/>
          <w:b/>
          <w:color w:val="auto"/>
          <w:sz w:val="30"/>
          <w:szCs w:val="30"/>
          <w:highlight w:val="none"/>
          <w:lang w:eastAsia="zh-CN"/>
        </w:rPr>
        <w:t>、</w:t>
      </w:r>
      <w:r>
        <w:rPr>
          <w:rFonts w:hint="eastAsia" w:ascii="宋体" w:hAnsi="宋体" w:eastAsia="宋体" w:cs="宋体"/>
          <w:b/>
          <w:color w:val="auto"/>
          <w:sz w:val="30"/>
          <w:szCs w:val="30"/>
          <w:highlight w:val="none"/>
        </w:rPr>
        <w:t>政府采购政策功能落实</w:t>
      </w:r>
    </w:p>
    <w:p w14:paraId="010E0544">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hint="eastAsia" w:ascii="宋体" w:hAnsi="宋体" w:eastAsia="宋体" w:cs="宋体"/>
          <w:color w:val="auto"/>
          <w:sz w:val="24"/>
          <w:highlight w:val="none"/>
          <w:lang w:val="en-US" w:eastAsia="zh-CN"/>
        </w:rPr>
        <w:t>34</w:t>
      </w:r>
      <w:r>
        <w:rPr>
          <w:rFonts w:ascii="宋体" w:hAnsi="宋体" w:eastAsia="宋体" w:cs="宋体"/>
          <w:color w:val="auto"/>
          <w:sz w:val="24"/>
          <w:highlight w:val="none"/>
        </w:rPr>
        <w:t>.1政府采购线上合同信用融资政策</w:t>
      </w:r>
    </w:p>
    <w:p w14:paraId="2A7A0D2D">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ascii="宋体" w:hAnsi="宋体" w:eastAsia="宋体" w:cs="宋体"/>
          <w:color w:val="auto"/>
          <w:sz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p>
    <w:p w14:paraId="71F60F90">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3</w:t>
      </w:r>
      <w:r>
        <w:rPr>
          <w:rFonts w:hint="eastAsia" w:ascii="宋体" w:hAnsi="宋体" w:eastAsia="宋体" w:cs="宋体"/>
          <w:b/>
          <w:color w:val="auto"/>
          <w:sz w:val="30"/>
          <w:szCs w:val="30"/>
          <w:highlight w:val="none"/>
          <w:lang w:val="en-US" w:eastAsia="zh-CN"/>
        </w:rPr>
        <w:t>5</w:t>
      </w:r>
      <w:r>
        <w:rPr>
          <w:rFonts w:hint="eastAsia" w:ascii="宋体" w:hAnsi="宋体" w:eastAsia="宋体" w:cs="宋体"/>
          <w:b/>
          <w:color w:val="auto"/>
          <w:sz w:val="30"/>
          <w:szCs w:val="30"/>
          <w:highlight w:val="none"/>
        </w:rPr>
        <w:t>、履约保证金政策</w:t>
      </w:r>
    </w:p>
    <w:p w14:paraId="4C7D9B01">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ascii="宋体" w:hAnsi="宋体" w:eastAsia="宋体" w:cs="宋体"/>
          <w:color w:val="auto"/>
          <w:sz w:val="24"/>
          <w:highlight w:val="none"/>
        </w:rPr>
        <w:t>确需收取履约保证金的，履约保证金的缴纳形式：</w:t>
      </w:r>
    </w:p>
    <w:p w14:paraId="34A305E5">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ascii="宋体" w:hAnsi="宋体" w:eastAsia="宋体" w:cs="宋体"/>
          <w:color w:val="auto"/>
          <w:sz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5F2C521">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ascii="宋体" w:hAnsi="宋体" w:eastAsia="宋体" w:cs="宋体"/>
          <w:color w:val="auto"/>
          <w:sz w:val="24"/>
          <w:highlight w:val="none"/>
        </w:rPr>
        <w:t> 如以履约保函（保险）形式缴纳履约保证金，供应商可通过政府采购电子履约保函（保险）平台（www.jsdzbh.com）在线申请履约保函（保险）。</w:t>
      </w:r>
    </w:p>
    <w:p w14:paraId="4AB03CFA">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ascii="宋体" w:hAnsi="宋体" w:eastAsia="宋体" w:cs="宋体"/>
          <w:color w:val="auto"/>
          <w:sz w:val="24"/>
          <w:highlight w:val="none"/>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依据《关于在全省政府采购领域推行电子履约保函（保险）的通知》，鼓励供应商自愿使用履约保函（保险）代替缴纳履约保证金）。可以通过政府采购电子履约保函（保险）平台（www.jsdzbh.com）在线申请履约保函（保险）。具体操作流程请按射财库【2021】17号文和射财库【2021】20号文执行。</w:t>
      </w:r>
    </w:p>
    <w:p w14:paraId="1726185D">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3</w:t>
      </w:r>
      <w:r>
        <w:rPr>
          <w:rFonts w:hint="eastAsia" w:ascii="宋体" w:hAnsi="宋体" w:eastAsia="宋体" w:cs="宋体"/>
          <w:b/>
          <w:color w:val="auto"/>
          <w:sz w:val="30"/>
          <w:szCs w:val="30"/>
          <w:highlight w:val="none"/>
          <w:lang w:val="en-US" w:eastAsia="zh-CN"/>
        </w:rPr>
        <w:t>6</w:t>
      </w:r>
      <w:r>
        <w:rPr>
          <w:rFonts w:hint="eastAsia" w:ascii="宋体" w:hAnsi="宋体" w:eastAsia="宋体" w:cs="宋体"/>
          <w:b/>
          <w:color w:val="auto"/>
          <w:sz w:val="30"/>
          <w:szCs w:val="30"/>
          <w:highlight w:val="none"/>
        </w:rPr>
        <w:t>、采购项目需满足的政府采购政策目标和具体支持对象</w:t>
      </w:r>
    </w:p>
    <w:p w14:paraId="0EA64DC7">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hint="eastAsia" w:ascii="宋体" w:hAnsi="宋体" w:eastAsia="宋体" w:cs="宋体"/>
          <w:color w:val="auto"/>
          <w:sz w:val="24"/>
          <w:highlight w:val="none"/>
          <w:lang w:val="en-US" w:eastAsia="zh-CN"/>
        </w:rPr>
        <w:t>36</w:t>
      </w:r>
      <w:r>
        <w:rPr>
          <w:rFonts w:ascii="宋体" w:hAnsi="宋体" w:eastAsia="宋体" w:cs="宋体"/>
          <w:color w:val="auto"/>
          <w:sz w:val="24"/>
          <w:highlight w:val="none"/>
        </w:rPr>
        <w:t>.1政府采购促进中小企业发展，参加投标企业提供《中小企业声明函》（“中小企业划型标准”详见《关于印发中小企业划型标准规定的通知》(工信部联企业〔2011〕300号) 、国家统计局关于印发《统计上大中小微型企业划分办法（2017）》的通知(国统字〔2017〕213号)。</w:t>
      </w:r>
    </w:p>
    <w:p w14:paraId="5D9282D0">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hint="eastAsia" w:ascii="宋体" w:hAnsi="宋体" w:eastAsia="宋体" w:cs="宋体"/>
          <w:color w:val="auto"/>
          <w:sz w:val="24"/>
          <w:highlight w:val="none"/>
          <w:lang w:val="en-US" w:eastAsia="zh-CN"/>
        </w:rPr>
        <w:t>36</w:t>
      </w:r>
      <w:r>
        <w:rPr>
          <w:rFonts w:ascii="宋体" w:hAnsi="宋体" w:eastAsia="宋体" w:cs="宋体"/>
          <w:color w:val="auto"/>
          <w:sz w:val="24"/>
          <w:highlight w:val="none"/>
        </w:rPr>
        <w:t>.2政府采购支持监狱和戒毒企业发展，监狱和戒毒企业视同小微企业，参加投标的监狱和戒毒企业，应当提供由省级以上监狱管理局、戒毒管理局（含新疆生产建设兵团）出具的属于监狱企业的证明文件，监狱和戒毒企业享受政府采购支持政策的要求详见《财政部司法部关于政府采购支持监狱企业发展有关问题的通知》（财库〔2014〕68号）。</w:t>
      </w:r>
    </w:p>
    <w:p w14:paraId="359A5F9A">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3政府采购促进残疾人就业，残疾人福利性单位视同小微企业，参加投标的残疾人福利性单位应当提供《残疾人福利性单位声明函》，残疾人福利性单位享受政府采购支持政策的要求详见《关于促进残疾人就业政府采购政策的通知》（财库〔2017〕141号）。</w:t>
      </w:r>
    </w:p>
    <w:p w14:paraId="40B88850">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.4强制采购节能产品、信息安全产品，优先采购环境标志产品。依据《财政部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复印件）。投标人提供的产品属于信息安全产品的，应当提供由中国信息安全认证中心按国家标准认证颁发的有效认证证书（复印件）。</w:t>
      </w:r>
    </w:p>
    <w:p w14:paraId="79B67E26">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 xml:space="preserve">.5政府采购落实信用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p>
    <w:p w14:paraId="1493B30D">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hint="eastAsia" w:ascii="宋体" w:hAnsi="宋体" w:eastAsia="宋体" w:cs="宋体"/>
          <w:color w:val="auto"/>
          <w:sz w:val="24"/>
          <w:highlight w:val="none"/>
          <w:lang w:val="en-US" w:eastAsia="zh-CN"/>
        </w:rPr>
        <w:t>36</w:t>
      </w:r>
      <w:r>
        <w:rPr>
          <w:rFonts w:ascii="宋体" w:hAnsi="宋体" w:eastAsia="宋体" w:cs="宋体"/>
          <w:color w:val="auto"/>
          <w:sz w:val="24"/>
          <w:highlight w:val="none"/>
        </w:rPr>
        <w:t>.6政府采购落实“政采贷”政策，依据《关于深入推进政府采购线上合同信用融资工作的通知》（苏财购﹝2021﹞82号）。</w:t>
      </w:r>
    </w:p>
    <w:p w14:paraId="0430B8DC">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7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p>
    <w:p w14:paraId="3DE7871F">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.8政府采购落实（苏财购﹝2022﹞51号）。</w:t>
      </w:r>
    </w:p>
    <w:p w14:paraId="7C0B8C5F">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.9政府采购落实《关于进一步优化政府采购营商环境的通知》（射财库﹝2023﹞23号）。</w:t>
      </w:r>
    </w:p>
    <w:p w14:paraId="08770B85">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.10政府采购落实《江苏省财政厅关于加强政府绿色采购有关事项的通知》 （苏财购﹝2023﹞65号）。</w:t>
      </w:r>
    </w:p>
    <w:p w14:paraId="6BD2E9A2">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ascii="宋体" w:hAnsi="宋体" w:eastAsia="宋体" w:cs="宋体"/>
          <w:color w:val="auto"/>
          <w:sz w:val="24"/>
          <w:highlight w:val="none"/>
        </w:rPr>
        <w:t>3</w:t>
      </w:r>
      <w:r>
        <w:rPr>
          <w:rFonts w:hint="eastAsia" w:ascii="宋体" w:hAnsi="宋体" w:eastAsia="宋体" w:cs="宋体"/>
          <w:color w:val="auto"/>
          <w:sz w:val="24"/>
          <w:highlight w:val="none"/>
          <w:lang w:val="en-US" w:eastAsia="zh-CN"/>
        </w:rPr>
        <w:t>6</w:t>
      </w:r>
      <w:r>
        <w:rPr>
          <w:rFonts w:ascii="宋体" w:hAnsi="宋体" w:eastAsia="宋体" w:cs="宋体"/>
          <w:color w:val="auto"/>
          <w:sz w:val="24"/>
          <w:highlight w:val="none"/>
        </w:rPr>
        <w:t>.11政府采购落实财政部办公厅住房和城乡建设部办公厅工业和信息化部办公厅《关于印发&lt;政府采购支技绿色建材促进建筑品质提升政策项目实施指南&gt;的通知》（财库办﹝2023﹞52号）。</w:t>
      </w:r>
    </w:p>
    <w:p w14:paraId="5E4E51FB">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37</w:t>
      </w:r>
      <w:r>
        <w:rPr>
          <w:rFonts w:hint="eastAsia" w:ascii="宋体" w:hAnsi="宋体" w:eastAsia="宋体" w:cs="宋体"/>
          <w:b/>
          <w:color w:val="auto"/>
          <w:sz w:val="30"/>
          <w:szCs w:val="30"/>
          <w:highlight w:val="none"/>
        </w:rPr>
        <w:t>、踏勘</w:t>
      </w:r>
    </w:p>
    <w:p w14:paraId="7861A757">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hint="eastAsia" w:ascii="宋体" w:hAnsi="宋体" w:eastAsia="宋体" w:cs="宋体"/>
          <w:color w:val="auto"/>
          <w:sz w:val="24"/>
          <w:highlight w:val="none"/>
          <w:lang w:val="en-US" w:eastAsia="zh-CN"/>
        </w:rPr>
        <w:t>37</w:t>
      </w:r>
      <w:r>
        <w:rPr>
          <w:rFonts w:ascii="宋体" w:hAnsi="宋体" w:eastAsia="宋体" w:cs="宋体"/>
          <w:color w:val="auto"/>
          <w:sz w:val="24"/>
          <w:highlight w:val="none"/>
        </w:rPr>
        <w:t>.1供应商自行到项目现场进行踏勘，充分了解位置、情况、规模及任何其它足以影响最终报价的情况，并将本项目可预见的相关费用考虑到最终报价中，成交后采购人可认为本项目可预见费用已包括在最终报价中。任何因忽视或误解项目情况而导致的索赔将不予认可。</w:t>
      </w:r>
    </w:p>
    <w:p w14:paraId="3224576D">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hint="eastAsia" w:ascii="宋体" w:hAnsi="宋体" w:eastAsia="宋体" w:cs="宋体"/>
          <w:color w:val="auto"/>
          <w:sz w:val="24"/>
          <w:highlight w:val="none"/>
          <w:lang w:val="en-US" w:eastAsia="zh-CN"/>
        </w:rPr>
        <w:t>37</w:t>
      </w:r>
      <w:r>
        <w:rPr>
          <w:rFonts w:ascii="宋体" w:hAnsi="宋体" w:eastAsia="宋体" w:cs="宋体"/>
          <w:color w:val="auto"/>
          <w:sz w:val="24"/>
          <w:highlight w:val="none"/>
        </w:rPr>
        <w:t>.2采购人在踏勘现场中介绍的项目情况，供应商在编制响应文件时参考，采购人不对供应商据此作出的判断和决策负责。</w:t>
      </w:r>
    </w:p>
    <w:p w14:paraId="1FBD3418">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hint="eastAsia" w:ascii="宋体" w:hAnsi="宋体" w:eastAsia="宋体" w:cs="宋体"/>
          <w:color w:val="auto"/>
          <w:sz w:val="24"/>
          <w:highlight w:val="none"/>
          <w:lang w:val="en-US" w:eastAsia="zh-CN"/>
        </w:rPr>
        <w:t>37</w:t>
      </w:r>
      <w:r>
        <w:rPr>
          <w:rFonts w:ascii="宋体" w:hAnsi="宋体" w:eastAsia="宋体" w:cs="宋体"/>
          <w:color w:val="auto"/>
          <w:sz w:val="24"/>
          <w:highlight w:val="none"/>
        </w:rPr>
        <w:t>.3供应商承担踏勘现场所发生的自身费用。</w:t>
      </w:r>
    </w:p>
    <w:p w14:paraId="30D78287">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38、</w:t>
      </w:r>
      <w:r>
        <w:rPr>
          <w:rFonts w:hint="eastAsia" w:ascii="宋体" w:hAnsi="宋体" w:eastAsia="宋体" w:cs="宋体"/>
          <w:b/>
          <w:color w:val="auto"/>
          <w:sz w:val="30"/>
          <w:szCs w:val="30"/>
          <w:highlight w:val="none"/>
        </w:rPr>
        <w:t>预付款制度</w:t>
      </w:r>
    </w:p>
    <w:p w14:paraId="64E0810D">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ascii="宋体" w:hAnsi="宋体" w:eastAsia="宋体" w:cs="宋体"/>
          <w:b/>
          <w:color w:val="auto"/>
          <w:sz w:val="30"/>
          <w:szCs w:val="30"/>
          <w:highlight w:val="none"/>
          <w:lang w:val="en-US" w:eastAsia="zh-CN"/>
        </w:rPr>
      </w:pPr>
      <w:r>
        <w:rPr>
          <w:rFonts w:ascii="宋体" w:hAnsi="宋体" w:eastAsia="宋体" w:cs="宋体"/>
          <w:color w:val="auto"/>
          <w:sz w:val="24"/>
          <w:highlight w:val="none"/>
        </w:rPr>
        <w:t>本项目落实预付款制度，预付款比例为</w:t>
      </w:r>
      <w:r>
        <w:rPr>
          <w:rFonts w:ascii="宋体" w:hAnsi="宋体" w:eastAsia="宋体" w:cs="宋体"/>
          <w:color w:val="auto"/>
          <w:sz w:val="24"/>
          <w:highlight w:val="none"/>
          <w:u w:val="single"/>
        </w:rPr>
        <w:t> </w:t>
      </w:r>
      <w:r>
        <w:rPr>
          <w:rFonts w:hint="eastAsia" w:ascii="宋体" w:hAnsi="宋体" w:eastAsia="宋体" w:cs="宋体"/>
          <w:color w:val="auto"/>
          <w:sz w:val="24"/>
          <w:highlight w:val="none"/>
          <w:u w:val="single"/>
          <w:lang w:val="en-US" w:eastAsia="zh-CN"/>
        </w:rPr>
        <w:t>10</w:t>
      </w:r>
      <w:r>
        <w:rPr>
          <w:rFonts w:ascii="宋体" w:hAnsi="宋体" w:eastAsia="宋体" w:cs="宋体"/>
          <w:color w:val="auto"/>
          <w:sz w:val="24"/>
          <w:highlight w:val="none"/>
          <w:u w:val="single"/>
        </w:rPr>
        <w:t>%</w:t>
      </w:r>
      <w:r>
        <w:rPr>
          <w:rFonts w:hint="eastAsia" w:ascii="宋体" w:hAnsi="宋体" w:eastAsia="宋体" w:cs="宋体"/>
          <w:color w:val="auto"/>
          <w:sz w:val="24"/>
          <w:highlight w:val="none"/>
          <w:u w:val="single"/>
          <w:lang w:val="en-US" w:eastAsia="zh-CN"/>
        </w:rPr>
        <w:t xml:space="preserve">  </w:t>
      </w:r>
      <w:r>
        <w:rPr>
          <w:rFonts w:ascii="宋体" w:hAnsi="宋体" w:eastAsia="宋体" w:cs="宋体"/>
          <w:color w:val="auto"/>
          <w:sz w:val="24"/>
          <w:highlight w:val="none"/>
        </w:rPr>
        <w:t>。在签订合同时，</w:t>
      </w:r>
      <w:r>
        <w:rPr>
          <w:rFonts w:hint="eastAsia" w:ascii="宋体" w:hAnsi="宋体" w:eastAsia="宋体" w:cs="宋体"/>
          <w:color w:val="auto"/>
          <w:sz w:val="24"/>
          <w:highlight w:val="none"/>
        </w:rPr>
        <w:t>中标人明确表示无需预付款或者主动要求降低预付款比例的金额，可不适用预付款规定,但中标人需提供书面声明，采购人可就预付款比例作相应调整。</w:t>
      </w:r>
    </w:p>
    <w:p w14:paraId="6E018386">
      <w:pPr>
        <w:pStyle w:val="36"/>
        <w:keepNext/>
        <w:keepLines/>
        <w:pageBreakBefore w:val="0"/>
        <w:widowControl w:val="0"/>
        <w:spacing w:beforeAutospacing="0" w:afterAutospacing="0" w:line="440" w:lineRule="exact"/>
        <w:ind w:firstLine="602"/>
        <w:jc w:val="both"/>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39、落实节能、环保产品政策</w:t>
      </w:r>
    </w:p>
    <w:p w14:paraId="0555009A">
      <w:pPr>
        <w:keepNext w:val="0"/>
        <w:keepLines w:val="0"/>
        <w:pageBreakBefore w:val="0"/>
        <w:widowControl w:val="0"/>
        <w:spacing w:line="44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39.1</w:t>
      </w:r>
      <w:r>
        <w:rPr>
          <w:rFonts w:hint="eastAsia" w:ascii="宋体" w:hAnsi="宋体" w:eastAsia="宋体" w:cs="Times New Roman"/>
          <w:color w:val="auto"/>
          <w:sz w:val="24"/>
          <w:szCs w:val="24"/>
          <w:highlight w:val="none"/>
        </w:rPr>
        <w:t>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原件彩色扫描件）。投标人提供的产品属于信息安全产品的，应当提供由中国信息安全认证中心按国家标准认证颁发的有效认证证书（原件彩色扫描件）</w:t>
      </w:r>
    </w:p>
    <w:p w14:paraId="5BD80631">
      <w:pPr>
        <w:pStyle w:val="36"/>
        <w:spacing w:beforeAutospacing="0" w:afterAutospacing="0"/>
        <w:ind w:firstLine="420"/>
        <w:jc w:val="both"/>
        <w:rPr>
          <w:color w:val="auto"/>
          <w:highlight w:val="none"/>
        </w:rPr>
      </w:pPr>
    </w:p>
    <w:p w14:paraId="703FEFC4">
      <w:pPr>
        <w:pStyle w:val="36"/>
        <w:spacing w:beforeAutospacing="0" w:afterAutospacing="0"/>
        <w:ind w:firstLine="420"/>
        <w:jc w:val="both"/>
        <w:rPr>
          <w:color w:val="auto"/>
          <w:highlight w:val="none"/>
        </w:rPr>
      </w:pPr>
    </w:p>
    <w:p w14:paraId="75039506">
      <w:pPr>
        <w:pStyle w:val="36"/>
        <w:spacing w:beforeAutospacing="0" w:afterAutospacing="0"/>
        <w:ind w:firstLine="420"/>
        <w:jc w:val="both"/>
        <w:rPr>
          <w:color w:val="auto"/>
          <w:highlight w:val="none"/>
        </w:rPr>
      </w:pPr>
    </w:p>
    <w:p w14:paraId="3F5D2EBD">
      <w:pPr>
        <w:pStyle w:val="36"/>
        <w:spacing w:beforeAutospacing="0" w:afterAutospacing="0"/>
        <w:ind w:firstLine="420"/>
        <w:jc w:val="both"/>
        <w:rPr>
          <w:color w:val="auto"/>
          <w:highlight w:val="none"/>
        </w:rPr>
      </w:pPr>
    </w:p>
    <w:p w14:paraId="70701879">
      <w:pPr>
        <w:pStyle w:val="36"/>
        <w:spacing w:beforeAutospacing="0" w:afterAutospacing="0" w:line="0" w:lineRule="atLeast"/>
        <w:jc w:val="both"/>
        <w:rPr>
          <w:color w:val="auto"/>
          <w:highlight w:val="none"/>
        </w:rPr>
      </w:pPr>
      <w:r>
        <w:rPr>
          <w:color w:val="auto"/>
          <w:highlight w:val="none"/>
        </w:rPr>
        <w:t> </w:t>
      </w:r>
    </w:p>
    <w:p w14:paraId="2F02E3AA">
      <w:pPr>
        <w:pStyle w:val="36"/>
        <w:spacing w:beforeAutospacing="0" w:afterAutospacing="0" w:line="0" w:lineRule="atLeast"/>
        <w:jc w:val="both"/>
        <w:rPr>
          <w:color w:val="auto"/>
          <w:highlight w:val="none"/>
        </w:rPr>
      </w:pPr>
    </w:p>
    <w:p w14:paraId="78FB0CC4">
      <w:pPr>
        <w:pStyle w:val="36"/>
        <w:spacing w:beforeAutospacing="0" w:afterAutospacing="0" w:line="0" w:lineRule="atLeast"/>
        <w:jc w:val="both"/>
        <w:rPr>
          <w:color w:val="auto"/>
          <w:highlight w:val="none"/>
        </w:rPr>
      </w:pPr>
    </w:p>
    <w:p w14:paraId="50D8406A">
      <w:pPr>
        <w:pStyle w:val="36"/>
        <w:spacing w:beforeAutospacing="0" w:afterAutospacing="0" w:line="0" w:lineRule="atLeast"/>
        <w:jc w:val="both"/>
        <w:rPr>
          <w:color w:val="auto"/>
          <w:highlight w:val="none"/>
        </w:rPr>
      </w:pPr>
    </w:p>
    <w:p w14:paraId="273082C0">
      <w:pPr>
        <w:pStyle w:val="36"/>
        <w:spacing w:beforeAutospacing="0" w:afterAutospacing="0" w:line="0" w:lineRule="atLeast"/>
        <w:jc w:val="both"/>
        <w:rPr>
          <w:color w:val="auto"/>
          <w:highlight w:val="none"/>
        </w:rPr>
      </w:pPr>
    </w:p>
    <w:p w14:paraId="4E70F4CE">
      <w:pPr>
        <w:pStyle w:val="36"/>
        <w:spacing w:beforeAutospacing="0" w:afterAutospacing="0" w:line="0" w:lineRule="atLeast"/>
        <w:jc w:val="both"/>
        <w:rPr>
          <w:color w:val="auto"/>
          <w:highlight w:val="none"/>
        </w:rPr>
      </w:pPr>
    </w:p>
    <w:p w14:paraId="209BEFAB">
      <w:pPr>
        <w:pStyle w:val="36"/>
        <w:spacing w:beforeAutospacing="0" w:afterAutospacing="0" w:line="0" w:lineRule="atLeast"/>
        <w:jc w:val="both"/>
        <w:rPr>
          <w:color w:val="auto"/>
          <w:highlight w:val="none"/>
        </w:rPr>
      </w:pPr>
    </w:p>
    <w:p w14:paraId="2D1A49A2">
      <w:pPr>
        <w:pStyle w:val="36"/>
        <w:spacing w:beforeAutospacing="0" w:afterAutospacing="0" w:line="0" w:lineRule="atLeast"/>
        <w:jc w:val="both"/>
        <w:rPr>
          <w:color w:val="auto"/>
          <w:highlight w:val="none"/>
        </w:rPr>
      </w:pPr>
    </w:p>
    <w:p w14:paraId="3E6EC6A4">
      <w:pPr>
        <w:pStyle w:val="36"/>
        <w:spacing w:beforeAutospacing="0" w:afterAutospacing="0" w:line="0" w:lineRule="atLeast"/>
        <w:jc w:val="both"/>
        <w:rPr>
          <w:color w:val="auto"/>
          <w:highlight w:val="none"/>
        </w:rPr>
      </w:pPr>
    </w:p>
    <w:p w14:paraId="6AFAFCF1">
      <w:pPr>
        <w:pStyle w:val="36"/>
        <w:spacing w:beforeAutospacing="0" w:afterAutospacing="0" w:line="0" w:lineRule="atLeast"/>
        <w:jc w:val="both"/>
        <w:rPr>
          <w:color w:val="auto"/>
          <w:highlight w:val="none"/>
        </w:rPr>
      </w:pPr>
    </w:p>
    <w:p w14:paraId="621F043E">
      <w:pPr>
        <w:rPr>
          <w:rFonts w:hint="eastAsia" w:ascii="黑体" w:hAnsi="宋体" w:eastAsia="黑体" w:cs="黑体"/>
          <w:color w:val="auto"/>
          <w:sz w:val="44"/>
          <w:szCs w:val="44"/>
          <w:highlight w:val="none"/>
        </w:rPr>
      </w:pPr>
    </w:p>
    <w:p w14:paraId="7AA21DF8">
      <w:pPr>
        <w:pStyle w:val="36"/>
        <w:keepNext/>
        <w:spacing w:beforeAutospacing="0" w:afterAutospacing="0"/>
        <w:ind w:firstLine="2640"/>
        <w:jc w:val="both"/>
        <w:rPr>
          <w:color w:val="auto"/>
          <w:highlight w:val="none"/>
        </w:rPr>
      </w:pPr>
      <w:r>
        <w:rPr>
          <w:rFonts w:hint="eastAsia" w:ascii="黑体" w:hAnsi="宋体" w:eastAsia="黑体" w:cs="黑体"/>
          <w:color w:val="auto"/>
          <w:sz w:val="44"/>
          <w:szCs w:val="44"/>
          <w:highlight w:val="none"/>
        </w:rPr>
        <w:t>第三章  合同文本</w:t>
      </w:r>
    </w:p>
    <w:p w14:paraId="39478321">
      <w:pPr>
        <w:rPr>
          <w:color w:val="auto"/>
          <w:highlight w:val="none"/>
        </w:rPr>
      </w:pPr>
      <w:bookmarkStart w:id="151" w:name="_Toc479757211"/>
      <w:bookmarkStart w:id="152" w:name="_Toc120614244"/>
      <w:bookmarkStart w:id="153" w:name="_Toc20823346"/>
      <w:bookmarkStart w:id="154" w:name="_Toc462564139"/>
      <w:bookmarkStart w:id="155" w:name="_Toc16938590"/>
      <w:bookmarkStart w:id="156" w:name="_Hlt16619350"/>
      <w:bookmarkStart w:id="157" w:name="_Hlt16619369"/>
    </w:p>
    <w:p w14:paraId="388EF039">
      <w:pPr>
        <w:widowControl w:val="0"/>
        <w:ind w:left="2100"/>
        <w:jc w:val="both"/>
        <w:rPr>
          <w:rFonts w:hint="eastAsia" w:ascii="Times New Roman" w:hAnsi="Times New Roman" w:eastAsia="宋体" w:cs="Times New Roman"/>
          <w:color w:val="auto"/>
          <w:sz w:val="21"/>
          <w:szCs w:val="24"/>
          <w:highlight w:val="none"/>
          <w:lang w:val="en-US" w:eastAsia="zh-CN" w:bidi="ar-SA"/>
        </w:rPr>
      </w:pPr>
    </w:p>
    <w:p w14:paraId="4912B0FB">
      <w:pPr>
        <w:jc w:val="left"/>
        <w:rPr>
          <w:rFonts w:hint="eastAsia" w:ascii="宋体" w:hAnsi="宋体" w:eastAsia="宋体" w:cs="宋体"/>
          <w:color w:val="auto"/>
          <w:sz w:val="32"/>
          <w:szCs w:val="32"/>
          <w:highlight w:val="none"/>
        </w:rPr>
      </w:pPr>
    </w:p>
    <w:p w14:paraId="24F512B7">
      <w:pPr>
        <w:jc w:val="center"/>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（GF—2017—0201）</w:t>
      </w:r>
    </w:p>
    <w:p w14:paraId="4350CC97">
      <w:pPr>
        <w:jc w:val="center"/>
        <w:rPr>
          <w:rFonts w:hint="eastAsia" w:ascii="宋体" w:hAnsi="宋体" w:eastAsia="宋体" w:cs="宋体"/>
          <w:b/>
          <w:color w:val="auto"/>
          <w:sz w:val="52"/>
          <w:szCs w:val="52"/>
          <w:highlight w:val="none"/>
        </w:rPr>
      </w:pPr>
    </w:p>
    <w:p w14:paraId="1BF18E35">
      <w:pPr>
        <w:widowControl w:val="0"/>
        <w:ind w:firstLine="420"/>
        <w:jc w:val="both"/>
        <w:rPr>
          <w:rFonts w:hint="eastAsia" w:ascii="宋体" w:hAnsi="宋体" w:eastAsia="宋体" w:cs="宋体"/>
          <w:b/>
          <w:color w:val="auto"/>
          <w:sz w:val="52"/>
          <w:szCs w:val="52"/>
          <w:highlight w:val="none"/>
          <w:lang w:val="en-US" w:eastAsia="zh-CN" w:bidi="ar-SA"/>
        </w:rPr>
      </w:pPr>
    </w:p>
    <w:p w14:paraId="579F8B0D">
      <w:pPr>
        <w:widowControl w:val="0"/>
        <w:ind w:firstLine="420"/>
        <w:jc w:val="both"/>
        <w:rPr>
          <w:rFonts w:hint="eastAsia" w:ascii="宋体" w:hAnsi="宋体" w:eastAsia="宋体" w:cs="宋体"/>
          <w:b/>
          <w:color w:val="auto"/>
          <w:sz w:val="52"/>
          <w:szCs w:val="52"/>
          <w:highlight w:val="none"/>
          <w:lang w:val="en-US" w:eastAsia="zh-CN" w:bidi="ar-SA"/>
        </w:rPr>
      </w:pPr>
    </w:p>
    <w:p w14:paraId="2C2C591D">
      <w:pPr>
        <w:widowControl w:val="0"/>
        <w:ind w:firstLine="420"/>
        <w:jc w:val="both"/>
        <w:rPr>
          <w:rFonts w:hint="eastAsia" w:ascii="宋体" w:hAnsi="宋体" w:eastAsia="宋体" w:cs="宋体"/>
          <w:b/>
          <w:color w:val="auto"/>
          <w:sz w:val="52"/>
          <w:szCs w:val="52"/>
          <w:highlight w:val="none"/>
          <w:lang w:val="en-US" w:eastAsia="zh-CN" w:bidi="ar-SA"/>
        </w:rPr>
      </w:pPr>
    </w:p>
    <w:p w14:paraId="328EACBD">
      <w:pPr>
        <w:jc w:val="center"/>
        <w:rPr>
          <w:rFonts w:hint="eastAsia" w:ascii="宋体" w:hAnsi="宋体" w:eastAsia="宋体" w:cs="宋体"/>
          <w:b/>
          <w:color w:val="auto"/>
          <w:sz w:val="52"/>
          <w:szCs w:val="52"/>
          <w:highlight w:val="none"/>
        </w:rPr>
      </w:pPr>
    </w:p>
    <w:p w14:paraId="247123F1">
      <w:pPr>
        <w:jc w:val="center"/>
        <w:rPr>
          <w:rFonts w:hint="eastAsia" w:ascii="宋体" w:hAnsi="宋体" w:eastAsia="宋体" w:cs="宋体"/>
          <w:b/>
          <w:color w:val="auto"/>
          <w:sz w:val="72"/>
          <w:szCs w:val="52"/>
          <w:highlight w:val="none"/>
          <w:lang w:eastAsia="zh-CN"/>
        </w:rPr>
      </w:pPr>
      <w:r>
        <w:rPr>
          <w:rFonts w:hint="eastAsia" w:ascii="宋体" w:hAnsi="宋体" w:eastAsia="宋体" w:cs="宋体"/>
          <w:b/>
          <w:color w:val="auto"/>
          <w:sz w:val="72"/>
          <w:szCs w:val="52"/>
          <w:highlight w:val="none"/>
        </w:rPr>
        <w:t>建设工程施工合同</w:t>
      </w:r>
    </w:p>
    <w:p w14:paraId="180D0712">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（示范文本）</w:t>
      </w:r>
    </w:p>
    <w:p w14:paraId="6E62B52B">
      <w:pPr>
        <w:jc w:val="center"/>
        <w:rPr>
          <w:rFonts w:hint="eastAsia" w:ascii="宋体" w:hAnsi="宋体" w:eastAsia="宋体" w:cs="宋体"/>
          <w:b/>
          <w:color w:val="auto"/>
          <w:sz w:val="52"/>
          <w:szCs w:val="52"/>
          <w:highlight w:val="none"/>
        </w:rPr>
      </w:pPr>
    </w:p>
    <w:p w14:paraId="38CBFE0F">
      <w:pPr>
        <w:jc w:val="center"/>
        <w:rPr>
          <w:rFonts w:hint="eastAsia" w:ascii="宋体" w:hAnsi="宋体" w:eastAsia="宋体" w:cs="宋体"/>
          <w:b/>
          <w:color w:val="auto"/>
          <w:sz w:val="72"/>
          <w:szCs w:val="72"/>
          <w:highlight w:val="none"/>
        </w:rPr>
      </w:pPr>
    </w:p>
    <w:p w14:paraId="02840E39">
      <w:pPr>
        <w:jc w:val="center"/>
        <w:rPr>
          <w:rFonts w:hint="eastAsia" w:ascii="宋体" w:hAnsi="宋体" w:eastAsia="宋体" w:cs="宋体"/>
          <w:b/>
          <w:color w:val="auto"/>
          <w:sz w:val="72"/>
          <w:szCs w:val="72"/>
          <w:highlight w:val="none"/>
        </w:rPr>
      </w:pPr>
    </w:p>
    <w:p w14:paraId="33E7B8BB">
      <w:pPr>
        <w:jc w:val="center"/>
        <w:rPr>
          <w:rFonts w:hint="eastAsia" w:ascii="宋体" w:hAnsi="宋体" w:eastAsia="宋体" w:cs="宋体"/>
          <w:b/>
          <w:color w:val="auto"/>
          <w:sz w:val="52"/>
          <w:szCs w:val="52"/>
          <w:highlight w:val="none"/>
        </w:rPr>
      </w:pPr>
    </w:p>
    <w:p w14:paraId="229EFD13">
      <w:pPr>
        <w:rPr>
          <w:rFonts w:hint="eastAsia" w:ascii="宋体" w:hAnsi="宋体" w:eastAsia="宋体" w:cs="宋体"/>
          <w:b/>
          <w:color w:val="auto"/>
          <w:sz w:val="28"/>
          <w:szCs w:val="28"/>
          <w:highlight w:val="none"/>
        </w:rPr>
      </w:pPr>
    </w:p>
    <w:p w14:paraId="39411841">
      <w:pPr>
        <w:rPr>
          <w:rFonts w:hint="eastAsia" w:ascii="宋体" w:hAnsi="宋体" w:eastAsia="宋体" w:cs="宋体"/>
          <w:b/>
          <w:color w:val="auto"/>
          <w:sz w:val="28"/>
          <w:szCs w:val="28"/>
          <w:highlight w:val="none"/>
        </w:rPr>
      </w:pPr>
    </w:p>
    <w:p w14:paraId="0BC4F078">
      <w:pPr>
        <w:ind w:right="2719" w:firstLine="2738"/>
        <w:jc w:val="both"/>
        <w:rPr>
          <w:rFonts w:hint="eastAsia" w:ascii="宋体" w:hAnsi="宋体" w:eastAsia="宋体" w:cs="宋体"/>
          <w:b/>
          <w:color w:val="auto"/>
          <w:sz w:val="32"/>
          <w:szCs w:val="28"/>
          <w:highlight w:val="none"/>
        </w:rPr>
      </w:pPr>
      <w:r>
        <w:rPr>
          <w:rFonts w:hint="eastAsia" w:ascii="宋体" w:hAnsi="宋体" w:eastAsia="宋体" w:cs="宋体"/>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10" name="文本框 6"/>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solidFill>
                            <a:srgbClr val="FFFFFF"/>
                          </a:solidFill>
                        </a:ln>
                      </wps:spPr>
                      <wps:txbx>
                        <w:txbxContent>
                          <w:p w14:paraId="5A573850">
                            <w:pPr>
                              <w:rPr>
                                <w:rFonts w:hint="eastAsia" w:ascii="Times New Roman" w:hAnsi="Times New Roman" w:eastAsia="宋体" w:cs="Times New Roman"/>
                                <w:b/>
                                <w:bCs/>
                                <w:sz w:val="32"/>
                              </w:rPr>
                            </w:pPr>
                            <w:r>
                              <w:rPr>
                                <w:rFonts w:hint="eastAsia" w:ascii="Times New Roman" w:hAnsi="Times New Roman" w:eastAsia="宋体" w:cs="Times New Roman"/>
                                <w:b/>
                                <w:bCs/>
                                <w:sz w:val="32"/>
                              </w:rPr>
                              <w:t>制定</w:t>
                            </w:r>
                          </w:p>
                          <w:p w14:paraId="48705034">
                            <w:pPr>
                              <w:rPr>
                                <w:rFonts w:ascii="Times New Roman" w:hAnsi="Times New Roman" w:eastAsia="宋体" w:cs="Times New Roman"/>
                              </w:rPr>
                            </w:pPr>
                          </w:p>
                        </w:txbxContent>
                      </wps:txbx>
                      <wps:bodyPr wrap="square" upright="1"/>
                    </wps:wsp>
                  </a:graphicData>
                </a:graphic>
              </wp:anchor>
            </w:drawing>
          </mc:Choice>
          <mc:Fallback>
            <w:pict>
              <v:shape id="文本框 6" o:spid="_x0000_s1026" o:spt="202" type="#_x0000_t202" style="position:absolute;left:0pt;margin-left:312.6pt;margin-top:9.45pt;height:36pt;width:57pt;z-index:251659264;mso-width-relative:page;mso-height-relative:page;" filled="f" stroked="t" coordsize="21600,21600" o:gfxdata="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EHNLXHYAAAACQEAAA8AAAAAAAAAAQAg&#10;AAAAIgAAAGRycy9kb3ducmV2LnhtbFBLAQIUABQAAAAIAIdO4kDJTi5F1QEAAJMDAAAOAAAAAAAA&#10;AAEAIAAAACcBAABkcnMvZTJvRG9jLnhtbFBLBQYAAAAABgAGAFkBAABuBQAAAAA=&#10;">
                <v:fill on="f" focussize="0,0"/>
                <v:stroke color="#FFFFFF" joinstyle="round"/>
                <v:imagedata o:title=""/>
                <o:lock v:ext="edit" aspectratio="f"/>
                <v:textbox>
                  <w:txbxContent>
                    <w:p w14:paraId="5A573850">
                      <w:pPr>
                        <w:rPr>
                          <w:rFonts w:hint="eastAsia" w:ascii="Times New Roman" w:hAnsi="Times New Roman" w:eastAsia="宋体" w:cs="Times New Roman"/>
                          <w:b/>
                          <w:bCs/>
                          <w:sz w:val="32"/>
                        </w:rPr>
                      </w:pPr>
                      <w:r>
                        <w:rPr>
                          <w:rFonts w:hint="eastAsia" w:ascii="Times New Roman" w:hAnsi="Times New Roman" w:eastAsia="宋体" w:cs="Times New Roman"/>
                          <w:b/>
                          <w:bCs/>
                          <w:sz w:val="32"/>
                        </w:rPr>
                        <w:t>制定</w:t>
                      </w:r>
                    </w:p>
                    <w:p w14:paraId="48705034">
                      <w:pPr>
                        <w:rPr>
                          <w:rFonts w:ascii="Times New Roman" w:hAnsi="Times New Roman" w:eastAsia="宋体" w:cs="Times New Roman"/>
                        </w:rPr>
                      </w:pPr>
                    </w:p>
                  </w:txbxContent>
                </v:textbox>
              </v:shape>
            </w:pict>
          </mc:Fallback>
        </mc:AlternateContent>
      </w:r>
      <w:r>
        <w:rPr>
          <w:rFonts w:hint="eastAsia" w:ascii="宋体" w:hAnsi="宋体" w:eastAsia="宋体" w:cs="宋体"/>
          <w:b/>
          <w:color w:val="auto"/>
          <w:sz w:val="32"/>
          <w:szCs w:val="28"/>
          <w:highlight w:val="none"/>
        </w:rPr>
        <w:t>住房城乡建设部</w:t>
      </w:r>
    </w:p>
    <w:p w14:paraId="2C170545">
      <w:pPr>
        <w:ind w:right="2719" w:firstLine="2750"/>
        <w:jc w:val="both"/>
        <w:rPr>
          <w:rFonts w:hint="eastAsia" w:ascii="宋体" w:hAnsi="宋体" w:eastAsia="宋体" w:cs="宋体"/>
          <w:b/>
          <w:color w:val="auto"/>
          <w:sz w:val="32"/>
          <w:szCs w:val="28"/>
          <w:highlight w:val="none"/>
        </w:rPr>
      </w:pPr>
      <w:r>
        <w:rPr>
          <w:rFonts w:hint="eastAsia" w:ascii="宋体" w:hAnsi="宋体" w:eastAsia="宋体" w:cs="宋体"/>
          <w:b/>
          <w:color w:val="auto"/>
          <w:sz w:val="32"/>
          <w:szCs w:val="28"/>
          <w:highlight w:val="none"/>
        </w:rPr>
        <w:t>国家工商行政管理总局</w:t>
      </w:r>
    </w:p>
    <w:p w14:paraId="19E357C5">
      <w:pPr>
        <w:rPr>
          <w:rFonts w:hint="eastAsia" w:ascii="宋体" w:hAnsi="宋体" w:eastAsia="宋体" w:cs="宋体"/>
          <w:b/>
          <w:color w:val="auto"/>
          <w:highlight w:val="none"/>
        </w:rPr>
      </w:pPr>
    </w:p>
    <w:p w14:paraId="2C4C7AD7">
      <w:pPr>
        <w:keepNext/>
        <w:keepLines w:val="0"/>
        <w:pageBreakBefore w:val="0"/>
        <w:widowControl w:val="0"/>
        <w:spacing w:before="0" w:after="0" w:line="400" w:lineRule="exact"/>
        <w:jc w:val="center"/>
        <w:outlineLvl w:val="9"/>
        <w:rPr>
          <w:rFonts w:hint="eastAsia" w:ascii="宋体" w:hAnsi="宋体" w:eastAsia="宋体" w:cs="宋体"/>
          <w:color w:val="auto"/>
          <w:sz w:val="28"/>
          <w:szCs w:val="20"/>
          <w:highlight w:val="none"/>
          <w:lang w:val="zh-CN" w:eastAsia="zh-CN" w:bidi="ar-SA"/>
        </w:rPr>
      </w:pPr>
      <w:r>
        <w:rPr>
          <w:rFonts w:hint="eastAsia" w:ascii="宋体" w:hAnsi="宋体" w:eastAsia="宋体" w:cs="宋体"/>
          <w:b w:val="0"/>
          <w:color w:val="auto"/>
          <w:sz w:val="28"/>
          <w:szCs w:val="20"/>
          <w:highlight w:val="none"/>
          <w:lang w:val="en-US" w:eastAsia="zh-CN" w:bidi="ar-SA"/>
        </w:rPr>
        <w:br w:type="page" w:clear="all"/>
      </w:r>
      <w:r>
        <w:rPr>
          <w:rFonts w:hint="eastAsia" w:ascii="宋体" w:hAnsi="宋体" w:eastAsia="宋体" w:cs="宋体"/>
          <w:color w:val="auto"/>
          <w:sz w:val="32"/>
          <w:szCs w:val="32"/>
          <w:highlight w:val="none"/>
          <w:lang w:val="zh-CN" w:eastAsia="zh-CN" w:bidi="ar-SA"/>
        </w:rPr>
        <w:t>说  明</w:t>
      </w:r>
    </w:p>
    <w:p w14:paraId="70DAC062">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为了指导建设工程施工合同当事人的签约行为，维护合同当事人的合法权益，依据《中华人民共和国</w:t>
      </w:r>
      <w:r>
        <w:rPr>
          <w:rFonts w:hint="eastAsia" w:ascii="宋体" w:hAnsi="宋体" w:eastAsia="宋体" w:cs="宋体"/>
          <w:color w:val="auto"/>
          <w:szCs w:val="21"/>
          <w:highlight w:val="none"/>
          <w:lang w:eastAsia="zh-CN"/>
        </w:rPr>
        <w:t>民法典</w:t>
      </w:r>
      <w:r>
        <w:rPr>
          <w:rFonts w:hint="eastAsia" w:ascii="宋体" w:hAnsi="宋体" w:eastAsia="宋体" w:cs="宋体"/>
          <w:color w:val="auto"/>
          <w:szCs w:val="21"/>
          <w:highlight w:val="none"/>
        </w:rPr>
        <w:t>》、《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1A470D65">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一、《示范文本》的组成</w:t>
      </w:r>
    </w:p>
    <w:p w14:paraId="1FCCC477">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《示范文本》由合同协议书、通用合同条款和专用合同条款三部分组成。</w:t>
      </w:r>
    </w:p>
    <w:p w14:paraId="5EC9A416">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（一）合同协议书</w:t>
      </w:r>
    </w:p>
    <w:p w14:paraId="148F9C0D">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71A57BC5">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（二）通用合同条款</w:t>
      </w:r>
    </w:p>
    <w:p w14:paraId="4CA3FAE9">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通用合同条款是合同当事人根据《中华人民共和国建筑法》、《中华人民共和国</w:t>
      </w:r>
      <w:r>
        <w:rPr>
          <w:rFonts w:hint="eastAsia" w:ascii="宋体" w:hAnsi="宋体" w:eastAsia="宋体" w:cs="宋体"/>
          <w:color w:val="auto"/>
          <w:szCs w:val="21"/>
          <w:highlight w:val="none"/>
          <w:lang w:eastAsia="zh-CN"/>
        </w:rPr>
        <w:t>民法典</w:t>
      </w:r>
      <w:r>
        <w:rPr>
          <w:rFonts w:hint="eastAsia" w:ascii="宋体" w:hAnsi="宋体" w:eastAsia="宋体" w:cs="宋体"/>
          <w:color w:val="auto"/>
          <w:szCs w:val="21"/>
          <w:highlight w:val="none"/>
        </w:rPr>
        <w:t>》等法律法规的规定，就工程建设的实施及相关事项，对合同当事人的权利义务作出的原则性约定。</w:t>
      </w:r>
    </w:p>
    <w:p w14:paraId="2CF4DC11">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710EC434">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（三）专用合同条款</w:t>
      </w:r>
    </w:p>
    <w:p w14:paraId="2AF96952">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2D4E1FE0">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1.专用合同条款的编号应与相应的通用合同条款的编号一致；</w:t>
      </w:r>
    </w:p>
    <w:p w14:paraId="1F014B24">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2.合同当事人可以通过对专用合同条款的修改，满足具体建设工程的特殊要求，避免直接修改通用合同条款；</w:t>
      </w:r>
    </w:p>
    <w:p w14:paraId="62E0720B">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3.在专用合同条款中有横道线的地方，合同当事人可针对相应的通用合同条款进行细化、完善、补充、修改或另行约定；如无细化、完善、补充、修改或另行约定，则填写“无”或划“/”。</w:t>
      </w:r>
    </w:p>
    <w:p w14:paraId="76E40279">
      <w:pPr>
        <w:keepNext w:val="0"/>
        <w:keepLines w:val="0"/>
        <w:pageBreakBefore w:val="0"/>
        <w:widowControl w:val="0"/>
        <w:spacing w:line="400" w:lineRule="exact"/>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二、《示范文本》的性质和适用范围</w:t>
      </w:r>
    </w:p>
    <w:p w14:paraId="23A9C865">
      <w:pPr>
        <w:keepNext w:val="0"/>
        <w:keepLines w:val="0"/>
        <w:pageBreakBefore w:val="0"/>
        <w:widowControl w:val="0"/>
        <w:spacing w:line="400" w:lineRule="exact"/>
        <w:ind w:firstLine="420"/>
        <w:rPr>
          <w:rFonts w:hint="eastAsia" w:ascii="宋体" w:hAnsi="宋体" w:eastAsia="宋体" w:cs="宋体"/>
          <w:color w:val="auto"/>
          <w:spacing w:val="-17"/>
          <w:sz w:val="21"/>
          <w:szCs w:val="21"/>
          <w:highlight w:val="none"/>
        </w:rPr>
        <w:sectPr>
          <w:headerReference r:id="rId7" w:type="default"/>
          <w:footerReference r:id="rId8" w:type="default"/>
          <w:pgSz w:w="11906" w:h="16838"/>
          <w:pgMar w:top="1418" w:right="1555" w:bottom="1418" w:left="1531" w:header="851" w:footer="992" w:gutter="0"/>
          <w:pgNumType w:start="1"/>
          <w:cols w:space="1701" w:num="1"/>
          <w:docGrid w:linePitch="360" w:charSpace="0"/>
        </w:sectPr>
      </w:pPr>
      <w:r>
        <w:rPr>
          <w:rFonts w:hint="eastAsia" w:ascii="宋体" w:hAnsi="宋体" w:eastAsia="宋体" w:cs="宋体"/>
          <w:color w:val="auto"/>
          <w:spacing w:val="-17"/>
          <w:sz w:val="21"/>
          <w:szCs w:val="21"/>
          <w:highlight w:val="none"/>
        </w:rPr>
        <w:t>《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1DAFAC5F">
      <w:pPr>
        <w:widowControl w:val="0"/>
        <w:spacing w:before="300" w:after="240"/>
        <w:ind w:firstLine="3213"/>
        <w:contextualSpacing/>
        <w:jc w:val="both"/>
        <w:outlineLvl w:val="1"/>
        <w:rPr>
          <w:rFonts w:hint="default" w:ascii="宋体" w:hAnsi="宋体" w:eastAsia="宋体" w:cs="Times New Roman"/>
          <w:b/>
          <w:bCs/>
          <w:color w:val="auto"/>
          <w:sz w:val="48"/>
          <w:szCs w:val="48"/>
          <w:highlight w:val="none"/>
          <w:lang w:val="en-US" w:eastAsia="zh-CN" w:bidi="ar-SA"/>
        </w:rPr>
      </w:pPr>
      <w:bookmarkStart w:id="158" w:name="_Toc351203652"/>
      <w:r>
        <w:rPr>
          <w:rFonts w:hint="default" w:ascii="宋体" w:hAnsi="宋体" w:eastAsia="宋体" w:cs="Times New Roman"/>
          <w:b/>
          <w:bCs/>
          <w:color w:val="auto"/>
          <w:sz w:val="32"/>
          <w:szCs w:val="32"/>
          <w:highlight w:val="none"/>
          <w:lang w:val="en-US" w:eastAsia="zh-CN" w:bidi="ar-SA"/>
        </w:rPr>
        <w:t>第一部分 合同协议书</w:t>
      </w:r>
    </w:p>
    <w:p w14:paraId="182E7A28">
      <w:pPr>
        <w:spacing w:line="400" w:lineRule="exact"/>
        <w:ind w:firstLine="422"/>
        <w:rPr>
          <w:rFonts w:hint="default" w:ascii="宋体" w:hAnsi="宋体" w:eastAsia="宋体" w:cs="Times New Roman"/>
          <w:b/>
          <w:color w:val="auto"/>
          <w:sz w:val="21"/>
          <w:szCs w:val="21"/>
          <w:highlight w:val="none"/>
          <w:u w:val="single"/>
          <w:lang w:val="en-US" w:eastAsia="zh-CN"/>
        </w:rPr>
      </w:pPr>
      <w:r>
        <w:rPr>
          <w:rFonts w:ascii="宋体" w:hAnsi="宋体" w:eastAsia="宋体" w:cs="Times New Roman"/>
          <w:b/>
          <w:color w:val="auto"/>
          <w:sz w:val="21"/>
          <w:szCs w:val="21"/>
          <w:highlight w:val="none"/>
        </w:rPr>
        <w:t>发包人（全称）：</w:t>
      </w:r>
      <w:r>
        <w:rPr>
          <w:rFonts w:ascii="宋体" w:hAnsi="宋体" w:eastAsia="宋体" w:cs="Times New Roman"/>
          <w:b/>
          <w:color w:val="auto"/>
          <w:sz w:val="21"/>
          <w:szCs w:val="21"/>
          <w:highlight w:val="none"/>
          <w:u w:val="single"/>
        </w:rPr>
        <w:t xml:space="preserve">    </w:t>
      </w:r>
      <w:r>
        <w:rPr>
          <w:rFonts w:hint="eastAsia" w:ascii="宋体" w:hAnsi="宋体" w:eastAsia="宋体" w:cs="Times New Roman"/>
          <w:b/>
          <w:color w:val="auto"/>
          <w:sz w:val="21"/>
          <w:szCs w:val="21"/>
          <w:highlight w:val="none"/>
          <w:u w:val="single"/>
          <w:lang w:val="en-US" w:eastAsia="zh-CN"/>
        </w:rPr>
        <w:t xml:space="preserve">              </w:t>
      </w:r>
    </w:p>
    <w:p w14:paraId="3BC77BDA">
      <w:pPr>
        <w:spacing w:line="400" w:lineRule="exact"/>
        <w:ind w:firstLine="422"/>
        <w:rPr>
          <w:rFonts w:hint="default" w:ascii="宋体" w:hAnsi="宋体" w:eastAsia="宋体" w:cs="Times New Roman"/>
          <w:b/>
          <w:color w:val="auto"/>
          <w:sz w:val="21"/>
          <w:szCs w:val="21"/>
          <w:highlight w:val="none"/>
          <w:u w:val="single"/>
          <w:lang w:val="en-US" w:eastAsia="zh-CN"/>
        </w:rPr>
      </w:pPr>
      <w:r>
        <w:rPr>
          <w:rFonts w:ascii="宋体" w:hAnsi="宋体" w:eastAsia="宋体" w:cs="Times New Roman"/>
          <w:b/>
          <w:color w:val="auto"/>
          <w:sz w:val="21"/>
          <w:szCs w:val="21"/>
          <w:highlight w:val="none"/>
        </w:rPr>
        <w:t>承包人（全称）：</w:t>
      </w:r>
      <w:r>
        <w:rPr>
          <w:rFonts w:ascii="宋体" w:hAnsi="宋体" w:eastAsia="宋体" w:cs="Times New Roman"/>
          <w:b/>
          <w:color w:val="auto"/>
          <w:sz w:val="21"/>
          <w:szCs w:val="21"/>
          <w:highlight w:val="none"/>
          <w:u w:val="single"/>
        </w:rPr>
        <w:t xml:space="preserve">    </w:t>
      </w:r>
      <w:r>
        <w:rPr>
          <w:rFonts w:hint="eastAsia" w:ascii="宋体" w:hAnsi="宋体" w:eastAsia="宋体" w:cs="Times New Roman"/>
          <w:b/>
          <w:color w:val="auto"/>
          <w:sz w:val="21"/>
          <w:szCs w:val="21"/>
          <w:highlight w:val="none"/>
          <w:u w:val="single"/>
          <w:lang w:val="en-US" w:eastAsia="zh-CN"/>
        </w:rPr>
        <w:t xml:space="preserve">              </w:t>
      </w:r>
    </w:p>
    <w:p w14:paraId="5AE6983C">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根据《中华人民共和国</w:t>
      </w:r>
      <w:r>
        <w:rPr>
          <w:rFonts w:hint="eastAsia" w:ascii="宋体" w:hAnsi="宋体" w:eastAsia="宋体" w:cs="Times New Roman"/>
          <w:color w:val="auto"/>
          <w:sz w:val="21"/>
          <w:szCs w:val="21"/>
          <w:highlight w:val="none"/>
          <w:lang w:eastAsia="zh-CN"/>
        </w:rPr>
        <w:t>民法典</w:t>
      </w:r>
      <w:r>
        <w:rPr>
          <w:rFonts w:ascii="宋体" w:hAnsi="宋体" w:eastAsia="宋体" w:cs="Times New Roman"/>
          <w:color w:val="auto"/>
          <w:sz w:val="21"/>
          <w:szCs w:val="21"/>
          <w:highlight w:val="none"/>
        </w:rPr>
        <w:t>》、《中华人民共和国建筑法》及有关法律规定，遵循平等、自愿、公平和诚实信用的原则，双方就</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工程施工及有关事项协商一致，共同达成如下协议：</w:t>
      </w:r>
    </w:p>
    <w:p w14:paraId="3CE283A8">
      <w:pPr>
        <w:keepNext w:val="0"/>
        <w:keepLines w:val="0"/>
        <w:widowControl w:val="0"/>
        <w:spacing w:before="140" w:after="140" w:line="340" w:lineRule="exact"/>
        <w:ind w:firstLine="118"/>
        <w:jc w:val="both"/>
        <w:outlineLvl w:val="2"/>
        <w:rPr>
          <w:rFonts w:hint="default" w:ascii="宋体" w:hAnsi="Arial" w:eastAsia="宋体" w:cs="Arial"/>
          <w:b/>
          <w:color w:val="auto"/>
          <w:sz w:val="21"/>
          <w:szCs w:val="21"/>
          <w:highlight w:val="none"/>
          <w:lang w:val="en-US" w:eastAsia="zh-CN" w:bidi="ar-SA"/>
        </w:rPr>
      </w:pPr>
      <w:bookmarkStart w:id="159" w:name="_Toc351203481"/>
      <w:r>
        <w:rPr>
          <w:rFonts w:hint="default" w:ascii="宋体" w:hAnsi="Arial" w:eastAsia="宋体" w:cs="Arial"/>
          <w:b/>
          <w:color w:val="auto"/>
          <w:sz w:val="21"/>
          <w:szCs w:val="21"/>
          <w:highlight w:val="none"/>
          <w:lang w:val="en-US" w:eastAsia="zh-CN" w:bidi="ar-SA"/>
        </w:rPr>
        <w:t>一、工程概况</w:t>
      </w:r>
      <w:bookmarkEnd w:id="159"/>
    </w:p>
    <w:p w14:paraId="215FA4D0">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bCs/>
          <w:color w:val="auto"/>
          <w:sz w:val="21"/>
          <w:szCs w:val="21"/>
          <w:highlight w:val="none"/>
        </w:rPr>
        <w:t>1.工程名称</w:t>
      </w:r>
      <w:r>
        <w:rPr>
          <w:rFonts w:ascii="宋体" w:hAnsi="宋体" w:eastAsia="宋体" w:cs="Times New Roman"/>
          <w:color w:val="auto"/>
          <w:sz w:val="21"/>
          <w:szCs w:val="21"/>
          <w:highlight w:val="none"/>
        </w:rPr>
        <w:t>：</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2F364EE5">
      <w:pPr>
        <w:spacing w:line="400" w:lineRule="exact"/>
        <w:ind w:firstLine="420"/>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2.工程地点</w:t>
      </w:r>
      <w:r>
        <w:rPr>
          <w:rFonts w:ascii="宋体" w:hAnsi="宋体" w:eastAsia="宋体" w:cs="Times New Roman"/>
          <w:color w:val="auto"/>
          <w:sz w:val="21"/>
          <w:szCs w:val="21"/>
          <w:highlight w:val="none"/>
        </w:rPr>
        <w:t>：</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射阳县境内</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3345A0FD">
      <w:pPr>
        <w:spacing w:line="400" w:lineRule="exact"/>
        <w:ind w:firstLine="420"/>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3.工程立项批准文号</w:t>
      </w:r>
      <w:r>
        <w:rPr>
          <w:rFonts w:ascii="宋体" w:hAnsi="宋体" w:eastAsia="宋体" w:cs="Times New Roman"/>
          <w:color w:val="auto"/>
          <w:sz w:val="21"/>
          <w:szCs w:val="21"/>
          <w:highlight w:val="none"/>
        </w:rPr>
        <w:t>：</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40B02D60">
      <w:pPr>
        <w:spacing w:line="400" w:lineRule="exact"/>
        <w:ind w:firstLine="420"/>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4.资金来源</w:t>
      </w:r>
      <w:r>
        <w:rPr>
          <w:rFonts w:ascii="宋体" w:hAnsi="宋体" w:eastAsia="宋体" w:cs="Times New Roman"/>
          <w:color w:val="auto"/>
          <w:sz w:val="21"/>
          <w:szCs w:val="21"/>
          <w:highlight w:val="none"/>
        </w:rPr>
        <w:t>：</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财政资金</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400CFF65">
      <w:pPr>
        <w:spacing w:line="400" w:lineRule="exact"/>
        <w:ind w:firstLine="420"/>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5.工程内容</w:t>
      </w:r>
      <w:r>
        <w:rPr>
          <w:rFonts w:ascii="宋体" w:hAnsi="宋体" w:eastAsia="宋体" w:cs="Times New Roman"/>
          <w:color w:val="auto"/>
          <w:sz w:val="21"/>
          <w:szCs w:val="21"/>
          <w:highlight w:val="none"/>
        </w:rPr>
        <w:t>：</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5B5786FB">
      <w:pPr>
        <w:spacing w:line="400" w:lineRule="exact"/>
        <w:ind w:firstLine="420"/>
        <w:rPr>
          <w:rFonts w:ascii="宋体" w:hAnsi="宋体" w:eastAsia="宋体" w:cs="Times New Roman"/>
          <w:bCs/>
          <w:color w:val="auto"/>
          <w:sz w:val="21"/>
          <w:szCs w:val="21"/>
          <w:highlight w:val="none"/>
        </w:rPr>
      </w:pPr>
      <w:r>
        <w:rPr>
          <w:rFonts w:ascii="宋体" w:hAnsi="宋体" w:eastAsia="宋体" w:cs="Times New Roman"/>
          <w:color w:val="auto"/>
          <w:sz w:val="21"/>
          <w:szCs w:val="21"/>
          <w:highlight w:val="none"/>
        </w:rPr>
        <w:t>群体工程应附《承包人承揽工程项目一览表》（附件1）。</w:t>
      </w:r>
    </w:p>
    <w:p w14:paraId="4EF1813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bCs/>
          <w:color w:val="auto"/>
          <w:sz w:val="21"/>
          <w:szCs w:val="21"/>
          <w:highlight w:val="none"/>
        </w:rPr>
        <w:t>6.工程承包范围：</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图纸及工程量清单内的全部内容</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337F608B">
      <w:pPr>
        <w:keepNext w:val="0"/>
        <w:keepLines w:val="0"/>
        <w:widowControl w:val="0"/>
        <w:spacing w:before="140" w:after="140" w:line="340" w:lineRule="exact"/>
        <w:ind w:firstLine="118"/>
        <w:jc w:val="both"/>
        <w:outlineLvl w:val="2"/>
        <w:rPr>
          <w:rFonts w:hint="default" w:ascii="宋体" w:hAnsi="Arial" w:eastAsia="宋体" w:cs="Arial"/>
          <w:b/>
          <w:color w:val="auto"/>
          <w:sz w:val="21"/>
          <w:szCs w:val="21"/>
          <w:highlight w:val="none"/>
          <w:lang w:val="en-US" w:eastAsia="zh-CN" w:bidi="ar-SA"/>
        </w:rPr>
      </w:pPr>
      <w:bookmarkStart w:id="160" w:name="_Toc351203482"/>
      <w:r>
        <w:rPr>
          <w:rFonts w:hint="default" w:ascii="宋体" w:hAnsi="Arial" w:eastAsia="宋体" w:cs="Arial"/>
          <w:b/>
          <w:color w:val="auto"/>
          <w:sz w:val="21"/>
          <w:szCs w:val="21"/>
          <w:highlight w:val="none"/>
          <w:lang w:val="en-US" w:eastAsia="zh-CN" w:bidi="ar-SA"/>
        </w:rPr>
        <w:t>二、合同工期</w:t>
      </w:r>
      <w:bookmarkEnd w:id="160"/>
    </w:p>
    <w:p w14:paraId="7C33083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计划开工日期：</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2026</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年</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月</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日。</w:t>
      </w:r>
    </w:p>
    <w:p w14:paraId="643C331B">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计划竣工日期：</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2026 </w:t>
      </w:r>
      <w:r>
        <w:rPr>
          <w:rFonts w:ascii="宋体" w:hAnsi="宋体" w:eastAsia="宋体" w:cs="Times New Roman"/>
          <w:color w:val="auto"/>
          <w:sz w:val="21"/>
          <w:szCs w:val="21"/>
          <w:highlight w:val="none"/>
        </w:rPr>
        <w:t>年</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月</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日。</w:t>
      </w:r>
    </w:p>
    <w:p w14:paraId="2E8D41F1">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工期总日历天数：</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rPr>
        <w:t>日历</w:t>
      </w:r>
      <w:r>
        <w:rPr>
          <w:rFonts w:ascii="宋体" w:hAnsi="宋体" w:eastAsia="宋体" w:cs="Times New Roman"/>
          <w:color w:val="auto"/>
          <w:sz w:val="21"/>
          <w:szCs w:val="21"/>
          <w:highlight w:val="none"/>
        </w:rPr>
        <w:t>天。工期总日历天数与根据前述计划开竣工日期计算的工期天数不一致的，以工期总日历天数为准。</w:t>
      </w:r>
    </w:p>
    <w:p w14:paraId="2678035C">
      <w:pPr>
        <w:keepNext w:val="0"/>
        <w:keepLines w:val="0"/>
        <w:widowControl w:val="0"/>
        <w:spacing w:before="140" w:after="140" w:line="340" w:lineRule="exact"/>
        <w:ind w:firstLine="118"/>
        <w:jc w:val="both"/>
        <w:outlineLvl w:val="2"/>
        <w:rPr>
          <w:rFonts w:hint="default" w:ascii="宋体" w:hAnsi="Arial" w:eastAsia="宋体" w:cs="Arial"/>
          <w:b/>
          <w:color w:val="auto"/>
          <w:sz w:val="21"/>
          <w:szCs w:val="21"/>
          <w:highlight w:val="none"/>
          <w:lang w:val="en-US" w:eastAsia="zh-CN" w:bidi="ar-SA"/>
        </w:rPr>
      </w:pPr>
      <w:bookmarkStart w:id="161" w:name="_Toc351203483"/>
      <w:r>
        <w:rPr>
          <w:rFonts w:hint="default" w:ascii="宋体" w:hAnsi="Arial" w:eastAsia="宋体" w:cs="Arial"/>
          <w:b/>
          <w:color w:val="auto"/>
          <w:sz w:val="21"/>
          <w:szCs w:val="21"/>
          <w:highlight w:val="none"/>
          <w:lang w:val="en-US" w:eastAsia="zh-CN" w:bidi="ar-SA"/>
        </w:rPr>
        <w:t>三、质量标准</w:t>
      </w:r>
      <w:bookmarkEnd w:id="161"/>
    </w:p>
    <w:p w14:paraId="429420C8">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工程质量符合</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合格</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标准。</w:t>
      </w:r>
    </w:p>
    <w:p w14:paraId="11117323">
      <w:pPr>
        <w:keepNext w:val="0"/>
        <w:keepLines w:val="0"/>
        <w:widowControl w:val="0"/>
        <w:spacing w:before="140" w:after="140" w:line="340" w:lineRule="exact"/>
        <w:ind w:firstLine="118"/>
        <w:jc w:val="both"/>
        <w:outlineLvl w:val="2"/>
        <w:rPr>
          <w:rFonts w:hint="default" w:ascii="宋体" w:hAnsi="Arial" w:eastAsia="宋体" w:cs="Arial"/>
          <w:b/>
          <w:color w:val="auto"/>
          <w:sz w:val="21"/>
          <w:szCs w:val="21"/>
          <w:highlight w:val="none"/>
          <w:lang w:val="en-US" w:eastAsia="zh-CN" w:bidi="ar-SA"/>
        </w:rPr>
      </w:pPr>
      <w:bookmarkStart w:id="162" w:name="_Toc351203484"/>
      <w:r>
        <w:rPr>
          <w:rFonts w:hint="default" w:ascii="宋体" w:hAnsi="Arial" w:eastAsia="宋体" w:cs="Arial"/>
          <w:b/>
          <w:color w:val="auto"/>
          <w:sz w:val="21"/>
          <w:szCs w:val="21"/>
          <w:highlight w:val="none"/>
          <w:lang w:val="en-US" w:eastAsia="zh-CN" w:bidi="ar-SA"/>
        </w:rPr>
        <w:t>四、签约合同价与合同价格形式</w:t>
      </w:r>
      <w:bookmarkEnd w:id="162"/>
    </w:p>
    <w:p w14:paraId="765FDF9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1.签约合同价为：</w:t>
      </w:r>
    </w:p>
    <w:p w14:paraId="3256DBE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人民币（大写）</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分</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rPr>
        <w:t>元)；</w:t>
      </w:r>
    </w:p>
    <w:p w14:paraId="0978A9B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其中：</w:t>
      </w:r>
    </w:p>
    <w:p w14:paraId="76DE93DC">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（1）安全文明施工费：</w:t>
      </w:r>
    </w:p>
    <w:p w14:paraId="6538D5CE">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人民币（大写）</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rPr>
        <w:t>元)；</w:t>
      </w:r>
    </w:p>
    <w:p w14:paraId="176ABC6E">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（2）材料和工程设备暂估价金额：</w:t>
      </w:r>
    </w:p>
    <w:p w14:paraId="77FE7E8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人民币（大写）</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元)；</w:t>
      </w:r>
    </w:p>
    <w:p w14:paraId="0F6C220D">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（3）专业工程暂估价金额：</w:t>
      </w:r>
    </w:p>
    <w:p w14:paraId="35B49F4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人民币（大写）</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元)；</w:t>
      </w:r>
    </w:p>
    <w:p w14:paraId="3183766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（4）暂列金额：</w:t>
      </w:r>
    </w:p>
    <w:p w14:paraId="6944DB1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人民币（大写）</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元)。</w:t>
      </w:r>
    </w:p>
    <w:p w14:paraId="52A9C5B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2.合同价格形式：</w:t>
      </w:r>
      <w:r>
        <w:rPr>
          <w:rFonts w:hint="eastAsia" w:ascii="宋体" w:hAnsi="宋体" w:eastAsia="宋体" w:cs="Times New Roman"/>
          <w:color w:val="auto"/>
          <w:sz w:val="21"/>
          <w:szCs w:val="21"/>
          <w:highlight w:val="non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39563A85">
      <w:pPr>
        <w:keepNext w:val="0"/>
        <w:keepLines w:val="0"/>
        <w:widowControl w:val="0"/>
        <w:spacing w:before="140" w:after="140" w:line="340" w:lineRule="exact"/>
        <w:ind w:firstLine="118"/>
        <w:jc w:val="both"/>
        <w:outlineLvl w:val="2"/>
        <w:rPr>
          <w:rFonts w:hint="default" w:ascii="宋体" w:hAnsi="Arial" w:eastAsia="宋体" w:cs="Arial"/>
          <w:b/>
          <w:color w:val="auto"/>
          <w:sz w:val="21"/>
          <w:szCs w:val="21"/>
          <w:highlight w:val="none"/>
          <w:lang w:val="en-US" w:eastAsia="zh-CN" w:bidi="ar-SA"/>
        </w:rPr>
      </w:pPr>
      <w:bookmarkStart w:id="163" w:name="_Toc351203485"/>
      <w:r>
        <w:rPr>
          <w:rFonts w:hint="default" w:ascii="宋体" w:hAnsi="Arial" w:eastAsia="宋体" w:cs="Arial"/>
          <w:b/>
          <w:color w:val="auto"/>
          <w:sz w:val="21"/>
          <w:szCs w:val="21"/>
          <w:highlight w:val="none"/>
          <w:lang w:val="en-US" w:eastAsia="zh-CN" w:bidi="ar-SA"/>
        </w:rPr>
        <w:t>五、</w:t>
      </w:r>
      <w:bookmarkEnd w:id="163"/>
      <w:r>
        <w:rPr>
          <w:rFonts w:hint="default" w:ascii="宋体" w:hAnsi="Arial" w:eastAsia="宋体" w:cs="Arial"/>
          <w:b/>
          <w:color w:val="auto"/>
          <w:sz w:val="21"/>
          <w:szCs w:val="21"/>
          <w:highlight w:val="none"/>
          <w:lang w:val="en-US" w:eastAsia="zh-CN" w:bidi="ar-SA"/>
        </w:rPr>
        <w:t>项目经理</w:t>
      </w:r>
    </w:p>
    <w:p w14:paraId="6AC49ED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承包人项目经理：</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397FD51D">
      <w:pPr>
        <w:keepNext w:val="0"/>
        <w:keepLines w:val="0"/>
        <w:widowControl w:val="0"/>
        <w:spacing w:before="140" w:after="140" w:line="340" w:lineRule="exact"/>
        <w:ind w:firstLine="118"/>
        <w:jc w:val="both"/>
        <w:outlineLvl w:val="2"/>
        <w:rPr>
          <w:rFonts w:hint="default" w:ascii="宋体" w:hAnsi="Arial" w:eastAsia="宋体" w:cs="Arial"/>
          <w:b/>
          <w:color w:val="auto"/>
          <w:sz w:val="21"/>
          <w:szCs w:val="21"/>
          <w:highlight w:val="none"/>
          <w:lang w:val="en-US" w:eastAsia="zh-CN" w:bidi="ar-SA"/>
        </w:rPr>
      </w:pPr>
      <w:bookmarkStart w:id="164" w:name="_Toc351203486"/>
      <w:r>
        <w:rPr>
          <w:rFonts w:hint="default" w:ascii="宋体" w:hAnsi="Arial" w:eastAsia="宋体" w:cs="Arial"/>
          <w:b/>
          <w:color w:val="auto"/>
          <w:sz w:val="21"/>
          <w:szCs w:val="21"/>
          <w:highlight w:val="none"/>
          <w:lang w:val="en-US" w:eastAsia="zh-CN" w:bidi="ar-SA"/>
        </w:rPr>
        <w:t>六、合同文件构成</w:t>
      </w:r>
      <w:bookmarkEnd w:id="164"/>
    </w:p>
    <w:p w14:paraId="226D8C61">
      <w:pPr>
        <w:spacing w:line="400" w:lineRule="exact"/>
        <w:ind w:firstLine="420"/>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本协议书与下列文件一起构成合同文件：</w:t>
      </w:r>
    </w:p>
    <w:p w14:paraId="3E315F41">
      <w:pPr>
        <w:spacing w:line="400" w:lineRule="exact"/>
        <w:ind w:firstLine="420"/>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（1）中标通知书（如果有）；</w:t>
      </w:r>
    </w:p>
    <w:p w14:paraId="3F457CBA">
      <w:pPr>
        <w:spacing w:line="400" w:lineRule="exact"/>
        <w:ind w:firstLine="420"/>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（2）投标函及其附录（如果有）； </w:t>
      </w:r>
    </w:p>
    <w:p w14:paraId="44D705B1">
      <w:pPr>
        <w:spacing w:line="400" w:lineRule="exact"/>
        <w:ind w:firstLine="420"/>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（3）专用合同条款及其附件；</w:t>
      </w:r>
    </w:p>
    <w:p w14:paraId="0FFD7CF3">
      <w:pPr>
        <w:spacing w:line="400" w:lineRule="exact"/>
        <w:ind w:firstLine="420"/>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（4）通用合同条款；</w:t>
      </w:r>
    </w:p>
    <w:p w14:paraId="3D48C663">
      <w:pPr>
        <w:spacing w:line="400" w:lineRule="exact"/>
        <w:ind w:firstLine="420"/>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（5）技术标准和要求；</w:t>
      </w:r>
    </w:p>
    <w:p w14:paraId="06EF1BAA">
      <w:pPr>
        <w:spacing w:line="400" w:lineRule="exact"/>
        <w:ind w:firstLine="420"/>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（6）图纸；</w:t>
      </w:r>
    </w:p>
    <w:p w14:paraId="21EA8FC7">
      <w:pPr>
        <w:spacing w:line="400" w:lineRule="exact"/>
        <w:ind w:firstLine="420"/>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（7）已标价工程量清单或预算书；</w:t>
      </w:r>
    </w:p>
    <w:p w14:paraId="7145A6C2">
      <w:pPr>
        <w:spacing w:line="400" w:lineRule="exact"/>
        <w:ind w:firstLine="420"/>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（8）其他合同文件。</w:t>
      </w:r>
    </w:p>
    <w:p w14:paraId="056BD44C">
      <w:pPr>
        <w:spacing w:line="400" w:lineRule="exact"/>
        <w:ind w:firstLine="420"/>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在合同订立及履行过程中形成的与合同有关的文件均构成合同文件组成部分。</w:t>
      </w:r>
    </w:p>
    <w:p w14:paraId="4167D703">
      <w:pPr>
        <w:spacing w:line="400" w:lineRule="exact"/>
        <w:ind w:firstLine="420"/>
        <w:jc w:val="lef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641CD7D6">
      <w:pPr>
        <w:keepNext w:val="0"/>
        <w:keepLines w:val="0"/>
        <w:widowControl w:val="0"/>
        <w:spacing w:before="140" w:after="140" w:line="340" w:lineRule="exact"/>
        <w:ind w:firstLine="118"/>
        <w:jc w:val="both"/>
        <w:outlineLvl w:val="2"/>
        <w:rPr>
          <w:rFonts w:hint="default" w:ascii="宋体" w:hAnsi="Arial" w:eastAsia="宋体" w:cs="Arial"/>
          <w:b/>
          <w:color w:val="auto"/>
          <w:sz w:val="21"/>
          <w:szCs w:val="21"/>
          <w:highlight w:val="none"/>
          <w:lang w:val="en-US" w:eastAsia="zh-CN" w:bidi="ar-SA"/>
        </w:rPr>
      </w:pPr>
      <w:bookmarkStart w:id="165" w:name="_Toc351203487"/>
      <w:r>
        <w:rPr>
          <w:rFonts w:hint="default" w:ascii="宋体" w:hAnsi="Arial" w:eastAsia="宋体" w:cs="Arial"/>
          <w:b/>
          <w:color w:val="auto"/>
          <w:sz w:val="21"/>
          <w:szCs w:val="21"/>
          <w:highlight w:val="none"/>
          <w:lang w:val="en-US" w:eastAsia="zh-CN" w:bidi="ar-SA"/>
        </w:rPr>
        <w:t>七、承诺</w:t>
      </w:r>
      <w:bookmarkEnd w:id="165"/>
    </w:p>
    <w:p w14:paraId="4995BE14">
      <w:pPr>
        <w:spacing w:line="400" w:lineRule="exact"/>
        <w:ind w:firstLine="420"/>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1.发包人承诺按照法律规定履行项目审批手续、筹集工程建设资金并按照合同约定的期限和方式支付合同价款。</w:t>
      </w:r>
    </w:p>
    <w:p w14:paraId="2279F747">
      <w:pPr>
        <w:spacing w:line="400" w:lineRule="exact"/>
        <w:ind w:firstLine="420"/>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317330F0">
      <w:pPr>
        <w:spacing w:line="400" w:lineRule="exact"/>
        <w:ind w:firstLine="420"/>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3.发包人和承包人通过招投标形式签订合同的，双方理解并承诺不再就同一工程另行签订与合同实质性内容相背离的协议。</w:t>
      </w:r>
    </w:p>
    <w:p w14:paraId="748B7A4A">
      <w:pPr>
        <w:keepNext w:val="0"/>
        <w:keepLines w:val="0"/>
        <w:widowControl w:val="0"/>
        <w:spacing w:before="140" w:after="140" w:line="340" w:lineRule="exact"/>
        <w:ind w:firstLine="118"/>
        <w:jc w:val="both"/>
        <w:outlineLvl w:val="2"/>
        <w:rPr>
          <w:rFonts w:hint="default" w:ascii="宋体" w:hAnsi="Arial" w:eastAsia="宋体" w:cs="Arial"/>
          <w:b/>
          <w:color w:val="auto"/>
          <w:sz w:val="21"/>
          <w:szCs w:val="21"/>
          <w:highlight w:val="none"/>
          <w:lang w:val="en-US" w:eastAsia="zh-CN" w:bidi="ar-SA"/>
        </w:rPr>
      </w:pPr>
      <w:bookmarkStart w:id="166" w:name="_Toc351203488"/>
      <w:r>
        <w:rPr>
          <w:rFonts w:hint="default" w:ascii="宋体" w:hAnsi="Arial" w:eastAsia="宋体" w:cs="Arial"/>
          <w:b/>
          <w:color w:val="auto"/>
          <w:sz w:val="21"/>
          <w:szCs w:val="21"/>
          <w:highlight w:val="none"/>
          <w:lang w:val="en-US" w:eastAsia="zh-CN" w:bidi="ar-SA"/>
        </w:rPr>
        <w:t>八、词语含义</w:t>
      </w:r>
      <w:bookmarkEnd w:id="166"/>
    </w:p>
    <w:p w14:paraId="3AC11DB3">
      <w:pPr>
        <w:spacing w:line="400" w:lineRule="exact"/>
        <w:ind w:firstLine="420"/>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本协议书中词语含义与第二部分通用合同条款中赋予的含义相同。</w:t>
      </w:r>
    </w:p>
    <w:p w14:paraId="174D66AE">
      <w:pPr>
        <w:keepNext w:val="0"/>
        <w:keepLines w:val="0"/>
        <w:widowControl w:val="0"/>
        <w:spacing w:before="140" w:after="140" w:line="340" w:lineRule="exact"/>
        <w:ind w:firstLine="118"/>
        <w:jc w:val="both"/>
        <w:outlineLvl w:val="2"/>
        <w:rPr>
          <w:rFonts w:hint="default" w:ascii="宋体" w:hAnsi="Arial" w:eastAsia="宋体" w:cs="Arial"/>
          <w:b/>
          <w:color w:val="auto"/>
          <w:sz w:val="21"/>
          <w:szCs w:val="21"/>
          <w:highlight w:val="none"/>
          <w:lang w:val="en-US" w:eastAsia="zh-CN" w:bidi="ar-SA"/>
        </w:rPr>
      </w:pPr>
      <w:bookmarkStart w:id="167" w:name="_Toc351203489"/>
      <w:r>
        <w:rPr>
          <w:rFonts w:hint="default" w:ascii="宋体" w:hAnsi="Arial" w:eastAsia="宋体" w:cs="Arial"/>
          <w:b/>
          <w:color w:val="auto"/>
          <w:sz w:val="21"/>
          <w:szCs w:val="21"/>
          <w:highlight w:val="none"/>
          <w:lang w:val="en-US" w:eastAsia="zh-CN" w:bidi="ar-SA"/>
        </w:rPr>
        <w:t>九、签订时间</w:t>
      </w:r>
      <w:bookmarkEnd w:id="167"/>
    </w:p>
    <w:p w14:paraId="3C4B42E0">
      <w:pPr>
        <w:spacing w:line="400" w:lineRule="exact"/>
        <w:ind w:firstLine="420"/>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本合同于</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lang w:val="en-US" w:eastAsia="zh-CN"/>
        </w:rPr>
        <w:t>2026</w:t>
      </w:r>
      <w:r>
        <w:rPr>
          <w:rFonts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rPr>
        <w:t>年</w:t>
      </w:r>
      <w:r>
        <w:rPr>
          <w:rFonts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rPr>
        <w:t>月</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rPr>
        <w:t>日签订。</w:t>
      </w:r>
    </w:p>
    <w:p w14:paraId="5EC9AC91">
      <w:pPr>
        <w:keepNext w:val="0"/>
        <w:keepLines w:val="0"/>
        <w:widowControl w:val="0"/>
        <w:spacing w:before="140" w:after="140" w:line="340" w:lineRule="exact"/>
        <w:ind w:firstLine="118"/>
        <w:jc w:val="both"/>
        <w:outlineLvl w:val="2"/>
        <w:rPr>
          <w:rFonts w:hint="default" w:ascii="宋体" w:hAnsi="Arial" w:eastAsia="宋体" w:cs="Arial"/>
          <w:b/>
          <w:color w:val="auto"/>
          <w:sz w:val="21"/>
          <w:szCs w:val="21"/>
          <w:highlight w:val="none"/>
          <w:lang w:val="en-US" w:eastAsia="zh-CN" w:bidi="ar-SA"/>
        </w:rPr>
      </w:pPr>
      <w:bookmarkStart w:id="168" w:name="_Toc351203490"/>
      <w:r>
        <w:rPr>
          <w:rFonts w:hint="default" w:ascii="宋体" w:hAnsi="Arial" w:eastAsia="宋体" w:cs="Arial"/>
          <w:b/>
          <w:color w:val="auto"/>
          <w:sz w:val="21"/>
          <w:szCs w:val="21"/>
          <w:highlight w:val="none"/>
          <w:lang w:val="en-US" w:eastAsia="zh-CN" w:bidi="ar-SA"/>
        </w:rPr>
        <w:t>十、签订地点</w:t>
      </w:r>
      <w:bookmarkEnd w:id="168"/>
    </w:p>
    <w:p w14:paraId="7AB9FB81">
      <w:pPr>
        <w:spacing w:line="400" w:lineRule="exact"/>
        <w:ind w:firstLine="420"/>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本合同在</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lang w:val="en-US" w:eastAsia="zh-CN"/>
        </w:rPr>
        <w:t xml:space="preserve">                  </w:t>
      </w:r>
      <w:r>
        <w:rPr>
          <w:rFonts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rPr>
        <w:t>签订。</w:t>
      </w:r>
    </w:p>
    <w:p w14:paraId="49ACAD6F">
      <w:pPr>
        <w:keepNext w:val="0"/>
        <w:keepLines w:val="0"/>
        <w:widowControl w:val="0"/>
        <w:spacing w:before="140" w:after="140" w:line="340" w:lineRule="exact"/>
        <w:ind w:firstLine="118"/>
        <w:jc w:val="both"/>
        <w:outlineLvl w:val="2"/>
        <w:rPr>
          <w:rFonts w:hint="default" w:ascii="宋体" w:hAnsi="Arial" w:eastAsia="宋体" w:cs="Arial"/>
          <w:b/>
          <w:color w:val="auto"/>
          <w:sz w:val="21"/>
          <w:szCs w:val="21"/>
          <w:highlight w:val="none"/>
          <w:lang w:val="en-US" w:eastAsia="zh-CN" w:bidi="ar-SA"/>
        </w:rPr>
      </w:pPr>
      <w:bookmarkStart w:id="169" w:name="_Toc351203491"/>
      <w:r>
        <w:rPr>
          <w:rFonts w:hint="default" w:ascii="宋体" w:hAnsi="Arial" w:eastAsia="宋体" w:cs="Arial"/>
          <w:b/>
          <w:color w:val="auto"/>
          <w:sz w:val="21"/>
          <w:szCs w:val="21"/>
          <w:highlight w:val="none"/>
          <w:lang w:val="en-US" w:eastAsia="zh-CN" w:bidi="ar-SA"/>
        </w:rPr>
        <w:t>十一、补充协议</w:t>
      </w:r>
      <w:bookmarkEnd w:id="169"/>
    </w:p>
    <w:p w14:paraId="44072847">
      <w:pPr>
        <w:spacing w:line="400" w:lineRule="exact"/>
        <w:ind w:firstLine="42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合同未尽事宜，合同当事人另行签订补充协议，补充协议是合同的组成部分。</w:t>
      </w:r>
    </w:p>
    <w:p w14:paraId="73BF091C">
      <w:pPr>
        <w:keepNext w:val="0"/>
        <w:keepLines w:val="0"/>
        <w:widowControl w:val="0"/>
        <w:spacing w:before="140" w:after="140" w:line="340" w:lineRule="exact"/>
        <w:ind w:firstLine="118"/>
        <w:jc w:val="both"/>
        <w:outlineLvl w:val="2"/>
        <w:rPr>
          <w:rFonts w:hint="default" w:ascii="宋体" w:hAnsi="Arial" w:eastAsia="宋体" w:cs="Arial"/>
          <w:b/>
          <w:color w:val="auto"/>
          <w:sz w:val="21"/>
          <w:szCs w:val="21"/>
          <w:highlight w:val="none"/>
          <w:lang w:val="en-US" w:eastAsia="zh-CN" w:bidi="ar-SA"/>
        </w:rPr>
      </w:pPr>
      <w:bookmarkStart w:id="170" w:name="_Toc351203492"/>
      <w:r>
        <w:rPr>
          <w:rFonts w:hint="default" w:ascii="宋体" w:hAnsi="Arial" w:eastAsia="宋体" w:cs="Arial"/>
          <w:b/>
          <w:color w:val="auto"/>
          <w:sz w:val="21"/>
          <w:szCs w:val="21"/>
          <w:highlight w:val="none"/>
          <w:lang w:val="en-US" w:eastAsia="zh-CN" w:bidi="ar-SA"/>
        </w:rPr>
        <w:t>十二、合同生效</w:t>
      </w:r>
      <w:bookmarkEnd w:id="170"/>
    </w:p>
    <w:p w14:paraId="17E74596">
      <w:pPr>
        <w:spacing w:line="400" w:lineRule="exact"/>
        <w:ind w:firstLine="420"/>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本合同自</w:t>
      </w:r>
      <w:r>
        <w:rPr>
          <w:rFonts w:ascii="宋体" w:hAnsi="宋体" w:eastAsia="宋体" w:cs="Times New Roman"/>
          <w:bCs/>
          <w:color w:val="auto"/>
          <w:sz w:val="21"/>
          <w:szCs w:val="21"/>
          <w:highlight w:val="none"/>
          <w:u w:val="single"/>
        </w:rPr>
        <w:t xml:space="preserve"> 签字</w:t>
      </w:r>
      <w:r>
        <w:rPr>
          <w:rFonts w:hint="eastAsia" w:ascii="宋体" w:hAnsi="宋体" w:eastAsia="宋体" w:cs="Times New Roman"/>
          <w:bCs/>
          <w:color w:val="auto"/>
          <w:sz w:val="21"/>
          <w:szCs w:val="21"/>
          <w:highlight w:val="none"/>
          <w:u w:val="single"/>
        </w:rPr>
        <w:t>、</w:t>
      </w:r>
      <w:r>
        <w:rPr>
          <w:rFonts w:ascii="宋体" w:hAnsi="宋体" w:eastAsia="宋体" w:cs="Times New Roman"/>
          <w:bCs/>
          <w:color w:val="auto"/>
          <w:sz w:val="21"/>
          <w:szCs w:val="21"/>
          <w:highlight w:val="none"/>
          <w:u w:val="single"/>
        </w:rPr>
        <w:t xml:space="preserve">盖章并缴纳履约保证金后 </w:t>
      </w:r>
      <w:r>
        <w:rPr>
          <w:rFonts w:ascii="宋体" w:hAnsi="宋体" w:eastAsia="宋体" w:cs="Times New Roman"/>
          <w:bCs/>
          <w:color w:val="auto"/>
          <w:sz w:val="21"/>
          <w:szCs w:val="21"/>
          <w:highlight w:val="none"/>
        </w:rPr>
        <w:t>生效。</w:t>
      </w:r>
    </w:p>
    <w:p w14:paraId="261FD3D5">
      <w:pPr>
        <w:keepNext w:val="0"/>
        <w:keepLines w:val="0"/>
        <w:widowControl w:val="0"/>
        <w:spacing w:before="140" w:after="140" w:line="340" w:lineRule="exact"/>
        <w:ind w:firstLine="118"/>
        <w:jc w:val="both"/>
        <w:outlineLvl w:val="2"/>
        <w:rPr>
          <w:rFonts w:hint="default" w:ascii="宋体" w:hAnsi="Arial" w:eastAsia="宋体" w:cs="Arial"/>
          <w:b/>
          <w:color w:val="auto"/>
          <w:sz w:val="21"/>
          <w:szCs w:val="21"/>
          <w:highlight w:val="none"/>
          <w:lang w:val="en-US" w:eastAsia="zh-CN" w:bidi="ar-SA"/>
        </w:rPr>
      </w:pPr>
      <w:bookmarkStart w:id="171" w:name="_Toc351203493"/>
      <w:r>
        <w:rPr>
          <w:rFonts w:hint="default" w:ascii="宋体" w:hAnsi="Arial" w:eastAsia="宋体" w:cs="Arial"/>
          <w:b/>
          <w:color w:val="auto"/>
          <w:sz w:val="21"/>
          <w:szCs w:val="21"/>
          <w:highlight w:val="none"/>
          <w:lang w:val="en-US" w:eastAsia="zh-CN" w:bidi="ar-SA"/>
        </w:rPr>
        <w:t>十三、合同份数</w:t>
      </w:r>
      <w:bookmarkEnd w:id="171"/>
    </w:p>
    <w:p w14:paraId="329CD82A">
      <w:pPr>
        <w:spacing w:line="400" w:lineRule="exact"/>
        <w:ind w:firstLine="420"/>
        <w:rPr>
          <w:rFonts w:ascii="宋体" w:hAnsi="宋体" w:eastAsia="宋体" w:cs="Times New Roman"/>
          <w:bCs/>
          <w:color w:val="auto"/>
          <w:sz w:val="21"/>
          <w:szCs w:val="21"/>
          <w:highlight w:val="none"/>
        </w:rPr>
      </w:pPr>
      <w:r>
        <w:rPr>
          <w:rFonts w:ascii="宋体" w:hAnsi="宋体" w:eastAsia="宋体" w:cs="Times New Roman"/>
          <w:bCs/>
          <w:color w:val="auto"/>
          <w:sz w:val="21"/>
          <w:szCs w:val="21"/>
          <w:highlight w:val="none"/>
        </w:rPr>
        <w:t>本合同一式</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rPr>
        <w:t>捌</w:t>
      </w:r>
      <w:r>
        <w:rPr>
          <w:rFonts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rPr>
        <w:t>份，均具有同等法律效力，发包人执</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rPr>
        <w:t>叁</w:t>
      </w:r>
      <w:r>
        <w:rPr>
          <w:rFonts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rPr>
        <w:t>份，承包人执</w:t>
      </w:r>
      <w:r>
        <w:rPr>
          <w:rFonts w:ascii="宋体" w:hAnsi="宋体" w:eastAsia="宋体" w:cs="Times New Roman"/>
          <w:bCs/>
          <w:color w:val="auto"/>
          <w:sz w:val="21"/>
          <w:szCs w:val="21"/>
          <w:highlight w:val="none"/>
          <w:u w:val="single"/>
        </w:rPr>
        <w:t xml:space="preserve"> </w:t>
      </w:r>
      <w:r>
        <w:rPr>
          <w:rFonts w:hint="eastAsia" w:ascii="宋体" w:hAnsi="宋体" w:eastAsia="宋体" w:cs="Times New Roman"/>
          <w:bCs/>
          <w:color w:val="auto"/>
          <w:sz w:val="21"/>
          <w:szCs w:val="21"/>
          <w:highlight w:val="none"/>
          <w:u w:val="single"/>
        </w:rPr>
        <w:t>伍</w:t>
      </w:r>
      <w:r>
        <w:rPr>
          <w:rFonts w:ascii="宋体" w:hAnsi="宋体" w:eastAsia="宋体" w:cs="Times New Roman"/>
          <w:bCs/>
          <w:color w:val="auto"/>
          <w:sz w:val="21"/>
          <w:szCs w:val="21"/>
          <w:highlight w:val="none"/>
          <w:u w:val="single"/>
        </w:rPr>
        <w:t xml:space="preserve"> </w:t>
      </w:r>
      <w:r>
        <w:rPr>
          <w:rFonts w:ascii="宋体" w:hAnsi="宋体" w:eastAsia="宋体" w:cs="Times New Roman"/>
          <w:bCs/>
          <w:color w:val="auto"/>
          <w:sz w:val="21"/>
          <w:szCs w:val="21"/>
          <w:highlight w:val="none"/>
        </w:rPr>
        <w:t>份。</w:t>
      </w:r>
    </w:p>
    <w:p w14:paraId="58003413">
      <w:pPr>
        <w:spacing w:line="400" w:lineRule="exact"/>
        <w:ind w:firstLine="420"/>
        <w:rPr>
          <w:rFonts w:ascii="宋体" w:hAnsi="宋体" w:eastAsia="宋体" w:cs="Times New Roman"/>
          <w:bCs/>
          <w:color w:val="auto"/>
          <w:sz w:val="21"/>
          <w:szCs w:val="21"/>
          <w:highlight w:val="none"/>
        </w:rPr>
      </w:pPr>
    </w:p>
    <w:p w14:paraId="54D42E8D">
      <w:pPr>
        <w:spacing w:line="400" w:lineRule="exact"/>
        <w:ind w:firstLine="420"/>
        <w:rPr>
          <w:rFonts w:ascii="宋体" w:hAnsi="宋体" w:eastAsia="宋体" w:cs="Times New Roman"/>
          <w:bCs/>
          <w:color w:val="auto"/>
          <w:sz w:val="21"/>
          <w:szCs w:val="21"/>
          <w:highlight w:val="none"/>
        </w:rPr>
      </w:pPr>
    </w:p>
    <w:p w14:paraId="65911E7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  (公章)                 承包人：  (公章)</w:t>
      </w:r>
    </w:p>
    <w:p w14:paraId="04F0E7FF">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 xml:space="preserve">                                 </w:t>
      </w:r>
    </w:p>
    <w:p w14:paraId="277F58C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法定代表人或其委托代理人：      法定代表人或其委托代理人：</w:t>
      </w:r>
    </w:p>
    <w:p w14:paraId="051E0C08">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（签字）                        （签字）</w:t>
      </w:r>
    </w:p>
    <w:p w14:paraId="3B4788B4">
      <w:pPr>
        <w:tabs>
          <w:tab w:val="left" w:pos="4410"/>
        </w:tabs>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组织机构代码：</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组织机构代码：</w:t>
      </w:r>
      <w:r>
        <w:rPr>
          <w:rFonts w:ascii="宋体" w:hAnsi="宋体" w:eastAsia="宋体" w:cs="Times New Roman"/>
          <w:color w:val="auto"/>
          <w:sz w:val="21"/>
          <w:szCs w:val="21"/>
          <w:highlight w:val="none"/>
          <w:u w:val="single"/>
        </w:rPr>
        <w:t xml:space="preserve">               </w:t>
      </w:r>
    </w:p>
    <w:p w14:paraId="5D45572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地  址：</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地  址：</w:t>
      </w:r>
      <w:r>
        <w:rPr>
          <w:rFonts w:ascii="宋体" w:hAnsi="宋体" w:eastAsia="宋体" w:cs="Times New Roman"/>
          <w:color w:val="auto"/>
          <w:sz w:val="21"/>
          <w:szCs w:val="21"/>
          <w:highlight w:val="none"/>
          <w:u w:val="single"/>
        </w:rPr>
        <w:t xml:space="preserve">                     </w:t>
      </w:r>
    </w:p>
    <w:p w14:paraId="4717252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邮政编码：</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邮政编码：</w:t>
      </w:r>
      <w:r>
        <w:rPr>
          <w:rFonts w:ascii="宋体" w:hAnsi="宋体" w:eastAsia="宋体" w:cs="Times New Roman"/>
          <w:color w:val="auto"/>
          <w:sz w:val="21"/>
          <w:szCs w:val="21"/>
          <w:highlight w:val="none"/>
          <w:u w:val="single"/>
        </w:rPr>
        <w:t xml:space="preserve">                   </w:t>
      </w:r>
    </w:p>
    <w:p w14:paraId="385F83E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法定代表人：</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法定代表人：</w:t>
      </w:r>
      <w:r>
        <w:rPr>
          <w:rFonts w:ascii="宋体" w:hAnsi="宋体" w:eastAsia="宋体" w:cs="Times New Roman"/>
          <w:color w:val="auto"/>
          <w:sz w:val="21"/>
          <w:szCs w:val="21"/>
          <w:highlight w:val="none"/>
          <w:u w:val="single"/>
        </w:rPr>
        <w:t xml:space="preserve">                 </w:t>
      </w:r>
    </w:p>
    <w:p w14:paraId="7D04A941">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委托代理人：</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委托代理人：</w:t>
      </w:r>
      <w:r>
        <w:rPr>
          <w:rFonts w:ascii="宋体" w:hAnsi="宋体" w:eastAsia="宋体" w:cs="Times New Roman"/>
          <w:color w:val="auto"/>
          <w:sz w:val="21"/>
          <w:szCs w:val="21"/>
          <w:highlight w:val="none"/>
          <w:u w:val="single"/>
        </w:rPr>
        <w:t xml:space="preserve">                 </w:t>
      </w:r>
    </w:p>
    <w:p w14:paraId="35C5EF11">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电  话：</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电  话：</w:t>
      </w:r>
      <w:r>
        <w:rPr>
          <w:rFonts w:ascii="宋体" w:hAnsi="宋体" w:eastAsia="宋体" w:cs="Times New Roman"/>
          <w:color w:val="auto"/>
          <w:sz w:val="21"/>
          <w:szCs w:val="21"/>
          <w:highlight w:val="none"/>
          <w:u w:val="single"/>
        </w:rPr>
        <w:t xml:space="preserve">                     </w:t>
      </w:r>
    </w:p>
    <w:p w14:paraId="43A3639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传  真：</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传  真：</w:t>
      </w:r>
      <w:r>
        <w:rPr>
          <w:rFonts w:ascii="宋体" w:hAnsi="宋体" w:eastAsia="宋体" w:cs="Times New Roman"/>
          <w:color w:val="auto"/>
          <w:sz w:val="21"/>
          <w:szCs w:val="21"/>
          <w:highlight w:val="none"/>
          <w:u w:val="single"/>
        </w:rPr>
        <w:t xml:space="preserve">                     </w:t>
      </w:r>
    </w:p>
    <w:p w14:paraId="49549581">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电子信箱：</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电子信箱：</w:t>
      </w:r>
      <w:r>
        <w:rPr>
          <w:rFonts w:ascii="宋体" w:hAnsi="宋体" w:eastAsia="宋体" w:cs="Times New Roman"/>
          <w:color w:val="auto"/>
          <w:sz w:val="21"/>
          <w:szCs w:val="21"/>
          <w:highlight w:val="none"/>
          <w:u w:val="single"/>
        </w:rPr>
        <w:t xml:space="preserve">                   </w:t>
      </w:r>
    </w:p>
    <w:p w14:paraId="69788622">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开户银行：</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开户银行：</w:t>
      </w:r>
      <w:r>
        <w:rPr>
          <w:rFonts w:ascii="宋体" w:hAnsi="宋体" w:eastAsia="宋体" w:cs="Times New Roman"/>
          <w:color w:val="auto"/>
          <w:sz w:val="21"/>
          <w:szCs w:val="21"/>
          <w:highlight w:val="none"/>
          <w:u w:val="single"/>
        </w:rPr>
        <w:t xml:space="preserve">                   </w:t>
      </w:r>
    </w:p>
    <w:p w14:paraId="77502232">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账  号：</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 xml:space="preserve">     账  号：</w:t>
      </w:r>
      <w:r>
        <w:rPr>
          <w:rFonts w:ascii="宋体" w:hAnsi="宋体" w:eastAsia="宋体" w:cs="Times New Roman"/>
          <w:color w:val="auto"/>
          <w:sz w:val="21"/>
          <w:szCs w:val="21"/>
          <w:highlight w:val="none"/>
          <w:u w:val="single"/>
        </w:rPr>
        <w:t xml:space="preserve">                     </w:t>
      </w:r>
    </w:p>
    <w:p w14:paraId="5883DA1F">
      <w:pPr>
        <w:spacing w:line="400" w:lineRule="exact"/>
        <w:ind w:firstLine="480"/>
        <w:rPr>
          <w:rFonts w:ascii="宋体" w:hAnsi="宋体" w:eastAsia="宋体" w:cs="Times New Roman"/>
          <w:color w:val="auto"/>
          <w:sz w:val="24"/>
          <w:highlight w:val="none"/>
          <w:u w:val="single"/>
        </w:rPr>
      </w:pPr>
    </w:p>
    <w:p w14:paraId="583DB8FC">
      <w:pPr>
        <w:spacing w:line="400" w:lineRule="exact"/>
        <w:ind w:firstLine="480"/>
        <w:rPr>
          <w:rFonts w:ascii="宋体" w:hAnsi="宋体" w:eastAsia="宋体" w:cs="Times New Roman"/>
          <w:color w:val="auto"/>
          <w:sz w:val="24"/>
          <w:highlight w:val="none"/>
          <w:u w:val="single"/>
        </w:rPr>
      </w:pPr>
    </w:p>
    <w:p w14:paraId="7CD27058">
      <w:pPr>
        <w:ind w:firstLine="216"/>
        <w:rPr>
          <w:rFonts w:ascii="宋体" w:hAnsi="宋体" w:eastAsia="宋体" w:cs="宋体"/>
          <w:color w:val="auto"/>
          <w:szCs w:val="21"/>
          <w:highlight w:val="none"/>
        </w:rPr>
      </w:pPr>
    </w:p>
    <w:p w14:paraId="20888195">
      <w:pPr>
        <w:ind w:firstLine="216"/>
        <w:rPr>
          <w:rFonts w:ascii="宋体" w:hAnsi="宋体" w:eastAsia="宋体" w:cs="宋体"/>
          <w:color w:val="auto"/>
          <w:szCs w:val="21"/>
          <w:highlight w:val="none"/>
        </w:rPr>
      </w:pPr>
    </w:p>
    <w:p w14:paraId="3A369D2C">
      <w:pPr>
        <w:rPr>
          <w:rFonts w:ascii="宋体" w:hAnsi="宋体" w:eastAsia="宋体" w:cs="宋体"/>
          <w:color w:val="auto"/>
          <w:szCs w:val="21"/>
          <w:highlight w:val="none"/>
        </w:rPr>
      </w:pPr>
    </w:p>
    <w:p w14:paraId="6A61A861">
      <w:pPr>
        <w:ind w:firstLine="216"/>
        <w:rPr>
          <w:rFonts w:hint="eastAsia" w:ascii="宋体" w:hAnsi="宋体" w:eastAsia="宋体" w:cs="宋体"/>
          <w:color w:val="auto"/>
          <w:szCs w:val="21"/>
          <w:highlight w:val="none"/>
        </w:rPr>
      </w:pPr>
    </w:p>
    <w:p w14:paraId="04059B05">
      <w:pPr>
        <w:ind w:firstLine="216"/>
        <w:rPr>
          <w:rFonts w:ascii="宋体" w:hAnsi="宋体" w:eastAsia="宋体" w:cs="宋体"/>
          <w:color w:val="auto"/>
          <w:szCs w:val="21"/>
          <w:highlight w:val="none"/>
        </w:rPr>
      </w:pPr>
    </w:p>
    <w:p w14:paraId="49ABACFD">
      <w:pPr>
        <w:ind w:firstLine="216"/>
        <w:rPr>
          <w:rFonts w:hint="eastAsia" w:ascii="宋体" w:hAnsi="宋体" w:eastAsia="宋体" w:cs="宋体"/>
          <w:color w:val="auto"/>
          <w:szCs w:val="21"/>
          <w:highlight w:val="none"/>
        </w:rPr>
      </w:pPr>
    </w:p>
    <w:p w14:paraId="26EEED43">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3064CF3F">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52F8FAFE">
      <w:pPr>
        <w:pStyle w:val="39"/>
        <w:rPr>
          <w:rFonts w:hint="default"/>
          <w:color w:val="auto"/>
          <w:highlight w:val="none"/>
          <w:lang w:val="en-US" w:eastAsia="zh-CN"/>
        </w:rPr>
      </w:pPr>
    </w:p>
    <w:p w14:paraId="25075F63">
      <w:pPr>
        <w:widowControl w:val="0"/>
        <w:spacing w:before="300" w:after="200"/>
        <w:contextualSpacing/>
        <w:jc w:val="center"/>
        <w:outlineLvl w:val="1"/>
        <w:rPr>
          <w:rFonts w:hint="default" w:ascii="宋体" w:hAnsi="宋体" w:eastAsia="宋体" w:cs="Times New Roman"/>
          <w:b/>
          <w:bCs/>
          <w:color w:val="auto"/>
          <w:sz w:val="32"/>
          <w:szCs w:val="32"/>
          <w:highlight w:val="none"/>
          <w:lang w:val="en-US" w:eastAsia="zh-CN" w:bidi="ar-SA"/>
        </w:rPr>
      </w:pPr>
      <w:r>
        <w:rPr>
          <w:rFonts w:hint="default" w:ascii="宋体" w:hAnsi="宋体" w:eastAsia="宋体" w:cs="Times New Roman"/>
          <w:b/>
          <w:bCs/>
          <w:color w:val="auto"/>
          <w:sz w:val="32"/>
          <w:szCs w:val="32"/>
          <w:highlight w:val="none"/>
          <w:lang w:val="en-US" w:eastAsia="zh-CN" w:bidi="ar-SA"/>
        </w:rPr>
        <w:t>第二部分 通用合同条款</w:t>
      </w:r>
    </w:p>
    <w:p w14:paraId="4CD95820">
      <w:pPr>
        <w:spacing w:line="460" w:lineRule="exact"/>
        <w:ind w:firstLine="216"/>
        <w:rPr>
          <w:rFonts w:ascii="宋体" w:hAnsi="宋体" w:eastAsia="宋体" w:cs="Times New Roman"/>
          <w:color w:val="auto"/>
          <w:szCs w:val="21"/>
          <w:highlight w:val="none"/>
          <w:lang w:val="zh-CN"/>
        </w:rPr>
      </w:pPr>
    </w:p>
    <w:p w14:paraId="27590B2E">
      <w:pPr>
        <w:spacing w:line="400" w:lineRule="exact"/>
        <w:ind w:firstLine="630"/>
        <w:rPr>
          <w:rFonts w:ascii="宋体" w:hAnsi="宋体" w:eastAsia="宋体" w:cs="Times New Roman"/>
          <w:bCs/>
          <w:color w:val="auto"/>
          <w:szCs w:val="21"/>
          <w:highlight w:val="none"/>
        </w:rPr>
      </w:pPr>
      <w:r>
        <w:rPr>
          <w:rFonts w:ascii="宋体" w:hAnsi="宋体" w:eastAsia="宋体" w:cs="Times New Roman"/>
          <w:bCs/>
          <w:color w:val="auto"/>
          <w:szCs w:val="21"/>
          <w:highlight w:val="none"/>
        </w:rPr>
        <w:t>同建设工程施工合同（示范文本）（GF—2017—0201）内的通用合同条款</w:t>
      </w:r>
    </w:p>
    <w:p w14:paraId="549D9C46">
      <w:pPr>
        <w:spacing w:line="460" w:lineRule="exact"/>
        <w:ind w:firstLine="216"/>
        <w:rPr>
          <w:rFonts w:ascii="宋体" w:hAnsi="宋体" w:eastAsia="宋体" w:cs="Times New Roman"/>
          <w:color w:val="auto"/>
          <w:szCs w:val="21"/>
          <w:highlight w:val="none"/>
          <w:lang w:val="zh-CN"/>
        </w:rPr>
      </w:pPr>
    </w:p>
    <w:p w14:paraId="1C4C3992">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55F8E4F9">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181D51BD">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634B91E1">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6AE554D7">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26438A12">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1CA6E1B7">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422C2D24">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384A5335">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1A793B4E">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73A8BAD6">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4D311DF0">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6559A294">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7186B19D">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548EE32A">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6A491B8B">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673F06ED">
      <w:pPr>
        <w:widowControl w:val="0"/>
        <w:spacing w:before="300" w:after="200"/>
        <w:contextualSpacing/>
        <w:jc w:val="both"/>
        <w:outlineLvl w:val="1"/>
        <w:rPr>
          <w:rFonts w:hint="default" w:ascii="宋体" w:hAnsi="宋体" w:eastAsia="宋体" w:cs="Times New Roman"/>
          <w:color w:val="auto"/>
          <w:sz w:val="48"/>
          <w:szCs w:val="48"/>
          <w:highlight w:val="none"/>
          <w:lang w:val="en-US" w:eastAsia="zh-CN" w:bidi="ar-SA"/>
        </w:rPr>
      </w:pPr>
    </w:p>
    <w:p w14:paraId="09E6A289">
      <w:pPr>
        <w:pStyle w:val="39"/>
        <w:rPr>
          <w:rFonts w:hint="default"/>
          <w:color w:val="auto"/>
          <w:highlight w:val="none"/>
          <w:lang w:val="en-US" w:eastAsia="zh-CN"/>
        </w:rPr>
      </w:pPr>
    </w:p>
    <w:p w14:paraId="13643DEE">
      <w:pPr>
        <w:pStyle w:val="39"/>
        <w:rPr>
          <w:rFonts w:hint="default"/>
          <w:color w:val="auto"/>
          <w:highlight w:val="none"/>
          <w:lang w:val="en-US" w:eastAsia="zh-CN"/>
        </w:rPr>
      </w:pPr>
    </w:p>
    <w:p w14:paraId="74220EAD">
      <w:pPr>
        <w:widowControl w:val="0"/>
        <w:spacing w:before="300" w:after="200"/>
        <w:contextualSpacing/>
        <w:jc w:val="center"/>
        <w:outlineLvl w:val="1"/>
        <w:rPr>
          <w:rFonts w:hint="default" w:ascii="宋体" w:hAnsi="宋体" w:eastAsia="宋体" w:cs="Times New Roman"/>
          <w:b/>
          <w:bCs/>
          <w:color w:val="auto"/>
          <w:sz w:val="48"/>
          <w:szCs w:val="48"/>
          <w:highlight w:val="none"/>
          <w:lang w:val="en-US" w:eastAsia="zh-CN" w:bidi="ar-SA"/>
        </w:rPr>
      </w:pPr>
      <w:r>
        <w:rPr>
          <w:rFonts w:hint="default" w:ascii="宋体" w:hAnsi="宋体" w:eastAsia="宋体" w:cs="Times New Roman"/>
          <w:b/>
          <w:bCs/>
          <w:color w:val="auto"/>
          <w:sz w:val="32"/>
          <w:szCs w:val="32"/>
          <w:highlight w:val="none"/>
          <w:lang w:val="en-US" w:eastAsia="zh-CN" w:bidi="ar-SA"/>
        </w:rPr>
        <w:t>第三部分 专用合同条款</w:t>
      </w:r>
    </w:p>
    <w:p w14:paraId="4A44318B">
      <w:pPr>
        <w:rPr>
          <w:rFonts w:hint="eastAsia" w:ascii="宋体" w:hAnsi="宋体" w:eastAsia="宋体" w:cs="Times New Roman"/>
          <w:color w:val="auto"/>
          <w:sz w:val="24"/>
          <w:highlight w:val="none"/>
        </w:rPr>
      </w:pPr>
    </w:p>
    <w:p w14:paraId="6CACACC3">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 一般约定</w:t>
      </w:r>
    </w:p>
    <w:p w14:paraId="57A22D7D">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1.1 词语定义</w:t>
      </w:r>
    </w:p>
    <w:p w14:paraId="2CCAE88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1.1.1合同</w:t>
      </w:r>
    </w:p>
    <w:p w14:paraId="4111B2B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1.1.1.10 其他合同文件包括：</w:t>
      </w:r>
      <w:r>
        <w:rPr>
          <w:rFonts w:ascii="宋体" w:hAnsi="宋体" w:eastAsia="宋体" w:cs="Times New Roman"/>
          <w:color w:val="auto"/>
          <w:sz w:val="21"/>
          <w:szCs w:val="21"/>
          <w:highlight w:val="none"/>
          <w:u w:val="single"/>
        </w:rPr>
        <w:t>（1）本合同协议书；（2）中标通知书；（3）本合同专用条款；（4）招标文件、投标书（含工程报价单）及其附件；（5）本合同通用条款；（6）标准、规范及有关技术文件；（7）图纸；（8）工程量清单；（9）</w:t>
      </w:r>
      <w:r>
        <w:rPr>
          <w:rFonts w:hint="eastAsia" w:ascii="宋体" w:hAnsi="宋体" w:eastAsia="宋体" w:cs="Times New Roman"/>
          <w:color w:val="auto"/>
          <w:sz w:val="21"/>
          <w:szCs w:val="21"/>
          <w:highlight w:val="none"/>
          <w:u w:val="single"/>
          <w:lang w:eastAsia="zh-CN"/>
        </w:rPr>
        <w:t>最高投标限价</w:t>
      </w:r>
      <w:r>
        <w:rPr>
          <w:rFonts w:ascii="宋体" w:hAnsi="宋体" w:eastAsia="宋体" w:cs="Times New Roman"/>
          <w:color w:val="auto"/>
          <w:sz w:val="21"/>
          <w:szCs w:val="21"/>
          <w:highlight w:val="none"/>
          <w:u w:val="single"/>
        </w:rPr>
        <w:t>或预算书。合同履行中，发包人承包人有关工程的洽商、变更等书面协议或文件视为本合同专用条款的组成部分。若对同一问题合同文件出现矛盾和含糊，则以时间在后的文件或条款为准。</w:t>
      </w:r>
    </w:p>
    <w:p w14:paraId="57B0BFE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1.1.2 合同当事人及其他相关方</w:t>
      </w:r>
    </w:p>
    <w:p w14:paraId="676A487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1.1.2.4 监理人：</w:t>
      </w:r>
    </w:p>
    <w:p w14:paraId="5A25411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名    称：</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32F15F31">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资质类别和等级：</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30B0949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联系电话：</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455146F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电子信箱：</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6790A0E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通信地址：</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3248B81D">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1.1.2.5 设计人：</w:t>
      </w:r>
    </w:p>
    <w:p w14:paraId="5E88AB2C">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名    称：</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4465F4CD">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资质类别和等级：</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5DAF6F1E">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联系电话：</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118E7D7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电子信箱：</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165E21F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通信地址：</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53449AD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1.1.3 工程和设备</w:t>
      </w:r>
    </w:p>
    <w:p w14:paraId="37373ED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1.1.3.7 作为施工现场组成部分的其他场所包括：</w:t>
      </w:r>
      <w:r>
        <w:rPr>
          <w:rFonts w:hint="eastAsia" w:ascii="宋体" w:hAnsi="宋体" w:eastAsia="宋体" w:cs="Times New Roman"/>
          <w:color w:val="auto"/>
          <w:sz w:val="21"/>
          <w:szCs w:val="21"/>
          <w:highlight w:val="none"/>
          <w:u w:val="single"/>
        </w:rPr>
        <w:t>发包人项目部、监理、设计、审计、检测等服务单位办公场所</w:t>
      </w:r>
      <w:r>
        <w:rPr>
          <w:rFonts w:ascii="宋体" w:hAnsi="宋体" w:eastAsia="宋体" w:cs="Times New Roman"/>
          <w:color w:val="auto"/>
          <w:sz w:val="21"/>
          <w:szCs w:val="21"/>
          <w:highlight w:val="none"/>
        </w:rPr>
        <w:t>。</w:t>
      </w:r>
    </w:p>
    <w:p w14:paraId="0C67B52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1.1.3.9 永久占地包括：</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48A3A73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1.1.3.10 临时占地包括：</w:t>
      </w:r>
      <w:r>
        <w:rPr>
          <w:rFonts w:ascii="宋体" w:hAnsi="宋体" w:eastAsia="宋体" w:cs="Times New Roman"/>
          <w:color w:val="auto"/>
          <w:sz w:val="21"/>
          <w:szCs w:val="21"/>
          <w:highlight w:val="none"/>
          <w:u w:val="single"/>
        </w:rPr>
        <w:t>如在规划红线外租用临时用地，费用由承包人承担</w:t>
      </w:r>
      <w:r>
        <w:rPr>
          <w:rFonts w:ascii="宋体" w:hAnsi="宋体" w:eastAsia="宋体" w:cs="Times New Roman"/>
          <w:color w:val="auto"/>
          <w:sz w:val="21"/>
          <w:szCs w:val="21"/>
          <w:highlight w:val="none"/>
        </w:rPr>
        <w:t>。</w:t>
      </w:r>
    </w:p>
    <w:p w14:paraId="6E6F7D7B">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 xml:space="preserve">1.3 法律 </w:t>
      </w:r>
    </w:p>
    <w:p w14:paraId="30BA5189">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适用于合同的其他规范性文件：</w:t>
      </w:r>
      <w:r>
        <w:rPr>
          <w:rFonts w:hint="eastAsia" w:ascii="宋体" w:hAnsi="宋体" w:eastAsia="宋体" w:cs="Times New Roman"/>
          <w:color w:val="auto"/>
          <w:sz w:val="21"/>
          <w:szCs w:val="21"/>
          <w:highlight w:val="none"/>
          <w:u w:val="single"/>
        </w:rPr>
        <w:t>①《中华人民共和国</w:t>
      </w:r>
      <w:r>
        <w:rPr>
          <w:rFonts w:hint="eastAsia" w:ascii="宋体" w:hAnsi="宋体" w:eastAsia="宋体" w:cs="Times New Roman"/>
          <w:color w:val="auto"/>
          <w:sz w:val="21"/>
          <w:szCs w:val="21"/>
          <w:highlight w:val="none"/>
          <w:u w:val="single"/>
          <w:lang w:eastAsia="zh-CN"/>
        </w:rPr>
        <w:t>民法典</w:t>
      </w:r>
      <w:r>
        <w:rPr>
          <w:rFonts w:hint="eastAsia" w:ascii="宋体" w:hAnsi="宋体" w:eastAsia="宋体" w:cs="Times New Roman"/>
          <w:color w:val="auto"/>
          <w:sz w:val="21"/>
          <w:szCs w:val="21"/>
          <w:highlight w:val="none"/>
          <w:u w:val="single"/>
        </w:rPr>
        <w:t>》；②《中华人民共和国建筑法》；③《中华人民共和国招标投标法》；④《建筑工程质量管理条例》；⑤《中华人民共和国安全生产法》； ⑥国家关于建设工程款结算的有关规定；⑦盐城市相关的法规和政策文件等</w:t>
      </w:r>
      <w:r>
        <w:rPr>
          <w:rFonts w:ascii="宋体" w:hAnsi="宋体" w:eastAsia="宋体" w:cs="Times New Roman"/>
          <w:color w:val="auto"/>
          <w:sz w:val="21"/>
          <w:szCs w:val="21"/>
          <w:highlight w:val="none"/>
          <w:u w:val="single"/>
        </w:rPr>
        <w:t>。</w:t>
      </w:r>
    </w:p>
    <w:p w14:paraId="1F2EAEE4">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1.4 标准和规范</w:t>
      </w:r>
    </w:p>
    <w:p w14:paraId="708266DD">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1.4.1 适用于工程的标准规范包括：</w:t>
      </w:r>
      <w:r>
        <w:rPr>
          <w:rFonts w:hint="eastAsia" w:ascii="宋体" w:hAnsi="宋体" w:eastAsia="宋体" w:cs="Times New Roman"/>
          <w:color w:val="auto"/>
          <w:sz w:val="21"/>
          <w:szCs w:val="21"/>
          <w:highlight w:val="none"/>
          <w:u w:val="single"/>
        </w:rPr>
        <w:t>中华人民共和国建设部颁发的现行有关标准、规范及省市有关规定、江苏省及盐城市的相关管理办法、设计图纸中规定采用的相关施工验收规范及相关配套规范检测、评定、验收资料</w:t>
      </w:r>
      <w:r>
        <w:rPr>
          <w:rFonts w:ascii="宋体" w:hAnsi="宋体" w:eastAsia="宋体" w:cs="Times New Roman"/>
          <w:color w:val="auto"/>
          <w:sz w:val="21"/>
          <w:szCs w:val="21"/>
          <w:highlight w:val="none"/>
          <w:u w:val="single"/>
        </w:rPr>
        <w:t>。</w:t>
      </w:r>
    </w:p>
    <w:p w14:paraId="394ACE8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1.4.2 发包人提供国外标准、规范的名称：</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769CFFC1">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发包人提供国外标准、规范的份数：</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38C7682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发包人提供国外标准、规范的名称：</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49FC295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1.4.3 发包人对工程的技术标准和功能要求的特殊要求：</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268C0ADA">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1.5 合同文件的优先顺序</w:t>
      </w:r>
    </w:p>
    <w:p w14:paraId="3AD1F28B">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合同文件组成及优先顺序为：</w:t>
      </w:r>
      <w:r>
        <w:rPr>
          <w:rFonts w:hint="eastAsia" w:ascii="宋体" w:hAnsi="宋体" w:eastAsia="宋体" w:cs="宋体"/>
          <w:color w:val="auto"/>
          <w:sz w:val="21"/>
          <w:szCs w:val="21"/>
          <w:highlight w:val="none"/>
          <w:u w:val="single"/>
        </w:rPr>
        <w:t>①</w:t>
      </w:r>
      <w:r>
        <w:rPr>
          <w:rFonts w:ascii="宋体" w:hAnsi="宋体" w:eastAsia="宋体" w:cs="Times New Roman"/>
          <w:color w:val="auto"/>
          <w:sz w:val="21"/>
          <w:szCs w:val="21"/>
          <w:highlight w:val="none"/>
          <w:u w:val="single"/>
        </w:rPr>
        <w:t>本合同协议书；</w:t>
      </w:r>
      <w:r>
        <w:rPr>
          <w:rFonts w:hint="eastAsia" w:ascii="宋体" w:hAnsi="宋体" w:eastAsia="宋体" w:cs="宋体"/>
          <w:color w:val="auto"/>
          <w:sz w:val="21"/>
          <w:szCs w:val="21"/>
          <w:highlight w:val="none"/>
          <w:u w:val="single"/>
        </w:rPr>
        <w:t>②</w:t>
      </w:r>
      <w:r>
        <w:rPr>
          <w:rFonts w:ascii="宋体" w:hAnsi="宋体" w:eastAsia="宋体" w:cs="Times New Roman"/>
          <w:color w:val="auto"/>
          <w:sz w:val="21"/>
          <w:szCs w:val="21"/>
          <w:highlight w:val="none"/>
          <w:u w:val="single"/>
        </w:rPr>
        <w:t>中标通知书；</w:t>
      </w:r>
      <w:r>
        <w:rPr>
          <w:rFonts w:hint="eastAsia" w:ascii="宋体" w:hAnsi="宋体" w:eastAsia="宋体" w:cs="宋体"/>
          <w:color w:val="auto"/>
          <w:sz w:val="21"/>
          <w:szCs w:val="21"/>
          <w:highlight w:val="none"/>
          <w:u w:val="single"/>
        </w:rPr>
        <w:t>③</w:t>
      </w:r>
      <w:r>
        <w:rPr>
          <w:rFonts w:ascii="宋体" w:hAnsi="宋体" w:eastAsia="宋体" w:cs="Times New Roman"/>
          <w:color w:val="auto"/>
          <w:sz w:val="21"/>
          <w:szCs w:val="21"/>
          <w:highlight w:val="none"/>
          <w:u w:val="single"/>
        </w:rPr>
        <w:t>招标文件、投标书及其附录(含投标承诺书)；</w:t>
      </w:r>
      <w:r>
        <w:rPr>
          <w:rFonts w:hint="eastAsia" w:ascii="宋体" w:hAnsi="宋体" w:eastAsia="宋体" w:cs="宋体"/>
          <w:color w:val="auto"/>
          <w:sz w:val="21"/>
          <w:szCs w:val="21"/>
          <w:highlight w:val="none"/>
          <w:u w:val="single"/>
        </w:rPr>
        <w:t>④</w:t>
      </w:r>
      <w:r>
        <w:rPr>
          <w:rFonts w:ascii="宋体" w:hAnsi="宋体" w:eastAsia="宋体" w:cs="Times New Roman"/>
          <w:color w:val="auto"/>
          <w:sz w:val="21"/>
          <w:szCs w:val="21"/>
          <w:highlight w:val="none"/>
          <w:u w:val="single"/>
        </w:rPr>
        <w:t>本合同专用合同条款及其附件；</w:t>
      </w:r>
      <w:r>
        <w:rPr>
          <w:rFonts w:hint="eastAsia" w:ascii="宋体" w:hAnsi="宋体" w:eastAsia="宋体" w:cs="宋体"/>
          <w:color w:val="auto"/>
          <w:sz w:val="21"/>
          <w:szCs w:val="21"/>
          <w:highlight w:val="none"/>
          <w:u w:val="single"/>
        </w:rPr>
        <w:t>⑤</w:t>
      </w:r>
      <w:r>
        <w:rPr>
          <w:rFonts w:ascii="宋体" w:hAnsi="宋体" w:eastAsia="宋体" w:cs="Times New Roman"/>
          <w:color w:val="auto"/>
          <w:sz w:val="21"/>
          <w:szCs w:val="21"/>
          <w:highlight w:val="none"/>
          <w:u w:val="single"/>
        </w:rPr>
        <w:t>本合同通用合同条款；</w:t>
      </w:r>
      <w:r>
        <w:rPr>
          <w:rFonts w:hint="eastAsia" w:ascii="宋体" w:hAnsi="宋体" w:eastAsia="宋体" w:cs="宋体"/>
          <w:color w:val="auto"/>
          <w:sz w:val="21"/>
          <w:szCs w:val="21"/>
          <w:highlight w:val="none"/>
          <w:u w:val="single"/>
        </w:rPr>
        <w:t>⑥</w:t>
      </w:r>
      <w:r>
        <w:rPr>
          <w:rFonts w:ascii="宋体" w:hAnsi="宋体" w:eastAsia="宋体" w:cs="Times New Roman"/>
          <w:color w:val="auto"/>
          <w:sz w:val="21"/>
          <w:szCs w:val="21"/>
          <w:highlight w:val="none"/>
          <w:u w:val="single"/>
        </w:rPr>
        <w:t>技术标准、规范及有关技术文件等要求；</w:t>
      </w:r>
      <w:r>
        <w:rPr>
          <w:rFonts w:hint="eastAsia" w:ascii="宋体" w:hAnsi="宋体" w:eastAsia="宋体" w:cs="宋体"/>
          <w:color w:val="auto"/>
          <w:sz w:val="21"/>
          <w:szCs w:val="21"/>
          <w:highlight w:val="none"/>
          <w:u w:val="single"/>
        </w:rPr>
        <w:t>⑦</w:t>
      </w:r>
      <w:r>
        <w:rPr>
          <w:rFonts w:ascii="宋体" w:hAnsi="宋体" w:eastAsia="宋体" w:cs="Times New Roman"/>
          <w:color w:val="auto"/>
          <w:sz w:val="21"/>
          <w:szCs w:val="21"/>
          <w:highlight w:val="none"/>
          <w:u w:val="single"/>
        </w:rPr>
        <w:t>图纸；</w:t>
      </w:r>
      <w:r>
        <w:rPr>
          <w:rFonts w:hint="eastAsia" w:ascii="宋体" w:hAnsi="宋体" w:eastAsia="宋体" w:cs="宋体"/>
          <w:color w:val="auto"/>
          <w:sz w:val="21"/>
          <w:szCs w:val="21"/>
          <w:highlight w:val="none"/>
          <w:u w:val="single"/>
        </w:rPr>
        <w:t>⑧</w:t>
      </w:r>
      <w:r>
        <w:rPr>
          <w:rFonts w:ascii="宋体" w:hAnsi="宋体" w:eastAsia="宋体" w:cs="Times New Roman"/>
          <w:color w:val="auto"/>
          <w:sz w:val="21"/>
          <w:szCs w:val="21"/>
          <w:highlight w:val="none"/>
          <w:u w:val="single"/>
        </w:rPr>
        <w:t>已标价的工程量清单或预算书；</w:t>
      </w:r>
      <w:r>
        <w:rPr>
          <w:rFonts w:hint="eastAsia" w:ascii="宋体" w:hAnsi="宋体" w:eastAsia="宋体" w:cs="宋体"/>
          <w:color w:val="auto"/>
          <w:sz w:val="21"/>
          <w:szCs w:val="21"/>
          <w:highlight w:val="none"/>
          <w:u w:val="single"/>
        </w:rPr>
        <w:t>⑨</w:t>
      </w:r>
      <w:r>
        <w:rPr>
          <w:rFonts w:ascii="宋体" w:hAnsi="宋体" w:eastAsia="宋体" w:cs="Times New Roman"/>
          <w:color w:val="auto"/>
          <w:sz w:val="21"/>
          <w:szCs w:val="21"/>
          <w:highlight w:val="none"/>
          <w:u w:val="single"/>
        </w:rPr>
        <w:t>发包人委托编制的预算书；</w:t>
      </w:r>
      <w:r>
        <w:rPr>
          <w:rFonts w:hint="eastAsia" w:ascii="宋体" w:hAnsi="宋体" w:eastAsia="宋体" w:cs="宋体"/>
          <w:color w:val="auto"/>
          <w:sz w:val="21"/>
          <w:szCs w:val="21"/>
          <w:highlight w:val="none"/>
          <w:u w:val="single"/>
        </w:rPr>
        <w:t>⑩</w:t>
      </w:r>
      <w:r>
        <w:rPr>
          <w:rFonts w:ascii="宋体" w:hAnsi="宋体" w:eastAsia="宋体" w:cs="Times New Roman"/>
          <w:color w:val="auto"/>
          <w:sz w:val="21"/>
          <w:szCs w:val="21"/>
          <w:highlight w:val="none"/>
          <w:u w:val="single"/>
        </w:rPr>
        <w:t>双方有关工程的洽商、变更等书面协议或文件等。</w:t>
      </w:r>
    </w:p>
    <w:p w14:paraId="6A444AB0">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1.6 图纸和承包人文件</w:t>
      </w:r>
    </w:p>
    <w:p w14:paraId="7EF11CB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1.6.1 图纸的提供</w:t>
      </w:r>
    </w:p>
    <w:p w14:paraId="7D42011E">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发包人向承包人提供图纸的期限：</w:t>
      </w:r>
      <w:r>
        <w:rPr>
          <w:rFonts w:ascii="宋体" w:hAnsi="宋体" w:eastAsia="宋体" w:cs="Times New Roman"/>
          <w:color w:val="auto"/>
          <w:sz w:val="21"/>
          <w:szCs w:val="21"/>
          <w:highlight w:val="none"/>
          <w:u w:val="single"/>
        </w:rPr>
        <w:t>签订施工合同后5天内</w:t>
      </w:r>
      <w:r>
        <w:rPr>
          <w:rFonts w:ascii="宋体" w:hAnsi="宋体" w:eastAsia="宋体" w:cs="Times New Roman"/>
          <w:color w:val="auto"/>
          <w:sz w:val="21"/>
          <w:szCs w:val="21"/>
          <w:highlight w:val="none"/>
        </w:rPr>
        <w:t>；</w:t>
      </w:r>
    </w:p>
    <w:p w14:paraId="0FD2F8A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发包人向承包人提供图纸的数量：</w:t>
      </w:r>
      <w:r>
        <w:rPr>
          <w:rFonts w:ascii="宋体" w:hAnsi="宋体" w:eastAsia="宋体" w:cs="Times New Roman"/>
          <w:color w:val="auto"/>
          <w:sz w:val="21"/>
          <w:szCs w:val="21"/>
          <w:highlight w:val="none"/>
          <w:u w:val="single"/>
        </w:rPr>
        <w:t>发包人向承包人提供两套完整的施工图纸，未经发包人同意不得复制。不得向承包人以外的人员泄露图纸的有关内容</w:t>
      </w:r>
      <w:r>
        <w:rPr>
          <w:rFonts w:ascii="宋体" w:hAnsi="宋体" w:eastAsia="宋体" w:cs="Times New Roman"/>
          <w:color w:val="auto"/>
          <w:sz w:val="21"/>
          <w:szCs w:val="21"/>
          <w:highlight w:val="none"/>
        </w:rPr>
        <w:t>；</w:t>
      </w:r>
    </w:p>
    <w:p w14:paraId="02F8542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发包人向承包人提供图纸的内容：</w:t>
      </w:r>
      <w:r>
        <w:rPr>
          <w:rFonts w:ascii="宋体" w:hAnsi="宋体" w:eastAsia="宋体" w:cs="Times New Roman"/>
          <w:color w:val="auto"/>
          <w:sz w:val="21"/>
          <w:szCs w:val="21"/>
          <w:highlight w:val="none"/>
          <w:u w:val="single"/>
        </w:rPr>
        <w:t>全套经审查的施工图</w:t>
      </w:r>
      <w:r>
        <w:rPr>
          <w:rFonts w:ascii="宋体" w:hAnsi="宋体" w:eastAsia="宋体" w:cs="Times New Roman"/>
          <w:color w:val="auto"/>
          <w:sz w:val="21"/>
          <w:szCs w:val="21"/>
          <w:highlight w:val="none"/>
        </w:rPr>
        <w:t>。</w:t>
      </w:r>
    </w:p>
    <w:p w14:paraId="178FECC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1.6.4 承包人文件</w:t>
      </w:r>
    </w:p>
    <w:p w14:paraId="47D7C234">
      <w:pPr>
        <w:spacing w:line="400" w:lineRule="exact"/>
        <w:ind w:firstLine="42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需要由承包人提供的文件，包括：</w:t>
      </w:r>
      <w:r>
        <w:rPr>
          <w:rFonts w:ascii="宋体" w:hAnsi="宋体" w:eastAsia="宋体" w:cs="Times New Roman"/>
          <w:color w:val="auto"/>
          <w:sz w:val="21"/>
          <w:szCs w:val="21"/>
          <w:highlight w:val="none"/>
          <w:u w:val="single"/>
        </w:rPr>
        <w:t>施工组织设计、专项方案、项目开工报验的全套资料，包括但不限于施工进度计划、材料清单、材料进场计划、劳动力计划等，以及发包人、监理要求提供的其他资料</w:t>
      </w:r>
      <w:r>
        <w:rPr>
          <w:rFonts w:hint="eastAsia" w:ascii="宋体" w:hAnsi="宋体" w:eastAsia="宋体" w:cs="Times New Roman"/>
          <w:color w:val="auto"/>
          <w:sz w:val="21"/>
          <w:szCs w:val="21"/>
          <w:highlight w:val="none"/>
        </w:rPr>
        <w:t>；</w:t>
      </w:r>
    </w:p>
    <w:p w14:paraId="225B9ED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承包人提供的文件的期限为：</w:t>
      </w:r>
      <w:r>
        <w:rPr>
          <w:rFonts w:ascii="宋体" w:hAnsi="宋体" w:eastAsia="宋体" w:cs="Times New Roman"/>
          <w:color w:val="auto"/>
          <w:sz w:val="21"/>
          <w:szCs w:val="21"/>
          <w:highlight w:val="none"/>
          <w:u w:val="single"/>
        </w:rPr>
        <w:t>进场前3天</w:t>
      </w:r>
      <w:r>
        <w:rPr>
          <w:rFonts w:ascii="宋体" w:hAnsi="宋体" w:eastAsia="宋体" w:cs="Times New Roman"/>
          <w:color w:val="auto"/>
          <w:sz w:val="21"/>
          <w:szCs w:val="21"/>
          <w:highlight w:val="none"/>
        </w:rPr>
        <w:t>；</w:t>
      </w:r>
    </w:p>
    <w:p w14:paraId="03DCD13D">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承包人提供的文件的数量为：</w:t>
      </w:r>
      <w:r>
        <w:rPr>
          <w:rFonts w:ascii="宋体" w:hAnsi="宋体" w:eastAsia="宋体" w:cs="Times New Roman"/>
          <w:color w:val="auto"/>
          <w:sz w:val="21"/>
          <w:szCs w:val="21"/>
          <w:highlight w:val="none"/>
          <w:u w:val="single"/>
        </w:rPr>
        <w:t>根据发包人要求</w:t>
      </w:r>
      <w:r>
        <w:rPr>
          <w:rFonts w:ascii="宋体" w:hAnsi="宋体" w:eastAsia="宋体" w:cs="Times New Roman"/>
          <w:color w:val="auto"/>
          <w:sz w:val="21"/>
          <w:szCs w:val="21"/>
          <w:highlight w:val="none"/>
        </w:rPr>
        <w:t>；</w:t>
      </w:r>
    </w:p>
    <w:p w14:paraId="1A64A0C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承包人提供的文件的形式为：</w:t>
      </w:r>
      <w:r>
        <w:rPr>
          <w:rFonts w:ascii="宋体" w:hAnsi="宋体" w:eastAsia="宋体" w:cs="Times New Roman"/>
          <w:color w:val="auto"/>
          <w:sz w:val="21"/>
          <w:szCs w:val="21"/>
          <w:highlight w:val="none"/>
          <w:u w:val="single"/>
        </w:rPr>
        <w:t>书面及电子版</w:t>
      </w:r>
      <w:r>
        <w:rPr>
          <w:rFonts w:ascii="宋体" w:hAnsi="宋体" w:eastAsia="宋体" w:cs="Times New Roman"/>
          <w:color w:val="auto"/>
          <w:sz w:val="21"/>
          <w:szCs w:val="21"/>
          <w:highlight w:val="none"/>
        </w:rPr>
        <w:t>；</w:t>
      </w:r>
    </w:p>
    <w:p w14:paraId="674BFBC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发包人审批承包人文件的期限：</w:t>
      </w:r>
      <w:r>
        <w:rPr>
          <w:rFonts w:ascii="宋体" w:hAnsi="宋体" w:eastAsia="宋体" w:cs="Times New Roman"/>
          <w:color w:val="auto"/>
          <w:sz w:val="21"/>
          <w:szCs w:val="21"/>
          <w:highlight w:val="none"/>
          <w:u w:val="single"/>
        </w:rPr>
        <w:t xml:space="preserve"> 7 </w:t>
      </w:r>
      <w:r>
        <w:rPr>
          <w:rFonts w:ascii="宋体" w:hAnsi="宋体" w:eastAsia="宋体" w:cs="Times New Roman"/>
          <w:color w:val="auto"/>
          <w:sz w:val="21"/>
          <w:szCs w:val="21"/>
          <w:highlight w:val="none"/>
        </w:rPr>
        <w:t>天。</w:t>
      </w:r>
    </w:p>
    <w:p w14:paraId="38D05271">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1.6.5 现场图纸准备</w:t>
      </w:r>
    </w:p>
    <w:p w14:paraId="0D0E56CD">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关于现场图纸准备的约定：</w:t>
      </w:r>
      <w:r>
        <w:rPr>
          <w:rFonts w:hint="eastAsia" w:ascii="宋体" w:hAnsi="宋体" w:eastAsia="宋体" w:cs="Times New Roman"/>
          <w:color w:val="auto"/>
          <w:sz w:val="21"/>
          <w:szCs w:val="21"/>
          <w:highlight w:val="none"/>
          <w:u w:val="single"/>
        </w:rPr>
        <w:t>所有施工必须以发包人提供的图纸为准，发包人须向承包人提供经审查的有效图纸</w:t>
      </w:r>
      <w:r>
        <w:rPr>
          <w:rFonts w:ascii="宋体" w:hAnsi="宋体" w:eastAsia="宋体" w:cs="Times New Roman"/>
          <w:color w:val="auto"/>
          <w:sz w:val="21"/>
          <w:szCs w:val="21"/>
          <w:highlight w:val="none"/>
        </w:rPr>
        <w:t>。</w:t>
      </w:r>
    </w:p>
    <w:p w14:paraId="084BB61C">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1.7 联络</w:t>
      </w:r>
    </w:p>
    <w:p w14:paraId="15C3E0A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1.7.1 发包人和承包人应当在</w:t>
      </w:r>
      <w:r>
        <w:rPr>
          <w:rFonts w:ascii="宋体" w:hAnsi="宋体" w:eastAsia="宋体" w:cs="Times New Roman"/>
          <w:color w:val="auto"/>
          <w:sz w:val="21"/>
          <w:szCs w:val="21"/>
          <w:highlight w:val="none"/>
          <w:u w:val="single"/>
        </w:rPr>
        <w:t xml:space="preserve"> 3 </w:t>
      </w:r>
      <w:r>
        <w:rPr>
          <w:rFonts w:ascii="宋体" w:hAnsi="宋体" w:eastAsia="宋体" w:cs="Times New Roman"/>
          <w:color w:val="auto"/>
          <w:sz w:val="21"/>
          <w:szCs w:val="21"/>
          <w:highlight w:val="none"/>
        </w:rPr>
        <w:t>天内将与合同有关的通知、批准、证明、证书、指示、指令、要求、请求、同意、意见、确定和决定等书面函件送达对方当事人。</w:t>
      </w:r>
    </w:p>
    <w:p w14:paraId="2EE129F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1.7.2 发包人接收文件的地点：</w:t>
      </w:r>
      <w:r>
        <w:rPr>
          <w:rFonts w:ascii="宋体" w:hAnsi="宋体" w:eastAsia="宋体" w:cs="Times New Roman"/>
          <w:color w:val="auto"/>
          <w:sz w:val="21"/>
          <w:szCs w:val="21"/>
          <w:highlight w:val="none"/>
          <w:u w:val="single"/>
        </w:rPr>
        <w:t xml:space="preserve">   施工现场     </w:t>
      </w:r>
      <w:r>
        <w:rPr>
          <w:rFonts w:ascii="宋体" w:hAnsi="宋体" w:eastAsia="宋体" w:cs="Times New Roman"/>
          <w:color w:val="auto"/>
          <w:sz w:val="21"/>
          <w:szCs w:val="21"/>
          <w:highlight w:val="none"/>
        </w:rPr>
        <w:t>。</w:t>
      </w:r>
    </w:p>
    <w:p w14:paraId="24A4612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发包人指定的接收人为：</w:t>
      </w:r>
      <w:r>
        <w:rPr>
          <w:rFonts w:ascii="宋体" w:hAnsi="宋体" w:eastAsia="宋体" w:cs="Times New Roman"/>
          <w:color w:val="auto"/>
          <w:sz w:val="21"/>
          <w:szCs w:val="21"/>
          <w:highlight w:val="none"/>
          <w:u w:val="single"/>
        </w:rPr>
        <w:t xml:space="preserve">      现场代表       </w:t>
      </w:r>
      <w:r>
        <w:rPr>
          <w:rFonts w:ascii="宋体" w:hAnsi="宋体" w:eastAsia="宋体" w:cs="Times New Roman"/>
          <w:color w:val="auto"/>
          <w:sz w:val="21"/>
          <w:szCs w:val="21"/>
          <w:highlight w:val="none"/>
        </w:rPr>
        <w:t>。</w:t>
      </w:r>
    </w:p>
    <w:p w14:paraId="5715465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承包人接收文件的地点：</w:t>
      </w:r>
      <w:r>
        <w:rPr>
          <w:rFonts w:ascii="宋体" w:hAnsi="宋体" w:eastAsia="宋体" w:cs="Times New Roman"/>
          <w:color w:val="auto"/>
          <w:sz w:val="21"/>
          <w:szCs w:val="21"/>
          <w:highlight w:val="none"/>
          <w:u w:val="single"/>
        </w:rPr>
        <w:t xml:space="preserve">      施工现场       </w:t>
      </w:r>
      <w:r>
        <w:rPr>
          <w:rFonts w:ascii="宋体" w:hAnsi="宋体" w:eastAsia="宋体" w:cs="Times New Roman"/>
          <w:color w:val="auto"/>
          <w:sz w:val="21"/>
          <w:szCs w:val="21"/>
          <w:highlight w:val="none"/>
        </w:rPr>
        <w:t>。</w:t>
      </w:r>
    </w:p>
    <w:p w14:paraId="1E98241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承包人指定的接收人为：</w:t>
      </w:r>
      <w:r>
        <w:rPr>
          <w:rFonts w:ascii="宋体" w:hAnsi="宋体" w:eastAsia="宋体" w:cs="Times New Roman"/>
          <w:color w:val="auto"/>
          <w:sz w:val="21"/>
          <w:szCs w:val="21"/>
          <w:highlight w:val="none"/>
          <w:u w:val="single"/>
        </w:rPr>
        <w:t xml:space="preserve">     项目负责人      </w:t>
      </w:r>
      <w:r>
        <w:rPr>
          <w:rFonts w:ascii="宋体" w:hAnsi="宋体" w:eastAsia="宋体" w:cs="Times New Roman"/>
          <w:color w:val="auto"/>
          <w:sz w:val="21"/>
          <w:szCs w:val="21"/>
          <w:highlight w:val="none"/>
        </w:rPr>
        <w:t>。</w:t>
      </w:r>
    </w:p>
    <w:p w14:paraId="7111EEE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监理人接收文件的地点：</w:t>
      </w:r>
      <w:r>
        <w:rPr>
          <w:rFonts w:ascii="宋体" w:hAnsi="宋体" w:eastAsia="宋体" w:cs="Times New Roman"/>
          <w:color w:val="auto"/>
          <w:sz w:val="21"/>
          <w:szCs w:val="21"/>
          <w:highlight w:val="none"/>
          <w:u w:val="single"/>
        </w:rPr>
        <w:t xml:space="preserve">      施工现场       </w:t>
      </w:r>
      <w:r>
        <w:rPr>
          <w:rFonts w:ascii="宋体" w:hAnsi="宋体" w:eastAsia="宋体" w:cs="Times New Roman"/>
          <w:color w:val="auto"/>
          <w:sz w:val="21"/>
          <w:szCs w:val="21"/>
          <w:highlight w:val="none"/>
        </w:rPr>
        <w:t>。</w:t>
      </w:r>
    </w:p>
    <w:p w14:paraId="35AC5A2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监理人指定的接收人为：</w:t>
      </w:r>
      <w:r>
        <w:rPr>
          <w:rFonts w:ascii="宋体" w:hAnsi="宋体" w:eastAsia="宋体" w:cs="Times New Roman"/>
          <w:color w:val="auto"/>
          <w:sz w:val="21"/>
          <w:szCs w:val="21"/>
          <w:highlight w:val="none"/>
          <w:u w:val="single"/>
        </w:rPr>
        <w:t xml:space="preserve">    总监理工程师     </w:t>
      </w:r>
      <w:r>
        <w:rPr>
          <w:rFonts w:ascii="宋体" w:hAnsi="宋体" w:eastAsia="宋体" w:cs="Times New Roman"/>
          <w:color w:val="auto"/>
          <w:sz w:val="21"/>
          <w:szCs w:val="21"/>
          <w:highlight w:val="none"/>
        </w:rPr>
        <w:t>。</w:t>
      </w:r>
    </w:p>
    <w:p w14:paraId="03572A5D">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1.10 交通运输</w:t>
      </w:r>
    </w:p>
    <w:p w14:paraId="3AF456EB">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1.10.1 出入现场的权利</w:t>
      </w:r>
    </w:p>
    <w:p w14:paraId="0DC50B7F">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关于出入现场的权利的约定：</w:t>
      </w:r>
      <w:r>
        <w:rPr>
          <w:rFonts w:hint="eastAsia" w:ascii="宋体" w:hAnsi="宋体" w:eastAsia="宋体" w:cs="Times New Roman"/>
          <w:color w:val="auto"/>
          <w:sz w:val="21"/>
          <w:szCs w:val="21"/>
          <w:highlight w:val="none"/>
          <w:u w:val="single"/>
        </w:rPr>
        <w:t>根据施工需要，承包人负责取得出入施工现场所需的批准手续和全部权利，以及取得因施工所需修建道路、桥梁以及其他基础设施的权利，并承担相关手续费用和建设费用。中标单位负责办理施工期间一切有关公安（交通）的行政许可，并承担费用。可使用周边道路，不得损坏，承包人负责保护，如发生损坏承包人自行修复。同时承包人做好现场环境保护和安全文明，在影响主要道路交通时及时向发包人汇报并听从发包人安排</w:t>
      </w:r>
      <w:r>
        <w:rPr>
          <w:rFonts w:ascii="宋体" w:hAnsi="宋体" w:eastAsia="宋体" w:cs="Times New Roman"/>
          <w:color w:val="auto"/>
          <w:sz w:val="21"/>
          <w:szCs w:val="21"/>
          <w:highlight w:val="none"/>
        </w:rPr>
        <w:t>。</w:t>
      </w:r>
    </w:p>
    <w:p w14:paraId="3491F0E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1.10.3 场内交通</w:t>
      </w:r>
    </w:p>
    <w:p w14:paraId="64430762">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关于场外交通和场内交通的边界的约定：</w:t>
      </w:r>
      <w:r>
        <w:rPr>
          <w:rFonts w:hint="eastAsia" w:ascii="宋体" w:hAnsi="宋体" w:eastAsia="宋体" w:cs="Times New Roman"/>
          <w:color w:val="auto"/>
          <w:sz w:val="21"/>
          <w:szCs w:val="21"/>
          <w:highlight w:val="none"/>
          <w:u w:val="single"/>
        </w:rPr>
        <w:t>按通用条款及施工现场情况划定</w:t>
      </w:r>
      <w:r>
        <w:rPr>
          <w:rFonts w:ascii="宋体" w:hAnsi="宋体" w:eastAsia="宋体" w:cs="Times New Roman"/>
          <w:color w:val="auto"/>
          <w:sz w:val="21"/>
          <w:szCs w:val="21"/>
          <w:highlight w:val="none"/>
        </w:rPr>
        <w:t>。</w:t>
      </w:r>
    </w:p>
    <w:p w14:paraId="2882088B">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关于发包人向承包人免费提供满足工程施工需要的场内道路和交通设施的约定：</w:t>
      </w:r>
      <w:r>
        <w:rPr>
          <w:rFonts w:hint="eastAsia" w:ascii="宋体" w:hAnsi="宋体" w:eastAsia="宋体" w:cs="Times New Roman"/>
          <w:color w:val="auto"/>
          <w:sz w:val="21"/>
          <w:szCs w:val="21"/>
          <w:highlight w:val="none"/>
          <w:u w:val="single"/>
        </w:rPr>
        <w:t>发包人按现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ascii="宋体" w:hAnsi="宋体" w:eastAsia="宋体" w:cs="Times New Roman"/>
          <w:color w:val="auto"/>
          <w:sz w:val="21"/>
          <w:szCs w:val="21"/>
          <w:highlight w:val="none"/>
        </w:rPr>
        <w:t>。</w:t>
      </w:r>
    </w:p>
    <w:p w14:paraId="3357758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1.10.4 超大件和超重件的运输</w:t>
      </w:r>
    </w:p>
    <w:p w14:paraId="7357A02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运输超大件或超重件所需的道路和桥梁临时加固改造费用和其他有关费用由</w:t>
      </w:r>
      <w:r>
        <w:rPr>
          <w:rFonts w:ascii="宋体" w:hAnsi="宋体" w:eastAsia="宋体" w:cs="Times New Roman"/>
          <w:color w:val="auto"/>
          <w:sz w:val="21"/>
          <w:szCs w:val="21"/>
          <w:highlight w:val="none"/>
          <w:u w:val="single"/>
        </w:rPr>
        <w:t xml:space="preserve"> 承包人</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承担。</w:t>
      </w:r>
    </w:p>
    <w:p w14:paraId="3FDD605B">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1.11 知识产权</w:t>
      </w:r>
    </w:p>
    <w:p w14:paraId="3CF85686">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1.11.1 关于发包人提供给承包人的图纸、发包人为实施工程自行编制或委托编制的技术规范以及反映发包人关于合同要求或其他类似性质的文件的著作权的归属：</w:t>
      </w:r>
      <w:r>
        <w:rPr>
          <w:rFonts w:ascii="宋体" w:hAnsi="宋体" w:eastAsia="宋体" w:cs="Times New Roman"/>
          <w:color w:val="auto"/>
          <w:sz w:val="21"/>
          <w:szCs w:val="21"/>
          <w:highlight w:val="none"/>
          <w:u w:val="single"/>
        </w:rPr>
        <w:t xml:space="preserve">   发包人   </w:t>
      </w:r>
      <w:r>
        <w:rPr>
          <w:rFonts w:ascii="宋体" w:hAnsi="宋体" w:eastAsia="宋体" w:cs="Times New Roman"/>
          <w:color w:val="auto"/>
          <w:sz w:val="21"/>
          <w:szCs w:val="21"/>
          <w:highlight w:val="none"/>
        </w:rPr>
        <w:t>。</w:t>
      </w:r>
    </w:p>
    <w:p w14:paraId="02DD66D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关于发包人提供的上述文件的使用限制的要求：</w:t>
      </w:r>
      <w:r>
        <w:rPr>
          <w:rFonts w:hint="eastAsia" w:ascii="宋体" w:hAnsi="宋体" w:eastAsia="宋体" w:cs="Times New Roman"/>
          <w:color w:val="auto"/>
          <w:sz w:val="21"/>
          <w:szCs w:val="21"/>
          <w:highlight w:val="none"/>
          <w:u w:val="single"/>
        </w:rPr>
        <w:t>发包人按现状交给承包人，其它由承包人自行办理，费用由承包人承担。承包人应自行踏勘现场，将现有道路和交通情况了解清楚，将应考虑的费用在投标报价时考虑，任何因不了解现场情况而提出的增加费用将不被批准</w:t>
      </w:r>
      <w:r>
        <w:rPr>
          <w:rFonts w:ascii="宋体" w:hAnsi="宋体" w:eastAsia="宋体" w:cs="Times New Roman"/>
          <w:color w:val="auto"/>
          <w:sz w:val="21"/>
          <w:szCs w:val="21"/>
          <w:highlight w:val="none"/>
        </w:rPr>
        <w:t>。</w:t>
      </w:r>
    </w:p>
    <w:p w14:paraId="6D88C71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1.11.2 关于承包人为实施工程所编制文件的著作权的归属：</w:t>
      </w:r>
      <w:r>
        <w:rPr>
          <w:rFonts w:ascii="宋体" w:hAnsi="宋体" w:eastAsia="宋体" w:cs="Times New Roman"/>
          <w:color w:val="auto"/>
          <w:sz w:val="21"/>
          <w:szCs w:val="21"/>
          <w:highlight w:val="none"/>
          <w:u w:val="single"/>
        </w:rPr>
        <w:t xml:space="preserve">  发包人  </w:t>
      </w:r>
      <w:r>
        <w:rPr>
          <w:rFonts w:ascii="宋体" w:hAnsi="宋体" w:eastAsia="宋体" w:cs="Times New Roman"/>
          <w:color w:val="auto"/>
          <w:sz w:val="21"/>
          <w:szCs w:val="21"/>
          <w:highlight w:val="none"/>
        </w:rPr>
        <w:t>。</w:t>
      </w:r>
    </w:p>
    <w:p w14:paraId="26156518">
      <w:pPr>
        <w:spacing w:line="400" w:lineRule="exact"/>
        <w:ind w:firstLine="420"/>
        <w:rPr>
          <w:rFonts w:hint="eastAsia"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关于承包人提供的上述文件的使用限制的要求：</w:t>
      </w:r>
      <w:r>
        <w:rPr>
          <w:rFonts w:hint="eastAsia" w:ascii="宋体" w:hAnsi="宋体" w:eastAsia="宋体" w:cs="Times New Roman"/>
          <w:color w:val="auto"/>
          <w:sz w:val="21"/>
          <w:szCs w:val="21"/>
          <w:highlight w:val="none"/>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27054691">
      <w:pPr>
        <w:spacing w:line="400" w:lineRule="exact"/>
        <w:ind w:firstLine="42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u w:val="single"/>
        </w:rPr>
        <w:t>承包人违反1.11.1以及1.11.2的约定的，需承担本合同总金额5%的违约金</w:t>
      </w:r>
      <w:r>
        <w:rPr>
          <w:rFonts w:ascii="宋体" w:hAnsi="宋体" w:eastAsia="宋体" w:cs="Times New Roman"/>
          <w:color w:val="auto"/>
          <w:sz w:val="21"/>
          <w:szCs w:val="21"/>
          <w:highlight w:val="none"/>
        </w:rPr>
        <w:t>。</w:t>
      </w:r>
    </w:p>
    <w:p w14:paraId="7FD1E2D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1.11.4 承包人在施工过程中所采用的专利、专有技术、技术秘密的使用费的承担方式：</w:t>
      </w:r>
      <w:r>
        <w:rPr>
          <w:rFonts w:hint="eastAsia" w:ascii="宋体" w:hAnsi="宋体" w:eastAsia="宋体" w:cs="Times New Roman"/>
          <w:color w:val="auto"/>
          <w:sz w:val="21"/>
          <w:szCs w:val="21"/>
          <w:highlight w:val="none"/>
          <w:u w:val="single"/>
        </w:rPr>
        <w:t>承包人承担</w:t>
      </w:r>
      <w:r>
        <w:rPr>
          <w:rFonts w:ascii="宋体" w:hAnsi="宋体" w:eastAsia="宋体" w:cs="Times New Roman"/>
          <w:color w:val="auto"/>
          <w:sz w:val="21"/>
          <w:szCs w:val="21"/>
          <w:highlight w:val="none"/>
        </w:rPr>
        <w:t>。</w:t>
      </w:r>
    </w:p>
    <w:p w14:paraId="40DF8794">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1.13 工程量清单错误的修正</w:t>
      </w:r>
    </w:p>
    <w:p w14:paraId="45B4C2D3">
      <w:pPr>
        <w:spacing w:line="400" w:lineRule="exact"/>
        <w:ind w:firstLine="422"/>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1.13.1 出现工程量清单错误时，是否调整合同价格：</w:t>
      </w:r>
    </w:p>
    <w:p w14:paraId="1365F084">
      <w:pPr>
        <w:spacing w:line="400" w:lineRule="exact"/>
        <w:ind w:firstLine="422"/>
        <w:rPr>
          <w:rFonts w:ascii="Times New Roman" w:hAnsi="Times New Roman" w:eastAsia="宋体" w:cs="Times New Roman"/>
          <w:b/>
          <w:bCs/>
          <w:color w:val="auto"/>
          <w:sz w:val="21"/>
          <w:szCs w:val="21"/>
          <w:highlight w:val="none"/>
          <w:u w:val="single"/>
        </w:rPr>
      </w:pPr>
      <w:r>
        <w:rPr>
          <w:rFonts w:ascii="Times New Roman" w:hAnsi="Times New Roman" w:eastAsia="宋体" w:cs="Times New Roman"/>
          <w:b/>
          <w:bCs/>
          <w:color w:val="auto"/>
          <w:sz w:val="21"/>
          <w:szCs w:val="21"/>
          <w:highlight w:val="none"/>
          <w:u w:val="single"/>
        </w:rPr>
        <w:t>无论招标时工程量清单中项目特征描述是否完整或准确，发包人要求承包人的投标报价应为完成施工图纸的全部内容，若无相关设计变更，除本招标文件及施工合同中约定允许调整外</w:t>
      </w:r>
      <w:r>
        <w:rPr>
          <w:rFonts w:hint="eastAsia" w:ascii="Times New Roman" w:hAnsi="Times New Roman" w:eastAsia="宋体" w:cs="Times New Roman"/>
          <w:b/>
          <w:bCs/>
          <w:color w:val="auto"/>
          <w:sz w:val="21"/>
          <w:szCs w:val="21"/>
          <w:highlight w:val="none"/>
          <w:u w:val="single"/>
        </w:rPr>
        <w:t>，</w:t>
      </w:r>
      <w:r>
        <w:rPr>
          <w:rFonts w:ascii="Times New Roman" w:hAnsi="Times New Roman" w:eastAsia="宋体" w:cs="Times New Roman"/>
          <w:b/>
          <w:bCs/>
          <w:color w:val="auto"/>
          <w:sz w:val="21"/>
          <w:szCs w:val="21"/>
          <w:highlight w:val="none"/>
          <w:u w:val="single"/>
        </w:rPr>
        <w:t>中标的综合单价不予调整。</w:t>
      </w:r>
    </w:p>
    <w:p w14:paraId="318B9302">
      <w:pPr>
        <w:spacing w:line="400" w:lineRule="exact"/>
        <w:ind w:firstLine="422"/>
        <w:rPr>
          <w:rFonts w:ascii="Times New Roman" w:hAnsi="Times New Roman" w:eastAsia="宋体" w:cs="Times New Roman"/>
          <w:b/>
          <w:bCs/>
          <w:color w:val="auto"/>
          <w:sz w:val="21"/>
          <w:szCs w:val="21"/>
          <w:highlight w:val="none"/>
          <w:u w:val="single"/>
        </w:rPr>
      </w:pPr>
      <w:r>
        <w:rPr>
          <w:rFonts w:hint="eastAsia" w:ascii="Times New Roman" w:hAnsi="Times New Roman" w:eastAsia="宋体" w:cs="Times New Roman"/>
          <w:b/>
          <w:bCs/>
          <w:color w:val="auto"/>
          <w:sz w:val="21"/>
          <w:szCs w:val="21"/>
          <w:highlight w:val="none"/>
          <w:u w:val="single"/>
        </w:rPr>
        <w:t>承包人在投标报价时，是以工程量清单并结合施工图进行报价，如工程量清单项目特征描述中不全面或未明确，但施工图中有明确做法，投标报价时已考虑施工图中的做法进行报价，如未考虑的，视为承包人优惠，其价格包括在其综合单价中。如项目特征与施工图做法不一致，项目特征中已有明确做法的，以项目特征描述报价。</w:t>
      </w:r>
    </w:p>
    <w:p w14:paraId="3D003698">
      <w:pPr>
        <w:spacing w:line="400" w:lineRule="exact"/>
        <w:ind w:firstLine="422"/>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u w:val="single"/>
        </w:rPr>
        <w:t>工程量按实际完成的工程量结算。最终以发包人委托的有执业资格的工程造价咨询机构或</w:t>
      </w:r>
      <w:r>
        <w:rPr>
          <w:rFonts w:hint="eastAsia" w:ascii="Times New Roman" w:hAnsi="Times New Roman" w:eastAsia="宋体" w:cs="Times New Roman"/>
          <w:b/>
          <w:bCs/>
          <w:color w:val="auto"/>
          <w:sz w:val="21"/>
          <w:szCs w:val="21"/>
          <w:highlight w:val="none"/>
          <w:u w:val="single"/>
        </w:rPr>
        <w:t>射阳县财政局</w:t>
      </w:r>
      <w:r>
        <w:rPr>
          <w:rFonts w:ascii="Times New Roman" w:hAnsi="Times New Roman" w:eastAsia="宋体" w:cs="Times New Roman"/>
          <w:b/>
          <w:bCs/>
          <w:color w:val="auto"/>
          <w:sz w:val="21"/>
          <w:szCs w:val="21"/>
          <w:highlight w:val="none"/>
          <w:u w:val="single"/>
        </w:rPr>
        <w:t>审</w:t>
      </w:r>
      <w:r>
        <w:rPr>
          <w:rFonts w:hint="eastAsia" w:ascii="Times New Roman" w:hAnsi="Times New Roman" w:eastAsia="宋体" w:cs="Times New Roman"/>
          <w:b/>
          <w:bCs/>
          <w:color w:val="auto"/>
          <w:sz w:val="21"/>
          <w:szCs w:val="21"/>
          <w:highlight w:val="none"/>
          <w:u w:val="single"/>
        </w:rPr>
        <w:t>计</w:t>
      </w:r>
      <w:r>
        <w:rPr>
          <w:rFonts w:ascii="Times New Roman" w:hAnsi="Times New Roman" w:eastAsia="宋体" w:cs="Times New Roman"/>
          <w:b/>
          <w:bCs/>
          <w:color w:val="auto"/>
          <w:sz w:val="21"/>
          <w:szCs w:val="21"/>
          <w:highlight w:val="none"/>
          <w:u w:val="single"/>
        </w:rPr>
        <w:t>中心审核确认后的工程竣工结算价为准。其中，由承包人代交纳的相关规费等费用，在最终结算时凭缴费发票进入结算总价中。</w:t>
      </w:r>
    </w:p>
    <w:p w14:paraId="53C457BC">
      <w:pPr>
        <w:spacing w:line="400" w:lineRule="exact"/>
        <w:ind w:firstLine="422"/>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1.13.2允许调整合同价格的工程量偏差范围：</w:t>
      </w:r>
    </w:p>
    <w:p w14:paraId="373CEF0F">
      <w:pPr>
        <w:spacing w:line="400" w:lineRule="exact"/>
        <w:ind w:firstLine="422"/>
        <w:rPr>
          <w:rFonts w:hint="eastAsia" w:ascii="Times New Roman" w:hAnsi="Times New Roman" w:eastAsia="宋体" w:cs="Times New Roman"/>
          <w:b/>
          <w:bCs/>
          <w:color w:val="auto"/>
          <w:sz w:val="21"/>
          <w:szCs w:val="21"/>
          <w:highlight w:val="none"/>
          <w:u w:val="single"/>
        </w:rPr>
      </w:pPr>
      <w:r>
        <w:rPr>
          <w:rFonts w:hint="eastAsia" w:ascii="Times New Roman" w:hAnsi="Times New Roman" w:eastAsia="宋体" w:cs="Times New Roman"/>
          <w:b/>
          <w:bCs/>
          <w:color w:val="auto"/>
          <w:sz w:val="21"/>
          <w:szCs w:val="21"/>
          <w:highlight w:val="none"/>
          <w:u w:val="single"/>
        </w:rPr>
        <w:t>（1）非承包人原因造成的工程变更（含设计变更）或其它不可预见的工程量；</w:t>
      </w:r>
    </w:p>
    <w:p w14:paraId="0184B0A4">
      <w:pPr>
        <w:spacing w:line="400" w:lineRule="exact"/>
        <w:ind w:firstLine="422"/>
        <w:rPr>
          <w:rFonts w:hint="eastAsia" w:ascii="Times New Roman" w:hAnsi="Times New Roman" w:eastAsia="宋体" w:cs="Times New Roman"/>
          <w:b/>
          <w:bCs/>
          <w:color w:val="auto"/>
          <w:sz w:val="21"/>
          <w:szCs w:val="21"/>
          <w:highlight w:val="none"/>
          <w:u w:val="single"/>
        </w:rPr>
      </w:pPr>
      <w:r>
        <w:rPr>
          <w:rFonts w:hint="eastAsia" w:ascii="Times New Roman" w:hAnsi="Times New Roman" w:eastAsia="宋体" w:cs="Times New Roman"/>
          <w:b/>
          <w:bCs/>
          <w:color w:val="auto"/>
          <w:sz w:val="21"/>
          <w:szCs w:val="21"/>
          <w:highlight w:val="none"/>
          <w:u w:val="single"/>
        </w:rPr>
        <w:t xml:space="preserve">（2）由于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 </w:t>
      </w:r>
    </w:p>
    <w:p w14:paraId="7C187C0F">
      <w:pPr>
        <w:pStyle w:val="39"/>
        <w:rPr>
          <w:color w:val="auto"/>
          <w:highlight w:val="none"/>
        </w:rPr>
      </w:pPr>
    </w:p>
    <w:p w14:paraId="688BE53E">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2. 发包人</w:t>
      </w:r>
    </w:p>
    <w:p w14:paraId="3B0E1BA3">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2.2 发包人代表</w:t>
      </w:r>
    </w:p>
    <w:p w14:paraId="5AE4A94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发包人代表：</w:t>
      </w:r>
    </w:p>
    <w:p w14:paraId="49334C1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姓    名：</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3FD8604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身份证号：</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4A86189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职    务：</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349902B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联系电话：</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57FECA9C">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电子信箱：</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73E9D01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通信地址：</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04D4B21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发包人对发包人代表的授权范围如下：</w:t>
      </w:r>
      <w:r>
        <w:rPr>
          <w:rFonts w:ascii="宋体" w:hAnsi="宋体" w:eastAsia="宋体" w:cs="Times New Roman"/>
          <w:color w:val="auto"/>
          <w:sz w:val="21"/>
          <w:szCs w:val="21"/>
          <w:highlight w:val="none"/>
          <w:u w:val="single"/>
        </w:rPr>
        <w:t>代表发包人负责整体工程协调管理、批准所有签证及变更方案实施</w:t>
      </w:r>
      <w:r>
        <w:rPr>
          <w:rFonts w:ascii="宋体" w:hAnsi="宋体" w:eastAsia="宋体" w:cs="Times New Roman"/>
          <w:color w:val="auto"/>
          <w:sz w:val="21"/>
          <w:szCs w:val="21"/>
          <w:highlight w:val="none"/>
        </w:rPr>
        <w:t>。</w:t>
      </w:r>
    </w:p>
    <w:p w14:paraId="4E8AF490">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2.4 施工现场、施工条件和基础资料的提供</w:t>
      </w:r>
    </w:p>
    <w:p w14:paraId="41FDDA2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2.4.1 提供施工现场</w:t>
      </w:r>
    </w:p>
    <w:p w14:paraId="526A78FE">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关于发包人移交施工现场的期限要求：</w:t>
      </w:r>
      <w:r>
        <w:rPr>
          <w:rFonts w:ascii="宋体" w:hAnsi="宋体" w:eastAsia="宋体" w:cs="Times New Roman"/>
          <w:color w:val="auto"/>
          <w:sz w:val="21"/>
          <w:szCs w:val="21"/>
          <w:highlight w:val="none"/>
          <w:u w:val="single"/>
        </w:rPr>
        <w:t xml:space="preserve">合同签订后 3 日内   </w:t>
      </w:r>
    </w:p>
    <w:p w14:paraId="7C4BD03D">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2.4.2 提供施工条件</w:t>
      </w:r>
    </w:p>
    <w:p w14:paraId="15012A8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关于发包人应负责提供施工所需要的条件，包括：</w:t>
      </w:r>
    </w:p>
    <w:p w14:paraId="67D0BDBE">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（1）发包人提供施工用水、用电接入点，施工用水、电由承包人现场单独挂表计量，费用由承包人负责，水、电管线搭拆费用、水电费（含线路损耗）及用水用电产生的事故责任由承包人自行承担；</w:t>
      </w:r>
    </w:p>
    <w:p w14:paraId="45151909">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（2）协调处理施工场地周围地下管线和邻近建筑物、构筑（含文物保护建筑）、古树名木的保护工作；</w:t>
      </w:r>
    </w:p>
    <w:p w14:paraId="2B38D1BA">
      <w:pPr>
        <w:spacing w:line="400" w:lineRule="exact"/>
        <w:ind w:firstLine="420"/>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（3）施工现场场内交通条件，如不具备，则由承包人实施，并承担费用。</w:t>
      </w:r>
    </w:p>
    <w:p w14:paraId="60AECF35">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2.5 资金来源证明及支付担保</w:t>
      </w:r>
    </w:p>
    <w:p w14:paraId="76EEC8D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发包人提供资金来源证明的期限要求：</w:t>
      </w:r>
      <w:r>
        <w:rPr>
          <w:rFonts w:hint="eastAsia" w:ascii="宋体" w:hAnsi="宋体" w:eastAsia="宋体" w:cs="Times New Roman"/>
          <w:color w:val="auto"/>
          <w:sz w:val="21"/>
          <w:szCs w:val="21"/>
          <w:highlight w:val="none"/>
          <w:u w:val="single"/>
        </w:rPr>
        <w:t>已提供</w:t>
      </w:r>
      <w:r>
        <w:rPr>
          <w:rFonts w:ascii="宋体" w:hAnsi="宋体" w:eastAsia="宋体" w:cs="Times New Roman"/>
          <w:color w:val="auto"/>
          <w:sz w:val="21"/>
          <w:szCs w:val="21"/>
          <w:highlight w:val="none"/>
        </w:rPr>
        <w:t>。</w:t>
      </w:r>
    </w:p>
    <w:p w14:paraId="1724500E">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发包人是否提供支付担保：</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是</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7973A6D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发包人提供支付担保的形式：</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64FF74DA">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3. 承包人</w:t>
      </w:r>
    </w:p>
    <w:p w14:paraId="17686481">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3.1 承包人的一般义务</w:t>
      </w:r>
    </w:p>
    <w:p w14:paraId="63B0F45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（9）承包人提交的竣工资料的内容：</w:t>
      </w:r>
      <w:r>
        <w:rPr>
          <w:rFonts w:ascii="宋体" w:hAnsi="宋体" w:eastAsia="宋体" w:cs="Times New Roman"/>
          <w:color w:val="auto"/>
          <w:sz w:val="21"/>
          <w:szCs w:val="21"/>
          <w:highlight w:val="none"/>
          <w:u w:val="single"/>
        </w:rPr>
        <w:t xml:space="preserve">  按发包人要求提交全套施工资料及竣工图   </w:t>
      </w:r>
      <w:r>
        <w:rPr>
          <w:rFonts w:ascii="宋体" w:hAnsi="宋体" w:eastAsia="宋体" w:cs="Times New Roman"/>
          <w:color w:val="auto"/>
          <w:sz w:val="21"/>
          <w:szCs w:val="21"/>
          <w:highlight w:val="none"/>
        </w:rPr>
        <w:t>。</w:t>
      </w:r>
    </w:p>
    <w:p w14:paraId="1D7C7F2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承包人需要提交的竣工资料套数：</w:t>
      </w:r>
      <w:r>
        <w:rPr>
          <w:rFonts w:ascii="宋体" w:hAnsi="宋体" w:eastAsia="宋体" w:cs="Times New Roman"/>
          <w:color w:val="auto"/>
          <w:sz w:val="21"/>
          <w:szCs w:val="21"/>
          <w:highlight w:val="none"/>
          <w:u w:val="single"/>
        </w:rPr>
        <w:t xml:space="preserve">  竣工资料和竣工图肆套  </w:t>
      </w:r>
      <w:r>
        <w:rPr>
          <w:rFonts w:ascii="宋体" w:hAnsi="宋体" w:eastAsia="宋体" w:cs="Times New Roman"/>
          <w:color w:val="auto"/>
          <w:sz w:val="21"/>
          <w:szCs w:val="21"/>
          <w:highlight w:val="none"/>
        </w:rPr>
        <w:t>。</w:t>
      </w:r>
    </w:p>
    <w:p w14:paraId="5808DC41">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承包人提交的竣工资料的费用承担：</w:t>
      </w:r>
      <w:r>
        <w:rPr>
          <w:rFonts w:ascii="宋体" w:hAnsi="宋体" w:eastAsia="宋体" w:cs="Times New Roman"/>
          <w:color w:val="auto"/>
          <w:sz w:val="21"/>
          <w:szCs w:val="21"/>
          <w:highlight w:val="none"/>
          <w:u w:val="single"/>
        </w:rPr>
        <w:t xml:space="preserve">  由承包人负责  </w:t>
      </w:r>
      <w:r>
        <w:rPr>
          <w:rFonts w:ascii="宋体" w:hAnsi="宋体" w:eastAsia="宋体" w:cs="Times New Roman"/>
          <w:color w:val="auto"/>
          <w:sz w:val="21"/>
          <w:szCs w:val="21"/>
          <w:highlight w:val="none"/>
        </w:rPr>
        <w:t>。</w:t>
      </w:r>
    </w:p>
    <w:p w14:paraId="51917F3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承包人提交的竣工资料移交时间：</w:t>
      </w:r>
      <w:r>
        <w:rPr>
          <w:rFonts w:ascii="宋体" w:hAnsi="宋体" w:eastAsia="宋体" w:cs="Times New Roman"/>
          <w:color w:val="auto"/>
          <w:sz w:val="21"/>
          <w:szCs w:val="21"/>
          <w:highlight w:val="none"/>
          <w:u w:val="single"/>
        </w:rPr>
        <w:t xml:space="preserve">  工程竣工验收合格后3日内   </w:t>
      </w:r>
      <w:r>
        <w:rPr>
          <w:rFonts w:ascii="宋体" w:hAnsi="宋体" w:eastAsia="宋体" w:cs="Times New Roman"/>
          <w:color w:val="auto"/>
          <w:sz w:val="21"/>
          <w:szCs w:val="21"/>
          <w:highlight w:val="none"/>
        </w:rPr>
        <w:t>。</w:t>
      </w:r>
    </w:p>
    <w:p w14:paraId="6373A5CC">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承包人提交的竣工资料形式要求：</w:t>
      </w:r>
      <w:r>
        <w:rPr>
          <w:rFonts w:ascii="宋体" w:hAnsi="宋体" w:eastAsia="宋体" w:cs="Times New Roman"/>
          <w:color w:val="auto"/>
          <w:sz w:val="21"/>
          <w:szCs w:val="21"/>
          <w:highlight w:val="none"/>
          <w:u w:val="single"/>
        </w:rPr>
        <w:t xml:space="preserve">   书面资料及电子档资料      </w:t>
      </w:r>
      <w:r>
        <w:rPr>
          <w:rFonts w:ascii="宋体" w:hAnsi="宋体" w:eastAsia="宋体" w:cs="Times New Roman"/>
          <w:color w:val="auto"/>
          <w:sz w:val="21"/>
          <w:szCs w:val="21"/>
          <w:highlight w:val="none"/>
        </w:rPr>
        <w:t>。</w:t>
      </w:r>
    </w:p>
    <w:p w14:paraId="06DA22A7">
      <w:pPr>
        <w:widowControl w:val="0"/>
        <w:tabs>
          <w:tab w:val="left" w:pos="0"/>
          <w:tab w:val="left" w:pos="540"/>
          <w:tab w:val="left" w:pos="720"/>
          <w:tab w:val="left" w:pos="4140"/>
          <w:tab w:val="left" w:pos="5400"/>
          <w:tab w:val="left" w:pos="8460"/>
        </w:tabs>
        <w:spacing w:after="0" w:line="400" w:lineRule="exact"/>
        <w:ind w:firstLine="420"/>
        <w:jc w:val="both"/>
        <w:rPr>
          <w:rFonts w:hint="default" w:ascii="宋体" w:hAnsi="宋体" w:eastAsia="宋体" w:cs="Times New Roman"/>
          <w:color w:val="auto"/>
          <w:sz w:val="21"/>
          <w:szCs w:val="21"/>
          <w:highlight w:val="none"/>
          <w:u w:val="single"/>
          <w:lang w:val="en-US" w:eastAsia="zh-CN" w:bidi="ar-SA"/>
        </w:rPr>
      </w:pPr>
      <w:r>
        <w:rPr>
          <w:rFonts w:hint="default" w:ascii="宋体" w:hAnsi="宋体" w:eastAsia="宋体" w:cs="Times New Roman"/>
          <w:color w:val="auto"/>
          <w:sz w:val="21"/>
          <w:szCs w:val="21"/>
          <w:highlight w:val="none"/>
          <w:lang w:val="en-US" w:eastAsia="zh-CN" w:bidi="ar-SA"/>
        </w:rPr>
        <w:t>（10）承包人应履行的其他义务：</w:t>
      </w:r>
    </w:p>
    <w:p w14:paraId="1148A088">
      <w:pPr>
        <w:widowControl w:val="0"/>
        <w:tabs>
          <w:tab w:val="left" w:pos="0"/>
          <w:tab w:val="left" w:pos="540"/>
          <w:tab w:val="left" w:pos="720"/>
          <w:tab w:val="left" w:pos="4140"/>
          <w:tab w:val="left" w:pos="5400"/>
          <w:tab w:val="left" w:pos="8460"/>
        </w:tabs>
        <w:spacing w:after="0" w:line="400" w:lineRule="exact"/>
        <w:ind w:firstLine="420"/>
        <w:jc w:val="both"/>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10.1承担施工安全保卫工作、夜间施工及非夜间施工照明的责任和要求：承包人在各种危险部位设置明显的安全警示标志，安全警示标志必须符合国家标准。</w:t>
      </w:r>
      <w:r>
        <w:rPr>
          <w:rFonts w:hint="default" w:ascii="宋体" w:hAnsi="宋体" w:eastAsia="宋体" w:cs="Times New Roman"/>
          <w:color w:val="auto"/>
          <w:sz w:val="21"/>
          <w:szCs w:val="21"/>
          <w:highlight w:val="none"/>
          <w:u w:val="single"/>
          <w:lang w:val="en-US" w:eastAsia="zh-CN" w:bidi="ar-SA"/>
        </w:rPr>
        <w:t>安排专人24小时负责安全保卫工作，非夜间施工照明应注意安全要求，费用由承包人承担</w:t>
      </w:r>
      <w:r>
        <w:rPr>
          <w:rFonts w:hint="eastAsia" w:ascii="宋体" w:hAnsi="宋体" w:eastAsia="宋体" w:cs="Times New Roman"/>
          <w:color w:val="auto"/>
          <w:sz w:val="21"/>
          <w:szCs w:val="21"/>
          <w:highlight w:val="none"/>
          <w:u w:val="single"/>
          <w:lang w:val="en-US" w:eastAsia="zh-CN" w:bidi="ar-SA"/>
        </w:rPr>
        <w:t>。</w:t>
      </w:r>
      <w:r>
        <w:rPr>
          <w:rFonts w:hint="eastAsia" w:ascii="宋体" w:hAnsi="宋体" w:eastAsia="宋体" w:cs="宋体"/>
          <w:color w:val="auto"/>
          <w:sz w:val="21"/>
          <w:szCs w:val="21"/>
          <w:highlight w:val="none"/>
          <w:u w:val="single"/>
          <w:lang w:val="en-US" w:eastAsia="zh-CN" w:bidi="ar-SA"/>
        </w:rPr>
        <w:t>如发生安全事故，责任概由承包人承担，并按招标文件的相关约定要求进行处罚。</w:t>
      </w:r>
    </w:p>
    <w:p w14:paraId="41FCC49F">
      <w:pPr>
        <w:widowControl w:val="0"/>
        <w:tabs>
          <w:tab w:val="left" w:pos="0"/>
          <w:tab w:val="left" w:pos="540"/>
          <w:tab w:val="left" w:pos="720"/>
          <w:tab w:val="left" w:pos="4140"/>
          <w:tab w:val="left" w:pos="5400"/>
          <w:tab w:val="left" w:pos="8460"/>
        </w:tabs>
        <w:spacing w:after="0" w:line="400" w:lineRule="exact"/>
        <w:ind w:firstLine="420"/>
        <w:jc w:val="both"/>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10.2需承包人办理的有关施工场地交通、环卫环保和施工噪音管理等手续：遵守政府有关主管部门对施工场地交通、施工噪音、环境保护和安全生产等的管理规定，按规定办理有关手续，并以书面形式通知发包人，所有费用均已含在合同价中。</w:t>
      </w:r>
    </w:p>
    <w:p w14:paraId="14599F3A">
      <w:pPr>
        <w:widowControl w:val="0"/>
        <w:tabs>
          <w:tab w:val="left" w:pos="0"/>
          <w:tab w:val="left" w:pos="540"/>
          <w:tab w:val="left" w:pos="720"/>
          <w:tab w:val="left" w:pos="4140"/>
          <w:tab w:val="left" w:pos="5400"/>
          <w:tab w:val="left" w:pos="8460"/>
        </w:tabs>
        <w:spacing w:after="0" w:line="400" w:lineRule="exact"/>
        <w:ind w:firstLine="420"/>
        <w:jc w:val="both"/>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10.3已完工程成品保护的特殊要求及费用承担：已竣工工程未交付发包人之前，负责已完成工程的保护工作，所需费用含在合同价内。</w:t>
      </w:r>
    </w:p>
    <w:p w14:paraId="48436CFD">
      <w:pPr>
        <w:widowControl w:val="0"/>
        <w:tabs>
          <w:tab w:val="left" w:pos="0"/>
          <w:tab w:val="left" w:pos="540"/>
          <w:tab w:val="left" w:pos="720"/>
          <w:tab w:val="left" w:pos="4140"/>
          <w:tab w:val="left" w:pos="5400"/>
          <w:tab w:val="left" w:pos="8460"/>
        </w:tabs>
        <w:spacing w:after="0" w:line="400" w:lineRule="exact"/>
        <w:ind w:firstLine="420"/>
        <w:jc w:val="both"/>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10.4承包人必须对施工场地周围地下管线和邻近建筑物、构筑物、</w:t>
      </w:r>
      <w:r>
        <w:rPr>
          <w:rFonts w:hint="default" w:ascii="宋体" w:hAnsi="宋体" w:eastAsia="宋体" w:cs="Times New Roman"/>
          <w:color w:val="auto"/>
          <w:sz w:val="21"/>
          <w:szCs w:val="21"/>
          <w:highlight w:val="none"/>
          <w:u w:val="single"/>
          <w:lang w:val="en-US" w:eastAsia="zh-CN" w:bidi="ar-SA"/>
        </w:rPr>
        <w:t>古树名木</w:t>
      </w:r>
      <w:r>
        <w:rPr>
          <w:rFonts w:hint="eastAsia" w:ascii="宋体" w:hAnsi="宋体" w:eastAsia="宋体" w:cs="宋体"/>
          <w:color w:val="auto"/>
          <w:sz w:val="21"/>
          <w:szCs w:val="21"/>
          <w:highlight w:val="none"/>
          <w:u w:val="single"/>
          <w:lang w:val="en-US" w:eastAsia="zh-CN" w:bidi="ar-SA"/>
        </w:rPr>
        <w:t>进行保护，费用由承包人负责；如因承包人没有及时报告和保护而造成的一切经济损失和法律责任由承包人承担。</w:t>
      </w:r>
    </w:p>
    <w:p w14:paraId="6E5F559C">
      <w:pPr>
        <w:widowControl w:val="0"/>
        <w:tabs>
          <w:tab w:val="left" w:pos="0"/>
          <w:tab w:val="left" w:pos="540"/>
          <w:tab w:val="left" w:pos="720"/>
          <w:tab w:val="left" w:pos="4140"/>
          <w:tab w:val="left" w:pos="5400"/>
          <w:tab w:val="left" w:pos="8460"/>
        </w:tabs>
        <w:spacing w:after="0" w:line="400" w:lineRule="exact"/>
        <w:ind w:firstLine="420"/>
        <w:jc w:val="both"/>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10.5施工场地清洁卫生的要求：按文明工地标准，施工现场材料堆放要整齐，并有遮盖，不得扬尘，机械停放有序，符合清洁卫生要求，承担因自身原因违反有关规定造成的损失和罚款。</w:t>
      </w:r>
    </w:p>
    <w:p w14:paraId="055B6E18">
      <w:pPr>
        <w:widowControl w:val="0"/>
        <w:tabs>
          <w:tab w:val="left" w:pos="0"/>
          <w:tab w:val="left" w:pos="540"/>
          <w:tab w:val="left" w:pos="720"/>
          <w:tab w:val="left" w:pos="4140"/>
          <w:tab w:val="left" w:pos="5400"/>
          <w:tab w:val="left" w:pos="8460"/>
        </w:tabs>
        <w:spacing w:after="0" w:line="400" w:lineRule="exact"/>
        <w:ind w:firstLine="420"/>
        <w:jc w:val="both"/>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10.6双方约定承包人应做的其他工作：施工场地要设立标语、标牌，做到文明施工，树立企业形象，主动接受社会监督和有关部门的管理。</w:t>
      </w:r>
    </w:p>
    <w:p w14:paraId="03281442">
      <w:pPr>
        <w:widowControl w:val="0"/>
        <w:tabs>
          <w:tab w:val="left" w:pos="0"/>
          <w:tab w:val="left" w:pos="540"/>
          <w:tab w:val="left" w:pos="720"/>
          <w:tab w:val="left" w:pos="4140"/>
          <w:tab w:val="left" w:pos="5400"/>
          <w:tab w:val="left" w:pos="8460"/>
        </w:tabs>
        <w:spacing w:after="0" w:line="400" w:lineRule="exact"/>
        <w:ind w:firstLine="420"/>
        <w:jc w:val="both"/>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10.7承包人在本工程竣工验收后七日内拆除所有临时设施，并清运出现场，费用由承包人负责。否则，如发生相关费用由发包人在工程竣工结算价款中扣除。</w:t>
      </w:r>
    </w:p>
    <w:p w14:paraId="64733172">
      <w:pPr>
        <w:widowControl w:val="0"/>
        <w:tabs>
          <w:tab w:val="left" w:pos="0"/>
          <w:tab w:val="left" w:pos="540"/>
          <w:tab w:val="left" w:pos="720"/>
          <w:tab w:val="left" w:pos="4140"/>
          <w:tab w:val="left" w:pos="5400"/>
          <w:tab w:val="left" w:pos="8460"/>
        </w:tabs>
        <w:spacing w:after="0" w:line="400" w:lineRule="exact"/>
        <w:ind w:firstLine="420"/>
        <w:jc w:val="both"/>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10.8如发包人代扣代缴本工程应由承包人缴纳的各种费用，承包人必须履行发包人要求的各项手续，费用由承包人负责。</w:t>
      </w:r>
    </w:p>
    <w:p w14:paraId="2F6E1581">
      <w:pPr>
        <w:widowControl w:val="0"/>
        <w:tabs>
          <w:tab w:val="left" w:pos="0"/>
          <w:tab w:val="left" w:pos="540"/>
          <w:tab w:val="left" w:pos="720"/>
          <w:tab w:val="left" w:pos="4140"/>
          <w:tab w:val="left" w:pos="5400"/>
          <w:tab w:val="left" w:pos="8460"/>
        </w:tabs>
        <w:spacing w:after="0" w:line="400" w:lineRule="exact"/>
        <w:ind w:firstLine="420"/>
        <w:jc w:val="both"/>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10.9承包人无条件服从发包人管理工作的要求。自行协调与其它专业工程施工承包人（如有）之间的矛盾，如发生相关费用，由承包人自行承担。同时施工过程中遇到的地方矛盾及由此发生的费用由承包人自行负责。</w:t>
      </w:r>
    </w:p>
    <w:p w14:paraId="74C01094">
      <w:pPr>
        <w:widowControl w:val="0"/>
        <w:tabs>
          <w:tab w:val="left" w:pos="0"/>
          <w:tab w:val="left" w:pos="540"/>
          <w:tab w:val="left" w:pos="720"/>
          <w:tab w:val="left" w:pos="4140"/>
          <w:tab w:val="left" w:pos="5400"/>
          <w:tab w:val="left" w:pos="8460"/>
        </w:tabs>
        <w:spacing w:after="0" w:line="400" w:lineRule="exact"/>
        <w:ind w:firstLine="420"/>
        <w:jc w:val="both"/>
        <w:rPr>
          <w:rFonts w:hint="default" w:ascii="宋体" w:hAnsi="宋体" w:eastAsia="宋体" w:cs="Times New Roman"/>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10.10</w:t>
      </w:r>
      <w:r>
        <w:rPr>
          <w:rFonts w:hint="default" w:ascii="宋体" w:hAnsi="宋体" w:eastAsia="宋体" w:cs="Times New Roman"/>
          <w:color w:val="auto"/>
          <w:sz w:val="21"/>
          <w:szCs w:val="21"/>
          <w:highlight w:val="none"/>
          <w:u w:val="single"/>
          <w:lang w:val="en-US" w:eastAsia="zh-CN" w:bidi="ar-SA"/>
        </w:rPr>
        <w:t>本工程向建设主管部门办理的工程施工许可手续</w:t>
      </w:r>
      <w:r>
        <w:rPr>
          <w:rFonts w:hint="eastAsia" w:ascii="宋体" w:hAnsi="宋体" w:eastAsia="宋体" w:cs="Times New Roman"/>
          <w:color w:val="auto"/>
          <w:sz w:val="21"/>
          <w:szCs w:val="21"/>
          <w:highlight w:val="none"/>
          <w:u w:val="single"/>
          <w:lang w:val="en-US" w:eastAsia="zh-CN" w:bidi="ar-SA"/>
        </w:rPr>
        <w:t>、</w:t>
      </w:r>
      <w:r>
        <w:rPr>
          <w:rFonts w:hint="eastAsia" w:ascii="宋体" w:hAnsi="宋体" w:eastAsia="宋体" w:cs="宋体"/>
          <w:color w:val="auto"/>
          <w:sz w:val="21"/>
          <w:szCs w:val="21"/>
          <w:highlight w:val="none"/>
          <w:u w:val="single"/>
          <w:lang w:val="en-US" w:eastAsia="zh-CN" w:bidi="ar-SA"/>
        </w:rPr>
        <w:t>质监手续及其它施工所需证件等</w:t>
      </w:r>
      <w:r>
        <w:rPr>
          <w:rFonts w:hint="default" w:ascii="宋体" w:hAnsi="宋体" w:eastAsia="宋体" w:cs="Times New Roman"/>
          <w:color w:val="auto"/>
          <w:sz w:val="21"/>
          <w:szCs w:val="21"/>
          <w:highlight w:val="none"/>
          <w:u w:val="single"/>
          <w:lang w:val="en-US" w:eastAsia="zh-CN" w:bidi="ar-SA"/>
        </w:rPr>
        <w:t>，由承包人代为办理，发包人协助，费用按规定承担</w:t>
      </w:r>
      <w:r>
        <w:rPr>
          <w:rFonts w:hint="eastAsia" w:ascii="宋体" w:hAnsi="宋体" w:eastAsia="宋体" w:cs="Times New Roman"/>
          <w:color w:val="auto"/>
          <w:sz w:val="21"/>
          <w:szCs w:val="21"/>
          <w:highlight w:val="none"/>
          <w:u w:val="single"/>
          <w:lang w:val="en-US" w:eastAsia="zh-CN" w:bidi="ar-SA"/>
        </w:rPr>
        <w:t>。</w:t>
      </w:r>
    </w:p>
    <w:p w14:paraId="3E6EFB23">
      <w:pPr>
        <w:widowControl w:val="0"/>
        <w:tabs>
          <w:tab w:val="left" w:pos="0"/>
          <w:tab w:val="left" w:pos="540"/>
          <w:tab w:val="left" w:pos="720"/>
          <w:tab w:val="left" w:pos="4140"/>
          <w:tab w:val="left" w:pos="5400"/>
          <w:tab w:val="left" w:pos="8460"/>
        </w:tabs>
        <w:spacing w:after="0" w:line="400" w:lineRule="exact"/>
        <w:ind w:firstLine="420"/>
        <w:jc w:val="both"/>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10.11、承包人进场后，必须编制施工方案，做好技术交底。方案经监理工程师审批合格后方可进行施工</w:t>
      </w:r>
    </w:p>
    <w:p w14:paraId="736F1A4D">
      <w:pPr>
        <w:widowControl w:val="0"/>
        <w:tabs>
          <w:tab w:val="left" w:pos="0"/>
          <w:tab w:val="left" w:pos="540"/>
          <w:tab w:val="left" w:pos="720"/>
          <w:tab w:val="left" w:pos="4140"/>
          <w:tab w:val="left" w:pos="5400"/>
          <w:tab w:val="left" w:pos="8460"/>
        </w:tabs>
        <w:spacing w:after="0" w:line="400" w:lineRule="exact"/>
        <w:ind w:firstLine="420"/>
        <w:jc w:val="both"/>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10.12为创造便利的施工环境，施工现场的临时给水排水、生产用电、生活用电、照明等、临时道路、生活设施、卫生间厕所、办公用房、办公生活空调、通讯、垃圾清运、人员管理出入口闸机，门禁管理刷身份证进入、摄像头安全管理、人员进出安保管理、消防管理、资料汇总交档案馆。各会议室、办公室、卫生室含急救相应药品、厕所、道路保洁。工人休息室、娱乐室、工地标识标牌、门头、显示屏等，均由承包人自行承担，费用由承包人负责。</w:t>
      </w:r>
    </w:p>
    <w:p w14:paraId="692ED5D6">
      <w:pPr>
        <w:widowControl w:val="0"/>
        <w:tabs>
          <w:tab w:val="left" w:pos="0"/>
          <w:tab w:val="left" w:pos="540"/>
          <w:tab w:val="left" w:pos="720"/>
          <w:tab w:val="left" w:pos="4140"/>
          <w:tab w:val="left" w:pos="5400"/>
          <w:tab w:val="left" w:pos="8460"/>
        </w:tabs>
        <w:spacing w:after="0" w:line="400" w:lineRule="exact"/>
        <w:ind w:firstLine="422"/>
        <w:jc w:val="both"/>
        <w:rPr>
          <w:rFonts w:hint="default" w:ascii="宋体" w:hAnsi="宋体" w:eastAsia="宋体" w:cs="宋体"/>
          <w:color w:val="auto"/>
          <w:sz w:val="21"/>
          <w:szCs w:val="21"/>
          <w:highlight w:val="none"/>
          <w:u w:val="single"/>
          <w:lang w:val="en-US" w:eastAsia="zh-CN" w:bidi="ar-SA"/>
        </w:rPr>
      </w:pPr>
      <w:r>
        <w:rPr>
          <w:rFonts w:hint="eastAsia" w:ascii="宋体" w:hAnsi="宋体" w:eastAsia="宋体" w:cs="宋体"/>
          <w:b/>
          <w:bCs/>
          <w:color w:val="auto"/>
          <w:sz w:val="21"/>
          <w:szCs w:val="21"/>
          <w:highlight w:val="none"/>
          <w:u w:val="single"/>
          <w:lang w:val="en-US" w:eastAsia="zh-CN" w:bidi="ar-SA"/>
        </w:rPr>
        <w:t>10.13为贯彻落实《国务院办公厅关于全面治理拖欠农民工工资问题的意见》(国办发(2016)1号)、《国务院办公厅关于促进建筑业持续健康发展的意见》(国办发(2017)19号)要求，住房和城乡建设部、人力资源社会保障部制定了《建筑工人实名制管理办法(试行)》。承包人必须贯彻执行建筑工人实名制管理办法相关规定。并按江苏省、盐城市、射阳县现行有关规定和招标文件相关约定按时、足额发放工程施工人员工资。若有关农民工工资的上、下级文件及相关管理规定说法不一致时，按高标准要求执行。</w:t>
      </w:r>
    </w:p>
    <w:p w14:paraId="7ACCE310">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3.2 项目经理</w:t>
      </w:r>
    </w:p>
    <w:p w14:paraId="0A7967E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3.2.1 项目经理：</w:t>
      </w:r>
    </w:p>
    <w:p w14:paraId="62DD526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姓    名：</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1C7826C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身份证号：</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77F5165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建造师执业资格等级：</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37118E0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建造师注册证书号：</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1C1AE48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建造师执业印章号：</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0DADB8B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安全生产考核合格证书号：</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27750A9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联系电话：</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52DBF8A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电子信箱：</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5C6AB412">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通信地址：</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10C053B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承包人对项目经理的授权范围如下：</w:t>
      </w:r>
      <w:r>
        <w:rPr>
          <w:rFonts w:ascii="宋体" w:hAnsi="宋体" w:eastAsia="宋体" w:cs="Times New Roman"/>
          <w:color w:val="auto"/>
          <w:sz w:val="21"/>
          <w:szCs w:val="21"/>
          <w:highlight w:val="none"/>
          <w:u w:val="single"/>
        </w:rPr>
        <w:t>代表承包方全面负责施工合同的履行</w:t>
      </w:r>
      <w:r>
        <w:rPr>
          <w:rFonts w:ascii="宋体" w:hAnsi="宋体" w:eastAsia="宋体" w:cs="Times New Roman"/>
          <w:color w:val="auto"/>
          <w:sz w:val="21"/>
          <w:szCs w:val="21"/>
          <w:highlight w:val="none"/>
        </w:rPr>
        <w:t>。</w:t>
      </w:r>
    </w:p>
    <w:p w14:paraId="7AB6670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关于项目经理每月在施工现场的时间要求：</w:t>
      </w:r>
      <w:r>
        <w:rPr>
          <w:rFonts w:ascii="宋体" w:hAnsi="宋体" w:eastAsia="宋体" w:cs="Times New Roman"/>
          <w:color w:val="auto"/>
          <w:sz w:val="21"/>
          <w:szCs w:val="21"/>
          <w:highlight w:val="none"/>
          <w:u w:val="single"/>
        </w:rPr>
        <w:t>该工程施工过程中项目经理和投标时确认的项目部人员必须常驻现场实施施工管理</w:t>
      </w:r>
      <w:r>
        <w:rPr>
          <w:rFonts w:ascii="宋体" w:hAnsi="宋体" w:eastAsia="宋体" w:cs="Times New Roman"/>
          <w:color w:val="auto"/>
          <w:sz w:val="21"/>
          <w:szCs w:val="21"/>
          <w:highlight w:val="none"/>
        </w:rPr>
        <w:t>。</w:t>
      </w:r>
    </w:p>
    <w:p w14:paraId="685E85D1">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承包人未提交劳动合同，以及没有为项目经理缴纳社会保险证明的违约责任：</w:t>
      </w:r>
      <w:r>
        <w:rPr>
          <w:rFonts w:hint="eastAsia" w:ascii="宋体" w:hAnsi="宋体" w:eastAsia="宋体" w:cs="Times New Roman"/>
          <w:color w:val="auto"/>
          <w:sz w:val="21"/>
          <w:szCs w:val="21"/>
          <w:highlight w:val="none"/>
          <w:u w:val="single"/>
        </w:rPr>
        <w:t>经发包人提出后，承包人未整改的，发包人有权终止合同，没收全部履约保证金</w:t>
      </w:r>
      <w:r>
        <w:rPr>
          <w:rFonts w:ascii="宋体" w:hAnsi="宋体" w:eastAsia="宋体" w:cs="Times New Roman"/>
          <w:color w:val="auto"/>
          <w:sz w:val="21"/>
          <w:szCs w:val="21"/>
          <w:highlight w:val="none"/>
        </w:rPr>
        <w:t>。</w:t>
      </w:r>
    </w:p>
    <w:p w14:paraId="08C16FE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项目经理未经批准，擅自离开施工现场的违约责任：</w:t>
      </w:r>
    </w:p>
    <w:p w14:paraId="7D693BEF">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施工过程中项目经理和投标时确认的项目部人员必须常驻现场实施施工管理，并参与建设单位的日常考勤。中途项目负责人和项目部人员需离岗必须履行书面请假手续并经招标人同意。若未经招标人同意而擅自离岗的，将处以每人每天</w:t>
      </w:r>
      <w:r>
        <w:rPr>
          <w:rFonts w:hint="eastAsia" w:ascii="宋体" w:hAnsi="宋体" w:eastAsia="宋体" w:cs="Times New Roman"/>
          <w:b/>
          <w:color w:val="auto"/>
          <w:sz w:val="21"/>
          <w:szCs w:val="21"/>
          <w:highlight w:val="none"/>
          <w:u w:val="single"/>
        </w:rPr>
        <w:t>2</w:t>
      </w:r>
      <w:r>
        <w:rPr>
          <w:rFonts w:ascii="宋体" w:hAnsi="宋体" w:eastAsia="宋体" w:cs="Times New Roman"/>
          <w:b/>
          <w:color w:val="auto"/>
          <w:sz w:val="21"/>
          <w:szCs w:val="21"/>
          <w:highlight w:val="none"/>
          <w:u w:val="single"/>
        </w:rPr>
        <w:t>000.00元</w:t>
      </w:r>
      <w:r>
        <w:rPr>
          <w:rFonts w:hint="eastAsia" w:ascii="宋体" w:hAnsi="宋体" w:eastAsia="宋体" w:cs="Times New Roman"/>
          <w:color w:val="auto"/>
          <w:sz w:val="21"/>
          <w:szCs w:val="21"/>
          <w:highlight w:val="none"/>
          <w:u w:val="single"/>
        </w:rPr>
        <w:t>的违约金，在支付工程款时从应付的工程款中扣除。若擅自离岗连续达2天以上的，经发包人提出仍未改正的，发包人有权终止合同，因此给发包人造成损失的，发包人将依法追偿。</w:t>
      </w:r>
    </w:p>
    <w:p w14:paraId="3639C7C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3.2.3 承包人擅自更换项目经理的违约责任：</w:t>
      </w:r>
      <w:r>
        <w:rPr>
          <w:rFonts w:ascii="宋体" w:hAnsi="宋体" w:eastAsia="宋体" w:cs="Times New Roman"/>
          <w:color w:val="auto"/>
          <w:sz w:val="21"/>
          <w:szCs w:val="21"/>
          <w:highlight w:val="none"/>
          <w:u w:val="single"/>
        </w:rPr>
        <w:t>未经发包人同意，发包人可终止合同</w:t>
      </w:r>
      <w:r>
        <w:rPr>
          <w:rFonts w:hint="eastAsia" w:ascii="宋体" w:hAnsi="宋体" w:eastAsia="宋体" w:cs="Times New Roman"/>
          <w:color w:val="auto"/>
          <w:sz w:val="21"/>
          <w:szCs w:val="21"/>
          <w:highlight w:val="none"/>
          <w:u w:val="single"/>
        </w:rPr>
        <w:t>，并要求承包人支付合同总价2%违约金，给发包人造成损失的还需赔偿发包人的损失</w:t>
      </w:r>
      <w:r>
        <w:rPr>
          <w:rFonts w:ascii="宋体" w:hAnsi="宋体" w:eastAsia="宋体" w:cs="Times New Roman"/>
          <w:color w:val="auto"/>
          <w:sz w:val="21"/>
          <w:szCs w:val="21"/>
          <w:highlight w:val="none"/>
        </w:rPr>
        <w:t>。</w:t>
      </w:r>
    </w:p>
    <w:p w14:paraId="1AA8360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3.2.4 承包人无正当理由拒绝更换项目经理的违约责任：</w:t>
      </w:r>
      <w:r>
        <w:rPr>
          <w:rFonts w:hint="eastAsia" w:ascii="宋体" w:hAnsi="宋体" w:eastAsia="宋体" w:cs="Times New Roman"/>
          <w:color w:val="auto"/>
          <w:sz w:val="21"/>
          <w:szCs w:val="21"/>
          <w:highlight w:val="none"/>
          <w:u w:val="single"/>
        </w:rPr>
        <w:t>发包人可终止合同，并要求承包人支付合同总价2%违约金，给发包人造成损失的还需赔偿发包人的损失</w:t>
      </w:r>
      <w:r>
        <w:rPr>
          <w:rFonts w:hint="eastAsia" w:ascii="宋体" w:hAnsi="宋体" w:eastAsia="宋体" w:cs="Times New Roman"/>
          <w:color w:val="auto"/>
          <w:sz w:val="21"/>
          <w:szCs w:val="21"/>
          <w:highlight w:val="none"/>
        </w:rPr>
        <w:t>。</w:t>
      </w:r>
    </w:p>
    <w:p w14:paraId="66754245">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3.3 承包人人员</w:t>
      </w:r>
    </w:p>
    <w:p w14:paraId="5BA01A4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3.3.1 承包人提交项目管理机构及施工现场管理人员安排报告的期限：</w:t>
      </w:r>
      <w:r>
        <w:rPr>
          <w:rFonts w:ascii="宋体" w:hAnsi="宋体" w:eastAsia="宋体" w:cs="Times New Roman"/>
          <w:color w:val="auto"/>
          <w:sz w:val="21"/>
          <w:szCs w:val="21"/>
          <w:highlight w:val="none"/>
          <w:u w:val="single"/>
        </w:rPr>
        <w:t xml:space="preserve"> 进场 3 日内  </w:t>
      </w:r>
      <w:r>
        <w:rPr>
          <w:rFonts w:ascii="宋体" w:hAnsi="宋体" w:eastAsia="宋体" w:cs="Times New Roman"/>
          <w:color w:val="auto"/>
          <w:sz w:val="21"/>
          <w:szCs w:val="21"/>
          <w:highlight w:val="none"/>
        </w:rPr>
        <w:t>。</w:t>
      </w:r>
    </w:p>
    <w:p w14:paraId="37B7CEDE">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施工现场主要管理人员：技术负责人</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，质检员</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，施工员</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，安全员</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0A8EDDC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3.3.3 承包人无正当理由拒绝撤换主要施工管理人员的违约责任：</w:t>
      </w:r>
      <w:r>
        <w:rPr>
          <w:rFonts w:hint="eastAsia" w:ascii="宋体" w:hAnsi="宋体" w:eastAsia="宋体" w:cs="Times New Roman"/>
          <w:color w:val="auto"/>
          <w:sz w:val="21"/>
          <w:szCs w:val="21"/>
          <w:highlight w:val="none"/>
          <w:u w:val="single"/>
        </w:rPr>
        <w:t>发包人可终止合同，并要求承包人支付合同总价2%违约金，给发包人造成损失的还需赔偿发包人的损失。</w:t>
      </w:r>
    </w:p>
    <w:p w14:paraId="532E7D4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3.3.4 承包人主要施工管理人员离开施工现场的批准要求：</w:t>
      </w:r>
      <w:r>
        <w:rPr>
          <w:rFonts w:ascii="宋体" w:hAnsi="宋体" w:eastAsia="宋体" w:cs="Times New Roman"/>
          <w:color w:val="auto"/>
          <w:sz w:val="21"/>
          <w:szCs w:val="21"/>
          <w:highlight w:val="none"/>
          <w:u w:val="single"/>
        </w:rPr>
        <w:t>中途施工管理人员需离岗必须履行书面请假手续并经发包人同意。</w:t>
      </w:r>
    </w:p>
    <w:p w14:paraId="6E6CBC5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3.3.5承包人擅自更换主要施工管理人员的违约责任：</w:t>
      </w:r>
      <w:r>
        <w:rPr>
          <w:rFonts w:ascii="宋体" w:hAnsi="宋体" w:eastAsia="宋体" w:cs="Times New Roman"/>
          <w:color w:val="auto"/>
          <w:sz w:val="21"/>
          <w:szCs w:val="21"/>
          <w:highlight w:val="none"/>
          <w:u w:val="single"/>
        </w:rPr>
        <w:t xml:space="preserve">未经发包人同意，发包人可终止合同 </w:t>
      </w:r>
      <w:r>
        <w:rPr>
          <w:rFonts w:ascii="宋体" w:hAnsi="宋体" w:eastAsia="宋体" w:cs="Times New Roman"/>
          <w:color w:val="auto"/>
          <w:sz w:val="21"/>
          <w:szCs w:val="21"/>
          <w:highlight w:val="none"/>
        </w:rPr>
        <w:t>。</w:t>
      </w:r>
    </w:p>
    <w:p w14:paraId="22B3941B">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3.3.6承包人主要施工管理人员擅自离开施工现场的违约责任：</w:t>
      </w:r>
      <w:r>
        <w:rPr>
          <w:rFonts w:ascii="宋体" w:hAnsi="宋体" w:eastAsia="宋体" w:cs="Times New Roman"/>
          <w:color w:val="auto"/>
          <w:sz w:val="21"/>
          <w:szCs w:val="21"/>
          <w:highlight w:val="none"/>
          <w:u w:val="single"/>
        </w:rPr>
        <w:t>若未经发包人同意而擅自离岗的，将处以每人每天</w:t>
      </w:r>
      <w:r>
        <w:rPr>
          <w:rFonts w:ascii="宋体" w:hAnsi="宋体" w:eastAsia="宋体" w:cs="Times New Roman"/>
          <w:b/>
          <w:color w:val="auto"/>
          <w:sz w:val="21"/>
          <w:szCs w:val="21"/>
          <w:highlight w:val="none"/>
          <w:u w:val="single"/>
        </w:rPr>
        <w:t xml:space="preserve"> </w:t>
      </w:r>
      <w:r>
        <w:rPr>
          <w:rFonts w:hint="eastAsia" w:ascii="宋体" w:hAnsi="宋体" w:eastAsia="宋体" w:cs="Times New Roman"/>
          <w:b/>
          <w:color w:val="auto"/>
          <w:sz w:val="21"/>
          <w:szCs w:val="21"/>
          <w:highlight w:val="none"/>
          <w:u w:val="single"/>
        </w:rPr>
        <w:t>2</w:t>
      </w:r>
      <w:r>
        <w:rPr>
          <w:rFonts w:ascii="宋体" w:hAnsi="宋体" w:eastAsia="宋体" w:cs="Times New Roman"/>
          <w:b/>
          <w:color w:val="auto"/>
          <w:sz w:val="21"/>
          <w:szCs w:val="21"/>
          <w:highlight w:val="none"/>
          <w:u w:val="single"/>
        </w:rPr>
        <w:t>000.00 元</w:t>
      </w:r>
      <w:r>
        <w:rPr>
          <w:rFonts w:ascii="宋体" w:hAnsi="宋体" w:eastAsia="宋体" w:cs="Times New Roman"/>
          <w:color w:val="auto"/>
          <w:sz w:val="21"/>
          <w:szCs w:val="21"/>
          <w:highlight w:val="none"/>
          <w:u w:val="single"/>
        </w:rPr>
        <w:t>的违约金，在支付工程款时从应付的工程款中扣除。若擅自离岗连续达2天以上的，经发包人提出仍未改正的，发包人有权终止合同，因此给发包人造成损失的，发包人将依法追偿。</w:t>
      </w:r>
    </w:p>
    <w:p w14:paraId="51BFB484">
      <w:pPr>
        <w:spacing w:line="400" w:lineRule="exact"/>
        <w:ind w:firstLine="422"/>
        <w:rPr>
          <w:rFonts w:ascii="宋体" w:hAnsi="宋体" w:eastAsia="宋体" w:cs="Times New Roman"/>
          <w:color w:val="auto"/>
          <w:sz w:val="21"/>
          <w:szCs w:val="21"/>
          <w:highlight w:val="none"/>
        </w:rPr>
      </w:pPr>
      <w:r>
        <w:rPr>
          <w:rFonts w:ascii="宋体" w:hAnsi="宋体" w:eastAsia="宋体" w:cs="Times New Roman"/>
          <w:b/>
          <w:color w:val="auto"/>
          <w:sz w:val="21"/>
          <w:szCs w:val="21"/>
          <w:highlight w:val="none"/>
        </w:rPr>
        <w:t>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p>
    <w:p w14:paraId="0A3782A1">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3.5 分包</w:t>
      </w:r>
    </w:p>
    <w:p w14:paraId="476558B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3.5.1 分包的一般约定</w:t>
      </w:r>
    </w:p>
    <w:p w14:paraId="449D9572">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禁止分包的工程包括：</w:t>
      </w:r>
      <w:r>
        <w:rPr>
          <w:rFonts w:ascii="宋体" w:hAnsi="宋体" w:eastAsia="宋体" w:cs="Times New Roman"/>
          <w:color w:val="auto"/>
          <w:sz w:val="21"/>
          <w:szCs w:val="21"/>
          <w:highlight w:val="none"/>
          <w:u w:val="single"/>
        </w:rPr>
        <w:t>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p>
    <w:p w14:paraId="12B482FB">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主体结构、关键性工作的范围：</w:t>
      </w:r>
      <w:r>
        <w:rPr>
          <w:rFonts w:ascii="宋体" w:hAnsi="宋体" w:eastAsia="宋体" w:cs="Times New Roman"/>
          <w:color w:val="auto"/>
          <w:sz w:val="21"/>
          <w:szCs w:val="21"/>
          <w:highlight w:val="none"/>
          <w:u w:val="single"/>
        </w:rPr>
        <w:t xml:space="preserve">  主体工程  </w:t>
      </w:r>
      <w:r>
        <w:rPr>
          <w:rFonts w:ascii="宋体" w:hAnsi="宋体" w:eastAsia="宋体" w:cs="Times New Roman"/>
          <w:color w:val="auto"/>
          <w:sz w:val="21"/>
          <w:szCs w:val="21"/>
          <w:highlight w:val="none"/>
        </w:rPr>
        <w:t>。</w:t>
      </w:r>
    </w:p>
    <w:p w14:paraId="5749B76C">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3.5.2 分包的确定</w:t>
      </w:r>
    </w:p>
    <w:p w14:paraId="2D739F0C">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允许分包的专业工程包括：</w:t>
      </w:r>
      <w:r>
        <w:rPr>
          <w:rFonts w:ascii="宋体" w:hAnsi="宋体" w:eastAsia="宋体" w:cs="Times New Roman"/>
          <w:color w:val="auto"/>
          <w:sz w:val="21"/>
          <w:szCs w:val="21"/>
          <w:highlight w:val="none"/>
          <w:u w:val="single"/>
        </w:rPr>
        <w:t>除有主体结构、关键性工作之外的专业工程，如不具备相应资质的，应当分包给具有相应资质的施工单位，并征得发包人的书面同意</w:t>
      </w:r>
      <w:r>
        <w:rPr>
          <w:rFonts w:ascii="宋体" w:hAnsi="宋体" w:eastAsia="宋体" w:cs="Times New Roman"/>
          <w:color w:val="auto"/>
          <w:sz w:val="21"/>
          <w:szCs w:val="21"/>
          <w:highlight w:val="none"/>
        </w:rPr>
        <w:t>。</w:t>
      </w:r>
    </w:p>
    <w:p w14:paraId="20F019BE">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其他关于分包的约定：</w:t>
      </w:r>
      <w:r>
        <w:rPr>
          <w:rFonts w:ascii="宋体" w:hAnsi="宋体" w:eastAsia="宋体" w:cs="Times New Roman"/>
          <w:color w:val="auto"/>
          <w:sz w:val="21"/>
          <w:szCs w:val="21"/>
          <w:highlight w:val="none"/>
          <w:u w:val="single"/>
        </w:rPr>
        <w:t xml:space="preserve">  对于发包人进行的专业分包项目，承包人须对安全、质量、工程进度进行分包管理。</w:t>
      </w:r>
    </w:p>
    <w:p w14:paraId="754E8512">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3.5.4 分包合同价款</w:t>
      </w:r>
    </w:p>
    <w:p w14:paraId="0DEACB1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关于分包合同价款支付的约定：</w:t>
      </w:r>
      <w:r>
        <w:rPr>
          <w:rFonts w:ascii="宋体" w:hAnsi="宋体" w:eastAsia="宋体" w:cs="Times New Roman"/>
          <w:color w:val="auto"/>
          <w:sz w:val="21"/>
          <w:szCs w:val="21"/>
          <w:highlight w:val="none"/>
          <w:u w:val="single"/>
        </w:rPr>
        <w:t xml:space="preserve">   按分包合同约定   </w:t>
      </w:r>
      <w:r>
        <w:rPr>
          <w:rFonts w:ascii="宋体" w:hAnsi="宋体" w:eastAsia="宋体" w:cs="Times New Roman"/>
          <w:color w:val="auto"/>
          <w:sz w:val="21"/>
          <w:szCs w:val="21"/>
          <w:highlight w:val="none"/>
        </w:rPr>
        <w:t>。</w:t>
      </w:r>
    </w:p>
    <w:p w14:paraId="488E7A36">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3.6 工程照管与成品、半成品保护</w:t>
      </w:r>
    </w:p>
    <w:p w14:paraId="626ECD40">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承包人负责照管工程及工程相关的材料、工程设备的起始时间：</w:t>
      </w:r>
      <w:r>
        <w:rPr>
          <w:rFonts w:ascii="宋体" w:hAnsi="宋体" w:eastAsia="宋体" w:cs="Times New Roman"/>
          <w:color w:val="auto"/>
          <w:sz w:val="21"/>
          <w:szCs w:val="21"/>
          <w:highlight w:val="none"/>
          <w:u w:val="single"/>
        </w:rPr>
        <w:t>进场直至施工完成交付使用，费用由承包人承担</w:t>
      </w:r>
      <w:r>
        <w:rPr>
          <w:rFonts w:ascii="宋体" w:hAnsi="宋体" w:eastAsia="宋体" w:cs="Times New Roman"/>
          <w:color w:val="auto"/>
          <w:sz w:val="21"/>
          <w:szCs w:val="21"/>
          <w:highlight w:val="none"/>
        </w:rPr>
        <w:t>。</w:t>
      </w:r>
    </w:p>
    <w:p w14:paraId="7CB98FAF">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3.7 履约担保</w:t>
      </w:r>
    </w:p>
    <w:p w14:paraId="6B6C78A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承包人是否提供履约担保：</w:t>
      </w:r>
      <w:r>
        <w:rPr>
          <w:rFonts w:ascii="宋体" w:hAnsi="宋体" w:eastAsia="宋体" w:cs="Times New Roman"/>
          <w:color w:val="auto"/>
          <w:sz w:val="21"/>
          <w:szCs w:val="21"/>
          <w:highlight w:val="none"/>
          <w:u w:val="single"/>
        </w:rPr>
        <w:t xml:space="preserve">    是    </w:t>
      </w:r>
      <w:r>
        <w:rPr>
          <w:rFonts w:ascii="宋体" w:hAnsi="宋体" w:eastAsia="宋体" w:cs="Times New Roman"/>
          <w:color w:val="auto"/>
          <w:sz w:val="21"/>
          <w:szCs w:val="21"/>
          <w:highlight w:val="none"/>
        </w:rPr>
        <w:t>。</w:t>
      </w:r>
    </w:p>
    <w:p w14:paraId="12FF4EA8">
      <w:pPr>
        <w:spacing w:line="400" w:lineRule="exact"/>
        <w:ind w:firstLine="422"/>
        <w:rPr>
          <w:rFonts w:ascii="宋体" w:hAnsi="宋体" w:eastAsia="宋体" w:cs="Times New Roman"/>
          <w:color w:val="auto"/>
          <w:sz w:val="21"/>
          <w:szCs w:val="21"/>
          <w:highlight w:val="none"/>
          <w:u w:val="single"/>
        </w:rPr>
      </w:pPr>
      <w:r>
        <w:rPr>
          <w:rFonts w:ascii="宋体" w:hAnsi="宋体" w:eastAsia="宋体" w:cs="Times New Roman"/>
          <w:b/>
          <w:bCs/>
          <w:color w:val="auto"/>
          <w:sz w:val="21"/>
          <w:szCs w:val="21"/>
          <w:highlight w:val="none"/>
        </w:rPr>
        <w:t>承包人提供履约担保的形式、金额及期限的：</w:t>
      </w:r>
      <w:r>
        <w:rPr>
          <w:rFonts w:hint="eastAsia" w:ascii="宋体" w:hAnsi="宋体" w:eastAsia="宋体" w:cs="Times New Roman"/>
          <w:color w:val="auto"/>
          <w:sz w:val="21"/>
          <w:szCs w:val="21"/>
          <w:highlight w:val="none"/>
          <w:u w:val="single"/>
        </w:rPr>
        <w:t>按招标文件约定。</w:t>
      </w:r>
    </w:p>
    <w:p w14:paraId="2766EE00">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4. 监理人</w:t>
      </w:r>
    </w:p>
    <w:p w14:paraId="1EDD1A11">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4.1 监理人的一般规定</w:t>
      </w:r>
    </w:p>
    <w:p w14:paraId="292B624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关于监理人的监理内容：</w:t>
      </w:r>
      <w:r>
        <w:rPr>
          <w:rFonts w:ascii="宋体" w:hAnsi="宋体" w:eastAsia="宋体" w:cs="Times New Roman"/>
          <w:color w:val="auto"/>
          <w:sz w:val="21"/>
          <w:szCs w:val="21"/>
          <w:highlight w:val="none"/>
          <w:u w:val="single"/>
        </w:rPr>
        <w:t>监理人</w:t>
      </w:r>
      <w:r>
        <w:rPr>
          <w:rFonts w:hint="eastAsia" w:ascii="宋体" w:hAnsi="宋体" w:eastAsia="宋体" w:cs="Times New Roman"/>
          <w:color w:val="auto"/>
          <w:sz w:val="21"/>
          <w:szCs w:val="21"/>
          <w:highlight w:val="none"/>
          <w:u w:val="single"/>
        </w:rPr>
        <w:t>受</w:t>
      </w:r>
      <w:r>
        <w:rPr>
          <w:rFonts w:ascii="宋体" w:hAnsi="宋体" w:eastAsia="宋体" w:cs="Times New Roman"/>
          <w:color w:val="auto"/>
          <w:sz w:val="21"/>
          <w:szCs w:val="21"/>
          <w:highlight w:val="none"/>
          <w:u w:val="single"/>
        </w:rPr>
        <w:t>代理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ascii="宋体" w:hAnsi="宋体" w:eastAsia="宋体" w:cs="Times New Roman"/>
          <w:color w:val="auto"/>
          <w:sz w:val="21"/>
          <w:szCs w:val="21"/>
          <w:highlight w:val="none"/>
        </w:rPr>
        <w:t>。</w:t>
      </w:r>
    </w:p>
    <w:p w14:paraId="21D42C3B">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关于监理人的监理权限：</w:t>
      </w:r>
      <w:r>
        <w:rPr>
          <w:rFonts w:ascii="宋体" w:hAnsi="宋体" w:eastAsia="宋体" w:cs="Times New Roman"/>
          <w:color w:val="auto"/>
          <w:sz w:val="21"/>
          <w:szCs w:val="21"/>
          <w:highlight w:val="none"/>
          <w:u w:val="single"/>
        </w:rPr>
        <w:t>根据《建设工程监理合同》约定》</w:t>
      </w:r>
      <w:r>
        <w:rPr>
          <w:rFonts w:ascii="宋体" w:hAnsi="宋体" w:eastAsia="宋体" w:cs="Times New Roman"/>
          <w:color w:val="auto"/>
          <w:sz w:val="21"/>
          <w:szCs w:val="21"/>
          <w:highlight w:val="none"/>
        </w:rPr>
        <w:t>。</w:t>
      </w:r>
    </w:p>
    <w:p w14:paraId="4EA25186">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关于监理人在施工现场的办公场所、生活场所的提供和费用承担的约定：</w:t>
      </w:r>
      <w:r>
        <w:rPr>
          <w:rFonts w:ascii="宋体" w:hAnsi="宋体" w:eastAsia="宋体" w:cs="Times New Roman"/>
          <w:color w:val="auto"/>
          <w:sz w:val="21"/>
          <w:szCs w:val="21"/>
          <w:highlight w:val="none"/>
          <w:u w:val="single"/>
        </w:rPr>
        <w:t xml:space="preserve"> 由承包人提供，相关费用包含在签约合同价中</w:t>
      </w:r>
      <w:r>
        <w:rPr>
          <w:rFonts w:ascii="宋体" w:hAnsi="宋体" w:eastAsia="宋体" w:cs="Times New Roman"/>
          <w:color w:val="auto"/>
          <w:sz w:val="21"/>
          <w:szCs w:val="21"/>
          <w:highlight w:val="none"/>
        </w:rPr>
        <w:t>。</w:t>
      </w:r>
    </w:p>
    <w:p w14:paraId="5E539FA6">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4.2 监理人员</w:t>
      </w:r>
    </w:p>
    <w:p w14:paraId="74573D7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总监理工程师：</w:t>
      </w:r>
    </w:p>
    <w:p w14:paraId="1F725B0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姓    名：</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6753877E">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职    务：</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745530D8">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监理工程师执业资格证书号：</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62FA28C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联系电话：</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6CDBDE4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电子信箱：</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1891B118">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通信地址：</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255B82A2">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关于监理人的其他约定：</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6ADFFF77">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4.4 商定或确定</w:t>
      </w:r>
    </w:p>
    <w:p w14:paraId="3576EA6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在发包人和承包人不能通过协商达成一致意见时，发包人授权监理人对以下事项进行确定：</w:t>
      </w:r>
    </w:p>
    <w:p w14:paraId="1B5D9DCC">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按通用条款执行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3369907C">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447976DC">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7BB2A57E">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5. 工程质量</w:t>
      </w:r>
    </w:p>
    <w:p w14:paraId="5975946E">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5.1 质量要求</w:t>
      </w:r>
    </w:p>
    <w:p w14:paraId="0708C95E">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5.1.1 特殊质量标准和要求：</w:t>
      </w:r>
    </w:p>
    <w:p w14:paraId="04FC02B5">
      <w:pPr>
        <w:spacing w:line="400" w:lineRule="exact"/>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1）本工程质量标准为国家“合格”标准，合同质量目标以承包人投标时承诺的质量目标为准。工程竣工验收实际质量目标达“合格”以上者，发包人也不另支付质量奖励费用。实际施工过程中，如果达不到承诺质量目标，承包人必须无偿整改达到承诺质量目标，另按结算总价的3.0%向发包人支付违约金，直接从本工程的履约保证金或工程款中扣除，同时扣除投标报价时已计取的工程按质论价费；若整改后仍达不到承诺质量目标的，按结算总价的5.0%向发包人支付违约金，直接从本工程的履约保证金或工程款中扣除，同时扣除投标报价时已计取的工程按质论价费(如有)。由此造成的工期延误将不予顺延，给发包人造成实际损失的还将承担经济赔偿责任。</w:t>
      </w:r>
    </w:p>
    <w:p w14:paraId="2470A7B3">
      <w:pPr>
        <w:spacing w:line="400" w:lineRule="exact"/>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2）施工过程中如发包人需要调整工程内容时，承包人在接到书面通知后，必须按发包人的要求进行施工，且不得有任何理由拖延工期，确保按期完工。另外承包人在执行上述要求的同时，并不免除在限期内整改到位、继续履行其他合同条款的义务，由此发生的所有费用均由承包人承担，工期、造价不给予补偿。若未按照热发包人要求及时整改到位的，发包人有权委托第三方代为实施，所发生的费用由承包人承担。拒不整改的发包人有权终止施工合同，已经发生的工作量按照70%结算。</w:t>
      </w:r>
    </w:p>
    <w:p w14:paraId="631BAC40">
      <w:pPr>
        <w:spacing w:line="400" w:lineRule="exact"/>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（3）外购土质量要求：</w:t>
      </w:r>
    </w:p>
    <w:p w14:paraId="078CF298">
      <w:pPr>
        <w:spacing w:line="400" w:lineRule="exact"/>
        <w:ind w:firstLine="42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①本项目</w:t>
      </w:r>
      <w:r>
        <w:rPr>
          <w:rFonts w:ascii="宋体" w:hAnsi="宋体" w:eastAsia="宋体" w:cs="Times New Roman"/>
          <w:color w:val="auto"/>
          <w:sz w:val="21"/>
          <w:szCs w:val="21"/>
          <w:highlight w:val="none"/>
        </w:rPr>
        <w:t>设计的外购土方由承包人自行购买并运送至项目实施场地，土</w:t>
      </w:r>
      <w:r>
        <w:rPr>
          <w:rFonts w:hint="eastAsia" w:ascii="宋体" w:hAnsi="宋体" w:eastAsia="宋体" w:cs="Times New Roman"/>
          <w:color w:val="auto"/>
          <w:sz w:val="21"/>
          <w:szCs w:val="21"/>
          <w:highlight w:val="none"/>
        </w:rPr>
        <w:t>源</w:t>
      </w:r>
      <w:r>
        <w:rPr>
          <w:rFonts w:ascii="宋体" w:hAnsi="宋体" w:eastAsia="宋体" w:cs="Times New Roman"/>
          <w:color w:val="auto"/>
          <w:sz w:val="21"/>
          <w:szCs w:val="21"/>
          <w:highlight w:val="none"/>
        </w:rPr>
        <w:t>质量由承包人自行承担，如无法达到</w:t>
      </w:r>
      <w:r>
        <w:rPr>
          <w:rFonts w:hint="eastAsia" w:ascii="宋体" w:hAnsi="宋体" w:eastAsia="宋体" w:cs="Times New Roman"/>
          <w:color w:val="auto"/>
          <w:sz w:val="21"/>
          <w:szCs w:val="21"/>
          <w:highlight w:val="none"/>
        </w:rPr>
        <w:t>发包人</w:t>
      </w:r>
      <w:r>
        <w:rPr>
          <w:rFonts w:ascii="宋体" w:hAnsi="宋体" w:eastAsia="宋体" w:cs="Times New Roman"/>
          <w:color w:val="auto"/>
          <w:sz w:val="21"/>
          <w:szCs w:val="21"/>
          <w:highlight w:val="none"/>
        </w:rPr>
        <w:t>要求的，发包人有权要求承包人无条件进行更换</w:t>
      </w:r>
      <w:r>
        <w:rPr>
          <w:rFonts w:hint="eastAsia" w:ascii="宋体" w:hAnsi="宋体" w:eastAsia="宋体" w:cs="Times New Roman"/>
          <w:color w:val="auto"/>
          <w:sz w:val="21"/>
          <w:szCs w:val="21"/>
          <w:highlight w:val="none"/>
        </w:rPr>
        <w:t>。涉及</w:t>
      </w:r>
      <w:r>
        <w:rPr>
          <w:rFonts w:ascii="宋体" w:hAnsi="宋体" w:eastAsia="宋体" w:cs="Times New Roman"/>
          <w:color w:val="auto"/>
          <w:sz w:val="21"/>
          <w:szCs w:val="21"/>
          <w:highlight w:val="none"/>
        </w:rPr>
        <w:t>土方开挖回填的，需</w:t>
      </w:r>
      <w:r>
        <w:rPr>
          <w:rFonts w:hint="eastAsia" w:ascii="宋体" w:hAnsi="宋体" w:eastAsia="宋体" w:cs="Times New Roman"/>
          <w:color w:val="auto"/>
          <w:sz w:val="21"/>
          <w:szCs w:val="21"/>
          <w:highlight w:val="none"/>
        </w:rPr>
        <w:t>由跟踪审计（如有）、监理公司、发包人、承包人等共同进行测量确定。</w:t>
      </w:r>
    </w:p>
    <w:p w14:paraId="77FAA30F">
      <w:pPr>
        <w:spacing w:line="400" w:lineRule="exact"/>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②承包人接到发包人的开工通知书后方可施工，在施工前需对原状地面标高进行测量确定的，应在场地清表前通知发包人、监理公司共同测量，如测量前擅自擅自清表或改变原状地形地貌的，所有土方工程量不予结算。</w:t>
      </w:r>
    </w:p>
    <w:p w14:paraId="466423F3">
      <w:pPr>
        <w:spacing w:line="400" w:lineRule="exact"/>
        <w:ind w:firstLine="42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③该工程施工中未经发包方同意不得在</w:t>
      </w:r>
      <w:r>
        <w:rPr>
          <w:rFonts w:hint="eastAsia" w:ascii="宋体" w:hAnsi="宋体" w:eastAsia="宋体" w:cs="Times New Roman"/>
          <w:color w:val="auto"/>
          <w:sz w:val="21"/>
          <w:szCs w:val="21"/>
          <w:highlight w:val="none"/>
          <w:lang w:eastAsia="zh-CN"/>
        </w:rPr>
        <w:t>四明</w:t>
      </w:r>
      <w:r>
        <w:rPr>
          <w:rFonts w:hint="eastAsia" w:ascii="宋体" w:hAnsi="宋体" w:eastAsia="宋体" w:cs="Times New Roman"/>
          <w:color w:val="auto"/>
          <w:sz w:val="21"/>
          <w:szCs w:val="21"/>
          <w:highlight w:val="none"/>
        </w:rPr>
        <w:t>镇境内取土，严禁在红线范围内取土。如擅自取土，则按实际取土量的5倍处罚，并恢复原状。承包人进场施工时，有看管施工现场土方等现有资源的义务，凡因承包人看管不力造成国有资源流失的，相关费用由承包人承担。</w:t>
      </w:r>
    </w:p>
    <w:p w14:paraId="481EB805">
      <w:pPr>
        <w:spacing w:line="400" w:lineRule="exact"/>
        <w:ind w:firstLine="420"/>
        <w:rPr>
          <w:rFonts w:hint="eastAsia" w:ascii="宋体" w:hAnsi="宋体" w:eastAsia="宋体" w:cs="Times New Roman"/>
          <w:color w:val="auto"/>
          <w:sz w:val="21"/>
          <w:szCs w:val="21"/>
          <w:highlight w:val="none"/>
        </w:rPr>
      </w:pP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4</w:t>
      </w:r>
      <w:r>
        <w:rPr>
          <w:rFonts w:ascii="宋体" w:hAnsi="宋体" w:eastAsia="宋体" w:cs="Times New Roman"/>
          <w:color w:val="auto"/>
          <w:sz w:val="21"/>
          <w:szCs w:val="21"/>
          <w:highlight w:val="none"/>
        </w:rPr>
        <w:t>）</w:t>
      </w:r>
      <w:r>
        <w:rPr>
          <w:rFonts w:hint="eastAsia" w:ascii="宋体" w:hAnsi="宋体" w:eastAsia="宋体" w:cs="Times New Roman"/>
          <w:color w:val="auto"/>
          <w:sz w:val="21"/>
          <w:szCs w:val="21"/>
          <w:highlight w:val="none"/>
        </w:rPr>
        <w:t>质量管理：承包人须严格按照设计图纸、质量标准、验收规范等组织施工，接受发包人、监理单位的检查。若发生工序、检验批等验收不符合质量目标要求的，每发生一次接受发包人以每次2000元的经济处罚；若发生分项工程验收不符合质量目标要求的，每发生一次接受发包人以每次2000元的经济处罚；若发生分部工程验收不符合质量目标要求的，每发生一次接受发包人以每次4000元的经济处罚。承包人必须在发包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工，除发包人要求变更外，承包人未按上述要求施工，发包人将对承包人按投标单价的5倍进行处罚，承包人必须在发包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按2000元处罚，承包人必须在发包人处罚决定后3日内以现金形式交由发包人。</w:t>
      </w:r>
    </w:p>
    <w:p w14:paraId="6F947C58">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关于工程奖项的约定：</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60321A5D">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6. 安全文明施工与环境保护</w:t>
      </w:r>
    </w:p>
    <w:p w14:paraId="327FC76C">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6.1 安全文明施工</w:t>
      </w:r>
    </w:p>
    <w:p w14:paraId="4F350182">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6.1.1 项目安全生产的达标目标及相应事项的约定：</w:t>
      </w:r>
    </w:p>
    <w:p w14:paraId="7D628C0B">
      <w:pPr>
        <w:spacing w:line="400" w:lineRule="exact"/>
        <w:ind w:firstLine="422"/>
        <w:rPr>
          <w:rFonts w:ascii="宋体" w:hAnsi="宋体" w:eastAsia="宋体" w:cs="Times New Roman"/>
          <w:b/>
          <w:bCs/>
          <w:color w:val="auto"/>
          <w:sz w:val="21"/>
          <w:szCs w:val="21"/>
          <w:highlight w:val="none"/>
          <w:u w:val="single"/>
        </w:rPr>
      </w:pPr>
      <w:r>
        <w:rPr>
          <w:rFonts w:ascii="宋体" w:hAnsi="宋体" w:eastAsia="宋体" w:cs="Times New Roman"/>
          <w:b/>
          <w:bCs/>
          <w:color w:val="auto"/>
          <w:sz w:val="21"/>
          <w:szCs w:val="21"/>
          <w:highlight w:val="none"/>
          <w:u w:val="single"/>
        </w:rPr>
        <w:t>①承包人必须遵守江苏省建设厅及盐城市建设主管部门颁布的《建设工程施工安全管理规定》和《建设工程文明施工管理规定》。</w:t>
      </w:r>
    </w:p>
    <w:p w14:paraId="4A5CFD94">
      <w:pPr>
        <w:spacing w:line="400" w:lineRule="exact"/>
        <w:ind w:firstLine="422"/>
        <w:rPr>
          <w:rFonts w:ascii="宋体" w:hAnsi="宋体" w:eastAsia="宋体" w:cs="Times New Roman"/>
          <w:b/>
          <w:bCs/>
          <w:color w:val="auto"/>
          <w:sz w:val="21"/>
          <w:szCs w:val="21"/>
          <w:highlight w:val="none"/>
          <w:u w:val="single"/>
        </w:rPr>
      </w:pPr>
      <w:r>
        <w:rPr>
          <w:rFonts w:ascii="宋体" w:hAnsi="宋体" w:eastAsia="宋体" w:cs="Times New Roman"/>
          <w:b/>
          <w:bCs/>
          <w:color w:val="auto"/>
          <w:sz w:val="21"/>
          <w:szCs w:val="21"/>
          <w:highlight w:val="none"/>
          <w:u w:val="single"/>
        </w:rPr>
        <w:t>②承包人进场后，必须服从发包人和监理单位对施工场地总平面的规划，服从发包人和监理单位的统一调度和指挥。如出现不服从管理和下列现象的，发包人将视情节轻重认定承包人是否违约，并根据情况要求承包人承担违约责任，支付违约金。</w:t>
      </w:r>
    </w:p>
    <w:p w14:paraId="7990E1B4">
      <w:pPr>
        <w:spacing w:line="400" w:lineRule="exact"/>
        <w:ind w:firstLine="422"/>
        <w:rPr>
          <w:rFonts w:ascii="宋体" w:hAnsi="宋体" w:eastAsia="宋体" w:cs="Times New Roman"/>
          <w:b/>
          <w:bCs/>
          <w:color w:val="auto"/>
          <w:sz w:val="21"/>
          <w:szCs w:val="21"/>
          <w:highlight w:val="none"/>
          <w:u w:val="single"/>
        </w:rPr>
      </w:pPr>
      <w:r>
        <w:rPr>
          <w:rFonts w:ascii="宋体" w:hAnsi="宋体" w:eastAsia="宋体" w:cs="Times New Roman"/>
          <w:b/>
          <w:bCs/>
          <w:color w:val="auto"/>
          <w:sz w:val="21"/>
          <w:szCs w:val="21"/>
          <w:highlight w:val="none"/>
          <w:u w:val="single"/>
        </w:rPr>
        <w:t>③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如发生安全事故，承包人除赔偿受害者外，还须向发包人缴纳同等金额的罚款。</w:t>
      </w:r>
    </w:p>
    <w:p w14:paraId="29E1878E">
      <w:pPr>
        <w:spacing w:line="400" w:lineRule="exact"/>
        <w:ind w:firstLine="422"/>
        <w:rPr>
          <w:rFonts w:ascii="宋体" w:hAnsi="宋体" w:eastAsia="宋体" w:cs="Times New Roman"/>
          <w:b/>
          <w:bCs/>
          <w:color w:val="auto"/>
          <w:sz w:val="21"/>
          <w:szCs w:val="21"/>
          <w:highlight w:val="none"/>
          <w:u w:val="single"/>
        </w:rPr>
      </w:pPr>
      <w:r>
        <w:rPr>
          <w:rFonts w:ascii="宋体" w:hAnsi="宋体" w:eastAsia="宋体" w:cs="Times New Roman"/>
          <w:b/>
          <w:bCs/>
          <w:color w:val="auto"/>
          <w:sz w:val="21"/>
          <w:szCs w:val="21"/>
          <w:highlight w:val="none"/>
          <w:u w:val="single"/>
        </w:rPr>
        <w:t>④本工程施工期间发生的一切安全事故，其责任由承包人承担。承包人应按有关规定采取严格的安全防护措施，确保工程施工安全管理到位，并接受发包人及相关部门不定时的安全监督和检查，后者的安全监督和检查应以不影响施工单位的工程施工为前提，对于发包人及相关部门在监督和检查过程中发现安全隐患，承包人必须在限期内进行整改。由于整改造成工期延误的责任由承包人承担。发包人及相关部门对于本项目的监督和检查不能免除承包人对于项目建设期间可能发生的安全事故的责任承担，施工期间发生重大伤亡事故时，承包人应按有关规定立即上报有关部门并通知发包人，同时按相关规定处理。</w:t>
      </w:r>
    </w:p>
    <w:p w14:paraId="315B5A1F">
      <w:pPr>
        <w:spacing w:line="400" w:lineRule="exact"/>
        <w:ind w:firstLine="422"/>
        <w:rPr>
          <w:rFonts w:ascii="宋体" w:hAnsi="宋体" w:eastAsia="宋体" w:cs="Times New Roman"/>
          <w:b/>
          <w:bCs/>
          <w:color w:val="auto"/>
          <w:sz w:val="21"/>
          <w:szCs w:val="21"/>
          <w:highlight w:val="none"/>
          <w:u w:val="single"/>
        </w:rPr>
      </w:pPr>
      <w:r>
        <w:rPr>
          <w:rFonts w:ascii="宋体" w:hAnsi="宋体" w:eastAsia="宋体" w:cs="Times New Roman"/>
          <w:b/>
          <w:bCs/>
          <w:color w:val="auto"/>
          <w:sz w:val="21"/>
          <w:szCs w:val="21"/>
          <w:highlight w:val="none"/>
          <w:u w:val="single"/>
        </w:rPr>
        <w:t>⑤施工过程中如遇地下管线、电缆等破坏须及时修复，其修复费用、修复过程中或未及时修复而发生的一切安全责任，均由施工方自行承担。</w:t>
      </w:r>
    </w:p>
    <w:p w14:paraId="28CF5536">
      <w:pPr>
        <w:spacing w:line="400" w:lineRule="exact"/>
        <w:ind w:firstLine="422"/>
        <w:rPr>
          <w:rFonts w:ascii="宋体" w:hAnsi="宋体" w:eastAsia="宋体" w:cs="宋体"/>
          <w:b/>
          <w:bCs/>
          <w:color w:val="auto"/>
          <w:sz w:val="21"/>
          <w:szCs w:val="21"/>
          <w:highlight w:val="none"/>
          <w:u w:val="single"/>
        </w:rPr>
      </w:pPr>
      <w:r>
        <w:rPr>
          <w:rFonts w:ascii="宋体" w:hAnsi="宋体" w:eastAsia="宋体" w:cs="Times New Roman"/>
          <w:b/>
          <w:bCs/>
          <w:color w:val="auto"/>
          <w:sz w:val="21"/>
          <w:szCs w:val="21"/>
          <w:highlight w:val="none"/>
          <w:u w:val="single"/>
        </w:rPr>
        <w:t>⑥承包人应保障施工现场过往车辆及行人的安全，对安全生产负全责。</w:t>
      </w:r>
    </w:p>
    <w:p w14:paraId="3BE351CA">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6.1.4 关于治安保卫的特别约定：</w:t>
      </w:r>
      <w:r>
        <w:rPr>
          <w:rFonts w:ascii="宋体" w:hAnsi="宋体" w:eastAsia="宋体" w:cs="Times New Roman"/>
          <w:color w:val="auto"/>
          <w:sz w:val="21"/>
          <w:szCs w:val="21"/>
          <w:highlight w:val="none"/>
          <w:u w:val="single"/>
        </w:rPr>
        <w:t xml:space="preserve">   按通用条款   </w:t>
      </w:r>
      <w:r>
        <w:rPr>
          <w:rFonts w:ascii="宋体" w:hAnsi="宋体" w:eastAsia="宋体" w:cs="Times New Roman"/>
          <w:color w:val="auto"/>
          <w:sz w:val="21"/>
          <w:szCs w:val="21"/>
          <w:highlight w:val="none"/>
        </w:rPr>
        <w:t>。</w:t>
      </w:r>
    </w:p>
    <w:p w14:paraId="09E5B8ED">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关于编制施工场地治安管理计划的约定：</w:t>
      </w:r>
      <w:r>
        <w:rPr>
          <w:rFonts w:ascii="宋体" w:hAnsi="宋体" w:eastAsia="宋体" w:cs="Times New Roman"/>
          <w:color w:val="auto"/>
          <w:sz w:val="21"/>
          <w:szCs w:val="21"/>
          <w:highlight w:val="none"/>
          <w:u w:val="single"/>
        </w:rPr>
        <w:t xml:space="preserve">  按通用条款   </w:t>
      </w:r>
      <w:r>
        <w:rPr>
          <w:rFonts w:ascii="宋体" w:hAnsi="宋体" w:eastAsia="宋体" w:cs="Times New Roman"/>
          <w:color w:val="auto"/>
          <w:sz w:val="21"/>
          <w:szCs w:val="21"/>
          <w:highlight w:val="none"/>
        </w:rPr>
        <w:t>。</w:t>
      </w:r>
    </w:p>
    <w:p w14:paraId="4056FB6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6.1.5 文明施工</w:t>
      </w:r>
    </w:p>
    <w:p w14:paraId="0233BAFE">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合同当事人对文明施工的要求：</w:t>
      </w:r>
    </w:p>
    <w:p w14:paraId="7D726B5E">
      <w:pPr>
        <w:spacing w:line="400" w:lineRule="exact"/>
        <w:ind w:firstLine="422"/>
        <w:rPr>
          <w:rFonts w:hint="eastAsia" w:ascii="宋体" w:hAnsi="宋体" w:eastAsia="宋体" w:cs="Times New Roman"/>
          <w:b/>
          <w:bCs/>
          <w:color w:val="auto"/>
          <w:sz w:val="21"/>
          <w:szCs w:val="21"/>
          <w:highlight w:val="none"/>
          <w:u w:val="single"/>
        </w:rPr>
      </w:pPr>
      <w:r>
        <w:rPr>
          <w:rFonts w:hint="eastAsia" w:ascii="宋体" w:hAnsi="宋体" w:eastAsia="宋体" w:cs="Times New Roman"/>
          <w:b/>
          <w:bCs/>
          <w:color w:val="auto"/>
          <w:sz w:val="21"/>
          <w:szCs w:val="21"/>
          <w:highlight w:val="none"/>
          <w:u w:val="single"/>
        </w:rPr>
        <w:t>6.1.5.1</w:t>
      </w:r>
      <w:r>
        <w:rPr>
          <w:rFonts w:ascii="宋体" w:hAnsi="宋体" w:eastAsia="宋体" w:cs="Times New Roman"/>
          <w:b/>
          <w:bCs/>
          <w:color w:val="auto"/>
          <w:sz w:val="21"/>
          <w:szCs w:val="21"/>
          <w:highlight w:val="none"/>
          <w:u w:val="single"/>
        </w:rPr>
        <w:t xml:space="preserve"> </w:t>
      </w:r>
      <w:r>
        <w:rPr>
          <w:rFonts w:hint="eastAsia" w:ascii="宋体" w:hAnsi="宋体" w:eastAsia="宋体" w:cs="Times New Roman"/>
          <w:b/>
          <w:bCs/>
          <w:color w:val="auto"/>
          <w:sz w:val="21"/>
          <w:szCs w:val="21"/>
          <w:highlight w:val="none"/>
          <w:u w:val="single"/>
        </w:rPr>
        <w:t>施工现场应在适当位置悬挂施工标准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支付，承包人未支付或迟延支付的，发包人可从履约保证金或到期工程款中予以扣除。</w:t>
      </w:r>
    </w:p>
    <w:p w14:paraId="2AE9AFA6">
      <w:pPr>
        <w:spacing w:line="400" w:lineRule="exact"/>
        <w:ind w:firstLine="422"/>
        <w:rPr>
          <w:rFonts w:hint="eastAsia" w:ascii="宋体" w:hAnsi="宋体" w:eastAsia="宋体" w:cs="Times New Roman"/>
          <w:b/>
          <w:bCs/>
          <w:color w:val="auto"/>
          <w:sz w:val="21"/>
          <w:szCs w:val="21"/>
          <w:highlight w:val="none"/>
          <w:u w:val="single"/>
        </w:rPr>
      </w:pPr>
      <w:r>
        <w:rPr>
          <w:rFonts w:hint="eastAsia" w:ascii="宋体" w:hAnsi="宋体" w:eastAsia="宋体" w:cs="Times New Roman"/>
          <w:b/>
          <w:bCs/>
          <w:color w:val="auto"/>
          <w:sz w:val="21"/>
          <w:szCs w:val="21"/>
          <w:highlight w:val="none"/>
          <w:u w:val="single"/>
        </w:rPr>
        <w:t>6.1.5.2</w:t>
      </w:r>
      <w:r>
        <w:rPr>
          <w:rFonts w:ascii="宋体" w:hAnsi="宋体" w:eastAsia="宋体" w:cs="Times New Roman"/>
          <w:b/>
          <w:bCs/>
          <w:color w:val="auto"/>
          <w:sz w:val="21"/>
          <w:szCs w:val="21"/>
          <w:highlight w:val="none"/>
          <w:u w:val="single"/>
        </w:rPr>
        <w:t xml:space="preserve"> </w:t>
      </w:r>
      <w:r>
        <w:rPr>
          <w:rFonts w:hint="eastAsia" w:ascii="宋体" w:hAnsi="宋体" w:eastAsia="宋体" w:cs="Times New Roman"/>
          <w:b/>
          <w:bCs/>
          <w:color w:val="auto"/>
          <w:sz w:val="21"/>
          <w:szCs w:val="21"/>
          <w:highlight w:val="none"/>
          <w:u w:val="single"/>
        </w:rPr>
        <w:t>承包人在施工中污染周围环境、施工噪音干扰他人等所引起的政府职能部门罚款或停工整改或引起周围居民纠纷和索赔时，其所有发生的费用与损失将全部由承包人自行承担。</w:t>
      </w:r>
    </w:p>
    <w:p w14:paraId="78AD62F2">
      <w:pPr>
        <w:spacing w:line="400" w:lineRule="exact"/>
        <w:ind w:firstLine="422"/>
        <w:rPr>
          <w:rFonts w:hint="eastAsia" w:ascii="宋体" w:hAnsi="宋体" w:eastAsia="宋体" w:cs="Times New Roman"/>
          <w:b/>
          <w:bCs/>
          <w:color w:val="auto"/>
          <w:sz w:val="21"/>
          <w:szCs w:val="21"/>
          <w:highlight w:val="none"/>
          <w:u w:val="single"/>
        </w:rPr>
      </w:pPr>
      <w:r>
        <w:rPr>
          <w:rFonts w:hint="eastAsia" w:ascii="宋体" w:hAnsi="宋体" w:eastAsia="宋体" w:cs="Times New Roman"/>
          <w:b/>
          <w:bCs/>
          <w:color w:val="auto"/>
          <w:sz w:val="21"/>
          <w:szCs w:val="21"/>
          <w:highlight w:val="none"/>
          <w:u w:val="single"/>
        </w:rPr>
        <w:t>6.1.5.3承包人应负责整个场地的安全文明卫生管理，做到文明施工、保持施工场地清洁。本工程所有施工建筑垃圾均应全部清运出现场。服从发包人、监理单位及相关主管部门的管理要求，主动协调、解决问题，若在施工期间出现因场地不清洁、交通不畅等违反文明施工管理规定的情况，所发生的一切费用均由承包人承担，同时还需接受发包人每次3000</w:t>
      </w:r>
      <w:r>
        <w:rPr>
          <w:rFonts w:ascii="宋体" w:hAnsi="宋体" w:eastAsia="宋体" w:cs="Times New Roman"/>
          <w:b/>
          <w:bCs/>
          <w:color w:val="auto"/>
          <w:sz w:val="21"/>
          <w:szCs w:val="21"/>
          <w:highlight w:val="none"/>
          <w:u w:val="single"/>
        </w:rPr>
        <w:t>.00</w:t>
      </w:r>
      <w:r>
        <w:rPr>
          <w:rFonts w:hint="eastAsia" w:ascii="宋体" w:hAnsi="宋体" w:eastAsia="宋体" w:cs="Times New Roman"/>
          <w:b/>
          <w:bCs/>
          <w:color w:val="auto"/>
          <w:sz w:val="21"/>
          <w:szCs w:val="21"/>
          <w:highlight w:val="none"/>
          <w:u w:val="single"/>
        </w:rPr>
        <w:t>元的罚金。承包人必须遵守江苏省建设厅及盐城市建设主管部门颁布的《建设工程施工安全管理规定》和《建设工程文明施工管理规定》。</w:t>
      </w:r>
    </w:p>
    <w:p w14:paraId="4E793151">
      <w:pPr>
        <w:spacing w:line="400" w:lineRule="exact"/>
        <w:ind w:firstLine="422"/>
        <w:rPr>
          <w:rFonts w:hint="eastAsia" w:ascii="宋体" w:hAnsi="宋体" w:eastAsia="宋体" w:cs="Times New Roman"/>
          <w:b/>
          <w:bCs/>
          <w:color w:val="auto"/>
          <w:sz w:val="21"/>
          <w:szCs w:val="21"/>
          <w:highlight w:val="none"/>
          <w:u w:val="single"/>
        </w:rPr>
      </w:pPr>
      <w:r>
        <w:rPr>
          <w:rFonts w:hint="eastAsia" w:ascii="宋体" w:hAnsi="宋体" w:eastAsia="宋体" w:cs="Times New Roman"/>
          <w:b/>
          <w:bCs/>
          <w:color w:val="auto"/>
          <w:sz w:val="21"/>
          <w:szCs w:val="21"/>
          <w:highlight w:val="none"/>
          <w:u w:val="single"/>
        </w:rPr>
        <w:t>6.1.5.4发包人将定期对承包人的施工质量、安全、文明施工进行检查，如发现工程现场及生活区内安全、文明施工管理较差的，有权要求承包人整改并通报批评，如发生二次通报批评情况，可按照合同总价0.1%对承包人处以违约金。</w:t>
      </w:r>
    </w:p>
    <w:p w14:paraId="08ADE440">
      <w:pPr>
        <w:spacing w:line="400" w:lineRule="exact"/>
        <w:ind w:firstLine="422"/>
        <w:rPr>
          <w:rFonts w:hint="eastAsia" w:ascii="宋体" w:hAnsi="宋体" w:eastAsia="宋体" w:cs="Times New Roman"/>
          <w:b/>
          <w:bCs/>
          <w:color w:val="auto"/>
          <w:sz w:val="21"/>
          <w:szCs w:val="21"/>
          <w:highlight w:val="none"/>
          <w:u w:val="single"/>
        </w:rPr>
      </w:pPr>
      <w:r>
        <w:rPr>
          <w:rFonts w:hint="eastAsia" w:ascii="宋体" w:hAnsi="宋体" w:eastAsia="宋体" w:cs="Times New Roman"/>
          <w:b/>
          <w:bCs/>
          <w:color w:val="auto"/>
          <w:sz w:val="21"/>
          <w:szCs w:val="21"/>
          <w:highlight w:val="none"/>
          <w:u w:val="single"/>
        </w:rPr>
        <w:t>6.1.5.5严禁在施工现场焚烧垃圾，如发现一次，可按照合同总价0.2%对承包人处以违约金。进入施工现场的所有施工人员必须带好安全帽，如发现有一人次进入施工现场未带安全帽，发包人则按50元</w:t>
      </w:r>
      <w:r>
        <w:rPr>
          <w:rFonts w:ascii="宋体" w:hAnsi="宋体" w:eastAsia="宋体" w:cs="Times New Roman"/>
          <w:b/>
          <w:bCs/>
          <w:color w:val="auto"/>
          <w:sz w:val="21"/>
          <w:szCs w:val="21"/>
          <w:highlight w:val="none"/>
          <w:u w:val="single"/>
        </w:rPr>
        <w:t>/</w:t>
      </w:r>
      <w:r>
        <w:rPr>
          <w:rFonts w:hint="eastAsia" w:ascii="宋体" w:hAnsi="宋体" w:eastAsia="宋体" w:cs="Times New Roman"/>
          <w:b/>
          <w:bCs/>
          <w:color w:val="auto"/>
          <w:sz w:val="21"/>
          <w:szCs w:val="21"/>
          <w:highlight w:val="none"/>
          <w:u w:val="single"/>
        </w:rPr>
        <w:t>人次对承包人处以违约金，如一天发现3人以上进入施工现场未带安全帽，发包人则按200元</w:t>
      </w:r>
      <w:r>
        <w:rPr>
          <w:rFonts w:ascii="宋体" w:hAnsi="宋体" w:eastAsia="宋体" w:cs="Times New Roman"/>
          <w:b/>
          <w:bCs/>
          <w:color w:val="auto"/>
          <w:sz w:val="21"/>
          <w:szCs w:val="21"/>
          <w:highlight w:val="none"/>
          <w:u w:val="single"/>
        </w:rPr>
        <w:t>/</w:t>
      </w:r>
      <w:r>
        <w:rPr>
          <w:rFonts w:hint="eastAsia" w:ascii="宋体" w:hAnsi="宋体" w:eastAsia="宋体" w:cs="Times New Roman"/>
          <w:b/>
          <w:bCs/>
          <w:color w:val="auto"/>
          <w:sz w:val="21"/>
          <w:szCs w:val="21"/>
          <w:highlight w:val="none"/>
          <w:u w:val="single"/>
        </w:rPr>
        <w:t>人次对承包人处以违约金。</w:t>
      </w:r>
    </w:p>
    <w:p w14:paraId="5A9298A0">
      <w:pPr>
        <w:spacing w:line="400" w:lineRule="exact"/>
        <w:ind w:firstLine="422"/>
        <w:rPr>
          <w:rFonts w:hint="eastAsia" w:ascii="宋体" w:hAnsi="宋体" w:eastAsia="宋体" w:cs="Times New Roman"/>
          <w:b/>
          <w:bCs/>
          <w:color w:val="auto"/>
          <w:sz w:val="21"/>
          <w:szCs w:val="21"/>
          <w:highlight w:val="none"/>
          <w:u w:val="single"/>
        </w:rPr>
      </w:pPr>
      <w:r>
        <w:rPr>
          <w:rFonts w:hint="eastAsia" w:ascii="宋体" w:hAnsi="宋体" w:eastAsia="宋体" w:cs="Times New Roman"/>
          <w:b/>
          <w:bCs/>
          <w:color w:val="auto"/>
          <w:sz w:val="21"/>
          <w:szCs w:val="21"/>
          <w:highlight w:val="none"/>
          <w:u w:val="single"/>
        </w:rPr>
        <w:t>6.1.5.6承包人不得在施工现场发生打架、斗殴、偷窃行为，发生一次，发包人可对承包人处1000元/次违约金。</w:t>
      </w:r>
    </w:p>
    <w:p w14:paraId="1510CAE7">
      <w:pPr>
        <w:spacing w:line="400" w:lineRule="exact"/>
        <w:ind w:firstLine="422"/>
        <w:rPr>
          <w:rFonts w:hint="eastAsia" w:ascii="宋体" w:hAnsi="宋体" w:eastAsia="宋体" w:cs="Times New Roman"/>
          <w:b/>
          <w:bCs/>
          <w:color w:val="auto"/>
          <w:sz w:val="21"/>
          <w:szCs w:val="21"/>
          <w:highlight w:val="none"/>
          <w:u w:val="single"/>
        </w:rPr>
      </w:pPr>
      <w:r>
        <w:rPr>
          <w:rFonts w:hint="eastAsia" w:ascii="宋体" w:hAnsi="宋体" w:eastAsia="宋体" w:cs="Times New Roman"/>
          <w:b/>
          <w:bCs/>
          <w:color w:val="auto"/>
          <w:sz w:val="21"/>
          <w:szCs w:val="21"/>
          <w:highlight w:val="none"/>
          <w:u w:val="single"/>
        </w:rPr>
        <w:t>6.1.5.7施工过程中须考虑成品保护措施费用以及材料运输过程中防尘、密闭运输、安全等措施费用、路面清洁、洒水等相关费用及与建设、城管等部门之间的矛盾协调、处罚及应上缴的相关规费等费用，承包人须自行考虑，与发包人无涉。</w:t>
      </w:r>
    </w:p>
    <w:p w14:paraId="4058C998">
      <w:pPr>
        <w:spacing w:line="400" w:lineRule="exact"/>
        <w:ind w:firstLine="422"/>
        <w:rPr>
          <w:rFonts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u w:val="single"/>
        </w:rPr>
        <w:t>6.1.5.8承包人竣工清场前，必须将现场的建筑垃圾及生产、生活等临时设施拆除、清运出施工现场，并运至发包人指定地点，否则发包人有权让第三方代为实施，但所发生的费用由发包人直接在承包人到期工程款中扣除。</w:t>
      </w:r>
    </w:p>
    <w:p w14:paraId="39C337F8">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6.1.6 关于安全文明施工费支付比例和支付期限的约定：本工程安全文明施工费不单独支付，包含在工程款中支付，详见12.4.1约定。</w:t>
      </w:r>
    </w:p>
    <w:p w14:paraId="1DDA74C1">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7. 工期和进度</w:t>
      </w:r>
    </w:p>
    <w:p w14:paraId="044D70C8">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7.1 施工组织设计</w:t>
      </w:r>
    </w:p>
    <w:p w14:paraId="3E5CD2EA">
      <w:pPr>
        <w:spacing w:line="400" w:lineRule="exact"/>
        <w:ind w:firstLine="420"/>
        <w:rPr>
          <w:rFonts w:ascii="宋体" w:hAnsi="宋体" w:eastAsia="宋体" w:cs="Times New Roman"/>
          <w:b/>
          <w:color w:val="auto"/>
          <w:sz w:val="21"/>
          <w:szCs w:val="21"/>
          <w:highlight w:val="none"/>
        </w:rPr>
      </w:pPr>
      <w:r>
        <w:rPr>
          <w:rFonts w:ascii="宋体" w:hAnsi="宋体" w:eastAsia="宋体" w:cs="Times New Roman"/>
          <w:color w:val="auto"/>
          <w:sz w:val="21"/>
          <w:szCs w:val="21"/>
          <w:highlight w:val="none"/>
        </w:rPr>
        <w:t>7.1.1 合同当事人约定的施工组织设计应包括的其他内容：</w:t>
      </w:r>
      <w:r>
        <w:rPr>
          <w:rFonts w:hint="eastAsia" w:ascii="宋体" w:hAnsi="宋体" w:eastAsia="宋体" w:cs="Times New Roman"/>
          <w:color w:val="auto"/>
          <w:sz w:val="21"/>
          <w:szCs w:val="21"/>
          <w:highlight w:val="none"/>
          <w:u w:val="single"/>
        </w:rPr>
        <w:t>按通用条款</w:t>
      </w:r>
      <w:r>
        <w:rPr>
          <w:rFonts w:ascii="宋体" w:hAnsi="宋体" w:eastAsia="宋体" w:cs="Times New Roman"/>
          <w:color w:val="auto"/>
          <w:sz w:val="21"/>
          <w:szCs w:val="21"/>
          <w:highlight w:val="none"/>
        </w:rPr>
        <w:t>。</w:t>
      </w:r>
    </w:p>
    <w:p w14:paraId="321C882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7.1.2 施工组织设计的提交和修改</w:t>
      </w:r>
    </w:p>
    <w:p w14:paraId="29019AD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承包人提交详细施工组织设计的期限的约定：</w:t>
      </w:r>
      <w:r>
        <w:rPr>
          <w:rFonts w:ascii="宋体" w:hAnsi="宋体" w:eastAsia="宋体" w:cs="Times New Roman"/>
          <w:color w:val="auto"/>
          <w:sz w:val="21"/>
          <w:szCs w:val="21"/>
          <w:highlight w:val="none"/>
          <w:u w:val="single"/>
        </w:rPr>
        <w:t>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ascii="宋体" w:hAnsi="宋体" w:eastAsia="宋体" w:cs="Times New Roman"/>
          <w:color w:val="auto"/>
          <w:sz w:val="21"/>
          <w:szCs w:val="21"/>
          <w:highlight w:val="none"/>
        </w:rPr>
        <w:t>。</w:t>
      </w:r>
    </w:p>
    <w:p w14:paraId="575335B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发包人和监理人在收到详细的施工组织设计后确认或提出修改意见的期限：</w:t>
      </w:r>
      <w:r>
        <w:rPr>
          <w:rFonts w:ascii="宋体" w:hAnsi="宋体" w:eastAsia="宋体" w:cs="Times New Roman"/>
          <w:color w:val="auto"/>
          <w:sz w:val="21"/>
          <w:szCs w:val="21"/>
          <w:highlight w:val="none"/>
          <w:u w:val="single"/>
        </w:rPr>
        <w:t xml:space="preserve">  3 </w:t>
      </w:r>
      <w:r>
        <w:rPr>
          <w:rFonts w:ascii="宋体" w:hAnsi="宋体" w:eastAsia="宋体" w:cs="Times New Roman"/>
          <w:color w:val="auto"/>
          <w:sz w:val="21"/>
          <w:szCs w:val="21"/>
          <w:highlight w:val="none"/>
        </w:rPr>
        <w:t>天。</w:t>
      </w:r>
    </w:p>
    <w:p w14:paraId="50F4F360">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7.2 施工进度计划</w:t>
      </w:r>
    </w:p>
    <w:p w14:paraId="04DA9F2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7.2.2 施工进度计划的修订</w:t>
      </w:r>
    </w:p>
    <w:p w14:paraId="0E534418">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发包人和监理人在收到修订的施工进度计划后确认或提出修改意见的期限：</w:t>
      </w:r>
      <w:r>
        <w:rPr>
          <w:rFonts w:ascii="宋体" w:hAnsi="宋体" w:eastAsia="宋体" w:cs="Times New Roman"/>
          <w:color w:val="auto"/>
          <w:sz w:val="21"/>
          <w:szCs w:val="21"/>
          <w:highlight w:val="none"/>
          <w:u w:val="single"/>
        </w:rPr>
        <w:t xml:space="preserve">  3  </w:t>
      </w:r>
      <w:r>
        <w:rPr>
          <w:rFonts w:ascii="宋体" w:hAnsi="宋体" w:eastAsia="宋体" w:cs="Times New Roman"/>
          <w:color w:val="auto"/>
          <w:sz w:val="21"/>
          <w:szCs w:val="21"/>
          <w:highlight w:val="none"/>
        </w:rPr>
        <w:t>天。</w:t>
      </w:r>
    </w:p>
    <w:p w14:paraId="29CA21EA">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7.3 开工</w:t>
      </w:r>
    </w:p>
    <w:p w14:paraId="5903F5D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7.3.1 开工准备</w:t>
      </w:r>
    </w:p>
    <w:p w14:paraId="6AF9B64B">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关于承包人提交工程开工报审表的期限：</w:t>
      </w:r>
      <w:r>
        <w:rPr>
          <w:rFonts w:ascii="宋体" w:hAnsi="宋体" w:eastAsia="宋体" w:cs="Times New Roman"/>
          <w:color w:val="auto"/>
          <w:sz w:val="21"/>
          <w:szCs w:val="21"/>
          <w:highlight w:val="none"/>
          <w:u w:val="single"/>
        </w:rPr>
        <w:t xml:space="preserve">计划开工日期前3天提交开工报审表或开工报告 </w:t>
      </w:r>
      <w:r>
        <w:rPr>
          <w:rFonts w:ascii="宋体" w:hAnsi="宋体" w:eastAsia="宋体" w:cs="Times New Roman"/>
          <w:color w:val="auto"/>
          <w:sz w:val="21"/>
          <w:szCs w:val="21"/>
          <w:highlight w:val="none"/>
        </w:rPr>
        <w:t>。</w:t>
      </w:r>
    </w:p>
    <w:p w14:paraId="7F63A90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关于发包人应完成的其他开工准备工作及期限：</w:t>
      </w:r>
      <w:r>
        <w:rPr>
          <w:rFonts w:ascii="宋体" w:hAnsi="宋体" w:eastAsia="宋体" w:cs="Times New Roman"/>
          <w:color w:val="auto"/>
          <w:sz w:val="21"/>
          <w:szCs w:val="21"/>
          <w:highlight w:val="none"/>
          <w:u w:val="single"/>
        </w:rPr>
        <w:t>应明确开工前 3 日内，配合承包人将施工所需的水、电接至施工场地；开工前提供工程地质和地下管线资料；办理的施工所需证件、批件；交验水准点与坐标控制点交验</w:t>
      </w:r>
      <w:r>
        <w:rPr>
          <w:rFonts w:ascii="宋体" w:hAnsi="宋体" w:eastAsia="宋体" w:cs="Times New Roman"/>
          <w:color w:val="auto"/>
          <w:sz w:val="21"/>
          <w:szCs w:val="21"/>
          <w:highlight w:val="none"/>
        </w:rPr>
        <w:t>。</w:t>
      </w:r>
    </w:p>
    <w:p w14:paraId="3176194D">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关于承包人应完成的其他开工准备工作及期限：</w:t>
      </w:r>
      <w:r>
        <w:rPr>
          <w:rFonts w:ascii="宋体" w:hAnsi="宋体" w:eastAsia="宋体" w:cs="Times New Roman"/>
          <w:color w:val="auto"/>
          <w:sz w:val="21"/>
          <w:szCs w:val="21"/>
          <w:highlight w:val="none"/>
          <w:u w:val="single"/>
        </w:rPr>
        <w:t>开工前必须向发包人和总包单位提供施工进度计划、材料清单、材料进场计划、劳动力计划。</w:t>
      </w:r>
    </w:p>
    <w:p w14:paraId="3B9AA01B">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7.3.2开工通知</w:t>
      </w:r>
    </w:p>
    <w:p w14:paraId="6DDA95C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因发包人原因造成监理人未能在计划开工日期之日起</w:t>
      </w:r>
      <w:r>
        <w:rPr>
          <w:rFonts w:ascii="宋体" w:hAnsi="宋体" w:eastAsia="宋体" w:cs="Times New Roman"/>
          <w:color w:val="auto"/>
          <w:sz w:val="21"/>
          <w:szCs w:val="21"/>
          <w:highlight w:val="none"/>
          <w:u w:val="single"/>
        </w:rPr>
        <w:t xml:space="preserve"> 30 </w:t>
      </w:r>
      <w:r>
        <w:rPr>
          <w:rFonts w:ascii="宋体" w:hAnsi="宋体" w:eastAsia="宋体" w:cs="Times New Roman"/>
          <w:color w:val="auto"/>
          <w:sz w:val="21"/>
          <w:szCs w:val="21"/>
          <w:highlight w:val="none"/>
        </w:rPr>
        <w:t>天内发出开工通知的，承包人有权提出价格调整要求，或者解除合同。</w:t>
      </w:r>
    </w:p>
    <w:p w14:paraId="2F12083F">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7.4 测量放线</w:t>
      </w:r>
    </w:p>
    <w:p w14:paraId="69CDA30D">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7.4.1发包人通过监理人向承包人提供测量基准点、基准线和水准点及其书面资料的期限：</w:t>
      </w:r>
      <w:r>
        <w:rPr>
          <w:rFonts w:ascii="宋体" w:hAnsi="宋体" w:eastAsia="宋体" w:cs="Times New Roman"/>
          <w:color w:val="auto"/>
          <w:sz w:val="21"/>
          <w:szCs w:val="21"/>
          <w:highlight w:val="none"/>
          <w:u w:val="single"/>
        </w:rPr>
        <w:t>开工前现场交验</w:t>
      </w:r>
      <w:r>
        <w:rPr>
          <w:rFonts w:ascii="宋体" w:hAnsi="宋体" w:eastAsia="宋体" w:cs="Times New Roman"/>
          <w:color w:val="auto"/>
          <w:sz w:val="21"/>
          <w:szCs w:val="21"/>
          <w:highlight w:val="none"/>
        </w:rPr>
        <w:t>。</w:t>
      </w:r>
    </w:p>
    <w:p w14:paraId="78484688">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7.5 工期延误</w:t>
      </w:r>
    </w:p>
    <w:p w14:paraId="31F4FFDB">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7.5.1 因发包人原因导致工期延误</w:t>
      </w:r>
    </w:p>
    <w:p w14:paraId="1E696368">
      <w:pPr>
        <w:widowControl w:val="0"/>
        <w:tabs>
          <w:tab w:val="left" w:pos="0"/>
          <w:tab w:val="left" w:pos="540"/>
          <w:tab w:val="left" w:pos="720"/>
          <w:tab w:val="left" w:pos="4140"/>
          <w:tab w:val="left" w:pos="5400"/>
          <w:tab w:val="left" w:pos="8460"/>
        </w:tabs>
        <w:spacing w:after="0" w:line="400" w:lineRule="exact"/>
        <w:ind w:right="-153" w:firstLine="420"/>
        <w:jc w:val="both"/>
        <w:rPr>
          <w:rFonts w:hint="default" w:ascii="宋体" w:hAnsi="宋体" w:eastAsia="宋体" w:cs="Times New Roman"/>
          <w:color w:val="auto"/>
          <w:sz w:val="21"/>
          <w:szCs w:val="21"/>
          <w:highlight w:val="none"/>
          <w:lang w:val="en-US" w:eastAsia="zh-CN" w:bidi="ar-SA"/>
        </w:rPr>
      </w:pPr>
      <w:r>
        <w:rPr>
          <w:rFonts w:hint="default" w:ascii="宋体" w:hAnsi="宋体" w:eastAsia="宋体" w:cs="Times New Roman"/>
          <w:color w:val="auto"/>
          <w:sz w:val="21"/>
          <w:szCs w:val="21"/>
          <w:highlight w:val="none"/>
          <w:lang w:val="en-US" w:eastAsia="zh-CN" w:bidi="ar-SA"/>
        </w:rPr>
        <w:t>因发包人原因导致工期延误的其他情形</w:t>
      </w:r>
    </w:p>
    <w:p w14:paraId="064B4D52">
      <w:pPr>
        <w:widowControl w:val="0"/>
        <w:tabs>
          <w:tab w:val="left" w:pos="0"/>
          <w:tab w:val="left" w:pos="540"/>
          <w:tab w:val="left" w:pos="720"/>
          <w:tab w:val="left" w:pos="4140"/>
          <w:tab w:val="left" w:pos="5400"/>
          <w:tab w:val="left" w:pos="8460"/>
        </w:tabs>
        <w:spacing w:after="0" w:line="400" w:lineRule="exact"/>
        <w:ind w:right="-153" w:firstLine="420"/>
        <w:jc w:val="both"/>
        <w:rPr>
          <w:rFonts w:hint="default" w:ascii="宋体" w:hAnsi="宋体" w:eastAsia="宋体" w:cs="Times New Roman"/>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①</w:t>
      </w:r>
      <w:r>
        <w:rPr>
          <w:rFonts w:hint="default" w:ascii="宋体" w:hAnsi="宋体" w:eastAsia="宋体" w:cs="Times New Roman"/>
          <w:color w:val="auto"/>
          <w:sz w:val="21"/>
          <w:szCs w:val="21"/>
          <w:highlight w:val="none"/>
          <w:u w:val="single"/>
          <w:lang w:val="en-US" w:eastAsia="zh-CN" w:bidi="ar-SA"/>
        </w:rPr>
        <w:t>一周内非承包方原因停电、停水累计达8小时以上；</w:t>
      </w:r>
      <w:r>
        <w:rPr>
          <w:rFonts w:hint="eastAsia" w:ascii="宋体" w:hAnsi="宋体" w:eastAsia="宋体" w:cs="宋体"/>
          <w:color w:val="auto"/>
          <w:sz w:val="21"/>
          <w:szCs w:val="21"/>
          <w:highlight w:val="none"/>
          <w:u w:val="single"/>
          <w:lang w:val="en-US" w:eastAsia="zh-CN" w:bidi="ar-SA"/>
        </w:rPr>
        <w:t>②</w:t>
      </w:r>
      <w:r>
        <w:rPr>
          <w:rFonts w:hint="default" w:ascii="宋体" w:hAnsi="宋体" w:eastAsia="宋体" w:cs="Times New Roman"/>
          <w:color w:val="auto"/>
          <w:sz w:val="21"/>
          <w:szCs w:val="21"/>
          <w:highlight w:val="none"/>
          <w:u w:val="single"/>
          <w:lang w:val="en-US" w:eastAsia="zh-CN" w:bidi="ar-SA"/>
        </w:rPr>
        <w:t>发包人未能及时提供施工图纸；</w:t>
      </w:r>
      <w:r>
        <w:rPr>
          <w:rFonts w:hint="eastAsia" w:ascii="宋体" w:hAnsi="宋体" w:eastAsia="宋体" w:cs="宋体"/>
          <w:color w:val="auto"/>
          <w:sz w:val="21"/>
          <w:szCs w:val="21"/>
          <w:highlight w:val="none"/>
          <w:u w:val="single"/>
          <w:lang w:val="en-US" w:eastAsia="zh-CN" w:bidi="ar-SA"/>
        </w:rPr>
        <w:t>③</w:t>
      </w:r>
      <w:r>
        <w:rPr>
          <w:rFonts w:hint="default" w:ascii="宋体" w:hAnsi="宋体" w:eastAsia="宋体" w:cs="Times New Roman"/>
          <w:color w:val="auto"/>
          <w:sz w:val="21"/>
          <w:szCs w:val="21"/>
          <w:highlight w:val="none"/>
          <w:u w:val="single"/>
          <w:lang w:val="en-US" w:eastAsia="zh-CN" w:bidi="ar-SA"/>
        </w:rPr>
        <w:t>经发包人确认的不可抗力因素；</w:t>
      </w:r>
      <w:r>
        <w:rPr>
          <w:rFonts w:hint="eastAsia" w:ascii="宋体" w:hAnsi="宋体" w:eastAsia="宋体" w:cs="宋体"/>
          <w:color w:val="auto"/>
          <w:sz w:val="21"/>
          <w:szCs w:val="21"/>
          <w:highlight w:val="none"/>
          <w:u w:val="single"/>
          <w:lang w:val="en-US" w:eastAsia="zh-CN" w:bidi="ar-SA"/>
        </w:rPr>
        <w:t>④</w:t>
      </w:r>
      <w:r>
        <w:rPr>
          <w:rFonts w:hint="default" w:ascii="宋体" w:hAnsi="宋体" w:eastAsia="宋体" w:cs="Times New Roman"/>
          <w:color w:val="auto"/>
          <w:sz w:val="21"/>
          <w:szCs w:val="21"/>
          <w:highlight w:val="none"/>
          <w:u w:val="single"/>
          <w:lang w:val="en-US" w:eastAsia="zh-CN" w:bidi="ar-SA"/>
        </w:rPr>
        <w:t>合同中约定的或发包人同意工期顺延的其他情况。上述情况必须经发包人书面确认。</w:t>
      </w:r>
    </w:p>
    <w:p w14:paraId="6C3E48D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7.5.2 因承包人原因导致工期延误</w:t>
      </w:r>
    </w:p>
    <w:p w14:paraId="41D92B04">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因承包人原因造成工期延误，逾期竣工违约金的计算方法为：</w:t>
      </w:r>
    </w:p>
    <w:p w14:paraId="35932FCF">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二的违约金。</w:t>
      </w:r>
    </w:p>
    <w:p w14:paraId="12A37490">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如因发包人原因并且符合工程工期顺延的情况，经监理和发包人签证确认后顺延。签订合同后，承包方应编制施工组织设计报监理工程师批准。工程实施过程中，承包方严格按照经批准的施工组织设计组织施工，接受发包方对进度的检查、监督。发包方和监理单位将对照确认的施工方案和进度计划对承包方的施工进度进行严格考核，每一周为一个考核周期。承包方将严格按照进度计划组织施工，如在一个考核周期内发生未能按照进度计划表约定的节点工期建设，将在限期内整改，同时接受发包方以每次10000</w:t>
      </w:r>
      <w:r>
        <w:rPr>
          <w:rFonts w:ascii="宋体" w:hAnsi="宋体" w:eastAsia="宋体" w:cs="Times New Roman"/>
          <w:color w:val="auto"/>
          <w:sz w:val="21"/>
          <w:szCs w:val="21"/>
          <w:highlight w:val="none"/>
          <w:u w:val="single"/>
        </w:rPr>
        <w:t>.00</w:t>
      </w:r>
      <w:r>
        <w:rPr>
          <w:rFonts w:hint="eastAsia" w:ascii="宋体" w:hAnsi="宋体" w:eastAsia="宋体" w:cs="Times New Roman"/>
          <w:color w:val="auto"/>
          <w:sz w:val="21"/>
          <w:szCs w:val="21"/>
          <w:highlight w:val="none"/>
          <w:u w:val="single"/>
        </w:rPr>
        <w:t>元的经济处罚，相关费用直接从工程款项中扣除，并要求承包方在下一个考核周期内抢工补救上一个考核周期内的施工任务和本考核周期内的施工任务。如在下一个考核周期内没有完成既定施工任务的，承包方将承担违约责任，发包方将对承包方处以每个考核周期不少于20000</w:t>
      </w:r>
      <w:r>
        <w:rPr>
          <w:rFonts w:ascii="宋体" w:hAnsi="宋体" w:eastAsia="宋体" w:cs="Times New Roman"/>
          <w:color w:val="auto"/>
          <w:sz w:val="21"/>
          <w:szCs w:val="21"/>
          <w:highlight w:val="none"/>
          <w:u w:val="single"/>
        </w:rPr>
        <w:t>.00</w:t>
      </w:r>
      <w:r>
        <w:rPr>
          <w:rFonts w:hint="eastAsia" w:ascii="宋体" w:hAnsi="宋体" w:eastAsia="宋体" w:cs="Times New Roman"/>
          <w:color w:val="auto"/>
          <w:sz w:val="21"/>
          <w:szCs w:val="21"/>
          <w:highlight w:val="none"/>
          <w:u w:val="single"/>
        </w:rPr>
        <w:t>元的违约金直至施工任务完成达到施工方案和进度计划的要求。</w:t>
      </w:r>
    </w:p>
    <w:p w14:paraId="603AABDE">
      <w:pPr>
        <w:spacing w:line="400" w:lineRule="exact"/>
        <w:ind w:firstLine="420"/>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如承包方拒绝执行上述条款的，建设单位有权清退承包单位，已完工作量按70%结算，同时由此造成的损失均由承包单位承担。</w:t>
      </w:r>
    </w:p>
    <w:p w14:paraId="2446EEC1">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因承包人原因造成工期延误，逾期竣工违约金的上限：</w:t>
      </w:r>
      <w:r>
        <w:rPr>
          <w:rFonts w:ascii="宋体" w:hAnsi="宋体" w:eastAsia="宋体" w:cs="Times New Roman"/>
          <w:color w:val="auto"/>
          <w:sz w:val="21"/>
          <w:szCs w:val="21"/>
          <w:highlight w:val="none"/>
          <w:u w:val="single"/>
        </w:rPr>
        <w:t>不超过签约合同价的10%，超过10%时发包人有权终止合同，扣除承包人的全部履约保证金，并对因承包人延期造成的所有损失进行依法追偿 。</w:t>
      </w:r>
    </w:p>
    <w:p w14:paraId="446F73C4">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7.6 不利物质条件</w:t>
      </w:r>
    </w:p>
    <w:p w14:paraId="36E609B0">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不利物质条件的其他情形和有关约定：</w:t>
      </w:r>
      <w:r>
        <w:rPr>
          <w:rFonts w:hint="eastAsia" w:ascii="宋体" w:hAnsi="宋体" w:eastAsia="宋体" w:cs="Times New Roman"/>
          <w:color w:val="auto"/>
          <w:sz w:val="21"/>
          <w:szCs w:val="21"/>
          <w:highlight w:val="none"/>
          <w:u w:val="single"/>
        </w:rPr>
        <w:t>按照通用条款</w:t>
      </w:r>
      <w:r>
        <w:rPr>
          <w:rFonts w:hint="eastAsia" w:ascii="宋体" w:hAnsi="宋体" w:eastAsia="宋体" w:cs="Times New Roman"/>
          <w:color w:val="auto"/>
          <w:sz w:val="21"/>
          <w:szCs w:val="21"/>
          <w:highlight w:val="none"/>
        </w:rPr>
        <w:t>。</w:t>
      </w:r>
    </w:p>
    <w:p w14:paraId="28FAEB50">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7.7 异常恶劣的气候条件</w:t>
      </w:r>
    </w:p>
    <w:p w14:paraId="10AB811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发包人和承包人同意以下情形视为异常恶劣的气候条件：</w:t>
      </w:r>
    </w:p>
    <w:p w14:paraId="2B307915">
      <w:pPr>
        <w:numPr>
          <w:ilvl w:val="0"/>
          <w:numId w:val="2"/>
        </w:numPr>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u w:val="single"/>
        </w:rPr>
        <w:t>持续高温：连续三日最高气温35</w:t>
      </w:r>
      <w:r>
        <w:rPr>
          <w:rFonts w:hint="eastAsia" w:ascii="宋体" w:hAnsi="宋体" w:eastAsia="宋体" w:cs="宋体"/>
          <w:color w:val="auto"/>
          <w:sz w:val="21"/>
          <w:szCs w:val="21"/>
          <w:highlight w:val="none"/>
          <w:u w:val="single"/>
        </w:rPr>
        <w:t>℃</w:t>
      </w:r>
      <w:r>
        <w:rPr>
          <w:rFonts w:ascii="宋体" w:hAnsi="宋体" w:eastAsia="宋体" w:cs="Times New Roman"/>
          <w:color w:val="auto"/>
          <w:sz w:val="21"/>
          <w:szCs w:val="21"/>
          <w:highlight w:val="none"/>
          <w:u w:val="single"/>
        </w:rPr>
        <w:t>以上；持续低温：连续三日最低气温-10</w:t>
      </w:r>
      <w:r>
        <w:rPr>
          <w:rFonts w:hint="eastAsia" w:ascii="宋体" w:hAnsi="宋体" w:eastAsia="宋体" w:cs="宋体"/>
          <w:color w:val="auto"/>
          <w:sz w:val="21"/>
          <w:szCs w:val="21"/>
          <w:highlight w:val="none"/>
          <w:u w:val="single"/>
        </w:rPr>
        <w:t>℃</w:t>
      </w:r>
      <w:r>
        <w:rPr>
          <w:rFonts w:ascii="宋体" w:hAnsi="宋体" w:eastAsia="宋体" w:cs="Times New Roman"/>
          <w:color w:val="auto"/>
          <w:sz w:val="21"/>
          <w:szCs w:val="21"/>
          <w:highlight w:val="none"/>
          <w:u w:val="single"/>
        </w:rPr>
        <w:t>以下；</w:t>
      </w:r>
    </w:p>
    <w:p w14:paraId="07EDAFA2">
      <w:pPr>
        <w:numPr>
          <w:ilvl w:val="0"/>
          <w:numId w:val="2"/>
        </w:numPr>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u w:val="single"/>
        </w:rPr>
        <w:t>大风天气：施工区域日风力在6级以上且持续时间不少于4小时，或阵风大于8级；</w:t>
      </w:r>
    </w:p>
    <w:p w14:paraId="160F66BF">
      <w:pPr>
        <w:numPr>
          <w:ilvl w:val="0"/>
          <w:numId w:val="2"/>
        </w:numPr>
        <w:spacing w:line="400" w:lineRule="exact"/>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u w:val="single"/>
        </w:rPr>
        <w:t>暴雨天气：日降雨量50mm及以上，或降雨强度大于20mm/h</w:t>
      </w:r>
      <w:r>
        <w:rPr>
          <w:rFonts w:hint="eastAsia" w:ascii="宋体" w:hAnsi="宋体" w:eastAsia="宋体" w:cs="Times New Roman"/>
          <w:color w:val="auto"/>
          <w:sz w:val="21"/>
          <w:szCs w:val="21"/>
          <w:highlight w:val="none"/>
          <w:u w:val="single"/>
        </w:rPr>
        <w:t>；以上须提供气象部门的证明。</w:t>
      </w:r>
    </w:p>
    <w:p w14:paraId="4BB94C35">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7.9 提前竣工的奖励</w:t>
      </w:r>
    </w:p>
    <w:p w14:paraId="05AAF88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7.9.2提前竣工的奖励：</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3EBC1EAF">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8. 材料与设备</w:t>
      </w:r>
    </w:p>
    <w:p w14:paraId="313F6B42">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8.4 材料与工程设备的保管与使用</w:t>
      </w:r>
    </w:p>
    <w:p w14:paraId="0E4D2E4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8.4.1发包人供应的材料设备的保管费用的承担：</w:t>
      </w:r>
    </w:p>
    <w:p w14:paraId="3DA72968">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1）除招标文件中确定的《其他项目清单计价与汇总表》中的“暂估价”的材料外，其它材料均由中标人自行组织采购。凡由承包人采购的材料，承包人应按照设计要求、技术标准及招标文件的约定采购符合上述要求的材料。并向发包人提供质量保证书、出厂合格证及现场抽样检测报告等证明材料，对材料质量负责。如不符合质量及技术标准要求或规格有差异的，承包人应按招标人要求的时间将不符合要求的材料运出施工场地，重新采购符合要求的材料。若已使用，由承包人负责整改处理，确保达到要求的质量目标。因使用不符合要求的材料对工程造成的损失由承包人负责，由此延误的工期不予顺延。</w:t>
      </w:r>
    </w:p>
    <w:p w14:paraId="63543799">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2）对招标文件工程量清单《其他项目清单与计价汇总表》中确定为“暂估价”的设备材料和专业工程，发包人应根据国家发改委令第16号要求，施工单项合同估算价在400万元以上的专业工程或单项合同估算价在200万元以上的重要设备材料等货物的采购，达此限额及以上的发包人应依法组织公开招标。单项合同估算价在上述限额标准以下的项目，可以采用竞争性谈判、询价等方式发包。</w:t>
      </w:r>
    </w:p>
    <w:p w14:paraId="3D4DFCE6">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3）如在施工过程中监管人员（发包人及监理人员等）一旦发现承包人未按发包人及设计人员书面确认材料及规格型号进行采购的或出现以劣充优、以次充好、贴牌等谋取不正当利益的情况，根据质量管理条例的相关规定，承包人在施工中偷工减料的，使用不合格的建筑材料、建筑构配件和设备的，或者有不按照工程设计图纸或者施工技术标准施工的其他行为的，责令改正，每发现1次处工程合同价款百分之三的罚款；造成建设工程质量不符合规定的质量标准的，负责返工、修理，并赔偿因此造成的损失；情节严重的，报相关建设行政主管部门，责令停业整顿，降低资质等级或者吊销资质证书。</w:t>
      </w:r>
    </w:p>
    <w:p w14:paraId="6719EE70">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4）中标人在施工中偷工减料的，使用不合格的建筑材料、建筑构配件和设备的，或者有不按照工程设计图纸或者施工技术标准施工的其他行为的，责令改正，结合相关法律法规规定，处以合同总价百分之四的罚款；造成建设工程质量不符合规定的质量标准的，负责返工、修理，并赔偿因此造成的损失；情节严重的，移交相关部门处理。</w:t>
      </w:r>
    </w:p>
    <w:p w14:paraId="6E6F2301">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中标单位未对建筑材料、建筑构配件、设备和商品混凝土进行检验，或者未对涉及结构安全的试块、试件以及有关材料取样检测的，责令改正，处1万元以上5万元以下的罚款；情节严重的，移交相关部门处理。</w:t>
      </w:r>
    </w:p>
    <w:p w14:paraId="112698F2">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（5）采用甲供的材料、设备，中标人应提前 30 天向招标人提供所需材料、设备的情况，包括：材料、设备的品种、规格、型号、数量、质量等级、提供时间和地点等，招标人在所供材料、设备到货前 24 小时，以书面形式通知中标人，由中标人派人和招标人共同清点，其材料、设备的质量由中标人把关，如甲供的设备材料发生现场保管的，招标人须给付甲供设备材料总价款 1% 的现场保管费用。</w:t>
      </w:r>
    </w:p>
    <w:p w14:paraId="30945334">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6）各投标单位所选用材料必须符合相关国家强制性标准和规范要求，保证材料符合相关安全、环保等要求。主材如未按招标文件约定，以次充优，擅自更换投标品牌或使用假冒、贴牌产品的，必须全部无条件清退出场。所造成的一切责任和后果均由中标人承担，对于已发生的还将进行“以一罚十”的处罚 。</w:t>
      </w:r>
    </w:p>
    <w:p w14:paraId="0EB7F44C">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8.6 样品</w:t>
      </w:r>
    </w:p>
    <w:p w14:paraId="56327072">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8.6.1 样品的报送与封存</w:t>
      </w:r>
    </w:p>
    <w:p w14:paraId="1E6E00D8">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需要承包人报送样品的材料或工程设备，样品的种类、名称、规格、数量要求：</w:t>
      </w:r>
      <w:r>
        <w:rPr>
          <w:rFonts w:ascii="宋体" w:hAnsi="宋体" w:eastAsia="宋体" w:cs="Times New Roman"/>
          <w:color w:val="auto"/>
          <w:sz w:val="21"/>
          <w:szCs w:val="21"/>
          <w:highlight w:val="none"/>
          <w:u w:val="single"/>
        </w:rPr>
        <w:t>按招标文件执行</w:t>
      </w:r>
      <w:r>
        <w:rPr>
          <w:rFonts w:ascii="宋体" w:hAnsi="宋体" w:eastAsia="宋体" w:cs="Times New Roman"/>
          <w:color w:val="auto"/>
          <w:sz w:val="21"/>
          <w:szCs w:val="21"/>
          <w:highlight w:val="none"/>
        </w:rPr>
        <w:t>。</w:t>
      </w:r>
    </w:p>
    <w:p w14:paraId="68F785FC">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8.8 施工设备和临时设施</w:t>
      </w:r>
    </w:p>
    <w:p w14:paraId="03420391">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8.8.1 承包人提供的施工设备和临时设施</w:t>
      </w:r>
    </w:p>
    <w:p w14:paraId="744440E4">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关于修建临时设施费用承担的约定：</w:t>
      </w:r>
      <w:r>
        <w:rPr>
          <w:rFonts w:hint="eastAsia" w:ascii="宋体" w:hAnsi="宋体" w:eastAsia="宋体" w:cs="Times New Roman"/>
          <w:color w:val="auto"/>
          <w:sz w:val="21"/>
          <w:szCs w:val="21"/>
          <w:highlight w:val="none"/>
          <w:u w:val="single"/>
        </w:rPr>
        <w:t>由承包人承担</w:t>
      </w:r>
      <w:r>
        <w:rPr>
          <w:rFonts w:ascii="宋体" w:hAnsi="宋体" w:eastAsia="宋体" w:cs="Times New Roman"/>
          <w:color w:val="auto"/>
          <w:sz w:val="21"/>
          <w:szCs w:val="21"/>
          <w:highlight w:val="none"/>
        </w:rPr>
        <w:t>。</w:t>
      </w:r>
    </w:p>
    <w:p w14:paraId="6E25F7A2">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9. 试验与检验</w:t>
      </w:r>
    </w:p>
    <w:p w14:paraId="41DC3C46">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9.1 试验设备与试验人员</w:t>
      </w:r>
    </w:p>
    <w:p w14:paraId="08B6200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9.1.2 试验设备</w:t>
      </w:r>
    </w:p>
    <w:p w14:paraId="7B333268">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施工现场需要配置的试验场所：</w:t>
      </w:r>
      <w:r>
        <w:rPr>
          <w:rFonts w:hint="eastAsia" w:ascii="宋体" w:hAnsi="宋体" w:eastAsia="宋体" w:cs="Times New Roman"/>
          <w:color w:val="auto"/>
          <w:sz w:val="21"/>
          <w:szCs w:val="21"/>
          <w:highlight w:val="none"/>
          <w:u w:val="single"/>
        </w:rPr>
        <w:t>按照通用条款</w:t>
      </w:r>
      <w:r>
        <w:rPr>
          <w:rFonts w:ascii="宋体" w:hAnsi="宋体" w:eastAsia="宋体" w:cs="Times New Roman"/>
          <w:color w:val="auto"/>
          <w:sz w:val="21"/>
          <w:szCs w:val="21"/>
          <w:highlight w:val="none"/>
        </w:rPr>
        <w:t>。</w:t>
      </w:r>
    </w:p>
    <w:p w14:paraId="6076CA21">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施工现场需要配备的试验设备：</w:t>
      </w:r>
      <w:r>
        <w:rPr>
          <w:rFonts w:hint="eastAsia" w:ascii="宋体" w:hAnsi="宋体" w:eastAsia="宋体" w:cs="Times New Roman"/>
          <w:color w:val="auto"/>
          <w:sz w:val="21"/>
          <w:szCs w:val="21"/>
          <w:highlight w:val="none"/>
          <w:u w:val="single"/>
        </w:rPr>
        <w:t>按照通用条款</w:t>
      </w:r>
      <w:r>
        <w:rPr>
          <w:rFonts w:hint="eastAsia" w:ascii="宋体" w:hAnsi="宋体" w:eastAsia="宋体" w:cs="Times New Roman"/>
          <w:color w:val="auto"/>
          <w:sz w:val="21"/>
          <w:szCs w:val="21"/>
          <w:highlight w:val="none"/>
        </w:rPr>
        <w:t>。</w:t>
      </w:r>
    </w:p>
    <w:p w14:paraId="3C98D456">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施工现场需要具备的其他试验条件：</w:t>
      </w:r>
      <w:r>
        <w:rPr>
          <w:rFonts w:hint="eastAsia" w:ascii="宋体" w:hAnsi="宋体" w:eastAsia="宋体" w:cs="Times New Roman"/>
          <w:color w:val="auto"/>
          <w:sz w:val="21"/>
          <w:szCs w:val="21"/>
          <w:highlight w:val="none"/>
          <w:u w:val="single"/>
        </w:rPr>
        <w:t>按照通用条款</w:t>
      </w:r>
      <w:r>
        <w:rPr>
          <w:rFonts w:ascii="宋体" w:hAnsi="宋体" w:eastAsia="宋体" w:cs="Times New Roman"/>
          <w:color w:val="auto"/>
          <w:sz w:val="21"/>
          <w:szCs w:val="21"/>
          <w:highlight w:val="none"/>
        </w:rPr>
        <w:t>。</w:t>
      </w:r>
    </w:p>
    <w:p w14:paraId="2146AE61">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 xml:space="preserve">9.4 现场工艺试验 </w:t>
      </w:r>
    </w:p>
    <w:p w14:paraId="76F1D694">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现场工艺试验的有关约定：</w:t>
      </w:r>
      <w:r>
        <w:rPr>
          <w:rFonts w:hint="eastAsia" w:ascii="宋体" w:hAnsi="宋体" w:eastAsia="宋体" w:cs="Times New Roman"/>
          <w:color w:val="auto"/>
          <w:sz w:val="21"/>
          <w:szCs w:val="21"/>
          <w:highlight w:val="none"/>
          <w:u w:val="single"/>
        </w:rPr>
        <w:t>按照通用条款</w:t>
      </w:r>
      <w:r>
        <w:rPr>
          <w:rFonts w:ascii="宋体" w:hAnsi="宋体" w:eastAsia="宋体" w:cs="Times New Roman"/>
          <w:color w:val="auto"/>
          <w:sz w:val="21"/>
          <w:szCs w:val="21"/>
          <w:highlight w:val="none"/>
        </w:rPr>
        <w:t>。</w:t>
      </w:r>
    </w:p>
    <w:p w14:paraId="696FA8D7">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5.3 隐蔽工程检查</w:t>
      </w:r>
    </w:p>
    <w:p w14:paraId="6B1CF900">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5.3.2 承包人提前通知监理人隐蔽工程检查的期限的约定：</w:t>
      </w:r>
      <w:r>
        <w:rPr>
          <w:rFonts w:ascii="宋体" w:hAnsi="宋体" w:eastAsia="宋体" w:cs="Times New Roman"/>
          <w:color w:val="auto"/>
          <w:sz w:val="21"/>
          <w:szCs w:val="21"/>
          <w:highlight w:val="none"/>
          <w:u w:val="single"/>
        </w:rPr>
        <w:t xml:space="preserve">  按监理交底执行  </w:t>
      </w:r>
      <w:r>
        <w:rPr>
          <w:rFonts w:ascii="宋体" w:hAnsi="宋体" w:eastAsia="宋体" w:cs="Times New Roman"/>
          <w:color w:val="auto"/>
          <w:sz w:val="21"/>
          <w:szCs w:val="21"/>
          <w:highlight w:val="none"/>
        </w:rPr>
        <w:t>。</w:t>
      </w:r>
    </w:p>
    <w:p w14:paraId="20AB5FC5">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监理人不能按时进行检查时，应提前</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小时提交书面延期要求。</w:t>
      </w:r>
    </w:p>
    <w:p w14:paraId="74D2ACE8">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关于延期最长不得超过：</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小时。</w:t>
      </w:r>
    </w:p>
    <w:p w14:paraId="287EE035">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10. 变更</w:t>
      </w:r>
    </w:p>
    <w:p w14:paraId="376D6932">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10.1 变更的范围</w:t>
      </w:r>
    </w:p>
    <w:p w14:paraId="16AAECE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关于变更的范围的约定：</w:t>
      </w:r>
      <w:r>
        <w:rPr>
          <w:rFonts w:hint="eastAsia" w:ascii="宋体" w:hAnsi="宋体" w:eastAsia="宋体" w:cs="Times New Roman"/>
          <w:color w:val="auto"/>
          <w:sz w:val="21"/>
          <w:szCs w:val="21"/>
          <w:highlight w:val="none"/>
          <w:u w:val="single"/>
        </w:rPr>
        <w:t>（1）增加或减少合同中任何工作，或追加额外的工作；（2）取消合同中任何工作，但转由他人实施的工作除外；（3）改变合同中任何工作的质量标准或其他特性；（4）改变工程的基线、标高、位置和尺寸；（5）改变工程的时间安排或实施顺序</w:t>
      </w:r>
      <w:r>
        <w:rPr>
          <w:rFonts w:ascii="宋体" w:hAnsi="宋体" w:eastAsia="宋体" w:cs="Times New Roman"/>
          <w:color w:val="auto"/>
          <w:sz w:val="21"/>
          <w:szCs w:val="21"/>
          <w:highlight w:val="none"/>
        </w:rPr>
        <w:t>。</w:t>
      </w:r>
    </w:p>
    <w:p w14:paraId="4D7F089A">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10.4 变更估价</w:t>
      </w:r>
    </w:p>
    <w:p w14:paraId="0F28DEF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10.4.1 变更估价原则</w:t>
      </w:r>
    </w:p>
    <w:p w14:paraId="0E5804CC">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关于变更估价的约定：</w:t>
      </w:r>
    </w:p>
    <w:p w14:paraId="1D71ECDC">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1) 工程变更签证的资料要求。属于工程变更（含设计变更和合同外增加工程等）的签证工程，必须同时提供程序完善的工程业务联系单、签证单（有需要须附上竣工图及验收单），如承包人原因造成资料不全，工程结算时不得补充资料，则工程造价增加的视为承包人放弃此项权利，工程造价减少的按实结算扣除。</w:t>
      </w:r>
    </w:p>
    <w:p w14:paraId="4365A305">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2) 签证的时限要求。施工中发生的应由发包人承担责任的设计变更及其他变更，承包人应在发生后 3 天内办理好签证手续报监理单位和发包人签证认可。</w:t>
      </w:r>
    </w:p>
    <w:p w14:paraId="0D4A56D3">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3) 由于承包人原因导致的工程变更，承包人无权要求签证赔偿。</w:t>
      </w:r>
    </w:p>
    <w:p w14:paraId="6E50E619">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4) 签证单的签证程序必须严格按照发包人规定执行，否则，视为无效签证单。无效签证单发包人不予承认，责任由承包人自负。</w:t>
      </w:r>
    </w:p>
    <w:p w14:paraId="03CF93DC">
      <w:pPr>
        <w:tabs>
          <w:tab w:val="left" w:pos="900"/>
        </w:tabs>
        <w:spacing w:line="400" w:lineRule="exact"/>
        <w:ind w:firstLine="411"/>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5) 若发包人有明确的工作指令，承包人不应以工程签证未办理完成为借口，延误工作进展。</w:t>
      </w:r>
    </w:p>
    <w:p w14:paraId="6923A2F9">
      <w:pPr>
        <w:spacing w:line="400" w:lineRule="exact"/>
        <w:ind w:firstLine="420"/>
        <w:rPr>
          <w:rFonts w:ascii="宋体" w:hAnsi="宋体" w:eastAsia="宋体" w:cs="Times New Roman"/>
          <w:bCs/>
          <w:color w:val="auto"/>
          <w:sz w:val="21"/>
          <w:szCs w:val="21"/>
          <w:highlight w:val="none"/>
        </w:rPr>
      </w:pPr>
      <w:r>
        <w:rPr>
          <w:rFonts w:ascii="宋体" w:hAnsi="宋体" w:eastAsia="宋体" w:cs="Times New Roman"/>
          <w:color w:val="auto"/>
          <w:sz w:val="21"/>
          <w:szCs w:val="21"/>
          <w:highlight w:val="none"/>
          <w:u w:val="single"/>
        </w:rPr>
        <w:t>关于变更估价的约定</w:t>
      </w:r>
      <w:r>
        <w:rPr>
          <w:rFonts w:hint="eastAsia" w:ascii="宋体" w:hAnsi="宋体" w:eastAsia="宋体" w:cs="Times New Roman"/>
          <w:color w:val="auto"/>
          <w:sz w:val="21"/>
          <w:szCs w:val="21"/>
          <w:highlight w:val="none"/>
          <w:u w:val="single"/>
        </w:rPr>
        <w:t>：</w:t>
      </w:r>
      <w:r>
        <w:rPr>
          <w:rFonts w:ascii="宋体" w:hAnsi="宋体" w:eastAsia="宋体" w:cs="Times New Roman"/>
          <w:color w:val="auto"/>
          <w:sz w:val="21"/>
          <w:szCs w:val="21"/>
          <w:highlight w:val="none"/>
          <w:u w:val="single"/>
        </w:rPr>
        <w:t>承包人必须无条件服从发包人对工程的设计变更，不得以因发包人设计变更减少了工程利润为由要挟发包人追加其它费用。设计变更</w:t>
      </w:r>
      <w:r>
        <w:rPr>
          <w:rFonts w:ascii="宋体" w:hAnsi="宋体" w:eastAsia="宋体" w:cs="Times New Roman"/>
          <w:bCs/>
          <w:color w:val="auto"/>
          <w:sz w:val="21"/>
          <w:szCs w:val="21"/>
          <w:highlight w:val="none"/>
          <w:u w:val="single"/>
        </w:rPr>
        <w:t>按发包人书面签证确认为准</w:t>
      </w:r>
      <w:r>
        <w:rPr>
          <w:rFonts w:ascii="宋体" w:hAnsi="宋体" w:eastAsia="宋体" w:cs="Times New Roman"/>
          <w:bCs/>
          <w:color w:val="auto"/>
          <w:sz w:val="21"/>
          <w:szCs w:val="21"/>
          <w:highlight w:val="none"/>
        </w:rPr>
        <w:t>。</w:t>
      </w:r>
    </w:p>
    <w:p w14:paraId="5099BF71">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p>
    <w:p w14:paraId="2C943134">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10.5 承包人的合理化建议</w:t>
      </w:r>
    </w:p>
    <w:p w14:paraId="1E2CB7A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监理人审查承包人合理化建议的期限：</w:t>
      </w:r>
      <w:r>
        <w:rPr>
          <w:rFonts w:ascii="宋体" w:hAnsi="宋体" w:eastAsia="宋体" w:cs="Times New Roman"/>
          <w:color w:val="auto"/>
          <w:sz w:val="21"/>
          <w:szCs w:val="21"/>
          <w:highlight w:val="none"/>
          <w:u w:val="single"/>
        </w:rPr>
        <w:t xml:space="preserve"> 3 </w:t>
      </w:r>
      <w:r>
        <w:rPr>
          <w:rFonts w:ascii="宋体" w:hAnsi="宋体" w:eastAsia="宋体" w:cs="Times New Roman"/>
          <w:color w:val="auto"/>
          <w:sz w:val="21"/>
          <w:szCs w:val="21"/>
          <w:highlight w:val="none"/>
        </w:rPr>
        <w:t>天。</w:t>
      </w:r>
    </w:p>
    <w:p w14:paraId="59054DD2">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发包人审批承包人合理化建议的期限：</w:t>
      </w:r>
      <w:r>
        <w:rPr>
          <w:rFonts w:ascii="宋体" w:hAnsi="宋体" w:eastAsia="宋体" w:cs="Times New Roman"/>
          <w:color w:val="auto"/>
          <w:sz w:val="21"/>
          <w:szCs w:val="21"/>
          <w:highlight w:val="none"/>
          <w:u w:val="single"/>
        </w:rPr>
        <w:t xml:space="preserve"> 3 </w:t>
      </w:r>
      <w:r>
        <w:rPr>
          <w:rFonts w:ascii="宋体" w:hAnsi="宋体" w:eastAsia="宋体" w:cs="Times New Roman"/>
          <w:color w:val="auto"/>
          <w:sz w:val="21"/>
          <w:szCs w:val="21"/>
          <w:highlight w:val="none"/>
        </w:rPr>
        <w:t>天。</w:t>
      </w:r>
    </w:p>
    <w:p w14:paraId="700D9E1D">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承包人提出的合理化建议降低了合同价格或者提高了工程经济效益的奖励的方法和金额为：</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6072FB23">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10.7 暂估价</w:t>
      </w:r>
    </w:p>
    <w:p w14:paraId="4EA20EB8">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暂估价材料和工程设备的明细详见附件11：《暂估价一览表》。</w:t>
      </w:r>
    </w:p>
    <w:p w14:paraId="3FD56EC8">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10.7.1 依法必须招标的暂估价项目</w:t>
      </w:r>
    </w:p>
    <w:p w14:paraId="7CBF0A8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对于依法必须招标的暂估价项目的确认和批准采取第</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种方式确定。（由招标人选用，并明确暂估价材料、专业工程暂估价的结算方法）</w:t>
      </w:r>
    </w:p>
    <w:p w14:paraId="07F15F1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10.7.2 不属于依法必须招标的暂估价项目</w:t>
      </w:r>
    </w:p>
    <w:p w14:paraId="0EAFC54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对于不属于依法必须招标的暂估价项目的确认和批准采取第</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种方式确定。</w:t>
      </w:r>
    </w:p>
    <w:p w14:paraId="36AD2E1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第3种方式：承包人直接实施的暂估价项目</w:t>
      </w:r>
    </w:p>
    <w:p w14:paraId="3BFEC3B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承包人直接实施的暂估价项目的约定：</w:t>
      </w:r>
      <w:r>
        <w:rPr>
          <w:rFonts w:ascii="宋体" w:hAnsi="宋体" w:eastAsia="宋体" w:cs="Times New Roman"/>
          <w:color w:val="auto"/>
          <w:sz w:val="21"/>
          <w:szCs w:val="21"/>
          <w:highlight w:val="none"/>
          <w:u w:val="single"/>
        </w:rPr>
        <w:t>与本工程合同条件一致</w:t>
      </w:r>
      <w:r>
        <w:rPr>
          <w:rFonts w:ascii="宋体" w:hAnsi="宋体" w:eastAsia="宋体" w:cs="Times New Roman"/>
          <w:color w:val="auto"/>
          <w:sz w:val="21"/>
          <w:szCs w:val="21"/>
          <w:highlight w:val="none"/>
        </w:rPr>
        <w:t>。</w:t>
      </w:r>
    </w:p>
    <w:p w14:paraId="00ADF79F">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10.8 暂列金额</w:t>
      </w:r>
    </w:p>
    <w:p w14:paraId="16A59040">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合同当事人关于暂列金额使用的约定：</w:t>
      </w:r>
      <w:r>
        <w:rPr>
          <w:rFonts w:hint="eastAsia" w:ascii="宋体" w:hAnsi="宋体" w:eastAsia="宋体" w:cs="Times New Roman"/>
          <w:color w:val="auto"/>
          <w:sz w:val="21"/>
          <w:szCs w:val="21"/>
          <w:highlight w:val="none"/>
          <w:u w:val="single"/>
        </w:rPr>
        <w:t>用于工程合同签订时尚未确定或者不可预见的所需材料、工程设备、服务的采购，施工中可能发生的工程变更、合同约定调整因素出现时的合同价格调整以及发生的索赔、现场签证确认等的费用</w:t>
      </w:r>
      <w:r>
        <w:rPr>
          <w:rFonts w:ascii="宋体" w:hAnsi="宋体" w:eastAsia="宋体" w:cs="Times New Roman"/>
          <w:color w:val="auto"/>
          <w:sz w:val="21"/>
          <w:szCs w:val="21"/>
          <w:highlight w:val="none"/>
        </w:rPr>
        <w:t>。</w:t>
      </w:r>
    </w:p>
    <w:p w14:paraId="58E09C2B">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11. 价格调整</w:t>
      </w:r>
    </w:p>
    <w:p w14:paraId="5ACF6B65">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11.1 市场价格波动引起的调整</w:t>
      </w:r>
    </w:p>
    <w:p w14:paraId="2E50CFCE">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市场价格波动是否调整合同价格的约定：</w:t>
      </w:r>
      <w:r>
        <w:rPr>
          <w:rFonts w:ascii="宋体" w:hAnsi="宋体" w:eastAsia="宋体" w:cs="Times New Roman"/>
          <w:color w:val="auto"/>
          <w:sz w:val="21"/>
          <w:szCs w:val="21"/>
          <w:highlight w:val="none"/>
          <w:u w:val="single"/>
        </w:rPr>
        <w:t>不调整</w:t>
      </w:r>
      <w:r>
        <w:rPr>
          <w:rFonts w:ascii="宋体" w:hAnsi="宋体" w:eastAsia="宋体" w:cs="Times New Roman"/>
          <w:color w:val="auto"/>
          <w:sz w:val="21"/>
          <w:szCs w:val="21"/>
          <w:highlight w:val="none"/>
        </w:rPr>
        <w:t>。</w:t>
      </w:r>
    </w:p>
    <w:p w14:paraId="76B364DB">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因市场价格波动调整合同价格，采用以下第</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种方式对合同价格进行调整：</w:t>
      </w:r>
    </w:p>
    <w:p w14:paraId="36B0BDCC">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第1种方式：采用价格指数进行价格调整。</w:t>
      </w:r>
    </w:p>
    <w:p w14:paraId="2F06EF72">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关于各可调因子、定值和变值权重，以及基本价格指数及其来源的约定：</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61FD024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第2种方式：采用造价信息进行价格调整。</w:t>
      </w:r>
    </w:p>
    <w:p w14:paraId="5657039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（2）关于基准价格的约定：</w:t>
      </w:r>
      <w:r>
        <w:rPr>
          <w:rFonts w:hint="eastAsia" w:ascii="宋体" w:hAnsi="宋体" w:eastAsia="宋体" w:cs="Times New Roman"/>
          <w:color w:val="auto"/>
          <w:sz w:val="21"/>
          <w:szCs w:val="21"/>
          <w:highlight w:val="none"/>
          <w:u w:val="single"/>
        </w:rPr>
        <w:t>/</w:t>
      </w:r>
      <w:r>
        <w:rPr>
          <w:rFonts w:ascii="宋体" w:hAnsi="宋体" w:eastAsia="宋体" w:cs="Times New Roman"/>
          <w:color w:val="auto"/>
          <w:sz w:val="21"/>
          <w:szCs w:val="21"/>
          <w:highlight w:val="none"/>
        </w:rPr>
        <w:t>。</w:t>
      </w:r>
    </w:p>
    <w:p w14:paraId="7A6B2F2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专用合同条款</w:t>
      </w:r>
      <w:r>
        <w:rPr>
          <w:rFonts w:hint="eastAsia" w:ascii="宋体" w:hAnsi="宋体" w:eastAsia="宋体" w:cs="宋体"/>
          <w:color w:val="auto"/>
          <w:sz w:val="21"/>
          <w:szCs w:val="21"/>
          <w:highlight w:val="none"/>
        </w:rPr>
        <w:t>①</w:t>
      </w:r>
      <w:r>
        <w:rPr>
          <w:rFonts w:ascii="宋体" w:hAnsi="宋体" w:eastAsia="宋体" w:cs="Times New Roman"/>
          <w:color w:val="auto"/>
          <w:sz w:val="21"/>
          <w:szCs w:val="21"/>
          <w:highlight w:val="none"/>
        </w:rPr>
        <w:t>承包人在已标价工程量清单或预算书中载明的材料单价低于基准价格的：专用合同条款合同履行期间材料单价涨幅以基准价格为基础超过</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%时，或材料单价跌幅以已标价工程量清单或预算书中载明材料单价为基础超过</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%时，其超过部分据实调整。</w:t>
      </w:r>
    </w:p>
    <w:p w14:paraId="08B84094">
      <w:pPr>
        <w:spacing w:line="400" w:lineRule="exact"/>
        <w:ind w:firstLine="420"/>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②</w:t>
      </w:r>
      <w:r>
        <w:rPr>
          <w:rFonts w:ascii="宋体" w:hAnsi="宋体" w:eastAsia="宋体" w:cs="Times New Roman"/>
          <w:color w:val="auto"/>
          <w:sz w:val="21"/>
          <w:szCs w:val="21"/>
          <w:highlight w:val="none"/>
        </w:rPr>
        <w:t>承包人在已标价工程量清单或预算书中载明的材料单价高于基准价格的：专用合同条款合同履行期间材料单价跌幅以基准价格为基础超过</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%时，材料单价涨幅以已标价工程量清单或预算书中载明材料单价为基础超过</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%时，其超过部分据实调整。</w:t>
      </w:r>
    </w:p>
    <w:p w14:paraId="5E8C57E8">
      <w:pPr>
        <w:spacing w:line="400" w:lineRule="exact"/>
        <w:ind w:firstLine="420"/>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③</w:t>
      </w:r>
      <w:r>
        <w:rPr>
          <w:rFonts w:ascii="宋体" w:hAnsi="宋体" w:eastAsia="宋体" w:cs="Times New Roman"/>
          <w:color w:val="auto"/>
          <w:sz w:val="21"/>
          <w:szCs w:val="21"/>
          <w:highlight w:val="none"/>
        </w:rPr>
        <w:t>承包人在已标价工程量清单或预算书中载明的材料单价等于基准单价的：专用合同条款合同履行期间材料单价涨跌幅以基准单价为基础超过±</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%时，其超过部分据实调整。</w:t>
      </w:r>
    </w:p>
    <w:p w14:paraId="5BD2AF3F">
      <w:pPr>
        <w:tabs>
          <w:tab w:val="left" w:pos="790"/>
        </w:tabs>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第3种方式：其他价格调整方式：</w:t>
      </w:r>
      <w:r>
        <w:rPr>
          <w:rFonts w:ascii="宋体" w:hAnsi="宋体" w:eastAsia="宋体" w:cs="Times New Roman"/>
          <w:color w:val="auto"/>
          <w:sz w:val="21"/>
          <w:szCs w:val="21"/>
          <w:highlight w:val="none"/>
          <w:u w:val="single"/>
        </w:rPr>
        <w:t xml:space="preserve">   /   </w:t>
      </w:r>
    </w:p>
    <w:p w14:paraId="6B0BBAAB">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12. 合同价格、计量与支付</w:t>
      </w:r>
    </w:p>
    <w:p w14:paraId="5068B617">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12.1 合同价格形式</w:t>
      </w:r>
    </w:p>
    <w:p w14:paraId="743F9708">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1、单价合同。</w:t>
      </w:r>
    </w:p>
    <w:p w14:paraId="7406820B">
      <w:pPr>
        <w:spacing w:line="400" w:lineRule="exact"/>
        <w:ind w:firstLine="422"/>
        <w:rPr>
          <w:rFonts w:hint="eastAsia" w:ascii="宋体" w:hAnsi="宋体" w:eastAsia="宋体" w:cs="Times New Roman"/>
          <w:b/>
          <w:bCs/>
          <w:color w:val="auto"/>
          <w:sz w:val="21"/>
          <w:szCs w:val="21"/>
          <w:highlight w:val="none"/>
          <w:u w:val="single"/>
        </w:rPr>
      </w:pPr>
      <w:r>
        <w:rPr>
          <w:rFonts w:ascii="宋体" w:hAnsi="宋体" w:eastAsia="宋体" w:cs="Times New Roman"/>
          <w:b/>
          <w:bCs/>
          <w:color w:val="auto"/>
          <w:sz w:val="21"/>
          <w:szCs w:val="21"/>
          <w:highlight w:val="none"/>
        </w:rPr>
        <w:t>固定单价包含的风险范围：</w:t>
      </w:r>
      <w:r>
        <w:rPr>
          <w:rFonts w:ascii="宋体" w:hAnsi="宋体" w:eastAsia="宋体" w:cs="Times New Roman"/>
          <w:b/>
          <w:bCs/>
          <w:color w:val="auto"/>
          <w:sz w:val="21"/>
          <w:szCs w:val="21"/>
          <w:highlight w:val="none"/>
          <w:u w:val="single"/>
        </w:rPr>
        <w:t>施工期间各类建材的价格风险；国家政策性调整风险系数；发包人对工期、质量等的要求。</w:t>
      </w:r>
    </w:p>
    <w:p w14:paraId="40BBBB08">
      <w:pPr>
        <w:spacing w:line="400" w:lineRule="exact"/>
        <w:ind w:firstLine="42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风险费用的计算方法：</w:t>
      </w:r>
      <w:r>
        <w:rPr>
          <w:rFonts w:hint="eastAsia" w:ascii="宋体" w:hAnsi="宋体" w:eastAsia="宋体" w:cs="Times New Roman"/>
          <w:color w:val="auto"/>
          <w:sz w:val="21"/>
          <w:szCs w:val="21"/>
          <w:highlight w:val="none"/>
          <w:u w:val="single"/>
        </w:rPr>
        <w:t>按招标文件约定</w:t>
      </w:r>
      <w:r>
        <w:rPr>
          <w:rFonts w:hint="eastAsia" w:ascii="宋体" w:hAnsi="宋体" w:eastAsia="宋体" w:cs="Times New Roman"/>
          <w:color w:val="auto"/>
          <w:sz w:val="21"/>
          <w:szCs w:val="21"/>
          <w:highlight w:val="none"/>
        </w:rPr>
        <w:t>。</w:t>
      </w:r>
    </w:p>
    <w:p w14:paraId="1EFAAAC6">
      <w:pPr>
        <w:spacing w:line="400" w:lineRule="exact"/>
        <w:ind w:firstLine="42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风险范围以外合同价格的调整方法：</w:t>
      </w:r>
    </w:p>
    <w:p w14:paraId="1A694465">
      <w:pPr>
        <w:spacing w:line="400" w:lineRule="exact"/>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双方约定执行。</w:t>
      </w:r>
    </w:p>
    <w:p w14:paraId="4DEBE994">
      <w:pPr>
        <w:spacing w:line="400" w:lineRule="exact"/>
        <w:ind w:firstLine="420"/>
        <w:rPr>
          <w:rFonts w:ascii="宋体" w:hAnsi="宋体" w:eastAsia="宋体" w:cs="Times New Roman"/>
          <w:b/>
          <w:bCs/>
          <w:color w:val="auto"/>
          <w:sz w:val="21"/>
          <w:szCs w:val="21"/>
          <w:highlight w:val="none"/>
        </w:rPr>
      </w:pPr>
      <w:r>
        <w:rPr>
          <w:rFonts w:ascii="宋体" w:hAnsi="宋体" w:eastAsia="宋体" w:cs="Times New Roman"/>
          <w:color w:val="auto"/>
          <w:sz w:val="21"/>
          <w:szCs w:val="21"/>
          <w:highlight w:val="none"/>
        </w:rPr>
        <w:t>（1）本工程采用“</w:t>
      </w:r>
      <w:r>
        <w:rPr>
          <w:rFonts w:ascii="宋体" w:hAnsi="宋体" w:eastAsia="宋体" w:cs="Times New Roman"/>
          <w:b/>
          <w:color w:val="auto"/>
          <w:sz w:val="21"/>
          <w:szCs w:val="21"/>
          <w:highlight w:val="none"/>
        </w:rPr>
        <w:t>固定单价</w:t>
      </w:r>
      <w:r>
        <w:rPr>
          <w:rFonts w:ascii="宋体" w:hAnsi="宋体" w:eastAsia="宋体" w:cs="Times New Roman"/>
          <w:color w:val="auto"/>
          <w:sz w:val="21"/>
          <w:szCs w:val="21"/>
          <w:highlight w:val="none"/>
        </w:rPr>
        <w:t>”合同，</w:t>
      </w:r>
      <w:r>
        <w:rPr>
          <w:rFonts w:ascii="宋体" w:hAnsi="宋体" w:eastAsia="宋体" w:cs="Times New Roman"/>
          <w:b/>
          <w:bCs/>
          <w:color w:val="auto"/>
          <w:sz w:val="21"/>
          <w:szCs w:val="21"/>
          <w:highlight w:val="none"/>
        </w:rPr>
        <w:t>合同实施过程中除招标文件和合同约定允许调整外，其余的综合单价不作调整。</w:t>
      </w:r>
    </w:p>
    <w:p w14:paraId="29E309A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（2）工程结算方式为：</w:t>
      </w:r>
    </w:p>
    <w:p w14:paraId="25B2B3CB">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工程程竣工结算价=分部分项工程费用（实际数量*中标综合单价）+措施项目费用+其他项目费用+规费+税金+招标文件和合同约定可以调整的价格。</w:t>
      </w:r>
    </w:p>
    <w:p w14:paraId="3A24421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上式中招标文件及合同约定调整的价格包括但不限于以下情况：</w:t>
      </w:r>
    </w:p>
    <w:p w14:paraId="344D899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由于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p>
    <w:p w14:paraId="61AE34A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2）招标人签证使用的暂列金额、专业工程实际发包价。</w:t>
      </w:r>
    </w:p>
    <w:p w14:paraId="48A822E1">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3）经招标人认可的《专业工程暂估价及结算价表》（如有）中的材料价格调整。</w:t>
      </w:r>
    </w:p>
    <w:p w14:paraId="40F6E4FB">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4）非承包人原因的工程变更，造成增加新的工程量清单项目，其相应综合单价由中标人按招标文件约定的计价程序提出综合单价，经招标人确认后参照中标下浮率同比下浮后进行结算。</w:t>
      </w:r>
    </w:p>
    <w:p w14:paraId="08D0BAF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中标下浮率计算公式如下：</w:t>
      </w:r>
    </w:p>
    <w:p w14:paraId="6DF29C0C">
      <w:pPr>
        <w:spacing w:line="400" w:lineRule="exact"/>
        <w:ind w:firstLine="420"/>
        <w:rPr>
          <w:rFonts w:ascii="宋体" w:hAnsi="宋体" w:eastAsia="宋体" w:cs="Times New Roman"/>
          <w:color w:val="auto"/>
          <w:sz w:val="21"/>
          <w:szCs w:val="21"/>
          <w:highlight w:val="none"/>
        </w:rPr>
      </w:pPr>
    </w:p>
    <w:p w14:paraId="4A472DD8">
      <w:pPr>
        <w:spacing w:line="400" w:lineRule="exact"/>
        <w:ind w:firstLine="2205"/>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投标报价（扣除预算价中暂列金额、材料暂估价总价、</w:t>
      </w:r>
    </w:p>
    <w:p w14:paraId="4A26381E">
      <w:pPr>
        <w:spacing w:line="400" w:lineRule="exact"/>
        <w:ind w:firstLine="168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专业工程暂估价、发包人供应材料总价及其以上项目的规费和税金）</w:t>
      </w:r>
    </w:p>
    <w:p w14:paraId="55C7252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下浮率＝1－  ———————————————————————————  ×100%</w:t>
      </w:r>
    </w:p>
    <w:p w14:paraId="76100312">
      <w:pPr>
        <w:spacing w:line="400" w:lineRule="exact"/>
        <w:ind w:firstLine="2205"/>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预算价（扣除预算价中暂列金额、材料暂估价总价、</w:t>
      </w:r>
    </w:p>
    <w:p w14:paraId="417AD8B0">
      <w:pPr>
        <w:spacing w:line="400" w:lineRule="exact"/>
        <w:ind w:firstLine="168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专业工程暂估价、发包人供应材料总价及其以上项目的规费和税金）</w:t>
      </w:r>
    </w:p>
    <w:p w14:paraId="4D211DE9">
      <w:pPr>
        <w:spacing w:line="400" w:lineRule="exact"/>
        <w:ind w:firstLine="420"/>
        <w:rPr>
          <w:rFonts w:ascii="宋体" w:hAnsi="宋体" w:eastAsia="宋体" w:cs="Times New Roman"/>
          <w:color w:val="auto"/>
          <w:sz w:val="21"/>
          <w:szCs w:val="21"/>
          <w:highlight w:val="none"/>
        </w:rPr>
      </w:pPr>
    </w:p>
    <w:p w14:paraId="192EA658">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注：上式中暂估材料总价、发包人供应材料总价以招标人公布的为准。</w:t>
      </w:r>
    </w:p>
    <w:p w14:paraId="43F7F31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5）由于非中标人原因的工程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p>
    <w:p w14:paraId="346F6E2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以上关于合同定价与结算方式条款中未尽事宜由双方依据《建设工程工程量清单计价规范》（GB 50500-2013）以及相关配套文件中关于工程价款调整与结算的内容进行协商，并在合同中具体约定。</w:t>
      </w:r>
    </w:p>
    <w:p w14:paraId="69EB08A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（3）施工期间其余所有材料价格风险均由承包人承担，结算时发包人不再调整本工程其余所用材料的价格。</w:t>
      </w:r>
    </w:p>
    <w:p w14:paraId="32A37AE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（4）除因图纸设计变更、增加拆除项目时发包人予以现场签证外，不予调整。</w:t>
      </w:r>
    </w:p>
    <w:p w14:paraId="7941376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（5）竣工结算时，若承包人完成了发包人所要求的且为合同以外的零星工作，或发生非承包人责任事件的工程量，按现场实际完成的工程量经发包人签证确定。</w:t>
      </w:r>
    </w:p>
    <w:p w14:paraId="117CAA5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（6）工程竣工结算时，《其他项目清单与计价汇总表》中的暂列金额和暂估价均按发包人签证认可的价格执行，而且只调整此材料的价差和对应的规费及税金。</w:t>
      </w:r>
    </w:p>
    <w:p w14:paraId="37595002">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2、总价合同。</w:t>
      </w:r>
    </w:p>
    <w:p w14:paraId="120641B0">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总价包含的风险范围：</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315A1D57">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风险费用的计算方法：</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01F4315B">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风险范围以外合同价格的调整方法：</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65511070">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3、其他价格方式：</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2368EF8B">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12.2 预付款</w:t>
      </w:r>
    </w:p>
    <w:p w14:paraId="7C3136D3">
      <w:pPr>
        <w:spacing w:before="60" w:after="60" w:line="400" w:lineRule="exact"/>
        <w:ind w:firstLine="210"/>
        <w:outlineLvl w:val="3"/>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12.2.1 预付款的支付</w:t>
      </w:r>
    </w:p>
    <w:p w14:paraId="6F46719B">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预付款支付比例或金额：</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2CF04D0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预付款支付期限：</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7DF105BC">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预付款扣回的方式：</w:t>
      </w:r>
      <w:r>
        <w:rPr>
          <w:rFonts w:hint="eastAsia"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283A959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12.2.2 预付款担保</w:t>
      </w:r>
    </w:p>
    <w:p w14:paraId="1EAB62E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承包人提交预付款担保的期限：</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1DE6A71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预付款担保的形式为：</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7151E3E9">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12.3 计量</w:t>
      </w:r>
    </w:p>
    <w:p w14:paraId="6FE06DF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12.3.1 计量原则</w:t>
      </w:r>
    </w:p>
    <w:p w14:paraId="68672B54">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工程量计算规则：</w:t>
      </w:r>
      <w:r>
        <w:rPr>
          <w:rFonts w:ascii="宋体" w:hAnsi="宋体" w:eastAsia="宋体" w:cs="Times New Roman"/>
          <w:color w:val="auto"/>
          <w:sz w:val="21"/>
          <w:szCs w:val="21"/>
          <w:highlight w:val="none"/>
          <w:u w:val="single"/>
        </w:rPr>
        <w:t xml:space="preserve">  以相关的国家标准、行业标准为依据。</w:t>
      </w:r>
    </w:p>
    <w:p w14:paraId="1B03188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12.3.2 计量周期</w:t>
      </w:r>
    </w:p>
    <w:p w14:paraId="7D7230B2">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关于计量周期的约定：</w:t>
      </w:r>
      <w:r>
        <w:rPr>
          <w:rFonts w:hint="eastAsia" w:ascii="宋体" w:hAnsi="宋体" w:eastAsia="宋体" w:cs="Times New Roman"/>
          <w:color w:val="auto"/>
          <w:sz w:val="21"/>
          <w:szCs w:val="21"/>
          <w:highlight w:val="none"/>
          <w:u w:val="single"/>
        </w:rPr>
        <w:t>按通用条款执行</w:t>
      </w:r>
      <w:r>
        <w:rPr>
          <w:rFonts w:ascii="宋体" w:hAnsi="宋体" w:eastAsia="宋体" w:cs="Times New Roman"/>
          <w:color w:val="auto"/>
          <w:sz w:val="21"/>
          <w:szCs w:val="21"/>
          <w:highlight w:val="none"/>
        </w:rPr>
        <w:t>。</w:t>
      </w:r>
    </w:p>
    <w:p w14:paraId="3A58B58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12.3.3 单价合同的计量</w:t>
      </w:r>
    </w:p>
    <w:p w14:paraId="75EE6D7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关于单价合同计量的约定：</w:t>
      </w:r>
      <w:r>
        <w:rPr>
          <w:rFonts w:hint="eastAsia" w:ascii="宋体" w:hAnsi="宋体" w:eastAsia="宋体" w:cs="Times New Roman"/>
          <w:color w:val="auto"/>
          <w:sz w:val="21"/>
          <w:szCs w:val="21"/>
          <w:highlight w:val="none"/>
          <w:u w:val="single"/>
        </w:rPr>
        <w:t>按通用条款执行</w:t>
      </w:r>
      <w:r>
        <w:rPr>
          <w:rFonts w:ascii="宋体" w:hAnsi="宋体" w:eastAsia="宋体" w:cs="Times New Roman"/>
          <w:color w:val="auto"/>
          <w:sz w:val="21"/>
          <w:szCs w:val="21"/>
          <w:highlight w:val="none"/>
        </w:rPr>
        <w:t>。</w:t>
      </w:r>
    </w:p>
    <w:p w14:paraId="50415EB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12.3.4 总价合同的计量</w:t>
      </w:r>
    </w:p>
    <w:p w14:paraId="3DCF9F9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关于总价合同计量的约定：</w:t>
      </w:r>
      <w:r>
        <w:rPr>
          <w:rFonts w:hint="eastAsia" w:ascii="宋体" w:hAnsi="宋体" w:eastAsia="宋体" w:cs="Times New Roman"/>
          <w:color w:val="auto"/>
          <w:sz w:val="21"/>
          <w:szCs w:val="21"/>
          <w:highlight w:val="none"/>
          <w:u w:val="single"/>
        </w:rPr>
        <w:t>按通用条款执行</w:t>
      </w:r>
      <w:r>
        <w:rPr>
          <w:rFonts w:ascii="宋体" w:hAnsi="宋体" w:eastAsia="宋体" w:cs="Times New Roman"/>
          <w:color w:val="auto"/>
          <w:sz w:val="21"/>
          <w:szCs w:val="21"/>
          <w:highlight w:val="none"/>
        </w:rPr>
        <w:t>。</w:t>
      </w:r>
    </w:p>
    <w:p w14:paraId="68F9FEA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12.3.5总价合同采用支付分解表计量支付的，是否适用第12.3.4 项〔总价合同的计量〕约定进行计量：</w:t>
      </w:r>
      <w:r>
        <w:rPr>
          <w:rFonts w:hint="eastAsia" w:ascii="宋体" w:hAnsi="宋体" w:eastAsia="宋体" w:cs="Times New Roman"/>
          <w:color w:val="auto"/>
          <w:sz w:val="21"/>
          <w:szCs w:val="21"/>
          <w:highlight w:val="none"/>
          <w:u w:val="single"/>
        </w:rPr>
        <w:t>按通用条款执行</w:t>
      </w:r>
      <w:r>
        <w:rPr>
          <w:rFonts w:ascii="宋体" w:hAnsi="宋体" w:eastAsia="宋体" w:cs="Times New Roman"/>
          <w:color w:val="auto"/>
          <w:sz w:val="21"/>
          <w:szCs w:val="21"/>
          <w:highlight w:val="none"/>
        </w:rPr>
        <w:t>。</w:t>
      </w:r>
    </w:p>
    <w:p w14:paraId="2DA782D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12.3.6 其他价格形式合同的计量</w:t>
      </w:r>
    </w:p>
    <w:p w14:paraId="68FEE908">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其他价格形式的计量方式和程序：</w:t>
      </w:r>
      <w:r>
        <w:rPr>
          <w:rFonts w:hint="eastAsia" w:ascii="宋体" w:hAnsi="宋体" w:eastAsia="宋体" w:cs="Times New Roman"/>
          <w:color w:val="auto"/>
          <w:sz w:val="21"/>
          <w:szCs w:val="21"/>
          <w:highlight w:val="none"/>
          <w:u w:val="single"/>
        </w:rPr>
        <w:t>按通用条款执行</w:t>
      </w:r>
      <w:r>
        <w:rPr>
          <w:rFonts w:ascii="宋体" w:hAnsi="宋体" w:eastAsia="宋体" w:cs="Times New Roman"/>
          <w:color w:val="auto"/>
          <w:sz w:val="21"/>
          <w:szCs w:val="21"/>
          <w:highlight w:val="none"/>
        </w:rPr>
        <w:t>。</w:t>
      </w:r>
    </w:p>
    <w:p w14:paraId="593FE9E8">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12.4 工程进度款支付</w:t>
      </w:r>
    </w:p>
    <w:p w14:paraId="40D6C2A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12.4.1 付款周期</w:t>
      </w:r>
    </w:p>
    <w:p w14:paraId="5321AFAE">
      <w:pPr>
        <w:spacing w:line="400" w:lineRule="exact"/>
        <w:ind w:firstLine="42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p>
    <w:p w14:paraId="12487861">
      <w:pPr>
        <w:spacing w:line="400" w:lineRule="exact"/>
        <w:ind w:firstLine="42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（1）合同签订后10日内采购人向成交供应商预付10%的合同价款，供应商书面明确表示无需预付款或主动要求降低预付款比例的，由双方另行商定；</w:t>
      </w:r>
    </w:p>
    <w:p w14:paraId="6378E4EB">
      <w:pPr>
        <w:spacing w:line="400" w:lineRule="exact"/>
        <w:ind w:firstLine="42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（2）工程竣工验收合格后付至中标价的50%（包括以前支付）；</w:t>
      </w:r>
    </w:p>
    <w:p w14:paraId="4BA59D3F">
      <w:pPr>
        <w:spacing w:line="400" w:lineRule="exact"/>
        <w:ind w:firstLine="42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（3）工程竣工验收合格经审计后付至审计价的80%（包括以前支付）；</w:t>
      </w:r>
    </w:p>
    <w:p w14:paraId="2D82F649">
      <w:pPr>
        <w:spacing w:line="400" w:lineRule="exact"/>
        <w:ind w:firstLine="42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（4）工程竣工验收合格满一年按审计结论结清剩余工程款。</w:t>
      </w:r>
    </w:p>
    <w:p w14:paraId="2375C679">
      <w:pPr>
        <w:spacing w:line="400" w:lineRule="exact"/>
        <w:ind w:firstLine="420"/>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（5）按以上进度付款，无任何利息补偿。付款时，承包人须开具税务部门认可的税务发票。</w:t>
      </w:r>
    </w:p>
    <w:p w14:paraId="135C709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12.4.2 进度付款申请单的编制</w:t>
      </w:r>
    </w:p>
    <w:p w14:paraId="05B5F594">
      <w:pPr>
        <w:spacing w:line="400" w:lineRule="exact"/>
        <w:ind w:firstLine="420"/>
        <w:rPr>
          <w:rFonts w:ascii="Times New Roman" w:hAnsi="Times New Roman" w:eastAsia="宋体" w:cs="Times New Roman"/>
          <w:color w:val="auto"/>
          <w:sz w:val="21"/>
          <w:szCs w:val="21"/>
          <w:highlight w:val="none"/>
        </w:rPr>
      </w:pPr>
      <w:r>
        <w:rPr>
          <w:rFonts w:ascii="宋体" w:hAnsi="宋体" w:eastAsia="宋体" w:cs="Times New Roman"/>
          <w:color w:val="auto"/>
          <w:sz w:val="21"/>
          <w:szCs w:val="21"/>
          <w:highlight w:val="none"/>
        </w:rPr>
        <w:t>关于进度付款申请单编制的约定：</w:t>
      </w:r>
      <w:r>
        <w:rPr>
          <w:rFonts w:hint="eastAsia" w:ascii="宋体" w:hAnsi="宋体" w:eastAsia="宋体" w:cs="Times New Roman"/>
          <w:color w:val="auto"/>
          <w:sz w:val="21"/>
          <w:szCs w:val="21"/>
          <w:highlight w:val="none"/>
          <w:u w:val="single"/>
        </w:rPr>
        <w:t>按通用条款</w:t>
      </w:r>
      <w:r>
        <w:rPr>
          <w:rFonts w:ascii="宋体" w:hAnsi="宋体" w:eastAsia="宋体" w:cs="Times New Roman"/>
          <w:color w:val="auto"/>
          <w:sz w:val="21"/>
          <w:szCs w:val="21"/>
          <w:highlight w:val="none"/>
        </w:rPr>
        <w:t>。</w:t>
      </w:r>
    </w:p>
    <w:p w14:paraId="1179018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12.4.3 进度付款申请单的提交</w:t>
      </w:r>
    </w:p>
    <w:p w14:paraId="3DE55329">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（1）单价合同进度付款申请单提交的约定：</w:t>
      </w:r>
      <w:r>
        <w:rPr>
          <w:rFonts w:hint="eastAsia" w:ascii="宋体" w:hAnsi="宋体" w:eastAsia="宋体" w:cs="Times New Roman"/>
          <w:color w:val="auto"/>
          <w:sz w:val="21"/>
          <w:szCs w:val="21"/>
          <w:highlight w:val="none"/>
          <w:u w:val="single"/>
        </w:rPr>
        <w:t>按通用条款</w:t>
      </w:r>
      <w:r>
        <w:rPr>
          <w:rFonts w:ascii="宋体" w:hAnsi="宋体" w:eastAsia="宋体" w:cs="Times New Roman"/>
          <w:color w:val="auto"/>
          <w:sz w:val="21"/>
          <w:szCs w:val="21"/>
          <w:highlight w:val="none"/>
        </w:rPr>
        <w:t>。</w:t>
      </w:r>
    </w:p>
    <w:p w14:paraId="061B6D9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（2）总价合同进度付款申请单提交的约定：</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573A268B">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（3）其他价格形式合同进度付款申请单提交的约定：</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5101942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12.4.4 进度款审核和支付</w:t>
      </w:r>
    </w:p>
    <w:p w14:paraId="74DEC4B0">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（1）监理人审查并报送发包人的期限：</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25A06460">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发包人完成审批并签发进度款支付证书的期限：</w:t>
      </w:r>
      <w:r>
        <w:rPr>
          <w:rFonts w:ascii="宋体" w:hAnsi="宋体" w:eastAsia="宋体" w:cs="Times New Roman"/>
          <w:color w:val="auto"/>
          <w:sz w:val="21"/>
          <w:szCs w:val="21"/>
          <w:highlight w:val="none"/>
          <w:u w:val="single"/>
        </w:rPr>
        <w:t xml:space="preserve">       15天     </w:t>
      </w:r>
      <w:r>
        <w:rPr>
          <w:rFonts w:ascii="宋体" w:hAnsi="宋体" w:eastAsia="宋体" w:cs="Times New Roman"/>
          <w:color w:val="auto"/>
          <w:sz w:val="21"/>
          <w:szCs w:val="21"/>
          <w:highlight w:val="none"/>
        </w:rPr>
        <w:t>。</w:t>
      </w:r>
    </w:p>
    <w:p w14:paraId="0447DF6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（2）发包人支付进度款的期限：</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25DF1B66">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发包人逾期支付进度款的违约金的计算方式：</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60D0B33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12.4.6 支付分解表的编制</w:t>
      </w:r>
    </w:p>
    <w:p w14:paraId="6457FF17">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2、总价合同支付分解表的编制与审批：</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360551BC">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3、单价合同的总价项目支付分解表的编制与审批：</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6BC04429">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13. 验收和工程试车</w:t>
      </w:r>
    </w:p>
    <w:p w14:paraId="73C0EF09">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13.1 分部分项工程验收</w:t>
      </w:r>
    </w:p>
    <w:p w14:paraId="1C9EE606">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13.1.2监理人不能按时进行验收时，应提前</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小时提交书面延期要求。 </w:t>
      </w:r>
    </w:p>
    <w:p w14:paraId="15B5968A">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关于延期最长不得超过：</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小时。</w:t>
      </w:r>
    </w:p>
    <w:p w14:paraId="25918AC2">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13.2 竣工验收</w:t>
      </w:r>
    </w:p>
    <w:p w14:paraId="6CF5402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13.2.2竣工验收程序</w:t>
      </w:r>
    </w:p>
    <w:p w14:paraId="4A742201">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关于竣工验收程序的约定：</w:t>
      </w:r>
    </w:p>
    <w:p w14:paraId="4ABFA11C">
      <w:pPr>
        <w:spacing w:line="400" w:lineRule="exact"/>
        <w:ind w:firstLine="420"/>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具备竣工验收条件后先由施工单位进行自检自验，自验合格后报发包人和监理等单位竣工验收进行竣工验收。具体按住房城乡建设部关于印发《房屋建筑和市政基础设施工程竣工验收规定》执行</w:t>
      </w:r>
      <w:r>
        <w:rPr>
          <w:rFonts w:hint="eastAsia" w:ascii="宋体" w:hAnsi="宋体" w:eastAsia="宋体" w:cs="Times New Roman"/>
          <w:color w:val="auto"/>
          <w:sz w:val="21"/>
          <w:szCs w:val="21"/>
          <w:highlight w:val="none"/>
        </w:rPr>
        <w:t>。</w:t>
      </w:r>
    </w:p>
    <w:p w14:paraId="08108CAC">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发包人不按照本项约定组织竣工验收、颁发工程接收证书的违约金的计算方法：</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6185726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13.2.5移交、接收全部与部分工程</w:t>
      </w:r>
    </w:p>
    <w:p w14:paraId="081E01A7">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承包人向发包人移交工程的期限：</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47D73C65">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发包人未按本合同约定接收全部或部分工程的，违约金的计算方法为：</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68099110">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承包人未按时移交工程的，违约金的计算方法为：</w:t>
      </w:r>
      <w:r>
        <w:rPr>
          <w:rFonts w:ascii="宋体" w:hAnsi="宋体" w:eastAsia="宋体" w:cs="Times New Roman"/>
          <w:color w:val="auto"/>
          <w:sz w:val="21"/>
          <w:szCs w:val="21"/>
          <w:highlight w:val="none"/>
          <w:u w:val="single"/>
        </w:rPr>
        <w:t>按每拖延一天向招标人支付合同价千分之二的违约金</w:t>
      </w:r>
      <w:r>
        <w:rPr>
          <w:rFonts w:hint="eastAsia" w:ascii="宋体" w:hAnsi="宋体" w:eastAsia="宋体" w:cs="Times New Roman"/>
          <w:color w:val="auto"/>
          <w:sz w:val="21"/>
          <w:szCs w:val="21"/>
          <w:highlight w:val="none"/>
          <w:u w:val="single"/>
        </w:rPr>
        <w:t>，发包人有权进行对现场进行清理，由此发生的费用及给发包人造成的损失由承包人承担。承包人逾期移交工程，还应承担工程照管、成品保护、保管等与工程有关的各项费用和风险。</w:t>
      </w:r>
    </w:p>
    <w:p w14:paraId="3E444521">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13.3 工程试车</w:t>
      </w:r>
    </w:p>
    <w:p w14:paraId="73224828">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13.3.1 试车程序</w:t>
      </w:r>
    </w:p>
    <w:p w14:paraId="3C92A0A8">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工程试车内容：</w:t>
      </w:r>
      <w:r>
        <w:rPr>
          <w:rFonts w:ascii="宋体" w:hAnsi="宋体" w:eastAsia="宋体" w:cs="Times New Roman"/>
          <w:color w:val="auto"/>
          <w:sz w:val="21"/>
          <w:szCs w:val="21"/>
          <w:highlight w:val="none"/>
          <w:u w:val="single"/>
        </w:rPr>
        <w:t>不涉及</w:t>
      </w:r>
      <w:r>
        <w:rPr>
          <w:rFonts w:hint="eastAsia" w:ascii="宋体" w:hAnsi="宋体" w:eastAsia="宋体" w:cs="Times New Roman"/>
          <w:color w:val="auto"/>
          <w:sz w:val="21"/>
          <w:szCs w:val="21"/>
          <w:highlight w:val="none"/>
        </w:rPr>
        <w:t>。</w:t>
      </w:r>
    </w:p>
    <w:p w14:paraId="7EAFBFB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（1）单机无负荷试车费用由</w:t>
      </w:r>
      <w:r>
        <w:rPr>
          <w:rFonts w:ascii="宋体" w:hAnsi="宋体" w:eastAsia="宋体" w:cs="Times New Roman"/>
          <w:color w:val="auto"/>
          <w:sz w:val="21"/>
          <w:szCs w:val="21"/>
          <w:highlight w:val="none"/>
          <w:u w:val="single"/>
        </w:rPr>
        <w:t xml:space="preserve">    承包人    </w:t>
      </w:r>
      <w:r>
        <w:rPr>
          <w:rFonts w:ascii="宋体" w:hAnsi="宋体" w:eastAsia="宋体" w:cs="Times New Roman"/>
          <w:color w:val="auto"/>
          <w:sz w:val="21"/>
          <w:szCs w:val="21"/>
          <w:highlight w:val="none"/>
        </w:rPr>
        <w:t>承担；</w:t>
      </w:r>
    </w:p>
    <w:p w14:paraId="78970A6B">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（2）无负荷联动试车费用由</w:t>
      </w:r>
      <w:r>
        <w:rPr>
          <w:rFonts w:ascii="宋体" w:hAnsi="宋体" w:eastAsia="宋体" w:cs="Times New Roman"/>
          <w:color w:val="auto"/>
          <w:sz w:val="21"/>
          <w:szCs w:val="21"/>
          <w:highlight w:val="none"/>
          <w:u w:val="single"/>
        </w:rPr>
        <w:t xml:space="preserve">    承包人    </w:t>
      </w:r>
      <w:r>
        <w:rPr>
          <w:rFonts w:ascii="宋体" w:hAnsi="宋体" w:eastAsia="宋体" w:cs="Times New Roman"/>
          <w:color w:val="auto"/>
          <w:sz w:val="21"/>
          <w:szCs w:val="21"/>
          <w:highlight w:val="none"/>
        </w:rPr>
        <w:t>承担。</w:t>
      </w:r>
    </w:p>
    <w:p w14:paraId="4DE04E1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13.3.3 投料试车</w:t>
      </w:r>
    </w:p>
    <w:p w14:paraId="113B857E">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关于投料试车相关事项的约定：</w:t>
      </w:r>
      <w:r>
        <w:rPr>
          <w:rFonts w:ascii="宋体" w:hAnsi="宋体" w:eastAsia="宋体" w:cs="Times New Roman"/>
          <w:color w:val="auto"/>
          <w:sz w:val="21"/>
          <w:szCs w:val="21"/>
          <w:highlight w:val="none"/>
          <w:u w:val="single"/>
        </w:rPr>
        <w:t xml:space="preserve">    本工程不涉及投料试车。   </w:t>
      </w:r>
    </w:p>
    <w:p w14:paraId="53FE1047">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13.6 竣工退场</w:t>
      </w:r>
    </w:p>
    <w:p w14:paraId="5B7DAFF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13.6.1 竣工退场</w:t>
      </w:r>
    </w:p>
    <w:p w14:paraId="2F1FC23D">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承包人完成竣工退场的期限：</w:t>
      </w:r>
    </w:p>
    <w:p w14:paraId="387B023B">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1）工程竣工验收前，承包人应完成场地清理（包括建筑物周围的堆积物及红线内的和生活设施的拆除），并将场地清扫干净。</w:t>
      </w:r>
    </w:p>
    <w:p w14:paraId="4C0843F5">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p>
    <w:p w14:paraId="6921C5A7">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u w:val="single"/>
        </w:rPr>
        <w:t>3）工程移交发包人之前，承包人负责维护。如发包人提前使用，由此造成的损坏所需的维修费用由发包人承担。</w:t>
      </w:r>
    </w:p>
    <w:p w14:paraId="76A03716">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14. 竣工结算</w:t>
      </w:r>
    </w:p>
    <w:p w14:paraId="3D1D57A2">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14.1 竣工结算申请</w:t>
      </w:r>
    </w:p>
    <w:p w14:paraId="0399E013">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承包人提交竣工付款申请单的期限：</w:t>
      </w:r>
      <w:r>
        <w:rPr>
          <w:rFonts w:hint="eastAsia" w:ascii="宋体" w:hAnsi="宋体" w:eastAsia="宋体" w:cs="Times New Roman"/>
          <w:color w:val="auto"/>
          <w:sz w:val="21"/>
          <w:szCs w:val="21"/>
          <w:highlight w:val="none"/>
          <w:u w:val="single"/>
        </w:rPr>
        <w:t>单位工程竣工验收合格并办理完毕备案手续后28天内</w:t>
      </w:r>
      <w:r>
        <w:rPr>
          <w:rFonts w:ascii="宋体" w:hAnsi="宋体" w:eastAsia="宋体" w:cs="Times New Roman"/>
          <w:color w:val="auto"/>
          <w:sz w:val="21"/>
          <w:szCs w:val="21"/>
          <w:highlight w:val="none"/>
        </w:rPr>
        <w:t>。</w:t>
      </w:r>
    </w:p>
    <w:p w14:paraId="02BE74C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竣工付款申请单应包括的内容：</w:t>
      </w:r>
    </w:p>
    <w:p w14:paraId="4EF95C18">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(1)发包人发出的开工通知单；经发包人工程部确认的竣工验收证明；</w:t>
      </w:r>
    </w:p>
    <w:p w14:paraId="26077F64">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(2)经发包人加盖公章确认后的竣工图纸（含电子版）；</w:t>
      </w:r>
    </w:p>
    <w:p w14:paraId="39D55BFC">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(3)经发包人加盖公章确认后的变更签证单（原件）和各种奖罚单（如有）；</w:t>
      </w:r>
    </w:p>
    <w:p w14:paraId="375EA6D1">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(4)经发包人加盖公章确认的工期顺延证明（如发生延误）；</w:t>
      </w:r>
    </w:p>
    <w:p w14:paraId="5F5B13A6">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(5)根据竣工图纸和变更签证计算的工程量计算书和结算报价书（含组价软件电子版、工程量计算式电子版等）。</w:t>
      </w:r>
    </w:p>
    <w:p w14:paraId="0DE45C66">
      <w:pPr>
        <w:spacing w:line="400" w:lineRule="exact"/>
        <w:ind w:firstLine="42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u w:val="single"/>
        </w:rPr>
        <w:t>承包人必须提交完整的、符合要求的结算资料，并安排专门人员密切配合发包人在规定时间内完成结算核对工作，否则发包人有权推迟结算审核工作，责任由承包人承担。对于在实际竣工后</w:t>
      </w:r>
      <w:r>
        <w:rPr>
          <w:rFonts w:ascii="宋体" w:hAnsi="宋体" w:eastAsia="宋体" w:cs="Times New Roman"/>
          <w:color w:val="auto"/>
          <w:sz w:val="21"/>
          <w:szCs w:val="21"/>
          <w:highlight w:val="none"/>
          <w:u w:val="single"/>
        </w:rPr>
        <w:t>28</w:t>
      </w:r>
      <w:r>
        <w:rPr>
          <w:rFonts w:hint="eastAsia" w:ascii="宋体" w:hAnsi="宋体" w:eastAsia="宋体" w:cs="Times New Roman"/>
          <w:color w:val="auto"/>
          <w:sz w:val="21"/>
          <w:szCs w:val="21"/>
          <w:highlight w:val="none"/>
          <w:u w:val="single"/>
        </w:rPr>
        <w:t>天内未提交的资料或提交的资料不完整、不符合发包人要求的，视同承包人放弃该部分的结算要求，相应价款作为承包人对发包人的让利</w:t>
      </w:r>
      <w:r>
        <w:rPr>
          <w:rFonts w:ascii="宋体" w:hAnsi="宋体" w:eastAsia="宋体" w:cs="Times New Roman"/>
          <w:color w:val="auto"/>
          <w:sz w:val="21"/>
          <w:szCs w:val="21"/>
          <w:highlight w:val="none"/>
        </w:rPr>
        <w:t>。</w:t>
      </w:r>
    </w:p>
    <w:p w14:paraId="259F4541">
      <w:pPr>
        <w:spacing w:before="60" w:after="60" w:line="400" w:lineRule="exact"/>
        <w:ind w:firstLine="211"/>
        <w:outlineLvl w:val="3"/>
        <w:rPr>
          <w:rFonts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14.04</w:t>
      </w:r>
      <w:r>
        <w:rPr>
          <w:rFonts w:ascii="宋体" w:hAnsi="宋体" w:eastAsia="宋体" w:cs="Times New Roman"/>
          <w:b/>
          <w:color w:val="auto"/>
          <w:sz w:val="21"/>
          <w:szCs w:val="21"/>
          <w:highlight w:val="none"/>
        </w:rPr>
        <w:t xml:space="preserve"> 竣工结算审核</w:t>
      </w:r>
    </w:p>
    <w:p w14:paraId="3F954858">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发包人审批竣工付款申请单的期限：</w:t>
      </w:r>
      <w:r>
        <w:rPr>
          <w:rFonts w:ascii="宋体" w:hAnsi="宋体" w:eastAsia="宋体" w:cs="Times New Roman"/>
          <w:color w:val="auto"/>
          <w:sz w:val="21"/>
          <w:szCs w:val="21"/>
          <w:highlight w:val="none"/>
          <w:u w:val="single"/>
        </w:rPr>
        <w:t>按财政部、建设部联合颁发的《建设工程价款结算暂行办法》（财建[2004]369号）执行。</w:t>
      </w:r>
    </w:p>
    <w:p w14:paraId="7B792D3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发包人完成竣工付款的期限：</w:t>
      </w:r>
      <w:r>
        <w:rPr>
          <w:rFonts w:hint="eastAsia" w:ascii="宋体" w:hAnsi="宋体" w:eastAsia="宋体" w:cs="Times New Roman"/>
          <w:color w:val="auto"/>
          <w:sz w:val="21"/>
          <w:szCs w:val="21"/>
          <w:highlight w:val="none"/>
          <w:u w:val="single"/>
        </w:rPr>
        <w:t>按招标文件约定的工程款支付条款约定付款</w:t>
      </w:r>
      <w:r>
        <w:rPr>
          <w:rFonts w:ascii="宋体" w:hAnsi="宋体" w:eastAsia="宋体" w:cs="Times New Roman"/>
          <w:color w:val="auto"/>
          <w:sz w:val="21"/>
          <w:szCs w:val="21"/>
          <w:highlight w:val="none"/>
        </w:rPr>
        <w:t>。</w:t>
      </w:r>
    </w:p>
    <w:p w14:paraId="4A0D40E8">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关于竣工付款证书异议部分复核的方式和程序：</w:t>
      </w:r>
      <w:r>
        <w:rPr>
          <w:rFonts w:hint="eastAsia" w:ascii="宋体" w:hAnsi="宋体" w:eastAsia="宋体" w:cs="Times New Roman"/>
          <w:color w:val="auto"/>
          <w:sz w:val="21"/>
          <w:szCs w:val="21"/>
          <w:highlight w:val="none"/>
          <w:u w:val="single"/>
        </w:rPr>
        <w:t>按通用条款</w:t>
      </w:r>
      <w:r>
        <w:rPr>
          <w:rFonts w:ascii="宋体" w:hAnsi="宋体" w:eastAsia="宋体" w:cs="Times New Roman"/>
          <w:color w:val="auto"/>
          <w:sz w:val="21"/>
          <w:szCs w:val="21"/>
          <w:highlight w:val="none"/>
        </w:rPr>
        <w:t>。</w:t>
      </w:r>
    </w:p>
    <w:p w14:paraId="5097433B">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14.4 最终结清</w:t>
      </w:r>
    </w:p>
    <w:p w14:paraId="79F4424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14.4.1 最终结清申请单</w:t>
      </w:r>
    </w:p>
    <w:p w14:paraId="4C0453A8">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承包人提交最终结清申请单的份数：</w:t>
      </w:r>
      <w:r>
        <w:rPr>
          <w:rFonts w:hint="eastAsia" w:ascii="宋体" w:hAnsi="宋体" w:eastAsia="宋体" w:cs="Times New Roman"/>
          <w:color w:val="auto"/>
          <w:sz w:val="21"/>
          <w:szCs w:val="21"/>
          <w:highlight w:val="none"/>
          <w:u w:val="single"/>
        </w:rPr>
        <w:t>按通用条款</w:t>
      </w:r>
      <w:r>
        <w:rPr>
          <w:rFonts w:ascii="宋体" w:hAnsi="宋体" w:eastAsia="宋体" w:cs="Times New Roman"/>
          <w:color w:val="auto"/>
          <w:sz w:val="21"/>
          <w:szCs w:val="21"/>
          <w:highlight w:val="none"/>
        </w:rPr>
        <w:t>。</w:t>
      </w:r>
    </w:p>
    <w:p w14:paraId="6ECE2540">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承包人提交最终结算申请单的期限：</w:t>
      </w:r>
      <w:r>
        <w:rPr>
          <w:rFonts w:hint="eastAsia" w:ascii="宋体" w:hAnsi="宋体" w:eastAsia="宋体" w:cs="Times New Roman"/>
          <w:color w:val="auto"/>
          <w:sz w:val="21"/>
          <w:szCs w:val="21"/>
          <w:highlight w:val="none"/>
          <w:u w:val="single"/>
        </w:rPr>
        <w:t>按通用条款</w:t>
      </w:r>
      <w:r>
        <w:rPr>
          <w:rFonts w:ascii="宋体" w:hAnsi="宋体" w:eastAsia="宋体" w:cs="Times New Roman"/>
          <w:color w:val="auto"/>
          <w:sz w:val="21"/>
          <w:szCs w:val="21"/>
          <w:highlight w:val="none"/>
        </w:rPr>
        <w:t>。</w:t>
      </w:r>
    </w:p>
    <w:p w14:paraId="6DE53BB4">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14.4.2 最终结清证书和支付</w:t>
      </w:r>
    </w:p>
    <w:p w14:paraId="2A808C3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（1）发包人完成最终结清申请单的审批并颁发最终结清证书的期限：</w:t>
      </w:r>
      <w:r>
        <w:rPr>
          <w:rFonts w:hint="eastAsia" w:ascii="宋体" w:hAnsi="宋体" w:eastAsia="宋体" w:cs="Times New Roman"/>
          <w:color w:val="auto"/>
          <w:sz w:val="21"/>
          <w:szCs w:val="21"/>
          <w:highlight w:val="none"/>
          <w:u w:val="single"/>
        </w:rPr>
        <w:t>按通用条款</w:t>
      </w:r>
      <w:r>
        <w:rPr>
          <w:rFonts w:hint="eastAsia" w:ascii="宋体" w:hAnsi="宋体" w:eastAsia="宋体" w:cs="Times New Roman"/>
          <w:color w:val="auto"/>
          <w:sz w:val="21"/>
          <w:szCs w:val="21"/>
          <w:highlight w:val="none"/>
        </w:rPr>
        <w:t>。</w:t>
      </w:r>
    </w:p>
    <w:p w14:paraId="5F0B5E0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（2）发包人完成支付的期限：</w:t>
      </w:r>
      <w:r>
        <w:rPr>
          <w:rFonts w:hint="eastAsia" w:ascii="宋体" w:hAnsi="宋体" w:eastAsia="宋体" w:cs="Times New Roman"/>
          <w:color w:val="auto"/>
          <w:sz w:val="21"/>
          <w:szCs w:val="21"/>
          <w:highlight w:val="none"/>
          <w:u w:val="single"/>
        </w:rPr>
        <w:t>按通用条款</w:t>
      </w:r>
      <w:r>
        <w:rPr>
          <w:rFonts w:ascii="宋体" w:hAnsi="宋体" w:eastAsia="宋体" w:cs="Times New Roman"/>
          <w:color w:val="auto"/>
          <w:sz w:val="21"/>
          <w:szCs w:val="21"/>
          <w:highlight w:val="none"/>
        </w:rPr>
        <w:t>。</w:t>
      </w:r>
    </w:p>
    <w:p w14:paraId="264B7ECE">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15. 缺陷责任期与保修</w:t>
      </w:r>
    </w:p>
    <w:p w14:paraId="7DDCCF08">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15.2 缺陷责任期</w:t>
      </w:r>
    </w:p>
    <w:p w14:paraId="24396ABC">
      <w:pPr>
        <w:spacing w:line="400" w:lineRule="exact"/>
        <w:ind w:firstLine="422"/>
        <w:rPr>
          <w:rFonts w:ascii="宋体" w:hAnsi="宋体" w:eastAsia="宋体" w:cs="Times New Roman"/>
          <w:b/>
          <w:bCs/>
          <w:color w:val="auto"/>
          <w:sz w:val="21"/>
          <w:szCs w:val="21"/>
          <w:highlight w:val="none"/>
          <w:u w:val="single"/>
        </w:rPr>
      </w:pPr>
      <w:r>
        <w:rPr>
          <w:rFonts w:ascii="宋体" w:hAnsi="宋体" w:eastAsia="宋体" w:cs="Times New Roman"/>
          <w:b/>
          <w:bCs/>
          <w:color w:val="auto"/>
          <w:sz w:val="21"/>
          <w:szCs w:val="21"/>
          <w:highlight w:val="none"/>
        </w:rPr>
        <w:t>缺陷责任期的具体期限：</w:t>
      </w:r>
      <w:r>
        <w:rPr>
          <w:rFonts w:ascii="宋体" w:hAnsi="宋体" w:eastAsia="宋体" w:cs="Times New Roman"/>
          <w:b/>
          <w:bCs/>
          <w:color w:val="auto"/>
          <w:sz w:val="21"/>
          <w:szCs w:val="21"/>
          <w:highlight w:val="none"/>
          <w:u w:val="single"/>
        </w:rPr>
        <w:t xml:space="preserve">  24个月  </w:t>
      </w:r>
      <w:r>
        <w:rPr>
          <w:rFonts w:ascii="宋体" w:hAnsi="宋体" w:eastAsia="宋体" w:cs="Times New Roman"/>
          <w:b/>
          <w:bCs/>
          <w:color w:val="auto"/>
          <w:sz w:val="21"/>
          <w:szCs w:val="21"/>
          <w:highlight w:val="none"/>
        </w:rPr>
        <w:t>。</w:t>
      </w:r>
    </w:p>
    <w:p w14:paraId="6AAFDCB9">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15.3 质量保证金</w:t>
      </w:r>
    </w:p>
    <w:p w14:paraId="4B30B1E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关于是否扣留质量保证金的约定：</w:t>
      </w:r>
      <w:r>
        <w:rPr>
          <w:rFonts w:ascii="宋体" w:hAnsi="宋体" w:eastAsia="宋体" w:cs="Times New Roman"/>
          <w:color w:val="auto"/>
          <w:sz w:val="21"/>
          <w:szCs w:val="21"/>
          <w:highlight w:val="none"/>
          <w:u w:val="single"/>
        </w:rPr>
        <w:t>根据工程情况商定</w:t>
      </w:r>
      <w:r>
        <w:rPr>
          <w:rFonts w:ascii="宋体" w:hAnsi="宋体" w:eastAsia="宋体" w:cs="Times New Roman"/>
          <w:color w:val="auto"/>
          <w:sz w:val="21"/>
          <w:szCs w:val="21"/>
          <w:highlight w:val="none"/>
        </w:rPr>
        <w:t>。</w:t>
      </w:r>
    </w:p>
    <w:p w14:paraId="7968D460">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15.3.1 承包人提供质量保证金的方式</w:t>
      </w:r>
    </w:p>
    <w:p w14:paraId="3291EEC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质量保证金采用以下第</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eastAsia="zh-CN"/>
        </w:rPr>
        <w:t>（</w:t>
      </w:r>
      <w:r>
        <w:rPr>
          <w:rFonts w:hint="eastAsia" w:ascii="宋体" w:hAnsi="宋体" w:eastAsia="宋体" w:cs="Times New Roman"/>
          <w:color w:val="auto"/>
          <w:sz w:val="21"/>
          <w:szCs w:val="21"/>
          <w:highlight w:val="none"/>
          <w:u w:val="single"/>
          <w:lang w:val="en-US" w:eastAsia="zh-CN"/>
        </w:rPr>
        <w:t>1</w:t>
      </w:r>
      <w:r>
        <w:rPr>
          <w:rFonts w:hint="eastAsia" w:ascii="宋体" w:hAnsi="宋体" w:eastAsia="宋体" w:cs="Times New Roman"/>
          <w:color w:val="auto"/>
          <w:sz w:val="21"/>
          <w:szCs w:val="21"/>
          <w:highlight w:val="none"/>
          <w:u w:val="single"/>
          <w:lang w:eastAsia="zh-CN"/>
        </w:rPr>
        <w:t>）</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种方式：</w:t>
      </w:r>
    </w:p>
    <w:p w14:paraId="4E778A7C">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（1）质量保证金保函，保证金额为：</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lang w:val="en-US" w:eastAsia="zh-CN"/>
        </w:rPr>
        <w:t>3%工程款</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w:t>
      </w:r>
    </w:p>
    <w:p w14:paraId="35E16F72">
      <w:pPr>
        <w:spacing w:line="400" w:lineRule="exact"/>
        <w:ind w:firstLine="422"/>
        <w:rPr>
          <w:rFonts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rPr>
        <w:t>（2）</w:t>
      </w:r>
      <w:r>
        <w:rPr>
          <w:rFonts w:ascii="宋体" w:hAnsi="宋体" w:eastAsia="宋体" w:cs="Times New Roman"/>
          <w:b/>
          <w:bCs/>
          <w:color w:val="auto"/>
          <w:sz w:val="21"/>
          <w:szCs w:val="21"/>
          <w:highlight w:val="none"/>
          <w:u w:val="single"/>
        </w:rPr>
        <w:t xml:space="preserve">  3  </w:t>
      </w:r>
      <w:r>
        <w:rPr>
          <w:rFonts w:ascii="宋体" w:hAnsi="宋体" w:eastAsia="宋体" w:cs="Times New Roman"/>
          <w:b/>
          <w:bCs/>
          <w:color w:val="auto"/>
          <w:sz w:val="21"/>
          <w:szCs w:val="21"/>
          <w:highlight w:val="none"/>
        </w:rPr>
        <w:t>%的工程款；</w:t>
      </w:r>
    </w:p>
    <w:p w14:paraId="0155A5E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（3）其他方式：</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718E8A8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 xml:space="preserve">15.3.2 质量保证金的扣留 </w:t>
      </w:r>
    </w:p>
    <w:p w14:paraId="2FA0AD5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质量保证金的扣留采取以下第</w:t>
      </w:r>
      <w:r>
        <w:rPr>
          <w:rFonts w:ascii="宋体" w:hAnsi="宋体" w:eastAsia="宋体" w:cs="Times New Roman"/>
          <w:color w:val="auto"/>
          <w:sz w:val="21"/>
          <w:szCs w:val="21"/>
          <w:highlight w:val="none"/>
          <w:u w:val="single"/>
        </w:rPr>
        <w:t xml:space="preserve">  2  </w:t>
      </w:r>
      <w:r>
        <w:rPr>
          <w:rFonts w:ascii="宋体" w:hAnsi="宋体" w:eastAsia="宋体" w:cs="Times New Roman"/>
          <w:color w:val="auto"/>
          <w:sz w:val="21"/>
          <w:szCs w:val="21"/>
          <w:highlight w:val="none"/>
        </w:rPr>
        <w:t>种方式：</w:t>
      </w:r>
    </w:p>
    <w:p w14:paraId="79409B1D">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（1）在支付工程进度款时逐次扣留，在此情形下，质量保证金的计算基数不包括预付款的支付、扣回以及价格调整的金额；</w:t>
      </w:r>
    </w:p>
    <w:p w14:paraId="4D05A078">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（2）工程竣工结算时一次性扣留质量保证金；</w:t>
      </w:r>
    </w:p>
    <w:p w14:paraId="39631FE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（3）其他扣留方式：</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72F1F0D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关于质量保证金的补充约定：</w:t>
      </w:r>
      <w:r>
        <w:rPr>
          <w:rFonts w:ascii="宋体" w:hAnsi="宋体" w:eastAsia="宋体" w:cs="Times New Roman"/>
          <w:color w:val="auto"/>
          <w:sz w:val="21"/>
          <w:szCs w:val="21"/>
          <w:highlight w:val="none"/>
          <w:u w:val="single"/>
        </w:rPr>
        <w:t>在缺陷责任期内，因承包人原因造成工程缺陷、损坏的，承包人未能及时修复的，发包人可直接委托第三方修复，所需费用由承包人承担，缺陷责任期满将剩余部分退还承包人）。</w:t>
      </w:r>
    </w:p>
    <w:p w14:paraId="030BE1BD">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15.4 保修</w:t>
      </w:r>
    </w:p>
    <w:p w14:paraId="60E610FA">
      <w:pPr>
        <w:spacing w:line="400" w:lineRule="exact"/>
        <w:ind w:firstLine="409"/>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15.4.1 保修责任</w:t>
      </w:r>
    </w:p>
    <w:p w14:paraId="3C2DEABB">
      <w:pPr>
        <w:spacing w:line="400" w:lineRule="exact"/>
        <w:ind w:firstLine="409"/>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工程保修期为：</w:t>
      </w:r>
    </w:p>
    <w:p w14:paraId="3220AB2D">
      <w:pPr>
        <w:spacing w:line="400" w:lineRule="exact"/>
        <w:ind w:firstLine="409"/>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质量保修期从工程竣工验收合格之日起计算，具体保修范围、保修期限、保修责任、保修金的支付、返还应按《建设工程质量管理条例》、《建设工程质量保证金管理暂行办法》等规定及双方约定执行。保修期内若因承包人施工责任引起的质量缺陷，承包人应该在本保修书约定期限内派人到场保修，并承担保修责任及保修费用；承包人不能在约定期限内派人到场保修的，可委托发包人委托他人保修，保修费用发包人从暂留的承包人质量保证金中扣除。</w:t>
      </w:r>
    </w:p>
    <w:p w14:paraId="16A75EDA">
      <w:pPr>
        <w:spacing w:line="400" w:lineRule="exact"/>
        <w:ind w:firstLine="409"/>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15.4.3 修复通知</w:t>
      </w:r>
    </w:p>
    <w:p w14:paraId="646303D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承包人收到保修通知并到达工程现场的合理时间：</w:t>
      </w:r>
      <w:r>
        <w:rPr>
          <w:rFonts w:ascii="宋体" w:hAnsi="宋体" w:eastAsia="宋体" w:cs="Times New Roman"/>
          <w:color w:val="auto"/>
          <w:sz w:val="21"/>
          <w:szCs w:val="21"/>
          <w:highlight w:val="none"/>
          <w:u w:val="single"/>
        </w:rPr>
        <w:t xml:space="preserve"> 7 </w:t>
      </w:r>
      <w:r>
        <w:rPr>
          <w:rFonts w:ascii="宋体" w:hAnsi="宋体" w:eastAsia="宋体" w:cs="Times New Roman"/>
          <w:color w:val="auto"/>
          <w:sz w:val="21"/>
          <w:szCs w:val="21"/>
          <w:highlight w:val="none"/>
        </w:rPr>
        <w:t>天。（1、属于保修范围、内容的项目，承包人应当在接到保修通知之日起</w:t>
      </w:r>
      <w:r>
        <w:rPr>
          <w:rFonts w:ascii="宋体" w:hAnsi="宋体" w:eastAsia="宋体" w:cs="Times New Roman"/>
          <w:color w:val="auto"/>
          <w:sz w:val="21"/>
          <w:szCs w:val="21"/>
          <w:highlight w:val="none"/>
          <w:u w:val="single"/>
        </w:rPr>
        <w:t xml:space="preserve"> 2 </w:t>
      </w:r>
      <w:r>
        <w:rPr>
          <w:rFonts w:ascii="宋体" w:hAnsi="宋体" w:eastAsia="宋体" w:cs="Times New Roman"/>
          <w:color w:val="auto"/>
          <w:sz w:val="21"/>
          <w:szCs w:val="21"/>
          <w:highlight w:val="none"/>
        </w:rPr>
        <w:t>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p>
    <w:p w14:paraId="08ECDBE8">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16. 违约</w:t>
      </w:r>
    </w:p>
    <w:p w14:paraId="574970E4">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16.1 发包人违约</w:t>
      </w:r>
    </w:p>
    <w:p w14:paraId="1D2CD89C">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16.1.1发包人违约的情形</w:t>
      </w:r>
    </w:p>
    <w:p w14:paraId="053BFCD8">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发包人违约的其他情形：</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1560CA4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16.1.2 发包人违约的责任</w:t>
      </w:r>
    </w:p>
    <w:p w14:paraId="515565E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发包人违约责任的承担方式和计算方法：</w:t>
      </w:r>
    </w:p>
    <w:p w14:paraId="6ADC6AB5">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（1）因发包人原因未能在计划开工日期前7天内下达开工通知的违约责任：</w:t>
      </w:r>
      <w:r>
        <w:rPr>
          <w:rFonts w:ascii="宋体" w:hAnsi="宋体" w:eastAsia="宋体" w:cs="Times New Roman"/>
          <w:color w:val="auto"/>
          <w:sz w:val="21"/>
          <w:szCs w:val="21"/>
          <w:highlight w:val="none"/>
          <w:u w:val="single"/>
        </w:rPr>
        <w:t>工期作适当顺延</w:t>
      </w:r>
      <w:r>
        <w:rPr>
          <w:rFonts w:ascii="宋体" w:hAnsi="宋体" w:eastAsia="宋体" w:cs="Times New Roman"/>
          <w:color w:val="auto"/>
          <w:sz w:val="21"/>
          <w:szCs w:val="21"/>
          <w:highlight w:val="none"/>
        </w:rPr>
        <w:t>。</w:t>
      </w:r>
    </w:p>
    <w:p w14:paraId="772CF5BE">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（2）因发包人原因未能按合同约定支付合同价款的违约责任：</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6BA8E9B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（3）发包人违反第10.1款〔变更的范围〕第（2）项约定，自行实施被取消的工作或转由他人实施的违约责任：</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42E392B1">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（4）发包人提供的材料、工程设备的规格、数量或质量不符合合同约定，或因发包人原因导致交货日期延误或交货地点变更等情况的违约责任：</w:t>
      </w:r>
      <w:r>
        <w:rPr>
          <w:rFonts w:ascii="宋体" w:hAnsi="宋体" w:eastAsia="宋体" w:cs="Times New Roman"/>
          <w:color w:val="auto"/>
          <w:sz w:val="21"/>
          <w:szCs w:val="21"/>
          <w:highlight w:val="none"/>
          <w:u w:val="single"/>
        </w:rPr>
        <w:t>发包人负责整改到位，工期顺延</w:t>
      </w:r>
      <w:r>
        <w:rPr>
          <w:rFonts w:ascii="宋体" w:hAnsi="宋体" w:eastAsia="宋体" w:cs="Times New Roman"/>
          <w:color w:val="auto"/>
          <w:sz w:val="21"/>
          <w:szCs w:val="21"/>
          <w:highlight w:val="none"/>
        </w:rPr>
        <w:t>。</w:t>
      </w:r>
    </w:p>
    <w:p w14:paraId="48F2266B">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（5）因发包人违反合同约定造成暂停施工的违约责任：</w:t>
      </w:r>
      <w:r>
        <w:rPr>
          <w:rFonts w:ascii="宋体" w:hAnsi="宋体" w:eastAsia="宋体" w:cs="Times New Roman"/>
          <w:color w:val="auto"/>
          <w:sz w:val="21"/>
          <w:szCs w:val="21"/>
          <w:highlight w:val="none"/>
          <w:u w:val="single"/>
        </w:rPr>
        <w:t>发包人负责整改到位，工期顺延</w:t>
      </w:r>
      <w:r>
        <w:rPr>
          <w:rFonts w:ascii="宋体" w:hAnsi="宋体" w:eastAsia="宋体" w:cs="Times New Roman"/>
          <w:color w:val="auto"/>
          <w:sz w:val="21"/>
          <w:szCs w:val="21"/>
          <w:highlight w:val="none"/>
        </w:rPr>
        <w:t>。</w:t>
      </w:r>
    </w:p>
    <w:p w14:paraId="418C3A9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（6）发包人无正当理由没有在约定期限内发出复工指示，导致承包人无法复工的违约责任：</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0E9CD14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（7）其他：</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w:t>
      </w:r>
    </w:p>
    <w:p w14:paraId="25D67891">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上述（1）-（7）应作具体明确</w:t>
      </w:r>
    </w:p>
    <w:p w14:paraId="0D090BA8">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16.1.3 因发包人违约解除合同</w:t>
      </w:r>
    </w:p>
    <w:p w14:paraId="5E78C91E">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承包人按16.1.1项〔发包人违约的情形〕约定暂停施工满</w:t>
      </w:r>
      <w:r>
        <w:rPr>
          <w:rFonts w:ascii="宋体" w:hAnsi="宋体" w:eastAsia="宋体" w:cs="Times New Roman"/>
          <w:color w:val="auto"/>
          <w:sz w:val="21"/>
          <w:szCs w:val="21"/>
          <w:highlight w:val="none"/>
          <w:u w:val="single"/>
        </w:rPr>
        <w:t xml:space="preserve"> / </w:t>
      </w:r>
      <w:r>
        <w:rPr>
          <w:rFonts w:ascii="宋体" w:hAnsi="宋体" w:eastAsia="宋体" w:cs="Times New Roman"/>
          <w:color w:val="auto"/>
          <w:sz w:val="21"/>
          <w:szCs w:val="21"/>
          <w:highlight w:val="none"/>
        </w:rPr>
        <w:t xml:space="preserve">天后发包人仍不纠正其违约行为并致使合同目的不能实现的，承包人有权解除合同。 </w:t>
      </w:r>
    </w:p>
    <w:p w14:paraId="3387F65E">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16.2 承包人违约</w:t>
      </w:r>
    </w:p>
    <w:p w14:paraId="4D4B5953">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16.2.1 承包人违约的情形</w:t>
      </w:r>
    </w:p>
    <w:p w14:paraId="6E27A35D">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承包人违约的其他情形：</w:t>
      </w:r>
    </w:p>
    <w:p w14:paraId="28D8FFD6">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1）未能按投标文件承诺工期按期交付工程，工程质量不能达到承包人在投标文件中承诺的质量，不服从发包费人安排，接到发包人通知不按时进场等。</w:t>
      </w:r>
    </w:p>
    <w:p w14:paraId="401811F9">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2）承包人同意发包人确定的存在下列情形的视为围标、串标、挂靠、弄虚作假：</w:t>
      </w:r>
    </w:p>
    <w:p w14:paraId="26AA4415">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①投标保证金交纳的资金非本公司资金（挂靠人投资），履约保证金（或履约担保非本公司资金）。</w:t>
      </w:r>
    </w:p>
    <w:p w14:paraId="47C3BD6C">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②所有工程款都直接转入投标人投标时的基本帐户，如发现投标人的资金流向出现异常（转入挂靠公司或挂靠人），视为投标人挂靠。</w:t>
      </w:r>
    </w:p>
    <w:p w14:paraId="22653DA9">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③投标文件的制作工具、投标文件的编制人员非本公司正式职工等现象。</w:t>
      </w:r>
    </w:p>
    <w:p w14:paraId="771A5F5D">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④投标时的项目负责人及项目部成员必须全部到现场参与项目实施管理，如人员不到位或到位的人员起不到相应的作用或除投标人员名单外增减变更管理人员为非投标公司管理人员等现象。</w:t>
      </w:r>
    </w:p>
    <w:p w14:paraId="3B1974F5">
      <w:pPr>
        <w:spacing w:line="400" w:lineRule="exact"/>
        <w:ind w:firstLine="420"/>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3）工程竣工验收后且在合同约定付款比利时，施工单位应具备全额支付农民工工资的能力且必须全额付清所有农民工的工资，否则被认为施工单位不具备投标能力和不应参与投标。</w:t>
      </w:r>
    </w:p>
    <w:p w14:paraId="2088D89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16.2.2承包人违约的责任</w:t>
      </w:r>
    </w:p>
    <w:p w14:paraId="6D7CD6FA">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承包人违约责任的承担方式和计算方法：</w:t>
      </w:r>
    </w:p>
    <w:p w14:paraId="6AA278B5">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1）承包人已进行现场勘察，并将从发包人指定的水、电接口接至施工现场的水、电等材料及施工费用考虑在投标报价中，发包人不再另行支付。</w:t>
      </w:r>
    </w:p>
    <w:p w14:paraId="733891B2">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2）承包人在投标时已充分考虑在施工期间必须设置醒目的交通安全标志、标牌及警示灯，同时保证道路正常通行。</w:t>
      </w:r>
    </w:p>
    <w:p w14:paraId="154E0275">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3）承包人必须到现场进行勘察向发包人了解施工现状，充分考虑本工程施工中可预见或不可预见的情况，各项事宜必须服从发包人安排和管理。</w:t>
      </w:r>
    </w:p>
    <w:p w14:paraId="5F5CC1E4">
      <w:pPr>
        <w:spacing w:line="400" w:lineRule="exact"/>
        <w:ind w:firstLine="420"/>
        <w:rPr>
          <w:rFonts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u w:val="single"/>
        </w:rPr>
        <w:t>4）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p>
    <w:p w14:paraId="19751FFD">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16.2.3 因承包人违约解除合同</w:t>
      </w:r>
    </w:p>
    <w:p w14:paraId="46123D6E">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p>
    <w:p w14:paraId="2C7D1953">
      <w:pPr>
        <w:spacing w:line="400" w:lineRule="exact"/>
        <w:ind w:firstLine="420"/>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①</w:t>
      </w:r>
      <w:r>
        <w:rPr>
          <w:rFonts w:ascii="宋体" w:hAnsi="宋体" w:eastAsia="宋体" w:cs="Times New Roman"/>
          <w:color w:val="auto"/>
          <w:sz w:val="21"/>
          <w:szCs w:val="21"/>
          <w:highlight w:val="none"/>
        </w:rPr>
        <w:t>不同意本工程合同条件；</w:t>
      </w:r>
    </w:p>
    <w:p w14:paraId="45D7B342">
      <w:pPr>
        <w:spacing w:line="400" w:lineRule="exact"/>
        <w:ind w:firstLine="420"/>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②</w:t>
      </w:r>
      <w:r>
        <w:rPr>
          <w:rFonts w:ascii="宋体" w:hAnsi="宋体" w:eastAsia="宋体" w:cs="Times New Roman"/>
          <w:color w:val="auto"/>
          <w:sz w:val="21"/>
          <w:szCs w:val="21"/>
          <w:highlight w:val="none"/>
        </w:rPr>
        <w:t>停工或拖延施工进度或影响施工质量；</w:t>
      </w:r>
    </w:p>
    <w:p w14:paraId="30D3EBBF">
      <w:pPr>
        <w:spacing w:line="400" w:lineRule="exact"/>
        <w:ind w:firstLine="420"/>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③</w:t>
      </w:r>
      <w:r>
        <w:rPr>
          <w:rFonts w:ascii="宋体" w:hAnsi="宋体" w:eastAsia="宋体" w:cs="Times New Roman"/>
          <w:color w:val="auto"/>
          <w:sz w:val="21"/>
          <w:szCs w:val="21"/>
          <w:highlight w:val="none"/>
        </w:rPr>
        <w:t>无正当理由，单方面要挟发包人提高合同价款；</w:t>
      </w:r>
    </w:p>
    <w:p w14:paraId="2CA89467">
      <w:pPr>
        <w:spacing w:line="400" w:lineRule="exact"/>
        <w:ind w:firstLine="420"/>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④</w:t>
      </w:r>
      <w:r>
        <w:rPr>
          <w:rFonts w:ascii="宋体" w:hAnsi="宋体" w:eastAsia="宋体" w:cs="Times New Roman"/>
          <w:color w:val="auto"/>
          <w:sz w:val="21"/>
          <w:szCs w:val="21"/>
          <w:highlight w:val="none"/>
        </w:rPr>
        <w:t>无正当理由，单方面要挟发包人给予某种补偿。</w:t>
      </w:r>
    </w:p>
    <w:p w14:paraId="4BF795CD">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发包人继续使用承包人在施工现场的材料、设备、临时工程、承包人文件和由承包人或以其名义编制的其他文件的费用承担方式：</w:t>
      </w:r>
      <w:r>
        <w:rPr>
          <w:rFonts w:ascii="宋体" w:hAnsi="宋体" w:eastAsia="宋体" w:cs="Times New Roman"/>
          <w:color w:val="auto"/>
          <w:sz w:val="21"/>
          <w:szCs w:val="21"/>
          <w:highlight w:val="none"/>
          <w:u w:val="single"/>
        </w:rPr>
        <w:t>按通用条款</w:t>
      </w:r>
      <w:r>
        <w:rPr>
          <w:rFonts w:ascii="宋体" w:hAnsi="宋体" w:eastAsia="宋体" w:cs="Times New Roman"/>
          <w:color w:val="auto"/>
          <w:sz w:val="21"/>
          <w:szCs w:val="21"/>
          <w:highlight w:val="none"/>
        </w:rPr>
        <w:t>。</w:t>
      </w:r>
    </w:p>
    <w:p w14:paraId="50E92982">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 xml:space="preserve">17. 不可抗力 </w:t>
      </w:r>
    </w:p>
    <w:p w14:paraId="76272044">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17.1 不可抗力的确认</w:t>
      </w:r>
    </w:p>
    <w:p w14:paraId="7F339857">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除通用合同条款约定的不可抗力事件之外，视为不可抗力的其他情形：</w:t>
      </w:r>
    </w:p>
    <w:p w14:paraId="3129C8E3">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17.1.1 不可抗力包括因战争、动乱、空中飞行物体坠落或其他非双方责任造成的爆炸、火灾，以及专用条款约定的风、雨、雪、洪、震等自然灾害（以当地气象部门公开发布的资料为准）：</w:t>
      </w:r>
    </w:p>
    <w:p w14:paraId="682BC573">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（1）持续高温：连续三日日最高气温 35℃以上；</w:t>
      </w:r>
    </w:p>
    <w:p w14:paraId="443231D5">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（2）持续低温：连续三日日最低气温-10℃以下；</w:t>
      </w:r>
    </w:p>
    <w:p w14:paraId="14842C1D">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（3）大风天气：</w:t>
      </w:r>
      <w:r>
        <w:rPr>
          <w:rFonts w:hint="eastAsia" w:ascii="宋体" w:hAnsi="宋体" w:eastAsia="宋体" w:cs="Times New Roman"/>
          <w:color w:val="auto"/>
          <w:spacing w:val="-4"/>
          <w:sz w:val="21"/>
          <w:szCs w:val="21"/>
          <w:highlight w:val="none"/>
          <w:u w:val="single"/>
        </w:rPr>
        <w:t>施工区域日风力在 6 级以上且持续时间不少于 4 小时，或阵风大于 8 级；</w:t>
      </w:r>
    </w:p>
    <w:p w14:paraId="7FF1C512">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（4）暴雨天气：日降雨量 50mm 及以上，或降雨强度大于 20mm/h；</w:t>
      </w:r>
    </w:p>
    <w:p w14:paraId="0CE3EEAE">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17.1.2 不可抗力事件发生后，承包人应立即通知发包人，并在力所能及的条件下迅速采取措施，尽力减少损失，发包人应协助承包人采取措施。若由于承包人迟延通知而造成的扩大部分损失由承包人自行承担。发包人认为应当暂停施工的，承包人应暂停施工。不可抗力事件结束后 48小时内承包人向发包人通报受害情况和损失情况，及预计清理和修复的费用。不可抗力事件持续发生，承包人应每隔 7 天向发包人报告一次受害情况。不可抗力结束后 14 天内，承包人向发包人提交清理和修复费用的正式报告及有关资料。</w:t>
      </w:r>
    </w:p>
    <w:p w14:paraId="46870549">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17.1.3 因不可抗力事件导致的费用及延误的工期由双方按下列方法分别承担：</w:t>
      </w:r>
    </w:p>
    <w:p w14:paraId="58375AEB">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（1）工程本身的损害、因工程损害导致第三人人员伤亡和财产损失以及运至施工场地用于施工的材料和待安装的设备的损害，由承包人承担；</w:t>
      </w:r>
    </w:p>
    <w:p w14:paraId="33D906F9">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（2）双方人员伤亡由其所在单位负责，并承担相应费用；</w:t>
      </w:r>
    </w:p>
    <w:p w14:paraId="37129E72">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（3）承包人机械设备损坏及停工损失，由承包人承担；</w:t>
      </w:r>
    </w:p>
    <w:p w14:paraId="24C83795">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（4）停工期间，承包人应工程师要求留在施工场地的必要的管理人员及保卫人员的费用由发包人承担；</w:t>
      </w:r>
    </w:p>
    <w:p w14:paraId="4938266B">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（5）工程所需清理、修复费用，由发包人承担；</w:t>
      </w:r>
    </w:p>
    <w:p w14:paraId="241ECC1A">
      <w:pPr>
        <w:spacing w:line="400" w:lineRule="exact"/>
        <w:ind w:firstLine="420"/>
        <w:rPr>
          <w:rFonts w:hint="eastAsia"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（6）延误的工期相应顺延。</w:t>
      </w:r>
    </w:p>
    <w:p w14:paraId="7A258769">
      <w:pPr>
        <w:spacing w:line="400" w:lineRule="exact"/>
        <w:ind w:firstLine="420"/>
        <w:rPr>
          <w:rFonts w:ascii="宋体" w:hAnsi="宋体" w:eastAsia="宋体" w:cs="Times New Roman"/>
          <w:color w:val="auto"/>
          <w:sz w:val="21"/>
          <w:szCs w:val="21"/>
          <w:highlight w:val="none"/>
          <w:u w:val="single"/>
        </w:rPr>
      </w:pPr>
      <w:r>
        <w:rPr>
          <w:rFonts w:hint="eastAsia" w:ascii="宋体" w:hAnsi="宋体" w:eastAsia="宋体" w:cs="Times New Roman"/>
          <w:color w:val="auto"/>
          <w:sz w:val="21"/>
          <w:szCs w:val="21"/>
          <w:highlight w:val="none"/>
          <w:u w:val="single"/>
        </w:rPr>
        <w:t>17.1.4 因合同一方迟延履行合同后发生不可抗力的，不能免除迟延履行方的相应责任。</w:t>
      </w:r>
    </w:p>
    <w:p w14:paraId="750320C8">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17.4 因不可抗力解除合同</w:t>
      </w:r>
    </w:p>
    <w:p w14:paraId="6B41616B">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合同解除后，发包人应在商定或确定发包人应支付款项后</w:t>
      </w:r>
      <w:r>
        <w:rPr>
          <w:rFonts w:ascii="宋体" w:hAnsi="宋体" w:eastAsia="宋体" w:cs="Times New Roman"/>
          <w:color w:val="auto"/>
          <w:sz w:val="21"/>
          <w:szCs w:val="21"/>
          <w:highlight w:val="none"/>
          <w:u w:val="single"/>
        </w:rPr>
        <w:t xml:space="preserve"> 30 </w:t>
      </w:r>
      <w:r>
        <w:rPr>
          <w:rFonts w:ascii="宋体" w:hAnsi="宋体" w:eastAsia="宋体" w:cs="Times New Roman"/>
          <w:color w:val="auto"/>
          <w:sz w:val="21"/>
          <w:szCs w:val="21"/>
          <w:highlight w:val="none"/>
        </w:rPr>
        <w:t>天内完成款项的支付。</w:t>
      </w:r>
    </w:p>
    <w:p w14:paraId="34D76F12">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18. 保险</w:t>
      </w:r>
    </w:p>
    <w:p w14:paraId="1A92D2B9">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18.1 工程保险</w:t>
      </w:r>
    </w:p>
    <w:p w14:paraId="0901F434">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关于工程保险的特别约定：</w:t>
      </w:r>
      <w:r>
        <w:rPr>
          <w:rFonts w:hint="eastAsia" w:ascii="宋体" w:hAnsi="宋体" w:eastAsia="宋体" w:cs="Times New Roman"/>
          <w:color w:val="auto"/>
          <w:sz w:val="21"/>
          <w:szCs w:val="21"/>
          <w:highlight w:val="none"/>
          <w:u w:val="single"/>
        </w:rPr>
        <w:t>按照通用条款</w:t>
      </w:r>
      <w:r>
        <w:rPr>
          <w:rFonts w:ascii="宋体" w:hAnsi="宋体" w:eastAsia="宋体" w:cs="Times New Roman"/>
          <w:color w:val="auto"/>
          <w:sz w:val="21"/>
          <w:szCs w:val="21"/>
          <w:highlight w:val="none"/>
        </w:rPr>
        <w:t xml:space="preserve">。 </w:t>
      </w:r>
    </w:p>
    <w:p w14:paraId="35378F26">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18.3 其他保险</w:t>
      </w:r>
    </w:p>
    <w:p w14:paraId="1E7E8553">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关于其他保险的约定：</w:t>
      </w:r>
      <w:r>
        <w:rPr>
          <w:rFonts w:hint="eastAsia" w:ascii="宋体" w:hAnsi="宋体" w:eastAsia="宋体" w:cs="Times New Roman"/>
          <w:color w:val="auto"/>
          <w:sz w:val="21"/>
          <w:szCs w:val="21"/>
          <w:highlight w:val="none"/>
          <w:u w:val="single"/>
        </w:rPr>
        <w:t>按照通用条款</w:t>
      </w:r>
      <w:r>
        <w:rPr>
          <w:rFonts w:ascii="宋体" w:hAnsi="宋体" w:eastAsia="宋体" w:cs="Times New Roman"/>
          <w:color w:val="auto"/>
          <w:sz w:val="21"/>
          <w:szCs w:val="21"/>
          <w:highlight w:val="none"/>
        </w:rPr>
        <w:t xml:space="preserve">。 </w:t>
      </w:r>
    </w:p>
    <w:p w14:paraId="5378A8A6">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承包人是否应为其施工设备等办理财产保险：</w:t>
      </w:r>
      <w:r>
        <w:rPr>
          <w:rFonts w:hint="eastAsia" w:ascii="宋体" w:hAnsi="宋体" w:eastAsia="宋体" w:cs="Times New Roman"/>
          <w:color w:val="auto"/>
          <w:sz w:val="21"/>
          <w:szCs w:val="21"/>
          <w:highlight w:val="none"/>
          <w:u w:val="single"/>
        </w:rPr>
        <w:t>按照通用条款</w:t>
      </w:r>
      <w:r>
        <w:rPr>
          <w:rFonts w:ascii="宋体" w:hAnsi="宋体" w:eastAsia="宋体" w:cs="Times New Roman"/>
          <w:color w:val="auto"/>
          <w:sz w:val="21"/>
          <w:szCs w:val="21"/>
          <w:highlight w:val="none"/>
        </w:rPr>
        <w:t>。</w:t>
      </w:r>
    </w:p>
    <w:p w14:paraId="5B0C8E42">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18.7 通知义务</w:t>
      </w:r>
    </w:p>
    <w:p w14:paraId="3B1EF856">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关于变更保险合同时的通知义务的约定：</w:t>
      </w:r>
      <w:r>
        <w:rPr>
          <w:rFonts w:hint="eastAsia" w:ascii="宋体" w:hAnsi="宋体" w:eastAsia="宋体" w:cs="Times New Roman"/>
          <w:color w:val="auto"/>
          <w:sz w:val="21"/>
          <w:szCs w:val="21"/>
          <w:highlight w:val="none"/>
          <w:u w:val="single"/>
        </w:rPr>
        <w:t>按照通用条款</w:t>
      </w:r>
      <w:r>
        <w:rPr>
          <w:rFonts w:ascii="宋体" w:hAnsi="宋体" w:eastAsia="宋体" w:cs="Times New Roman"/>
          <w:color w:val="auto"/>
          <w:sz w:val="21"/>
          <w:szCs w:val="21"/>
          <w:highlight w:val="none"/>
        </w:rPr>
        <w:t>。</w:t>
      </w:r>
    </w:p>
    <w:p w14:paraId="54DD1F47">
      <w:pPr>
        <w:spacing w:before="120" w:after="120" w:line="400" w:lineRule="exact"/>
        <w:outlineLvl w:val="2"/>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20. 争议解决</w:t>
      </w:r>
    </w:p>
    <w:p w14:paraId="3D4D61DB">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20.3 争议评审</w:t>
      </w:r>
    </w:p>
    <w:p w14:paraId="496A105E">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合同当事人是否同意将工程争议提交争议评审小组决定：</w:t>
      </w:r>
      <w:r>
        <w:rPr>
          <w:rFonts w:hint="eastAsia" w:ascii="宋体" w:hAnsi="宋体" w:eastAsia="宋体" w:cs="Times New Roman"/>
          <w:color w:val="auto"/>
          <w:sz w:val="21"/>
          <w:szCs w:val="21"/>
          <w:highlight w:val="none"/>
          <w:u w:val="single"/>
        </w:rPr>
        <w:t>按照通用条款</w:t>
      </w:r>
      <w:r>
        <w:rPr>
          <w:rFonts w:ascii="宋体" w:hAnsi="宋体" w:eastAsia="宋体" w:cs="Times New Roman"/>
          <w:color w:val="auto"/>
          <w:sz w:val="21"/>
          <w:szCs w:val="21"/>
          <w:highlight w:val="none"/>
        </w:rPr>
        <w:t>。</w:t>
      </w:r>
    </w:p>
    <w:p w14:paraId="614DDF56">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20.3.1 争议评审小组的确定</w:t>
      </w:r>
    </w:p>
    <w:p w14:paraId="6EAAA34B">
      <w:pPr>
        <w:spacing w:line="400" w:lineRule="exact"/>
        <w:ind w:firstLine="420"/>
        <w:rPr>
          <w:rFonts w:ascii="宋体" w:hAnsi="宋体" w:eastAsia="宋体" w:cs="Times New Roman"/>
          <w:color w:val="auto"/>
          <w:sz w:val="21"/>
          <w:szCs w:val="21"/>
          <w:highlight w:val="none"/>
          <w:u w:val="single"/>
        </w:rPr>
      </w:pPr>
      <w:r>
        <w:rPr>
          <w:rFonts w:ascii="宋体" w:hAnsi="宋体" w:eastAsia="宋体" w:cs="Times New Roman"/>
          <w:color w:val="auto"/>
          <w:sz w:val="21"/>
          <w:szCs w:val="21"/>
          <w:highlight w:val="none"/>
        </w:rPr>
        <w:t>争议评审小组成员的确定：</w:t>
      </w:r>
      <w:r>
        <w:rPr>
          <w:rFonts w:hint="eastAsia" w:ascii="宋体" w:hAnsi="宋体" w:eastAsia="宋体" w:cs="Times New Roman"/>
          <w:color w:val="auto"/>
          <w:sz w:val="21"/>
          <w:szCs w:val="21"/>
          <w:highlight w:val="none"/>
          <w:u w:val="single"/>
        </w:rPr>
        <w:t>按照通用条款</w:t>
      </w:r>
      <w:r>
        <w:rPr>
          <w:rFonts w:ascii="宋体" w:hAnsi="宋体" w:eastAsia="宋体" w:cs="Times New Roman"/>
          <w:color w:val="auto"/>
          <w:sz w:val="21"/>
          <w:szCs w:val="21"/>
          <w:highlight w:val="none"/>
        </w:rPr>
        <w:t>。</w:t>
      </w:r>
    </w:p>
    <w:p w14:paraId="64386388">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选定争议评审员的期限：</w:t>
      </w:r>
      <w:r>
        <w:rPr>
          <w:rFonts w:hint="eastAsia" w:ascii="宋体" w:hAnsi="宋体" w:eastAsia="宋体" w:cs="Times New Roman"/>
          <w:color w:val="auto"/>
          <w:sz w:val="21"/>
          <w:szCs w:val="21"/>
          <w:highlight w:val="none"/>
          <w:u w:val="single"/>
        </w:rPr>
        <w:t>按照通用条款</w:t>
      </w:r>
      <w:r>
        <w:rPr>
          <w:rFonts w:ascii="宋体" w:hAnsi="宋体" w:eastAsia="宋体" w:cs="Times New Roman"/>
          <w:color w:val="auto"/>
          <w:sz w:val="21"/>
          <w:szCs w:val="21"/>
          <w:highlight w:val="none"/>
        </w:rPr>
        <w:t>。</w:t>
      </w:r>
    </w:p>
    <w:p w14:paraId="136AA6F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争议评审小组成员的报酬承担方式：</w:t>
      </w:r>
      <w:r>
        <w:rPr>
          <w:rFonts w:hint="eastAsia" w:ascii="宋体" w:hAnsi="宋体" w:eastAsia="宋体" w:cs="Times New Roman"/>
          <w:color w:val="auto"/>
          <w:sz w:val="21"/>
          <w:szCs w:val="21"/>
          <w:highlight w:val="none"/>
          <w:u w:val="single"/>
        </w:rPr>
        <w:t>按照通用条款按照通用条款</w:t>
      </w:r>
    </w:p>
    <w:p w14:paraId="572EA428">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其他事项的约定：</w:t>
      </w:r>
      <w:r>
        <w:rPr>
          <w:rFonts w:hint="eastAsia" w:ascii="宋体" w:hAnsi="宋体" w:eastAsia="宋体" w:cs="Times New Roman"/>
          <w:color w:val="auto"/>
          <w:sz w:val="21"/>
          <w:szCs w:val="21"/>
          <w:highlight w:val="none"/>
          <w:u w:val="single"/>
        </w:rPr>
        <w:t>按照通用条款</w:t>
      </w:r>
      <w:r>
        <w:rPr>
          <w:rFonts w:ascii="宋体" w:hAnsi="宋体" w:eastAsia="宋体" w:cs="Times New Roman"/>
          <w:color w:val="auto"/>
          <w:sz w:val="21"/>
          <w:szCs w:val="21"/>
          <w:highlight w:val="none"/>
        </w:rPr>
        <w:t>。</w:t>
      </w:r>
    </w:p>
    <w:p w14:paraId="60A05719">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20.3.2 争议评审小组的决定</w:t>
      </w:r>
    </w:p>
    <w:p w14:paraId="16EB04DF">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合同当事人关于本项的约定：</w:t>
      </w:r>
      <w:r>
        <w:rPr>
          <w:rFonts w:hint="eastAsia" w:ascii="宋体" w:hAnsi="宋体" w:eastAsia="宋体" w:cs="Times New Roman"/>
          <w:color w:val="auto"/>
          <w:sz w:val="21"/>
          <w:szCs w:val="21"/>
          <w:highlight w:val="none"/>
          <w:u w:val="single"/>
        </w:rPr>
        <w:t>按照通用条款</w:t>
      </w:r>
      <w:r>
        <w:rPr>
          <w:rFonts w:ascii="宋体" w:hAnsi="宋体" w:eastAsia="宋体" w:cs="Times New Roman"/>
          <w:color w:val="auto"/>
          <w:sz w:val="21"/>
          <w:szCs w:val="21"/>
          <w:highlight w:val="none"/>
        </w:rPr>
        <w:t>。</w:t>
      </w:r>
    </w:p>
    <w:p w14:paraId="5CF9D13D">
      <w:pPr>
        <w:spacing w:before="60" w:after="60" w:line="400" w:lineRule="exact"/>
        <w:ind w:firstLine="211"/>
        <w:outlineLvl w:val="3"/>
        <w:rPr>
          <w:rFonts w:ascii="宋体" w:hAnsi="宋体" w:eastAsia="宋体" w:cs="Times New Roman"/>
          <w:b/>
          <w:color w:val="auto"/>
          <w:sz w:val="21"/>
          <w:szCs w:val="21"/>
          <w:highlight w:val="none"/>
        </w:rPr>
      </w:pPr>
      <w:r>
        <w:rPr>
          <w:rFonts w:ascii="宋体" w:hAnsi="宋体" w:eastAsia="宋体" w:cs="Times New Roman"/>
          <w:b/>
          <w:color w:val="auto"/>
          <w:sz w:val="21"/>
          <w:szCs w:val="21"/>
          <w:highlight w:val="none"/>
        </w:rPr>
        <w:t>20.4仲裁或诉讼</w:t>
      </w:r>
    </w:p>
    <w:p w14:paraId="5250ADDD">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因合同及合同有关事项发生的争议，按下列第</w:t>
      </w:r>
      <w:r>
        <w:rPr>
          <w:rFonts w:ascii="宋体" w:hAnsi="宋体" w:eastAsia="宋体" w:cs="Times New Roman"/>
          <w:color w:val="auto"/>
          <w:sz w:val="21"/>
          <w:szCs w:val="21"/>
          <w:highlight w:val="none"/>
          <w:u w:val="single"/>
        </w:rPr>
        <w:t xml:space="preserve"> 2 </w:t>
      </w:r>
      <w:r>
        <w:rPr>
          <w:rFonts w:ascii="宋体" w:hAnsi="宋体" w:eastAsia="宋体" w:cs="Times New Roman"/>
          <w:color w:val="auto"/>
          <w:sz w:val="21"/>
          <w:szCs w:val="21"/>
          <w:highlight w:val="none"/>
        </w:rPr>
        <w:t xml:space="preserve">种方式解决： </w:t>
      </w:r>
    </w:p>
    <w:p w14:paraId="6DCD3415">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（1）向</w:t>
      </w:r>
      <w:r>
        <w:rPr>
          <w:rFonts w:ascii="宋体" w:hAnsi="宋体" w:eastAsia="宋体" w:cs="Times New Roman"/>
          <w:color w:val="auto"/>
          <w:sz w:val="21"/>
          <w:szCs w:val="21"/>
          <w:highlight w:val="none"/>
          <w:u w:val="single"/>
        </w:rPr>
        <w:t xml:space="preserve"> 盐城市 </w:t>
      </w:r>
      <w:r>
        <w:rPr>
          <w:rFonts w:ascii="宋体" w:hAnsi="宋体" w:eastAsia="宋体" w:cs="Times New Roman"/>
          <w:color w:val="auto"/>
          <w:sz w:val="21"/>
          <w:szCs w:val="21"/>
          <w:highlight w:val="none"/>
        </w:rPr>
        <w:t>仲裁委员会申请仲裁；</w:t>
      </w:r>
    </w:p>
    <w:p w14:paraId="21C50D01">
      <w:pPr>
        <w:spacing w:line="400" w:lineRule="exact"/>
        <w:ind w:firstLine="420"/>
        <w:rPr>
          <w:rFonts w:ascii="宋体" w:hAnsi="宋体" w:eastAsia="宋体" w:cs="Times New Roman"/>
          <w:color w:val="auto"/>
          <w:sz w:val="21"/>
          <w:szCs w:val="21"/>
          <w:highlight w:val="none"/>
        </w:rPr>
      </w:pPr>
      <w:r>
        <w:rPr>
          <w:rFonts w:ascii="宋体" w:hAnsi="宋体" w:eastAsia="宋体" w:cs="Times New Roman"/>
          <w:color w:val="auto"/>
          <w:sz w:val="21"/>
          <w:szCs w:val="21"/>
          <w:highlight w:val="none"/>
        </w:rPr>
        <w:t>（2）向</w:t>
      </w:r>
      <w:r>
        <w:rPr>
          <w:rFonts w:ascii="宋体" w:hAnsi="宋体" w:eastAsia="宋体" w:cs="Times New Roman"/>
          <w:color w:val="auto"/>
          <w:sz w:val="21"/>
          <w:szCs w:val="21"/>
          <w:highlight w:val="none"/>
          <w:u w:val="single"/>
        </w:rPr>
        <w:t xml:space="preserve"> </w:t>
      </w:r>
      <w:r>
        <w:rPr>
          <w:rFonts w:hint="eastAsia" w:ascii="宋体" w:hAnsi="宋体" w:eastAsia="宋体" w:cs="Times New Roman"/>
          <w:color w:val="auto"/>
          <w:sz w:val="21"/>
          <w:szCs w:val="21"/>
          <w:highlight w:val="none"/>
          <w:u w:val="single"/>
        </w:rPr>
        <w:t>工程所在地</w:t>
      </w:r>
      <w:r>
        <w:rPr>
          <w:rFonts w:ascii="宋体" w:hAnsi="宋体" w:eastAsia="宋体" w:cs="Times New Roman"/>
          <w:color w:val="auto"/>
          <w:sz w:val="21"/>
          <w:szCs w:val="21"/>
          <w:highlight w:val="none"/>
          <w:u w:val="single"/>
        </w:rPr>
        <w:t xml:space="preserve"> </w:t>
      </w:r>
      <w:r>
        <w:rPr>
          <w:rFonts w:ascii="宋体" w:hAnsi="宋体" w:eastAsia="宋体" w:cs="Times New Roman"/>
          <w:color w:val="auto"/>
          <w:sz w:val="21"/>
          <w:szCs w:val="21"/>
          <w:highlight w:val="none"/>
        </w:rPr>
        <w:t>人民法院起诉。</w:t>
      </w:r>
    </w:p>
    <w:p w14:paraId="3B7C3C71">
      <w:pPr>
        <w:keepNext/>
        <w:keepLines/>
        <w:widowControl w:val="0"/>
        <w:spacing w:before="260" w:after="260" w:line="416" w:lineRule="auto"/>
        <w:ind w:firstLine="147"/>
        <w:jc w:val="both"/>
        <w:outlineLvl w:val="2"/>
        <w:rPr>
          <w:rFonts w:hint="eastAsia" w:ascii="宋体" w:hAnsi="宋体" w:eastAsia="宋体" w:cs="宋体"/>
          <w:b/>
          <w:color w:val="auto"/>
          <w:sz w:val="24"/>
          <w:szCs w:val="24"/>
          <w:highlight w:val="none"/>
          <w:lang w:val="en-US" w:eastAsia="zh-CN" w:bidi="ar-SA"/>
        </w:rPr>
      </w:pPr>
    </w:p>
    <w:p w14:paraId="36E8EA82">
      <w:pPr>
        <w:widowControl w:val="0"/>
        <w:ind w:firstLine="420"/>
        <w:jc w:val="both"/>
        <w:rPr>
          <w:rFonts w:hint="eastAsia" w:ascii="宋体" w:hAnsi="宋体" w:eastAsia="宋体" w:cs="宋体"/>
          <w:color w:val="auto"/>
          <w:sz w:val="24"/>
          <w:szCs w:val="24"/>
          <w:highlight w:val="none"/>
          <w:lang w:val="en-US" w:eastAsia="zh-CN" w:bidi="ar-SA"/>
        </w:rPr>
      </w:pPr>
    </w:p>
    <w:p w14:paraId="27052EA2">
      <w:pPr>
        <w:widowControl w:val="0"/>
        <w:ind w:firstLine="420"/>
        <w:jc w:val="both"/>
        <w:rPr>
          <w:rFonts w:hint="eastAsia" w:ascii="宋体" w:hAnsi="宋体" w:eastAsia="宋体" w:cs="宋体"/>
          <w:color w:val="auto"/>
          <w:sz w:val="24"/>
          <w:szCs w:val="24"/>
          <w:highlight w:val="none"/>
          <w:lang w:val="en-US" w:eastAsia="zh-CN" w:bidi="ar-SA"/>
        </w:rPr>
      </w:pPr>
    </w:p>
    <w:p w14:paraId="54838D1A">
      <w:pPr>
        <w:widowControl w:val="0"/>
        <w:ind w:firstLine="420"/>
        <w:jc w:val="both"/>
        <w:rPr>
          <w:rFonts w:hint="eastAsia" w:ascii="宋体" w:hAnsi="宋体" w:eastAsia="宋体" w:cs="宋体"/>
          <w:color w:val="auto"/>
          <w:sz w:val="24"/>
          <w:szCs w:val="24"/>
          <w:highlight w:val="none"/>
          <w:lang w:val="en-US" w:eastAsia="zh-CN" w:bidi="ar-SA"/>
        </w:rPr>
      </w:pPr>
    </w:p>
    <w:p w14:paraId="34B6A704">
      <w:pPr>
        <w:widowControl w:val="0"/>
        <w:ind w:firstLine="420"/>
        <w:jc w:val="both"/>
        <w:rPr>
          <w:rFonts w:hint="eastAsia" w:ascii="宋体" w:hAnsi="宋体" w:eastAsia="宋体" w:cs="宋体"/>
          <w:color w:val="auto"/>
          <w:sz w:val="24"/>
          <w:szCs w:val="24"/>
          <w:highlight w:val="none"/>
          <w:lang w:val="en-US" w:eastAsia="zh-CN" w:bidi="ar-SA"/>
        </w:rPr>
      </w:pPr>
    </w:p>
    <w:p w14:paraId="4CB6E495">
      <w:pPr>
        <w:widowControl w:val="0"/>
        <w:ind w:firstLine="420"/>
        <w:jc w:val="both"/>
        <w:rPr>
          <w:rFonts w:hint="eastAsia" w:ascii="宋体" w:hAnsi="宋体" w:eastAsia="宋体" w:cs="宋体"/>
          <w:color w:val="auto"/>
          <w:sz w:val="24"/>
          <w:szCs w:val="24"/>
          <w:highlight w:val="none"/>
          <w:lang w:val="en-US" w:eastAsia="zh-CN" w:bidi="ar-SA"/>
        </w:rPr>
      </w:pPr>
    </w:p>
    <w:p w14:paraId="601FE204">
      <w:pPr>
        <w:widowControl w:val="0"/>
        <w:ind w:firstLine="420"/>
        <w:jc w:val="both"/>
        <w:rPr>
          <w:rFonts w:hint="eastAsia" w:ascii="宋体" w:hAnsi="宋体" w:eastAsia="宋体" w:cs="宋体"/>
          <w:color w:val="auto"/>
          <w:sz w:val="24"/>
          <w:szCs w:val="24"/>
          <w:highlight w:val="none"/>
          <w:lang w:val="en-US" w:eastAsia="zh-CN" w:bidi="ar-SA"/>
        </w:rPr>
      </w:pPr>
    </w:p>
    <w:p w14:paraId="69868007">
      <w:pPr>
        <w:widowControl w:val="0"/>
        <w:ind w:firstLine="420"/>
        <w:jc w:val="both"/>
        <w:rPr>
          <w:rFonts w:hint="eastAsia" w:ascii="宋体" w:hAnsi="宋体" w:eastAsia="宋体" w:cs="宋体"/>
          <w:color w:val="auto"/>
          <w:sz w:val="24"/>
          <w:szCs w:val="24"/>
          <w:highlight w:val="none"/>
          <w:lang w:val="en-US" w:eastAsia="zh-CN" w:bidi="ar-SA"/>
        </w:rPr>
      </w:pPr>
    </w:p>
    <w:p w14:paraId="43C9523A">
      <w:pPr>
        <w:widowControl w:val="0"/>
        <w:ind w:firstLine="420"/>
        <w:jc w:val="both"/>
        <w:rPr>
          <w:rFonts w:hint="eastAsia" w:ascii="宋体" w:hAnsi="宋体" w:eastAsia="宋体" w:cs="宋体"/>
          <w:color w:val="auto"/>
          <w:sz w:val="24"/>
          <w:szCs w:val="24"/>
          <w:highlight w:val="none"/>
          <w:lang w:val="en-US" w:eastAsia="zh-CN" w:bidi="ar-SA"/>
        </w:rPr>
      </w:pPr>
    </w:p>
    <w:p w14:paraId="07BADB29">
      <w:pPr>
        <w:widowControl w:val="0"/>
        <w:ind w:firstLine="420"/>
        <w:jc w:val="both"/>
        <w:rPr>
          <w:rFonts w:hint="eastAsia" w:ascii="宋体" w:hAnsi="宋体" w:eastAsia="宋体" w:cs="宋体"/>
          <w:color w:val="auto"/>
          <w:sz w:val="24"/>
          <w:szCs w:val="24"/>
          <w:highlight w:val="none"/>
          <w:lang w:val="en-US" w:eastAsia="zh-CN" w:bidi="ar-SA"/>
        </w:rPr>
      </w:pPr>
    </w:p>
    <w:p w14:paraId="33E577CB">
      <w:pPr>
        <w:widowControl w:val="0"/>
        <w:ind w:firstLine="420"/>
        <w:jc w:val="both"/>
        <w:rPr>
          <w:rFonts w:hint="eastAsia" w:ascii="宋体" w:hAnsi="宋体" w:eastAsia="宋体" w:cs="宋体"/>
          <w:color w:val="auto"/>
          <w:sz w:val="24"/>
          <w:szCs w:val="24"/>
          <w:highlight w:val="none"/>
          <w:lang w:val="en-US" w:eastAsia="zh-CN" w:bidi="ar-SA"/>
        </w:rPr>
      </w:pPr>
    </w:p>
    <w:p w14:paraId="529F1EDE">
      <w:pPr>
        <w:widowControl w:val="0"/>
        <w:ind w:firstLine="420"/>
        <w:jc w:val="both"/>
        <w:rPr>
          <w:rFonts w:hint="eastAsia" w:ascii="宋体" w:hAnsi="宋体" w:eastAsia="宋体" w:cs="宋体"/>
          <w:color w:val="auto"/>
          <w:sz w:val="24"/>
          <w:szCs w:val="24"/>
          <w:highlight w:val="none"/>
          <w:lang w:val="en-US" w:eastAsia="zh-CN" w:bidi="ar-SA"/>
        </w:rPr>
      </w:pPr>
    </w:p>
    <w:p w14:paraId="143DACC4">
      <w:pPr>
        <w:widowControl w:val="0"/>
        <w:ind w:firstLine="420"/>
        <w:jc w:val="both"/>
        <w:rPr>
          <w:rFonts w:hint="eastAsia" w:ascii="宋体" w:hAnsi="宋体" w:eastAsia="宋体" w:cs="宋体"/>
          <w:color w:val="auto"/>
          <w:sz w:val="24"/>
          <w:szCs w:val="24"/>
          <w:highlight w:val="none"/>
          <w:lang w:val="en-US" w:eastAsia="zh-CN" w:bidi="ar-SA"/>
        </w:rPr>
      </w:pPr>
    </w:p>
    <w:p w14:paraId="5D093969">
      <w:pPr>
        <w:widowControl w:val="0"/>
        <w:ind w:firstLine="420"/>
        <w:jc w:val="both"/>
        <w:rPr>
          <w:rFonts w:hint="eastAsia" w:ascii="宋体" w:hAnsi="宋体" w:eastAsia="宋体" w:cs="宋体"/>
          <w:color w:val="auto"/>
          <w:sz w:val="24"/>
          <w:szCs w:val="24"/>
          <w:highlight w:val="none"/>
          <w:lang w:val="en-US" w:eastAsia="zh-CN" w:bidi="ar-SA"/>
        </w:rPr>
      </w:pPr>
    </w:p>
    <w:p w14:paraId="1DE442EA">
      <w:pPr>
        <w:widowControl w:val="0"/>
        <w:ind w:firstLine="420"/>
        <w:jc w:val="both"/>
        <w:rPr>
          <w:rFonts w:hint="eastAsia" w:ascii="宋体" w:hAnsi="宋体" w:eastAsia="宋体" w:cs="宋体"/>
          <w:color w:val="auto"/>
          <w:sz w:val="24"/>
          <w:szCs w:val="24"/>
          <w:highlight w:val="none"/>
          <w:lang w:val="en-US" w:eastAsia="zh-CN" w:bidi="ar-SA"/>
        </w:rPr>
      </w:pPr>
    </w:p>
    <w:p w14:paraId="2F10C227">
      <w:pPr>
        <w:widowControl w:val="0"/>
        <w:ind w:firstLine="420"/>
        <w:jc w:val="both"/>
        <w:rPr>
          <w:rFonts w:hint="eastAsia" w:ascii="宋体" w:hAnsi="宋体" w:eastAsia="宋体" w:cs="宋体"/>
          <w:color w:val="auto"/>
          <w:sz w:val="24"/>
          <w:szCs w:val="24"/>
          <w:highlight w:val="none"/>
          <w:lang w:val="en-US" w:eastAsia="zh-CN" w:bidi="ar-SA"/>
        </w:rPr>
      </w:pPr>
    </w:p>
    <w:p w14:paraId="224E38CD">
      <w:pPr>
        <w:widowControl w:val="0"/>
        <w:ind w:firstLine="420"/>
        <w:jc w:val="both"/>
        <w:rPr>
          <w:rFonts w:hint="eastAsia" w:ascii="宋体" w:hAnsi="宋体" w:eastAsia="宋体" w:cs="宋体"/>
          <w:color w:val="auto"/>
          <w:sz w:val="24"/>
          <w:szCs w:val="24"/>
          <w:highlight w:val="none"/>
          <w:lang w:val="en-US" w:eastAsia="zh-CN" w:bidi="ar-SA"/>
        </w:rPr>
      </w:pPr>
    </w:p>
    <w:p w14:paraId="4260ED16">
      <w:pPr>
        <w:widowControl w:val="0"/>
        <w:ind w:firstLine="420"/>
        <w:jc w:val="both"/>
        <w:rPr>
          <w:rFonts w:hint="eastAsia" w:ascii="宋体" w:hAnsi="宋体" w:eastAsia="宋体" w:cs="宋体"/>
          <w:color w:val="auto"/>
          <w:sz w:val="24"/>
          <w:szCs w:val="24"/>
          <w:highlight w:val="none"/>
          <w:lang w:val="en-US" w:eastAsia="zh-CN" w:bidi="ar-SA"/>
        </w:rPr>
      </w:pPr>
    </w:p>
    <w:p w14:paraId="5F43C0AE">
      <w:pPr>
        <w:keepNext/>
        <w:keepLines/>
        <w:widowControl w:val="0"/>
        <w:spacing w:before="260" w:after="260" w:line="416" w:lineRule="auto"/>
        <w:ind w:firstLine="147"/>
        <w:jc w:val="both"/>
        <w:outlineLvl w:val="2"/>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附件</w:t>
      </w:r>
      <w:bookmarkEnd w:id="158"/>
    </w:p>
    <w:p w14:paraId="486EFF8A">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协议书附件：</w:t>
      </w:r>
    </w:p>
    <w:p w14:paraId="0E6BC2F0">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附件1：承包人承揽工程项目一览表</w:t>
      </w:r>
    </w:p>
    <w:p w14:paraId="4029930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专用合同条款附件：</w:t>
      </w:r>
    </w:p>
    <w:p w14:paraId="3B7B4C4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附件2：发包人供应材料设备一览表</w:t>
      </w:r>
    </w:p>
    <w:p w14:paraId="20B38F52">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附件3：工程质量保修书</w:t>
      </w:r>
    </w:p>
    <w:p w14:paraId="32BD1396">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附件4：主要建设工程文件目录</w:t>
      </w:r>
    </w:p>
    <w:p w14:paraId="5361E9C5">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附件5：承包人用于本工程施工的机械设备表</w:t>
      </w:r>
    </w:p>
    <w:p w14:paraId="36B35EC1">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附件6：承包人主要施工管理人员表</w:t>
      </w:r>
    </w:p>
    <w:p w14:paraId="210CE85C">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附件7：分包人主要施工管理人员表</w:t>
      </w:r>
    </w:p>
    <w:p w14:paraId="2278BD6F">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附件8：履约担保格式</w:t>
      </w:r>
    </w:p>
    <w:p w14:paraId="0BD74D4D">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附件9：预付款担保格式</w:t>
      </w:r>
    </w:p>
    <w:p w14:paraId="26D9B922">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附件10：支付担保格式</w:t>
      </w:r>
    </w:p>
    <w:p w14:paraId="16477F8C">
      <w:pPr>
        <w:spacing w:line="360" w:lineRule="auto"/>
        <w:jc w:val="left"/>
        <w:rPr>
          <w:rFonts w:hint="eastAsia" w:ascii="宋体" w:hAnsi="宋体" w:eastAsia="宋体" w:cs="宋体"/>
          <w:color w:val="auto"/>
          <w:sz w:val="24"/>
          <w:szCs w:val="24"/>
          <w:highlight w:val="none"/>
        </w:rPr>
        <w:sectPr>
          <w:footerReference r:id="rId10" w:type="first"/>
          <w:footerReference r:id="rId9" w:type="default"/>
          <w:pgSz w:w="11906" w:h="16838"/>
          <w:pgMar w:top="1418" w:right="1555" w:bottom="1418" w:left="1531" w:header="851" w:footer="992" w:gutter="0"/>
          <w:pgNumType w:start="22"/>
          <w:cols w:space="1701" w:num="1"/>
          <w:titlePg/>
          <w:docGrid w:linePitch="360" w:charSpace="0"/>
        </w:sectPr>
      </w:pPr>
      <w:r>
        <w:rPr>
          <w:rFonts w:hint="eastAsia" w:ascii="宋体" w:hAnsi="宋体" w:eastAsia="宋体" w:cs="宋体"/>
          <w:color w:val="auto"/>
          <w:sz w:val="24"/>
          <w:szCs w:val="24"/>
          <w:highlight w:val="none"/>
        </w:rPr>
        <w:t>附件11：暂估价一览表</w:t>
      </w:r>
    </w:p>
    <w:p w14:paraId="7A18A1F3">
      <w:pPr>
        <w:spacing w:before="156" w:after="156" w:line="440" w:lineRule="exact"/>
        <w:jc w:val="lef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附件1：</w:t>
      </w:r>
    </w:p>
    <w:p w14:paraId="5A549BDC">
      <w:pPr>
        <w:spacing w:before="156" w:after="156" w:line="440" w:lineRule="exact"/>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承包人承揽工程项目一览表</w:t>
      </w:r>
    </w:p>
    <w:tbl>
      <w:tblPr>
        <w:tblStyle w:val="40"/>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76D097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c>
          <w:tcPr>
            <w:tcW w:w="1277" w:type="dxa"/>
            <w:noWrap w:val="0"/>
            <w:vAlign w:val="center"/>
          </w:tcPr>
          <w:p w14:paraId="761F411C">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单位工程名称</w:t>
            </w:r>
          </w:p>
        </w:tc>
        <w:tc>
          <w:tcPr>
            <w:tcW w:w="1843" w:type="dxa"/>
            <w:noWrap w:val="0"/>
            <w:vAlign w:val="center"/>
          </w:tcPr>
          <w:p w14:paraId="6F643609">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建设规模</w:t>
            </w:r>
          </w:p>
        </w:tc>
        <w:tc>
          <w:tcPr>
            <w:tcW w:w="1417" w:type="dxa"/>
            <w:noWrap w:val="0"/>
            <w:vAlign w:val="center"/>
          </w:tcPr>
          <w:p w14:paraId="5FD4F1E8">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建筑面积(平方米)</w:t>
            </w:r>
          </w:p>
        </w:tc>
        <w:tc>
          <w:tcPr>
            <w:tcW w:w="2410" w:type="dxa"/>
            <w:noWrap w:val="0"/>
            <w:vAlign w:val="center"/>
          </w:tcPr>
          <w:p w14:paraId="2996FF16">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结构形式</w:t>
            </w:r>
          </w:p>
        </w:tc>
        <w:tc>
          <w:tcPr>
            <w:tcW w:w="850" w:type="dxa"/>
            <w:noWrap w:val="0"/>
            <w:vAlign w:val="center"/>
          </w:tcPr>
          <w:p w14:paraId="04E6E6B0">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层数</w:t>
            </w:r>
          </w:p>
        </w:tc>
        <w:tc>
          <w:tcPr>
            <w:tcW w:w="1560" w:type="dxa"/>
            <w:noWrap w:val="0"/>
            <w:vAlign w:val="center"/>
          </w:tcPr>
          <w:p w14:paraId="1E2661C5">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生产能力</w:t>
            </w:r>
          </w:p>
        </w:tc>
        <w:tc>
          <w:tcPr>
            <w:tcW w:w="2126" w:type="dxa"/>
            <w:noWrap w:val="0"/>
            <w:vAlign w:val="center"/>
          </w:tcPr>
          <w:p w14:paraId="52083AEA">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设备安装内容</w:t>
            </w:r>
          </w:p>
        </w:tc>
        <w:tc>
          <w:tcPr>
            <w:tcW w:w="1417" w:type="dxa"/>
            <w:noWrap w:val="0"/>
            <w:vAlign w:val="center"/>
          </w:tcPr>
          <w:p w14:paraId="7AAB2CEF">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合同价格（元）</w:t>
            </w:r>
          </w:p>
        </w:tc>
        <w:tc>
          <w:tcPr>
            <w:tcW w:w="851" w:type="dxa"/>
            <w:noWrap w:val="0"/>
            <w:vAlign w:val="center"/>
          </w:tcPr>
          <w:p w14:paraId="30DB8B8E">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开工日期</w:t>
            </w:r>
          </w:p>
        </w:tc>
        <w:tc>
          <w:tcPr>
            <w:tcW w:w="850" w:type="dxa"/>
            <w:noWrap w:val="0"/>
            <w:vAlign w:val="center"/>
          </w:tcPr>
          <w:p w14:paraId="6798EEF2">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竣工日期</w:t>
            </w:r>
          </w:p>
        </w:tc>
      </w:tr>
      <w:tr w14:paraId="7C70E47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550C18D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843" w:type="dxa"/>
            <w:noWrap w:val="0"/>
            <w:vAlign w:val="center"/>
          </w:tcPr>
          <w:p w14:paraId="38F6D57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289C21B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410" w:type="dxa"/>
            <w:noWrap w:val="0"/>
            <w:vAlign w:val="center"/>
          </w:tcPr>
          <w:p w14:paraId="1D2DBC8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032955A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560" w:type="dxa"/>
            <w:noWrap w:val="0"/>
            <w:vAlign w:val="center"/>
          </w:tcPr>
          <w:p w14:paraId="16180BB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126" w:type="dxa"/>
            <w:noWrap w:val="0"/>
            <w:vAlign w:val="center"/>
          </w:tcPr>
          <w:p w14:paraId="75704E3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370833E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026FBE8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7DC86CC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747321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565D18F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843" w:type="dxa"/>
            <w:noWrap w:val="0"/>
            <w:vAlign w:val="center"/>
          </w:tcPr>
          <w:p w14:paraId="4794D8E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717232C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410" w:type="dxa"/>
            <w:noWrap w:val="0"/>
            <w:vAlign w:val="center"/>
          </w:tcPr>
          <w:p w14:paraId="1CE2F39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52DB8CC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560" w:type="dxa"/>
            <w:noWrap w:val="0"/>
            <w:vAlign w:val="center"/>
          </w:tcPr>
          <w:p w14:paraId="6ED2FF2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126" w:type="dxa"/>
            <w:noWrap w:val="0"/>
            <w:vAlign w:val="center"/>
          </w:tcPr>
          <w:p w14:paraId="54FD5A7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46F73CA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1F5E186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622FCDE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2F77DB7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6439E24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843" w:type="dxa"/>
            <w:noWrap w:val="0"/>
            <w:vAlign w:val="center"/>
          </w:tcPr>
          <w:p w14:paraId="2B4067C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6112F36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410" w:type="dxa"/>
            <w:noWrap w:val="0"/>
            <w:vAlign w:val="center"/>
          </w:tcPr>
          <w:p w14:paraId="12E39AB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2F3B9BF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560" w:type="dxa"/>
            <w:noWrap w:val="0"/>
            <w:vAlign w:val="center"/>
          </w:tcPr>
          <w:p w14:paraId="7196714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126" w:type="dxa"/>
            <w:noWrap w:val="0"/>
            <w:vAlign w:val="center"/>
          </w:tcPr>
          <w:p w14:paraId="4191FF1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24B3438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09F469C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4E2A522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741E0C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4DCF79E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843" w:type="dxa"/>
            <w:noWrap w:val="0"/>
            <w:vAlign w:val="center"/>
          </w:tcPr>
          <w:p w14:paraId="5CFB0AC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3520D0A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410" w:type="dxa"/>
            <w:noWrap w:val="0"/>
            <w:vAlign w:val="center"/>
          </w:tcPr>
          <w:p w14:paraId="4A96230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0A7B611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560" w:type="dxa"/>
            <w:noWrap w:val="0"/>
            <w:vAlign w:val="center"/>
          </w:tcPr>
          <w:p w14:paraId="51004E6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126" w:type="dxa"/>
            <w:noWrap w:val="0"/>
            <w:vAlign w:val="center"/>
          </w:tcPr>
          <w:p w14:paraId="0923831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13372E3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1791E43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663C9BD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79E9336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702053A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843" w:type="dxa"/>
            <w:noWrap w:val="0"/>
            <w:vAlign w:val="center"/>
          </w:tcPr>
          <w:p w14:paraId="6D70797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1A088D4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410" w:type="dxa"/>
            <w:noWrap w:val="0"/>
            <w:vAlign w:val="center"/>
          </w:tcPr>
          <w:p w14:paraId="362B902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37CAE4F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560" w:type="dxa"/>
            <w:noWrap w:val="0"/>
            <w:vAlign w:val="center"/>
          </w:tcPr>
          <w:p w14:paraId="2F0F408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126" w:type="dxa"/>
            <w:noWrap w:val="0"/>
            <w:vAlign w:val="center"/>
          </w:tcPr>
          <w:p w14:paraId="0A49895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47FE652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6271845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42FDFEA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576370A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6AD4645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843" w:type="dxa"/>
            <w:noWrap w:val="0"/>
            <w:vAlign w:val="center"/>
          </w:tcPr>
          <w:p w14:paraId="509EAAF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42ED87F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410" w:type="dxa"/>
            <w:noWrap w:val="0"/>
            <w:vAlign w:val="center"/>
          </w:tcPr>
          <w:p w14:paraId="257CDAF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7A7508A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560" w:type="dxa"/>
            <w:noWrap w:val="0"/>
            <w:vAlign w:val="center"/>
          </w:tcPr>
          <w:p w14:paraId="046786D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126" w:type="dxa"/>
            <w:noWrap w:val="0"/>
            <w:vAlign w:val="center"/>
          </w:tcPr>
          <w:p w14:paraId="42E6952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5C0359B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0ADFC3E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02DC340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34C3F0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6F4BB92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843" w:type="dxa"/>
            <w:noWrap w:val="0"/>
            <w:vAlign w:val="center"/>
          </w:tcPr>
          <w:p w14:paraId="4647B95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1FAF28E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410" w:type="dxa"/>
            <w:noWrap w:val="0"/>
            <w:vAlign w:val="center"/>
          </w:tcPr>
          <w:p w14:paraId="7B379C5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4174B1A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560" w:type="dxa"/>
            <w:noWrap w:val="0"/>
            <w:vAlign w:val="center"/>
          </w:tcPr>
          <w:p w14:paraId="423321E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126" w:type="dxa"/>
            <w:noWrap w:val="0"/>
            <w:vAlign w:val="center"/>
          </w:tcPr>
          <w:p w14:paraId="729A955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52AE645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3BF9F57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764E550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271425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0F659A3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843" w:type="dxa"/>
            <w:noWrap w:val="0"/>
            <w:vAlign w:val="center"/>
          </w:tcPr>
          <w:p w14:paraId="3E6F904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22C0D6C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410" w:type="dxa"/>
            <w:noWrap w:val="0"/>
            <w:vAlign w:val="center"/>
          </w:tcPr>
          <w:p w14:paraId="177E67B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0902EE4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560" w:type="dxa"/>
            <w:noWrap w:val="0"/>
            <w:vAlign w:val="center"/>
          </w:tcPr>
          <w:p w14:paraId="1DD31A9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126" w:type="dxa"/>
            <w:noWrap w:val="0"/>
            <w:vAlign w:val="center"/>
          </w:tcPr>
          <w:p w14:paraId="14BDD68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7C22233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7205393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2C5C48D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2D76B61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46F9C86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843" w:type="dxa"/>
            <w:noWrap w:val="0"/>
            <w:vAlign w:val="center"/>
          </w:tcPr>
          <w:p w14:paraId="2CDF920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0878F77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410" w:type="dxa"/>
            <w:noWrap w:val="0"/>
            <w:vAlign w:val="center"/>
          </w:tcPr>
          <w:p w14:paraId="476A67A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782E20B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560" w:type="dxa"/>
            <w:noWrap w:val="0"/>
            <w:vAlign w:val="center"/>
          </w:tcPr>
          <w:p w14:paraId="0EB47AC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126" w:type="dxa"/>
            <w:noWrap w:val="0"/>
            <w:vAlign w:val="center"/>
          </w:tcPr>
          <w:p w14:paraId="09BB3EB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0618F69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2A6F914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65D2FB7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0374965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277" w:type="dxa"/>
            <w:noWrap w:val="0"/>
            <w:vAlign w:val="center"/>
          </w:tcPr>
          <w:p w14:paraId="3D8CB2C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843" w:type="dxa"/>
            <w:noWrap w:val="0"/>
            <w:vAlign w:val="center"/>
          </w:tcPr>
          <w:p w14:paraId="1552D85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758FEF8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410" w:type="dxa"/>
            <w:noWrap w:val="0"/>
            <w:vAlign w:val="center"/>
          </w:tcPr>
          <w:p w14:paraId="5CA4AEA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110EBBB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560" w:type="dxa"/>
            <w:noWrap w:val="0"/>
            <w:vAlign w:val="center"/>
          </w:tcPr>
          <w:p w14:paraId="443A531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126" w:type="dxa"/>
            <w:noWrap w:val="0"/>
            <w:vAlign w:val="center"/>
          </w:tcPr>
          <w:p w14:paraId="0294ABB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05523FF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630339B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524F5E6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4F675CE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295" w:hRule="atLeast"/>
        </w:trPr>
        <w:tc>
          <w:tcPr>
            <w:tcW w:w="1277" w:type="dxa"/>
            <w:noWrap w:val="0"/>
            <w:vAlign w:val="center"/>
          </w:tcPr>
          <w:p w14:paraId="4ADF22D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843" w:type="dxa"/>
            <w:noWrap w:val="0"/>
            <w:vAlign w:val="center"/>
          </w:tcPr>
          <w:p w14:paraId="2F292D2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115D367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410" w:type="dxa"/>
            <w:noWrap w:val="0"/>
            <w:vAlign w:val="center"/>
          </w:tcPr>
          <w:p w14:paraId="7B8ADD1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0B9BB21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560" w:type="dxa"/>
            <w:noWrap w:val="0"/>
            <w:vAlign w:val="center"/>
          </w:tcPr>
          <w:p w14:paraId="7D6A8B2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2126" w:type="dxa"/>
            <w:noWrap w:val="0"/>
            <w:vAlign w:val="center"/>
          </w:tcPr>
          <w:p w14:paraId="7DB23AA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7" w:type="dxa"/>
            <w:noWrap w:val="0"/>
            <w:vAlign w:val="center"/>
          </w:tcPr>
          <w:p w14:paraId="550B6A8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6F95FC1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642DDB8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bl>
    <w:p w14:paraId="7AF8109E">
      <w:pPr>
        <w:spacing w:line="440" w:lineRule="exact"/>
        <w:rPr>
          <w:rFonts w:hint="eastAsia" w:ascii="宋体" w:hAnsi="宋体" w:eastAsia="宋体" w:cs="宋体"/>
          <w:b/>
          <w:color w:val="auto"/>
          <w:sz w:val="30"/>
          <w:szCs w:val="30"/>
          <w:highlight w:val="none"/>
        </w:rPr>
        <w:sectPr>
          <w:footerReference r:id="rId12" w:type="first"/>
          <w:footerReference r:id="rId11" w:type="default"/>
          <w:pgSz w:w="16838" w:h="11906" w:orient="landscape"/>
          <w:pgMar w:top="1554" w:right="1418" w:bottom="1531" w:left="1418" w:header="851" w:footer="992" w:gutter="0"/>
          <w:cols w:space="1701" w:num="1"/>
          <w:titlePg/>
          <w:docGrid w:linePitch="360" w:charSpace="0"/>
        </w:sectPr>
      </w:pPr>
    </w:p>
    <w:p w14:paraId="4F6F6F72">
      <w:pPr>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附</w:t>
      </w:r>
      <w:bookmarkStart w:id="172" w:name="_Toc296503225"/>
      <w:bookmarkStart w:id="173" w:name="_Toc296891053"/>
      <w:bookmarkStart w:id="174" w:name="_Toc296944564"/>
      <w:bookmarkStart w:id="175" w:name="_Toc267261692"/>
      <w:bookmarkStart w:id="176" w:name="_Toc296891265"/>
      <w:bookmarkStart w:id="177" w:name="_Toc296346726"/>
      <w:bookmarkStart w:id="178" w:name="_Toc296347224"/>
      <w:r>
        <w:rPr>
          <w:rFonts w:hint="eastAsia" w:ascii="宋体" w:hAnsi="宋体" w:eastAsia="宋体" w:cs="宋体"/>
          <w:color w:val="auto"/>
          <w:sz w:val="30"/>
          <w:szCs w:val="30"/>
          <w:highlight w:val="none"/>
        </w:rPr>
        <w:t>件2：</w:t>
      </w:r>
      <w:bookmarkEnd w:id="172"/>
      <w:bookmarkEnd w:id="173"/>
      <w:bookmarkEnd w:id="174"/>
      <w:bookmarkEnd w:id="175"/>
      <w:bookmarkEnd w:id="176"/>
      <w:bookmarkEnd w:id="177"/>
      <w:bookmarkEnd w:id="178"/>
    </w:p>
    <w:p w14:paraId="6284F972">
      <w:pPr>
        <w:spacing w:before="120" w:after="120" w:line="440" w:lineRule="exact"/>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发包人供应材料设备一览表</w:t>
      </w:r>
    </w:p>
    <w:tbl>
      <w:tblPr>
        <w:tblStyle w:val="4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303C10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51" w:type="dxa"/>
            <w:noWrap w:val="0"/>
            <w:vAlign w:val="center"/>
          </w:tcPr>
          <w:p w14:paraId="2738D533">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序号</w:t>
            </w:r>
          </w:p>
        </w:tc>
        <w:tc>
          <w:tcPr>
            <w:tcW w:w="1276" w:type="dxa"/>
            <w:noWrap w:val="0"/>
            <w:vAlign w:val="center"/>
          </w:tcPr>
          <w:p w14:paraId="618DC1F7">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 xml:space="preserve">  材料、</w:t>
            </w:r>
          </w:p>
          <w:p w14:paraId="7DE269D7">
            <w:pPr>
              <w:keepNext/>
              <w:widowControl w:val="0"/>
              <w:spacing w:after="0" w:line="440" w:lineRule="exact"/>
              <w:ind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设备品种</w:t>
            </w:r>
          </w:p>
        </w:tc>
        <w:tc>
          <w:tcPr>
            <w:tcW w:w="1418" w:type="dxa"/>
            <w:noWrap w:val="0"/>
            <w:vAlign w:val="center"/>
          </w:tcPr>
          <w:p w14:paraId="40F8C597">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规格型号</w:t>
            </w:r>
          </w:p>
        </w:tc>
        <w:tc>
          <w:tcPr>
            <w:tcW w:w="940" w:type="dxa"/>
            <w:noWrap w:val="0"/>
            <w:vAlign w:val="center"/>
          </w:tcPr>
          <w:p w14:paraId="6F9ABF07">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单位</w:t>
            </w:r>
          </w:p>
        </w:tc>
        <w:tc>
          <w:tcPr>
            <w:tcW w:w="851" w:type="dxa"/>
            <w:noWrap w:val="0"/>
            <w:vAlign w:val="center"/>
          </w:tcPr>
          <w:p w14:paraId="2613D898">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数量</w:t>
            </w:r>
          </w:p>
        </w:tc>
        <w:tc>
          <w:tcPr>
            <w:tcW w:w="1044" w:type="dxa"/>
            <w:noWrap w:val="0"/>
            <w:vAlign w:val="center"/>
          </w:tcPr>
          <w:p w14:paraId="628EBC96">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单价（元）</w:t>
            </w:r>
          </w:p>
        </w:tc>
        <w:tc>
          <w:tcPr>
            <w:tcW w:w="992" w:type="dxa"/>
            <w:noWrap w:val="0"/>
            <w:vAlign w:val="center"/>
          </w:tcPr>
          <w:p w14:paraId="2191400D">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质量等级</w:t>
            </w:r>
          </w:p>
        </w:tc>
        <w:tc>
          <w:tcPr>
            <w:tcW w:w="851" w:type="dxa"/>
            <w:noWrap w:val="0"/>
            <w:vAlign w:val="center"/>
          </w:tcPr>
          <w:p w14:paraId="4832B3B3">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供应时间</w:t>
            </w:r>
          </w:p>
        </w:tc>
        <w:tc>
          <w:tcPr>
            <w:tcW w:w="1487" w:type="dxa"/>
            <w:noWrap w:val="0"/>
            <w:vAlign w:val="center"/>
          </w:tcPr>
          <w:p w14:paraId="6771B184">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送达地点</w:t>
            </w:r>
          </w:p>
        </w:tc>
        <w:tc>
          <w:tcPr>
            <w:tcW w:w="992" w:type="dxa"/>
            <w:noWrap w:val="0"/>
            <w:vAlign w:val="center"/>
          </w:tcPr>
          <w:p w14:paraId="262F75C6">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备注</w:t>
            </w:r>
          </w:p>
        </w:tc>
      </w:tr>
      <w:tr w14:paraId="13AD95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996849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4B2C631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04B62AA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40" w:type="dxa"/>
            <w:noWrap w:val="0"/>
            <w:vAlign w:val="center"/>
          </w:tcPr>
          <w:p w14:paraId="76BDC3A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72B56DA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44" w:type="dxa"/>
            <w:noWrap w:val="0"/>
            <w:vAlign w:val="center"/>
          </w:tcPr>
          <w:p w14:paraId="3920956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546D6A2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04C4697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7" w:type="dxa"/>
            <w:noWrap w:val="0"/>
            <w:vAlign w:val="center"/>
          </w:tcPr>
          <w:p w14:paraId="264A8E6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75D5246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02F720D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C70360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29D1429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17B021E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40" w:type="dxa"/>
            <w:noWrap w:val="0"/>
            <w:vAlign w:val="center"/>
          </w:tcPr>
          <w:p w14:paraId="39B0AE0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61F4077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44" w:type="dxa"/>
            <w:noWrap w:val="0"/>
            <w:vAlign w:val="center"/>
          </w:tcPr>
          <w:p w14:paraId="26E501F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2A3EF94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3CAF2A2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7" w:type="dxa"/>
            <w:noWrap w:val="0"/>
            <w:vAlign w:val="center"/>
          </w:tcPr>
          <w:p w14:paraId="277FEF2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35E6E43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3432A57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C4C166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0E6F8DF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368E610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40" w:type="dxa"/>
            <w:noWrap w:val="0"/>
            <w:vAlign w:val="center"/>
          </w:tcPr>
          <w:p w14:paraId="00DAF1B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4D49AD3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44" w:type="dxa"/>
            <w:noWrap w:val="0"/>
            <w:vAlign w:val="center"/>
          </w:tcPr>
          <w:p w14:paraId="2EEC446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45F4B60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2351E51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7" w:type="dxa"/>
            <w:noWrap w:val="0"/>
            <w:vAlign w:val="center"/>
          </w:tcPr>
          <w:p w14:paraId="36E4210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4A8A9B4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740515D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6C4182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46B7A6F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299198C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40" w:type="dxa"/>
            <w:noWrap w:val="0"/>
            <w:vAlign w:val="center"/>
          </w:tcPr>
          <w:p w14:paraId="3DAC8C9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67F2029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44" w:type="dxa"/>
            <w:noWrap w:val="0"/>
            <w:vAlign w:val="center"/>
          </w:tcPr>
          <w:p w14:paraId="076621E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78B084C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3119560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7" w:type="dxa"/>
            <w:noWrap w:val="0"/>
            <w:vAlign w:val="center"/>
          </w:tcPr>
          <w:p w14:paraId="54A6EA9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470E0CE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08522C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7AD9CD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13E8C8C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41D960D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40" w:type="dxa"/>
            <w:noWrap w:val="0"/>
            <w:vAlign w:val="center"/>
          </w:tcPr>
          <w:p w14:paraId="1AF2B80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70CA205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44" w:type="dxa"/>
            <w:noWrap w:val="0"/>
            <w:vAlign w:val="center"/>
          </w:tcPr>
          <w:p w14:paraId="5885473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013B3C2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20A3673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7" w:type="dxa"/>
            <w:noWrap w:val="0"/>
            <w:vAlign w:val="center"/>
          </w:tcPr>
          <w:p w14:paraId="49AC356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14B266A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515DE4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27441E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0857030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53BD666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40" w:type="dxa"/>
            <w:noWrap w:val="0"/>
            <w:vAlign w:val="center"/>
          </w:tcPr>
          <w:p w14:paraId="328B987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68151A6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44" w:type="dxa"/>
            <w:noWrap w:val="0"/>
            <w:vAlign w:val="center"/>
          </w:tcPr>
          <w:p w14:paraId="759310D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57765F3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6B92211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7" w:type="dxa"/>
            <w:noWrap w:val="0"/>
            <w:vAlign w:val="center"/>
          </w:tcPr>
          <w:p w14:paraId="1C72AB9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5275DB9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1C41607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BA01BA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142D94F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2CCD998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40" w:type="dxa"/>
            <w:noWrap w:val="0"/>
            <w:vAlign w:val="center"/>
          </w:tcPr>
          <w:p w14:paraId="4089779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2137054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44" w:type="dxa"/>
            <w:noWrap w:val="0"/>
            <w:vAlign w:val="center"/>
          </w:tcPr>
          <w:p w14:paraId="617EEC2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47010AE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6F9A959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7" w:type="dxa"/>
            <w:noWrap w:val="0"/>
            <w:vAlign w:val="center"/>
          </w:tcPr>
          <w:p w14:paraId="355F0E8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58B4E03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7E4A86B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7B6597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74D4EC3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5CF4E81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40" w:type="dxa"/>
            <w:noWrap w:val="0"/>
            <w:vAlign w:val="center"/>
          </w:tcPr>
          <w:p w14:paraId="0C0C781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0CC0629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44" w:type="dxa"/>
            <w:noWrap w:val="0"/>
            <w:vAlign w:val="center"/>
          </w:tcPr>
          <w:p w14:paraId="0C97CDC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1E40F20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5CF5C37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7" w:type="dxa"/>
            <w:noWrap w:val="0"/>
            <w:vAlign w:val="center"/>
          </w:tcPr>
          <w:p w14:paraId="79A7B91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4D58EC2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2B510C2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A5BFEA6">
            <w:pPr>
              <w:jc w:val="center"/>
              <w:rPr>
                <w:rFonts w:hint="eastAsia" w:ascii="宋体" w:hAnsi="宋体" w:eastAsia="宋体" w:cs="宋体"/>
                <w:color w:val="auto"/>
                <w:sz w:val="30"/>
                <w:szCs w:val="30"/>
                <w:highlight w:val="none"/>
              </w:rPr>
            </w:pPr>
          </w:p>
        </w:tc>
        <w:tc>
          <w:tcPr>
            <w:tcW w:w="1276" w:type="dxa"/>
            <w:noWrap w:val="0"/>
            <w:vAlign w:val="center"/>
          </w:tcPr>
          <w:p w14:paraId="3F63DDB0">
            <w:pPr>
              <w:jc w:val="center"/>
              <w:rPr>
                <w:rFonts w:hint="eastAsia" w:ascii="宋体" w:hAnsi="宋体" w:eastAsia="宋体" w:cs="宋体"/>
                <w:color w:val="auto"/>
                <w:sz w:val="30"/>
                <w:szCs w:val="30"/>
                <w:highlight w:val="none"/>
              </w:rPr>
            </w:pPr>
          </w:p>
        </w:tc>
        <w:tc>
          <w:tcPr>
            <w:tcW w:w="1418" w:type="dxa"/>
            <w:noWrap w:val="0"/>
            <w:vAlign w:val="center"/>
          </w:tcPr>
          <w:p w14:paraId="2285F57E">
            <w:pPr>
              <w:jc w:val="center"/>
              <w:rPr>
                <w:rFonts w:hint="eastAsia" w:ascii="宋体" w:hAnsi="宋体" w:eastAsia="宋体" w:cs="宋体"/>
                <w:color w:val="auto"/>
                <w:sz w:val="30"/>
                <w:szCs w:val="30"/>
                <w:highlight w:val="none"/>
              </w:rPr>
            </w:pPr>
          </w:p>
        </w:tc>
        <w:tc>
          <w:tcPr>
            <w:tcW w:w="940" w:type="dxa"/>
            <w:noWrap w:val="0"/>
            <w:vAlign w:val="center"/>
          </w:tcPr>
          <w:p w14:paraId="4B0EEC53">
            <w:pPr>
              <w:jc w:val="center"/>
              <w:rPr>
                <w:rFonts w:hint="eastAsia" w:ascii="宋体" w:hAnsi="宋体" w:eastAsia="宋体" w:cs="宋体"/>
                <w:color w:val="auto"/>
                <w:sz w:val="30"/>
                <w:szCs w:val="30"/>
                <w:highlight w:val="none"/>
              </w:rPr>
            </w:pPr>
          </w:p>
        </w:tc>
        <w:tc>
          <w:tcPr>
            <w:tcW w:w="851" w:type="dxa"/>
            <w:noWrap w:val="0"/>
            <w:vAlign w:val="center"/>
          </w:tcPr>
          <w:p w14:paraId="6FF0176F">
            <w:pPr>
              <w:jc w:val="center"/>
              <w:rPr>
                <w:rFonts w:hint="eastAsia" w:ascii="宋体" w:hAnsi="宋体" w:eastAsia="宋体" w:cs="宋体"/>
                <w:color w:val="auto"/>
                <w:sz w:val="30"/>
                <w:szCs w:val="30"/>
                <w:highlight w:val="none"/>
              </w:rPr>
            </w:pPr>
          </w:p>
        </w:tc>
        <w:tc>
          <w:tcPr>
            <w:tcW w:w="1044" w:type="dxa"/>
            <w:noWrap w:val="0"/>
            <w:vAlign w:val="center"/>
          </w:tcPr>
          <w:p w14:paraId="005EC714">
            <w:pPr>
              <w:jc w:val="center"/>
              <w:rPr>
                <w:rFonts w:hint="eastAsia" w:ascii="宋体" w:hAnsi="宋体" w:eastAsia="宋体" w:cs="宋体"/>
                <w:color w:val="auto"/>
                <w:sz w:val="30"/>
                <w:szCs w:val="30"/>
                <w:highlight w:val="none"/>
              </w:rPr>
            </w:pPr>
          </w:p>
        </w:tc>
        <w:tc>
          <w:tcPr>
            <w:tcW w:w="992" w:type="dxa"/>
            <w:noWrap w:val="0"/>
            <w:vAlign w:val="center"/>
          </w:tcPr>
          <w:p w14:paraId="071A543A">
            <w:pPr>
              <w:jc w:val="center"/>
              <w:rPr>
                <w:rFonts w:hint="eastAsia" w:ascii="宋体" w:hAnsi="宋体" w:eastAsia="宋体" w:cs="宋体"/>
                <w:color w:val="auto"/>
                <w:sz w:val="30"/>
                <w:szCs w:val="30"/>
                <w:highlight w:val="none"/>
              </w:rPr>
            </w:pPr>
          </w:p>
        </w:tc>
        <w:tc>
          <w:tcPr>
            <w:tcW w:w="851" w:type="dxa"/>
            <w:noWrap w:val="0"/>
            <w:vAlign w:val="center"/>
          </w:tcPr>
          <w:p w14:paraId="5DF5C00B">
            <w:pPr>
              <w:jc w:val="center"/>
              <w:rPr>
                <w:rFonts w:hint="eastAsia" w:ascii="宋体" w:hAnsi="宋体" w:eastAsia="宋体" w:cs="宋体"/>
                <w:color w:val="auto"/>
                <w:sz w:val="30"/>
                <w:szCs w:val="30"/>
                <w:highlight w:val="none"/>
              </w:rPr>
            </w:pPr>
          </w:p>
        </w:tc>
        <w:tc>
          <w:tcPr>
            <w:tcW w:w="1487" w:type="dxa"/>
            <w:noWrap w:val="0"/>
            <w:vAlign w:val="center"/>
          </w:tcPr>
          <w:p w14:paraId="57CFC373">
            <w:pPr>
              <w:jc w:val="center"/>
              <w:rPr>
                <w:rFonts w:hint="eastAsia" w:ascii="宋体" w:hAnsi="宋体" w:eastAsia="宋体" w:cs="宋体"/>
                <w:color w:val="auto"/>
                <w:sz w:val="30"/>
                <w:szCs w:val="30"/>
                <w:highlight w:val="none"/>
              </w:rPr>
            </w:pPr>
          </w:p>
        </w:tc>
        <w:tc>
          <w:tcPr>
            <w:tcW w:w="992" w:type="dxa"/>
            <w:noWrap w:val="0"/>
            <w:vAlign w:val="center"/>
          </w:tcPr>
          <w:p w14:paraId="4236B5BC">
            <w:pPr>
              <w:jc w:val="center"/>
              <w:rPr>
                <w:rFonts w:hint="eastAsia" w:ascii="宋体" w:hAnsi="宋体" w:eastAsia="宋体" w:cs="宋体"/>
                <w:color w:val="auto"/>
                <w:sz w:val="30"/>
                <w:szCs w:val="30"/>
                <w:highlight w:val="none"/>
              </w:rPr>
            </w:pPr>
          </w:p>
        </w:tc>
      </w:tr>
      <w:tr w14:paraId="41FE866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B4B592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106C7F7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3D990D5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40" w:type="dxa"/>
            <w:noWrap w:val="0"/>
            <w:vAlign w:val="center"/>
          </w:tcPr>
          <w:p w14:paraId="6DCA2F3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774BB19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44" w:type="dxa"/>
            <w:noWrap w:val="0"/>
            <w:vAlign w:val="center"/>
          </w:tcPr>
          <w:p w14:paraId="3624EB4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2BEAE24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1" w:type="dxa"/>
            <w:noWrap w:val="0"/>
            <w:vAlign w:val="center"/>
          </w:tcPr>
          <w:p w14:paraId="47E7E7F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7" w:type="dxa"/>
            <w:noWrap w:val="0"/>
            <w:vAlign w:val="center"/>
          </w:tcPr>
          <w:p w14:paraId="01DE98F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92" w:type="dxa"/>
            <w:noWrap w:val="0"/>
            <w:vAlign w:val="center"/>
          </w:tcPr>
          <w:p w14:paraId="55103A3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79CEEA2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3AD6B3F">
            <w:pPr>
              <w:jc w:val="center"/>
              <w:rPr>
                <w:rFonts w:hint="eastAsia" w:ascii="宋体" w:hAnsi="宋体" w:eastAsia="宋体" w:cs="宋体"/>
                <w:color w:val="auto"/>
                <w:sz w:val="30"/>
                <w:szCs w:val="30"/>
                <w:highlight w:val="none"/>
              </w:rPr>
            </w:pPr>
          </w:p>
        </w:tc>
        <w:tc>
          <w:tcPr>
            <w:tcW w:w="1276" w:type="dxa"/>
            <w:noWrap w:val="0"/>
            <w:vAlign w:val="center"/>
          </w:tcPr>
          <w:p w14:paraId="31337D34">
            <w:pPr>
              <w:jc w:val="center"/>
              <w:rPr>
                <w:rFonts w:hint="eastAsia" w:ascii="宋体" w:hAnsi="宋体" w:eastAsia="宋体" w:cs="宋体"/>
                <w:color w:val="auto"/>
                <w:sz w:val="30"/>
                <w:szCs w:val="30"/>
                <w:highlight w:val="none"/>
              </w:rPr>
            </w:pPr>
          </w:p>
        </w:tc>
        <w:tc>
          <w:tcPr>
            <w:tcW w:w="1418" w:type="dxa"/>
            <w:noWrap w:val="0"/>
            <w:vAlign w:val="center"/>
          </w:tcPr>
          <w:p w14:paraId="190E4CBA">
            <w:pPr>
              <w:jc w:val="center"/>
              <w:rPr>
                <w:rFonts w:hint="eastAsia" w:ascii="宋体" w:hAnsi="宋体" w:eastAsia="宋体" w:cs="宋体"/>
                <w:color w:val="auto"/>
                <w:sz w:val="30"/>
                <w:szCs w:val="30"/>
                <w:highlight w:val="none"/>
              </w:rPr>
            </w:pPr>
          </w:p>
        </w:tc>
        <w:tc>
          <w:tcPr>
            <w:tcW w:w="940" w:type="dxa"/>
            <w:noWrap w:val="0"/>
            <w:vAlign w:val="center"/>
          </w:tcPr>
          <w:p w14:paraId="1802D24F">
            <w:pPr>
              <w:jc w:val="center"/>
              <w:rPr>
                <w:rFonts w:hint="eastAsia" w:ascii="宋体" w:hAnsi="宋体" w:eastAsia="宋体" w:cs="宋体"/>
                <w:color w:val="auto"/>
                <w:sz w:val="30"/>
                <w:szCs w:val="30"/>
                <w:highlight w:val="none"/>
              </w:rPr>
            </w:pPr>
          </w:p>
        </w:tc>
        <w:tc>
          <w:tcPr>
            <w:tcW w:w="851" w:type="dxa"/>
            <w:noWrap w:val="0"/>
            <w:vAlign w:val="center"/>
          </w:tcPr>
          <w:p w14:paraId="511F8BE5">
            <w:pPr>
              <w:jc w:val="center"/>
              <w:rPr>
                <w:rFonts w:hint="eastAsia" w:ascii="宋体" w:hAnsi="宋体" w:eastAsia="宋体" w:cs="宋体"/>
                <w:color w:val="auto"/>
                <w:sz w:val="30"/>
                <w:szCs w:val="30"/>
                <w:highlight w:val="none"/>
              </w:rPr>
            </w:pPr>
          </w:p>
        </w:tc>
        <w:tc>
          <w:tcPr>
            <w:tcW w:w="1044" w:type="dxa"/>
            <w:noWrap w:val="0"/>
            <w:vAlign w:val="center"/>
          </w:tcPr>
          <w:p w14:paraId="769A06C7">
            <w:pPr>
              <w:jc w:val="center"/>
              <w:rPr>
                <w:rFonts w:hint="eastAsia" w:ascii="宋体" w:hAnsi="宋体" w:eastAsia="宋体" w:cs="宋体"/>
                <w:color w:val="auto"/>
                <w:sz w:val="30"/>
                <w:szCs w:val="30"/>
                <w:highlight w:val="none"/>
              </w:rPr>
            </w:pPr>
          </w:p>
        </w:tc>
        <w:tc>
          <w:tcPr>
            <w:tcW w:w="992" w:type="dxa"/>
            <w:noWrap w:val="0"/>
            <w:vAlign w:val="center"/>
          </w:tcPr>
          <w:p w14:paraId="04AD1377">
            <w:pPr>
              <w:jc w:val="center"/>
              <w:rPr>
                <w:rFonts w:hint="eastAsia" w:ascii="宋体" w:hAnsi="宋体" w:eastAsia="宋体" w:cs="宋体"/>
                <w:color w:val="auto"/>
                <w:sz w:val="30"/>
                <w:szCs w:val="30"/>
                <w:highlight w:val="none"/>
              </w:rPr>
            </w:pPr>
          </w:p>
        </w:tc>
        <w:tc>
          <w:tcPr>
            <w:tcW w:w="851" w:type="dxa"/>
            <w:noWrap w:val="0"/>
            <w:vAlign w:val="center"/>
          </w:tcPr>
          <w:p w14:paraId="6E3A72FB">
            <w:pPr>
              <w:jc w:val="center"/>
              <w:rPr>
                <w:rFonts w:hint="eastAsia" w:ascii="宋体" w:hAnsi="宋体" w:eastAsia="宋体" w:cs="宋体"/>
                <w:color w:val="auto"/>
                <w:sz w:val="30"/>
                <w:szCs w:val="30"/>
                <w:highlight w:val="none"/>
              </w:rPr>
            </w:pPr>
          </w:p>
        </w:tc>
        <w:tc>
          <w:tcPr>
            <w:tcW w:w="1487" w:type="dxa"/>
            <w:noWrap w:val="0"/>
            <w:vAlign w:val="center"/>
          </w:tcPr>
          <w:p w14:paraId="42FB7DF0">
            <w:pPr>
              <w:jc w:val="center"/>
              <w:rPr>
                <w:rFonts w:hint="eastAsia" w:ascii="宋体" w:hAnsi="宋体" w:eastAsia="宋体" w:cs="宋体"/>
                <w:color w:val="auto"/>
                <w:sz w:val="30"/>
                <w:szCs w:val="30"/>
                <w:highlight w:val="none"/>
              </w:rPr>
            </w:pPr>
          </w:p>
        </w:tc>
        <w:tc>
          <w:tcPr>
            <w:tcW w:w="992" w:type="dxa"/>
            <w:noWrap w:val="0"/>
            <w:vAlign w:val="center"/>
          </w:tcPr>
          <w:p w14:paraId="39FC66FE">
            <w:pPr>
              <w:jc w:val="center"/>
              <w:rPr>
                <w:rFonts w:hint="eastAsia" w:ascii="宋体" w:hAnsi="宋体" w:eastAsia="宋体" w:cs="宋体"/>
                <w:color w:val="auto"/>
                <w:sz w:val="30"/>
                <w:szCs w:val="30"/>
                <w:highlight w:val="none"/>
              </w:rPr>
            </w:pPr>
          </w:p>
        </w:tc>
      </w:tr>
      <w:tr w14:paraId="55FE6F2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FDBBE01">
            <w:pPr>
              <w:jc w:val="center"/>
              <w:rPr>
                <w:rFonts w:hint="eastAsia" w:ascii="宋体" w:hAnsi="宋体" w:eastAsia="宋体" w:cs="宋体"/>
                <w:color w:val="auto"/>
                <w:sz w:val="30"/>
                <w:szCs w:val="30"/>
                <w:highlight w:val="none"/>
              </w:rPr>
            </w:pPr>
          </w:p>
        </w:tc>
        <w:tc>
          <w:tcPr>
            <w:tcW w:w="1276" w:type="dxa"/>
            <w:noWrap w:val="0"/>
            <w:vAlign w:val="center"/>
          </w:tcPr>
          <w:p w14:paraId="48A4C2DE">
            <w:pPr>
              <w:jc w:val="center"/>
              <w:rPr>
                <w:rFonts w:hint="eastAsia" w:ascii="宋体" w:hAnsi="宋体" w:eastAsia="宋体" w:cs="宋体"/>
                <w:color w:val="auto"/>
                <w:sz w:val="30"/>
                <w:szCs w:val="30"/>
                <w:highlight w:val="none"/>
              </w:rPr>
            </w:pPr>
          </w:p>
        </w:tc>
        <w:tc>
          <w:tcPr>
            <w:tcW w:w="1418" w:type="dxa"/>
            <w:noWrap w:val="0"/>
            <w:vAlign w:val="center"/>
          </w:tcPr>
          <w:p w14:paraId="5774A165">
            <w:pPr>
              <w:jc w:val="center"/>
              <w:rPr>
                <w:rFonts w:hint="eastAsia" w:ascii="宋体" w:hAnsi="宋体" w:eastAsia="宋体" w:cs="宋体"/>
                <w:color w:val="auto"/>
                <w:sz w:val="30"/>
                <w:szCs w:val="30"/>
                <w:highlight w:val="none"/>
              </w:rPr>
            </w:pPr>
          </w:p>
        </w:tc>
        <w:tc>
          <w:tcPr>
            <w:tcW w:w="940" w:type="dxa"/>
            <w:noWrap w:val="0"/>
            <w:vAlign w:val="center"/>
          </w:tcPr>
          <w:p w14:paraId="3245B0CC">
            <w:pPr>
              <w:jc w:val="center"/>
              <w:rPr>
                <w:rFonts w:hint="eastAsia" w:ascii="宋体" w:hAnsi="宋体" w:eastAsia="宋体" w:cs="宋体"/>
                <w:color w:val="auto"/>
                <w:sz w:val="30"/>
                <w:szCs w:val="30"/>
                <w:highlight w:val="none"/>
              </w:rPr>
            </w:pPr>
          </w:p>
        </w:tc>
        <w:tc>
          <w:tcPr>
            <w:tcW w:w="851" w:type="dxa"/>
            <w:noWrap w:val="0"/>
            <w:vAlign w:val="center"/>
          </w:tcPr>
          <w:p w14:paraId="43A6766A">
            <w:pPr>
              <w:jc w:val="center"/>
              <w:rPr>
                <w:rFonts w:hint="eastAsia" w:ascii="宋体" w:hAnsi="宋体" w:eastAsia="宋体" w:cs="宋体"/>
                <w:color w:val="auto"/>
                <w:sz w:val="30"/>
                <w:szCs w:val="30"/>
                <w:highlight w:val="none"/>
              </w:rPr>
            </w:pPr>
          </w:p>
        </w:tc>
        <w:tc>
          <w:tcPr>
            <w:tcW w:w="1044" w:type="dxa"/>
            <w:noWrap w:val="0"/>
            <w:vAlign w:val="center"/>
          </w:tcPr>
          <w:p w14:paraId="748FC053">
            <w:pPr>
              <w:jc w:val="center"/>
              <w:rPr>
                <w:rFonts w:hint="eastAsia" w:ascii="宋体" w:hAnsi="宋体" w:eastAsia="宋体" w:cs="宋体"/>
                <w:color w:val="auto"/>
                <w:sz w:val="30"/>
                <w:szCs w:val="30"/>
                <w:highlight w:val="none"/>
              </w:rPr>
            </w:pPr>
          </w:p>
        </w:tc>
        <w:tc>
          <w:tcPr>
            <w:tcW w:w="992" w:type="dxa"/>
            <w:noWrap w:val="0"/>
            <w:vAlign w:val="center"/>
          </w:tcPr>
          <w:p w14:paraId="28773113">
            <w:pPr>
              <w:jc w:val="center"/>
              <w:rPr>
                <w:rFonts w:hint="eastAsia" w:ascii="宋体" w:hAnsi="宋体" w:eastAsia="宋体" w:cs="宋体"/>
                <w:color w:val="auto"/>
                <w:sz w:val="30"/>
                <w:szCs w:val="30"/>
                <w:highlight w:val="none"/>
              </w:rPr>
            </w:pPr>
          </w:p>
        </w:tc>
        <w:tc>
          <w:tcPr>
            <w:tcW w:w="851" w:type="dxa"/>
            <w:noWrap w:val="0"/>
            <w:vAlign w:val="center"/>
          </w:tcPr>
          <w:p w14:paraId="157DFAD3">
            <w:pPr>
              <w:jc w:val="center"/>
              <w:rPr>
                <w:rFonts w:hint="eastAsia" w:ascii="宋体" w:hAnsi="宋体" w:eastAsia="宋体" w:cs="宋体"/>
                <w:color w:val="auto"/>
                <w:sz w:val="30"/>
                <w:szCs w:val="30"/>
                <w:highlight w:val="none"/>
              </w:rPr>
            </w:pPr>
          </w:p>
        </w:tc>
        <w:tc>
          <w:tcPr>
            <w:tcW w:w="1487" w:type="dxa"/>
            <w:noWrap w:val="0"/>
            <w:vAlign w:val="center"/>
          </w:tcPr>
          <w:p w14:paraId="38090DB9">
            <w:pPr>
              <w:jc w:val="center"/>
              <w:rPr>
                <w:rFonts w:hint="eastAsia" w:ascii="宋体" w:hAnsi="宋体" w:eastAsia="宋体" w:cs="宋体"/>
                <w:color w:val="auto"/>
                <w:sz w:val="30"/>
                <w:szCs w:val="30"/>
                <w:highlight w:val="none"/>
              </w:rPr>
            </w:pPr>
          </w:p>
        </w:tc>
        <w:tc>
          <w:tcPr>
            <w:tcW w:w="992" w:type="dxa"/>
            <w:noWrap w:val="0"/>
            <w:vAlign w:val="center"/>
          </w:tcPr>
          <w:p w14:paraId="31068318">
            <w:pPr>
              <w:jc w:val="center"/>
              <w:rPr>
                <w:rFonts w:hint="eastAsia" w:ascii="宋体" w:hAnsi="宋体" w:eastAsia="宋体" w:cs="宋体"/>
                <w:color w:val="auto"/>
                <w:sz w:val="30"/>
                <w:szCs w:val="30"/>
                <w:highlight w:val="none"/>
              </w:rPr>
            </w:pPr>
          </w:p>
        </w:tc>
      </w:tr>
      <w:tr w14:paraId="5DC2CE2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BA8232B">
            <w:pPr>
              <w:jc w:val="center"/>
              <w:rPr>
                <w:rFonts w:hint="eastAsia" w:ascii="宋体" w:hAnsi="宋体" w:eastAsia="宋体" w:cs="宋体"/>
                <w:color w:val="auto"/>
                <w:sz w:val="30"/>
                <w:szCs w:val="30"/>
                <w:highlight w:val="none"/>
              </w:rPr>
            </w:pPr>
          </w:p>
        </w:tc>
        <w:tc>
          <w:tcPr>
            <w:tcW w:w="1276" w:type="dxa"/>
            <w:noWrap w:val="0"/>
            <w:vAlign w:val="center"/>
          </w:tcPr>
          <w:p w14:paraId="0EF72BE3">
            <w:pPr>
              <w:jc w:val="center"/>
              <w:rPr>
                <w:rFonts w:hint="eastAsia" w:ascii="宋体" w:hAnsi="宋体" w:eastAsia="宋体" w:cs="宋体"/>
                <w:color w:val="auto"/>
                <w:sz w:val="30"/>
                <w:szCs w:val="30"/>
                <w:highlight w:val="none"/>
              </w:rPr>
            </w:pPr>
          </w:p>
        </w:tc>
        <w:tc>
          <w:tcPr>
            <w:tcW w:w="1418" w:type="dxa"/>
            <w:noWrap w:val="0"/>
            <w:vAlign w:val="center"/>
          </w:tcPr>
          <w:p w14:paraId="484D502A">
            <w:pPr>
              <w:jc w:val="center"/>
              <w:rPr>
                <w:rFonts w:hint="eastAsia" w:ascii="宋体" w:hAnsi="宋体" w:eastAsia="宋体" w:cs="宋体"/>
                <w:color w:val="auto"/>
                <w:sz w:val="30"/>
                <w:szCs w:val="30"/>
                <w:highlight w:val="none"/>
              </w:rPr>
            </w:pPr>
          </w:p>
        </w:tc>
        <w:tc>
          <w:tcPr>
            <w:tcW w:w="940" w:type="dxa"/>
            <w:noWrap w:val="0"/>
            <w:vAlign w:val="center"/>
          </w:tcPr>
          <w:p w14:paraId="5A529BC5">
            <w:pPr>
              <w:jc w:val="center"/>
              <w:rPr>
                <w:rFonts w:hint="eastAsia" w:ascii="宋体" w:hAnsi="宋体" w:eastAsia="宋体" w:cs="宋体"/>
                <w:color w:val="auto"/>
                <w:sz w:val="30"/>
                <w:szCs w:val="30"/>
                <w:highlight w:val="none"/>
              </w:rPr>
            </w:pPr>
          </w:p>
        </w:tc>
        <w:tc>
          <w:tcPr>
            <w:tcW w:w="851" w:type="dxa"/>
            <w:noWrap w:val="0"/>
            <w:vAlign w:val="center"/>
          </w:tcPr>
          <w:p w14:paraId="784EFA56">
            <w:pPr>
              <w:jc w:val="center"/>
              <w:rPr>
                <w:rFonts w:hint="eastAsia" w:ascii="宋体" w:hAnsi="宋体" w:eastAsia="宋体" w:cs="宋体"/>
                <w:color w:val="auto"/>
                <w:sz w:val="30"/>
                <w:szCs w:val="30"/>
                <w:highlight w:val="none"/>
              </w:rPr>
            </w:pPr>
          </w:p>
        </w:tc>
        <w:tc>
          <w:tcPr>
            <w:tcW w:w="1044" w:type="dxa"/>
            <w:noWrap w:val="0"/>
            <w:vAlign w:val="center"/>
          </w:tcPr>
          <w:p w14:paraId="1FB90B75">
            <w:pPr>
              <w:jc w:val="center"/>
              <w:rPr>
                <w:rFonts w:hint="eastAsia" w:ascii="宋体" w:hAnsi="宋体" w:eastAsia="宋体" w:cs="宋体"/>
                <w:color w:val="auto"/>
                <w:sz w:val="30"/>
                <w:szCs w:val="30"/>
                <w:highlight w:val="none"/>
              </w:rPr>
            </w:pPr>
          </w:p>
        </w:tc>
        <w:tc>
          <w:tcPr>
            <w:tcW w:w="992" w:type="dxa"/>
            <w:noWrap w:val="0"/>
            <w:vAlign w:val="center"/>
          </w:tcPr>
          <w:p w14:paraId="3CC31C4C">
            <w:pPr>
              <w:jc w:val="center"/>
              <w:rPr>
                <w:rFonts w:hint="eastAsia" w:ascii="宋体" w:hAnsi="宋体" w:eastAsia="宋体" w:cs="宋体"/>
                <w:color w:val="auto"/>
                <w:sz w:val="30"/>
                <w:szCs w:val="30"/>
                <w:highlight w:val="none"/>
              </w:rPr>
            </w:pPr>
          </w:p>
        </w:tc>
        <w:tc>
          <w:tcPr>
            <w:tcW w:w="851" w:type="dxa"/>
            <w:noWrap w:val="0"/>
            <w:vAlign w:val="center"/>
          </w:tcPr>
          <w:p w14:paraId="47133656">
            <w:pPr>
              <w:jc w:val="center"/>
              <w:rPr>
                <w:rFonts w:hint="eastAsia" w:ascii="宋体" w:hAnsi="宋体" w:eastAsia="宋体" w:cs="宋体"/>
                <w:color w:val="auto"/>
                <w:sz w:val="30"/>
                <w:szCs w:val="30"/>
                <w:highlight w:val="none"/>
              </w:rPr>
            </w:pPr>
          </w:p>
        </w:tc>
        <w:tc>
          <w:tcPr>
            <w:tcW w:w="1487" w:type="dxa"/>
            <w:noWrap w:val="0"/>
            <w:vAlign w:val="center"/>
          </w:tcPr>
          <w:p w14:paraId="25A1A3B1">
            <w:pPr>
              <w:jc w:val="center"/>
              <w:rPr>
                <w:rFonts w:hint="eastAsia" w:ascii="宋体" w:hAnsi="宋体" w:eastAsia="宋体" w:cs="宋体"/>
                <w:color w:val="auto"/>
                <w:sz w:val="30"/>
                <w:szCs w:val="30"/>
                <w:highlight w:val="none"/>
              </w:rPr>
            </w:pPr>
          </w:p>
        </w:tc>
        <w:tc>
          <w:tcPr>
            <w:tcW w:w="992" w:type="dxa"/>
            <w:noWrap w:val="0"/>
            <w:vAlign w:val="center"/>
          </w:tcPr>
          <w:p w14:paraId="2080814C">
            <w:pPr>
              <w:jc w:val="center"/>
              <w:rPr>
                <w:rFonts w:hint="eastAsia" w:ascii="宋体" w:hAnsi="宋体" w:eastAsia="宋体" w:cs="宋体"/>
                <w:color w:val="auto"/>
                <w:sz w:val="30"/>
                <w:szCs w:val="30"/>
                <w:highlight w:val="none"/>
              </w:rPr>
            </w:pPr>
          </w:p>
        </w:tc>
      </w:tr>
      <w:tr w14:paraId="026E62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F8D83FC">
            <w:pPr>
              <w:jc w:val="center"/>
              <w:rPr>
                <w:rFonts w:hint="eastAsia" w:ascii="宋体" w:hAnsi="宋体" w:eastAsia="宋体" w:cs="宋体"/>
                <w:color w:val="auto"/>
                <w:sz w:val="30"/>
                <w:szCs w:val="30"/>
                <w:highlight w:val="none"/>
              </w:rPr>
            </w:pPr>
          </w:p>
        </w:tc>
        <w:tc>
          <w:tcPr>
            <w:tcW w:w="1276" w:type="dxa"/>
            <w:noWrap w:val="0"/>
            <w:vAlign w:val="center"/>
          </w:tcPr>
          <w:p w14:paraId="4F0C0D9D">
            <w:pPr>
              <w:jc w:val="center"/>
              <w:rPr>
                <w:rFonts w:hint="eastAsia" w:ascii="宋体" w:hAnsi="宋体" w:eastAsia="宋体" w:cs="宋体"/>
                <w:color w:val="auto"/>
                <w:sz w:val="30"/>
                <w:szCs w:val="30"/>
                <w:highlight w:val="none"/>
              </w:rPr>
            </w:pPr>
          </w:p>
        </w:tc>
        <w:tc>
          <w:tcPr>
            <w:tcW w:w="1418" w:type="dxa"/>
            <w:noWrap w:val="0"/>
            <w:vAlign w:val="center"/>
          </w:tcPr>
          <w:p w14:paraId="190B5D35">
            <w:pPr>
              <w:jc w:val="center"/>
              <w:rPr>
                <w:rFonts w:hint="eastAsia" w:ascii="宋体" w:hAnsi="宋体" w:eastAsia="宋体" w:cs="宋体"/>
                <w:color w:val="auto"/>
                <w:sz w:val="30"/>
                <w:szCs w:val="30"/>
                <w:highlight w:val="none"/>
              </w:rPr>
            </w:pPr>
          </w:p>
        </w:tc>
        <w:tc>
          <w:tcPr>
            <w:tcW w:w="940" w:type="dxa"/>
            <w:noWrap w:val="0"/>
            <w:vAlign w:val="center"/>
          </w:tcPr>
          <w:p w14:paraId="6C139DAF">
            <w:pPr>
              <w:jc w:val="center"/>
              <w:rPr>
                <w:rFonts w:hint="eastAsia" w:ascii="宋体" w:hAnsi="宋体" w:eastAsia="宋体" w:cs="宋体"/>
                <w:color w:val="auto"/>
                <w:sz w:val="30"/>
                <w:szCs w:val="30"/>
                <w:highlight w:val="none"/>
              </w:rPr>
            </w:pPr>
          </w:p>
        </w:tc>
        <w:tc>
          <w:tcPr>
            <w:tcW w:w="851" w:type="dxa"/>
            <w:noWrap w:val="0"/>
            <w:vAlign w:val="center"/>
          </w:tcPr>
          <w:p w14:paraId="1384A55C">
            <w:pPr>
              <w:jc w:val="center"/>
              <w:rPr>
                <w:rFonts w:hint="eastAsia" w:ascii="宋体" w:hAnsi="宋体" w:eastAsia="宋体" w:cs="宋体"/>
                <w:color w:val="auto"/>
                <w:sz w:val="30"/>
                <w:szCs w:val="30"/>
                <w:highlight w:val="none"/>
              </w:rPr>
            </w:pPr>
          </w:p>
        </w:tc>
        <w:tc>
          <w:tcPr>
            <w:tcW w:w="1044" w:type="dxa"/>
            <w:noWrap w:val="0"/>
            <w:vAlign w:val="center"/>
          </w:tcPr>
          <w:p w14:paraId="6C04C79D">
            <w:pPr>
              <w:jc w:val="center"/>
              <w:rPr>
                <w:rFonts w:hint="eastAsia" w:ascii="宋体" w:hAnsi="宋体" w:eastAsia="宋体" w:cs="宋体"/>
                <w:color w:val="auto"/>
                <w:sz w:val="30"/>
                <w:szCs w:val="30"/>
                <w:highlight w:val="none"/>
              </w:rPr>
            </w:pPr>
          </w:p>
        </w:tc>
        <w:tc>
          <w:tcPr>
            <w:tcW w:w="992" w:type="dxa"/>
            <w:noWrap w:val="0"/>
            <w:vAlign w:val="center"/>
          </w:tcPr>
          <w:p w14:paraId="3F06B7D6">
            <w:pPr>
              <w:jc w:val="center"/>
              <w:rPr>
                <w:rFonts w:hint="eastAsia" w:ascii="宋体" w:hAnsi="宋体" w:eastAsia="宋体" w:cs="宋体"/>
                <w:color w:val="auto"/>
                <w:sz w:val="30"/>
                <w:szCs w:val="30"/>
                <w:highlight w:val="none"/>
              </w:rPr>
            </w:pPr>
          </w:p>
        </w:tc>
        <w:tc>
          <w:tcPr>
            <w:tcW w:w="851" w:type="dxa"/>
            <w:noWrap w:val="0"/>
            <w:vAlign w:val="center"/>
          </w:tcPr>
          <w:p w14:paraId="6E8A4E6B">
            <w:pPr>
              <w:jc w:val="center"/>
              <w:rPr>
                <w:rFonts w:hint="eastAsia" w:ascii="宋体" w:hAnsi="宋体" w:eastAsia="宋体" w:cs="宋体"/>
                <w:color w:val="auto"/>
                <w:sz w:val="30"/>
                <w:szCs w:val="30"/>
                <w:highlight w:val="none"/>
              </w:rPr>
            </w:pPr>
          </w:p>
        </w:tc>
        <w:tc>
          <w:tcPr>
            <w:tcW w:w="1487" w:type="dxa"/>
            <w:noWrap w:val="0"/>
            <w:vAlign w:val="center"/>
          </w:tcPr>
          <w:p w14:paraId="6D8580C8">
            <w:pPr>
              <w:jc w:val="center"/>
              <w:rPr>
                <w:rFonts w:hint="eastAsia" w:ascii="宋体" w:hAnsi="宋体" w:eastAsia="宋体" w:cs="宋体"/>
                <w:color w:val="auto"/>
                <w:sz w:val="30"/>
                <w:szCs w:val="30"/>
                <w:highlight w:val="none"/>
              </w:rPr>
            </w:pPr>
          </w:p>
        </w:tc>
        <w:tc>
          <w:tcPr>
            <w:tcW w:w="992" w:type="dxa"/>
            <w:noWrap w:val="0"/>
            <w:vAlign w:val="center"/>
          </w:tcPr>
          <w:p w14:paraId="3B259AAF">
            <w:pPr>
              <w:jc w:val="center"/>
              <w:rPr>
                <w:rFonts w:hint="eastAsia" w:ascii="宋体" w:hAnsi="宋体" w:eastAsia="宋体" w:cs="宋体"/>
                <w:color w:val="auto"/>
                <w:sz w:val="30"/>
                <w:szCs w:val="30"/>
                <w:highlight w:val="none"/>
              </w:rPr>
            </w:pPr>
          </w:p>
        </w:tc>
      </w:tr>
      <w:tr w14:paraId="4DDBE4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4F93679">
            <w:pPr>
              <w:jc w:val="center"/>
              <w:rPr>
                <w:rFonts w:hint="eastAsia" w:ascii="宋体" w:hAnsi="宋体" w:eastAsia="宋体" w:cs="宋体"/>
                <w:color w:val="auto"/>
                <w:sz w:val="30"/>
                <w:szCs w:val="30"/>
                <w:highlight w:val="none"/>
              </w:rPr>
            </w:pPr>
          </w:p>
        </w:tc>
        <w:tc>
          <w:tcPr>
            <w:tcW w:w="1276" w:type="dxa"/>
            <w:noWrap w:val="0"/>
            <w:vAlign w:val="center"/>
          </w:tcPr>
          <w:p w14:paraId="5DBF17ED">
            <w:pPr>
              <w:jc w:val="center"/>
              <w:rPr>
                <w:rFonts w:hint="eastAsia" w:ascii="宋体" w:hAnsi="宋体" w:eastAsia="宋体" w:cs="宋体"/>
                <w:color w:val="auto"/>
                <w:sz w:val="30"/>
                <w:szCs w:val="30"/>
                <w:highlight w:val="none"/>
              </w:rPr>
            </w:pPr>
          </w:p>
        </w:tc>
        <w:tc>
          <w:tcPr>
            <w:tcW w:w="1418" w:type="dxa"/>
            <w:noWrap w:val="0"/>
            <w:vAlign w:val="center"/>
          </w:tcPr>
          <w:p w14:paraId="46F937E5">
            <w:pPr>
              <w:jc w:val="center"/>
              <w:rPr>
                <w:rFonts w:hint="eastAsia" w:ascii="宋体" w:hAnsi="宋体" w:eastAsia="宋体" w:cs="宋体"/>
                <w:color w:val="auto"/>
                <w:sz w:val="30"/>
                <w:szCs w:val="30"/>
                <w:highlight w:val="none"/>
              </w:rPr>
            </w:pPr>
          </w:p>
        </w:tc>
        <w:tc>
          <w:tcPr>
            <w:tcW w:w="940" w:type="dxa"/>
            <w:noWrap w:val="0"/>
            <w:vAlign w:val="center"/>
          </w:tcPr>
          <w:p w14:paraId="38C42B6A">
            <w:pPr>
              <w:jc w:val="center"/>
              <w:rPr>
                <w:rFonts w:hint="eastAsia" w:ascii="宋体" w:hAnsi="宋体" w:eastAsia="宋体" w:cs="宋体"/>
                <w:color w:val="auto"/>
                <w:sz w:val="30"/>
                <w:szCs w:val="30"/>
                <w:highlight w:val="none"/>
              </w:rPr>
            </w:pPr>
          </w:p>
        </w:tc>
        <w:tc>
          <w:tcPr>
            <w:tcW w:w="851" w:type="dxa"/>
            <w:noWrap w:val="0"/>
            <w:vAlign w:val="center"/>
          </w:tcPr>
          <w:p w14:paraId="5B567467">
            <w:pPr>
              <w:jc w:val="center"/>
              <w:rPr>
                <w:rFonts w:hint="eastAsia" w:ascii="宋体" w:hAnsi="宋体" w:eastAsia="宋体" w:cs="宋体"/>
                <w:color w:val="auto"/>
                <w:sz w:val="30"/>
                <w:szCs w:val="30"/>
                <w:highlight w:val="none"/>
              </w:rPr>
            </w:pPr>
          </w:p>
        </w:tc>
        <w:tc>
          <w:tcPr>
            <w:tcW w:w="1044" w:type="dxa"/>
            <w:noWrap w:val="0"/>
            <w:vAlign w:val="center"/>
          </w:tcPr>
          <w:p w14:paraId="36B6D548">
            <w:pPr>
              <w:jc w:val="center"/>
              <w:rPr>
                <w:rFonts w:hint="eastAsia" w:ascii="宋体" w:hAnsi="宋体" w:eastAsia="宋体" w:cs="宋体"/>
                <w:color w:val="auto"/>
                <w:sz w:val="30"/>
                <w:szCs w:val="30"/>
                <w:highlight w:val="none"/>
              </w:rPr>
            </w:pPr>
          </w:p>
        </w:tc>
        <w:tc>
          <w:tcPr>
            <w:tcW w:w="992" w:type="dxa"/>
            <w:noWrap w:val="0"/>
            <w:vAlign w:val="center"/>
          </w:tcPr>
          <w:p w14:paraId="6ADBA3AC">
            <w:pPr>
              <w:jc w:val="center"/>
              <w:rPr>
                <w:rFonts w:hint="eastAsia" w:ascii="宋体" w:hAnsi="宋体" w:eastAsia="宋体" w:cs="宋体"/>
                <w:color w:val="auto"/>
                <w:sz w:val="30"/>
                <w:szCs w:val="30"/>
                <w:highlight w:val="none"/>
              </w:rPr>
            </w:pPr>
          </w:p>
        </w:tc>
        <w:tc>
          <w:tcPr>
            <w:tcW w:w="851" w:type="dxa"/>
            <w:noWrap w:val="0"/>
            <w:vAlign w:val="center"/>
          </w:tcPr>
          <w:p w14:paraId="3FC92821">
            <w:pPr>
              <w:jc w:val="center"/>
              <w:rPr>
                <w:rFonts w:hint="eastAsia" w:ascii="宋体" w:hAnsi="宋体" w:eastAsia="宋体" w:cs="宋体"/>
                <w:color w:val="auto"/>
                <w:sz w:val="30"/>
                <w:szCs w:val="30"/>
                <w:highlight w:val="none"/>
              </w:rPr>
            </w:pPr>
          </w:p>
        </w:tc>
        <w:tc>
          <w:tcPr>
            <w:tcW w:w="1487" w:type="dxa"/>
            <w:noWrap w:val="0"/>
            <w:vAlign w:val="center"/>
          </w:tcPr>
          <w:p w14:paraId="550207AA">
            <w:pPr>
              <w:jc w:val="center"/>
              <w:rPr>
                <w:rFonts w:hint="eastAsia" w:ascii="宋体" w:hAnsi="宋体" w:eastAsia="宋体" w:cs="宋体"/>
                <w:color w:val="auto"/>
                <w:sz w:val="30"/>
                <w:szCs w:val="30"/>
                <w:highlight w:val="none"/>
              </w:rPr>
            </w:pPr>
          </w:p>
        </w:tc>
        <w:tc>
          <w:tcPr>
            <w:tcW w:w="992" w:type="dxa"/>
            <w:noWrap w:val="0"/>
            <w:vAlign w:val="center"/>
          </w:tcPr>
          <w:p w14:paraId="3045533A">
            <w:pPr>
              <w:jc w:val="center"/>
              <w:rPr>
                <w:rFonts w:hint="eastAsia" w:ascii="宋体" w:hAnsi="宋体" w:eastAsia="宋体" w:cs="宋体"/>
                <w:color w:val="auto"/>
                <w:sz w:val="30"/>
                <w:szCs w:val="30"/>
                <w:highlight w:val="none"/>
              </w:rPr>
            </w:pPr>
          </w:p>
        </w:tc>
      </w:tr>
      <w:tr w14:paraId="42E5C0A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2571433">
            <w:pPr>
              <w:jc w:val="center"/>
              <w:rPr>
                <w:rFonts w:hint="eastAsia" w:ascii="宋体" w:hAnsi="宋体" w:eastAsia="宋体" w:cs="宋体"/>
                <w:color w:val="auto"/>
                <w:sz w:val="30"/>
                <w:szCs w:val="30"/>
                <w:highlight w:val="none"/>
              </w:rPr>
            </w:pPr>
          </w:p>
        </w:tc>
        <w:tc>
          <w:tcPr>
            <w:tcW w:w="1276" w:type="dxa"/>
            <w:noWrap w:val="0"/>
            <w:vAlign w:val="center"/>
          </w:tcPr>
          <w:p w14:paraId="3AC6E809">
            <w:pPr>
              <w:jc w:val="center"/>
              <w:rPr>
                <w:rFonts w:hint="eastAsia" w:ascii="宋体" w:hAnsi="宋体" w:eastAsia="宋体" w:cs="宋体"/>
                <w:color w:val="auto"/>
                <w:sz w:val="30"/>
                <w:szCs w:val="30"/>
                <w:highlight w:val="none"/>
              </w:rPr>
            </w:pPr>
          </w:p>
        </w:tc>
        <w:tc>
          <w:tcPr>
            <w:tcW w:w="1418" w:type="dxa"/>
            <w:noWrap w:val="0"/>
            <w:vAlign w:val="center"/>
          </w:tcPr>
          <w:p w14:paraId="546DEAC1">
            <w:pPr>
              <w:jc w:val="center"/>
              <w:rPr>
                <w:rFonts w:hint="eastAsia" w:ascii="宋体" w:hAnsi="宋体" w:eastAsia="宋体" w:cs="宋体"/>
                <w:color w:val="auto"/>
                <w:sz w:val="30"/>
                <w:szCs w:val="30"/>
                <w:highlight w:val="none"/>
              </w:rPr>
            </w:pPr>
          </w:p>
        </w:tc>
        <w:tc>
          <w:tcPr>
            <w:tcW w:w="940" w:type="dxa"/>
            <w:noWrap w:val="0"/>
            <w:vAlign w:val="center"/>
          </w:tcPr>
          <w:p w14:paraId="1D49BECD">
            <w:pPr>
              <w:jc w:val="center"/>
              <w:rPr>
                <w:rFonts w:hint="eastAsia" w:ascii="宋体" w:hAnsi="宋体" w:eastAsia="宋体" w:cs="宋体"/>
                <w:color w:val="auto"/>
                <w:sz w:val="30"/>
                <w:szCs w:val="30"/>
                <w:highlight w:val="none"/>
              </w:rPr>
            </w:pPr>
          </w:p>
        </w:tc>
        <w:tc>
          <w:tcPr>
            <w:tcW w:w="851" w:type="dxa"/>
            <w:noWrap w:val="0"/>
            <w:vAlign w:val="center"/>
          </w:tcPr>
          <w:p w14:paraId="73E97D5A">
            <w:pPr>
              <w:jc w:val="center"/>
              <w:rPr>
                <w:rFonts w:hint="eastAsia" w:ascii="宋体" w:hAnsi="宋体" w:eastAsia="宋体" w:cs="宋体"/>
                <w:color w:val="auto"/>
                <w:sz w:val="30"/>
                <w:szCs w:val="30"/>
                <w:highlight w:val="none"/>
              </w:rPr>
            </w:pPr>
          </w:p>
        </w:tc>
        <w:tc>
          <w:tcPr>
            <w:tcW w:w="1044" w:type="dxa"/>
            <w:noWrap w:val="0"/>
            <w:vAlign w:val="center"/>
          </w:tcPr>
          <w:p w14:paraId="1AF3D18C">
            <w:pPr>
              <w:jc w:val="center"/>
              <w:rPr>
                <w:rFonts w:hint="eastAsia" w:ascii="宋体" w:hAnsi="宋体" w:eastAsia="宋体" w:cs="宋体"/>
                <w:color w:val="auto"/>
                <w:sz w:val="30"/>
                <w:szCs w:val="30"/>
                <w:highlight w:val="none"/>
              </w:rPr>
            </w:pPr>
          </w:p>
        </w:tc>
        <w:tc>
          <w:tcPr>
            <w:tcW w:w="992" w:type="dxa"/>
            <w:noWrap w:val="0"/>
            <w:vAlign w:val="center"/>
          </w:tcPr>
          <w:p w14:paraId="6AF94435">
            <w:pPr>
              <w:jc w:val="center"/>
              <w:rPr>
                <w:rFonts w:hint="eastAsia" w:ascii="宋体" w:hAnsi="宋体" w:eastAsia="宋体" w:cs="宋体"/>
                <w:color w:val="auto"/>
                <w:sz w:val="30"/>
                <w:szCs w:val="30"/>
                <w:highlight w:val="none"/>
              </w:rPr>
            </w:pPr>
          </w:p>
        </w:tc>
        <w:tc>
          <w:tcPr>
            <w:tcW w:w="851" w:type="dxa"/>
            <w:noWrap w:val="0"/>
            <w:vAlign w:val="center"/>
          </w:tcPr>
          <w:p w14:paraId="5F125B01">
            <w:pPr>
              <w:jc w:val="center"/>
              <w:rPr>
                <w:rFonts w:hint="eastAsia" w:ascii="宋体" w:hAnsi="宋体" w:eastAsia="宋体" w:cs="宋体"/>
                <w:color w:val="auto"/>
                <w:sz w:val="30"/>
                <w:szCs w:val="30"/>
                <w:highlight w:val="none"/>
              </w:rPr>
            </w:pPr>
          </w:p>
        </w:tc>
        <w:tc>
          <w:tcPr>
            <w:tcW w:w="1487" w:type="dxa"/>
            <w:noWrap w:val="0"/>
            <w:vAlign w:val="center"/>
          </w:tcPr>
          <w:p w14:paraId="2AD7D250">
            <w:pPr>
              <w:jc w:val="center"/>
              <w:rPr>
                <w:rFonts w:hint="eastAsia" w:ascii="宋体" w:hAnsi="宋体" w:eastAsia="宋体" w:cs="宋体"/>
                <w:color w:val="auto"/>
                <w:sz w:val="30"/>
                <w:szCs w:val="30"/>
                <w:highlight w:val="none"/>
              </w:rPr>
            </w:pPr>
          </w:p>
        </w:tc>
        <w:tc>
          <w:tcPr>
            <w:tcW w:w="992" w:type="dxa"/>
            <w:noWrap w:val="0"/>
            <w:vAlign w:val="center"/>
          </w:tcPr>
          <w:p w14:paraId="4521C0CD">
            <w:pPr>
              <w:jc w:val="center"/>
              <w:rPr>
                <w:rFonts w:hint="eastAsia" w:ascii="宋体" w:hAnsi="宋体" w:eastAsia="宋体" w:cs="宋体"/>
                <w:color w:val="auto"/>
                <w:sz w:val="30"/>
                <w:szCs w:val="30"/>
                <w:highlight w:val="none"/>
              </w:rPr>
            </w:pPr>
          </w:p>
        </w:tc>
      </w:tr>
      <w:tr w14:paraId="57E4D89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347110C">
            <w:pPr>
              <w:jc w:val="center"/>
              <w:rPr>
                <w:rFonts w:hint="eastAsia" w:ascii="宋体" w:hAnsi="宋体" w:eastAsia="宋体" w:cs="宋体"/>
                <w:color w:val="auto"/>
                <w:sz w:val="30"/>
                <w:szCs w:val="30"/>
                <w:highlight w:val="none"/>
              </w:rPr>
            </w:pPr>
          </w:p>
        </w:tc>
        <w:tc>
          <w:tcPr>
            <w:tcW w:w="1276" w:type="dxa"/>
            <w:noWrap w:val="0"/>
            <w:vAlign w:val="center"/>
          </w:tcPr>
          <w:p w14:paraId="195EECB4">
            <w:pPr>
              <w:jc w:val="center"/>
              <w:rPr>
                <w:rFonts w:hint="eastAsia" w:ascii="宋体" w:hAnsi="宋体" w:eastAsia="宋体" w:cs="宋体"/>
                <w:color w:val="auto"/>
                <w:sz w:val="30"/>
                <w:szCs w:val="30"/>
                <w:highlight w:val="none"/>
              </w:rPr>
            </w:pPr>
          </w:p>
        </w:tc>
        <w:tc>
          <w:tcPr>
            <w:tcW w:w="1418" w:type="dxa"/>
            <w:noWrap w:val="0"/>
            <w:vAlign w:val="center"/>
          </w:tcPr>
          <w:p w14:paraId="66079979">
            <w:pPr>
              <w:jc w:val="center"/>
              <w:rPr>
                <w:rFonts w:hint="eastAsia" w:ascii="宋体" w:hAnsi="宋体" w:eastAsia="宋体" w:cs="宋体"/>
                <w:color w:val="auto"/>
                <w:sz w:val="30"/>
                <w:szCs w:val="30"/>
                <w:highlight w:val="none"/>
              </w:rPr>
            </w:pPr>
          </w:p>
        </w:tc>
        <w:tc>
          <w:tcPr>
            <w:tcW w:w="940" w:type="dxa"/>
            <w:noWrap w:val="0"/>
            <w:vAlign w:val="center"/>
          </w:tcPr>
          <w:p w14:paraId="63191278">
            <w:pPr>
              <w:jc w:val="center"/>
              <w:rPr>
                <w:rFonts w:hint="eastAsia" w:ascii="宋体" w:hAnsi="宋体" w:eastAsia="宋体" w:cs="宋体"/>
                <w:color w:val="auto"/>
                <w:sz w:val="30"/>
                <w:szCs w:val="30"/>
                <w:highlight w:val="none"/>
              </w:rPr>
            </w:pPr>
          </w:p>
        </w:tc>
        <w:tc>
          <w:tcPr>
            <w:tcW w:w="851" w:type="dxa"/>
            <w:noWrap w:val="0"/>
            <w:vAlign w:val="center"/>
          </w:tcPr>
          <w:p w14:paraId="194A5EBC">
            <w:pPr>
              <w:jc w:val="center"/>
              <w:rPr>
                <w:rFonts w:hint="eastAsia" w:ascii="宋体" w:hAnsi="宋体" w:eastAsia="宋体" w:cs="宋体"/>
                <w:color w:val="auto"/>
                <w:sz w:val="30"/>
                <w:szCs w:val="30"/>
                <w:highlight w:val="none"/>
              </w:rPr>
            </w:pPr>
          </w:p>
        </w:tc>
        <w:tc>
          <w:tcPr>
            <w:tcW w:w="1044" w:type="dxa"/>
            <w:noWrap w:val="0"/>
            <w:vAlign w:val="center"/>
          </w:tcPr>
          <w:p w14:paraId="05703642">
            <w:pPr>
              <w:jc w:val="center"/>
              <w:rPr>
                <w:rFonts w:hint="eastAsia" w:ascii="宋体" w:hAnsi="宋体" w:eastAsia="宋体" w:cs="宋体"/>
                <w:color w:val="auto"/>
                <w:sz w:val="30"/>
                <w:szCs w:val="30"/>
                <w:highlight w:val="none"/>
              </w:rPr>
            </w:pPr>
          </w:p>
        </w:tc>
        <w:tc>
          <w:tcPr>
            <w:tcW w:w="992" w:type="dxa"/>
            <w:noWrap w:val="0"/>
            <w:vAlign w:val="center"/>
          </w:tcPr>
          <w:p w14:paraId="112CD9A0">
            <w:pPr>
              <w:jc w:val="center"/>
              <w:rPr>
                <w:rFonts w:hint="eastAsia" w:ascii="宋体" w:hAnsi="宋体" w:eastAsia="宋体" w:cs="宋体"/>
                <w:color w:val="auto"/>
                <w:sz w:val="30"/>
                <w:szCs w:val="30"/>
                <w:highlight w:val="none"/>
              </w:rPr>
            </w:pPr>
          </w:p>
        </w:tc>
        <w:tc>
          <w:tcPr>
            <w:tcW w:w="851" w:type="dxa"/>
            <w:noWrap w:val="0"/>
            <w:vAlign w:val="center"/>
          </w:tcPr>
          <w:p w14:paraId="47D56A7A">
            <w:pPr>
              <w:jc w:val="center"/>
              <w:rPr>
                <w:rFonts w:hint="eastAsia" w:ascii="宋体" w:hAnsi="宋体" w:eastAsia="宋体" w:cs="宋体"/>
                <w:color w:val="auto"/>
                <w:sz w:val="30"/>
                <w:szCs w:val="30"/>
                <w:highlight w:val="none"/>
              </w:rPr>
            </w:pPr>
          </w:p>
        </w:tc>
        <w:tc>
          <w:tcPr>
            <w:tcW w:w="1487" w:type="dxa"/>
            <w:noWrap w:val="0"/>
            <w:vAlign w:val="center"/>
          </w:tcPr>
          <w:p w14:paraId="47E09B47">
            <w:pPr>
              <w:jc w:val="center"/>
              <w:rPr>
                <w:rFonts w:hint="eastAsia" w:ascii="宋体" w:hAnsi="宋体" w:eastAsia="宋体" w:cs="宋体"/>
                <w:color w:val="auto"/>
                <w:sz w:val="30"/>
                <w:szCs w:val="30"/>
                <w:highlight w:val="none"/>
              </w:rPr>
            </w:pPr>
          </w:p>
        </w:tc>
        <w:tc>
          <w:tcPr>
            <w:tcW w:w="992" w:type="dxa"/>
            <w:noWrap w:val="0"/>
            <w:vAlign w:val="center"/>
          </w:tcPr>
          <w:p w14:paraId="101BF944">
            <w:pPr>
              <w:jc w:val="center"/>
              <w:rPr>
                <w:rFonts w:hint="eastAsia" w:ascii="宋体" w:hAnsi="宋体" w:eastAsia="宋体" w:cs="宋体"/>
                <w:color w:val="auto"/>
                <w:sz w:val="30"/>
                <w:szCs w:val="30"/>
                <w:highlight w:val="none"/>
              </w:rPr>
            </w:pPr>
          </w:p>
        </w:tc>
      </w:tr>
      <w:tr w14:paraId="682195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1D740CF">
            <w:pPr>
              <w:jc w:val="center"/>
              <w:rPr>
                <w:rFonts w:hint="eastAsia" w:ascii="宋体" w:hAnsi="宋体" w:eastAsia="宋体" w:cs="宋体"/>
                <w:color w:val="auto"/>
                <w:sz w:val="30"/>
                <w:szCs w:val="30"/>
                <w:highlight w:val="none"/>
              </w:rPr>
            </w:pPr>
          </w:p>
        </w:tc>
        <w:tc>
          <w:tcPr>
            <w:tcW w:w="1276" w:type="dxa"/>
            <w:noWrap w:val="0"/>
            <w:vAlign w:val="center"/>
          </w:tcPr>
          <w:p w14:paraId="75EA8ADB">
            <w:pPr>
              <w:jc w:val="center"/>
              <w:rPr>
                <w:rFonts w:hint="eastAsia" w:ascii="宋体" w:hAnsi="宋体" w:eastAsia="宋体" w:cs="宋体"/>
                <w:color w:val="auto"/>
                <w:sz w:val="30"/>
                <w:szCs w:val="30"/>
                <w:highlight w:val="none"/>
              </w:rPr>
            </w:pPr>
          </w:p>
        </w:tc>
        <w:tc>
          <w:tcPr>
            <w:tcW w:w="1418" w:type="dxa"/>
            <w:noWrap w:val="0"/>
            <w:vAlign w:val="center"/>
          </w:tcPr>
          <w:p w14:paraId="34581D38">
            <w:pPr>
              <w:jc w:val="center"/>
              <w:rPr>
                <w:rFonts w:hint="eastAsia" w:ascii="宋体" w:hAnsi="宋体" w:eastAsia="宋体" w:cs="宋体"/>
                <w:color w:val="auto"/>
                <w:sz w:val="30"/>
                <w:szCs w:val="30"/>
                <w:highlight w:val="none"/>
              </w:rPr>
            </w:pPr>
          </w:p>
        </w:tc>
        <w:tc>
          <w:tcPr>
            <w:tcW w:w="940" w:type="dxa"/>
            <w:noWrap w:val="0"/>
            <w:vAlign w:val="center"/>
          </w:tcPr>
          <w:p w14:paraId="6B7E01D4">
            <w:pPr>
              <w:jc w:val="center"/>
              <w:rPr>
                <w:rFonts w:hint="eastAsia" w:ascii="宋体" w:hAnsi="宋体" w:eastAsia="宋体" w:cs="宋体"/>
                <w:color w:val="auto"/>
                <w:sz w:val="30"/>
                <w:szCs w:val="30"/>
                <w:highlight w:val="none"/>
              </w:rPr>
            </w:pPr>
          </w:p>
        </w:tc>
        <w:tc>
          <w:tcPr>
            <w:tcW w:w="851" w:type="dxa"/>
            <w:noWrap w:val="0"/>
            <w:vAlign w:val="center"/>
          </w:tcPr>
          <w:p w14:paraId="2B2F05AC">
            <w:pPr>
              <w:jc w:val="center"/>
              <w:rPr>
                <w:rFonts w:hint="eastAsia" w:ascii="宋体" w:hAnsi="宋体" w:eastAsia="宋体" w:cs="宋体"/>
                <w:color w:val="auto"/>
                <w:sz w:val="30"/>
                <w:szCs w:val="30"/>
                <w:highlight w:val="none"/>
              </w:rPr>
            </w:pPr>
          </w:p>
        </w:tc>
        <w:tc>
          <w:tcPr>
            <w:tcW w:w="1044" w:type="dxa"/>
            <w:noWrap w:val="0"/>
            <w:vAlign w:val="center"/>
          </w:tcPr>
          <w:p w14:paraId="559978D3">
            <w:pPr>
              <w:jc w:val="center"/>
              <w:rPr>
                <w:rFonts w:hint="eastAsia" w:ascii="宋体" w:hAnsi="宋体" w:eastAsia="宋体" w:cs="宋体"/>
                <w:color w:val="auto"/>
                <w:sz w:val="30"/>
                <w:szCs w:val="30"/>
                <w:highlight w:val="none"/>
              </w:rPr>
            </w:pPr>
          </w:p>
        </w:tc>
        <w:tc>
          <w:tcPr>
            <w:tcW w:w="992" w:type="dxa"/>
            <w:noWrap w:val="0"/>
            <w:vAlign w:val="center"/>
          </w:tcPr>
          <w:p w14:paraId="6DEAA7B8">
            <w:pPr>
              <w:jc w:val="center"/>
              <w:rPr>
                <w:rFonts w:hint="eastAsia" w:ascii="宋体" w:hAnsi="宋体" w:eastAsia="宋体" w:cs="宋体"/>
                <w:color w:val="auto"/>
                <w:sz w:val="30"/>
                <w:szCs w:val="30"/>
                <w:highlight w:val="none"/>
              </w:rPr>
            </w:pPr>
          </w:p>
        </w:tc>
        <w:tc>
          <w:tcPr>
            <w:tcW w:w="851" w:type="dxa"/>
            <w:noWrap w:val="0"/>
            <w:vAlign w:val="center"/>
          </w:tcPr>
          <w:p w14:paraId="62F01E35">
            <w:pPr>
              <w:jc w:val="center"/>
              <w:rPr>
                <w:rFonts w:hint="eastAsia" w:ascii="宋体" w:hAnsi="宋体" w:eastAsia="宋体" w:cs="宋体"/>
                <w:color w:val="auto"/>
                <w:sz w:val="30"/>
                <w:szCs w:val="30"/>
                <w:highlight w:val="none"/>
              </w:rPr>
            </w:pPr>
          </w:p>
        </w:tc>
        <w:tc>
          <w:tcPr>
            <w:tcW w:w="1487" w:type="dxa"/>
            <w:noWrap w:val="0"/>
            <w:vAlign w:val="center"/>
          </w:tcPr>
          <w:p w14:paraId="63A45184">
            <w:pPr>
              <w:jc w:val="center"/>
              <w:rPr>
                <w:rFonts w:hint="eastAsia" w:ascii="宋体" w:hAnsi="宋体" w:eastAsia="宋体" w:cs="宋体"/>
                <w:color w:val="auto"/>
                <w:sz w:val="30"/>
                <w:szCs w:val="30"/>
                <w:highlight w:val="none"/>
              </w:rPr>
            </w:pPr>
          </w:p>
        </w:tc>
        <w:tc>
          <w:tcPr>
            <w:tcW w:w="992" w:type="dxa"/>
            <w:noWrap w:val="0"/>
            <w:vAlign w:val="center"/>
          </w:tcPr>
          <w:p w14:paraId="6B02B21E">
            <w:pPr>
              <w:jc w:val="center"/>
              <w:rPr>
                <w:rFonts w:hint="eastAsia" w:ascii="宋体" w:hAnsi="宋体" w:eastAsia="宋体" w:cs="宋体"/>
                <w:color w:val="auto"/>
                <w:sz w:val="30"/>
                <w:szCs w:val="30"/>
                <w:highlight w:val="none"/>
              </w:rPr>
            </w:pPr>
          </w:p>
        </w:tc>
      </w:tr>
    </w:tbl>
    <w:p w14:paraId="211B5FC6">
      <w:pPr>
        <w:spacing w:line="440" w:lineRule="exact"/>
        <w:rPr>
          <w:rFonts w:hint="eastAsia" w:ascii="宋体" w:hAnsi="宋体" w:eastAsia="宋体" w:cs="宋体"/>
          <w:color w:val="auto"/>
          <w:sz w:val="30"/>
          <w:szCs w:val="30"/>
          <w:highlight w:val="none"/>
        </w:rPr>
      </w:pPr>
    </w:p>
    <w:p w14:paraId="478C7217">
      <w:pPr>
        <w:spacing w:line="440" w:lineRule="exact"/>
        <w:rPr>
          <w:rFonts w:hint="eastAsia" w:ascii="宋体" w:hAnsi="宋体" w:eastAsia="宋体" w:cs="宋体"/>
          <w:color w:val="auto"/>
          <w:sz w:val="28"/>
          <w:szCs w:val="28"/>
          <w:highlight w:val="none"/>
        </w:rPr>
        <w:sectPr>
          <w:footerReference r:id="rId13" w:type="default"/>
          <w:pgSz w:w="11906" w:h="16838"/>
          <w:pgMar w:top="1418" w:right="1134" w:bottom="1418" w:left="1134" w:header="851" w:footer="992" w:gutter="0"/>
          <w:cols w:space="1701" w:num="1"/>
          <w:docGrid w:linePitch="360" w:charSpace="0"/>
        </w:sectPr>
      </w:pPr>
    </w:p>
    <w:p w14:paraId="523DF8F5">
      <w:pPr>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附</w:t>
      </w:r>
      <w:bookmarkStart w:id="179" w:name="_Toc296891054"/>
      <w:bookmarkStart w:id="180" w:name="_Toc296346727"/>
      <w:bookmarkStart w:id="181" w:name="_Toc296503226"/>
      <w:bookmarkStart w:id="182" w:name="_Toc267261693"/>
      <w:bookmarkStart w:id="183" w:name="_Toc296891266"/>
      <w:bookmarkStart w:id="184" w:name="_Toc296944565"/>
      <w:bookmarkStart w:id="185" w:name="_Toc296347225"/>
      <w:r>
        <w:rPr>
          <w:rFonts w:hint="eastAsia" w:ascii="宋体" w:hAnsi="宋体" w:eastAsia="宋体" w:cs="宋体"/>
          <w:color w:val="auto"/>
          <w:sz w:val="28"/>
          <w:szCs w:val="28"/>
          <w:highlight w:val="none"/>
        </w:rPr>
        <w:t>件3：</w:t>
      </w:r>
      <w:bookmarkEnd w:id="179"/>
      <w:bookmarkEnd w:id="180"/>
      <w:bookmarkEnd w:id="181"/>
      <w:bookmarkEnd w:id="182"/>
      <w:bookmarkEnd w:id="183"/>
      <w:bookmarkEnd w:id="184"/>
      <w:bookmarkEnd w:id="185"/>
      <w:r>
        <w:rPr>
          <w:rFonts w:hint="eastAsia" w:ascii="宋体" w:hAnsi="宋体" w:eastAsia="宋体" w:cs="宋体"/>
          <w:color w:val="auto"/>
          <w:sz w:val="28"/>
          <w:szCs w:val="28"/>
          <w:highlight w:val="none"/>
        </w:rPr>
        <w:t xml:space="preserve">    </w:t>
      </w:r>
    </w:p>
    <w:p w14:paraId="664AD5F1">
      <w:pPr>
        <w:spacing w:before="120" w:after="120" w:line="440" w:lineRule="exact"/>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工程质量保修书</w:t>
      </w:r>
    </w:p>
    <w:p w14:paraId="7093AFA8">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发包人（全称）：</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w:t>
      </w:r>
    </w:p>
    <w:p w14:paraId="3B03FDBD">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承包人（全称）：</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w:t>
      </w:r>
    </w:p>
    <w:p w14:paraId="354CCEC6">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p>
    <w:p w14:paraId="0C2211BC">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发包人和承包人根据《中华人民共和国建筑法》和《建设工程质量管理条例》，经协商一致就</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（工程全称）签订工程质量保修书。</w:t>
      </w:r>
    </w:p>
    <w:p w14:paraId="3B779442">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一、工程质量保修范围和内容</w:t>
      </w:r>
    </w:p>
    <w:p w14:paraId="0091CA06">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承包人在质量保修期内，按照有关法律规定和合同约定，承担工程质量保修责任。</w:t>
      </w:r>
    </w:p>
    <w:p w14:paraId="3BF4E290">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B38C8BE">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w:t>
      </w:r>
    </w:p>
    <w:p w14:paraId="56BE18B9">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二、质量保修期</w:t>
      </w:r>
    </w:p>
    <w:p w14:paraId="2C01BF65">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根据《建设工程质量管理条例》及有关规定，工程的质量保修期如下：</w:t>
      </w:r>
    </w:p>
    <w:p w14:paraId="3E8899F1">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1．地基基础工程和主体结构工程为设计文件规定的工程合理使用年限；</w:t>
      </w:r>
    </w:p>
    <w:p w14:paraId="3F9F845F">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2．屋面防水工程、有防水要求的卫生间、房间和外墙面的防渗为</w:t>
      </w:r>
      <w:r>
        <w:rPr>
          <w:rFonts w:hint="eastAsia" w:ascii="宋体" w:hAnsi="宋体" w:eastAsia="宋体" w:cs="宋体"/>
          <w:b w:val="0"/>
          <w:bCs w:val="0"/>
          <w:color w:val="auto"/>
          <w:sz w:val="24"/>
          <w:szCs w:val="24"/>
          <w:highlight w:val="none"/>
          <w:u w:val="single"/>
          <w:lang w:val="en-US" w:eastAsia="zh-CN"/>
        </w:rPr>
        <w:t>5</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p>
    <w:p w14:paraId="7D1244D1">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3．装修工程为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2</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p>
    <w:p w14:paraId="0A251A4C">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4．电气管线、给排水管道、设备安装工程为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2</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p>
    <w:p w14:paraId="4B9A7E21">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5．供热与供冷系统为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2</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个采暖期、供冷期；</w:t>
      </w:r>
    </w:p>
    <w:p w14:paraId="51D8DEA1">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6．住宅小区内的给排水设施、道路等配套工程为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2</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p>
    <w:p w14:paraId="53C7C8C7">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7．其他项目保修期限约定如下：</w:t>
      </w:r>
    </w:p>
    <w:p w14:paraId="3F421CA0">
      <w:pPr>
        <w:keepNext w:val="0"/>
        <w:keepLines w:val="0"/>
        <w:pageBreakBefore w:val="0"/>
        <w:widowControl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w:t>
      </w:r>
    </w:p>
    <w:p w14:paraId="2E5D3EF8">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质量保修期自工程竣工验收合格之日起计算。</w:t>
      </w:r>
    </w:p>
    <w:p w14:paraId="6B183661">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三、缺陷责任期</w:t>
      </w:r>
    </w:p>
    <w:p w14:paraId="53F3C3AD">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工程缺陷责任期为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24</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个月，缺陷责任期自工程通过竣工验收之日起计算。单位工程先于全部工程进行验收，单位工程缺陷责任期自单位工程验收合格之日起算。</w:t>
      </w:r>
    </w:p>
    <w:p w14:paraId="55ACFA0C">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缺陷责任期终止后，发包人应退还剩余的质量保证金。</w:t>
      </w:r>
    </w:p>
    <w:p w14:paraId="43E43642">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四、质量保修责任</w:t>
      </w:r>
    </w:p>
    <w:p w14:paraId="13F14CC8">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1．属于保修范围、内容的项目，承包人应当在接到保修通知之日起7天内派人保修。承包人不在约定期限内派人保修的，发包人可以委托他人修理。</w:t>
      </w:r>
    </w:p>
    <w:p w14:paraId="57117CB4">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2．发生紧急事故需抢修的，承包人在接到事故通知后，应当立即到达事故现场抢修。</w:t>
      </w:r>
    </w:p>
    <w:p w14:paraId="5F86C86C">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02E038A">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4．质量保修完成后，由发包人组织验收。</w:t>
      </w:r>
    </w:p>
    <w:p w14:paraId="1828F7AA">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五、保修费用</w:t>
      </w:r>
    </w:p>
    <w:p w14:paraId="3CC47EB9">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保修费用由造成质量缺陷的责任方承担。</w:t>
      </w:r>
    </w:p>
    <w:p w14:paraId="29B9003E">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六、双方约定的其他工程质量保修事项：                  </w:t>
      </w:r>
    </w:p>
    <w:p w14:paraId="259265F8">
      <w:pPr>
        <w:keepNext w:val="0"/>
        <w:keepLines w:val="0"/>
        <w:pageBreakBefore w:val="0"/>
        <w:widowControl w:val="0"/>
        <w:spacing w:line="360" w:lineRule="auto"/>
        <w:ind w:left="0" w:firstLine="48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w:t>
      </w:r>
    </w:p>
    <w:p w14:paraId="78EA7480">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工程质量保修书由发包人、承包人在工程竣工验收前共同签署，作为施工合同附件，其有效期限至保修期满。</w:t>
      </w:r>
    </w:p>
    <w:p w14:paraId="333890CE">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p>
    <w:p w14:paraId="1078AAD8">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发包人(公章)：</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承包人(公章)：</w:t>
      </w:r>
      <w:r>
        <w:rPr>
          <w:rFonts w:hint="eastAsia" w:ascii="宋体" w:hAnsi="宋体" w:eastAsia="宋体" w:cs="宋体"/>
          <w:b w:val="0"/>
          <w:bCs w:val="0"/>
          <w:color w:val="auto"/>
          <w:sz w:val="24"/>
          <w:szCs w:val="24"/>
          <w:highlight w:val="none"/>
          <w:u w:val="single"/>
        </w:rPr>
        <w:t xml:space="preserve">                </w:t>
      </w:r>
    </w:p>
    <w:p w14:paraId="7312399A">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地  址：</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地  址：</w:t>
      </w:r>
      <w:r>
        <w:rPr>
          <w:rFonts w:hint="eastAsia" w:ascii="宋体" w:hAnsi="宋体" w:eastAsia="宋体" w:cs="宋体"/>
          <w:b w:val="0"/>
          <w:bCs w:val="0"/>
          <w:color w:val="auto"/>
          <w:sz w:val="24"/>
          <w:szCs w:val="24"/>
          <w:highlight w:val="none"/>
          <w:u w:val="single"/>
        </w:rPr>
        <w:t xml:space="preserve">                      </w:t>
      </w:r>
    </w:p>
    <w:p w14:paraId="2C510606">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法定代表人(签字)：</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法定代表人(签字)： </w:t>
      </w:r>
      <w:r>
        <w:rPr>
          <w:rFonts w:hint="eastAsia" w:ascii="宋体" w:hAnsi="宋体" w:eastAsia="宋体" w:cs="宋体"/>
          <w:b w:val="0"/>
          <w:bCs w:val="0"/>
          <w:color w:val="auto"/>
          <w:sz w:val="24"/>
          <w:szCs w:val="24"/>
          <w:highlight w:val="none"/>
          <w:u w:val="single"/>
        </w:rPr>
        <w:t xml:space="preserve">           </w:t>
      </w:r>
    </w:p>
    <w:p w14:paraId="0251AD96">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委托代理人(签字)：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委托代理人(签字)：</w:t>
      </w:r>
      <w:r>
        <w:rPr>
          <w:rFonts w:hint="eastAsia" w:ascii="宋体" w:hAnsi="宋体" w:eastAsia="宋体" w:cs="宋体"/>
          <w:b w:val="0"/>
          <w:bCs w:val="0"/>
          <w:color w:val="auto"/>
          <w:sz w:val="24"/>
          <w:szCs w:val="24"/>
          <w:highlight w:val="none"/>
          <w:u w:val="single"/>
        </w:rPr>
        <w:t xml:space="preserve">           </w:t>
      </w:r>
    </w:p>
    <w:p w14:paraId="6F673E28">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电  话：</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电  话：  </w:t>
      </w:r>
      <w:r>
        <w:rPr>
          <w:rFonts w:hint="eastAsia" w:ascii="宋体" w:hAnsi="宋体" w:eastAsia="宋体" w:cs="宋体"/>
          <w:b w:val="0"/>
          <w:bCs w:val="0"/>
          <w:color w:val="auto"/>
          <w:sz w:val="24"/>
          <w:szCs w:val="24"/>
          <w:highlight w:val="none"/>
          <w:u w:val="single"/>
        </w:rPr>
        <w:t xml:space="preserve">                   </w:t>
      </w:r>
    </w:p>
    <w:p w14:paraId="3EC7D4C8">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传  真：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传  真： </w:t>
      </w:r>
      <w:r>
        <w:rPr>
          <w:rFonts w:hint="eastAsia" w:ascii="宋体" w:hAnsi="宋体" w:eastAsia="宋体" w:cs="宋体"/>
          <w:b w:val="0"/>
          <w:bCs w:val="0"/>
          <w:color w:val="auto"/>
          <w:sz w:val="24"/>
          <w:szCs w:val="24"/>
          <w:highlight w:val="none"/>
          <w:u w:val="single"/>
        </w:rPr>
        <w:t xml:space="preserve">                    </w:t>
      </w:r>
    </w:p>
    <w:p w14:paraId="68579002">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开户银行：</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开户银行：</w:t>
      </w:r>
      <w:r>
        <w:rPr>
          <w:rFonts w:hint="eastAsia" w:ascii="宋体" w:hAnsi="宋体" w:eastAsia="宋体" w:cs="宋体"/>
          <w:b w:val="0"/>
          <w:bCs w:val="0"/>
          <w:color w:val="auto"/>
          <w:sz w:val="24"/>
          <w:szCs w:val="24"/>
          <w:highlight w:val="none"/>
          <w:u w:val="single"/>
        </w:rPr>
        <w:t xml:space="preserve">                   </w:t>
      </w:r>
    </w:p>
    <w:p w14:paraId="1AF07690">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账  号：</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账  号：</w:t>
      </w:r>
      <w:r>
        <w:rPr>
          <w:rFonts w:hint="eastAsia" w:ascii="宋体" w:hAnsi="宋体" w:eastAsia="宋体" w:cs="宋体"/>
          <w:b w:val="0"/>
          <w:bCs w:val="0"/>
          <w:color w:val="auto"/>
          <w:sz w:val="24"/>
          <w:szCs w:val="24"/>
          <w:highlight w:val="none"/>
          <w:u w:val="single"/>
        </w:rPr>
        <w:t xml:space="preserve">                     </w:t>
      </w:r>
    </w:p>
    <w:p w14:paraId="2E7004E1">
      <w:pPr>
        <w:keepNext w:val="0"/>
        <w:keepLines w:val="0"/>
        <w:pageBreakBefore w:val="0"/>
        <w:widowControl w:val="0"/>
        <w:spacing w:line="360" w:lineRule="auto"/>
        <w:ind w:left="0"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邮政编码：</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 邮政编码：</w:t>
      </w:r>
      <w:r>
        <w:rPr>
          <w:rFonts w:hint="eastAsia" w:ascii="宋体" w:hAnsi="宋体" w:eastAsia="宋体" w:cs="宋体"/>
          <w:b w:val="0"/>
          <w:bCs w:val="0"/>
          <w:color w:val="auto"/>
          <w:sz w:val="24"/>
          <w:szCs w:val="24"/>
          <w:highlight w:val="none"/>
          <w:u w:val="single"/>
        </w:rPr>
        <w:t xml:space="preserve">                   </w:t>
      </w:r>
    </w:p>
    <w:p w14:paraId="23A4BF4A">
      <w:pPr>
        <w:spacing w:line="440" w:lineRule="exact"/>
        <w:rPr>
          <w:rFonts w:hint="eastAsia" w:ascii="宋体" w:hAnsi="宋体" w:eastAsia="宋体" w:cs="宋体"/>
          <w:color w:val="auto"/>
          <w:sz w:val="30"/>
          <w:szCs w:val="30"/>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color w:val="auto"/>
          <w:sz w:val="30"/>
          <w:szCs w:val="30"/>
          <w:highlight w:val="none"/>
        </w:rPr>
        <w:t>附件4：</w:t>
      </w:r>
    </w:p>
    <w:p w14:paraId="3B83AA38">
      <w:pPr>
        <w:spacing w:before="120" w:after="120" w:line="440" w:lineRule="exact"/>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主要建设工程文件目录</w:t>
      </w:r>
    </w:p>
    <w:tbl>
      <w:tblPr>
        <w:tblStyle w:val="4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4B18600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953" w:type="dxa"/>
            <w:noWrap w:val="0"/>
            <w:vAlign w:val="center"/>
          </w:tcPr>
          <w:p w14:paraId="6A40D12B">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文件名称</w:t>
            </w:r>
          </w:p>
        </w:tc>
        <w:tc>
          <w:tcPr>
            <w:tcW w:w="1276" w:type="dxa"/>
            <w:noWrap w:val="0"/>
            <w:vAlign w:val="center"/>
          </w:tcPr>
          <w:p w14:paraId="14E12264">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套数</w:t>
            </w:r>
          </w:p>
        </w:tc>
        <w:tc>
          <w:tcPr>
            <w:tcW w:w="1450" w:type="dxa"/>
            <w:noWrap w:val="0"/>
            <w:vAlign w:val="center"/>
          </w:tcPr>
          <w:p w14:paraId="03670282">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费用（元）</w:t>
            </w:r>
          </w:p>
        </w:tc>
        <w:tc>
          <w:tcPr>
            <w:tcW w:w="1243" w:type="dxa"/>
            <w:noWrap w:val="0"/>
            <w:vAlign w:val="center"/>
          </w:tcPr>
          <w:p w14:paraId="3A166CC2">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质量</w:t>
            </w:r>
          </w:p>
        </w:tc>
        <w:tc>
          <w:tcPr>
            <w:tcW w:w="1450" w:type="dxa"/>
            <w:noWrap w:val="0"/>
            <w:vAlign w:val="top"/>
          </w:tcPr>
          <w:p w14:paraId="33708BD7">
            <w:pPr>
              <w:spacing w:line="440" w:lineRule="exact"/>
              <w:jc w:val="center"/>
              <w:rPr>
                <w:rFonts w:hint="eastAsia" w:ascii="宋体" w:hAnsi="宋体" w:eastAsia="宋体" w:cs="宋体"/>
                <w:color w:val="auto"/>
                <w:sz w:val="28"/>
                <w:szCs w:val="30"/>
                <w:highlight w:val="none"/>
              </w:rPr>
            </w:pPr>
            <w:r>
              <w:rPr>
                <w:rFonts w:hint="eastAsia" w:ascii="宋体" w:hAnsi="宋体" w:eastAsia="宋体" w:cs="宋体"/>
                <w:color w:val="auto"/>
                <w:sz w:val="28"/>
                <w:szCs w:val="30"/>
                <w:highlight w:val="none"/>
              </w:rPr>
              <w:t>移交时间</w:t>
            </w:r>
          </w:p>
        </w:tc>
        <w:tc>
          <w:tcPr>
            <w:tcW w:w="1667" w:type="dxa"/>
            <w:noWrap w:val="0"/>
            <w:vAlign w:val="top"/>
          </w:tcPr>
          <w:p w14:paraId="0A897F2D">
            <w:pPr>
              <w:spacing w:line="440" w:lineRule="exact"/>
              <w:jc w:val="center"/>
              <w:rPr>
                <w:rFonts w:hint="eastAsia" w:ascii="宋体" w:hAnsi="宋体" w:eastAsia="宋体" w:cs="宋体"/>
                <w:color w:val="auto"/>
                <w:sz w:val="28"/>
                <w:szCs w:val="30"/>
                <w:highlight w:val="none"/>
              </w:rPr>
            </w:pPr>
            <w:r>
              <w:rPr>
                <w:rFonts w:hint="eastAsia" w:ascii="宋体" w:hAnsi="宋体" w:eastAsia="宋体" w:cs="宋体"/>
                <w:color w:val="auto"/>
                <w:sz w:val="28"/>
                <w:szCs w:val="30"/>
                <w:highlight w:val="none"/>
              </w:rPr>
              <w:t>责任人</w:t>
            </w:r>
          </w:p>
        </w:tc>
      </w:tr>
      <w:tr w14:paraId="67E313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49C9B3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586B6C8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6CB3E9D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43" w:type="dxa"/>
            <w:noWrap w:val="0"/>
            <w:vAlign w:val="center"/>
          </w:tcPr>
          <w:p w14:paraId="0A57E9C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5923844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667" w:type="dxa"/>
            <w:noWrap w:val="0"/>
            <w:vAlign w:val="center"/>
          </w:tcPr>
          <w:p w14:paraId="67ED213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607C5A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7DEAFC1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1B39755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2D0AE67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43" w:type="dxa"/>
            <w:noWrap w:val="0"/>
            <w:vAlign w:val="center"/>
          </w:tcPr>
          <w:p w14:paraId="0206A0C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56FA121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667" w:type="dxa"/>
            <w:noWrap w:val="0"/>
            <w:vAlign w:val="center"/>
          </w:tcPr>
          <w:p w14:paraId="0370E98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75FF45F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4D482CE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49DDC75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7DF6B34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43" w:type="dxa"/>
            <w:noWrap w:val="0"/>
            <w:vAlign w:val="center"/>
          </w:tcPr>
          <w:p w14:paraId="2548F55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0583079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667" w:type="dxa"/>
            <w:noWrap w:val="0"/>
            <w:vAlign w:val="center"/>
          </w:tcPr>
          <w:p w14:paraId="056B65C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29D1E63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3CD533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2FDF7CB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56F1851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43" w:type="dxa"/>
            <w:noWrap w:val="0"/>
            <w:vAlign w:val="center"/>
          </w:tcPr>
          <w:p w14:paraId="562F6A6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0A1F511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667" w:type="dxa"/>
            <w:noWrap w:val="0"/>
            <w:vAlign w:val="center"/>
          </w:tcPr>
          <w:p w14:paraId="60C14D9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2FDC8AA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688D00A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1FF834A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0BDD8E3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43" w:type="dxa"/>
            <w:noWrap w:val="0"/>
            <w:vAlign w:val="center"/>
          </w:tcPr>
          <w:p w14:paraId="066C902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628B394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667" w:type="dxa"/>
            <w:noWrap w:val="0"/>
            <w:vAlign w:val="center"/>
          </w:tcPr>
          <w:p w14:paraId="0FE6518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6D52A54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CA6131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0B86B60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69B5DBC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43" w:type="dxa"/>
            <w:noWrap w:val="0"/>
            <w:vAlign w:val="center"/>
          </w:tcPr>
          <w:p w14:paraId="7918B97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07DD46A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667" w:type="dxa"/>
            <w:noWrap w:val="0"/>
            <w:vAlign w:val="center"/>
          </w:tcPr>
          <w:p w14:paraId="7255F81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7E9E42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59DF8DC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1291C03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2BC9AED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43" w:type="dxa"/>
            <w:noWrap w:val="0"/>
            <w:vAlign w:val="center"/>
          </w:tcPr>
          <w:p w14:paraId="67AB6E3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2092472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667" w:type="dxa"/>
            <w:noWrap w:val="0"/>
            <w:vAlign w:val="center"/>
          </w:tcPr>
          <w:p w14:paraId="539167A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398354A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FA6294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318D2AD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12F2241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43" w:type="dxa"/>
            <w:noWrap w:val="0"/>
            <w:vAlign w:val="center"/>
          </w:tcPr>
          <w:p w14:paraId="5808EE1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7B11C11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667" w:type="dxa"/>
            <w:noWrap w:val="0"/>
            <w:vAlign w:val="center"/>
          </w:tcPr>
          <w:p w14:paraId="71CF0D7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4B9574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6C82C52C">
            <w:pPr>
              <w:rPr>
                <w:rFonts w:hint="eastAsia" w:ascii="宋体" w:hAnsi="宋体" w:eastAsia="宋体" w:cs="宋体"/>
                <w:color w:val="auto"/>
                <w:sz w:val="30"/>
                <w:szCs w:val="30"/>
                <w:highlight w:val="none"/>
              </w:rPr>
            </w:pPr>
          </w:p>
        </w:tc>
        <w:tc>
          <w:tcPr>
            <w:tcW w:w="1276" w:type="dxa"/>
            <w:noWrap w:val="0"/>
            <w:vAlign w:val="top"/>
          </w:tcPr>
          <w:p w14:paraId="15C662E8">
            <w:pPr>
              <w:rPr>
                <w:rFonts w:hint="eastAsia" w:ascii="宋体" w:hAnsi="宋体" w:eastAsia="宋体" w:cs="宋体"/>
                <w:color w:val="auto"/>
                <w:sz w:val="30"/>
                <w:szCs w:val="30"/>
                <w:highlight w:val="none"/>
              </w:rPr>
            </w:pPr>
          </w:p>
        </w:tc>
        <w:tc>
          <w:tcPr>
            <w:tcW w:w="1450" w:type="dxa"/>
            <w:noWrap w:val="0"/>
            <w:vAlign w:val="top"/>
          </w:tcPr>
          <w:p w14:paraId="60FDCDAF">
            <w:pPr>
              <w:rPr>
                <w:rFonts w:hint="eastAsia" w:ascii="宋体" w:hAnsi="宋体" w:eastAsia="宋体" w:cs="宋体"/>
                <w:color w:val="auto"/>
                <w:sz w:val="30"/>
                <w:szCs w:val="30"/>
                <w:highlight w:val="none"/>
              </w:rPr>
            </w:pPr>
          </w:p>
        </w:tc>
        <w:tc>
          <w:tcPr>
            <w:tcW w:w="1243" w:type="dxa"/>
            <w:noWrap w:val="0"/>
            <w:vAlign w:val="top"/>
          </w:tcPr>
          <w:p w14:paraId="0B000F2F">
            <w:pPr>
              <w:rPr>
                <w:rFonts w:hint="eastAsia" w:ascii="宋体" w:hAnsi="宋体" w:eastAsia="宋体" w:cs="宋体"/>
                <w:color w:val="auto"/>
                <w:sz w:val="30"/>
                <w:szCs w:val="30"/>
                <w:highlight w:val="none"/>
              </w:rPr>
            </w:pPr>
          </w:p>
        </w:tc>
        <w:tc>
          <w:tcPr>
            <w:tcW w:w="1450" w:type="dxa"/>
            <w:noWrap w:val="0"/>
            <w:vAlign w:val="top"/>
          </w:tcPr>
          <w:p w14:paraId="0163C4C3">
            <w:pPr>
              <w:rPr>
                <w:rFonts w:hint="eastAsia" w:ascii="宋体" w:hAnsi="宋体" w:eastAsia="宋体" w:cs="宋体"/>
                <w:color w:val="auto"/>
                <w:sz w:val="30"/>
                <w:szCs w:val="30"/>
                <w:highlight w:val="none"/>
              </w:rPr>
            </w:pPr>
          </w:p>
        </w:tc>
        <w:tc>
          <w:tcPr>
            <w:tcW w:w="1667" w:type="dxa"/>
            <w:noWrap w:val="0"/>
            <w:vAlign w:val="top"/>
          </w:tcPr>
          <w:p w14:paraId="6A0BA4DA">
            <w:pPr>
              <w:rPr>
                <w:rFonts w:hint="eastAsia" w:ascii="宋体" w:hAnsi="宋体" w:eastAsia="宋体" w:cs="宋体"/>
                <w:color w:val="auto"/>
                <w:sz w:val="30"/>
                <w:szCs w:val="30"/>
                <w:highlight w:val="none"/>
              </w:rPr>
            </w:pPr>
          </w:p>
        </w:tc>
      </w:tr>
      <w:tr w14:paraId="3CD2C3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E6CF80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76" w:type="dxa"/>
            <w:noWrap w:val="0"/>
            <w:vAlign w:val="center"/>
          </w:tcPr>
          <w:p w14:paraId="37ECACF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58F662B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243" w:type="dxa"/>
            <w:noWrap w:val="0"/>
            <w:vAlign w:val="center"/>
          </w:tcPr>
          <w:p w14:paraId="771D942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50" w:type="dxa"/>
            <w:noWrap w:val="0"/>
            <w:vAlign w:val="center"/>
          </w:tcPr>
          <w:p w14:paraId="259B53F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667" w:type="dxa"/>
            <w:noWrap w:val="0"/>
            <w:vAlign w:val="center"/>
          </w:tcPr>
          <w:p w14:paraId="7134F5D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48D25E8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3FB2E468">
            <w:pPr>
              <w:rPr>
                <w:rFonts w:hint="eastAsia" w:ascii="宋体" w:hAnsi="宋体" w:eastAsia="宋体" w:cs="宋体"/>
                <w:color w:val="auto"/>
                <w:sz w:val="30"/>
                <w:szCs w:val="30"/>
                <w:highlight w:val="none"/>
              </w:rPr>
            </w:pPr>
          </w:p>
        </w:tc>
        <w:tc>
          <w:tcPr>
            <w:tcW w:w="1276" w:type="dxa"/>
            <w:noWrap w:val="0"/>
            <w:vAlign w:val="top"/>
          </w:tcPr>
          <w:p w14:paraId="17A33F75">
            <w:pPr>
              <w:rPr>
                <w:rFonts w:hint="eastAsia" w:ascii="宋体" w:hAnsi="宋体" w:eastAsia="宋体" w:cs="宋体"/>
                <w:color w:val="auto"/>
                <w:sz w:val="30"/>
                <w:szCs w:val="30"/>
                <w:highlight w:val="none"/>
              </w:rPr>
            </w:pPr>
          </w:p>
        </w:tc>
        <w:tc>
          <w:tcPr>
            <w:tcW w:w="1450" w:type="dxa"/>
            <w:noWrap w:val="0"/>
            <w:vAlign w:val="top"/>
          </w:tcPr>
          <w:p w14:paraId="1E73BE30">
            <w:pPr>
              <w:rPr>
                <w:rFonts w:hint="eastAsia" w:ascii="宋体" w:hAnsi="宋体" w:eastAsia="宋体" w:cs="宋体"/>
                <w:color w:val="auto"/>
                <w:sz w:val="30"/>
                <w:szCs w:val="30"/>
                <w:highlight w:val="none"/>
              </w:rPr>
            </w:pPr>
          </w:p>
        </w:tc>
        <w:tc>
          <w:tcPr>
            <w:tcW w:w="1243" w:type="dxa"/>
            <w:noWrap w:val="0"/>
            <w:vAlign w:val="top"/>
          </w:tcPr>
          <w:p w14:paraId="3ED7D325">
            <w:pPr>
              <w:rPr>
                <w:rFonts w:hint="eastAsia" w:ascii="宋体" w:hAnsi="宋体" w:eastAsia="宋体" w:cs="宋体"/>
                <w:color w:val="auto"/>
                <w:sz w:val="30"/>
                <w:szCs w:val="30"/>
                <w:highlight w:val="none"/>
              </w:rPr>
            </w:pPr>
          </w:p>
        </w:tc>
        <w:tc>
          <w:tcPr>
            <w:tcW w:w="1450" w:type="dxa"/>
            <w:noWrap w:val="0"/>
            <w:vAlign w:val="top"/>
          </w:tcPr>
          <w:p w14:paraId="21A6EB13">
            <w:pPr>
              <w:rPr>
                <w:rFonts w:hint="eastAsia" w:ascii="宋体" w:hAnsi="宋体" w:eastAsia="宋体" w:cs="宋体"/>
                <w:color w:val="auto"/>
                <w:sz w:val="30"/>
                <w:szCs w:val="30"/>
                <w:highlight w:val="none"/>
              </w:rPr>
            </w:pPr>
          </w:p>
        </w:tc>
        <w:tc>
          <w:tcPr>
            <w:tcW w:w="1667" w:type="dxa"/>
            <w:noWrap w:val="0"/>
            <w:vAlign w:val="top"/>
          </w:tcPr>
          <w:p w14:paraId="7FB158E6">
            <w:pPr>
              <w:rPr>
                <w:rFonts w:hint="eastAsia" w:ascii="宋体" w:hAnsi="宋体" w:eastAsia="宋体" w:cs="宋体"/>
                <w:color w:val="auto"/>
                <w:sz w:val="30"/>
                <w:szCs w:val="30"/>
                <w:highlight w:val="none"/>
              </w:rPr>
            </w:pPr>
          </w:p>
        </w:tc>
      </w:tr>
      <w:tr w14:paraId="18195C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144445D3">
            <w:pPr>
              <w:rPr>
                <w:rFonts w:hint="eastAsia" w:ascii="宋体" w:hAnsi="宋体" w:eastAsia="宋体" w:cs="宋体"/>
                <w:color w:val="auto"/>
                <w:sz w:val="30"/>
                <w:szCs w:val="30"/>
                <w:highlight w:val="none"/>
              </w:rPr>
            </w:pPr>
          </w:p>
        </w:tc>
        <w:tc>
          <w:tcPr>
            <w:tcW w:w="1276" w:type="dxa"/>
            <w:noWrap w:val="0"/>
            <w:vAlign w:val="top"/>
          </w:tcPr>
          <w:p w14:paraId="6CC7865B">
            <w:pPr>
              <w:rPr>
                <w:rFonts w:hint="eastAsia" w:ascii="宋体" w:hAnsi="宋体" w:eastAsia="宋体" w:cs="宋体"/>
                <w:color w:val="auto"/>
                <w:sz w:val="30"/>
                <w:szCs w:val="30"/>
                <w:highlight w:val="none"/>
              </w:rPr>
            </w:pPr>
          </w:p>
        </w:tc>
        <w:tc>
          <w:tcPr>
            <w:tcW w:w="1450" w:type="dxa"/>
            <w:noWrap w:val="0"/>
            <w:vAlign w:val="top"/>
          </w:tcPr>
          <w:p w14:paraId="45BCD2D5">
            <w:pPr>
              <w:rPr>
                <w:rFonts w:hint="eastAsia" w:ascii="宋体" w:hAnsi="宋体" w:eastAsia="宋体" w:cs="宋体"/>
                <w:color w:val="auto"/>
                <w:sz w:val="30"/>
                <w:szCs w:val="30"/>
                <w:highlight w:val="none"/>
              </w:rPr>
            </w:pPr>
          </w:p>
        </w:tc>
        <w:tc>
          <w:tcPr>
            <w:tcW w:w="1243" w:type="dxa"/>
            <w:noWrap w:val="0"/>
            <w:vAlign w:val="top"/>
          </w:tcPr>
          <w:p w14:paraId="21D875DB">
            <w:pPr>
              <w:rPr>
                <w:rFonts w:hint="eastAsia" w:ascii="宋体" w:hAnsi="宋体" w:eastAsia="宋体" w:cs="宋体"/>
                <w:color w:val="auto"/>
                <w:sz w:val="30"/>
                <w:szCs w:val="30"/>
                <w:highlight w:val="none"/>
              </w:rPr>
            </w:pPr>
          </w:p>
        </w:tc>
        <w:tc>
          <w:tcPr>
            <w:tcW w:w="1450" w:type="dxa"/>
            <w:noWrap w:val="0"/>
            <w:vAlign w:val="top"/>
          </w:tcPr>
          <w:p w14:paraId="35F6DD7E">
            <w:pPr>
              <w:rPr>
                <w:rFonts w:hint="eastAsia" w:ascii="宋体" w:hAnsi="宋体" w:eastAsia="宋体" w:cs="宋体"/>
                <w:color w:val="auto"/>
                <w:sz w:val="30"/>
                <w:szCs w:val="30"/>
                <w:highlight w:val="none"/>
              </w:rPr>
            </w:pPr>
          </w:p>
        </w:tc>
        <w:tc>
          <w:tcPr>
            <w:tcW w:w="1667" w:type="dxa"/>
            <w:noWrap w:val="0"/>
            <w:vAlign w:val="top"/>
          </w:tcPr>
          <w:p w14:paraId="1B7793BA">
            <w:pPr>
              <w:rPr>
                <w:rFonts w:hint="eastAsia" w:ascii="宋体" w:hAnsi="宋体" w:eastAsia="宋体" w:cs="宋体"/>
                <w:color w:val="auto"/>
                <w:sz w:val="30"/>
                <w:szCs w:val="30"/>
                <w:highlight w:val="none"/>
              </w:rPr>
            </w:pPr>
          </w:p>
        </w:tc>
      </w:tr>
      <w:tr w14:paraId="7C50D78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489070B5">
            <w:pPr>
              <w:rPr>
                <w:rFonts w:hint="eastAsia" w:ascii="宋体" w:hAnsi="宋体" w:eastAsia="宋体" w:cs="宋体"/>
                <w:color w:val="auto"/>
                <w:sz w:val="30"/>
                <w:szCs w:val="30"/>
                <w:highlight w:val="none"/>
              </w:rPr>
            </w:pPr>
          </w:p>
        </w:tc>
        <w:tc>
          <w:tcPr>
            <w:tcW w:w="1276" w:type="dxa"/>
            <w:noWrap w:val="0"/>
            <w:vAlign w:val="top"/>
          </w:tcPr>
          <w:p w14:paraId="68BC8AA4">
            <w:pPr>
              <w:rPr>
                <w:rFonts w:hint="eastAsia" w:ascii="宋体" w:hAnsi="宋体" w:eastAsia="宋体" w:cs="宋体"/>
                <w:color w:val="auto"/>
                <w:sz w:val="30"/>
                <w:szCs w:val="30"/>
                <w:highlight w:val="none"/>
              </w:rPr>
            </w:pPr>
          </w:p>
        </w:tc>
        <w:tc>
          <w:tcPr>
            <w:tcW w:w="1450" w:type="dxa"/>
            <w:noWrap w:val="0"/>
            <w:vAlign w:val="top"/>
          </w:tcPr>
          <w:p w14:paraId="2B9B04FE">
            <w:pPr>
              <w:rPr>
                <w:rFonts w:hint="eastAsia" w:ascii="宋体" w:hAnsi="宋体" w:eastAsia="宋体" w:cs="宋体"/>
                <w:color w:val="auto"/>
                <w:sz w:val="30"/>
                <w:szCs w:val="30"/>
                <w:highlight w:val="none"/>
              </w:rPr>
            </w:pPr>
          </w:p>
        </w:tc>
        <w:tc>
          <w:tcPr>
            <w:tcW w:w="1243" w:type="dxa"/>
            <w:noWrap w:val="0"/>
            <w:vAlign w:val="top"/>
          </w:tcPr>
          <w:p w14:paraId="6BE31392">
            <w:pPr>
              <w:rPr>
                <w:rFonts w:hint="eastAsia" w:ascii="宋体" w:hAnsi="宋体" w:eastAsia="宋体" w:cs="宋体"/>
                <w:color w:val="auto"/>
                <w:sz w:val="30"/>
                <w:szCs w:val="30"/>
                <w:highlight w:val="none"/>
              </w:rPr>
            </w:pPr>
          </w:p>
        </w:tc>
        <w:tc>
          <w:tcPr>
            <w:tcW w:w="1450" w:type="dxa"/>
            <w:noWrap w:val="0"/>
            <w:vAlign w:val="top"/>
          </w:tcPr>
          <w:p w14:paraId="17DF685E">
            <w:pPr>
              <w:rPr>
                <w:rFonts w:hint="eastAsia" w:ascii="宋体" w:hAnsi="宋体" w:eastAsia="宋体" w:cs="宋体"/>
                <w:color w:val="auto"/>
                <w:sz w:val="30"/>
                <w:szCs w:val="30"/>
                <w:highlight w:val="none"/>
              </w:rPr>
            </w:pPr>
          </w:p>
        </w:tc>
        <w:tc>
          <w:tcPr>
            <w:tcW w:w="1667" w:type="dxa"/>
            <w:noWrap w:val="0"/>
            <w:vAlign w:val="top"/>
          </w:tcPr>
          <w:p w14:paraId="5D66CE2A">
            <w:pPr>
              <w:rPr>
                <w:rFonts w:hint="eastAsia" w:ascii="宋体" w:hAnsi="宋体" w:eastAsia="宋体" w:cs="宋体"/>
                <w:color w:val="auto"/>
                <w:sz w:val="30"/>
                <w:szCs w:val="30"/>
                <w:highlight w:val="none"/>
              </w:rPr>
            </w:pPr>
          </w:p>
        </w:tc>
      </w:tr>
      <w:tr w14:paraId="372057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470D08FB">
            <w:pPr>
              <w:rPr>
                <w:rFonts w:hint="eastAsia" w:ascii="宋体" w:hAnsi="宋体" w:eastAsia="宋体" w:cs="宋体"/>
                <w:color w:val="auto"/>
                <w:sz w:val="30"/>
                <w:szCs w:val="30"/>
                <w:highlight w:val="none"/>
              </w:rPr>
            </w:pPr>
          </w:p>
        </w:tc>
        <w:tc>
          <w:tcPr>
            <w:tcW w:w="1276" w:type="dxa"/>
            <w:noWrap w:val="0"/>
            <w:vAlign w:val="top"/>
          </w:tcPr>
          <w:p w14:paraId="3D06F479">
            <w:pPr>
              <w:rPr>
                <w:rFonts w:hint="eastAsia" w:ascii="宋体" w:hAnsi="宋体" w:eastAsia="宋体" w:cs="宋体"/>
                <w:color w:val="auto"/>
                <w:sz w:val="30"/>
                <w:szCs w:val="30"/>
                <w:highlight w:val="none"/>
              </w:rPr>
            </w:pPr>
          </w:p>
        </w:tc>
        <w:tc>
          <w:tcPr>
            <w:tcW w:w="1450" w:type="dxa"/>
            <w:noWrap w:val="0"/>
            <w:vAlign w:val="top"/>
          </w:tcPr>
          <w:p w14:paraId="6F1D682F">
            <w:pPr>
              <w:rPr>
                <w:rFonts w:hint="eastAsia" w:ascii="宋体" w:hAnsi="宋体" w:eastAsia="宋体" w:cs="宋体"/>
                <w:color w:val="auto"/>
                <w:sz w:val="30"/>
                <w:szCs w:val="30"/>
                <w:highlight w:val="none"/>
              </w:rPr>
            </w:pPr>
          </w:p>
        </w:tc>
        <w:tc>
          <w:tcPr>
            <w:tcW w:w="1243" w:type="dxa"/>
            <w:noWrap w:val="0"/>
            <w:vAlign w:val="top"/>
          </w:tcPr>
          <w:p w14:paraId="4478C89D">
            <w:pPr>
              <w:rPr>
                <w:rFonts w:hint="eastAsia" w:ascii="宋体" w:hAnsi="宋体" w:eastAsia="宋体" w:cs="宋体"/>
                <w:color w:val="auto"/>
                <w:sz w:val="30"/>
                <w:szCs w:val="30"/>
                <w:highlight w:val="none"/>
              </w:rPr>
            </w:pPr>
          </w:p>
        </w:tc>
        <w:tc>
          <w:tcPr>
            <w:tcW w:w="1450" w:type="dxa"/>
            <w:noWrap w:val="0"/>
            <w:vAlign w:val="top"/>
          </w:tcPr>
          <w:p w14:paraId="28DE5A8D">
            <w:pPr>
              <w:rPr>
                <w:rFonts w:hint="eastAsia" w:ascii="宋体" w:hAnsi="宋体" w:eastAsia="宋体" w:cs="宋体"/>
                <w:color w:val="auto"/>
                <w:sz w:val="30"/>
                <w:szCs w:val="30"/>
                <w:highlight w:val="none"/>
              </w:rPr>
            </w:pPr>
          </w:p>
        </w:tc>
        <w:tc>
          <w:tcPr>
            <w:tcW w:w="1667" w:type="dxa"/>
            <w:noWrap w:val="0"/>
            <w:vAlign w:val="top"/>
          </w:tcPr>
          <w:p w14:paraId="5FB3C75C">
            <w:pPr>
              <w:rPr>
                <w:rFonts w:hint="eastAsia" w:ascii="宋体" w:hAnsi="宋体" w:eastAsia="宋体" w:cs="宋体"/>
                <w:color w:val="auto"/>
                <w:sz w:val="30"/>
                <w:szCs w:val="30"/>
                <w:highlight w:val="none"/>
              </w:rPr>
            </w:pPr>
          </w:p>
        </w:tc>
      </w:tr>
      <w:tr w14:paraId="0B9E0BB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0396C2E1">
            <w:pPr>
              <w:rPr>
                <w:rFonts w:hint="eastAsia" w:ascii="宋体" w:hAnsi="宋体" w:eastAsia="宋体" w:cs="宋体"/>
                <w:color w:val="auto"/>
                <w:sz w:val="30"/>
                <w:szCs w:val="30"/>
                <w:highlight w:val="none"/>
              </w:rPr>
            </w:pPr>
          </w:p>
        </w:tc>
        <w:tc>
          <w:tcPr>
            <w:tcW w:w="1276" w:type="dxa"/>
            <w:noWrap w:val="0"/>
            <w:vAlign w:val="top"/>
          </w:tcPr>
          <w:p w14:paraId="3355CC34">
            <w:pPr>
              <w:rPr>
                <w:rFonts w:hint="eastAsia" w:ascii="宋体" w:hAnsi="宋体" w:eastAsia="宋体" w:cs="宋体"/>
                <w:color w:val="auto"/>
                <w:sz w:val="30"/>
                <w:szCs w:val="30"/>
                <w:highlight w:val="none"/>
              </w:rPr>
            </w:pPr>
          </w:p>
        </w:tc>
        <w:tc>
          <w:tcPr>
            <w:tcW w:w="1450" w:type="dxa"/>
            <w:noWrap w:val="0"/>
            <w:vAlign w:val="top"/>
          </w:tcPr>
          <w:p w14:paraId="7FD6FC73">
            <w:pPr>
              <w:rPr>
                <w:rFonts w:hint="eastAsia" w:ascii="宋体" w:hAnsi="宋体" w:eastAsia="宋体" w:cs="宋体"/>
                <w:color w:val="auto"/>
                <w:sz w:val="30"/>
                <w:szCs w:val="30"/>
                <w:highlight w:val="none"/>
              </w:rPr>
            </w:pPr>
          </w:p>
        </w:tc>
        <w:tc>
          <w:tcPr>
            <w:tcW w:w="1243" w:type="dxa"/>
            <w:noWrap w:val="0"/>
            <w:vAlign w:val="top"/>
          </w:tcPr>
          <w:p w14:paraId="33B760B1">
            <w:pPr>
              <w:rPr>
                <w:rFonts w:hint="eastAsia" w:ascii="宋体" w:hAnsi="宋体" w:eastAsia="宋体" w:cs="宋体"/>
                <w:color w:val="auto"/>
                <w:sz w:val="30"/>
                <w:szCs w:val="30"/>
                <w:highlight w:val="none"/>
              </w:rPr>
            </w:pPr>
          </w:p>
        </w:tc>
        <w:tc>
          <w:tcPr>
            <w:tcW w:w="1450" w:type="dxa"/>
            <w:noWrap w:val="0"/>
            <w:vAlign w:val="top"/>
          </w:tcPr>
          <w:p w14:paraId="2C9647F1">
            <w:pPr>
              <w:rPr>
                <w:rFonts w:hint="eastAsia" w:ascii="宋体" w:hAnsi="宋体" w:eastAsia="宋体" w:cs="宋体"/>
                <w:color w:val="auto"/>
                <w:sz w:val="30"/>
                <w:szCs w:val="30"/>
                <w:highlight w:val="none"/>
              </w:rPr>
            </w:pPr>
          </w:p>
        </w:tc>
        <w:tc>
          <w:tcPr>
            <w:tcW w:w="1667" w:type="dxa"/>
            <w:noWrap w:val="0"/>
            <w:vAlign w:val="top"/>
          </w:tcPr>
          <w:p w14:paraId="3F76B888">
            <w:pPr>
              <w:rPr>
                <w:rFonts w:hint="eastAsia" w:ascii="宋体" w:hAnsi="宋体" w:eastAsia="宋体" w:cs="宋体"/>
                <w:color w:val="auto"/>
                <w:sz w:val="30"/>
                <w:szCs w:val="30"/>
                <w:highlight w:val="none"/>
              </w:rPr>
            </w:pPr>
          </w:p>
        </w:tc>
      </w:tr>
      <w:tr w14:paraId="2EE289A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4F1DF547">
            <w:pPr>
              <w:rPr>
                <w:rFonts w:hint="eastAsia" w:ascii="宋体" w:hAnsi="宋体" w:eastAsia="宋体" w:cs="宋体"/>
                <w:color w:val="auto"/>
                <w:sz w:val="30"/>
                <w:szCs w:val="30"/>
                <w:highlight w:val="none"/>
              </w:rPr>
            </w:pPr>
          </w:p>
        </w:tc>
        <w:tc>
          <w:tcPr>
            <w:tcW w:w="1276" w:type="dxa"/>
            <w:noWrap w:val="0"/>
            <w:vAlign w:val="top"/>
          </w:tcPr>
          <w:p w14:paraId="3F76B3E5">
            <w:pPr>
              <w:rPr>
                <w:rFonts w:hint="eastAsia" w:ascii="宋体" w:hAnsi="宋体" w:eastAsia="宋体" w:cs="宋体"/>
                <w:color w:val="auto"/>
                <w:sz w:val="30"/>
                <w:szCs w:val="30"/>
                <w:highlight w:val="none"/>
              </w:rPr>
            </w:pPr>
          </w:p>
        </w:tc>
        <w:tc>
          <w:tcPr>
            <w:tcW w:w="1450" w:type="dxa"/>
            <w:noWrap w:val="0"/>
            <w:vAlign w:val="top"/>
          </w:tcPr>
          <w:p w14:paraId="136712A4">
            <w:pPr>
              <w:rPr>
                <w:rFonts w:hint="eastAsia" w:ascii="宋体" w:hAnsi="宋体" w:eastAsia="宋体" w:cs="宋体"/>
                <w:color w:val="auto"/>
                <w:sz w:val="30"/>
                <w:szCs w:val="30"/>
                <w:highlight w:val="none"/>
              </w:rPr>
            </w:pPr>
          </w:p>
        </w:tc>
        <w:tc>
          <w:tcPr>
            <w:tcW w:w="1243" w:type="dxa"/>
            <w:noWrap w:val="0"/>
            <w:vAlign w:val="top"/>
          </w:tcPr>
          <w:p w14:paraId="0406B0CD">
            <w:pPr>
              <w:rPr>
                <w:rFonts w:hint="eastAsia" w:ascii="宋体" w:hAnsi="宋体" w:eastAsia="宋体" w:cs="宋体"/>
                <w:color w:val="auto"/>
                <w:sz w:val="30"/>
                <w:szCs w:val="30"/>
                <w:highlight w:val="none"/>
              </w:rPr>
            </w:pPr>
          </w:p>
        </w:tc>
        <w:tc>
          <w:tcPr>
            <w:tcW w:w="1450" w:type="dxa"/>
            <w:noWrap w:val="0"/>
            <w:vAlign w:val="top"/>
          </w:tcPr>
          <w:p w14:paraId="344F6DBB">
            <w:pPr>
              <w:rPr>
                <w:rFonts w:hint="eastAsia" w:ascii="宋体" w:hAnsi="宋体" w:eastAsia="宋体" w:cs="宋体"/>
                <w:color w:val="auto"/>
                <w:sz w:val="30"/>
                <w:szCs w:val="30"/>
                <w:highlight w:val="none"/>
              </w:rPr>
            </w:pPr>
          </w:p>
        </w:tc>
        <w:tc>
          <w:tcPr>
            <w:tcW w:w="1667" w:type="dxa"/>
            <w:noWrap w:val="0"/>
            <w:vAlign w:val="top"/>
          </w:tcPr>
          <w:p w14:paraId="0E595CA6">
            <w:pPr>
              <w:rPr>
                <w:rFonts w:hint="eastAsia" w:ascii="宋体" w:hAnsi="宋体" w:eastAsia="宋体" w:cs="宋体"/>
                <w:color w:val="auto"/>
                <w:sz w:val="30"/>
                <w:szCs w:val="30"/>
                <w:highlight w:val="none"/>
              </w:rPr>
            </w:pPr>
          </w:p>
        </w:tc>
      </w:tr>
      <w:tr w14:paraId="0D7A83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0C3E0A31">
            <w:pPr>
              <w:rPr>
                <w:rFonts w:hint="eastAsia" w:ascii="宋体" w:hAnsi="宋体" w:eastAsia="宋体" w:cs="宋体"/>
                <w:color w:val="auto"/>
                <w:sz w:val="30"/>
                <w:szCs w:val="30"/>
                <w:highlight w:val="none"/>
              </w:rPr>
            </w:pPr>
          </w:p>
        </w:tc>
        <w:tc>
          <w:tcPr>
            <w:tcW w:w="1276" w:type="dxa"/>
            <w:noWrap w:val="0"/>
            <w:vAlign w:val="top"/>
          </w:tcPr>
          <w:p w14:paraId="4E18E981">
            <w:pPr>
              <w:rPr>
                <w:rFonts w:hint="eastAsia" w:ascii="宋体" w:hAnsi="宋体" w:eastAsia="宋体" w:cs="宋体"/>
                <w:color w:val="auto"/>
                <w:sz w:val="30"/>
                <w:szCs w:val="30"/>
                <w:highlight w:val="none"/>
              </w:rPr>
            </w:pPr>
          </w:p>
        </w:tc>
        <w:tc>
          <w:tcPr>
            <w:tcW w:w="1450" w:type="dxa"/>
            <w:noWrap w:val="0"/>
            <w:vAlign w:val="top"/>
          </w:tcPr>
          <w:p w14:paraId="595CE52A">
            <w:pPr>
              <w:rPr>
                <w:rFonts w:hint="eastAsia" w:ascii="宋体" w:hAnsi="宋体" w:eastAsia="宋体" w:cs="宋体"/>
                <w:color w:val="auto"/>
                <w:sz w:val="30"/>
                <w:szCs w:val="30"/>
                <w:highlight w:val="none"/>
              </w:rPr>
            </w:pPr>
          </w:p>
        </w:tc>
        <w:tc>
          <w:tcPr>
            <w:tcW w:w="1243" w:type="dxa"/>
            <w:noWrap w:val="0"/>
            <w:vAlign w:val="top"/>
          </w:tcPr>
          <w:p w14:paraId="43EDA182">
            <w:pPr>
              <w:rPr>
                <w:rFonts w:hint="eastAsia" w:ascii="宋体" w:hAnsi="宋体" w:eastAsia="宋体" w:cs="宋体"/>
                <w:color w:val="auto"/>
                <w:sz w:val="30"/>
                <w:szCs w:val="30"/>
                <w:highlight w:val="none"/>
              </w:rPr>
            </w:pPr>
          </w:p>
        </w:tc>
        <w:tc>
          <w:tcPr>
            <w:tcW w:w="1450" w:type="dxa"/>
            <w:noWrap w:val="0"/>
            <w:vAlign w:val="top"/>
          </w:tcPr>
          <w:p w14:paraId="6C0CD8CB">
            <w:pPr>
              <w:rPr>
                <w:rFonts w:hint="eastAsia" w:ascii="宋体" w:hAnsi="宋体" w:eastAsia="宋体" w:cs="宋体"/>
                <w:color w:val="auto"/>
                <w:sz w:val="30"/>
                <w:szCs w:val="30"/>
                <w:highlight w:val="none"/>
              </w:rPr>
            </w:pPr>
          </w:p>
        </w:tc>
        <w:tc>
          <w:tcPr>
            <w:tcW w:w="1667" w:type="dxa"/>
            <w:noWrap w:val="0"/>
            <w:vAlign w:val="top"/>
          </w:tcPr>
          <w:p w14:paraId="0B573C16">
            <w:pPr>
              <w:rPr>
                <w:rFonts w:hint="eastAsia" w:ascii="宋体" w:hAnsi="宋体" w:eastAsia="宋体" w:cs="宋体"/>
                <w:color w:val="auto"/>
                <w:sz w:val="30"/>
                <w:szCs w:val="30"/>
                <w:highlight w:val="none"/>
              </w:rPr>
            </w:pPr>
          </w:p>
        </w:tc>
      </w:tr>
      <w:tr w14:paraId="776DFB6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09488240">
            <w:pPr>
              <w:rPr>
                <w:rFonts w:hint="eastAsia" w:ascii="宋体" w:hAnsi="宋体" w:eastAsia="宋体" w:cs="宋体"/>
                <w:color w:val="auto"/>
                <w:sz w:val="30"/>
                <w:szCs w:val="30"/>
                <w:highlight w:val="none"/>
              </w:rPr>
            </w:pPr>
          </w:p>
        </w:tc>
        <w:tc>
          <w:tcPr>
            <w:tcW w:w="1276" w:type="dxa"/>
            <w:noWrap w:val="0"/>
            <w:vAlign w:val="top"/>
          </w:tcPr>
          <w:p w14:paraId="2776AD4B">
            <w:pPr>
              <w:rPr>
                <w:rFonts w:hint="eastAsia" w:ascii="宋体" w:hAnsi="宋体" w:eastAsia="宋体" w:cs="宋体"/>
                <w:color w:val="auto"/>
                <w:sz w:val="30"/>
                <w:szCs w:val="30"/>
                <w:highlight w:val="none"/>
              </w:rPr>
            </w:pPr>
          </w:p>
        </w:tc>
        <w:tc>
          <w:tcPr>
            <w:tcW w:w="1450" w:type="dxa"/>
            <w:noWrap w:val="0"/>
            <w:vAlign w:val="top"/>
          </w:tcPr>
          <w:p w14:paraId="211691F8">
            <w:pPr>
              <w:rPr>
                <w:rFonts w:hint="eastAsia" w:ascii="宋体" w:hAnsi="宋体" w:eastAsia="宋体" w:cs="宋体"/>
                <w:color w:val="auto"/>
                <w:sz w:val="30"/>
                <w:szCs w:val="30"/>
                <w:highlight w:val="none"/>
              </w:rPr>
            </w:pPr>
          </w:p>
        </w:tc>
        <w:tc>
          <w:tcPr>
            <w:tcW w:w="1243" w:type="dxa"/>
            <w:noWrap w:val="0"/>
            <w:vAlign w:val="top"/>
          </w:tcPr>
          <w:p w14:paraId="73E8F396">
            <w:pPr>
              <w:rPr>
                <w:rFonts w:hint="eastAsia" w:ascii="宋体" w:hAnsi="宋体" w:eastAsia="宋体" w:cs="宋体"/>
                <w:color w:val="auto"/>
                <w:sz w:val="30"/>
                <w:szCs w:val="30"/>
                <w:highlight w:val="none"/>
              </w:rPr>
            </w:pPr>
          </w:p>
        </w:tc>
        <w:tc>
          <w:tcPr>
            <w:tcW w:w="1450" w:type="dxa"/>
            <w:noWrap w:val="0"/>
            <w:vAlign w:val="top"/>
          </w:tcPr>
          <w:p w14:paraId="37CDC510">
            <w:pPr>
              <w:rPr>
                <w:rFonts w:hint="eastAsia" w:ascii="宋体" w:hAnsi="宋体" w:eastAsia="宋体" w:cs="宋体"/>
                <w:color w:val="auto"/>
                <w:sz w:val="30"/>
                <w:szCs w:val="30"/>
                <w:highlight w:val="none"/>
              </w:rPr>
            </w:pPr>
          </w:p>
        </w:tc>
        <w:tc>
          <w:tcPr>
            <w:tcW w:w="1667" w:type="dxa"/>
            <w:noWrap w:val="0"/>
            <w:vAlign w:val="top"/>
          </w:tcPr>
          <w:p w14:paraId="4450B650">
            <w:pPr>
              <w:rPr>
                <w:rFonts w:hint="eastAsia" w:ascii="宋体" w:hAnsi="宋体" w:eastAsia="宋体" w:cs="宋体"/>
                <w:color w:val="auto"/>
                <w:sz w:val="30"/>
                <w:szCs w:val="30"/>
                <w:highlight w:val="none"/>
              </w:rPr>
            </w:pPr>
          </w:p>
        </w:tc>
      </w:tr>
      <w:tr w14:paraId="51E6BB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953" w:type="dxa"/>
            <w:noWrap w:val="0"/>
            <w:vAlign w:val="top"/>
          </w:tcPr>
          <w:p w14:paraId="45573641">
            <w:pPr>
              <w:rPr>
                <w:rFonts w:hint="eastAsia" w:ascii="宋体" w:hAnsi="宋体" w:eastAsia="宋体" w:cs="宋体"/>
                <w:color w:val="auto"/>
                <w:sz w:val="30"/>
                <w:szCs w:val="30"/>
                <w:highlight w:val="none"/>
              </w:rPr>
            </w:pPr>
          </w:p>
        </w:tc>
        <w:tc>
          <w:tcPr>
            <w:tcW w:w="1276" w:type="dxa"/>
            <w:noWrap w:val="0"/>
            <w:vAlign w:val="top"/>
          </w:tcPr>
          <w:p w14:paraId="0796035B">
            <w:pPr>
              <w:rPr>
                <w:rFonts w:hint="eastAsia" w:ascii="宋体" w:hAnsi="宋体" w:eastAsia="宋体" w:cs="宋体"/>
                <w:color w:val="auto"/>
                <w:sz w:val="30"/>
                <w:szCs w:val="30"/>
                <w:highlight w:val="none"/>
              </w:rPr>
            </w:pPr>
          </w:p>
        </w:tc>
        <w:tc>
          <w:tcPr>
            <w:tcW w:w="1450" w:type="dxa"/>
            <w:noWrap w:val="0"/>
            <w:vAlign w:val="top"/>
          </w:tcPr>
          <w:p w14:paraId="38381907">
            <w:pPr>
              <w:rPr>
                <w:rFonts w:hint="eastAsia" w:ascii="宋体" w:hAnsi="宋体" w:eastAsia="宋体" w:cs="宋体"/>
                <w:color w:val="auto"/>
                <w:sz w:val="30"/>
                <w:szCs w:val="30"/>
                <w:highlight w:val="none"/>
              </w:rPr>
            </w:pPr>
          </w:p>
        </w:tc>
        <w:tc>
          <w:tcPr>
            <w:tcW w:w="1243" w:type="dxa"/>
            <w:noWrap w:val="0"/>
            <w:vAlign w:val="top"/>
          </w:tcPr>
          <w:p w14:paraId="244F9787">
            <w:pPr>
              <w:rPr>
                <w:rFonts w:hint="eastAsia" w:ascii="宋体" w:hAnsi="宋体" w:eastAsia="宋体" w:cs="宋体"/>
                <w:color w:val="auto"/>
                <w:sz w:val="30"/>
                <w:szCs w:val="30"/>
                <w:highlight w:val="none"/>
              </w:rPr>
            </w:pPr>
          </w:p>
        </w:tc>
        <w:tc>
          <w:tcPr>
            <w:tcW w:w="1450" w:type="dxa"/>
            <w:noWrap w:val="0"/>
            <w:vAlign w:val="top"/>
          </w:tcPr>
          <w:p w14:paraId="152B04AB">
            <w:pPr>
              <w:rPr>
                <w:rFonts w:hint="eastAsia" w:ascii="宋体" w:hAnsi="宋体" w:eastAsia="宋体" w:cs="宋体"/>
                <w:color w:val="auto"/>
                <w:sz w:val="30"/>
                <w:szCs w:val="30"/>
                <w:highlight w:val="none"/>
              </w:rPr>
            </w:pPr>
          </w:p>
        </w:tc>
        <w:tc>
          <w:tcPr>
            <w:tcW w:w="1667" w:type="dxa"/>
            <w:noWrap w:val="0"/>
            <w:vAlign w:val="top"/>
          </w:tcPr>
          <w:p w14:paraId="6E3561EE">
            <w:pPr>
              <w:rPr>
                <w:rFonts w:hint="eastAsia" w:ascii="宋体" w:hAnsi="宋体" w:eastAsia="宋体" w:cs="宋体"/>
                <w:color w:val="auto"/>
                <w:sz w:val="30"/>
                <w:szCs w:val="30"/>
                <w:highlight w:val="none"/>
              </w:rPr>
            </w:pPr>
          </w:p>
        </w:tc>
      </w:tr>
    </w:tbl>
    <w:p w14:paraId="7C1F04C9">
      <w:pPr>
        <w:spacing w:line="440" w:lineRule="exact"/>
        <w:rPr>
          <w:rFonts w:hint="eastAsia" w:ascii="宋体" w:hAnsi="宋体" w:eastAsia="宋体" w:cs="宋体"/>
          <w:color w:val="auto"/>
          <w:sz w:val="30"/>
          <w:szCs w:val="30"/>
          <w:highlight w:val="none"/>
        </w:rPr>
      </w:pPr>
    </w:p>
    <w:p w14:paraId="56FA8E3F">
      <w:pPr>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附</w:t>
      </w:r>
      <w:bookmarkStart w:id="186" w:name="_Toc296346728"/>
      <w:bookmarkStart w:id="187" w:name="_Toc296944566"/>
      <w:bookmarkStart w:id="188" w:name="_Toc267261698"/>
      <w:bookmarkStart w:id="189" w:name="_Toc296503227"/>
      <w:bookmarkStart w:id="190" w:name="_Toc296347226"/>
      <w:bookmarkStart w:id="191" w:name="_Toc296891267"/>
      <w:bookmarkStart w:id="192" w:name="_Toc296891055"/>
      <w:r>
        <w:rPr>
          <w:rFonts w:hint="eastAsia" w:ascii="宋体" w:hAnsi="宋体" w:eastAsia="宋体" w:cs="宋体"/>
          <w:color w:val="auto"/>
          <w:sz w:val="30"/>
          <w:szCs w:val="30"/>
          <w:highlight w:val="none"/>
        </w:rPr>
        <w:t>件5：</w:t>
      </w:r>
      <w:bookmarkEnd w:id="186"/>
      <w:bookmarkEnd w:id="187"/>
      <w:bookmarkEnd w:id="188"/>
      <w:bookmarkEnd w:id="189"/>
      <w:bookmarkEnd w:id="190"/>
      <w:bookmarkEnd w:id="191"/>
      <w:bookmarkEnd w:id="192"/>
    </w:p>
    <w:p w14:paraId="2121685D">
      <w:pPr>
        <w:spacing w:before="120" w:after="120" w:line="440" w:lineRule="exact"/>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承包人用于本工程施工的机械设备表</w:t>
      </w:r>
    </w:p>
    <w:tbl>
      <w:tblPr>
        <w:tblStyle w:val="4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400540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162" w:type="dxa"/>
            <w:noWrap w:val="0"/>
            <w:vAlign w:val="center"/>
          </w:tcPr>
          <w:p w14:paraId="528C9568">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序号</w:t>
            </w:r>
          </w:p>
        </w:tc>
        <w:tc>
          <w:tcPr>
            <w:tcW w:w="1418" w:type="dxa"/>
            <w:noWrap w:val="0"/>
            <w:vAlign w:val="center"/>
          </w:tcPr>
          <w:p w14:paraId="65546E4F">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机械或设备名称</w:t>
            </w:r>
          </w:p>
        </w:tc>
        <w:tc>
          <w:tcPr>
            <w:tcW w:w="850" w:type="dxa"/>
            <w:noWrap w:val="0"/>
            <w:vAlign w:val="center"/>
          </w:tcPr>
          <w:p w14:paraId="5E4BA1B3">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规格型号</w:t>
            </w:r>
          </w:p>
        </w:tc>
        <w:tc>
          <w:tcPr>
            <w:tcW w:w="1058" w:type="dxa"/>
            <w:noWrap w:val="0"/>
            <w:vAlign w:val="center"/>
          </w:tcPr>
          <w:p w14:paraId="532F6436">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数量</w:t>
            </w:r>
          </w:p>
        </w:tc>
        <w:tc>
          <w:tcPr>
            <w:tcW w:w="880" w:type="dxa"/>
            <w:noWrap w:val="0"/>
            <w:vAlign w:val="center"/>
          </w:tcPr>
          <w:p w14:paraId="00B411AE">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产地</w:t>
            </w:r>
          </w:p>
        </w:tc>
        <w:tc>
          <w:tcPr>
            <w:tcW w:w="1020" w:type="dxa"/>
            <w:noWrap w:val="0"/>
            <w:vAlign w:val="center"/>
          </w:tcPr>
          <w:p w14:paraId="45F98152">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制造年份</w:t>
            </w:r>
          </w:p>
        </w:tc>
        <w:tc>
          <w:tcPr>
            <w:tcW w:w="1480" w:type="dxa"/>
            <w:noWrap w:val="0"/>
            <w:vAlign w:val="center"/>
          </w:tcPr>
          <w:p w14:paraId="0E9BA6AB">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额定功率(kW)</w:t>
            </w:r>
          </w:p>
        </w:tc>
        <w:tc>
          <w:tcPr>
            <w:tcW w:w="1020" w:type="dxa"/>
            <w:noWrap w:val="0"/>
            <w:vAlign w:val="center"/>
          </w:tcPr>
          <w:p w14:paraId="6036BAB3">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生产能力</w:t>
            </w:r>
          </w:p>
        </w:tc>
        <w:tc>
          <w:tcPr>
            <w:tcW w:w="921" w:type="dxa"/>
            <w:noWrap w:val="0"/>
            <w:vAlign w:val="center"/>
          </w:tcPr>
          <w:p w14:paraId="6CC5A347">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备注</w:t>
            </w:r>
          </w:p>
        </w:tc>
      </w:tr>
      <w:tr w14:paraId="22A9FC9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65C5E0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4448697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67E8A38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58" w:type="dxa"/>
            <w:noWrap w:val="0"/>
            <w:vAlign w:val="center"/>
          </w:tcPr>
          <w:p w14:paraId="1FDC174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80" w:type="dxa"/>
            <w:noWrap w:val="0"/>
            <w:vAlign w:val="center"/>
          </w:tcPr>
          <w:p w14:paraId="1B5DC45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7B668DE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0" w:type="dxa"/>
            <w:noWrap w:val="0"/>
            <w:vAlign w:val="center"/>
          </w:tcPr>
          <w:p w14:paraId="7DC9603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0D47581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21" w:type="dxa"/>
            <w:noWrap w:val="0"/>
            <w:vAlign w:val="center"/>
          </w:tcPr>
          <w:p w14:paraId="287E1B7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00103B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6B6CE3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217F34E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09F8A08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58" w:type="dxa"/>
            <w:noWrap w:val="0"/>
            <w:vAlign w:val="center"/>
          </w:tcPr>
          <w:p w14:paraId="66E97B9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80" w:type="dxa"/>
            <w:noWrap w:val="0"/>
            <w:vAlign w:val="center"/>
          </w:tcPr>
          <w:p w14:paraId="5C51EF8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67E77C0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0" w:type="dxa"/>
            <w:noWrap w:val="0"/>
            <w:vAlign w:val="center"/>
          </w:tcPr>
          <w:p w14:paraId="59B9605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28DA079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21" w:type="dxa"/>
            <w:noWrap w:val="0"/>
            <w:vAlign w:val="center"/>
          </w:tcPr>
          <w:p w14:paraId="5564D4E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6F2C1C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622B12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5D2EC82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0C6B8DB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58" w:type="dxa"/>
            <w:noWrap w:val="0"/>
            <w:vAlign w:val="center"/>
          </w:tcPr>
          <w:p w14:paraId="5017F5B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80" w:type="dxa"/>
            <w:noWrap w:val="0"/>
            <w:vAlign w:val="center"/>
          </w:tcPr>
          <w:p w14:paraId="65DE898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2254E99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0" w:type="dxa"/>
            <w:noWrap w:val="0"/>
            <w:vAlign w:val="center"/>
          </w:tcPr>
          <w:p w14:paraId="2D1AF15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2929593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21" w:type="dxa"/>
            <w:noWrap w:val="0"/>
            <w:vAlign w:val="center"/>
          </w:tcPr>
          <w:p w14:paraId="4E4BAEA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115985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73AA47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1B1E545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58724CF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58" w:type="dxa"/>
            <w:noWrap w:val="0"/>
            <w:vAlign w:val="center"/>
          </w:tcPr>
          <w:p w14:paraId="7AE4A13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80" w:type="dxa"/>
            <w:noWrap w:val="0"/>
            <w:vAlign w:val="center"/>
          </w:tcPr>
          <w:p w14:paraId="5CBF794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29CE2A8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0" w:type="dxa"/>
            <w:noWrap w:val="0"/>
            <w:vAlign w:val="center"/>
          </w:tcPr>
          <w:p w14:paraId="2F70152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06E9D8D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21" w:type="dxa"/>
            <w:noWrap w:val="0"/>
            <w:vAlign w:val="center"/>
          </w:tcPr>
          <w:p w14:paraId="6022CB6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726C57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532B5EC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714442F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746CC06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58" w:type="dxa"/>
            <w:noWrap w:val="0"/>
            <w:vAlign w:val="center"/>
          </w:tcPr>
          <w:p w14:paraId="7E6EFE9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80" w:type="dxa"/>
            <w:noWrap w:val="0"/>
            <w:vAlign w:val="center"/>
          </w:tcPr>
          <w:p w14:paraId="5F1A413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5F593AF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0" w:type="dxa"/>
            <w:noWrap w:val="0"/>
            <w:vAlign w:val="center"/>
          </w:tcPr>
          <w:p w14:paraId="430D546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409C215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21" w:type="dxa"/>
            <w:noWrap w:val="0"/>
            <w:vAlign w:val="center"/>
          </w:tcPr>
          <w:p w14:paraId="691060B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7F0ACD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6107EE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3863CDC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66BA0A4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58" w:type="dxa"/>
            <w:noWrap w:val="0"/>
            <w:vAlign w:val="center"/>
          </w:tcPr>
          <w:p w14:paraId="4F49E82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80" w:type="dxa"/>
            <w:noWrap w:val="0"/>
            <w:vAlign w:val="center"/>
          </w:tcPr>
          <w:p w14:paraId="6D62882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369F1BD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0" w:type="dxa"/>
            <w:noWrap w:val="0"/>
            <w:vAlign w:val="center"/>
          </w:tcPr>
          <w:p w14:paraId="0DE415E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6C29988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21" w:type="dxa"/>
            <w:noWrap w:val="0"/>
            <w:vAlign w:val="center"/>
          </w:tcPr>
          <w:p w14:paraId="2C56732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085A3A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91323A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279CB69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2C50A7F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58" w:type="dxa"/>
            <w:noWrap w:val="0"/>
            <w:vAlign w:val="center"/>
          </w:tcPr>
          <w:p w14:paraId="6657DBA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80" w:type="dxa"/>
            <w:noWrap w:val="0"/>
            <w:vAlign w:val="center"/>
          </w:tcPr>
          <w:p w14:paraId="5819E81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55B9CD6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0" w:type="dxa"/>
            <w:noWrap w:val="0"/>
            <w:vAlign w:val="center"/>
          </w:tcPr>
          <w:p w14:paraId="3B74938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71B5F2F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21" w:type="dxa"/>
            <w:noWrap w:val="0"/>
            <w:vAlign w:val="center"/>
          </w:tcPr>
          <w:p w14:paraId="33520DF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1FFBA6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0624C9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497BFB9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4A97451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58" w:type="dxa"/>
            <w:noWrap w:val="0"/>
            <w:vAlign w:val="center"/>
          </w:tcPr>
          <w:p w14:paraId="0C11535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80" w:type="dxa"/>
            <w:noWrap w:val="0"/>
            <w:vAlign w:val="center"/>
          </w:tcPr>
          <w:p w14:paraId="433E8AA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5D7492A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0" w:type="dxa"/>
            <w:noWrap w:val="0"/>
            <w:vAlign w:val="center"/>
          </w:tcPr>
          <w:p w14:paraId="248656F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0D82BA3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21" w:type="dxa"/>
            <w:noWrap w:val="0"/>
            <w:vAlign w:val="center"/>
          </w:tcPr>
          <w:p w14:paraId="56F15EF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3948B8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4A8B9EFF">
            <w:pPr>
              <w:rPr>
                <w:rFonts w:hint="eastAsia" w:ascii="宋体" w:hAnsi="宋体" w:eastAsia="宋体" w:cs="宋体"/>
                <w:color w:val="auto"/>
                <w:sz w:val="30"/>
                <w:szCs w:val="30"/>
                <w:highlight w:val="none"/>
              </w:rPr>
            </w:pPr>
          </w:p>
        </w:tc>
        <w:tc>
          <w:tcPr>
            <w:tcW w:w="1418" w:type="dxa"/>
            <w:noWrap w:val="0"/>
            <w:vAlign w:val="top"/>
          </w:tcPr>
          <w:p w14:paraId="4FDACF72">
            <w:pPr>
              <w:rPr>
                <w:rFonts w:hint="eastAsia" w:ascii="宋体" w:hAnsi="宋体" w:eastAsia="宋体" w:cs="宋体"/>
                <w:color w:val="auto"/>
                <w:sz w:val="30"/>
                <w:szCs w:val="30"/>
                <w:highlight w:val="none"/>
              </w:rPr>
            </w:pPr>
          </w:p>
        </w:tc>
        <w:tc>
          <w:tcPr>
            <w:tcW w:w="850" w:type="dxa"/>
            <w:noWrap w:val="0"/>
            <w:vAlign w:val="top"/>
          </w:tcPr>
          <w:p w14:paraId="27522133">
            <w:pPr>
              <w:rPr>
                <w:rFonts w:hint="eastAsia" w:ascii="宋体" w:hAnsi="宋体" w:eastAsia="宋体" w:cs="宋体"/>
                <w:color w:val="auto"/>
                <w:sz w:val="30"/>
                <w:szCs w:val="30"/>
                <w:highlight w:val="none"/>
              </w:rPr>
            </w:pPr>
          </w:p>
        </w:tc>
        <w:tc>
          <w:tcPr>
            <w:tcW w:w="1058" w:type="dxa"/>
            <w:noWrap w:val="0"/>
            <w:vAlign w:val="top"/>
          </w:tcPr>
          <w:p w14:paraId="614AE140">
            <w:pPr>
              <w:rPr>
                <w:rFonts w:hint="eastAsia" w:ascii="宋体" w:hAnsi="宋体" w:eastAsia="宋体" w:cs="宋体"/>
                <w:color w:val="auto"/>
                <w:sz w:val="30"/>
                <w:szCs w:val="30"/>
                <w:highlight w:val="none"/>
              </w:rPr>
            </w:pPr>
          </w:p>
        </w:tc>
        <w:tc>
          <w:tcPr>
            <w:tcW w:w="880" w:type="dxa"/>
            <w:noWrap w:val="0"/>
            <w:vAlign w:val="top"/>
          </w:tcPr>
          <w:p w14:paraId="6DC28C64">
            <w:pPr>
              <w:rPr>
                <w:rFonts w:hint="eastAsia" w:ascii="宋体" w:hAnsi="宋体" w:eastAsia="宋体" w:cs="宋体"/>
                <w:color w:val="auto"/>
                <w:sz w:val="30"/>
                <w:szCs w:val="30"/>
                <w:highlight w:val="none"/>
              </w:rPr>
            </w:pPr>
          </w:p>
        </w:tc>
        <w:tc>
          <w:tcPr>
            <w:tcW w:w="1020" w:type="dxa"/>
            <w:noWrap w:val="0"/>
            <w:vAlign w:val="top"/>
          </w:tcPr>
          <w:p w14:paraId="01A47B1F">
            <w:pPr>
              <w:rPr>
                <w:rFonts w:hint="eastAsia" w:ascii="宋体" w:hAnsi="宋体" w:eastAsia="宋体" w:cs="宋体"/>
                <w:color w:val="auto"/>
                <w:sz w:val="30"/>
                <w:szCs w:val="30"/>
                <w:highlight w:val="none"/>
              </w:rPr>
            </w:pPr>
          </w:p>
        </w:tc>
        <w:tc>
          <w:tcPr>
            <w:tcW w:w="1480" w:type="dxa"/>
            <w:noWrap w:val="0"/>
            <w:vAlign w:val="top"/>
          </w:tcPr>
          <w:p w14:paraId="65666CA8">
            <w:pPr>
              <w:rPr>
                <w:rFonts w:hint="eastAsia" w:ascii="宋体" w:hAnsi="宋体" w:eastAsia="宋体" w:cs="宋体"/>
                <w:color w:val="auto"/>
                <w:sz w:val="30"/>
                <w:szCs w:val="30"/>
                <w:highlight w:val="none"/>
              </w:rPr>
            </w:pPr>
          </w:p>
        </w:tc>
        <w:tc>
          <w:tcPr>
            <w:tcW w:w="1020" w:type="dxa"/>
            <w:noWrap w:val="0"/>
            <w:vAlign w:val="top"/>
          </w:tcPr>
          <w:p w14:paraId="2653ED74">
            <w:pPr>
              <w:rPr>
                <w:rFonts w:hint="eastAsia" w:ascii="宋体" w:hAnsi="宋体" w:eastAsia="宋体" w:cs="宋体"/>
                <w:color w:val="auto"/>
                <w:sz w:val="30"/>
                <w:szCs w:val="30"/>
                <w:highlight w:val="none"/>
              </w:rPr>
            </w:pPr>
          </w:p>
        </w:tc>
        <w:tc>
          <w:tcPr>
            <w:tcW w:w="921" w:type="dxa"/>
            <w:noWrap w:val="0"/>
            <w:vAlign w:val="top"/>
          </w:tcPr>
          <w:p w14:paraId="104D97B9">
            <w:pPr>
              <w:rPr>
                <w:rFonts w:hint="eastAsia" w:ascii="宋体" w:hAnsi="宋体" w:eastAsia="宋体" w:cs="宋体"/>
                <w:color w:val="auto"/>
                <w:sz w:val="30"/>
                <w:szCs w:val="30"/>
                <w:highlight w:val="none"/>
              </w:rPr>
            </w:pPr>
          </w:p>
        </w:tc>
      </w:tr>
      <w:tr w14:paraId="3C9A5C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077BF9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18" w:type="dxa"/>
            <w:noWrap w:val="0"/>
            <w:vAlign w:val="center"/>
          </w:tcPr>
          <w:p w14:paraId="511938D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50" w:type="dxa"/>
            <w:noWrap w:val="0"/>
            <w:vAlign w:val="center"/>
          </w:tcPr>
          <w:p w14:paraId="4B6A35F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58" w:type="dxa"/>
            <w:noWrap w:val="0"/>
            <w:vAlign w:val="center"/>
          </w:tcPr>
          <w:p w14:paraId="7231613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880" w:type="dxa"/>
            <w:noWrap w:val="0"/>
            <w:vAlign w:val="center"/>
          </w:tcPr>
          <w:p w14:paraId="67B5EDD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4B977D3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480" w:type="dxa"/>
            <w:noWrap w:val="0"/>
            <w:vAlign w:val="center"/>
          </w:tcPr>
          <w:p w14:paraId="150FC07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020" w:type="dxa"/>
            <w:noWrap w:val="0"/>
            <w:vAlign w:val="center"/>
          </w:tcPr>
          <w:p w14:paraId="1CC5E1C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921" w:type="dxa"/>
            <w:noWrap w:val="0"/>
            <w:vAlign w:val="center"/>
          </w:tcPr>
          <w:p w14:paraId="0819B42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3BD5CB9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11532162">
            <w:pPr>
              <w:rPr>
                <w:rFonts w:hint="eastAsia" w:ascii="宋体" w:hAnsi="宋体" w:eastAsia="宋体" w:cs="宋体"/>
                <w:color w:val="auto"/>
                <w:sz w:val="30"/>
                <w:szCs w:val="30"/>
                <w:highlight w:val="none"/>
              </w:rPr>
            </w:pPr>
          </w:p>
        </w:tc>
        <w:tc>
          <w:tcPr>
            <w:tcW w:w="1418" w:type="dxa"/>
            <w:noWrap w:val="0"/>
            <w:vAlign w:val="top"/>
          </w:tcPr>
          <w:p w14:paraId="0A67B6BC">
            <w:pPr>
              <w:rPr>
                <w:rFonts w:hint="eastAsia" w:ascii="宋体" w:hAnsi="宋体" w:eastAsia="宋体" w:cs="宋体"/>
                <w:color w:val="auto"/>
                <w:sz w:val="30"/>
                <w:szCs w:val="30"/>
                <w:highlight w:val="none"/>
              </w:rPr>
            </w:pPr>
          </w:p>
        </w:tc>
        <w:tc>
          <w:tcPr>
            <w:tcW w:w="850" w:type="dxa"/>
            <w:noWrap w:val="0"/>
            <w:vAlign w:val="top"/>
          </w:tcPr>
          <w:p w14:paraId="273EDFBD">
            <w:pPr>
              <w:rPr>
                <w:rFonts w:hint="eastAsia" w:ascii="宋体" w:hAnsi="宋体" w:eastAsia="宋体" w:cs="宋体"/>
                <w:color w:val="auto"/>
                <w:sz w:val="30"/>
                <w:szCs w:val="30"/>
                <w:highlight w:val="none"/>
              </w:rPr>
            </w:pPr>
          </w:p>
        </w:tc>
        <w:tc>
          <w:tcPr>
            <w:tcW w:w="1058" w:type="dxa"/>
            <w:noWrap w:val="0"/>
            <w:vAlign w:val="top"/>
          </w:tcPr>
          <w:p w14:paraId="6D6C027C">
            <w:pPr>
              <w:rPr>
                <w:rFonts w:hint="eastAsia" w:ascii="宋体" w:hAnsi="宋体" w:eastAsia="宋体" w:cs="宋体"/>
                <w:color w:val="auto"/>
                <w:sz w:val="30"/>
                <w:szCs w:val="30"/>
                <w:highlight w:val="none"/>
              </w:rPr>
            </w:pPr>
          </w:p>
        </w:tc>
        <w:tc>
          <w:tcPr>
            <w:tcW w:w="880" w:type="dxa"/>
            <w:noWrap w:val="0"/>
            <w:vAlign w:val="top"/>
          </w:tcPr>
          <w:p w14:paraId="2DB128BB">
            <w:pPr>
              <w:rPr>
                <w:rFonts w:hint="eastAsia" w:ascii="宋体" w:hAnsi="宋体" w:eastAsia="宋体" w:cs="宋体"/>
                <w:color w:val="auto"/>
                <w:sz w:val="30"/>
                <w:szCs w:val="30"/>
                <w:highlight w:val="none"/>
              </w:rPr>
            </w:pPr>
          </w:p>
        </w:tc>
        <w:tc>
          <w:tcPr>
            <w:tcW w:w="1020" w:type="dxa"/>
            <w:noWrap w:val="0"/>
            <w:vAlign w:val="top"/>
          </w:tcPr>
          <w:p w14:paraId="2B75616B">
            <w:pPr>
              <w:rPr>
                <w:rFonts w:hint="eastAsia" w:ascii="宋体" w:hAnsi="宋体" w:eastAsia="宋体" w:cs="宋体"/>
                <w:color w:val="auto"/>
                <w:sz w:val="30"/>
                <w:szCs w:val="30"/>
                <w:highlight w:val="none"/>
              </w:rPr>
            </w:pPr>
          </w:p>
        </w:tc>
        <w:tc>
          <w:tcPr>
            <w:tcW w:w="1480" w:type="dxa"/>
            <w:noWrap w:val="0"/>
            <w:vAlign w:val="top"/>
          </w:tcPr>
          <w:p w14:paraId="07997812">
            <w:pPr>
              <w:rPr>
                <w:rFonts w:hint="eastAsia" w:ascii="宋体" w:hAnsi="宋体" w:eastAsia="宋体" w:cs="宋体"/>
                <w:color w:val="auto"/>
                <w:sz w:val="30"/>
                <w:szCs w:val="30"/>
                <w:highlight w:val="none"/>
              </w:rPr>
            </w:pPr>
          </w:p>
        </w:tc>
        <w:tc>
          <w:tcPr>
            <w:tcW w:w="1020" w:type="dxa"/>
            <w:noWrap w:val="0"/>
            <w:vAlign w:val="top"/>
          </w:tcPr>
          <w:p w14:paraId="4CDDD302">
            <w:pPr>
              <w:rPr>
                <w:rFonts w:hint="eastAsia" w:ascii="宋体" w:hAnsi="宋体" w:eastAsia="宋体" w:cs="宋体"/>
                <w:color w:val="auto"/>
                <w:sz w:val="30"/>
                <w:szCs w:val="30"/>
                <w:highlight w:val="none"/>
              </w:rPr>
            </w:pPr>
          </w:p>
        </w:tc>
        <w:tc>
          <w:tcPr>
            <w:tcW w:w="921" w:type="dxa"/>
            <w:noWrap w:val="0"/>
            <w:vAlign w:val="top"/>
          </w:tcPr>
          <w:p w14:paraId="7667294B">
            <w:pPr>
              <w:rPr>
                <w:rFonts w:hint="eastAsia" w:ascii="宋体" w:hAnsi="宋体" w:eastAsia="宋体" w:cs="宋体"/>
                <w:color w:val="auto"/>
                <w:sz w:val="30"/>
                <w:szCs w:val="30"/>
                <w:highlight w:val="none"/>
              </w:rPr>
            </w:pPr>
          </w:p>
        </w:tc>
      </w:tr>
      <w:tr w14:paraId="5D0FD67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1D367E9E">
            <w:pPr>
              <w:rPr>
                <w:rFonts w:hint="eastAsia" w:ascii="宋体" w:hAnsi="宋体" w:eastAsia="宋体" w:cs="宋体"/>
                <w:color w:val="auto"/>
                <w:sz w:val="30"/>
                <w:szCs w:val="30"/>
                <w:highlight w:val="none"/>
              </w:rPr>
            </w:pPr>
          </w:p>
        </w:tc>
        <w:tc>
          <w:tcPr>
            <w:tcW w:w="1418" w:type="dxa"/>
            <w:noWrap w:val="0"/>
            <w:vAlign w:val="top"/>
          </w:tcPr>
          <w:p w14:paraId="7FB41A6F">
            <w:pPr>
              <w:rPr>
                <w:rFonts w:hint="eastAsia" w:ascii="宋体" w:hAnsi="宋体" w:eastAsia="宋体" w:cs="宋体"/>
                <w:color w:val="auto"/>
                <w:sz w:val="30"/>
                <w:szCs w:val="30"/>
                <w:highlight w:val="none"/>
              </w:rPr>
            </w:pPr>
          </w:p>
        </w:tc>
        <w:tc>
          <w:tcPr>
            <w:tcW w:w="850" w:type="dxa"/>
            <w:noWrap w:val="0"/>
            <w:vAlign w:val="top"/>
          </w:tcPr>
          <w:p w14:paraId="2A1CF003">
            <w:pPr>
              <w:rPr>
                <w:rFonts w:hint="eastAsia" w:ascii="宋体" w:hAnsi="宋体" w:eastAsia="宋体" w:cs="宋体"/>
                <w:color w:val="auto"/>
                <w:sz w:val="30"/>
                <w:szCs w:val="30"/>
                <w:highlight w:val="none"/>
              </w:rPr>
            </w:pPr>
          </w:p>
        </w:tc>
        <w:tc>
          <w:tcPr>
            <w:tcW w:w="1058" w:type="dxa"/>
            <w:noWrap w:val="0"/>
            <w:vAlign w:val="top"/>
          </w:tcPr>
          <w:p w14:paraId="4D61A7E2">
            <w:pPr>
              <w:rPr>
                <w:rFonts w:hint="eastAsia" w:ascii="宋体" w:hAnsi="宋体" w:eastAsia="宋体" w:cs="宋体"/>
                <w:color w:val="auto"/>
                <w:sz w:val="30"/>
                <w:szCs w:val="30"/>
                <w:highlight w:val="none"/>
              </w:rPr>
            </w:pPr>
          </w:p>
        </w:tc>
        <w:tc>
          <w:tcPr>
            <w:tcW w:w="880" w:type="dxa"/>
            <w:noWrap w:val="0"/>
            <w:vAlign w:val="top"/>
          </w:tcPr>
          <w:p w14:paraId="43AFDDD2">
            <w:pPr>
              <w:rPr>
                <w:rFonts w:hint="eastAsia" w:ascii="宋体" w:hAnsi="宋体" w:eastAsia="宋体" w:cs="宋体"/>
                <w:color w:val="auto"/>
                <w:sz w:val="30"/>
                <w:szCs w:val="30"/>
                <w:highlight w:val="none"/>
              </w:rPr>
            </w:pPr>
          </w:p>
        </w:tc>
        <w:tc>
          <w:tcPr>
            <w:tcW w:w="1020" w:type="dxa"/>
            <w:noWrap w:val="0"/>
            <w:vAlign w:val="top"/>
          </w:tcPr>
          <w:p w14:paraId="2DDEE1A8">
            <w:pPr>
              <w:rPr>
                <w:rFonts w:hint="eastAsia" w:ascii="宋体" w:hAnsi="宋体" w:eastAsia="宋体" w:cs="宋体"/>
                <w:color w:val="auto"/>
                <w:sz w:val="30"/>
                <w:szCs w:val="30"/>
                <w:highlight w:val="none"/>
              </w:rPr>
            </w:pPr>
          </w:p>
        </w:tc>
        <w:tc>
          <w:tcPr>
            <w:tcW w:w="1480" w:type="dxa"/>
            <w:noWrap w:val="0"/>
            <w:vAlign w:val="top"/>
          </w:tcPr>
          <w:p w14:paraId="6BE4031F">
            <w:pPr>
              <w:rPr>
                <w:rFonts w:hint="eastAsia" w:ascii="宋体" w:hAnsi="宋体" w:eastAsia="宋体" w:cs="宋体"/>
                <w:color w:val="auto"/>
                <w:sz w:val="30"/>
                <w:szCs w:val="30"/>
                <w:highlight w:val="none"/>
              </w:rPr>
            </w:pPr>
          </w:p>
        </w:tc>
        <w:tc>
          <w:tcPr>
            <w:tcW w:w="1020" w:type="dxa"/>
            <w:noWrap w:val="0"/>
            <w:vAlign w:val="top"/>
          </w:tcPr>
          <w:p w14:paraId="54D92CB7">
            <w:pPr>
              <w:rPr>
                <w:rFonts w:hint="eastAsia" w:ascii="宋体" w:hAnsi="宋体" w:eastAsia="宋体" w:cs="宋体"/>
                <w:color w:val="auto"/>
                <w:sz w:val="30"/>
                <w:szCs w:val="30"/>
                <w:highlight w:val="none"/>
              </w:rPr>
            </w:pPr>
          </w:p>
        </w:tc>
        <w:tc>
          <w:tcPr>
            <w:tcW w:w="921" w:type="dxa"/>
            <w:noWrap w:val="0"/>
            <w:vAlign w:val="top"/>
          </w:tcPr>
          <w:p w14:paraId="271C7C53">
            <w:pPr>
              <w:rPr>
                <w:rFonts w:hint="eastAsia" w:ascii="宋体" w:hAnsi="宋体" w:eastAsia="宋体" w:cs="宋体"/>
                <w:color w:val="auto"/>
                <w:sz w:val="30"/>
                <w:szCs w:val="30"/>
                <w:highlight w:val="none"/>
              </w:rPr>
            </w:pPr>
          </w:p>
        </w:tc>
      </w:tr>
      <w:tr w14:paraId="24279D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708800DA">
            <w:pPr>
              <w:rPr>
                <w:rFonts w:hint="eastAsia" w:ascii="宋体" w:hAnsi="宋体" w:eastAsia="宋体" w:cs="宋体"/>
                <w:color w:val="auto"/>
                <w:sz w:val="30"/>
                <w:szCs w:val="30"/>
                <w:highlight w:val="none"/>
              </w:rPr>
            </w:pPr>
          </w:p>
        </w:tc>
        <w:tc>
          <w:tcPr>
            <w:tcW w:w="1418" w:type="dxa"/>
            <w:noWrap w:val="0"/>
            <w:vAlign w:val="top"/>
          </w:tcPr>
          <w:p w14:paraId="63FDFE5D">
            <w:pPr>
              <w:rPr>
                <w:rFonts w:hint="eastAsia" w:ascii="宋体" w:hAnsi="宋体" w:eastAsia="宋体" w:cs="宋体"/>
                <w:color w:val="auto"/>
                <w:sz w:val="30"/>
                <w:szCs w:val="30"/>
                <w:highlight w:val="none"/>
              </w:rPr>
            </w:pPr>
          </w:p>
        </w:tc>
        <w:tc>
          <w:tcPr>
            <w:tcW w:w="850" w:type="dxa"/>
            <w:noWrap w:val="0"/>
            <w:vAlign w:val="top"/>
          </w:tcPr>
          <w:p w14:paraId="5EB80951">
            <w:pPr>
              <w:rPr>
                <w:rFonts w:hint="eastAsia" w:ascii="宋体" w:hAnsi="宋体" w:eastAsia="宋体" w:cs="宋体"/>
                <w:color w:val="auto"/>
                <w:sz w:val="30"/>
                <w:szCs w:val="30"/>
                <w:highlight w:val="none"/>
              </w:rPr>
            </w:pPr>
          </w:p>
        </w:tc>
        <w:tc>
          <w:tcPr>
            <w:tcW w:w="1058" w:type="dxa"/>
            <w:noWrap w:val="0"/>
            <w:vAlign w:val="top"/>
          </w:tcPr>
          <w:p w14:paraId="657A1142">
            <w:pPr>
              <w:rPr>
                <w:rFonts w:hint="eastAsia" w:ascii="宋体" w:hAnsi="宋体" w:eastAsia="宋体" w:cs="宋体"/>
                <w:color w:val="auto"/>
                <w:sz w:val="30"/>
                <w:szCs w:val="30"/>
                <w:highlight w:val="none"/>
              </w:rPr>
            </w:pPr>
          </w:p>
        </w:tc>
        <w:tc>
          <w:tcPr>
            <w:tcW w:w="880" w:type="dxa"/>
            <w:noWrap w:val="0"/>
            <w:vAlign w:val="top"/>
          </w:tcPr>
          <w:p w14:paraId="0ED54262">
            <w:pPr>
              <w:rPr>
                <w:rFonts w:hint="eastAsia" w:ascii="宋体" w:hAnsi="宋体" w:eastAsia="宋体" w:cs="宋体"/>
                <w:color w:val="auto"/>
                <w:sz w:val="30"/>
                <w:szCs w:val="30"/>
                <w:highlight w:val="none"/>
              </w:rPr>
            </w:pPr>
          </w:p>
        </w:tc>
        <w:tc>
          <w:tcPr>
            <w:tcW w:w="1020" w:type="dxa"/>
            <w:noWrap w:val="0"/>
            <w:vAlign w:val="top"/>
          </w:tcPr>
          <w:p w14:paraId="080AB534">
            <w:pPr>
              <w:rPr>
                <w:rFonts w:hint="eastAsia" w:ascii="宋体" w:hAnsi="宋体" w:eastAsia="宋体" w:cs="宋体"/>
                <w:color w:val="auto"/>
                <w:sz w:val="30"/>
                <w:szCs w:val="30"/>
                <w:highlight w:val="none"/>
              </w:rPr>
            </w:pPr>
          </w:p>
        </w:tc>
        <w:tc>
          <w:tcPr>
            <w:tcW w:w="1480" w:type="dxa"/>
            <w:noWrap w:val="0"/>
            <w:vAlign w:val="top"/>
          </w:tcPr>
          <w:p w14:paraId="76BDBD05">
            <w:pPr>
              <w:rPr>
                <w:rFonts w:hint="eastAsia" w:ascii="宋体" w:hAnsi="宋体" w:eastAsia="宋体" w:cs="宋体"/>
                <w:color w:val="auto"/>
                <w:sz w:val="30"/>
                <w:szCs w:val="30"/>
                <w:highlight w:val="none"/>
              </w:rPr>
            </w:pPr>
          </w:p>
        </w:tc>
        <w:tc>
          <w:tcPr>
            <w:tcW w:w="1020" w:type="dxa"/>
            <w:noWrap w:val="0"/>
            <w:vAlign w:val="top"/>
          </w:tcPr>
          <w:p w14:paraId="647644C2">
            <w:pPr>
              <w:rPr>
                <w:rFonts w:hint="eastAsia" w:ascii="宋体" w:hAnsi="宋体" w:eastAsia="宋体" w:cs="宋体"/>
                <w:color w:val="auto"/>
                <w:sz w:val="30"/>
                <w:szCs w:val="30"/>
                <w:highlight w:val="none"/>
              </w:rPr>
            </w:pPr>
          </w:p>
        </w:tc>
        <w:tc>
          <w:tcPr>
            <w:tcW w:w="921" w:type="dxa"/>
            <w:noWrap w:val="0"/>
            <w:vAlign w:val="top"/>
          </w:tcPr>
          <w:p w14:paraId="3AB8E572">
            <w:pPr>
              <w:rPr>
                <w:rFonts w:hint="eastAsia" w:ascii="宋体" w:hAnsi="宋体" w:eastAsia="宋体" w:cs="宋体"/>
                <w:color w:val="auto"/>
                <w:sz w:val="30"/>
                <w:szCs w:val="30"/>
                <w:highlight w:val="none"/>
              </w:rPr>
            </w:pPr>
          </w:p>
        </w:tc>
      </w:tr>
      <w:tr w14:paraId="1A03B52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16304B0C">
            <w:pPr>
              <w:rPr>
                <w:rFonts w:hint="eastAsia" w:ascii="宋体" w:hAnsi="宋体" w:eastAsia="宋体" w:cs="宋体"/>
                <w:color w:val="auto"/>
                <w:sz w:val="30"/>
                <w:szCs w:val="30"/>
                <w:highlight w:val="none"/>
              </w:rPr>
            </w:pPr>
          </w:p>
        </w:tc>
        <w:tc>
          <w:tcPr>
            <w:tcW w:w="1418" w:type="dxa"/>
            <w:noWrap w:val="0"/>
            <w:vAlign w:val="top"/>
          </w:tcPr>
          <w:p w14:paraId="04462515">
            <w:pPr>
              <w:rPr>
                <w:rFonts w:hint="eastAsia" w:ascii="宋体" w:hAnsi="宋体" w:eastAsia="宋体" w:cs="宋体"/>
                <w:color w:val="auto"/>
                <w:sz w:val="30"/>
                <w:szCs w:val="30"/>
                <w:highlight w:val="none"/>
              </w:rPr>
            </w:pPr>
          </w:p>
        </w:tc>
        <w:tc>
          <w:tcPr>
            <w:tcW w:w="850" w:type="dxa"/>
            <w:noWrap w:val="0"/>
            <w:vAlign w:val="top"/>
          </w:tcPr>
          <w:p w14:paraId="10AD1E89">
            <w:pPr>
              <w:rPr>
                <w:rFonts w:hint="eastAsia" w:ascii="宋体" w:hAnsi="宋体" w:eastAsia="宋体" w:cs="宋体"/>
                <w:color w:val="auto"/>
                <w:sz w:val="30"/>
                <w:szCs w:val="30"/>
                <w:highlight w:val="none"/>
              </w:rPr>
            </w:pPr>
          </w:p>
        </w:tc>
        <w:tc>
          <w:tcPr>
            <w:tcW w:w="1058" w:type="dxa"/>
            <w:noWrap w:val="0"/>
            <w:vAlign w:val="top"/>
          </w:tcPr>
          <w:p w14:paraId="47DBF74B">
            <w:pPr>
              <w:rPr>
                <w:rFonts w:hint="eastAsia" w:ascii="宋体" w:hAnsi="宋体" w:eastAsia="宋体" w:cs="宋体"/>
                <w:color w:val="auto"/>
                <w:sz w:val="30"/>
                <w:szCs w:val="30"/>
                <w:highlight w:val="none"/>
              </w:rPr>
            </w:pPr>
          </w:p>
        </w:tc>
        <w:tc>
          <w:tcPr>
            <w:tcW w:w="880" w:type="dxa"/>
            <w:noWrap w:val="0"/>
            <w:vAlign w:val="top"/>
          </w:tcPr>
          <w:p w14:paraId="1DDE363B">
            <w:pPr>
              <w:rPr>
                <w:rFonts w:hint="eastAsia" w:ascii="宋体" w:hAnsi="宋体" w:eastAsia="宋体" w:cs="宋体"/>
                <w:color w:val="auto"/>
                <w:sz w:val="30"/>
                <w:szCs w:val="30"/>
                <w:highlight w:val="none"/>
              </w:rPr>
            </w:pPr>
          </w:p>
        </w:tc>
        <w:tc>
          <w:tcPr>
            <w:tcW w:w="1020" w:type="dxa"/>
            <w:noWrap w:val="0"/>
            <w:vAlign w:val="top"/>
          </w:tcPr>
          <w:p w14:paraId="0305A3EB">
            <w:pPr>
              <w:rPr>
                <w:rFonts w:hint="eastAsia" w:ascii="宋体" w:hAnsi="宋体" w:eastAsia="宋体" w:cs="宋体"/>
                <w:color w:val="auto"/>
                <w:sz w:val="30"/>
                <w:szCs w:val="30"/>
                <w:highlight w:val="none"/>
              </w:rPr>
            </w:pPr>
          </w:p>
        </w:tc>
        <w:tc>
          <w:tcPr>
            <w:tcW w:w="1480" w:type="dxa"/>
            <w:noWrap w:val="0"/>
            <w:vAlign w:val="top"/>
          </w:tcPr>
          <w:p w14:paraId="2260CAC2">
            <w:pPr>
              <w:rPr>
                <w:rFonts w:hint="eastAsia" w:ascii="宋体" w:hAnsi="宋体" w:eastAsia="宋体" w:cs="宋体"/>
                <w:color w:val="auto"/>
                <w:sz w:val="30"/>
                <w:szCs w:val="30"/>
                <w:highlight w:val="none"/>
              </w:rPr>
            </w:pPr>
          </w:p>
        </w:tc>
        <w:tc>
          <w:tcPr>
            <w:tcW w:w="1020" w:type="dxa"/>
            <w:noWrap w:val="0"/>
            <w:vAlign w:val="top"/>
          </w:tcPr>
          <w:p w14:paraId="1EB829E5">
            <w:pPr>
              <w:rPr>
                <w:rFonts w:hint="eastAsia" w:ascii="宋体" w:hAnsi="宋体" w:eastAsia="宋体" w:cs="宋体"/>
                <w:color w:val="auto"/>
                <w:sz w:val="30"/>
                <w:szCs w:val="30"/>
                <w:highlight w:val="none"/>
              </w:rPr>
            </w:pPr>
          </w:p>
        </w:tc>
        <w:tc>
          <w:tcPr>
            <w:tcW w:w="921" w:type="dxa"/>
            <w:noWrap w:val="0"/>
            <w:vAlign w:val="top"/>
          </w:tcPr>
          <w:p w14:paraId="671A1FAB">
            <w:pPr>
              <w:rPr>
                <w:rFonts w:hint="eastAsia" w:ascii="宋体" w:hAnsi="宋体" w:eastAsia="宋体" w:cs="宋体"/>
                <w:color w:val="auto"/>
                <w:sz w:val="30"/>
                <w:szCs w:val="30"/>
                <w:highlight w:val="none"/>
              </w:rPr>
            </w:pPr>
          </w:p>
        </w:tc>
      </w:tr>
      <w:tr w14:paraId="21288B1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0B10C00A">
            <w:pPr>
              <w:rPr>
                <w:rFonts w:hint="eastAsia" w:ascii="宋体" w:hAnsi="宋体" w:eastAsia="宋体" w:cs="宋体"/>
                <w:color w:val="auto"/>
                <w:sz w:val="30"/>
                <w:szCs w:val="30"/>
                <w:highlight w:val="none"/>
              </w:rPr>
            </w:pPr>
          </w:p>
        </w:tc>
        <w:tc>
          <w:tcPr>
            <w:tcW w:w="1418" w:type="dxa"/>
            <w:noWrap w:val="0"/>
            <w:vAlign w:val="top"/>
          </w:tcPr>
          <w:p w14:paraId="0D902DD3">
            <w:pPr>
              <w:rPr>
                <w:rFonts w:hint="eastAsia" w:ascii="宋体" w:hAnsi="宋体" w:eastAsia="宋体" w:cs="宋体"/>
                <w:color w:val="auto"/>
                <w:sz w:val="30"/>
                <w:szCs w:val="30"/>
                <w:highlight w:val="none"/>
              </w:rPr>
            </w:pPr>
          </w:p>
        </w:tc>
        <w:tc>
          <w:tcPr>
            <w:tcW w:w="850" w:type="dxa"/>
            <w:noWrap w:val="0"/>
            <w:vAlign w:val="top"/>
          </w:tcPr>
          <w:p w14:paraId="509F25AB">
            <w:pPr>
              <w:rPr>
                <w:rFonts w:hint="eastAsia" w:ascii="宋体" w:hAnsi="宋体" w:eastAsia="宋体" w:cs="宋体"/>
                <w:color w:val="auto"/>
                <w:sz w:val="30"/>
                <w:szCs w:val="30"/>
                <w:highlight w:val="none"/>
              </w:rPr>
            </w:pPr>
          </w:p>
        </w:tc>
        <w:tc>
          <w:tcPr>
            <w:tcW w:w="1058" w:type="dxa"/>
            <w:noWrap w:val="0"/>
            <w:vAlign w:val="top"/>
          </w:tcPr>
          <w:p w14:paraId="7EBC39CC">
            <w:pPr>
              <w:rPr>
                <w:rFonts w:hint="eastAsia" w:ascii="宋体" w:hAnsi="宋体" w:eastAsia="宋体" w:cs="宋体"/>
                <w:color w:val="auto"/>
                <w:sz w:val="30"/>
                <w:szCs w:val="30"/>
                <w:highlight w:val="none"/>
              </w:rPr>
            </w:pPr>
          </w:p>
        </w:tc>
        <w:tc>
          <w:tcPr>
            <w:tcW w:w="880" w:type="dxa"/>
            <w:noWrap w:val="0"/>
            <w:vAlign w:val="top"/>
          </w:tcPr>
          <w:p w14:paraId="67381E87">
            <w:pPr>
              <w:rPr>
                <w:rFonts w:hint="eastAsia" w:ascii="宋体" w:hAnsi="宋体" w:eastAsia="宋体" w:cs="宋体"/>
                <w:color w:val="auto"/>
                <w:sz w:val="30"/>
                <w:szCs w:val="30"/>
                <w:highlight w:val="none"/>
              </w:rPr>
            </w:pPr>
          </w:p>
        </w:tc>
        <w:tc>
          <w:tcPr>
            <w:tcW w:w="1020" w:type="dxa"/>
            <w:noWrap w:val="0"/>
            <w:vAlign w:val="top"/>
          </w:tcPr>
          <w:p w14:paraId="2097D973">
            <w:pPr>
              <w:rPr>
                <w:rFonts w:hint="eastAsia" w:ascii="宋体" w:hAnsi="宋体" w:eastAsia="宋体" w:cs="宋体"/>
                <w:color w:val="auto"/>
                <w:sz w:val="30"/>
                <w:szCs w:val="30"/>
                <w:highlight w:val="none"/>
              </w:rPr>
            </w:pPr>
          </w:p>
        </w:tc>
        <w:tc>
          <w:tcPr>
            <w:tcW w:w="1480" w:type="dxa"/>
            <w:noWrap w:val="0"/>
            <w:vAlign w:val="top"/>
          </w:tcPr>
          <w:p w14:paraId="4CC62BE7">
            <w:pPr>
              <w:rPr>
                <w:rFonts w:hint="eastAsia" w:ascii="宋体" w:hAnsi="宋体" w:eastAsia="宋体" w:cs="宋体"/>
                <w:color w:val="auto"/>
                <w:sz w:val="30"/>
                <w:szCs w:val="30"/>
                <w:highlight w:val="none"/>
              </w:rPr>
            </w:pPr>
          </w:p>
        </w:tc>
        <w:tc>
          <w:tcPr>
            <w:tcW w:w="1020" w:type="dxa"/>
            <w:noWrap w:val="0"/>
            <w:vAlign w:val="top"/>
          </w:tcPr>
          <w:p w14:paraId="46C9D762">
            <w:pPr>
              <w:rPr>
                <w:rFonts w:hint="eastAsia" w:ascii="宋体" w:hAnsi="宋体" w:eastAsia="宋体" w:cs="宋体"/>
                <w:color w:val="auto"/>
                <w:sz w:val="30"/>
                <w:szCs w:val="30"/>
                <w:highlight w:val="none"/>
              </w:rPr>
            </w:pPr>
          </w:p>
        </w:tc>
        <w:tc>
          <w:tcPr>
            <w:tcW w:w="921" w:type="dxa"/>
            <w:noWrap w:val="0"/>
            <w:vAlign w:val="top"/>
          </w:tcPr>
          <w:p w14:paraId="0670FAFC">
            <w:pPr>
              <w:rPr>
                <w:rFonts w:hint="eastAsia" w:ascii="宋体" w:hAnsi="宋体" w:eastAsia="宋体" w:cs="宋体"/>
                <w:color w:val="auto"/>
                <w:sz w:val="30"/>
                <w:szCs w:val="30"/>
                <w:highlight w:val="none"/>
              </w:rPr>
            </w:pPr>
          </w:p>
        </w:tc>
      </w:tr>
      <w:tr w14:paraId="088A5C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2B16E49B">
            <w:pPr>
              <w:rPr>
                <w:rFonts w:hint="eastAsia" w:ascii="宋体" w:hAnsi="宋体" w:eastAsia="宋体" w:cs="宋体"/>
                <w:color w:val="auto"/>
                <w:sz w:val="30"/>
                <w:szCs w:val="30"/>
                <w:highlight w:val="none"/>
              </w:rPr>
            </w:pPr>
          </w:p>
        </w:tc>
        <w:tc>
          <w:tcPr>
            <w:tcW w:w="1418" w:type="dxa"/>
            <w:noWrap w:val="0"/>
            <w:vAlign w:val="top"/>
          </w:tcPr>
          <w:p w14:paraId="1DA38EC5">
            <w:pPr>
              <w:rPr>
                <w:rFonts w:hint="eastAsia" w:ascii="宋体" w:hAnsi="宋体" w:eastAsia="宋体" w:cs="宋体"/>
                <w:color w:val="auto"/>
                <w:sz w:val="30"/>
                <w:szCs w:val="30"/>
                <w:highlight w:val="none"/>
              </w:rPr>
            </w:pPr>
          </w:p>
        </w:tc>
        <w:tc>
          <w:tcPr>
            <w:tcW w:w="850" w:type="dxa"/>
            <w:noWrap w:val="0"/>
            <w:vAlign w:val="top"/>
          </w:tcPr>
          <w:p w14:paraId="47C338D9">
            <w:pPr>
              <w:rPr>
                <w:rFonts w:hint="eastAsia" w:ascii="宋体" w:hAnsi="宋体" w:eastAsia="宋体" w:cs="宋体"/>
                <w:color w:val="auto"/>
                <w:sz w:val="30"/>
                <w:szCs w:val="30"/>
                <w:highlight w:val="none"/>
              </w:rPr>
            </w:pPr>
          </w:p>
        </w:tc>
        <w:tc>
          <w:tcPr>
            <w:tcW w:w="1058" w:type="dxa"/>
            <w:noWrap w:val="0"/>
            <w:vAlign w:val="top"/>
          </w:tcPr>
          <w:p w14:paraId="5D814B67">
            <w:pPr>
              <w:rPr>
                <w:rFonts w:hint="eastAsia" w:ascii="宋体" w:hAnsi="宋体" w:eastAsia="宋体" w:cs="宋体"/>
                <w:color w:val="auto"/>
                <w:sz w:val="30"/>
                <w:szCs w:val="30"/>
                <w:highlight w:val="none"/>
              </w:rPr>
            </w:pPr>
          </w:p>
        </w:tc>
        <w:tc>
          <w:tcPr>
            <w:tcW w:w="880" w:type="dxa"/>
            <w:noWrap w:val="0"/>
            <w:vAlign w:val="top"/>
          </w:tcPr>
          <w:p w14:paraId="671EBAE0">
            <w:pPr>
              <w:rPr>
                <w:rFonts w:hint="eastAsia" w:ascii="宋体" w:hAnsi="宋体" w:eastAsia="宋体" w:cs="宋体"/>
                <w:color w:val="auto"/>
                <w:sz w:val="30"/>
                <w:szCs w:val="30"/>
                <w:highlight w:val="none"/>
              </w:rPr>
            </w:pPr>
          </w:p>
        </w:tc>
        <w:tc>
          <w:tcPr>
            <w:tcW w:w="1020" w:type="dxa"/>
            <w:noWrap w:val="0"/>
            <w:vAlign w:val="top"/>
          </w:tcPr>
          <w:p w14:paraId="2552EA31">
            <w:pPr>
              <w:rPr>
                <w:rFonts w:hint="eastAsia" w:ascii="宋体" w:hAnsi="宋体" w:eastAsia="宋体" w:cs="宋体"/>
                <w:color w:val="auto"/>
                <w:sz w:val="30"/>
                <w:szCs w:val="30"/>
                <w:highlight w:val="none"/>
              </w:rPr>
            </w:pPr>
          </w:p>
        </w:tc>
        <w:tc>
          <w:tcPr>
            <w:tcW w:w="1480" w:type="dxa"/>
            <w:noWrap w:val="0"/>
            <w:vAlign w:val="top"/>
          </w:tcPr>
          <w:p w14:paraId="5748ACC9">
            <w:pPr>
              <w:rPr>
                <w:rFonts w:hint="eastAsia" w:ascii="宋体" w:hAnsi="宋体" w:eastAsia="宋体" w:cs="宋体"/>
                <w:color w:val="auto"/>
                <w:sz w:val="30"/>
                <w:szCs w:val="30"/>
                <w:highlight w:val="none"/>
              </w:rPr>
            </w:pPr>
          </w:p>
        </w:tc>
        <w:tc>
          <w:tcPr>
            <w:tcW w:w="1020" w:type="dxa"/>
            <w:noWrap w:val="0"/>
            <w:vAlign w:val="top"/>
          </w:tcPr>
          <w:p w14:paraId="503E139F">
            <w:pPr>
              <w:rPr>
                <w:rFonts w:hint="eastAsia" w:ascii="宋体" w:hAnsi="宋体" w:eastAsia="宋体" w:cs="宋体"/>
                <w:color w:val="auto"/>
                <w:sz w:val="30"/>
                <w:szCs w:val="30"/>
                <w:highlight w:val="none"/>
              </w:rPr>
            </w:pPr>
          </w:p>
        </w:tc>
        <w:tc>
          <w:tcPr>
            <w:tcW w:w="921" w:type="dxa"/>
            <w:noWrap w:val="0"/>
            <w:vAlign w:val="top"/>
          </w:tcPr>
          <w:p w14:paraId="3C88BC50">
            <w:pPr>
              <w:rPr>
                <w:rFonts w:hint="eastAsia" w:ascii="宋体" w:hAnsi="宋体" w:eastAsia="宋体" w:cs="宋体"/>
                <w:color w:val="auto"/>
                <w:sz w:val="30"/>
                <w:szCs w:val="30"/>
                <w:highlight w:val="none"/>
              </w:rPr>
            </w:pPr>
          </w:p>
        </w:tc>
      </w:tr>
      <w:tr w14:paraId="6C892F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0404C955">
            <w:pPr>
              <w:rPr>
                <w:rFonts w:hint="eastAsia" w:ascii="宋体" w:hAnsi="宋体" w:eastAsia="宋体" w:cs="宋体"/>
                <w:color w:val="auto"/>
                <w:sz w:val="30"/>
                <w:szCs w:val="30"/>
                <w:highlight w:val="none"/>
              </w:rPr>
            </w:pPr>
          </w:p>
        </w:tc>
        <w:tc>
          <w:tcPr>
            <w:tcW w:w="1418" w:type="dxa"/>
            <w:noWrap w:val="0"/>
            <w:vAlign w:val="top"/>
          </w:tcPr>
          <w:p w14:paraId="470825C1">
            <w:pPr>
              <w:rPr>
                <w:rFonts w:hint="eastAsia" w:ascii="宋体" w:hAnsi="宋体" w:eastAsia="宋体" w:cs="宋体"/>
                <w:color w:val="auto"/>
                <w:sz w:val="30"/>
                <w:szCs w:val="30"/>
                <w:highlight w:val="none"/>
              </w:rPr>
            </w:pPr>
          </w:p>
        </w:tc>
        <w:tc>
          <w:tcPr>
            <w:tcW w:w="850" w:type="dxa"/>
            <w:noWrap w:val="0"/>
            <w:vAlign w:val="top"/>
          </w:tcPr>
          <w:p w14:paraId="6C0B345F">
            <w:pPr>
              <w:rPr>
                <w:rFonts w:hint="eastAsia" w:ascii="宋体" w:hAnsi="宋体" w:eastAsia="宋体" w:cs="宋体"/>
                <w:color w:val="auto"/>
                <w:sz w:val="30"/>
                <w:szCs w:val="30"/>
                <w:highlight w:val="none"/>
              </w:rPr>
            </w:pPr>
          </w:p>
        </w:tc>
        <w:tc>
          <w:tcPr>
            <w:tcW w:w="1058" w:type="dxa"/>
            <w:noWrap w:val="0"/>
            <w:vAlign w:val="top"/>
          </w:tcPr>
          <w:p w14:paraId="158E1A3A">
            <w:pPr>
              <w:rPr>
                <w:rFonts w:hint="eastAsia" w:ascii="宋体" w:hAnsi="宋体" w:eastAsia="宋体" w:cs="宋体"/>
                <w:color w:val="auto"/>
                <w:sz w:val="30"/>
                <w:szCs w:val="30"/>
                <w:highlight w:val="none"/>
              </w:rPr>
            </w:pPr>
          </w:p>
        </w:tc>
        <w:tc>
          <w:tcPr>
            <w:tcW w:w="880" w:type="dxa"/>
            <w:noWrap w:val="0"/>
            <w:vAlign w:val="top"/>
          </w:tcPr>
          <w:p w14:paraId="3618490F">
            <w:pPr>
              <w:rPr>
                <w:rFonts w:hint="eastAsia" w:ascii="宋体" w:hAnsi="宋体" w:eastAsia="宋体" w:cs="宋体"/>
                <w:color w:val="auto"/>
                <w:sz w:val="30"/>
                <w:szCs w:val="30"/>
                <w:highlight w:val="none"/>
              </w:rPr>
            </w:pPr>
          </w:p>
        </w:tc>
        <w:tc>
          <w:tcPr>
            <w:tcW w:w="1020" w:type="dxa"/>
            <w:noWrap w:val="0"/>
            <w:vAlign w:val="top"/>
          </w:tcPr>
          <w:p w14:paraId="66F46369">
            <w:pPr>
              <w:rPr>
                <w:rFonts w:hint="eastAsia" w:ascii="宋体" w:hAnsi="宋体" w:eastAsia="宋体" w:cs="宋体"/>
                <w:color w:val="auto"/>
                <w:sz w:val="30"/>
                <w:szCs w:val="30"/>
                <w:highlight w:val="none"/>
              </w:rPr>
            </w:pPr>
          </w:p>
        </w:tc>
        <w:tc>
          <w:tcPr>
            <w:tcW w:w="1480" w:type="dxa"/>
            <w:noWrap w:val="0"/>
            <w:vAlign w:val="top"/>
          </w:tcPr>
          <w:p w14:paraId="43DE6956">
            <w:pPr>
              <w:rPr>
                <w:rFonts w:hint="eastAsia" w:ascii="宋体" w:hAnsi="宋体" w:eastAsia="宋体" w:cs="宋体"/>
                <w:color w:val="auto"/>
                <w:sz w:val="30"/>
                <w:szCs w:val="30"/>
                <w:highlight w:val="none"/>
              </w:rPr>
            </w:pPr>
          </w:p>
        </w:tc>
        <w:tc>
          <w:tcPr>
            <w:tcW w:w="1020" w:type="dxa"/>
            <w:noWrap w:val="0"/>
            <w:vAlign w:val="top"/>
          </w:tcPr>
          <w:p w14:paraId="5FA17FB9">
            <w:pPr>
              <w:rPr>
                <w:rFonts w:hint="eastAsia" w:ascii="宋体" w:hAnsi="宋体" w:eastAsia="宋体" w:cs="宋体"/>
                <w:color w:val="auto"/>
                <w:sz w:val="30"/>
                <w:szCs w:val="30"/>
                <w:highlight w:val="none"/>
              </w:rPr>
            </w:pPr>
          </w:p>
        </w:tc>
        <w:tc>
          <w:tcPr>
            <w:tcW w:w="921" w:type="dxa"/>
            <w:noWrap w:val="0"/>
            <w:vAlign w:val="top"/>
          </w:tcPr>
          <w:p w14:paraId="5FB0C653">
            <w:pPr>
              <w:rPr>
                <w:rFonts w:hint="eastAsia" w:ascii="宋体" w:hAnsi="宋体" w:eastAsia="宋体" w:cs="宋体"/>
                <w:color w:val="auto"/>
                <w:sz w:val="30"/>
                <w:szCs w:val="30"/>
                <w:highlight w:val="none"/>
              </w:rPr>
            </w:pPr>
          </w:p>
        </w:tc>
      </w:tr>
      <w:tr w14:paraId="2F2370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67EACBC8">
            <w:pPr>
              <w:rPr>
                <w:rFonts w:hint="eastAsia" w:ascii="宋体" w:hAnsi="宋体" w:eastAsia="宋体" w:cs="宋体"/>
                <w:color w:val="auto"/>
                <w:sz w:val="30"/>
                <w:szCs w:val="30"/>
                <w:highlight w:val="none"/>
              </w:rPr>
            </w:pPr>
          </w:p>
        </w:tc>
        <w:tc>
          <w:tcPr>
            <w:tcW w:w="1418" w:type="dxa"/>
            <w:noWrap w:val="0"/>
            <w:vAlign w:val="top"/>
          </w:tcPr>
          <w:p w14:paraId="0296A8C5">
            <w:pPr>
              <w:rPr>
                <w:rFonts w:hint="eastAsia" w:ascii="宋体" w:hAnsi="宋体" w:eastAsia="宋体" w:cs="宋体"/>
                <w:color w:val="auto"/>
                <w:sz w:val="30"/>
                <w:szCs w:val="30"/>
                <w:highlight w:val="none"/>
              </w:rPr>
            </w:pPr>
          </w:p>
        </w:tc>
        <w:tc>
          <w:tcPr>
            <w:tcW w:w="850" w:type="dxa"/>
            <w:noWrap w:val="0"/>
            <w:vAlign w:val="top"/>
          </w:tcPr>
          <w:p w14:paraId="050E2635">
            <w:pPr>
              <w:rPr>
                <w:rFonts w:hint="eastAsia" w:ascii="宋体" w:hAnsi="宋体" w:eastAsia="宋体" w:cs="宋体"/>
                <w:color w:val="auto"/>
                <w:sz w:val="30"/>
                <w:szCs w:val="30"/>
                <w:highlight w:val="none"/>
              </w:rPr>
            </w:pPr>
          </w:p>
        </w:tc>
        <w:tc>
          <w:tcPr>
            <w:tcW w:w="1058" w:type="dxa"/>
            <w:noWrap w:val="0"/>
            <w:vAlign w:val="top"/>
          </w:tcPr>
          <w:p w14:paraId="60A2FDC2">
            <w:pPr>
              <w:rPr>
                <w:rFonts w:hint="eastAsia" w:ascii="宋体" w:hAnsi="宋体" w:eastAsia="宋体" w:cs="宋体"/>
                <w:color w:val="auto"/>
                <w:sz w:val="30"/>
                <w:szCs w:val="30"/>
                <w:highlight w:val="none"/>
              </w:rPr>
            </w:pPr>
          </w:p>
        </w:tc>
        <w:tc>
          <w:tcPr>
            <w:tcW w:w="880" w:type="dxa"/>
            <w:noWrap w:val="0"/>
            <w:vAlign w:val="top"/>
          </w:tcPr>
          <w:p w14:paraId="6BB37C56">
            <w:pPr>
              <w:rPr>
                <w:rFonts w:hint="eastAsia" w:ascii="宋体" w:hAnsi="宋体" w:eastAsia="宋体" w:cs="宋体"/>
                <w:color w:val="auto"/>
                <w:sz w:val="30"/>
                <w:szCs w:val="30"/>
                <w:highlight w:val="none"/>
              </w:rPr>
            </w:pPr>
          </w:p>
        </w:tc>
        <w:tc>
          <w:tcPr>
            <w:tcW w:w="1020" w:type="dxa"/>
            <w:noWrap w:val="0"/>
            <w:vAlign w:val="top"/>
          </w:tcPr>
          <w:p w14:paraId="7DC06199">
            <w:pPr>
              <w:rPr>
                <w:rFonts w:hint="eastAsia" w:ascii="宋体" w:hAnsi="宋体" w:eastAsia="宋体" w:cs="宋体"/>
                <w:color w:val="auto"/>
                <w:sz w:val="30"/>
                <w:szCs w:val="30"/>
                <w:highlight w:val="none"/>
              </w:rPr>
            </w:pPr>
          </w:p>
        </w:tc>
        <w:tc>
          <w:tcPr>
            <w:tcW w:w="1480" w:type="dxa"/>
            <w:noWrap w:val="0"/>
            <w:vAlign w:val="top"/>
          </w:tcPr>
          <w:p w14:paraId="4D4AE91A">
            <w:pPr>
              <w:rPr>
                <w:rFonts w:hint="eastAsia" w:ascii="宋体" w:hAnsi="宋体" w:eastAsia="宋体" w:cs="宋体"/>
                <w:color w:val="auto"/>
                <w:sz w:val="30"/>
                <w:szCs w:val="30"/>
                <w:highlight w:val="none"/>
              </w:rPr>
            </w:pPr>
          </w:p>
        </w:tc>
        <w:tc>
          <w:tcPr>
            <w:tcW w:w="1020" w:type="dxa"/>
            <w:noWrap w:val="0"/>
            <w:vAlign w:val="top"/>
          </w:tcPr>
          <w:p w14:paraId="1E50D8D8">
            <w:pPr>
              <w:rPr>
                <w:rFonts w:hint="eastAsia" w:ascii="宋体" w:hAnsi="宋体" w:eastAsia="宋体" w:cs="宋体"/>
                <w:color w:val="auto"/>
                <w:sz w:val="30"/>
                <w:szCs w:val="30"/>
                <w:highlight w:val="none"/>
              </w:rPr>
            </w:pPr>
          </w:p>
        </w:tc>
        <w:tc>
          <w:tcPr>
            <w:tcW w:w="921" w:type="dxa"/>
            <w:noWrap w:val="0"/>
            <w:vAlign w:val="top"/>
          </w:tcPr>
          <w:p w14:paraId="0230A4C7">
            <w:pPr>
              <w:rPr>
                <w:rFonts w:hint="eastAsia" w:ascii="宋体" w:hAnsi="宋体" w:eastAsia="宋体" w:cs="宋体"/>
                <w:color w:val="auto"/>
                <w:sz w:val="30"/>
                <w:szCs w:val="30"/>
                <w:highlight w:val="none"/>
              </w:rPr>
            </w:pPr>
          </w:p>
        </w:tc>
      </w:tr>
      <w:tr w14:paraId="542F015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1162" w:type="dxa"/>
            <w:noWrap w:val="0"/>
            <w:vAlign w:val="top"/>
          </w:tcPr>
          <w:p w14:paraId="1F84D698">
            <w:pPr>
              <w:rPr>
                <w:rFonts w:hint="eastAsia" w:ascii="宋体" w:hAnsi="宋体" w:eastAsia="宋体" w:cs="宋体"/>
                <w:color w:val="auto"/>
                <w:sz w:val="30"/>
                <w:szCs w:val="30"/>
                <w:highlight w:val="none"/>
              </w:rPr>
            </w:pPr>
          </w:p>
        </w:tc>
        <w:tc>
          <w:tcPr>
            <w:tcW w:w="1418" w:type="dxa"/>
            <w:noWrap w:val="0"/>
            <w:vAlign w:val="top"/>
          </w:tcPr>
          <w:p w14:paraId="0A32DD7A">
            <w:pPr>
              <w:rPr>
                <w:rFonts w:hint="eastAsia" w:ascii="宋体" w:hAnsi="宋体" w:eastAsia="宋体" w:cs="宋体"/>
                <w:color w:val="auto"/>
                <w:sz w:val="30"/>
                <w:szCs w:val="30"/>
                <w:highlight w:val="none"/>
              </w:rPr>
            </w:pPr>
          </w:p>
        </w:tc>
        <w:tc>
          <w:tcPr>
            <w:tcW w:w="850" w:type="dxa"/>
            <w:noWrap w:val="0"/>
            <w:vAlign w:val="top"/>
          </w:tcPr>
          <w:p w14:paraId="6A8BEA91">
            <w:pPr>
              <w:rPr>
                <w:rFonts w:hint="eastAsia" w:ascii="宋体" w:hAnsi="宋体" w:eastAsia="宋体" w:cs="宋体"/>
                <w:color w:val="auto"/>
                <w:sz w:val="30"/>
                <w:szCs w:val="30"/>
                <w:highlight w:val="none"/>
              </w:rPr>
            </w:pPr>
          </w:p>
        </w:tc>
        <w:tc>
          <w:tcPr>
            <w:tcW w:w="1058" w:type="dxa"/>
            <w:noWrap w:val="0"/>
            <w:vAlign w:val="top"/>
          </w:tcPr>
          <w:p w14:paraId="0B5CA1BF">
            <w:pPr>
              <w:rPr>
                <w:rFonts w:hint="eastAsia" w:ascii="宋体" w:hAnsi="宋体" w:eastAsia="宋体" w:cs="宋体"/>
                <w:color w:val="auto"/>
                <w:sz w:val="30"/>
                <w:szCs w:val="30"/>
                <w:highlight w:val="none"/>
              </w:rPr>
            </w:pPr>
          </w:p>
        </w:tc>
        <w:tc>
          <w:tcPr>
            <w:tcW w:w="880" w:type="dxa"/>
            <w:noWrap w:val="0"/>
            <w:vAlign w:val="top"/>
          </w:tcPr>
          <w:p w14:paraId="1274EE60">
            <w:pPr>
              <w:rPr>
                <w:rFonts w:hint="eastAsia" w:ascii="宋体" w:hAnsi="宋体" w:eastAsia="宋体" w:cs="宋体"/>
                <w:color w:val="auto"/>
                <w:sz w:val="30"/>
                <w:szCs w:val="30"/>
                <w:highlight w:val="none"/>
              </w:rPr>
            </w:pPr>
          </w:p>
        </w:tc>
        <w:tc>
          <w:tcPr>
            <w:tcW w:w="1020" w:type="dxa"/>
            <w:noWrap w:val="0"/>
            <w:vAlign w:val="top"/>
          </w:tcPr>
          <w:p w14:paraId="18D8F597">
            <w:pPr>
              <w:rPr>
                <w:rFonts w:hint="eastAsia" w:ascii="宋体" w:hAnsi="宋体" w:eastAsia="宋体" w:cs="宋体"/>
                <w:color w:val="auto"/>
                <w:sz w:val="30"/>
                <w:szCs w:val="30"/>
                <w:highlight w:val="none"/>
              </w:rPr>
            </w:pPr>
          </w:p>
        </w:tc>
        <w:tc>
          <w:tcPr>
            <w:tcW w:w="1480" w:type="dxa"/>
            <w:noWrap w:val="0"/>
            <w:vAlign w:val="top"/>
          </w:tcPr>
          <w:p w14:paraId="5CFC6DF9">
            <w:pPr>
              <w:rPr>
                <w:rFonts w:hint="eastAsia" w:ascii="宋体" w:hAnsi="宋体" w:eastAsia="宋体" w:cs="宋体"/>
                <w:color w:val="auto"/>
                <w:sz w:val="30"/>
                <w:szCs w:val="30"/>
                <w:highlight w:val="none"/>
              </w:rPr>
            </w:pPr>
          </w:p>
        </w:tc>
        <w:tc>
          <w:tcPr>
            <w:tcW w:w="1020" w:type="dxa"/>
            <w:noWrap w:val="0"/>
            <w:vAlign w:val="top"/>
          </w:tcPr>
          <w:p w14:paraId="4AB29548">
            <w:pPr>
              <w:rPr>
                <w:rFonts w:hint="eastAsia" w:ascii="宋体" w:hAnsi="宋体" w:eastAsia="宋体" w:cs="宋体"/>
                <w:color w:val="auto"/>
                <w:sz w:val="30"/>
                <w:szCs w:val="30"/>
                <w:highlight w:val="none"/>
              </w:rPr>
            </w:pPr>
          </w:p>
        </w:tc>
        <w:tc>
          <w:tcPr>
            <w:tcW w:w="921" w:type="dxa"/>
            <w:noWrap w:val="0"/>
            <w:vAlign w:val="top"/>
          </w:tcPr>
          <w:p w14:paraId="7E7F1C88">
            <w:pPr>
              <w:rPr>
                <w:rFonts w:hint="eastAsia" w:ascii="宋体" w:hAnsi="宋体" w:eastAsia="宋体" w:cs="宋体"/>
                <w:color w:val="auto"/>
                <w:sz w:val="30"/>
                <w:szCs w:val="30"/>
                <w:highlight w:val="none"/>
              </w:rPr>
            </w:pPr>
          </w:p>
        </w:tc>
      </w:tr>
    </w:tbl>
    <w:p w14:paraId="66AE3ED7">
      <w:pPr>
        <w:spacing w:line="440" w:lineRule="exact"/>
        <w:rPr>
          <w:rFonts w:hint="eastAsia" w:ascii="宋体" w:hAnsi="宋体" w:eastAsia="宋体" w:cs="宋体"/>
          <w:color w:val="auto"/>
          <w:sz w:val="30"/>
          <w:szCs w:val="30"/>
          <w:highlight w:val="none"/>
        </w:rPr>
      </w:pPr>
    </w:p>
    <w:p w14:paraId="7050C877">
      <w:pPr>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附</w:t>
      </w:r>
      <w:bookmarkStart w:id="193" w:name="_Toc267261699"/>
      <w:bookmarkStart w:id="194" w:name="_Toc296347227"/>
      <w:bookmarkStart w:id="195" w:name="_Toc296346729"/>
      <w:bookmarkStart w:id="196" w:name="_Toc296944567"/>
      <w:bookmarkStart w:id="197" w:name="_Toc296503228"/>
      <w:bookmarkStart w:id="198" w:name="_Toc296891268"/>
      <w:bookmarkStart w:id="199" w:name="_Toc296891056"/>
      <w:r>
        <w:rPr>
          <w:rFonts w:hint="eastAsia" w:ascii="宋体" w:hAnsi="宋体" w:eastAsia="宋体" w:cs="宋体"/>
          <w:color w:val="auto"/>
          <w:sz w:val="30"/>
          <w:szCs w:val="30"/>
          <w:highlight w:val="none"/>
        </w:rPr>
        <w:t>件6：</w:t>
      </w:r>
      <w:bookmarkEnd w:id="193"/>
      <w:bookmarkEnd w:id="194"/>
      <w:bookmarkEnd w:id="195"/>
      <w:bookmarkEnd w:id="196"/>
      <w:bookmarkEnd w:id="197"/>
      <w:bookmarkEnd w:id="198"/>
      <w:bookmarkEnd w:id="199"/>
    </w:p>
    <w:p w14:paraId="5A9CE086">
      <w:pPr>
        <w:spacing w:before="120" w:after="120" w:line="440" w:lineRule="exact"/>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承包人主要施工管理人员表</w:t>
      </w:r>
    </w:p>
    <w:tbl>
      <w:tblPr>
        <w:tblStyle w:val="4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0CCBC3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jc w:val="center"/>
        </w:trPr>
        <w:tc>
          <w:tcPr>
            <w:tcW w:w="1871" w:type="dxa"/>
            <w:noWrap w:val="0"/>
            <w:vAlign w:val="center"/>
          </w:tcPr>
          <w:p w14:paraId="43FE2611">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名    称</w:t>
            </w:r>
          </w:p>
        </w:tc>
        <w:tc>
          <w:tcPr>
            <w:tcW w:w="1418" w:type="dxa"/>
            <w:noWrap w:val="0"/>
            <w:vAlign w:val="center"/>
          </w:tcPr>
          <w:p w14:paraId="09AAC723">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姓名</w:t>
            </w:r>
          </w:p>
        </w:tc>
        <w:tc>
          <w:tcPr>
            <w:tcW w:w="1134" w:type="dxa"/>
            <w:noWrap w:val="0"/>
            <w:vAlign w:val="center"/>
          </w:tcPr>
          <w:p w14:paraId="51B0E37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职务</w:t>
            </w:r>
          </w:p>
        </w:tc>
        <w:tc>
          <w:tcPr>
            <w:tcW w:w="1134" w:type="dxa"/>
            <w:noWrap w:val="0"/>
            <w:vAlign w:val="center"/>
          </w:tcPr>
          <w:p w14:paraId="2DF60BD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职称</w:t>
            </w:r>
          </w:p>
        </w:tc>
        <w:tc>
          <w:tcPr>
            <w:tcW w:w="4252" w:type="dxa"/>
            <w:noWrap w:val="0"/>
            <w:vAlign w:val="center"/>
          </w:tcPr>
          <w:p w14:paraId="0E08863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主要资历、经验及承担过的项目</w:t>
            </w:r>
          </w:p>
        </w:tc>
      </w:tr>
      <w:tr w14:paraId="221CDF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0"/>
            <w:vAlign w:val="center"/>
          </w:tcPr>
          <w:p w14:paraId="000D1D15">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一、总部人员</w:t>
            </w:r>
          </w:p>
        </w:tc>
      </w:tr>
      <w:tr w14:paraId="5CC8E3F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2F8677FA">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项目主管</w:t>
            </w:r>
          </w:p>
        </w:tc>
        <w:tc>
          <w:tcPr>
            <w:tcW w:w="1418" w:type="dxa"/>
            <w:noWrap w:val="0"/>
            <w:vAlign w:val="center"/>
          </w:tcPr>
          <w:p w14:paraId="77CA4FB6">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0C06900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3A4D2B0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4A3B58E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2370B08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72036E3D">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418" w:type="dxa"/>
            <w:noWrap w:val="0"/>
            <w:vAlign w:val="center"/>
          </w:tcPr>
          <w:p w14:paraId="440006C4">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7E23E55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4A7275A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4AA34D1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06C840A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54B3CB55">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其他人员</w:t>
            </w:r>
          </w:p>
        </w:tc>
        <w:tc>
          <w:tcPr>
            <w:tcW w:w="1418" w:type="dxa"/>
            <w:noWrap w:val="0"/>
            <w:vAlign w:val="center"/>
          </w:tcPr>
          <w:p w14:paraId="69187193">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57AB9EA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68BE5C4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4A3B93D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75E0478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74E1D3DA">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418" w:type="dxa"/>
            <w:noWrap w:val="0"/>
            <w:vAlign w:val="center"/>
          </w:tcPr>
          <w:p w14:paraId="77154D96">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21ACAD7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3E5E6D0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24B12DA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7CC9EF9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0"/>
            <w:vAlign w:val="center"/>
          </w:tcPr>
          <w:p w14:paraId="4A576EDB">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二、现场人员</w:t>
            </w:r>
          </w:p>
        </w:tc>
      </w:tr>
      <w:tr w14:paraId="585C30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162AA370">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项目经理</w:t>
            </w:r>
          </w:p>
        </w:tc>
        <w:tc>
          <w:tcPr>
            <w:tcW w:w="1418" w:type="dxa"/>
            <w:noWrap w:val="0"/>
            <w:vAlign w:val="center"/>
          </w:tcPr>
          <w:p w14:paraId="0550340E">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6174CA9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0B3BED8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354E2E0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6B5F88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5E58D9EE">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项目副经理</w:t>
            </w:r>
          </w:p>
        </w:tc>
        <w:tc>
          <w:tcPr>
            <w:tcW w:w="1418" w:type="dxa"/>
            <w:noWrap w:val="0"/>
            <w:vAlign w:val="center"/>
          </w:tcPr>
          <w:p w14:paraId="4A54F526">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228FD37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4E39273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68378EE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695E0C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772421F1">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技术负责人</w:t>
            </w:r>
          </w:p>
        </w:tc>
        <w:tc>
          <w:tcPr>
            <w:tcW w:w="1418" w:type="dxa"/>
            <w:noWrap w:val="0"/>
            <w:vAlign w:val="center"/>
          </w:tcPr>
          <w:p w14:paraId="3D49BB44">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4AFA221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1F291D7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02F95C0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451501F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6E290788">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造价管理</w:t>
            </w:r>
          </w:p>
        </w:tc>
        <w:tc>
          <w:tcPr>
            <w:tcW w:w="1418" w:type="dxa"/>
            <w:noWrap w:val="0"/>
            <w:vAlign w:val="center"/>
          </w:tcPr>
          <w:p w14:paraId="7CBA6526">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12E2DA1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5121E09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6B137B6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035974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32DBE445">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质量管理</w:t>
            </w:r>
          </w:p>
        </w:tc>
        <w:tc>
          <w:tcPr>
            <w:tcW w:w="1418" w:type="dxa"/>
            <w:noWrap w:val="0"/>
            <w:vAlign w:val="center"/>
          </w:tcPr>
          <w:p w14:paraId="2FBC19F6">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0ED2016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1992862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1BC3F4D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203ECC9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4E47F03C">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材料管理</w:t>
            </w:r>
          </w:p>
        </w:tc>
        <w:tc>
          <w:tcPr>
            <w:tcW w:w="1418" w:type="dxa"/>
            <w:noWrap w:val="0"/>
            <w:vAlign w:val="center"/>
          </w:tcPr>
          <w:p w14:paraId="2B9262DA">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69C132D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67AF71D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5B4D1C9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09E9C7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230FA868">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计划管理</w:t>
            </w:r>
          </w:p>
        </w:tc>
        <w:tc>
          <w:tcPr>
            <w:tcW w:w="1418" w:type="dxa"/>
            <w:noWrap w:val="0"/>
            <w:vAlign w:val="center"/>
          </w:tcPr>
          <w:p w14:paraId="4F30EF02">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0A83627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058DB82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39107B5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2051955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643EB778">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安全管理</w:t>
            </w:r>
          </w:p>
        </w:tc>
        <w:tc>
          <w:tcPr>
            <w:tcW w:w="1418" w:type="dxa"/>
            <w:noWrap w:val="0"/>
            <w:vAlign w:val="center"/>
          </w:tcPr>
          <w:p w14:paraId="02DAC3B2">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5539C29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6546141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1D7E983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3D05AF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noWrap w:val="0"/>
            <w:vAlign w:val="center"/>
          </w:tcPr>
          <w:p w14:paraId="69715FCC">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其他人员</w:t>
            </w:r>
          </w:p>
        </w:tc>
        <w:tc>
          <w:tcPr>
            <w:tcW w:w="1418" w:type="dxa"/>
            <w:noWrap w:val="0"/>
            <w:vAlign w:val="center"/>
          </w:tcPr>
          <w:p w14:paraId="340E809D">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3C13A29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548E1CB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73F2CB8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6DC7F9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05ED435C">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418" w:type="dxa"/>
            <w:noWrap w:val="0"/>
            <w:vAlign w:val="center"/>
          </w:tcPr>
          <w:p w14:paraId="3AEF4FC1">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63458FD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59839B4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1DC8DF7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5547E5D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7485FB97">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418" w:type="dxa"/>
            <w:noWrap w:val="0"/>
            <w:vAlign w:val="center"/>
          </w:tcPr>
          <w:p w14:paraId="29D5CD63">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7CBACEC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062E164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0344EB6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38B5431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1EAB1D45">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418" w:type="dxa"/>
            <w:noWrap w:val="0"/>
            <w:vAlign w:val="center"/>
          </w:tcPr>
          <w:p w14:paraId="2917AC2F">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27E072D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635EB0D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715CD05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435CA53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31132937">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418" w:type="dxa"/>
            <w:noWrap w:val="0"/>
            <w:vAlign w:val="center"/>
          </w:tcPr>
          <w:p w14:paraId="5C832B9C">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5680BE5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07D0D72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5002236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52EB7E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59FE4CCD">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418" w:type="dxa"/>
            <w:noWrap w:val="0"/>
            <w:vAlign w:val="center"/>
          </w:tcPr>
          <w:p w14:paraId="1E56F64E">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47B421B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1C04A1C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2F6BB63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bl>
    <w:p w14:paraId="68F6278E">
      <w:pPr>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附</w:t>
      </w:r>
      <w:bookmarkStart w:id="200" w:name="_Toc296347228"/>
      <w:bookmarkStart w:id="201" w:name="_Toc296944568"/>
      <w:bookmarkStart w:id="202" w:name="_Toc296503229"/>
      <w:bookmarkStart w:id="203" w:name="_Toc296346730"/>
      <w:bookmarkStart w:id="204" w:name="_Toc296891057"/>
      <w:bookmarkStart w:id="205" w:name="_Toc296891269"/>
      <w:r>
        <w:rPr>
          <w:rFonts w:hint="eastAsia" w:ascii="宋体" w:hAnsi="宋体" w:eastAsia="宋体" w:cs="宋体"/>
          <w:color w:val="auto"/>
          <w:sz w:val="30"/>
          <w:szCs w:val="30"/>
          <w:highlight w:val="none"/>
        </w:rPr>
        <w:t>件7：</w:t>
      </w:r>
      <w:bookmarkEnd w:id="200"/>
      <w:bookmarkEnd w:id="201"/>
      <w:bookmarkEnd w:id="202"/>
      <w:bookmarkEnd w:id="203"/>
      <w:bookmarkEnd w:id="204"/>
      <w:bookmarkEnd w:id="205"/>
    </w:p>
    <w:p w14:paraId="5983CDA4">
      <w:pPr>
        <w:spacing w:before="120" w:after="120" w:line="440" w:lineRule="exact"/>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分包人主要施工管理人员表</w:t>
      </w:r>
    </w:p>
    <w:tbl>
      <w:tblPr>
        <w:tblStyle w:val="4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4252"/>
      </w:tblGrid>
      <w:tr w14:paraId="7458023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1927F46A">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名    称</w:t>
            </w:r>
          </w:p>
        </w:tc>
        <w:tc>
          <w:tcPr>
            <w:tcW w:w="1418" w:type="dxa"/>
            <w:noWrap w:val="0"/>
            <w:vAlign w:val="center"/>
          </w:tcPr>
          <w:p w14:paraId="4C485751">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姓名</w:t>
            </w:r>
          </w:p>
        </w:tc>
        <w:tc>
          <w:tcPr>
            <w:tcW w:w="1134" w:type="dxa"/>
            <w:noWrap w:val="0"/>
            <w:vAlign w:val="center"/>
          </w:tcPr>
          <w:p w14:paraId="4983741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职务</w:t>
            </w:r>
          </w:p>
        </w:tc>
        <w:tc>
          <w:tcPr>
            <w:tcW w:w="1134" w:type="dxa"/>
            <w:noWrap w:val="0"/>
            <w:vAlign w:val="center"/>
          </w:tcPr>
          <w:p w14:paraId="05878DA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职称</w:t>
            </w:r>
          </w:p>
        </w:tc>
        <w:tc>
          <w:tcPr>
            <w:tcW w:w="4252" w:type="dxa"/>
            <w:noWrap w:val="0"/>
            <w:vAlign w:val="center"/>
          </w:tcPr>
          <w:p w14:paraId="4531159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主要资历、经验及承担过的项目</w:t>
            </w:r>
          </w:p>
        </w:tc>
      </w:tr>
      <w:tr w14:paraId="345C629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0"/>
            <w:vAlign w:val="center"/>
          </w:tcPr>
          <w:p w14:paraId="01E6386D">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一、总部人员</w:t>
            </w:r>
          </w:p>
        </w:tc>
      </w:tr>
      <w:tr w14:paraId="49FBA1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22A0C7AF">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项目主管</w:t>
            </w:r>
          </w:p>
        </w:tc>
        <w:tc>
          <w:tcPr>
            <w:tcW w:w="1418" w:type="dxa"/>
            <w:noWrap w:val="0"/>
            <w:vAlign w:val="center"/>
          </w:tcPr>
          <w:p w14:paraId="075C6480">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5F84FBB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50C36D5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462DD2F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0208A93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34D9594C">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418" w:type="dxa"/>
            <w:noWrap w:val="0"/>
            <w:vAlign w:val="center"/>
          </w:tcPr>
          <w:p w14:paraId="20DC16C4">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4573BF1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241EF98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3077FCD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553F0FD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0F5BA516">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其他人员</w:t>
            </w:r>
          </w:p>
        </w:tc>
        <w:tc>
          <w:tcPr>
            <w:tcW w:w="1418" w:type="dxa"/>
            <w:noWrap w:val="0"/>
            <w:vAlign w:val="center"/>
          </w:tcPr>
          <w:p w14:paraId="340B315F">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58B0E3D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63457A8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32FC2DB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6AF1D11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184BE19B">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418" w:type="dxa"/>
            <w:noWrap w:val="0"/>
            <w:vAlign w:val="center"/>
          </w:tcPr>
          <w:p w14:paraId="2F335C61">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686C9DE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08463A6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79BB0FF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3410163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809" w:type="dxa"/>
            <w:gridSpan w:val="5"/>
            <w:noWrap w:val="0"/>
            <w:vAlign w:val="center"/>
          </w:tcPr>
          <w:p w14:paraId="1E24F243">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二、现场人员</w:t>
            </w:r>
          </w:p>
        </w:tc>
      </w:tr>
      <w:tr w14:paraId="51493E2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0677397F">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项目经理</w:t>
            </w:r>
          </w:p>
        </w:tc>
        <w:tc>
          <w:tcPr>
            <w:tcW w:w="1418" w:type="dxa"/>
            <w:noWrap w:val="0"/>
            <w:vAlign w:val="center"/>
          </w:tcPr>
          <w:p w14:paraId="53E75EBD">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01EC5F9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5C07144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223FA87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62ACFE7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088BB2CD">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项目副经理</w:t>
            </w:r>
          </w:p>
        </w:tc>
        <w:tc>
          <w:tcPr>
            <w:tcW w:w="1418" w:type="dxa"/>
            <w:noWrap w:val="0"/>
            <w:vAlign w:val="center"/>
          </w:tcPr>
          <w:p w14:paraId="77202A72">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773F62C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381711B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4DF2E175">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06204F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144B7FDC">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技术负责人</w:t>
            </w:r>
          </w:p>
        </w:tc>
        <w:tc>
          <w:tcPr>
            <w:tcW w:w="1418" w:type="dxa"/>
            <w:noWrap w:val="0"/>
            <w:vAlign w:val="center"/>
          </w:tcPr>
          <w:p w14:paraId="6B5FB25D">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3D5A9F4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22849FE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2DE688A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1A13D9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7D6FFF26">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造价管理</w:t>
            </w:r>
          </w:p>
        </w:tc>
        <w:tc>
          <w:tcPr>
            <w:tcW w:w="1418" w:type="dxa"/>
            <w:noWrap w:val="0"/>
            <w:vAlign w:val="center"/>
          </w:tcPr>
          <w:p w14:paraId="04D18C6B">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52ADDDE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0F6CB00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285C8BC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1F19261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2ECC37E2">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质量管理</w:t>
            </w:r>
          </w:p>
        </w:tc>
        <w:tc>
          <w:tcPr>
            <w:tcW w:w="1418" w:type="dxa"/>
            <w:noWrap w:val="0"/>
            <w:vAlign w:val="center"/>
          </w:tcPr>
          <w:p w14:paraId="190D4D89">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59D2502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5584BA3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6AD4DFE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5A8CEC1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56964A2F">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材料管理</w:t>
            </w:r>
          </w:p>
        </w:tc>
        <w:tc>
          <w:tcPr>
            <w:tcW w:w="1418" w:type="dxa"/>
            <w:noWrap w:val="0"/>
            <w:vAlign w:val="center"/>
          </w:tcPr>
          <w:p w14:paraId="50B3DA35">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3161A0E3">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58CA3D9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2B1C43A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2AFCCFD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7A1B6233">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计划管理</w:t>
            </w:r>
          </w:p>
        </w:tc>
        <w:tc>
          <w:tcPr>
            <w:tcW w:w="1418" w:type="dxa"/>
            <w:noWrap w:val="0"/>
            <w:vAlign w:val="center"/>
          </w:tcPr>
          <w:p w14:paraId="2BC68A68">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5EBF3B5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24527FDA">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78F7589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13FD2C7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0"/>
            <w:vAlign w:val="center"/>
          </w:tcPr>
          <w:p w14:paraId="6AAAF2B3">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安全管理</w:t>
            </w:r>
          </w:p>
        </w:tc>
        <w:tc>
          <w:tcPr>
            <w:tcW w:w="1418" w:type="dxa"/>
            <w:noWrap w:val="0"/>
            <w:vAlign w:val="center"/>
          </w:tcPr>
          <w:p w14:paraId="08FA9D5C">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4D57B869">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028A08C2">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3AE5B32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4CE453A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noWrap w:val="0"/>
            <w:vAlign w:val="center"/>
          </w:tcPr>
          <w:p w14:paraId="2F5034CD">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其他人员</w:t>
            </w:r>
          </w:p>
        </w:tc>
        <w:tc>
          <w:tcPr>
            <w:tcW w:w="1418" w:type="dxa"/>
            <w:noWrap w:val="0"/>
            <w:vAlign w:val="center"/>
          </w:tcPr>
          <w:p w14:paraId="69EF684B">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7E88D0C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1D3450A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7D0E2524">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0898A9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630F9374">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418" w:type="dxa"/>
            <w:noWrap w:val="0"/>
            <w:vAlign w:val="center"/>
          </w:tcPr>
          <w:p w14:paraId="1DDD6DBD">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2FEE40C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67EDB33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46E515A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5F2C932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4FCD267F">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418" w:type="dxa"/>
            <w:noWrap w:val="0"/>
            <w:vAlign w:val="center"/>
          </w:tcPr>
          <w:p w14:paraId="256CD35E">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471E652F">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43D7ECDE">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7B6DDC4C">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16A717C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65673631">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418" w:type="dxa"/>
            <w:noWrap w:val="0"/>
            <w:vAlign w:val="center"/>
          </w:tcPr>
          <w:p w14:paraId="53A6AB8C">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7476ABB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7C29D47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1B173B87">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72B534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188057A2">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418" w:type="dxa"/>
            <w:noWrap w:val="0"/>
            <w:vAlign w:val="center"/>
          </w:tcPr>
          <w:p w14:paraId="1303B13B">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7FB6D296">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71C54B5D">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3C2E818B">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r w14:paraId="1D86B8B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0"/>
            <w:vAlign w:val="center"/>
          </w:tcPr>
          <w:p w14:paraId="70073076">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418" w:type="dxa"/>
            <w:noWrap w:val="0"/>
            <w:vAlign w:val="center"/>
          </w:tcPr>
          <w:p w14:paraId="67401FDF">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p>
        </w:tc>
        <w:tc>
          <w:tcPr>
            <w:tcW w:w="1134" w:type="dxa"/>
            <w:noWrap w:val="0"/>
            <w:vAlign w:val="center"/>
          </w:tcPr>
          <w:p w14:paraId="6F5B9968">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1134" w:type="dxa"/>
            <w:noWrap w:val="0"/>
            <w:vAlign w:val="center"/>
          </w:tcPr>
          <w:p w14:paraId="0C78CC20">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c>
          <w:tcPr>
            <w:tcW w:w="4252" w:type="dxa"/>
            <w:noWrap w:val="0"/>
            <w:vAlign w:val="center"/>
          </w:tcPr>
          <w:p w14:paraId="5EB08791">
            <w:pPr>
              <w:keepNext/>
              <w:widowControl w:val="0"/>
              <w:spacing w:after="0" w:line="440" w:lineRule="exact"/>
              <w:ind w:left="63" w:right="63"/>
              <w:jc w:val="both"/>
              <w:rPr>
                <w:rFonts w:hint="eastAsia" w:ascii="宋体" w:hAnsi="宋体" w:eastAsia="宋体" w:cs="宋体"/>
                <w:color w:val="auto"/>
                <w:sz w:val="30"/>
                <w:szCs w:val="30"/>
                <w:highlight w:val="none"/>
                <w:lang w:val="en-US" w:eastAsia="zh-CN" w:bidi="ar-SA"/>
              </w:rPr>
            </w:pPr>
          </w:p>
        </w:tc>
      </w:tr>
    </w:tbl>
    <w:p w14:paraId="4FA50DB2">
      <w:pPr>
        <w:spacing w:line="44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bookmarkStart w:id="206" w:name="_Toc267261701"/>
      <w:r>
        <w:rPr>
          <w:rFonts w:hint="eastAsia" w:ascii="宋体" w:hAnsi="宋体" w:eastAsia="宋体" w:cs="宋体"/>
          <w:color w:val="auto"/>
          <w:sz w:val="30"/>
          <w:szCs w:val="30"/>
          <w:highlight w:val="none"/>
        </w:rPr>
        <w:t>附</w:t>
      </w:r>
      <w:bookmarkStart w:id="207" w:name="_Toc296346732"/>
      <w:bookmarkStart w:id="208" w:name="_Toc296944570"/>
      <w:bookmarkStart w:id="209" w:name="_Toc296891059"/>
      <w:bookmarkStart w:id="210" w:name="_Toc296347230"/>
      <w:bookmarkStart w:id="211" w:name="_Toc296891271"/>
      <w:bookmarkStart w:id="212" w:name="_Toc296503231"/>
      <w:r>
        <w:rPr>
          <w:rFonts w:hint="eastAsia" w:ascii="宋体" w:hAnsi="宋体" w:eastAsia="宋体" w:cs="宋体"/>
          <w:color w:val="auto"/>
          <w:sz w:val="30"/>
          <w:szCs w:val="30"/>
          <w:highlight w:val="none"/>
        </w:rPr>
        <w:t>件8：</w:t>
      </w:r>
      <w:bookmarkEnd w:id="206"/>
      <w:bookmarkEnd w:id="207"/>
      <w:bookmarkEnd w:id="208"/>
      <w:bookmarkEnd w:id="209"/>
      <w:bookmarkEnd w:id="210"/>
      <w:bookmarkEnd w:id="211"/>
      <w:bookmarkEnd w:id="212"/>
    </w:p>
    <w:p w14:paraId="22610256">
      <w:pPr>
        <w:spacing w:before="120" w:after="120" w:line="44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履约担保</w:t>
      </w:r>
    </w:p>
    <w:p w14:paraId="64C9CD78">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（发包人名称）：</w:t>
      </w:r>
    </w:p>
    <w:p w14:paraId="7D14B90E">
      <w:pPr>
        <w:spacing w:line="440" w:lineRule="exact"/>
        <w:rPr>
          <w:rFonts w:hint="eastAsia" w:ascii="宋体" w:hAnsi="宋体" w:eastAsia="宋体" w:cs="宋体"/>
          <w:color w:val="auto"/>
          <w:sz w:val="24"/>
          <w:szCs w:val="24"/>
          <w:highlight w:val="none"/>
        </w:rPr>
      </w:pPr>
    </w:p>
    <w:p w14:paraId="4F893A2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鉴于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（发包人名称，以下简称“发包人”）与</w:t>
      </w:r>
    </w:p>
    <w:p w14:paraId="1E1032D1">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（承包人名称）（以下称“承包人”）于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p>
    <w:p w14:paraId="250BD11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担保金额人民币（大写）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B6702E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担保有效期自你方与承包人签订的合同生效之日起至你方签发或应签发工程接收证书之日止。</w:t>
      </w:r>
    </w:p>
    <w:p w14:paraId="428DF3E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在本担保有效期内，因承包人违反合同约定的义务给你方造成经济损失时，我方在收到你方以书面形式提出的在担保金额内的赔偿要求后，在7天内无条件支付。</w:t>
      </w:r>
    </w:p>
    <w:p w14:paraId="1961835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你方和承包人按合同约定变更合同时，我方承担本担保规定的义务不变。</w:t>
      </w:r>
    </w:p>
    <w:p w14:paraId="2D2290A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因本保函发生的纠纷，可由双方协商解决，协商不成的，任何一方均可提请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仲裁委员会仲裁。</w:t>
      </w:r>
    </w:p>
    <w:p w14:paraId="5817F88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 本保函自我方法定代表人（或其授权代理人）签字并加盖公章之日起生效。</w:t>
      </w:r>
    </w:p>
    <w:p w14:paraId="663C3C05">
      <w:pPr>
        <w:spacing w:line="360" w:lineRule="auto"/>
        <w:rPr>
          <w:rFonts w:hint="eastAsia" w:ascii="宋体" w:hAnsi="宋体" w:eastAsia="宋体" w:cs="宋体"/>
          <w:color w:val="auto"/>
          <w:sz w:val="24"/>
          <w:szCs w:val="24"/>
          <w:highlight w:val="none"/>
        </w:rPr>
      </w:pPr>
    </w:p>
    <w:p w14:paraId="5554EC8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担 保 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1B1F978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1BB52FF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14DA03A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w:t>
      </w:r>
    </w:p>
    <w:p w14:paraId="418FAC26">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    话：</w:t>
      </w:r>
      <w:r>
        <w:rPr>
          <w:rFonts w:hint="eastAsia" w:ascii="宋体" w:hAnsi="宋体" w:eastAsia="宋体" w:cs="宋体"/>
          <w:color w:val="auto"/>
          <w:sz w:val="24"/>
          <w:szCs w:val="24"/>
          <w:highlight w:val="none"/>
          <w:u w:val="single"/>
        </w:rPr>
        <w:t xml:space="preserve">                                      </w:t>
      </w:r>
    </w:p>
    <w:p w14:paraId="61282C0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p>
    <w:p w14:paraId="4CC0ED46">
      <w:pPr>
        <w:spacing w:line="360" w:lineRule="auto"/>
        <w:jc w:val="left"/>
        <w:rPr>
          <w:rFonts w:hint="eastAsia" w:ascii="宋体" w:hAnsi="宋体" w:eastAsia="宋体" w:cs="宋体"/>
          <w:color w:val="auto"/>
          <w:sz w:val="24"/>
          <w:szCs w:val="24"/>
          <w:highlight w:val="none"/>
          <w:u w:val="single"/>
        </w:rPr>
      </w:pPr>
    </w:p>
    <w:p w14:paraId="14323540">
      <w:pPr>
        <w:spacing w:line="360" w:lineRule="auto"/>
        <w:ind w:left="1899" w:hanging="151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FB907F1">
      <w:pPr>
        <w:spacing w:line="360" w:lineRule="auto"/>
        <w:ind w:left="1899" w:hanging="1899"/>
        <w:rPr>
          <w:rFonts w:hint="eastAsia" w:ascii="宋体" w:hAnsi="宋体" w:eastAsia="宋体" w:cs="宋体"/>
          <w:color w:val="auto"/>
          <w:sz w:val="30"/>
          <w:szCs w:val="30"/>
          <w:highlight w:val="none"/>
        </w:rPr>
      </w:pPr>
    </w:p>
    <w:p w14:paraId="5700E504">
      <w:pPr>
        <w:spacing w:line="360" w:lineRule="auto"/>
        <w:ind w:left="1899" w:hanging="1899"/>
        <w:rPr>
          <w:rFonts w:hint="eastAsia" w:ascii="宋体" w:hAnsi="宋体" w:eastAsia="宋体" w:cs="宋体"/>
          <w:color w:val="auto"/>
          <w:sz w:val="30"/>
          <w:szCs w:val="30"/>
          <w:highlight w:val="none"/>
        </w:rPr>
      </w:pPr>
    </w:p>
    <w:p w14:paraId="3FEF32BA">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附</w:t>
      </w:r>
      <w:bookmarkStart w:id="213" w:name="_Toc296346733"/>
      <w:bookmarkStart w:id="214" w:name="_Toc296503232"/>
      <w:bookmarkStart w:id="215" w:name="_Toc296891272"/>
      <w:bookmarkStart w:id="216" w:name="_Toc296944571"/>
      <w:bookmarkStart w:id="217" w:name="_Toc267261702"/>
      <w:bookmarkStart w:id="218" w:name="_Toc296347231"/>
      <w:bookmarkStart w:id="219" w:name="_Toc296891060"/>
      <w:r>
        <w:rPr>
          <w:rFonts w:hint="eastAsia" w:ascii="宋体" w:hAnsi="宋体" w:eastAsia="宋体" w:cs="宋体"/>
          <w:color w:val="auto"/>
          <w:sz w:val="30"/>
          <w:szCs w:val="30"/>
          <w:highlight w:val="none"/>
        </w:rPr>
        <w:t>件9 ：</w:t>
      </w:r>
      <w:bookmarkEnd w:id="213"/>
      <w:bookmarkEnd w:id="214"/>
      <w:bookmarkEnd w:id="215"/>
      <w:bookmarkEnd w:id="216"/>
      <w:bookmarkEnd w:id="217"/>
      <w:bookmarkEnd w:id="218"/>
      <w:bookmarkEnd w:id="219"/>
    </w:p>
    <w:p w14:paraId="28434AE5">
      <w:pPr>
        <w:spacing w:before="120" w:after="120" w:line="440" w:lineRule="exact"/>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预付款担保</w:t>
      </w:r>
    </w:p>
    <w:p w14:paraId="5EE31D0C">
      <w:pPr>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u w:val="single"/>
        </w:rPr>
        <w:tab/>
      </w:r>
      <w:r>
        <w:rPr>
          <w:rFonts w:hint="eastAsia" w:ascii="宋体" w:hAnsi="宋体" w:eastAsia="宋体" w:cs="宋体"/>
          <w:color w:val="auto"/>
          <w:sz w:val="30"/>
          <w:szCs w:val="30"/>
          <w:highlight w:val="none"/>
          <w:u w:val="single"/>
        </w:rPr>
        <w:tab/>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 xml:space="preserve"> （发包人名称）：</w:t>
      </w:r>
    </w:p>
    <w:p w14:paraId="13FFBBAF">
      <w:pPr>
        <w:spacing w:line="360" w:lineRule="auto"/>
        <w:rPr>
          <w:rFonts w:hint="eastAsia" w:ascii="宋体" w:hAnsi="宋体" w:eastAsia="宋体" w:cs="宋体"/>
          <w:color w:val="auto"/>
          <w:sz w:val="30"/>
          <w:szCs w:val="30"/>
          <w:highlight w:val="none"/>
        </w:rPr>
      </w:pPr>
    </w:p>
    <w:p w14:paraId="2191EB93">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（承包人名称）（以下称“承包人”）与</w:t>
      </w:r>
    </w:p>
    <w:p w14:paraId="5BAEFC90">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（发包人名称）（以下简称“发包人”）</w:t>
      </w:r>
    </w:p>
    <w:p w14:paraId="1B317C2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日签订的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73122C45">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 担保金额人民币（大写）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2540C465">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 担保有效期自预付款支付给承包人起生效，至你方签发的进度款支付证书说明已完全扣清止。</w:t>
      </w:r>
    </w:p>
    <w:p w14:paraId="40F18A20">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2FECF1D2">
      <w:pPr>
        <w:spacing w:line="360" w:lineRule="auto"/>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 你方和承包人按合同约定变更合同时，我方承担本保函规定的义务不变。</w:t>
      </w:r>
    </w:p>
    <w:p w14:paraId="47C12EFB">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 因本保函发生的纠纷，可由双方协商解决，协商不成的，任何一方均可提请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仲裁委员会仲裁。</w:t>
      </w:r>
    </w:p>
    <w:p w14:paraId="5968F423">
      <w:pPr>
        <w:spacing w:line="360" w:lineRule="auto"/>
        <w:ind w:firstLine="42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 本保函自我方法定代表人（或其授权代理人）签字并加盖公章之日起生效。</w:t>
      </w:r>
    </w:p>
    <w:p w14:paraId="61ED1EF5">
      <w:pPr>
        <w:spacing w:line="360" w:lineRule="auto"/>
        <w:rPr>
          <w:rFonts w:hint="eastAsia" w:ascii="宋体" w:hAnsi="宋体" w:eastAsia="宋体" w:cs="宋体"/>
          <w:color w:val="auto"/>
          <w:sz w:val="21"/>
          <w:szCs w:val="21"/>
          <w:highlight w:val="none"/>
        </w:rPr>
      </w:pPr>
    </w:p>
    <w:p w14:paraId="16EF6E1C">
      <w:pPr>
        <w:spacing w:line="360" w:lineRule="auto"/>
        <w:rPr>
          <w:rFonts w:hint="eastAsia" w:ascii="宋体" w:hAnsi="宋体" w:eastAsia="宋体" w:cs="宋体"/>
          <w:color w:val="auto"/>
          <w:sz w:val="21"/>
          <w:szCs w:val="21"/>
          <w:highlight w:val="none"/>
        </w:rPr>
      </w:pPr>
    </w:p>
    <w:p w14:paraId="0529D3DE">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担保人：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（盖单位章）</w:t>
      </w:r>
    </w:p>
    <w:p w14:paraId="0FC00AD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法定代表人或其委托代理人：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（签字）</w:t>
      </w:r>
    </w:p>
    <w:p w14:paraId="2644278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p>
    <w:p w14:paraId="0A8B9448">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邮政编码：</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p>
    <w:p w14:paraId="7896435F">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p>
    <w:p w14:paraId="276ABA5B">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传    真：</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u w:val="single"/>
        </w:rPr>
        <w:tab/>
      </w:r>
    </w:p>
    <w:p w14:paraId="00856FE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265D3235">
      <w:pPr>
        <w:spacing w:line="360" w:lineRule="auto"/>
        <w:rPr>
          <w:rFonts w:hint="eastAsia" w:ascii="宋体" w:hAnsi="宋体" w:eastAsia="宋体" w:cs="宋体"/>
          <w:color w:val="auto"/>
          <w:sz w:val="21"/>
          <w:szCs w:val="21"/>
          <w:highlight w:val="none"/>
          <w:u w:val="single"/>
        </w:rPr>
      </w:pPr>
    </w:p>
    <w:p w14:paraId="6A3EF87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042511CD">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eastAsia" w:ascii="宋体" w:hAnsi="宋体" w:eastAsia="宋体" w:cs="宋体"/>
          <w:b/>
          <w:color w:val="auto"/>
          <w:sz w:val="30"/>
          <w:szCs w:val="30"/>
          <w:highlight w:val="none"/>
        </w:rPr>
        <w:br w:type="page" w:clear="all"/>
      </w:r>
      <w:r>
        <w:rPr>
          <w:rFonts w:hint="eastAsia" w:ascii="宋体" w:hAnsi="宋体" w:eastAsia="宋体" w:cs="宋体"/>
          <w:color w:val="auto"/>
          <w:sz w:val="24"/>
          <w:szCs w:val="24"/>
          <w:highlight w:val="none"/>
        </w:rPr>
        <w:t>附</w:t>
      </w:r>
      <w:bookmarkStart w:id="220" w:name="_Toc296944572"/>
      <w:bookmarkStart w:id="221" w:name="_Toc296347232"/>
      <w:bookmarkStart w:id="222" w:name="_Toc296891273"/>
      <w:bookmarkStart w:id="223" w:name="_Toc296891061"/>
      <w:bookmarkStart w:id="224" w:name="_Toc296503233"/>
      <w:bookmarkStart w:id="225" w:name="_Toc296346734"/>
      <w:r>
        <w:rPr>
          <w:rFonts w:hint="eastAsia" w:ascii="宋体" w:hAnsi="宋体" w:eastAsia="宋体" w:cs="宋体"/>
          <w:color w:val="auto"/>
          <w:sz w:val="24"/>
          <w:szCs w:val="24"/>
          <w:highlight w:val="none"/>
        </w:rPr>
        <w:t xml:space="preserve">件10:  </w:t>
      </w:r>
      <w:bookmarkEnd w:id="220"/>
      <w:bookmarkEnd w:id="221"/>
      <w:bookmarkEnd w:id="222"/>
      <w:bookmarkEnd w:id="223"/>
      <w:bookmarkEnd w:id="224"/>
      <w:bookmarkEnd w:id="225"/>
    </w:p>
    <w:p w14:paraId="532E00B4">
      <w:pPr>
        <w:keepNext w:val="0"/>
        <w:keepLines w:val="0"/>
        <w:pageBreakBefore w:val="0"/>
        <w:widowControl w:val="0"/>
        <w:spacing w:before="120" w:after="120" w:line="4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支付担保</w:t>
      </w:r>
    </w:p>
    <w:p w14:paraId="089B873C">
      <w:pPr>
        <w:keepNext w:val="0"/>
        <w:keepLines w:val="0"/>
        <w:pageBreakBefore w:val="0"/>
        <w:widowControl w:val="0"/>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（承包人）：</w:t>
      </w:r>
    </w:p>
    <w:p w14:paraId="5E87617C">
      <w:pPr>
        <w:keepNext w:val="0"/>
        <w:keepLines w:val="0"/>
        <w:pageBreakBefore w:val="0"/>
        <w:widowControl w:val="0"/>
        <w:spacing w:line="400" w:lineRule="exact"/>
        <w:jc w:val="left"/>
        <w:rPr>
          <w:rFonts w:hint="eastAsia" w:ascii="宋体" w:hAnsi="宋体" w:eastAsia="宋体" w:cs="宋体"/>
          <w:color w:val="auto"/>
          <w:sz w:val="24"/>
          <w:szCs w:val="24"/>
          <w:highlight w:val="none"/>
        </w:rPr>
      </w:pPr>
    </w:p>
    <w:p w14:paraId="0E912677">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鉴于你方作为承包人已经与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（发包人名称）（以下称“发包人”）于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p>
    <w:p w14:paraId="2763688A">
      <w:pPr>
        <w:keepNext w:val="0"/>
        <w:keepLines w:val="0"/>
        <w:pageBreakBefore w:val="0"/>
        <w:widowControl w:val="0"/>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日签订了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（工程名称）《建设工程施工合同》（以下称“主合同”），应发包人的申请，我方愿就发包人履行主合同约定的工程款支付义务以保证的方式向你方提供如下担保：</w:t>
      </w:r>
    </w:p>
    <w:p w14:paraId="354CAE9E">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一、保证的范围及保证金额</w:t>
      </w:r>
    </w:p>
    <w:p w14:paraId="0C5F9740">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我方的保证范围是主合同约定的工程款。</w:t>
      </w:r>
    </w:p>
    <w:p w14:paraId="3731C9CE">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本保函所称主合同约定的工程款是指主合同约定的除工程质量保证金以外的合同价款。</w:t>
      </w:r>
    </w:p>
    <w:p w14:paraId="3CEA4E3D">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我方保证的金额是主合同约定的工程款的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%，数额最高不超过人民币元（大写：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DD0E546">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二、保证的方式及保证期间</w:t>
      </w:r>
    </w:p>
    <w:p w14:paraId="35418027">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我方保证的方式为：连带责任保证。</w:t>
      </w:r>
    </w:p>
    <w:p w14:paraId="31B466C6">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我方保证的期间为：自本合同生效之日起至主合同约定的工程款支付完毕之日后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日内。</w:t>
      </w:r>
    </w:p>
    <w:p w14:paraId="1D5522FC">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你方与发包人协议变更工程款支付日期的，经我方书面同意后，保证期间按照变更后的支付日期做相应调整。</w:t>
      </w:r>
    </w:p>
    <w:p w14:paraId="0B782C80">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三、承担保证责任的形式</w:t>
      </w:r>
    </w:p>
    <w:p w14:paraId="14F2019F">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我方承担保证责任的形式是代为支付。发包人未按主合同约定向你方支付工程款的，由我方在保证金额内代为支付。</w:t>
      </w:r>
    </w:p>
    <w:p w14:paraId="0BED229D">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四、代偿的安排</w:t>
      </w:r>
    </w:p>
    <w:p w14:paraId="7A7064FB">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你方要求我方承担保证责任的，应向我方发出书面索赔通知及发包人未支付主合同约定工程款的证明材料。索赔通知应写明要求索赔的金额，支付款项应到达的账号。</w:t>
      </w:r>
    </w:p>
    <w:p w14:paraId="4FD43F20">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2298A87E">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我方收到你方的书面索赔通知及相应的证明材料后７天内无条件支付。</w:t>
      </w:r>
    </w:p>
    <w:p w14:paraId="3CBA0749">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五、保证责任的解除</w:t>
      </w:r>
    </w:p>
    <w:p w14:paraId="6468AB4D">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在本保函承诺的保证期间内，你方未书面向我方主张保证责任的，自保证期间届满次日起，我方保证责任解除。</w:t>
      </w:r>
    </w:p>
    <w:p w14:paraId="4A9ADA2B">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发包人按主合同约定履行了工程款的全部支付义务的，自本保函承诺的保证期间届满次日起，我方保证责任解除。</w:t>
      </w:r>
    </w:p>
    <w:p w14:paraId="7D9639AF">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我方按照本保函向你方履行保证责任所支付金额达到本保函保证金额时，自我方向你方支付（支付款项从我方账户划出）之日起，保证责任即解除。</w:t>
      </w:r>
    </w:p>
    <w:p w14:paraId="07F6C1DC">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按照法律法规的规定或出现应解除我方保证责任的其他情形的，我方在本保函项下的保证责任亦解除。</w:t>
      </w:r>
    </w:p>
    <w:p w14:paraId="709B0D59">
      <w:pPr>
        <w:keepNext w:val="0"/>
        <w:keepLines w:val="0"/>
        <w:pageBreakBefore w:val="0"/>
        <w:widowControl w:val="0"/>
        <w:spacing w:line="400" w:lineRule="exact"/>
        <w:jc w:val="left"/>
        <w:rPr>
          <w:rFonts w:hint="eastAsia" w:ascii="宋体" w:hAnsi="宋体" w:eastAsia="宋体" w:cs="宋体"/>
          <w:color w:val="auto"/>
          <w:sz w:val="24"/>
          <w:szCs w:val="24"/>
          <w:highlight w:val="none"/>
        </w:rPr>
      </w:pPr>
    </w:p>
    <w:p w14:paraId="77B12DB5">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 我方解除保证责任后，你方应自我方保证责任解除之日起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个工作日内，将本保函原件返还我方。</w:t>
      </w:r>
    </w:p>
    <w:p w14:paraId="3C101D9A">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六、免责条款</w:t>
      </w:r>
    </w:p>
    <w:p w14:paraId="489EB390">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因你方违约致使发包人不能履行义务的，我方不承担保证责任。</w:t>
      </w:r>
    </w:p>
    <w:p w14:paraId="779C8EDC">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依照法律法规的规定或你方与发包人的另行约定，免除发包人部分或全部义务的，我方亦免除其相应的保证责任。</w:t>
      </w:r>
    </w:p>
    <w:p w14:paraId="695829CF">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3A2414F9">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因不可抗力造成发包人不能履行义务的，我方不承担保证责任。</w:t>
      </w:r>
    </w:p>
    <w:p w14:paraId="01C1B7DF">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七、争议解决</w:t>
      </w:r>
    </w:p>
    <w:p w14:paraId="5801CFEF">
      <w:pPr>
        <w:keepNext w:val="0"/>
        <w:keepLines w:val="0"/>
        <w:pageBreakBefore w:val="0"/>
        <w:widowControl w:val="0"/>
        <w:spacing w:after="120"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因本保函或本保函相关事项发生的纠纷，可由双方协商解决，协商不成的，按下列第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种方式解决：</w:t>
      </w:r>
    </w:p>
    <w:p w14:paraId="2591A7C1">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仲裁委员会申请仲裁；</w:t>
      </w:r>
    </w:p>
    <w:p w14:paraId="5B113D27">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人民法院起诉。</w:t>
      </w:r>
    </w:p>
    <w:p w14:paraId="6F8E58FE">
      <w:pPr>
        <w:keepNext w:val="0"/>
        <w:keepLines w:val="0"/>
        <w:pageBreakBefore w:val="0"/>
        <w:widowControl w:val="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八、保函的生效</w:t>
      </w:r>
    </w:p>
    <w:p w14:paraId="029018DA">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本保函自我方法定代表人（或其授权代理人）签字并加盖公章之日起生效。</w:t>
      </w:r>
    </w:p>
    <w:p w14:paraId="4151AEF2">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rPr>
      </w:pPr>
    </w:p>
    <w:p w14:paraId="5FD614A8">
      <w:pPr>
        <w:keepNext w:val="0"/>
        <w:keepLines w:val="0"/>
        <w:pageBreakBefore w:val="0"/>
        <w:widowControl w:val="0"/>
        <w:spacing w:line="400" w:lineRule="exact"/>
        <w:ind w:right="600"/>
        <w:jc w:val="left"/>
        <w:rPr>
          <w:rFonts w:hint="eastAsia" w:ascii="宋体" w:hAnsi="宋体" w:eastAsia="宋体" w:cs="宋体"/>
          <w:color w:val="auto"/>
          <w:sz w:val="24"/>
          <w:szCs w:val="24"/>
          <w:highlight w:val="none"/>
        </w:rPr>
      </w:pPr>
    </w:p>
    <w:p w14:paraId="37B3B15A">
      <w:pPr>
        <w:keepNext w:val="0"/>
        <w:keepLines w:val="0"/>
        <w:pageBreakBefore w:val="0"/>
        <w:widowControl w:val="0"/>
        <w:spacing w:line="400" w:lineRule="exact"/>
        <w:ind w:right="6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担保人：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（盖章）</w:t>
      </w:r>
    </w:p>
    <w:p w14:paraId="79EA9E0A">
      <w:pPr>
        <w:keepNext w:val="0"/>
        <w:keepLines w:val="0"/>
        <w:pageBreakBefore w:val="0"/>
        <w:widowControl w:val="0"/>
        <w:spacing w:line="400" w:lineRule="exact"/>
        <w:ind w:right="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5BFB9A87">
      <w:pPr>
        <w:keepNext w:val="0"/>
        <w:keepLines w:val="0"/>
        <w:pageBreakBefore w:val="0"/>
        <w:widowControl w:val="0"/>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3248C977">
      <w:pPr>
        <w:keepNext w:val="0"/>
        <w:keepLines w:val="0"/>
        <w:pageBreakBefore w:val="0"/>
        <w:widowControl w:val="0"/>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r>
        <w:rPr>
          <w:rFonts w:hint="eastAsia" w:ascii="宋体" w:hAnsi="宋体" w:eastAsia="宋体" w:cs="宋体"/>
          <w:color w:val="auto"/>
          <w:sz w:val="24"/>
          <w:szCs w:val="24"/>
          <w:highlight w:val="none"/>
          <w:u w:val="single"/>
        </w:rPr>
        <w:t xml:space="preserve">                                        </w:t>
      </w:r>
    </w:p>
    <w:p w14:paraId="7AE74BDA">
      <w:pPr>
        <w:keepNext w:val="0"/>
        <w:keepLines w:val="0"/>
        <w:pageBreakBefore w:val="0"/>
        <w:widowControl w:val="0"/>
        <w:spacing w:line="40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    真：</w:t>
      </w:r>
      <w:r>
        <w:rPr>
          <w:rFonts w:hint="eastAsia" w:ascii="宋体" w:hAnsi="宋体" w:eastAsia="宋体" w:cs="宋体"/>
          <w:color w:val="auto"/>
          <w:sz w:val="24"/>
          <w:szCs w:val="24"/>
          <w:highlight w:val="none"/>
          <w:u w:val="single"/>
        </w:rPr>
        <w:t xml:space="preserve">                                        </w:t>
      </w:r>
    </w:p>
    <w:p w14:paraId="321DDEEC">
      <w:pPr>
        <w:keepNext w:val="0"/>
        <w:keepLines w:val="0"/>
        <w:pageBreakBefore w:val="0"/>
        <w:widowControl w:val="0"/>
        <w:spacing w:line="400" w:lineRule="exact"/>
        <w:ind w:right="150" w:firstLine="480"/>
        <w:jc w:val="left"/>
        <w:rPr>
          <w:rFonts w:hint="eastAsia" w:ascii="宋体" w:hAnsi="宋体" w:eastAsia="宋体" w:cs="宋体"/>
          <w:color w:val="auto"/>
          <w:sz w:val="24"/>
          <w:szCs w:val="24"/>
          <w:highlight w:val="none"/>
          <w:u w:val="single"/>
        </w:rPr>
      </w:pPr>
    </w:p>
    <w:p w14:paraId="00B6E17C">
      <w:pPr>
        <w:keepNext w:val="0"/>
        <w:keepLines w:val="0"/>
        <w:pageBreakBefore w:val="0"/>
        <w:widowControl w:val="0"/>
        <w:spacing w:line="400" w:lineRule="exact"/>
        <w:ind w:right="15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F376AFD">
      <w:pPr>
        <w:spacing w:line="440" w:lineRule="exact"/>
        <w:rPr>
          <w:rFonts w:ascii="Times New Roman" w:hAnsi="Times New Roman" w:eastAsia="黑体" w:cs="Times New Roman"/>
          <w:color w:val="auto"/>
          <w:sz w:val="30"/>
          <w:szCs w:val="30"/>
          <w:highlight w:val="none"/>
        </w:rPr>
      </w:pPr>
      <w:r>
        <w:rPr>
          <w:rFonts w:hint="eastAsia" w:ascii="宋体" w:hAnsi="宋体" w:eastAsia="宋体" w:cs="宋体"/>
          <w:color w:val="auto"/>
          <w:sz w:val="30"/>
          <w:szCs w:val="30"/>
          <w:highlight w:val="none"/>
        </w:rPr>
        <w:br w:type="page" w:clear="all"/>
      </w:r>
      <w:r>
        <w:rPr>
          <w:rFonts w:ascii="Times New Roman" w:hAnsi="Times New Roman" w:eastAsia="仿宋_GB2312" w:cs="Times New Roman"/>
          <w:color w:val="auto"/>
          <w:sz w:val="30"/>
          <w:szCs w:val="30"/>
          <w:highlight w:val="none"/>
        </w:rPr>
        <w:t>附件11：</w:t>
      </w:r>
    </w:p>
    <w:p w14:paraId="42542303">
      <w:pPr>
        <w:rPr>
          <w:rFonts w:ascii="Times New Roman" w:hAnsi="Times New Roman" w:eastAsia="宋体" w:cs="Times New Roman"/>
          <w:color w:val="auto"/>
          <w:sz w:val="24"/>
          <w:highlight w:val="none"/>
        </w:rPr>
      </w:pPr>
      <w:r>
        <w:rPr>
          <w:rFonts w:ascii="Times New Roman" w:hAnsi="Times New Roman" w:eastAsia="宋体" w:cs="Times New Roman"/>
          <w:color w:val="auto"/>
          <w:sz w:val="24"/>
          <w:highlight w:val="none"/>
        </w:rPr>
        <w:t>11-1：材料暂估价表</w:t>
      </w: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C2052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single" w:color="auto" w:sz="6" w:space="0"/>
            </w:tcBorders>
            <w:noWrap w:val="0"/>
            <w:vAlign w:val="top"/>
          </w:tcPr>
          <w:p w14:paraId="65E4600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序号</w:t>
            </w:r>
          </w:p>
        </w:tc>
        <w:tc>
          <w:tcPr>
            <w:tcW w:w="1984" w:type="dxa"/>
            <w:tcBorders>
              <w:top w:val="single" w:color="auto" w:sz="12" w:space="0"/>
              <w:bottom w:val="single" w:color="auto" w:sz="6" w:space="0"/>
            </w:tcBorders>
            <w:noWrap w:val="0"/>
            <w:vAlign w:val="top"/>
          </w:tcPr>
          <w:p w14:paraId="3433E66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名称</w:t>
            </w:r>
          </w:p>
        </w:tc>
        <w:tc>
          <w:tcPr>
            <w:tcW w:w="851" w:type="dxa"/>
            <w:tcBorders>
              <w:top w:val="single" w:color="auto" w:sz="12" w:space="0"/>
              <w:bottom w:val="single" w:color="auto" w:sz="6" w:space="0"/>
            </w:tcBorders>
            <w:noWrap w:val="0"/>
            <w:vAlign w:val="top"/>
          </w:tcPr>
          <w:p w14:paraId="770BB93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单位</w:t>
            </w:r>
          </w:p>
        </w:tc>
        <w:tc>
          <w:tcPr>
            <w:tcW w:w="774" w:type="dxa"/>
            <w:tcBorders>
              <w:top w:val="single" w:color="auto" w:sz="12" w:space="0"/>
              <w:bottom w:val="single" w:color="auto" w:sz="6" w:space="0"/>
            </w:tcBorders>
            <w:noWrap w:val="0"/>
            <w:vAlign w:val="top"/>
          </w:tcPr>
          <w:p w14:paraId="5FBAF1C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数量</w:t>
            </w:r>
          </w:p>
        </w:tc>
        <w:tc>
          <w:tcPr>
            <w:tcW w:w="1352" w:type="dxa"/>
            <w:tcBorders>
              <w:top w:val="single" w:color="auto" w:sz="12" w:space="0"/>
              <w:bottom w:val="single" w:color="auto" w:sz="6" w:space="0"/>
            </w:tcBorders>
            <w:noWrap w:val="0"/>
            <w:vAlign w:val="top"/>
          </w:tcPr>
          <w:p w14:paraId="68F5136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单价</w:t>
            </w:r>
            <w:r>
              <w:rPr>
                <w:rFonts w:hint="eastAsia" w:ascii="Times New Roman" w:hAnsi="Times New Roman" w:eastAsia="仿宋_GB2312" w:cs="Times New Roman"/>
                <w:color w:val="auto"/>
                <w:sz w:val="28"/>
                <w:szCs w:val="30"/>
                <w:highlight w:val="none"/>
                <w:lang w:val="en-US" w:eastAsia="zh-CN" w:bidi="ar-SA"/>
              </w:rPr>
              <w:t>（元）</w:t>
            </w:r>
          </w:p>
        </w:tc>
        <w:tc>
          <w:tcPr>
            <w:tcW w:w="1418" w:type="dxa"/>
            <w:tcBorders>
              <w:top w:val="single" w:color="auto" w:sz="12" w:space="0"/>
              <w:bottom w:val="single" w:color="auto" w:sz="6" w:space="0"/>
            </w:tcBorders>
            <w:noWrap w:val="0"/>
            <w:vAlign w:val="top"/>
          </w:tcPr>
          <w:p w14:paraId="659A70A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合价</w:t>
            </w:r>
            <w:r>
              <w:rPr>
                <w:rFonts w:hint="eastAsia" w:ascii="Times New Roman" w:hAnsi="Times New Roman" w:eastAsia="仿宋_GB2312" w:cs="Times New Roman"/>
                <w:color w:val="auto"/>
                <w:sz w:val="28"/>
                <w:szCs w:val="30"/>
                <w:highlight w:val="none"/>
                <w:lang w:val="en-US" w:eastAsia="zh-CN" w:bidi="ar-SA"/>
              </w:rPr>
              <w:t>（元）</w:t>
            </w:r>
          </w:p>
        </w:tc>
        <w:tc>
          <w:tcPr>
            <w:tcW w:w="1701" w:type="dxa"/>
            <w:tcBorders>
              <w:top w:val="single" w:color="auto" w:sz="12" w:space="0"/>
              <w:bottom w:val="single" w:color="auto" w:sz="6" w:space="0"/>
            </w:tcBorders>
            <w:noWrap w:val="0"/>
            <w:vAlign w:val="top"/>
          </w:tcPr>
          <w:p w14:paraId="7E83A3F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备注</w:t>
            </w:r>
          </w:p>
        </w:tc>
      </w:tr>
      <w:tr w14:paraId="0D29E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6" w:space="0"/>
              <w:bottom w:val="single" w:color="auto" w:sz="6" w:space="0"/>
            </w:tcBorders>
            <w:noWrap w:val="0"/>
            <w:vAlign w:val="top"/>
          </w:tcPr>
          <w:p w14:paraId="136B902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tcBorders>
              <w:top w:val="single" w:color="auto" w:sz="6" w:space="0"/>
              <w:bottom w:val="single" w:color="auto" w:sz="6" w:space="0"/>
            </w:tcBorders>
            <w:noWrap w:val="0"/>
            <w:vAlign w:val="top"/>
          </w:tcPr>
          <w:p w14:paraId="22B4A7D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tcBorders>
              <w:top w:val="single" w:color="auto" w:sz="6" w:space="0"/>
              <w:bottom w:val="single" w:color="auto" w:sz="6" w:space="0"/>
            </w:tcBorders>
            <w:noWrap w:val="0"/>
            <w:vAlign w:val="top"/>
          </w:tcPr>
          <w:p w14:paraId="63DF0C0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tcBorders>
              <w:top w:val="single" w:color="auto" w:sz="6" w:space="0"/>
              <w:bottom w:val="single" w:color="auto" w:sz="6" w:space="0"/>
            </w:tcBorders>
            <w:noWrap w:val="0"/>
            <w:vAlign w:val="top"/>
          </w:tcPr>
          <w:p w14:paraId="02A0533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tcBorders>
              <w:top w:val="single" w:color="auto" w:sz="6" w:space="0"/>
              <w:bottom w:val="single" w:color="auto" w:sz="6" w:space="0"/>
            </w:tcBorders>
            <w:noWrap w:val="0"/>
            <w:vAlign w:val="top"/>
          </w:tcPr>
          <w:p w14:paraId="54C7436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tcBorders>
              <w:top w:val="single" w:color="auto" w:sz="6" w:space="0"/>
              <w:bottom w:val="single" w:color="auto" w:sz="6" w:space="0"/>
            </w:tcBorders>
            <w:noWrap w:val="0"/>
            <w:vAlign w:val="top"/>
          </w:tcPr>
          <w:p w14:paraId="0BC50FC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tcBorders>
              <w:top w:val="single" w:color="auto" w:sz="6" w:space="0"/>
              <w:bottom w:val="single" w:color="auto" w:sz="6" w:space="0"/>
            </w:tcBorders>
            <w:noWrap w:val="0"/>
            <w:vAlign w:val="top"/>
          </w:tcPr>
          <w:p w14:paraId="0B80B63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7385B9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nil"/>
            </w:tcBorders>
            <w:noWrap w:val="0"/>
            <w:vAlign w:val="top"/>
          </w:tcPr>
          <w:p w14:paraId="0641633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tcBorders>
              <w:top w:val="nil"/>
            </w:tcBorders>
            <w:noWrap w:val="0"/>
            <w:vAlign w:val="top"/>
          </w:tcPr>
          <w:p w14:paraId="0BA2F2A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tcBorders>
              <w:top w:val="nil"/>
            </w:tcBorders>
            <w:noWrap w:val="0"/>
            <w:vAlign w:val="top"/>
          </w:tcPr>
          <w:p w14:paraId="2B38BB9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tcBorders>
              <w:top w:val="nil"/>
            </w:tcBorders>
            <w:noWrap w:val="0"/>
            <w:vAlign w:val="top"/>
          </w:tcPr>
          <w:p w14:paraId="15D1DCC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tcBorders>
              <w:top w:val="nil"/>
            </w:tcBorders>
            <w:noWrap w:val="0"/>
            <w:vAlign w:val="top"/>
          </w:tcPr>
          <w:p w14:paraId="12F6898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tcBorders>
              <w:top w:val="nil"/>
            </w:tcBorders>
            <w:noWrap w:val="0"/>
            <w:vAlign w:val="top"/>
          </w:tcPr>
          <w:p w14:paraId="64703A3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tcBorders>
              <w:top w:val="nil"/>
            </w:tcBorders>
            <w:noWrap w:val="0"/>
            <w:vAlign w:val="top"/>
          </w:tcPr>
          <w:p w14:paraId="48428D9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032094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2CC3FB0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2E7A704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152A465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4A3BC09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2F54F4D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6FAB9E9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6299304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185CAF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13C5AA7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3AEFABF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445104D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36FAD64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6114B18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0A62792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7936EB7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06ADD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1F1EAA4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2D2321D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1E0D6FE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33A40D6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6920185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0D86F3C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7591067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794236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19E9410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19A2E32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44647ED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782698A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6733B37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02F7A85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6006199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5665A8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07BFE76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4BAAEA5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7F355E8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1EB216B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609C2DA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0B45B53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5D8C8D3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7E5DB3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3013F17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7672B31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0B4A316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1F910EF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3F3F8C9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68D9736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26AB23D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10784C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64F1C7F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113A05A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0BC9FB0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2CE56CF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130F169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1086D67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5ED16DC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0BF0D4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5476FE4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3ECD36B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532FC18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4A31790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6EC85A9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7D22805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74EBA1B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467C0E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3830DC8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5ECB8D9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11DC723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14649AC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77C175F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3CADA73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435FAF8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7AFF30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1C3EC39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4F488D7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71E1D65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572AEB5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416C910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1407442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07A2F90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79C6DE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3C2BF9C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1154CB3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04CDD2B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4F0C188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74A2CC7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0850CA3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0AE809F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0B9D82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1AE84FA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1CD4A98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7FA2411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01CEBBA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173C98D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742B792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4A0814E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4B526A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5F7AA16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7995962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773AC5C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4A8524A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01A84AC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69DA040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6C906E3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04D088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365EB2A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0C73A58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60ACA78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6FC4E3E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73E6B9A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72F9316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5C7D2D7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43D46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44645A9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0D2B0D9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00C350C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2EA806E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20976B1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231F2FE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02280D9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5EEB8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6F48504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4FCA3CC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57ADD67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7B7D65D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173CA57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530B359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2A326E3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4EC6A8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13CD7D3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55A6FA1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2E872B5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7FC8B64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41EFF7D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40F7EE2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6486BFE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4A2342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2FA9DD2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191E9BA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37E33BF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44FC296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133F07A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3398975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3C86C42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03D2A1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33B4A24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3C60D4C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277DD61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4951046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180F8FD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42CA572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7AC40D8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595236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71F29A7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5154EFA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7AFB110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729C379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5D2F97D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275A98A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2441E92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3F195E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6F8D53A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68F6DCA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58E783F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1726D02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6D518BF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1976A2A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6E646E3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64EFAB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6D045C0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2701B92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089AAF8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6782325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1870862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30E7978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2A949D1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5F4821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0F1B7B0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5EB0937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1AEFD72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5AFCDC0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6463E1A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0C31010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2146EC0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bl>
    <w:p w14:paraId="5BE9F964">
      <w:pPr>
        <w:spacing w:before="120" w:after="120" w:line="440" w:lineRule="exact"/>
        <w:rPr>
          <w:rFonts w:ascii="Times New Roman" w:hAnsi="Times New Roman" w:eastAsia="黑体" w:cs="Times New Roman"/>
          <w:color w:val="auto"/>
          <w:sz w:val="30"/>
          <w:szCs w:val="30"/>
          <w:highlight w:val="none"/>
        </w:rPr>
      </w:pPr>
    </w:p>
    <w:p w14:paraId="6DC14032">
      <w:pPr>
        <w:spacing w:before="120" w:after="120" w:line="440" w:lineRule="exact"/>
        <w:jc w:val="center"/>
        <w:rPr>
          <w:rFonts w:ascii="Times New Roman" w:hAnsi="Times New Roman" w:eastAsia="黑体" w:cs="Times New Roman"/>
          <w:color w:val="auto"/>
          <w:sz w:val="30"/>
          <w:szCs w:val="30"/>
          <w:highlight w:val="none"/>
        </w:rPr>
      </w:pPr>
      <w:r>
        <w:rPr>
          <w:rFonts w:ascii="Times New Roman" w:hAnsi="Times New Roman" w:eastAsia="黑体" w:cs="Times New Roman"/>
          <w:color w:val="auto"/>
          <w:sz w:val="30"/>
          <w:szCs w:val="30"/>
          <w:highlight w:val="none"/>
        </w:rPr>
        <w:t>11-2：工程设备暂估价表</w:t>
      </w:r>
    </w:p>
    <w:tbl>
      <w:tblPr>
        <w:tblStyle w:val="4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613801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12" w:space="0"/>
              <w:bottom w:val="single" w:color="auto" w:sz="6" w:space="0"/>
            </w:tcBorders>
            <w:noWrap w:val="0"/>
            <w:vAlign w:val="top"/>
          </w:tcPr>
          <w:p w14:paraId="62DFB61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序号</w:t>
            </w:r>
          </w:p>
        </w:tc>
        <w:tc>
          <w:tcPr>
            <w:tcW w:w="1984" w:type="dxa"/>
            <w:tcBorders>
              <w:top w:val="single" w:color="auto" w:sz="12" w:space="0"/>
              <w:bottom w:val="single" w:color="auto" w:sz="6" w:space="0"/>
            </w:tcBorders>
            <w:noWrap w:val="0"/>
            <w:vAlign w:val="top"/>
          </w:tcPr>
          <w:p w14:paraId="6750B28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名称</w:t>
            </w:r>
          </w:p>
        </w:tc>
        <w:tc>
          <w:tcPr>
            <w:tcW w:w="851" w:type="dxa"/>
            <w:tcBorders>
              <w:top w:val="single" w:color="auto" w:sz="12" w:space="0"/>
              <w:bottom w:val="single" w:color="auto" w:sz="6" w:space="0"/>
            </w:tcBorders>
            <w:noWrap w:val="0"/>
            <w:vAlign w:val="top"/>
          </w:tcPr>
          <w:p w14:paraId="277B7E3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单位</w:t>
            </w:r>
          </w:p>
        </w:tc>
        <w:tc>
          <w:tcPr>
            <w:tcW w:w="774" w:type="dxa"/>
            <w:tcBorders>
              <w:top w:val="single" w:color="auto" w:sz="12" w:space="0"/>
              <w:bottom w:val="single" w:color="auto" w:sz="6" w:space="0"/>
            </w:tcBorders>
            <w:noWrap w:val="0"/>
            <w:vAlign w:val="top"/>
          </w:tcPr>
          <w:p w14:paraId="6B3B836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数量</w:t>
            </w:r>
          </w:p>
        </w:tc>
        <w:tc>
          <w:tcPr>
            <w:tcW w:w="1352" w:type="dxa"/>
            <w:tcBorders>
              <w:top w:val="single" w:color="auto" w:sz="12" w:space="0"/>
              <w:bottom w:val="single" w:color="auto" w:sz="6" w:space="0"/>
            </w:tcBorders>
            <w:noWrap w:val="0"/>
            <w:vAlign w:val="top"/>
          </w:tcPr>
          <w:p w14:paraId="4260AB9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单价</w:t>
            </w:r>
            <w:r>
              <w:rPr>
                <w:rFonts w:hint="eastAsia" w:ascii="Times New Roman" w:hAnsi="Times New Roman" w:eastAsia="仿宋_GB2312" w:cs="Times New Roman"/>
                <w:color w:val="auto"/>
                <w:sz w:val="28"/>
                <w:szCs w:val="30"/>
                <w:highlight w:val="none"/>
                <w:lang w:val="en-US" w:eastAsia="zh-CN" w:bidi="ar-SA"/>
              </w:rPr>
              <w:t>（元）</w:t>
            </w:r>
          </w:p>
        </w:tc>
        <w:tc>
          <w:tcPr>
            <w:tcW w:w="1418" w:type="dxa"/>
            <w:tcBorders>
              <w:top w:val="single" w:color="auto" w:sz="12" w:space="0"/>
              <w:bottom w:val="single" w:color="auto" w:sz="6" w:space="0"/>
            </w:tcBorders>
            <w:noWrap w:val="0"/>
            <w:vAlign w:val="top"/>
          </w:tcPr>
          <w:p w14:paraId="0104CFC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合价</w:t>
            </w:r>
            <w:r>
              <w:rPr>
                <w:rFonts w:hint="eastAsia" w:ascii="Times New Roman" w:hAnsi="Times New Roman" w:eastAsia="仿宋_GB2312" w:cs="Times New Roman"/>
                <w:color w:val="auto"/>
                <w:sz w:val="28"/>
                <w:szCs w:val="30"/>
                <w:highlight w:val="none"/>
                <w:lang w:val="en-US" w:eastAsia="zh-CN" w:bidi="ar-SA"/>
              </w:rPr>
              <w:t>（元）</w:t>
            </w:r>
          </w:p>
        </w:tc>
        <w:tc>
          <w:tcPr>
            <w:tcW w:w="1701" w:type="dxa"/>
            <w:tcBorders>
              <w:top w:val="single" w:color="auto" w:sz="12" w:space="0"/>
              <w:bottom w:val="single" w:color="auto" w:sz="6" w:space="0"/>
            </w:tcBorders>
            <w:noWrap w:val="0"/>
            <w:vAlign w:val="top"/>
          </w:tcPr>
          <w:p w14:paraId="661DEBC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r>
              <w:rPr>
                <w:rFonts w:hint="default" w:ascii="Times New Roman" w:hAnsi="Times New Roman" w:eastAsia="仿宋_GB2312" w:cs="Times New Roman"/>
                <w:color w:val="auto"/>
                <w:sz w:val="28"/>
                <w:szCs w:val="30"/>
                <w:highlight w:val="none"/>
                <w:lang w:val="en-US" w:eastAsia="zh-CN" w:bidi="ar-SA"/>
              </w:rPr>
              <w:t>备注</w:t>
            </w:r>
          </w:p>
        </w:tc>
      </w:tr>
      <w:tr w14:paraId="58EB53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6" w:space="0"/>
              <w:bottom w:val="single" w:color="auto" w:sz="6" w:space="0"/>
            </w:tcBorders>
            <w:noWrap w:val="0"/>
            <w:vAlign w:val="top"/>
          </w:tcPr>
          <w:p w14:paraId="4F3D05F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tcBorders>
              <w:top w:val="single" w:color="auto" w:sz="6" w:space="0"/>
              <w:bottom w:val="single" w:color="auto" w:sz="6" w:space="0"/>
            </w:tcBorders>
            <w:noWrap w:val="0"/>
            <w:vAlign w:val="top"/>
          </w:tcPr>
          <w:p w14:paraId="47ECEA1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tcBorders>
              <w:top w:val="single" w:color="auto" w:sz="6" w:space="0"/>
              <w:bottom w:val="single" w:color="auto" w:sz="6" w:space="0"/>
            </w:tcBorders>
            <w:noWrap w:val="0"/>
            <w:vAlign w:val="top"/>
          </w:tcPr>
          <w:p w14:paraId="7EE7C6A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tcBorders>
              <w:top w:val="single" w:color="auto" w:sz="6" w:space="0"/>
              <w:bottom w:val="single" w:color="auto" w:sz="6" w:space="0"/>
            </w:tcBorders>
            <w:noWrap w:val="0"/>
            <w:vAlign w:val="top"/>
          </w:tcPr>
          <w:p w14:paraId="57494EC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tcBorders>
              <w:top w:val="single" w:color="auto" w:sz="6" w:space="0"/>
              <w:bottom w:val="single" w:color="auto" w:sz="6" w:space="0"/>
            </w:tcBorders>
            <w:noWrap w:val="0"/>
            <w:vAlign w:val="top"/>
          </w:tcPr>
          <w:p w14:paraId="327CFC3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tcBorders>
              <w:top w:val="single" w:color="auto" w:sz="6" w:space="0"/>
              <w:bottom w:val="single" w:color="auto" w:sz="6" w:space="0"/>
            </w:tcBorders>
            <w:noWrap w:val="0"/>
            <w:vAlign w:val="top"/>
          </w:tcPr>
          <w:p w14:paraId="717CE9B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tcBorders>
              <w:top w:val="single" w:color="auto" w:sz="6" w:space="0"/>
              <w:bottom w:val="single" w:color="auto" w:sz="6" w:space="0"/>
            </w:tcBorders>
            <w:noWrap w:val="0"/>
            <w:vAlign w:val="top"/>
          </w:tcPr>
          <w:p w14:paraId="5B85E81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0311A3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nil"/>
            </w:tcBorders>
            <w:noWrap w:val="0"/>
            <w:vAlign w:val="top"/>
          </w:tcPr>
          <w:p w14:paraId="73F27C2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tcBorders>
              <w:top w:val="nil"/>
            </w:tcBorders>
            <w:noWrap w:val="0"/>
            <w:vAlign w:val="top"/>
          </w:tcPr>
          <w:p w14:paraId="3AFB78C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tcBorders>
              <w:top w:val="nil"/>
            </w:tcBorders>
            <w:noWrap w:val="0"/>
            <w:vAlign w:val="top"/>
          </w:tcPr>
          <w:p w14:paraId="28413F1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tcBorders>
              <w:top w:val="nil"/>
            </w:tcBorders>
            <w:noWrap w:val="0"/>
            <w:vAlign w:val="top"/>
          </w:tcPr>
          <w:p w14:paraId="37E37FA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tcBorders>
              <w:top w:val="nil"/>
            </w:tcBorders>
            <w:noWrap w:val="0"/>
            <w:vAlign w:val="top"/>
          </w:tcPr>
          <w:p w14:paraId="6F93D07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tcBorders>
              <w:top w:val="nil"/>
            </w:tcBorders>
            <w:noWrap w:val="0"/>
            <w:vAlign w:val="top"/>
          </w:tcPr>
          <w:p w14:paraId="3FD71E8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tcBorders>
              <w:top w:val="nil"/>
            </w:tcBorders>
            <w:noWrap w:val="0"/>
            <w:vAlign w:val="top"/>
          </w:tcPr>
          <w:p w14:paraId="3F2F3BD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41E90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5E87F2A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12F327F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0A97E94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48AE788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778714C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4B6BB5C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1F4D507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1778F9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6FE68E5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2914B0D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52F5D27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0BE81AD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378EF28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1C35257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08D6DF2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111641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08EE256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108C1D5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69D5182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644173B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609C472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63C6B7F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1E35A4C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5E6D04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60F22AF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5457C45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7AEECB4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20C7390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5AB546C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7BC7827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6BE40A0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6602F2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24A7A6D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7BE8950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439DD76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7A43718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3852AF9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5935346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30894B3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1B1FE2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1FB44FE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0DC9D2D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1B452F2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7717A5D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64F3FE5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6161CF2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6041491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094188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3658720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01C25A3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31E589D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00E99D9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545D355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0B8C00A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5804B27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4BBF57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5A17450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0664755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116FFAD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4B5B27D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04CC4D5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1089408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230752A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100C08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0BB1937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3874D3E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1CA092E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20F3A14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34A73EA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1DCC283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43C4172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1E93DB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7D0D589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2665EAF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2E10C44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7AA89C4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6DB0640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2EE4F6A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4BA953E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018B65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7E4BCC2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65DEBA9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18DDDE2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14F83F8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325EFD0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28BC1E9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2D7FBCC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514C81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076166A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57EF157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77B617A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0C223EE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5B216B9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5AF684B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5B05D6F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1ECCCA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79F1D10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5EF1238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5BDC9DD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06AC49F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1C652E5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1267D51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1EC9672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69CD20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5C87ED4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329C2AA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7E40A03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6432F94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1111116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4D6D52F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3DB9650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4EFDC3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32BDA63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351E317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410B1D9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3DF6CC1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44817DB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26D27C5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518D82F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7AAACD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18F0BA7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6A5857F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3EF1710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381DF31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763DC81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5776C48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189A69BF">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1FA7E8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356BA5A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37D84C9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1273D4F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3E8CCE5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73BFF0A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3AE2CCC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3FFAB965">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2CBBC4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09050F0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0AA29E2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2BC02B7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17B9211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437C1E2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6FE78B2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061E5C6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576FEC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2A99EB1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66B5F7B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4A35ED7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5D686C31">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791D7CF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31E3139D">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5C8064E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4DA56E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554BA5E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05B513C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3BD4A74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21B4E82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6ED7F08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74CE5A7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6BB72183">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54ED8C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5D052302">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3AF4D9D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238C5167">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465405D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3399177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458FC21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6D371B1E">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50E36A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441AF459">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141BFC5A">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43AC4A24">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1E5BF70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53512AF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1FA8986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378E90F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r w14:paraId="09938D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3A0A5A6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984" w:type="dxa"/>
            <w:noWrap w:val="0"/>
            <w:vAlign w:val="top"/>
          </w:tcPr>
          <w:p w14:paraId="6EAA89F8">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851" w:type="dxa"/>
            <w:noWrap w:val="0"/>
            <w:vAlign w:val="top"/>
          </w:tcPr>
          <w:p w14:paraId="1B15888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774" w:type="dxa"/>
            <w:noWrap w:val="0"/>
            <w:vAlign w:val="top"/>
          </w:tcPr>
          <w:p w14:paraId="24F8A90C">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352" w:type="dxa"/>
            <w:noWrap w:val="0"/>
            <w:vAlign w:val="top"/>
          </w:tcPr>
          <w:p w14:paraId="361BF570">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418" w:type="dxa"/>
            <w:noWrap w:val="0"/>
            <w:vAlign w:val="top"/>
          </w:tcPr>
          <w:p w14:paraId="10EC4F7B">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c>
          <w:tcPr>
            <w:tcW w:w="1701" w:type="dxa"/>
            <w:noWrap w:val="0"/>
            <w:vAlign w:val="top"/>
          </w:tcPr>
          <w:p w14:paraId="0E8D6456">
            <w:pPr>
              <w:keepNext/>
              <w:widowControl w:val="0"/>
              <w:spacing w:after="0" w:line="440" w:lineRule="exact"/>
              <w:ind w:left="63" w:right="63"/>
              <w:jc w:val="both"/>
              <w:rPr>
                <w:rFonts w:hint="default" w:ascii="Times New Roman" w:hAnsi="Times New Roman" w:eastAsia="仿宋_GB2312" w:cs="Times New Roman"/>
                <w:color w:val="auto"/>
                <w:sz w:val="28"/>
                <w:szCs w:val="30"/>
                <w:highlight w:val="none"/>
                <w:lang w:val="en-US" w:eastAsia="zh-CN" w:bidi="ar-SA"/>
              </w:rPr>
            </w:pPr>
          </w:p>
        </w:tc>
      </w:tr>
    </w:tbl>
    <w:p w14:paraId="581F4CDB">
      <w:pPr>
        <w:spacing w:line="440" w:lineRule="exact"/>
        <w:rPr>
          <w:rFonts w:hint="eastAsia" w:ascii="宋体" w:hAnsi="宋体" w:eastAsia="宋体" w:cs="宋体"/>
          <w:color w:val="auto"/>
          <w:sz w:val="30"/>
          <w:szCs w:val="30"/>
          <w:highlight w:val="none"/>
        </w:rPr>
      </w:pPr>
    </w:p>
    <w:p w14:paraId="71C1EA09">
      <w:pPr>
        <w:spacing w:before="120" w:after="120" w:line="440" w:lineRule="exact"/>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rPr>
          <w:rFonts w:hint="eastAsia" w:ascii="宋体" w:hAnsi="宋体" w:eastAsia="宋体" w:cs="宋体"/>
          <w:color w:val="auto"/>
          <w:sz w:val="30"/>
          <w:szCs w:val="30"/>
          <w:highlight w:val="none"/>
        </w:rPr>
        <w:t>11-3：专业工程暂估价表</w:t>
      </w:r>
    </w:p>
    <w:tbl>
      <w:tblPr>
        <w:tblStyle w:val="4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879"/>
        <w:gridCol w:w="1984"/>
        <w:gridCol w:w="4678"/>
        <w:gridCol w:w="1276"/>
      </w:tblGrid>
      <w:tr w14:paraId="6F1D69D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0F7CC710">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序号</w:t>
            </w:r>
          </w:p>
        </w:tc>
        <w:tc>
          <w:tcPr>
            <w:tcW w:w="1984" w:type="dxa"/>
            <w:noWrap w:val="0"/>
            <w:vAlign w:val="top"/>
          </w:tcPr>
          <w:p w14:paraId="58B210A8">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专业工程名称</w:t>
            </w:r>
          </w:p>
        </w:tc>
        <w:tc>
          <w:tcPr>
            <w:tcW w:w="4678" w:type="dxa"/>
            <w:noWrap w:val="0"/>
            <w:vAlign w:val="top"/>
          </w:tcPr>
          <w:p w14:paraId="5EB90B17">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工程内容</w:t>
            </w:r>
          </w:p>
        </w:tc>
        <w:tc>
          <w:tcPr>
            <w:tcW w:w="1276" w:type="dxa"/>
            <w:noWrap w:val="0"/>
            <w:vAlign w:val="top"/>
          </w:tcPr>
          <w:p w14:paraId="67572676">
            <w:pPr>
              <w:keepNext/>
              <w:widowControl w:val="0"/>
              <w:spacing w:after="0" w:line="440" w:lineRule="exact"/>
              <w:ind w:left="63" w:right="63"/>
              <w:jc w:val="both"/>
              <w:rPr>
                <w:rFonts w:hint="eastAsia" w:ascii="宋体" w:hAnsi="宋体" w:eastAsia="宋体" w:cs="宋体"/>
                <w:color w:val="auto"/>
                <w:sz w:val="28"/>
                <w:szCs w:val="30"/>
                <w:highlight w:val="none"/>
                <w:lang w:val="en-US" w:eastAsia="zh-CN" w:bidi="ar-SA"/>
              </w:rPr>
            </w:pPr>
            <w:r>
              <w:rPr>
                <w:rFonts w:hint="eastAsia" w:ascii="宋体" w:hAnsi="宋体" w:eastAsia="宋体" w:cs="宋体"/>
                <w:color w:val="auto"/>
                <w:sz w:val="28"/>
                <w:szCs w:val="30"/>
                <w:highlight w:val="none"/>
                <w:lang w:val="en-US" w:eastAsia="zh-CN" w:bidi="ar-SA"/>
              </w:rPr>
              <w:t>金额</w:t>
            </w:r>
          </w:p>
        </w:tc>
      </w:tr>
      <w:tr w14:paraId="4878EFC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1119BB83">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195EC0EA">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012F68C1">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4ADA8EE6">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70D1EC2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71FC7C5E">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399E1096">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7FA54A3B">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30F0012E">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5116C2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60D9FC65">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7B0C2F7A">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074621F0">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5D07F167">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186E26B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6054B670">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6C4B1A49">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3F73C944">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2BEE436F">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0BFF224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16B35951">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1A58E06C">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7E069A32">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57D8706E">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06F5524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108A7264">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4CECC297">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76153AEA">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79DD068D">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5AF249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7E0825C8">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7D232153">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253378CA">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2546B9BA">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306166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65DF03E9">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71E3B8EB">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31ABEA06">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1354E16B">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034E4E0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2167C3DB">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1DAC0EDD">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68870F35">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368441F5">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017F486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2A387F90">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6E8F8284">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522D9D3D">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37253A8D">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25783DA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53E05FD7">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3AC0B3D8">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2B53597D">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4C9CB57A">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26FB24A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509E1224">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7B264038">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359BC245">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533146F2">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439642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2EA422CA">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2BFCDC58">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49D5055A">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3FA2684C">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155AC3A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357CDCA5">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0E0B33C3">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2DB5C596">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6DD5B867">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1223530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4DA356D3">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2BD39AD2">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4CC54224">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6470AA40">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31A0F06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2F25C109">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633B6E35">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17772AAA">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4795E4E8">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39BE335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42D2BEA0">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78EC0A54">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0BCE65FE">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7E10F5DE">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2A999DC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4BCC5711">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0EE17A05">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3FBF50F2">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7C607E37">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08B635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6DFE5D3E">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55E0B414">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62E65704">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615E0141">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17E7B3F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13CC7F94">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53E00D48">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4996BD0D">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1C8F494E">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6CE3C5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67263144">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36A61BCB">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6D793F1C">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71443564">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00AA3DE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47B4232E">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3C4C0FF8">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47687066">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3BA77FEA">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469AF2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730B1A4A">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45435316">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55F184E0">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36CEA063">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02B8871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72A01A7E">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20F9A881">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6A8AB6AF">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0B3A12E4">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4CAF41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026CA102">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22454A96">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7DEB75C0">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798563A2">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057EB47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79" w:type="dxa"/>
            <w:noWrap w:val="0"/>
            <w:vAlign w:val="top"/>
          </w:tcPr>
          <w:p w14:paraId="64C26D85">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984" w:type="dxa"/>
            <w:noWrap w:val="0"/>
            <w:vAlign w:val="top"/>
          </w:tcPr>
          <w:p w14:paraId="19792C2A">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4678" w:type="dxa"/>
            <w:noWrap w:val="0"/>
            <w:vAlign w:val="top"/>
          </w:tcPr>
          <w:p w14:paraId="6615784E">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c>
          <w:tcPr>
            <w:tcW w:w="1276" w:type="dxa"/>
            <w:noWrap w:val="0"/>
            <w:vAlign w:val="top"/>
          </w:tcPr>
          <w:p w14:paraId="51F88588">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p>
        </w:tc>
      </w:tr>
      <w:tr w14:paraId="1AD4915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817" w:type="dxa"/>
            <w:gridSpan w:val="4"/>
            <w:noWrap w:val="0"/>
            <w:vAlign w:val="top"/>
          </w:tcPr>
          <w:p w14:paraId="23813E66">
            <w:pPr>
              <w:keepNext/>
              <w:widowControl w:val="0"/>
              <w:spacing w:after="0" w:line="440" w:lineRule="exact"/>
              <w:ind w:left="63" w:right="63"/>
              <w:jc w:val="both"/>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30"/>
                <w:highlight w:val="none"/>
                <w:lang w:val="en-US" w:eastAsia="zh-CN" w:bidi="ar-SA"/>
              </w:rPr>
              <w:t>小计：</w:t>
            </w:r>
          </w:p>
        </w:tc>
      </w:tr>
    </w:tbl>
    <w:p w14:paraId="7150BD5F">
      <w:pPr>
        <w:rPr>
          <w:rFonts w:hint="eastAsia" w:ascii="宋体" w:hAnsi="宋体" w:eastAsia="宋体" w:cs="宋体"/>
          <w:color w:val="auto"/>
          <w:highlight w:val="none"/>
        </w:rPr>
      </w:pPr>
    </w:p>
    <w:p w14:paraId="6C8DEE64">
      <w:pPr>
        <w:rPr>
          <w:rFonts w:hint="eastAsia" w:ascii="宋体" w:hAnsi="宋体" w:eastAsia="宋体" w:cs="宋体"/>
          <w:color w:val="auto"/>
          <w:highlight w:val="none"/>
        </w:rPr>
        <w:sectPr>
          <w:footerReference r:id="rId14" w:type="default"/>
          <w:pgSz w:w="11906" w:h="16838"/>
          <w:pgMar w:top="1418" w:right="1134" w:bottom="1418" w:left="1134" w:header="851" w:footer="992" w:gutter="0"/>
          <w:cols w:space="1701" w:num="1"/>
          <w:docGrid w:linePitch="360" w:charSpace="0"/>
        </w:sectPr>
      </w:pPr>
    </w:p>
    <w:p w14:paraId="5E509253">
      <w:pPr>
        <w:pStyle w:val="36"/>
        <w:spacing w:before="120" w:beforeAutospacing="0" w:after="120" w:afterAutospacing="0" w:line="0" w:lineRule="atLeast"/>
        <w:jc w:val="center"/>
        <w:rPr>
          <w:color w:val="auto"/>
          <w:highlight w:val="none"/>
        </w:rPr>
      </w:pPr>
      <w:r>
        <w:rPr>
          <w:rFonts w:hint="eastAsia" w:ascii="黑体" w:hAnsi="宋体" w:eastAsia="黑体" w:cs="黑体"/>
          <w:color w:val="auto"/>
          <w:sz w:val="44"/>
          <w:szCs w:val="44"/>
          <w:highlight w:val="none"/>
        </w:rPr>
        <w:t> 第</w:t>
      </w:r>
      <w:bookmarkEnd w:id="151"/>
      <w:r>
        <w:rPr>
          <w:rFonts w:hint="eastAsia" w:ascii="黑体" w:hAnsi="宋体" w:eastAsia="黑体" w:cs="黑体"/>
          <w:color w:val="auto"/>
          <w:sz w:val="44"/>
          <w:szCs w:val="44"/>
          <w:highlight w:val="none"/>
        </w:rPr>
        <w:t>四章 采购需求</w:t>
      </w:r>
      <w:bookmarkEnd w:id="152"/>
      <w:bookmarkEnd w:id="153"/>
      <w:bookmarkEnd w:id="154"/>
      <w:bookmarkEnd w:id="155"/>
      <w:bookmarkStart w:id="226" w:name="_Toc26554093"/>
      <w:bookmarkEnd w:id="226"/>
      <w:bookmarkStart w:id="227" w:name="_Toc49090575"/>
      <w:bookmarkEnd w:id="227"/>
    </w:p>
    <w:p w14:paraId="670B1F4B">
      <w:pPr>
        <w:pStyle w:val="36"/>
        <w:spacing w:before="120" w:beforeAutospacing="0" w:after="120" w:afterAutospacing="0" w:line="0" w:lineRule="atLeast"/>
        <w:jc w:val="both"/>
        <w:rPr>
          <w:color w:val="auto"/>
          <w:highlight w:val="none"/>
        </w:rPr>
      </w:pPr>
      <w:r>
        <w:rPr>
          <w:rFonts w:hint="eastAsia" w:ascii="宋体" w:hAnsi="宋体" w:eastAsia="宋体" w:cs="宋体"/>
          <w:color w:val="auto"/>
          <w:highlight w:val="none"/>
        </w:rPr>
        <w:t>项目属性：</w:t>
      </w:r>
      <w:r>
        <w:rPr>
          <w:rFonts w:hint="eastAsia" w:ascii="宋体" w:hAnsi="宋体" w:eastAsia="宋体" w:cs="宋体"/>
          <w:color w:val="auto"/>
          <w:highlight w:val="none"/>
          <w:lang w:val="en-US" w:eastAsia="zh-CN"/>
        </w:rPr>
        <w:t>工程</w:t>
      </w:r>
      <w:r>
        <w:rPr>
          <w:rFonts w:hint="eastAsia" w:ascii="宋体" w:hAnsi="宋体" w:eastAsia="宋体" w:cs="宋体"/>
          <w:color w:val="auto"/>
          <w:highlight w:val="none"/>
        </w:rPr>
        <w:t>类项目</w:t>
      </w:r>
    </w:p>
    <w:p w14:paraId="7013ACDC">
      <w:pPr>
        <w:pStyle w:val="219"/>
        <w:keepNext w:val="0"/>
        <w:keepLines w:val="0"/>
        <w:pageBreakBefore w:val="0"/>
        <w:widowControl w:val="0"/>
        <w:spacing w:after="0" w:line="480" w:lineRule="exact"/>
        <w:ind w:firstLine="480"/>
        <w:rPr>
          <w:rFonts w:hint="eastAsia" w:ascii="宋体" w:hAnsi="宋体" w:cs="宋体"/>
          <w:color w:val="auto"/>
          <w:sz w:val="24"/>
          <w:highlight w:val="none"/>
          <w:lang w:eastAsia="zh-CN"/>
        </w:rPr>
      </w:pPr>
      <w:r>
        <w:rPr>
          <w:rFonts w:hint="eastAsia" w:ascii="宋体" w:hAnsi="宋体" w:cs="宋体"/>
          <w:color w:val="auto"/>
          <w:sz w:val="24"/>
          <w:highlight w:val="none"/>
        </w:rPr>
        <w:t>一、</w:t>
      </w:r>
      <w:r>
        <w:rPr>
          <w:rFonts w:hint="eastAsia" w:ascii="宋体" w:hAnsi="宋体" w:cs="宋体"/>
          <w:color w:val="auto"/>
          <w:sz w:val="24"/>
          <w:highlight w:val="none"/>
          <w:lang w:eastAsia="zh-CN"/>
        </w:rPr>
        <w:t>采购项目简要说明：</w:t>
      </w:r>
    </w:p>
    <w:p w14:paraId="5C7664DA">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1、本次招标采购：本工程为</w:t>
      </w:r>
      <w:r>
        <w:rPr>
          <w:rFonts w:hint="eastAsia" w:ascii="宋体" w:hAnsi="宋体" w:cs="宋体"/>
          <w:color w:val="auto"/>
          <w:sz w:val="24"/>
          <w:highlight w:val="none"/>
          <w:lang w:eastAsia="zh-CN"/>
        </w:rPr>
        <w:t>射阳县长荡镇黄沙港支流（中心河）生态河道建设项目</w:t>
      </w:r>
      <w:r>
        <w:rPr>
          <w:rFonts w:hint="eastAsia" w:ascii="宋体" w:hAnsi="宋体"/>
          <w:color w:val="auto"/>
          <w:sz w:val="24"/>
          <w:highlight w:val="none"/>
        </w:rPr>
        <w:t>，</w:t>
      </w:r>
      <w:r>
        <w:rPr>
          <w:rFonts w:hint="eastAsia" w:ascii="宋体" w:hAnsi="宋体" w:eastAsia="宋体" w:cs="宋体"/>
          <w:color w:val="auto"/>
          <w:sz w:val="24"/>
          <w:szCs w:val="24"/>
          <w:highlight w:val="none"/>
        </w:rPr>
        <w:t>具体以招标人提供的工程量清单、图纸为准。</w:t>
      </w:r>
    </w:p>
    <w:p w14:paraId="311A67F4">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2、质量要求：合格</w:t>
      </w:r>
    </w:p>
    <w:p w14:paraId="7E732532">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3、合同履行期限：60日历天</w:t>
      </w:r>
    </w:p>
    <w:p w14:paraId="7D52171C">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4、预算金额：270.1万元</w:t>
      </w:r>
    </w:p>
    <w:p w14:paraId="1C11EFB1">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5、履约地点：</w:t>
      </w:r>
      <w:r>
        <w:rPr>
          <w:rFonts w:hint="eastAsia" w:ascii="宋体" w:hAnsi="宋体" w:cs="Times New Roman"/>
          <w:color w:val="auto"/>
          <w:sz w:val="24"/>
          <w:szCs w:val="24"/>
          <w:highlight w:val="none"/>
          <w:lang w:val="en-US" w:eastAsia="zh-CN"/>
        </w:rPr>
        <w:t>射阳县长荡镇境内</w:t>
      </w:r>
    </w:p>
    <w:p w14:paraId="5643FBCD">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6、采购方式：竞争性磋商</w:t>
      </w:r>
    </w:p>
    <w:p w14:paraId="6F0DE463">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7、评标方法：综合评分法</w:t>
      </w:r>
    </w:p>
    <w:p w14:paraId="6770AF54">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二、采购需求</w:t>
      </w:r>
    </w:p>
    <w:p w14:paraId="2D605491">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详见工程量清单及图纸</w:t>
      </w:r>
    </w:p>
    <w:p w14:paraId="4A57336B">
      <w:pPr>
        <w:pStyle w:val="219"/>
        <w:keepNext w:val="0"/>
        <w:keepLines w:val="0"/>
        <w:pageBreakBefore w:val="0"/>
        <w:widowControl w:val="0"/>
        <w:numPr>
          <w:ilvl w:val="0"/>
          <w:numId w:val="0"/>
        </w:numPr>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三、付款方式：</w:t>
      </w:r>
    </w:p>
    <w:p w14:paraId="55759F37">
      <w:pPr>
        <w:pStyle w:val="219"/>
        <w:keepNext w:val="0"/>
        <w:keepLines w:val="0"/>
        <w:pageBreakBefore w:val="0"/>
        <w:widowControl w:val="0"/>
        <w:numPr>
          <w:ilvl w:val="0"/>
          <w:numId w:val="0"/>
        </w:numPr>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p>
    <w:p w14:paraId="180AC700">
      <w:pPr>
        <w:spacing w:line="400" w:lineRule="exact"/>
        <w:ind w:firstLine="420"/>
        <w:rPr>
          <w:rFonts w:hint="eastAsia"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t>（1）合同签订后10日内采购人向成交供应商预付10%的合同价款，供应商书面明确表示无需预付款或主动要求降低预付款比例的，由双方另行商定；</w:t>
      </w:r>
    </w:p>
    <w:p w14:paraId="714CEB52">
      <w:pPr>
        <w:spacing w:line="400" w:lineRule="exact"/>
        <w:ind w:firstLine="420"/>
        <w:rPr>
          <w:rFonts w:hint="eastAsia"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t>（2）</w:t>
      </w:r>
      <w:r>
        <w:rPr>
          <w:rFonts w:hint="eastAsia" w:ascii="宋体" w:hAnsi="宋体" w:cs="宋体"/>
          <w:color w:val="auto"/>
          <w:sz w:val="24"/>
          <w:szCs w:val="24"/>
          <w:highlight w:val="none"/>
          <w:lang w:val="en-US" w:eastAsia="zh-CN" w:bidi="ar-SA"/>
        </w:rPr>
        <w:t>工程竣工验收合格后付至中标价的50%</w:t>
      </w:r>
      <w:r>
        <w:rPr>
          <w:rFonts w:hint="eastAsia" w:ascii="宋体" w:hAnsi="宋体" w:cs="宋体" w:eastAsiaTheme="minorEastAsia"/>
          <w:color w:val="auto"/>
          <w:sz w:val="24"/>
          <w:szCs w:val="24"/>
          <w:highlight w:val="none"/>
          <w:lang w:val="en-US" w:eastAsia="zh-CN" w:bidi="ar-SA"/>
        </w:rPr>
        <w:t>（包括以前支付）；</w:t>
      </w:r>
    </w:p>
    <w:p w14:paraId="4338CD3D">
      <w:pPr>
        <w:spacing w:line="400" w:lineRule="exact"/>
        <w:ind w:firstLine="420"/>
        <w:rPr>
          <w:rFonts w:hint="eastAsia"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t>（3）工程竣工验收合格经审计后付至审计价的80%（包括以前支付）；</w:t>
      </w:r>
    </w:p>
    <w:p w14:paraId="00DDD161">
      <w:pPr>
        <w:spacing w:line="400" w:lineRule="exact"/>
        <w:ind w:firstLine="420"/>
        <w:rPr>
          <w:rFonts w:hint="eastAsia"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t>（4）工程竣工验收合格满一年按审计结论结清剩余工程款。</w:t>
      </w:r>
    </w:p>
    <w:p w14:paraId="1F5DD11B">
      <w:pPr>
        <w:pStyle w:val="219"/>
        <w:keepNext w:val="0"/>
        <w:keepLines w:val="0"/>
        <w:pageBreakBefore w:val="0"/>
        <w:widowControl w:val="0"/>
        <w:numPr>
          <w:ilvl w:val="0"/>
          <w:numId w:val="0"/>
        </w:numPr>
        <w:spacing w:after="0" w:line="480" w:lineRule="exact"/>
        <w:ind w:firstLine="480"/>
        <w:rPr>
          <w:rFonts w:hint="eastAsia"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t>（5）按以上进度付款，无任何利息补偿。付款时，承包人须开具税务部门认可的税务发票。</w:t>
      </w:r>
    </w:p>
    <w:p w14:paraId="448375EA">
      <w:pPr>
        <w:pStyle w:val="219"/>
        <w:keepNext w:val="0"/>
        <w:keepLines w:val="0"/>
        <w:pageBreakBefore w:val="0"/>
        <w:widowControl w:val="0"/>
        <w:numPr>
          <w:ilvl w:val="0"/>
          <w:numId w:val="0"/>
        </w:numPr>
        <w:spacing w:after="0" w:line="480" w:lineRule="exact"/>
        <w:ind w:left="480"/>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四、</w:t>
      </w:r>
      <w:r>
        <w:rPr>
          <w:rFonts w:ascii="宋体" w:hAnsi="宋体" w:cs="宋体"/>
          <w:color w:val="auto"/>
          <w:sz w:val="24"/>
          <w:highlight w:val="none"/>
          <w:lang w:val="en-US" w:eastAsia="zh-CN"/>
        </w:rPr>
        <w:t>其它：</w:t>
      </w:r>
    </w:p>
    <w:p w14:paraId="47554068">
      <w:pPr>
        <w:pStyle w:val="219"/>
        <w:keepNext w:val="0"/>
        <w:keepLines w:val="0"/>
        <w:pageBreakBefore w:val="0"/>
        <w:widowControl w:val="0"/>
        <w:numPr>
          <w:ilvl w:val="0"/>
          <w:numId w:val="0"/>
        </w:numPr>
        <w:spacing w:after="0" w:line="480" w:lineRule="exact"/>
        <w:ind w:firstLine="482"/>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1、各潜在投标人应自行对项目现场及周边环境进行勘察，以获取编制投标文件和签署合同所需的资料，现场勘察所发生的费用、相关的责任和风险均由各潜在投标人自行承担，中标后，不对场地现状提出异议，不以场地存在问题为由拒绝签署项目合同书或履行所约定的各项义务。</w:t>
      </w:r>
    </w:p>
    <w:p w14:paraId="7AE61D3F">
      <w:pPr>
        <w:pStyle w:val="219"/>
        <w:keepNext w:val="0"/>
        <w:keepLines w:val="0"/>
        <w:pageBreakBefore w:val="0"/>
        <w:widowControl w:val="0"/>
        <w:numPr>
          <w:ilvl w:val="0"/>
          <w:numId w:val="0"/>
        </w:numPr>
        <w:spacing w:after="0" w:line="480" w:lineRule="exact"/>
        <w:ind w:firstLine="480"/>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2</w:t>
      </w:r>
      <w:r>
        <w:rPr>
          <w:rFonts w:ascii="宋体" w:hAnsi="宋体" w:cs="宋体"/>
          <w:color w:val="auto"/>
          <w:sz w:val="24"/>
          <w:highlight w:val="none"/>
          <w:lang w:val="en-US" w:eastAsia="zh-CN"/>
        </w:rPr>
        <w:t>、本项目报价含完成项目要求的一切费用，供应商应综合考虑在磋商报价中。</w:t>
      </w:r>
    </w:p>
    <w:p w14:paraId="632B722F">
      <w:pPr>
        <w:pStyle w:val="219"/>
        <w:keepNext w:val="0"/>
        <w:keepLines w:val="0"/>
        <w:pageBreakBefore w:val="0"/>
        <w:widowControl w:val="0"/>
        <w:numPr>
          <w:ilvl w:val="0"/>
          <w:numId w:val="0"/>
        </w:numPr>
        <w:tabs>
          <w:tab w:val="center" w:pos="4536"/>
        </w:tabs>
        <w:spacing w:after="0" w:line="480" w:lineRule="exact"/>
        <w:ind w:firstLine="480"/>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r>
        <w:rPr>
          <w:rFonts w:ascii="宋体" w:hAnsi="宋体" w:cs="宋体"/>
          <w:color w:val="auto"/>
          <w:sz w:val="24"/>
          <w:highlight w:val="none"/>
          <w:lang w:val="en-US" w:eastAsia="zh-CN"/>
        </w:rPr>
        <w:t>、本次磋商不接受选择性报价。</w:t>
      </w:r>
    </w:p>
    <w:p w14:paraId="29BAE800">
      <w:pPr>
        <w:pStyle w:val="219"/>
        <w:keepNext w:val="0"/>
        <w:keepLines w:val="0"/>
        <w:pageBreakBefore w:val="0"/>
        <w:widowControl w:val="0"/>
        <w:numPr>
          <w:ilvl w:val="0"/>
          <w:numId w:val="0"/>
        </w:numPr>
        <w:spacing w:after="0" w:line="480" w:lineRule="exact"/>
        <w:ind w:firstLine="480"/>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val="en-US" w:eastAsia="zh-CN"/>
        </w:rPr>
        <w:t>、资格后审：在评审时，对磋商供应商的响应文件中资格性、符合性进行审查，确定供应商是否具备磋商资格以及是否具备成交资格。</w:t>
      </w:r>
    </w:p>
    <w:p w14:paraId="0A18FC7D">
      <w:pPr>
        <w:pStyle w:val="219"/>
        <w:keepNext w:val="0"/>
        <w:keepLines w:val="0"/>
        <w:pageBreakBefore w:val="0"/>
        <w:widowControl w:val="0"/>
        <w:numPr>
          <w:ilvl w:val="0"/>
          <w:numId w:val="0"/>
        </w:numPr>
        <w:spacing w:after="0" w:line="480" w:lineRule="exact"/>
        <w:ind w:firstLine="480"/>
        <w:rPr>
          <w:rFonts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5</w:t>
      </w:r>
      <w:r>
        <w:rPr>
          <w:rFonts w:ascii="宋体" w:hAnsi="宋体" w:cs="宋体"/>
          <w:b w:val="0"/>
          <w:bCs w:val="0"/>
          <w:color w:val="auto"/>
          <w:sz w:val="24"/>
          <w:highlight w:val="none"/>
          <w:lang w:val="en-US" w:eastAsia="zh-CN"/>
        </w:rPr>
        <w:t>、供应商如未能在承诺时间内提供服务，采购人有权没收其履约保证金作为预定的损害赔偿而非罚款。</w:t>
      </w:r>
    </w:p>
    <w:p w14:paraId="2ECFF7B3">
      <w:pPr>
        <w:pStyle w:val="36"/>
        <w:spacing w:beforeAutospacing="0" w:afterAutospacing="0" w:line="0" w:lineRule="atLeast"/>
        <w:ind w:firstLine="480"/>
        <w:jc w:val="both"/>
        <w:rPr>
          <w:color w:val="auto"/>
          <w:highlight w:val="none"/>
        </w:rPr>
      </w:pPr>
      <w:r>
        <w:rPr>
          <w:color w:val="auto"/>
          <w:highlight w:val="none"/>
        </w:rPr>
        <w:t> </w:t>
      </w:r>
    </w:p>
    <w:p w14:paraId="1C94276F">
      <w:pPr>
        <w:pStyle w:val="36"/>
        <w:spacing w:beforeAutospacing="0" w:afterAutospacing="0"/>
        <w:ind w:firstLine="602"/>
        <w:jc w:val="both"/>
        <w:rPr>
          <w:color w:val="auto"/>
          <w:highlight w:val="none"/>
        </w:rPr>
      </w:pPr>
      <w:r>
        <w:rPr>
          <w:color w:val="auto"/>
          <w:highlight w:val="none"/>
        </w:rPr>
        <w:t> </w:t>
      </w:r>
    </w:p>
    <w:p w14:paraId="2D58A99B">
      <w:pPr>
        <w:pStyle w:val="36"/>
        <w:spacing w:beforeAutospacing="0" w:afterAutospacing="0"/>
        <w:jc w:val="both"/>
        <w:rPr>
          <w:color w:val="auto"/>
          <w:highlight w:val="none"/>
        </w:rPr>
      </w:pPr>
      <w:r>
        <w:rPr>
          <w:color w:val="auto"/>
          <w:highlight w:val="none"/>
        </w:rPr>
        <w:t> </w:t>
      </w:r>
    </w:p>
    <w:p w14:paraId="2D2E09B2">
      <w:pPr>
        <w:pStyle w:val="36"/>
        <w:spacing w:beforeAutospacing="0" w:afterAutospacing="0"/>
        <w:jc w:val="both"/>
        <w:rPr>
          <w:color w:val="auto"/>
          <w:highlight w:val="none"/>
        </w:rPr>
      </w:pPr>
      <w:r>
        <w:rPr>
          <w:color w:val="auto"/>
          <w:highlight w:val="none"/>
        </w:rPr>
        <w:t> </w:t>
      </w:r>
    </w:p>
    <w:p w14:paraId="43CB012E">
      <w:pPr>
        <w:pStyle w:val="36"/>
        <w:spacing w:beforeAutospacing="0" w:afterAutospacing="0"/>
        <w:jc w:val="both"/>
        <w:rPr>
          <w:color w:val="auto"/>
          <w:highlight w:val="none"/>
        </w:rPr>
      </w:pPr>
      <w:r>
        <w:rPr>
          <w:color w:val="auto"/>
          <w:highlight w:val="none"/>
        </w:rPr>
        <w:t> </w:t>
      </w:r>
    </w:p>
    <w:p w14:paraId="5CD746B3">
      <w:pPr>
        <w:pStyle w:val="36"/>
        <w:spacing w:beforeAutospacing="0" w:afterAutospacing="0"/>
        <w:jc w:val="both"/>
        <w:rPr>
          <w:color w:val="auto"/>
          <w:highlight w:val="none"/>
        </w:rPr>
      </w:pPr>
      <w:r>
        <w:rPr>
          <w:color w:val="auto"/>
          <w:highlight w:val="none"/>
        </w:rPr>
        <w:t> </w:t>
      </w:r>
    </w:p>
    <w:p w14:paraId="26D925A9">
      <w:pPr>
        <w:pStyle w:val="36"/>
        <w:spacing w:beforeAutospacing="0" w:afterAutospacing="0"/>
        <w:jc w:val="both"/>
        <w:rPr>
          <w:color w:val="auto"/>
          <w:highlight w:val="none"/>
        </w:rPr>
      </w:pPr>
      <w:r>
        <w:rPr>
          <w:color w:val="auto"/>
          <w:highlight w:val="none"/>
        </w:rPr>
        <w:t> </w:t>
      </w:r>
    </w:p>
    <w:p w14:paraId="77A27CCD">
      <w:pPr>
        <w:pStyle w:val="36"/>
        <w:spacing w:beforeAutospacing="0" w:afterAutospacing="0"/>
        <w:jc w:val="both"/>
        <w:rPr>
          <w:color w:val="auto"/>
          <w:highlight w:val="none"/>
        </w:rPr>
      </w:pPr>
      <w:r>
        <w:rPr>
          <w:color w:val="auto"/>
          <w:highlight w:val="none"/>
        </w:rPr>
        <w:t> </w:t>
      </w:r>
    </w:p>
    <w:p w14:paraId="16AD4413">
      <w:pPr>
        <w:pStyle w:val="36"/>
        <w:spacing w:beforeAutospacing="0" w:afterAutospacing="0"/>
        <w:jc w:val="both"/>
        <w:rPr>
          <w:color w:val="auto"/>
          <w:highlight w:val="none"/>
        </w:rPr>
      </w:pPr>
      <w:r>
        <w:rPr>
          <w:color w:val="auto"/>
          <w:highlight w:val="none"/>
        </w:rPr>
        <w:t> </w:t>
      </w:r>
    </w:p>
    <w:p w14:paraId="2A657790">
      <w:pPr>
        <w:pStyle w:val="36"/>
        <w:spacing w:beforeAutospacing="0" w:afterAutospacing="0"/>
        <w:jc w:val="both"/>
        <w:rPr>
          <w:color w:val="auto"/>
          <w:highlight w:val="none"/>
        </w:rPr>
      </w:pPr>
      <w:r>
        <w:rPr>
          <w:color w:val="auto"/>
          <w:highlight w:val="none"/>
        </w:rPr>
        <w:t> </w:t>
      </w:r>
    </w:p>
    <w:p w14:paraId="140CB2AA">
      <w:pPr>
        <w:pStyle w:val="36"/>
        <w:spacing w:beforeAutospacing="0" w:afterAutospacing="0"/>
        <w:jc w:val="both"/>
        <w:rPr>
          <w:color w:val="auto"/>
          <w:highlight w:val="none"/>
        </w:rPr>
      </w:pPr>
      <w:r>
        <w:rPr>
          <w:color w:val="auto"/>
          <w:highlight w:val="none"/>
        </w:rPr>
        <w:t> </w:t>
      </w:r>
    </w:p>
    <w:p w14:paraId="39A12E63">
      <w:pPr>
        <w:pStyle w:val="36"/>
        <w:spacing w:beforeAutospacing="0" w:afterAutospacing="0"/>
        <w:jc w:val="both"/>
        <w:rPr>
          <w:color w:val="auto"/>
          <w:highlight w:val="none"/>
        </w:rPr>
      </w:pPr>
      <w:r>
        <w:rPr>
          <w:color w:val="auto"/>
          <w:highlight w:val="none"/>
        </w:rPr>
        <w:t> </w:t>
      </w:r>
    </w:p>
    <w:p w14:paraId="7CF4691B">
      <w:pPr>
        <w:pStyle w:val="36"/>
        <w:tabs>
          <w:tab w:val="left" w:pos="6205"/>
        </w:tabs>
        <w:spacing w:beforeAutospacing="0" w:afterAutospacing="0"/>
        <w:jc w:val="both"/>
        <w:rPr>
          <w:color w:val="auto"/>
          <w:highlight w:val="none"/>
        </w:rPr>
      </w:pPr>
      <w:r>
        <w:rPr>
          <w:color w:val="auto"/>
          <w:highlight w:val="none"/>
        </w:rPr>
        <w:t> </w:t>
      </w:r>
    </w:p>
    <w:p w14:paraId="242F8A15">
      <w:pPr>
        <w:pStyle w:val="36"/>
        <w:tabs>
          <w:tab w:val="left" w:pos="6205"/>
        </w:tabs>
        <w:spacing w:beforeAutospacing="0" w:afterAutospacing="0"/>
        <w:jc w:val="both"/>
        <w:rPr>
          <w:color w:val="auto"/>
          <w:highlight w:val="none"/>
        </w:rPr>
      </w:pPr>
      <w:r>
        <w:rPr>
          <w:color w:val="auto"/>
          <w:highlight w:val="none"/>
        </w:rPr>
        <w:t> </w:t>
      </w:r>
    </w:p>
    <w:p w14:paraId="5454BD55">
      <w:pPr>
        <w:rPr>
          <w:rFonts w:ascii="黑体" w:hAnsi="宋体" w:eastAsia="黑体" w:cs="黑体"/>
          <w:color w:val="auto"/>
          <w:sz w:val="44"/>
          <w:szCs w:val="44"/>
          <w:highlight w:val="none"/>
        </w:rPr>
      </w:pPr>
      <w:bookmarkStart w:id="228" w:name="_Toc120614281"/>
      <w:r>
        <w:rPr>
          <w:rFonts w:hint="eastAsia" w:ascii="黑体" w:hAnsi="宋体" w:eastAsia="黑体" w:cs="黑体"/>
          <w:color w:val="auto"/>
          <w:sz w:val="44"/>
          <w:szCs w:val="44"/>
          <w:highlight w:val="none"/>
        </w:rPr>
        <w:br w:type="page" w:clear="all"/>
      </w:r>
    </w:p>
    <w:p w14:paraId="50797FAB">
      <w:pPr>
        <w:pStyle w:val="36"/>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评审方法与评审标准</w:t>
      </w:r>
      <w:bookmarkEnd w:id="228"/>
    </w:p>
    <w:p w14:paraId="7521A26F">
      <w:pPr>
        <w:keepNext w:val="0"/>
        <w:keepLines w:val="0"/>
        <w:pageBreakBefore w:val="0"/>
        <w:widowControl w:val="0"/>
        <w:spacing w:line="440" w:lineRule="exact"/>
        <w:ind w:firstLine="482"/>
        <w:rPr>
          <w:rFonts w:hint="eastAsia" w:ascii="宋体" w:hAnsi="宋体"/>
          <w:b/>
          <w:bCs/>
          <w:color w:val="auto"/>
          <w:szCs w:val="21"/>
          <w:highlight w:val="none"/>
        </w:rPr>
      </w:pPr>
    </w:p>
    <w:p w14:paraId="431E5DE7">
      <w:pPr>
        <w:keepNext w:val="0"/>
        <w:keepLines w:val="0"/>
        <w:pageBreakBefore w:val="0"/>
        <w:widowControl w:val="0"/>
        <w:spacing w:line="440" w:lineRule="exact"/>
        <w:ind w:firstLine="482"/>
        <w:rPr>
          <w:rFonts w:ascii="宋体" w:hAnsi="宋体"/>
          <w:b/>
          <w:bCs/>
          <w:color w:val="auto"/>
          <w:szCs w:val="21"/>
          <w:highlight w:val="none"/>
        </w:rPr>
      </w:pPr>
      <w:r>
        <w:rPr>
          <w:rFonts w:hint="eastAsia" w:ascii="宋体" w:hAnsi="宋体"/>
          <w:b/>
          <w:bCs/>
          <w:color w:val="auto"/>
          <w:szCs w:val="21"/>
          <w:highlight w:val="none"/>
        </w:rPr>
        <w:t>一、评审方法与定标原则</w:t>
      </w:r>
    </w:p>
    <w:p w14:paraId="0A96AFD4">
      <w:pPr>
        <w:keepNext w:val="0"/>
        <w:keepLines w:val="0"/>
        <w:pageBreakBefore w:val="0"/>
        <w:widowControl w:val="0"/>
        <w:spacing w:line="440" w:lineRule="exact"/>
        <w:ind w:firstLine="482"/>
        <w:rPr>
          <w:rFonts w:ascii="宋体" w:hAnsi="宋体"/>
          <w:color w:val="auto"/>
          <w:szCs w:val="21"/>
          <w:highlight w:val="none"/>
        </w:rPr>
      </w:pPr>
      <w:r>
        <w:rPr>
          <w:rFonts w:hint="eastAsia" w:ascii="宋体" w:hAnsi="宋体"/>
          <w:color w:val="auto"/>
          <w:szCs w:val="21"/>
          <w:highlight w:val="none"/>
        </w:rPr>
        <w:t>磋商小组将对确定为实质性响应磋商文件要求的响应文件进行评价和比较，评审采用</w:t>
      </w:r>
      <w:r>
        <w:rPr>
          <w:rFonts w:hint="eastAsia" w:ascii="宋体" w:hAnsi="宋体"/>
          <w:b/>
          <w:bCs/>
          <w:color w:val="auto"/>
          <w:szCs w:val="21"/>
          <w:highlight w:val="none"/>
        </w:rPr>
        <w:t>综合评分法</w:t>
      </w:r>
      <w:r>
        <w:rPr>
          <w:rFonts w:hint="eastAsia" w:ascii="宋体" w:hAnsi="宋体"/>
          <w:color w:val="auto"/>
          <w:szCs w:val="21"/>
          <w:highlight w:val="none"/>
        </w:rPr>
        <w:t>确定</w:t>
      </w:r>
      <w:r>
        <w:rPr>
          <w:rFonts w:hint="eastAsia" w:ascii="宋体" w:hAnsi="宋体"/>
          <w:color w:val="auto"/>
          <w:szCs w:val="21"/>
          <w:highlight w:val="none"/>
          <w:lang w:val="en-US" w:eastAsia="zh-CN"/>
        </w:rPr>
        <w:t>1</w:t>
      </w:r>
      <w:r>
        <w:rPr>
          <w:rFonts w:hint="eastAsia" w:ascii="宋体" w:hAnsi="宋体"/>
          <w:color w:val="auto"/>
          <w:szCs w:val="21"/>
          <w:highlight w:val="none"/>
        </w:rPr>
        <w:t>名成交候选人。响应文件满足磋商文件全部实质性要求，且按照评审因素的量化指标评审得分最高的供应商为排名第一的成交候选人。按评审后得分由高到低顺序排列，评审得分相同的，按照最后报价由低到高的顺序推荐。</w:t>
      </w:r>
      <w:r>
        <w:rPr>
          <w:rFonts w:hint="eastAsia" w:hAnsi="宋体" w:cs="宋体"/>
          <w:bCs/>
          <w:color w:val="auto"/>
          <w:szCs w:val="28"/>
          <w:highlight w:val="none"/>
        </w:rPr>
        <w:t>得分且报价相同的并列</w:t>
      </w:r>
      <w:r>
        <w:rPr>
          <w:rFonts w:hint="eastAsia" w:ascii="宋体" w:hAnsi="宋体"/>
          <w:color w:val="auto"/>
          <w:szCs w:val="21"/>
          <w:highlight w:val="none"/>
        </w:rPr>
        <w:t>。成交候选人如出现并列时，由磋商小组采取随机抽取的方式确定。</w:t>
      </w:r>
    </w:p>
    <w:p w14:paraId="6114B9B8">
      <w:pPr>
        <w:keepNext w:val="0"/>
        <w:keepLines w:val="0"/>
        <w:pageBreakBefore w:val="0"/>
        <w:widowControl w:val="0"/>
        <w:spacing w:line="440" w:lineRule="exact"/>
        <w:ind w:firstLine="482"/>
        <w:rPr>
          <w:rFonts w:ascii="宋体" w:hAnsi="宋体"/>
          <w:color w:val="auto"/>
          <w:szCs w:val="21"/>
          <w:highlight w:val="none"/>
        </w:rPr>
      </w:pPr>
      <w:r>
        <w:rPr>
          <w:rFonts w:hint="eastAsia" w:ascii="宋体" w:hAnsi="宋体"/>
          <w:color w:val="auto"/>
          <w:szCs w:val="21"/>
          <w:highlight w:val="none"/>
        </w:rPr>
        <w:t>请供应商在最高限价以下进行报价，响应报价高于最高限价的报价，采购人将不予接受，视为无效响应文件，并将视为恶意响应，将提交财政部门按相关法规处理。</w:t>
      </w:r>
    </w:p>
    <w:p w14:paraId="50AEEC9B">
      <w:pPr>
        <w:keepNext w:val="0"/>
        <w:keepLines w:val="0"/>
        <w:pageBreakBefore w:val="0"/>
        <w:widowControl w:val="0"/>
        <w:spacing w:line="440" w:lineRule="exact"/>
        <w:ind w:firstLine="482"/>
        <w:rPr>
          <w:rFonts w:hint="eastAsia" w:ascii="宋体" w:hAnsi="宋体" w:cs="Times New Roman"/>
          <w:color w:val="auto"/>
          <w:sz w:val="21"/>
          <w:szCs w:val="21"/>
          <w:highlight w:val="none"/>
        </w:rPr>
      </w:pPr>
      <w:r>
        <w:rPr>
          <w:rFonts w:hint="eastAsia" w:ascii="宋体" w:hAnsi="宋体"/>
          <w:color w:val="auto"/>
          <w:szCs w:val="21"/>
          <w:highlight w:val="none"/>
        </w:rPr>
        <w:t>评审时，磋商小组各成员独立对每个有效供应商的响应文件进行评价、打分，然后汇总，按算术平均方法，计算出每个供应商的得分；报价得分通过计算直接取得；报价得分加磋商小组算术平均得分，为供应商的总得分；每大项记分保留两位小数（第三位四舍五入）；总得分汇总时保留两位小数（第三位四舍五入）；</w:t>
      </w:r>
    </w:p>
    <w:p w14:paraId="278F8C43">
      <w:pPr>
        <w:keepNext w:val="0"/>
        <w:keepLines w:val="0"/>
        <w:pageBreakBefore w:val="0"/>
        <w:widowControl w:val="0"/>
        <w:spacing w:line="440" w:lineRule="exact"/>
        <w:ind w:firstLine="482"/>
        <w:rPr>
          <w:rFonts w:hint="eastAsia" w:ascii="宋体" w:hAnsi="宋体" w:cs="Times New Roman"/>
          <w:b/>
          <w:bCs/>
          <w:color w:val="auto"/>
          <w:sz w:val="21"/>
          <w:szCs w:val="21"/>
          <w:highlight w:val="none"/>
        </w:rPr>
      </w:pPr>
      <w:r>
        <w:rPr>
          <w:rFonts w:hint="eastAsia" w:ascii="宋体" w:hAnsi="宋体" w:cs="Times New Roman"/>
          <w:b/>
          <w:bCs/>
          <w:color w:val="auto"/>
          <w:sz w:val="21"/>
          <w:szCs w:val="21"/>
          <w:highlight w:val="none"/>
        </w:rPr>
        <w:t>二、政府采购政策功能落实</w:t>
      </w:r>
    </w:p>
    <w:p w14:paraId="3F2D06A4">
      <w:pPr>
        <w:keepNext w:val="0"/>
        <w:keepLines w:val="0"/>
        <w:pageBreakBefore w:val="0"/>
        <w:widowControl w:val="0"/>
        <w:spacing w:line="440" w:lineRule="exact"/>
        <w:ind w:firstLine="482"/>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1、小微型企业价格扣除</w:t>
      </w:r>
    </w:p>
    <w:p w14:paraId="54088518">
      <w:pPr>
        <w:keepNext w:val="0"/>
        <w:keepLines w:val="0"/>
        <w:pageBreakBefore w:val="0"/>
        <w:widowControl w:val="0"/>
        <w:spacing w:line="440" w:lineRule="exact"/>
        <w:ind w:firstLine="482"/>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（1）本项目专门面向中小企业预留采购份额100%，不再对小型和微型企业服务给予价格扣除。</w:t>
      </w:r>
    </w:p>
    <w:p w14:paraId="587C5A85">
      <w:pPr>
        <w:keepNext w:val="0"/>
        <w:keepLines w:val="0"/>
        <w:pageBreakBefore w:val="0"/>
        <w:widowControl w:val="0"/>
        <w:spacing w:line="440" w:lineRule="exact"/>
        <w:ind w:firstLine="482"/>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（2）投标人需按照采购文件的要求提供相应的《企业声明函》。</w:t>
      </w:r>
    </w:p>
    <w:p w14:paraId="32B9B25B">
      <w:pPr>
        <w:keepNext w:val="0"/>
        <w:keepLines w:val="0"/>
        <w:pageBreakBefore w:val="0"/>
        <w:widowControl w:val="0"/>
        <w:spacing w:line="440" w:lineRule="exact"/>
        <w:ind w:firstLine="482"/>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（3）企业标准请参照《关于印发中小企业划型标准规定的通知》（工信部联企业[2011]300号）文件规定自行填写。</w:t>
      </w:r>
    </w:p>
    <w:p w14:paraId="34A4DEAE">
      <w:pPr>
        <w:keepNext w:val="0"/>
        <w:keepLines w:val="0"/>
        <w:pageBreakBefore w:val="0"/>
        <w:widowControl w:val="0"/>
        <w:spacing w:line="440" w:lineRule="exact"/>
        <w:ind w:firstLine="482"/>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2、残疾人福利单位价格扣除</w:t>
      </w:r>
    </w:p>
    <w:p w14:paraId="0B6C9F42">
      <w:pPr>
        <w:keepNext w:val="0"/>
        <w:keepLines w:val="0"/>
        <w:pageBreakBefore w:val="0"/>
        <w:widowControl w:val="0"/>
        <w:spacing w:line="440" w:lineRule="exact"/>
        <w:ind w:firstLine="482"/>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（1）本项目对残疾人福利性单位视同小型、微型企业。</w:t>
      </w:r>
    </w:p>
    <w:p w14:paraId="36BCCBC6">
      <w:pPr>
        <w:keepNext w:val="0"/>
        <w:keepLines w:val="0"/>
        <w:pageBreakBefore w:val="0"/>
        <w:widowControl w:val="0"/>
        <w:spacing w:line="440" w:lineRule="exact"/>
        <w:ind w:firstLine="482"/>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（2）残疾人福利单位标准请参照《关于促进残疾人就业政府采购政策的通知》（财库〔2017〕141号），需提供《残疾人福利性单位声明函》，格式自拟。</w:t>
      </w:r>
    </w:p>
    <w:p w14:paraId="62F695F3">
      <w:pPr>
        <w:keepNext w:val="0"/>
        <w:keepLines w:val="0"/>
        <w:pageBreakBefore w:val="0"/>
        <w:widowControl w:val="0"/>
        <w:spacing w:line="440" w:lineRule="exact"/>
        <w:ind w:firstLine="482"/>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3、监狱和戒毒企业价格扣除</w:t>
      </w:r>
    </w:p>
    <w:p w14:paraId="79453A9D">
      <w:pPr>
        <w:keepNext w:val="0"/>
        <w:keepLines w:val="0"/>
        <w:pageBreakBefore w:val="0"/>
        <w:widowControl w:val="0"/>
        <w:spacing w:line="440" w:lineRule="exact"/>
        <w:ind w:firstLine="482"/>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（1）本项目对监狱和戒毒企业（简称监狱企业）视同小型、微型企业。</w:t>
      </w:r>
    </w:p>
    <w:p w14:paraId="6AB674A1">
      <w:pPr>
        <w:keepNext w:val="0"/>
        <w:keepLines w:val="0"/>
        <w:pageBreakBefore w:val="0"/>
        <w:widowControl w:val="0"/>
        <w:spacing w:line="440" w:lineRule="exact"/>
        <w:ind w:firstLine="482"/>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（2）监狱企业参加政府采购活动时，需提供由省级以上监狱管理局、戒毒管理局(含新疆生产建设兵团)出具的属于监狱企业的证明文件。投标人如不提供上述证明文件，价格将不做相应扣除。</w:t>
      </w:r>
    </w:p>
    <w:p w14:paraId="66CE443F">
      <w:pPr>
        <w:keepNext w:val="0"/>
        <w:keepLines w:val="0"/>
        <w:pageBreakBefore w:val="0"/>
        <w:widowControl w:val="0"/>
        <w:spacing w:line="440" w:lineRule="exact"/>
        <w:ind w:firstLine="482"/>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（3）监狱企业标准请参照《关于政府采购支持监狱企业发展有关问题的通知》（财库[2014]68号）。</w:t>
      </w:r>
    </w:p>
    <w:p w14:paraId="3DD9C6FC">
      <w:pPr>
        <w:keepNext w:val="0"/>
        <w:keepLines w:val="0"/>
        <w:pageBreakBefore w:val="0"/>
        <w:widowControl w:val="0"/>
        <w:spacing w:line="440" w:lineRule="exact"/>
        <w:ind w:firstLine="482"/>
        <w:rPr>
          <w:rFonts w:hint="eastAsia" w:ascii="宋体" w:hAnsi="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4、残疾人福利单位、监狱企业属于小型、微型企业的，不重复享受政策。</w:t>
      </w:r>
    </w:p>
    <w:p w14:paraId="4751E198">
      <w:pPr>
        <w:keepNext w:val="0"/>
        <w:keepLines w:val="0"/>
        <w:pageBreakBefore w:val="0"/>
        <w:widowControl w:val="0"/>
        <w:spacing w:line="440" w:lineRule="exact"/>
        <w:ind w:firstLine="482"/>
        <w:rPr>
          <w:rFonts w:hint="eastAsia" w:ascii="宋体" w:hAnsi="宋体" w:cs="Times New Roman"/>
          <w:b/>
          <w:bCs/>
          <w:color w:val="auto"/>
          <w:sz w:val="21"/>
          <w:szCs w:val="21"/>
          <w:highlight w:val="none"/>
        </w:rPr>
      </w:pPr>
      <w:r>
        <w:rPr>
          <w:rFonts w:hint="eastAsia" w:ascii="宋体" w:hAnsi="宋体" w:cs="Times New Roman"/>
          <w:b w:val="0"/>
          <w:bCs w:val="0"/>
          <w:color w:val="auto"/>
          <w:sz w:val="24"/>
          <w:szCs w:val="24"/>
          <w:highlight w:val="none"/>
          <w:lang w:val="en-US" w:eastAsia="zh-CN"/>
        </w:rPr>
        <w:t xml:space="preserve"> </w:t>
      </w:r>
      <w:r>
        <w:rPr>
          <w:rFonts w:hint="eastAsia" w:ascii="宋体" w:hAnsi="宋体" w:cs="Times New Roman"/>
          <w:b/>
          <w:bCs/>
          <w:color w:val="auto"/>
          <w:sz w:val="21"/>
          <w:szCs w:val="21"/>
          <w:highlight w:val="none"/>
          <w:lang w:val="en-US" w:eastAsia="zh-CN"/>
        </w:rPr>
        <w:t>三、</w:t>
      </w:r>
      <w:r>
        <w:rPr>
          <w:rFonts w:hint="eastAsia" w:ascii="宋体" w:hAnsi="宋体" w:cs="Times New Roman"/>
          <w:b/>
          <w:bCs/>
          <w:color w:val="auto"/>
          <w:sz w:val="21"/>
          <w:szCs w:val="21"/>
          <w:highlight w:val="none"/>
        </w:rPr>
        <w:t>评分标准（总分100分）</w:t>
      </w:r>
    </w:p>
    <w:tbl>
      <w:tblPr>
        <w:tblStyle w:val="40"/>
        <w:tblW w:w="9708" w:type="dxa"/>
        <w:tblInd w:w="-217" w:type="dxa"/>
        <w:tblLayout w:type="fixed"/>
        <w:tblCellMar>
          <w:top w:w="0" w:type="dxa"/>
          <w:left w:w="108" w:type="dxa"/>
          <w:bottom w:w="0" w:type="dxa"/>
          <w:right w:w="108" w:type="dxa"/>
        </w:tblCellMar>
      </w:tblPr>
      <w:tblGrid>
        <w:gridCol w:w="641"/>
        <w:gridCol w:w="1667"/>
        <w:gridCol w:w="7400"/>
      </w:tblGrid>
      <w:tr w14:paraId="1C0F7B96">
        <w:tblPrEx>
          <w:tblCellMar>
            <w:top w:w="0" w:type="dxa"/>
            <w:left w:w="108" w:type="dxa"/>
            <w:bottom w:w="0" w:type="dxa"/>
            <w:right w:w="108" w:type="dxa"/>
          </w:tblCellMar>
        </w:tblPrEx>
        <w:trPr>
          <w:trHeight w:val="710" w:hRule="atLeast"/>
        </w:trPr>
        <w:tc>
          <w:tcPr>
            <w:tcW w:w="641" w:type="dxa"/>
            <w:tcBorders>
              <w:top w:val="single" w:color="000000" w:sz="4" w:space="0"/>
              <w:left w:val="single" w:color="000000" w:sz="4" w:space="0"/>
              <w:bottom w:val="single" w:color="000000" w:sz="4" w:space="0"/>
              <w:right w:val="nil"/>
            </w:tcBorders>
            <w:noWrap w:val="0"/>
            <w:vAlign w:val="center"/>
          </w:tcPr>
          <w:p w14:paraId="6F05CF88">
            <w:pPr>
              <w:spacing w:line="240" w:lineRule="exact"/>
              <w:jc w:val="both"/>
              <w:rPr>
                <w:rFonts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rPr>
              <w:t>序号</w:t>
            </w:r>
          </w:p>
        </w:tc>
        <w:tc>
          <w:tcPr>
            <w:tcW w:w="1667" w:type="dxa"/>
            <w:tcBorders>
              <w:top w:val="single" w:color="000000" w:sz="4" w:space="0"/>
              <w:left w:val="single" w:color="000000" w:sz="4" w:space="0"/>
              <w:bottom w:val="single" w:color="000000" w:sz="4" w:space="0"/>
              <w:right w:val="nil"/>
            </w:tcBorders>
            <w:noWrap w:val="0"/>
            <w:vAlign w:val="center"/>
          </w:tcPr>
          <w:p w14:paraId="13CA375D">
            <w:pPr>
              <w:spacing w:line="360" w:lineRule="auto"/>
              <w:jc w:val="center"/>
              <w:rPr>
                <w:rFonts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rPr>
              <w:t>评审子项</w:t>
            </w:r>
          </w:p>
        </w:tc>
        <w:tc>
          <w:tcPr>
            <w:tcW w:w="7400" w:type="dxa"/>
            <w:tcBorders>
              <w:top w:val="single" w:color="000000" w:sz="4" w:space="0"/>
              <w:left w:val="single" w:color="000000" w:sz="4" w:space="0"/>
              <w:bottom w:val="single" w:color="000000" w:sz="4" w:space="0"/>
              <w:right w:val="single" w:color="000000" w:sz="4" w:space="0"/>
            </w:tcBorders>
            <w:noWrap w:val="0"/>
            <w:vAlign w:val="center"/>
          </w:tcPr>
          <w:p w14:paraId="5A663C62">
            <w:pPr>
              <w:spacing w:line="360" w:lineRule="auto"/>
              <w:jc w:val="center"/>
              <w:rPr>
                <w:rFonts w:ascii="宋体" w:hAnsi="宋体" w:eastAsia="宋体" w:cs="Times New Roman"/>
                <w:color w:val="auto"/>
                <w:sz w:val="24"/>
                <w:szCs w:val="24"/>
                <w:highlight w:val="none"/>
              </w:rPr>
            </w:pPr>
            <w:r>
              <w:rPr>
                <w:rFonts w:hint="eastAsia" w:ascii="宋体" w:hAnsi="宋体" w:eastAsia="宋体" w:cs="宋体"/>
                <w:b/>
                <w:bCs/>
                <w:color w:val="auto"/>
                <w:sz w:val="24"/>
                <w:szCs w:val="24"/>
                <w:highlight w:val="none"/>
              </w:rPr>
              <w:t>评审细则</w:t>
            </w:r>
          </w:p>
        </w:tc>
      </w:tr>
      <w:tr w14:paraId="7AA2AF7B">
        <w:tblPrEx>
          <w:tblCellMar>
            <w:top w:w="0" w:type="dxa"/>
            <w:left w:w="108" w:type="dxa"/>
            <w:bottom w:w="0" w:type="dxa"/>
            <w:right w:w="108" w:type="dxa"/>
          </w:tblCellMar>
        </w:tblPrEx>
        <w:tc>
          <w:tcPr>
            <w:tcW w:w="641" w:type="dxa"/>
            <w:tcBorders>
              <w:top w:val="single" w:color="000000" w:sz="4" w:space="0"/>
              <w:left w:val="single" w:color="000000" w:sz="4" w:space="0"/>
              <w:bottom w:val="single" w:color="000000" w:sz="4" w:space="0"/>
              <w:right w:val="nil"/>
            </w:tcBorders>
            <w:noWrap w:val="0"/>
            <w:vAlign w:val="center"/>
          </w:tcPr>
          <w:p w14:paraId="7C40685E">
            <w:pPr>
              <w:spacing w:line="240" w:lineRule="exact"/>
              <w:jc w:val="center"/>
              <w:rPr>
                <w:rFonts w:ascii="宋体" w:hAnsi="宋体" w:eastAsia="宋体" w:cs="Times New Roman"/>
                <w:color w:val="auto"/>
                <w:sz w:val="24"/>
                <w:szCs w:val="24"/>
                <w:highlight w:val="none"/>
              </w:rPr>
            </w:pPr>
            <w:r>
              <w:rPr>
                <w:rFonts w:ascii="宋体" w:hAnsi="宋体" w:eastAsia="宋体" w:cs="宋体"/>
                <w:b/>
                <w:color w:val="auto"/>
                <w:sz w:val="24"/>
                <w:szCs w:val="24"/>
                <w:highlight w:val="none"/>
              </w:rPr>
              <w:t>1</w:t>
            </w:r>
          </w:p>
        </w:tc>
        <w:tc>
          <w:tcPr>
            <w:tcW w:w="1667" w:type="dxa"/>
            <w:tcBorders>
              <w:top w:val="single" w:color="000000" w:sz="4" w:space="0"/>
              <w:left w:val="single" w:color="000000" w:sz="4" w:space="0"/>
              <w:bottom w:val="single" w:color="000000" w:sz="4" w:space="0"/>
              <w:right w:val="nil"/>
            </w:tcBorders>
            <w:noWrap w:val="0"/>
            <w:vAlign w:val="center"/>
          </w:tcPr>
          <w:p w14:paraId="5E6FDB9A">
            <w:pPr>
              <w:keepNext w:val="0"/>
              <w:keepLines w:val="0"/>
              <w:pageBreakBefore w:val="0"/>
              <w:widowControl w:val="0"/>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投标报价</w:t>
            </w:r>
          </w:p>
          <w:p w14:paraId="280E1663">
            <w:pPr>
              <w:keepNext w:val="0"/>
              <w:keepLines w:val="0"/>
              <w:pageBreakBefore w:val="0"/>
              <w:widowControl w:val="0"/>
              <w:spacing w:line="400" w:lineRule="exact"/>
              <w:jc w:val="center"/>
              <w:rPr>
                <w:rFonts w:hint="eastAsia" w:ascii="宋体" w:hAnsi="宋体" w:eastAsia="宋体" w:cs="Times New Roman"/>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u w:val="none"/>
                <w:lang w:val="en-US" w:eastAsia="zh-CN"/>
              </w:rPr>
              <w:t>20</w:t>
            </w:r>
            <w:r>
              <w:rPr>
                <w:rFonts w:hint="eastAsia" w:ascii="宋体" w:hAnsi="宋体" w:eastAsia="宋体" w:cs="宋体"/>
                <w:b/>
                <w:bCs/>
                <w:color w:val="auto"/>
                <w:sz w:val="24"/>
                <w:szCs w:val="24"/>
                <w:highlight w:val="none"/>
              </w:rPr>
              <w:t>分</w:t>
            </w:r>
            <w:r>
              <w:rPr>
                <w:rFonts w:hint="eastAsia" w:ascii="宋体" w:hAnsi="宋体" w:eastAsia="宋体" w:cs="宋体"/>
                <w:b/>
                <w:bCs/>
                <w:color w:val="auto"/>
                <w:sz w:val="24"/>
                <w:szCs w:val="24"/>
                <w:highlight w:val="none"/>
                <w:lang w:eastAsia="zh-CN"/>
              </w:rPr>
              <w:t>）</w:t>
            </w:r>
          </w:p>
        </w:tc>
        <w:tc>
          <w:tcPr>
            <w:tcW w:w="7400" w:type="dxa"/>
            <w:tcBorders>
              <w:top w:val="single" w:color="000000" w:sz="4" w:space="0"/>
              <w:left w:val="single" w:color="000000" w:sz="4" w:space="0"/>
              <w:bottom w:val="single" w:color="000000" w:sz="4" w:space="0"/>
              <w:right w:val="single" w:color="000000" w:sz="4" w:space="0"/>
            </w:tcBorders>
            <w:noWrap w:val="0"/>
            <w:vAlign w:val="top"/>
          </w:tcPr>
          <w:p w14:paraId="1DDBCAFC">
            <w:pPr>
              <w:keepNext w:val="0"/>
              <w:keepLines w:val="0"/>
              <w:pageBreakBefore w:val="0"/>
              <w:widowControl w:val="0"/>
              <w:spacing w:line="400" w:lineRule="exact"/>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采用低价优先法计算，即满足</w:t>
            </w:r>
            <w:r>
              <w:rPr>
                <w:rFonts w:hint="eastAsia" w:ascii="宋体" w:hAnsi="宋体" w:eastAsia="宋体" w:cs="Times New Roman"/>
                <w:color w:val="auto"/>
                <w:sz w:val="24"/>
                <w:szCs w:val="24"/>
                <w:highlight w:val="none"/>
                <w:lang w:val="en-US" w:eastAsia="zh-CN"/>
              </w:rPr>
              <w:t>磋商</w:t>
            </w:r>
            <w:r>
              <w:rPr>
                <w:rFonts w:hint="eastAsia" w:ascii="宋体" w:hAnsi="宋体" w:eastAsia="宋体" w:cs="Times New Roman"/>
                <w:color w:val="auto"/>
                <w:sz w:val="24"/>
                <w:szCs w:val="24"/>
                <w:highlight w:val="none"/>
              </w:rPr>
              <w:t>文件要求且</w:t>
            </w:r>
            <w:r>
              <w:rPr>
                <w:rFonts w:hint="eastAsia" w:ascii="宋体" w:hAnsi="宋体" w:eastAsia="宋体" w:cs="Times New Roman"/>
                <w:color w:val="auto"/>
                <w:sz w:val="24"/>
                <w:szCs w:val="24"/>
                <w:highlight w:val="none"/>
                <w:lang w:val="en-US" w:eastAsia="zh-CN"/>
              </w:rPr>
              <w:t>最后报价</w:t>
            </w:r>
            <w:r>
              <w:rPr>
                <w:rFonts w:hint="eastAsia" w:ascii="宋体" w:hAnsi="宋体" w:eastAsia="宋体" w:cs="Times New Roman"/>
                <w:color w:val="auto"/>
                <w:sz w:val="24"/>
                <w:szCs w:val="24"/>
                <w:highlight w:val="none"/>
              </w:rPr>
              <w:t>最低的</w:t>
            </w:r>
            <w:r>
              <w:rPr>
                <w:rFonts w:hint="eastAsia" w:ascii="宋体" w:hAnsi="宋体" w:eastAsia="宋体" w:cs="Times New Roman"/>
                <w:color w:val="auto"/>
                <w:sz w:val="24"/>
                <w:szCs w:val="24"/>
                <w:highlight w:val="none"/>
                <w:lang w:val="en-US" w:eastAsia="zh-CN"/>
              </w:rPr>
              <w:t>供应商的价格</w:t>
            </w:r>
            <w:r>
              <w:rPr>
                <w:rFonts w:hint="eastAsia" w:ascii="宋体" w:hAnsi="宋体" w:eastAsia="宋体" w:cs="Times New Roman"/>
                <w:color w:val="auto"/>
                <w:sz w:val="24"/>
                <w:szCs w:val="24"/>
                <w:highlight w:val="none"/>
              </w:rPr>
              <w:t>为</w:t>
            </w:r>
            <w:r>
              <w:rPr>
                <w:rFonts w:hint="eastAsia" w:ascii="宋体" w:hAnsi="宋体" w:eastAsia="宋体" w:cs="Times New Roman"/>
                <w:color w:val="auto"/>
                <w:sz w:val="24"/>
                <w:szCs w:val="24"/>
                <w:highlight w:val="none"/>
                <w:lang w:val="en-US" w:eastAsia="zh-CN"/>
              </w:rPr>
              <w:t>磋商</w:t>
            </w:r>
            <w:r>
              <w:rPr>
                <w:rFonts w:hint="eastAsia" w:ascii="宋体" w:hAnsi="宋体" w:eastAsia="宋体" w:cs="Times New Roman"/>
                <w:color w:val="auto"/>
                <w:sz w:val="24"/>
                <w:szCs w:val="24"/>
                <w:highlight w:val="none"/>
              </w:rPr>
              <w:t>基准价，其价格分为</w:t>
            </w:r>
            <w:r>
              <w:rPr>
                <w:rFonts w:hint="eastAsia" w:ascii="宋体" w:hAnsi="宋体" w:eastAsia="宋体" w:cs="Times New Roman"/>
                <w:color w:val="auto"/>
                <w:sz w:val="24"/>
                <w:szCs w:val="24"/>
                <w:highlight w:val="none"/>
                <w:lang w:val="en-US" w:eastAsia="zh-CN"/>
              </w:rPr>
              <w:t>满分20</w:t>
            </w:r>
            <w:r>
              <w:rPr>
                <w:rFonts w:hint="eastAsia" w:ascii="宋体" w:hAnsi="宋体" w:eastAsia="宋体" w:cs="Times New Roman"/>
                <w:color w:val="auto"/>
                <w:sz w:val="24"/>
                <w:szCs w:val="24"/>
                <w:highlight w:val="none"/>
              </w:rPr>
              <w:t>分，其他</w:t>
            </w:r>
            <w:r>
              <w:rPr>
                <w:rFonts w:hint="eastAsia" w:ascii="宋体" w:hAnsi="宋体" w:eastAsia="宋体" w:cs="Times New Roman"/>
                <w:color w:val="auto"/>
                <w:sz w:val="24"/>
                <w:szCs w:val="24"/>
                <w:highlight w:val="none"/>
                <w:lang w:val="en-US" w:eastAsia="zh-CN"/>
              </w:rPr>
              <w:t>供应商</w:t>
            </w:r>
            <w:r>
              <w:rPr>
                <w:rFonts w:hint="eastAsia" w:ascii="宋体" w:hAnsi="宋体" w:eastAsia="宋体" w:cs="Times New Roman"/>
                <w:color w:val="auto"/>
                <w:sz w:val="24"/>
                <w:szCs w:val="24"/>
                <w:highlight w:val="none"/>
              </w:rPr>
              <w:t>的价格分统一按照下列公式计算：</w:t>
            </w:r>
            <w:r>
              <w:rPr>
                <w:rFonts w:hint="eastAsia" w:ascii="宋体" w:hAnsi="宋体" w:eastAsia="宋体" w:cs="Times New Roman"/>
                <w:color w:val="auto"/>
                <w:sz w:val="24"/>
                <w:szCs w:val="24"/>
                <w:highlight w:val="none"/>
                <w:lang w:val="en-US" w:eastAsia="zh-CN"/>
              </w:rPr>
              <w:t>磋商</w:t>
            </w:r>
            <w:r>
              <w:rPr>
                <w:rFonts w:hint="eastAsia" w:ascii="宋体" w:hAnsi="宋体" w:eastAsia="宋体" w:cs="Times New Roman"/>
                <w:color w:val="auto"/>
                <w:sz w:val="24"/>
                <w:szCs w:val="24"/>
                <w:highlight w:val="none"/>
              </w:rPr>
              <w:t>报价得分=（</w:t>
            </w:r>
            <w:r>
              <w:rPr>
                <w:rFonts w:hint="eastAsia" w:ascii="宋体" w:hAnsi="宋体" w:eastAsia="宋体" w:cs="Times New Roman"/>
                <w:color w:val="auto"/>
                <w:sz w:val="24"/>
                <w:szCs w:val="24"/>
                <w:highlight w:val="none"/>
                <w:lang w:val="en-US" w:eastAsia="zh-CN"/>
              </w:rPr>
              <w:t>磋商</w:t>
            </w:r>
            <w:r>
              <w:rPr>
                <w:rFonts w:hint="eastAsia" w:ascii="宋体" w:hAnsi="宋体" w:eastAsia="宋体" w:cs="Times New Roman"/>
                <w:color w:val="auto"/>
                <w:sz w:val="24"/>
                <w:szCs w:val="24"/>
                <w:highlight w:val="none"/>
              </w:rPr>
              <w:t>基准价/</w:t>
            </w:r>
            <w:r>
              <w:rPr>
                <w:rFonts w:hint="eastAsia" w:ascii="宋体" w:hAnsi="宋体" w:eastAsia="宋体" w:cs="Times New Roman"/>
                <w:color w:val="auto"/>
                <w:sz w:val="24"/>
                <w:szCs w:val="24"/>
                <w:highlight w:val="none"/>
                <w:lang w:val="en-US" w:eastAsia="zh-CN"/>
              </w:rPr>
              <w:t>最后磋商</w:t>
            </w:r>
            <w:r>
              <w:rPr>
                <w:rFonts w:hint="eastAsia" w:ascii="宋体" w:hAnsi="宋体" w:eastAsia="宋体" w:cs="Times New Roman"/>
                <w:color w:val="auto"/>
                <w:sz w:val="24"/>
                <w:szCs w:val="24"/>
                <w:highlight w:val="none"/>
              </w:rPr>
              <w:t>报价）*</w:t>
            </w:r>
            <w:r>
              <w:rPr>
                <w:rFonts w:hint="eastAsia" w:ascii="宋体" w:hAnsi="宋体" w:eastAsia="宋体" w:cs="Times New Roman"/>
                <w:color w:val="auto"/>
                <w:sz w:val="24"/>
                <w:szCs w:val="24"/>
                <w:highlight w:val="none"/>
                <w:lang w:val="en-US" w:eastAsia="zh-CN"/>
              </w:rPr>
              <w:t>20</w:t>
            </w:r>
            <w:r>
              <w:rPr>
                <w:rFonts w:hint="eastAsia" w:ascii="宋体" w:hAnsi="宋体" w:eastAsia="宋体" w:cs="Times New Roman"/>
                <w:color w:val="auto"/>
                <w:sz w:val="24"/>
                <w:szCs w:val="24"/>
                <w:highlight w:val="none"/>
                <w:lang w:val="zh-CN"/>
              </w:rPr>
              <w:t>（按四舍五入取至小数点后两位）</w:t>
            </w:r>
          </w:p>
        </w:tc>
      </w:tr>
      <w:tr w14:paraId="7DF8869C">
        <w:tblPrEx>
          <w:tblCellMar>
            <w:top w:w="0" w:type="dxa"/>
            <w:left w:w="108" w:type="dxa"/>
            <w:bottom w:w="0" w:type="dxa"/>
            <w:right w:w="108" w:type="dxa"/>
          </w:tblCellMar>
        </w:tblPrEx>
        <w:trPr>
          <w:trHeight w:val="2775" w:hRule="atLeast"/>
        </w:trPr>
        <w:tc>
          <w:tcPr>
            <w:tcW w:w="641" w:type="dxa"/>
            <w:tcBorders>
              <w:top w:val="single" w:color="000000" w:sz="4" w:space="0"/>
              <w:left w:val="single" w:color="000000" w:sz="4" w:space="0"/>
              <w:bottom w:val="single" w:color="000000" w:sz="4" w:space="0"/>
              <w:right w:val="nil"/>
            </w:tcBorders>
            <w:noWrap w:val="0"/>
            <w:vAlign w:val="center"/>
          </w:tcPr>
          <w:p w14:paraId="17EF0883">
            <w:pPr>
              <w:spacing w:line="5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p>
        </w:tc>
        <w:tc>
          <w:tcPr>
            <w:tcW w:w="1667" w:type="dxa"/>
            <w:tcBorders>
              <w:top w:val="single" w:color="000000" w:sz="4" w:space="0"/>
              <w:left w:val="single" w:color="000000" w:sz="4" w:space="0"/>
              <w:bottom w:val="single" w:color="000000" w:sz="4" w:space="0"/>
              <w:right w:val="nil"/>
            </w:tcBorders>
            <w:noWrap w:val="0"/>
            <w:vAlign w:val="center"/>
          </w:tcPr>
          <w:p w14:paraId="63F82935">
            <w:pPr>
              <w:keepNext w:val="0"/>
              <w:keepLines w:val="0"/>
              <w:pageBreakBefore w:val="0"/>
              <w:widowControl w:val="0"/>
              <w:spacing w:line="400" w:lineRule="exact"/>
              <w:jc w:val="center"/>
              <w:rPr>
                <w:rFonts w:hint="eastAsia" w:ascii="宋体" w:hAnsi="宋体" w:eastAsia="宋体" w:cs="宋体"/>
                <w:b/>
                <w:bCs/>
                <w:color w:val="auto"/>
                <w:sz w:val="24"/>
                <w:szCs w:val="24"/>
                <w:highlight w:val="none"/>
                <w:rtl w:val="0"/>
                <w:lang w:val="en-US" w:eastAsia="zh-CN"/>
              </w:rPr>
            </w:pPr>
            <w:r>
              <w:rPr>
                <w:rFonts w:hint="eastAsia" w:ascii="宋体" w:hAnsi="宋体" w:eastAsia="宋体" w:cs="宋体"/>
                <w:b/>
                <w:bCs/>
                <w:color w:val="auto"/>
                <w:sz w:val="24"/>
                <w:szCs w:val="24"/>
                <w:highlight w:val="none"/>
                <w:rtl w:val="0"/>
                <w:lang w:val="en-US" w:eastAsia="zh-CN"/>
              </w:rPr>
              <w:t>企业业绩</w:t>
            </w:r>
          </w:p>
          <w:p w14:paraId="540D4A2E">
            <w:pPr>
              <w:keepNext w:val="0"/>
              <w:keepLines w:val="0"/>
              <w:pageBreakBefore w:val="0"/>
              <w:widowControl w:val="0"/>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sz w:val="24"/>
                <w:highlight w:val="none"/>
              </w:rPr>
              <w:t>(</w:t>
            </w:r>
            <w:r>
              <w:rPr>
                <w:rFonts w:hint="eastAsia" w:ascii="宋体" w:hAnsi="宋体" w:eastAsia="宋体" w:cs="宋体"/>
                <w:b/>
                <w:bCs/>
                <w:sz w:val="24"/>
                <w:highlight w:val="none"/>
                <w:lang w:val="en-US" w:eastAsia="zh-CN"/>
              </w:rPr>
              <w:t>4</w:t>
            </w:r>
            <w:r>
              <w:rPr>
                <w:rFonts w:hint="eastAsia" w:ascii="宋体" w:hAnsi="宋体" w:eastAsia="宋体" w:cs="宋体"/>
                <w:b/>
                <w:bCs/>
                <w:sz w:val="24"/>
                <w:highlight w:val="none"/>
              </w:rPr>
              <w:t>分)</w:t>
            </w:r>
          </w:p>
        </w:tc>
        <w:tc>
          <w:tcPr>
            <w:tcW w:w="7400" w:type="dxa"/>
            <w:tcBorders>
              <w:top w:val="single" w:color="000000" w:sz="4" w:space="0"/>
              <w:left w:val="single" w:color="000000" w:sz="4" w:space="0"/>
              <w:bottom w:val="single" w:color="000000" w:sz="4" w:space="0"/>
              <w:right w:val="single" w:color="000000" w:sz="4" w:space="0"/>
            </w:tcBorders>
            <w:noWrap w:val="0"/>
            <w:vAlign w:val="top"/>
          </w:tcPr>
          <w:p w14:paraId="3CCBDB1A">
            <w:pPr>
              <w:spacing w:line="40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sz w:val="24"/>
                <w:highlight w:val="none"/>
              </w:rPr>
              <w:t>自2021年</w:t>
            </w:r>
            <w:r>
              <w:rPr>
                <w:rFonts w:hint="eastAsia" w:ascii="宋体" w:hAnsi="宋体" w:eastAsia="宋体" w:cs="Times New Roman"/>
                <w:sz w:val="24"/>
                <w:highlight w:val="none"/>
                <w:lang w:val="en-US" w:eastAsia="zh-CN"/>
              </w:rPr>
              <w:t>9</w:t>
            </w:r>
            <w:r>
              <w:rPr>
                <w:rFonts w:hint="eastAsia" w:ascii="宋体" w:hAnsi="宋体" w:eastAsia="宋体" w:cs="Times New Roman"/>
                <w:sz w:val="24"/>
                <w:highlight w:val="none"/>
              </w:rPr>
              <w:t>月1日以来，供应商具有类似工程业绩，有一项业绩得 2分，本项最高得</w:t>
            </w:r>
            <w:r>
              <w:rPr>
                <w:rFonts w:hint="eastAsia" w:ascii="宋体" w:hAnsi="宋体" w:eastAsia="宋体" w:cs="Times New Roman"/>
                <w:sz w:val="24"/>
                <w:highlight w:val="none"/>
                <w:lang w:val="en-US" w:eastAsia="zh-CN"/>
              </w:rPr>
              <w:t>4</w:t>
            </w:r>
            <w:r>
              <w:rPr>
                <w:rFonts w:hint="eastAsia" w:ascii="宋体" w:hAnsi="宋体" w:eastAsia="宋体" w:cs="Times New Roman"/>
                <w:sz w:val="24"/>
                <w:highlight w:val="none"/>
              </w:rPr>
              <w:t>分。</w:t>
            </w:r>
          </w:p>
          <w:p w14:paraId="36BD2ED1">
            <w:pPr>
              <w:keepNext w:val="0"/>
              <w:keepLines w:val="0"/>
              <w:pageBreakBefore w:val="0"/>
              <w:widowControl w:val="0"/>
              <w:spacing w:line="40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注意：1、供应商需提供合同、竣工验收证明（竣工验收证明中至少包含建设单位、施工单位盖章），证明材料需提供彩色扫描件并加盖供应商公章，缺一不可，否则不得分； </w:t>
            </w:r>
          </w:p>
          <w:p w14:paraId="2B41A395">
            <w:pPr>
              <w:keepNext w:val="0"/>
              <w:keepLines w:val="0"/>
              <w:pageBreakBefore w:val="0"/>
              <w:widowControl w:val="0"/>
              <w:spacing w:line="40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2、时间以工程竣工验收证明时间为准。</w:t>
            </w:r>
          </w:p>
          <w:p w14:paraId="0AB8052A">
            <w:pPr>
              <w:keepNext w:val="0"/>
              <w:keepLines w:val="0"/>
              <w:pageBreakBefore w:val="0"/>
              <w:widowControl w:val="0"/>
              <w:spacing w:line="400" w:lineRule="exact"/>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3、企业业绩与项目负责人个人的同一业绩不重复计分。</w:t>
            </w:r>
          </w:p>
        </w:tc>
      </w:tr>
      <w:tr w14:paraId="375236F6">
        <w:tblPrEx>
          <w:tblCellMar>
            <w:top w:w="0" w:type="dxa"/>
            <w:left w:w="108" w:type="dxa"/>
            <w:bottom w:w="0" w:type="dxa"/>
            <w:right w:w="108" w:type="dxa"/>
          </w:tblCellMar>
        </w:tblPrEx>
        <w:tc>
          <w:tcPr>
            <w:tcW w:w="641" w:type="dxa"/>
            <w:tcBorders>
              <w:top w:val="single" w:color="000000" w:sz="4" w:space="0"/>
              <w:left w:val="single" w:color="000000" w:sz="4" w:space="0"/>
              <w:bottom w:val="single" w:color="000000" w:sz="4" w:space="0"/>
              <w:right w:val="nil"/>
            </w:tcBorders>
            <w:noWrap w:val="0"/>
            <w:vAlign w:val="center"/>
          </w:tcPr>
          <w:p w14:paraId="7700086C">
            <w:pPr>
              <w:spacing w:line="50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p>
        </w:tc>
        <w:tc>
          <w:tcPr>
            <w:tcW w:w="1667" w:type="dxa"/>
            <w:tcBorders>
              <w:top w:val="single" w:color="000000" w:sz="4" w:space="0"/>
              <w:left w:val="single" w:color="000000" w:sz="4" w:space="0"/>
              <w:bottom w:val="single" w:color="000000" w:sz="4" w:space="0"/>
              <w:right w:val="nil"/>
            </w:tcBorders>
            <w:noWrap w:val="0"/>
            <w:vAlign w:val="center"/>
          </w:tcPr>
          <w:p w14:paraId="4F8635D3">
            <w:pPr>
              <w:keepNext w:val="0"/>
              <w:keepLines w:val="0"/>
              <w:pageBreakBefore w:val="0"/>
              <w:widowControl w:val="0"/>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项目负责人</w:t>
            </w:r>
          </w:p>
          <w:p w14:paraId="3742EFAA">
            <w:pPr>
              <w:keepNext w:val="0"/>
              <w:keepLines w:val="0"/>
              <w:pageBreakBefore w:val="0"/>
              <w:widowControl w:val="0"/>
              <w:spacing w:line="400" w:lineRule="exact"/>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业绩</w:t>
            </w:r>
            <w:r>
              <w:rPr>
                <w:rFonts w:hint="eastAsia" w:ascii="宋体" w:hAnsi="宋体" w:eastAsia="宋体" w:cs="宋体"/>
                <w:b/>
                <w:bCs/>
                <w:sz w:val="24"/>
                <w:highlight w:val="none"/>
              </w:rPr>
              <w:t>(</w:t>
            </w:r>
            <w:r>
              <w:rPr>
                <w:rFonts w:hint="eastAsia" w:ascii="宋体" w:hAnsi="宋体" w:eastAsia="宋体" w:cs="宋体"/>
                <w:b/>
                <w:bCs/>
                <w:sz w:val="24"/>
                <w:highlight w:val="none"/>
                <w:lang w:val="en-US" w:eastAsia="zh-CN"/>
              </w:rPr>
              <w:t>8</w:t>
            </w:r>
            <w:r>
              <w:rPr>
                <w:rFonts w:hint="eastAsia" w:ascii="宋体" w:hAnsi="宋体" w:eastAsia="宋体" w:cs="宋体"/>
                <w:b/>
                <w:bCs/>
                <w:sz w:val="24"/>
                <w:highlight w:val="none"/>
              </w:rPr>
              <w:t>分）</w:t>
            </w:r>
          </w:p>
        </w:tc>
        <w:tc>
          <w:tcPr>
            <w:tcW w:w="7400" w:type="dxa"/>
            <w:tcBorders>
              <w:top w:val="single" w:color="000000" w:sz="4" w:space="0"/>
              <w:left w:val="single" w:color="000000" w:sz="4" w:space="0"/>
              <w:bottom w:val="single" w:color="000000" w:sz="4" w:space="0"/>
              <w:right w:val="single" w:color="000000" w:sz="4" w:space="0"/>
            </w:tcBorders>
            <w:noWrap w:val="0"/>
            <w:vAlign w:val="top"/>
          </w:tcPr>
          <w:p w14:paraId="11E90FE2">
            <w:pPr>
              <w:spacing w:line="400" w:lineRule="exact"/>
              <w:ind w:firstLine="480"/>
              <w:jc w:val="left"/>
              <w:rPr>
                <w:rFonts w:hint="eastAsia" w:ascii="宋体" w:hAnsi="宋体" w:eastAsia="宋体" w:cs="宋体"/>
                <w:sz w:val="24"/>
                <w:highlight w:val="none"/>
              </w:rPr>
            </w:pPr>
            <w:r>
              <w:rPr>
                <w:rFonts w:hint="eastAsia" w:ascii="宋体" w:hAnsi="宋体" w:eastAsia="宋体" w:cs="宋体"/>
                <w:sz w:val="24"/>
                <w:highlight w:val="none"/>
              </w:rPr>
              <w:t>自2021年</w:t>
            </w:r>
            <w:r>
              <w:rPr>
                <w:rFonts w:hint="eastAsia" w:ascii="宋体" w:hAnsi="宋体" w:eastAsia="宋体" w:cs="宋体"/>
                <w:sz w:val="24"/>
                <w:highlight w:val="none"/>
                <w:lang w:val="en-US" w:eastAsia="zh-CN"/>
              </w:rPr>
              <w:t>9</w:t>
            </w:r>
            <w:r>
              <w:rPr>
                <w:rFonts w:hint="eastAsia" w:ascii="宋体" w:hAnsi="宋体" w:eastAsia="宋体" w:cs="宋体"/>
                <w:sz w:val="24"/>
                <w:highlight w:val="none"/>
              </w:rPr>
              <w:t>月1日以来，项目负责人具有类似工程业绩，有一项业绩得 2分，本项最高得</w:t>
            </w:r>
            <w:r>
              <w:rPr>
                <w:rFonts w:hint="eastAsia" w:ascii="宋体" w:hAnsi="宋体" w:eastAsia="宋体" w:cs="宋体"/>
                <w:sz w:val="24"/>
                <w:highlight w:val="none"/>
                <w:lang w:val="en-US" w:eastAsia="zh-CN"/>
              </w:rPr>
              <w:t>8</w:t>
            </w:r>
            <w:r>
              <w:rPr>
                <w:rFonts w:hint="eastAsia" w:ascii="宋体" w:hAnsi="宋体" w:eastAsia="宋体" w:cs="宋体"/>
                <w:sz w:val="24"/>
                <w:highlight w:val="none"/>
              </w:rPr>
              <w:t>分。</w:t>
            </w:r>
          </w:p>
          <w:p w14:paraId="404B06D1">
            <w:pPr>
              <w:keepNext w:val="0"/>
              <w:keepLines w:val="0"/>
              <w:pageBreakBefore w:val="0"/>
              <w:widowControl w:val="0"/>
              <w:spacing w:line="400" w:lineRule="exact"/>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注意：1、供应商需提供</w:t>
            </w:r>
            <w:r>
              <w:rPr>
                <w:rFonts w:hint="eastAsia" w:ascii="宋体" w:hAnsi="宋体" w:eastAsia="宋体" w:cs="Times New Roman"/>
                <w:color w:val="auto"/>
                <w:sz w:val="24"/>
                <w:szCs w:val="24"/>
                <w:highlight w:val="none"/>
                <w:lang w:val="en-US" w:eastAsia="zh-CN"/>
              </w:rPr>
              <w:t>合同、</w:t>
            </w:r>
            <w:r>
              <w:rPr>
                <w:rFonts w:hint="eastAsia" w:ascii="宋体" w:hAnsi="宋体" w:eastAsia="宋体" w:cs="宋体"/>
                <w:color w:val="auto"/>
                <w:sz w:val="24"/>
                <w:szCs w:val="24"/>
                <w:highlight w:val="none"/>
                <w:lang w:val="en-US" w:eastAsia="zh-CN"/>
              </w:rPr>
              <w:t>竣工验收证明（竣工验收证明中至少包含建设单位、施工单位盖章）</w:t>
            </w:r>
            <w:r>
              <w:rPr>
                <w:rFonts w:hint="eastAsia" w:ascii="宋体" w:hAnsi="宋体" w:eastAsia="宋体" w:cs="Times New Roman"/>
                <w:color w:val="auto"/>
                <w:sz w:val="24"/>
                <w:szCs w:val="24"/>
                <w:highlight w:val="none"/>
                <w:lang w:val="en-US" w:eastAsia="zh-CN"/>
              </w:rPr>
              <w:t>，证明材料需提供彩色扫描件并加盖供应商公章，缺一不可，否则不得分；</w:t>
            </w:r>
          </w:p>
          <w:p w14:paraId="7AAB8380">
            <w:pPr>
              <w:keepNext w:val="0"/>
              <w:keepLines w:val="0"/>
              <w:pageBreakBefore w:val="0"/>
              <w:widowControl w:val="0"/>
              <w:spacing w:line="4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2、时间以工程竣工验收证明时间为准。</w:t>
            </w:r>
          </w:p>
          <w:p w14:paraId="3D2504D1">
            <w:pPr>
              <w:keepNext w:val="0"/>
              <w:keepLines w:val="0"/>
              <w:pageBreakBefore w:val="0"/>
              <w:widowControl w:val="0"/>
              <w:spacing w:line="400" w:lineRule="exact"/>
              <w:ind w:right="105" w:firstLine="480"/>
              <w:jc w:val="left"/>
              <w:rPr>
                <w:rFonts w:hint="default"/>
                <w:color w:val="auto"/>
                <w:highlight w:val="none"/>
                <w:lang w:val="en-US" w:eastAsia="zh-CN"/>
              </w:rPr>
            </w:pPr>
            <w:r>
              <w:rPr>
                <w:rFonts w:hint="eastAsia" w:ascii="宋体" w:hAnsi="宋体" w:eastAsia="宋体" w:cs="宋体"/>
                <w:color w:val="auto"/>
                <w:sz w:val="24"/>
                <w:szCs w:val="24"/>
                <w:highlight w:val="none"/>
                <w:lang w:val="en-US" w:eastAsia="zh-CN"/>
              </w:rPr>
              <w:t>3、企业业绩与项目负责人个人的同一业绩不重复计分。</w:t>
            </w:r>
          </w:p>
        </w:tc>
      </w:tr>
      <w:tr w14:paraId="7AFCC50F">
        <w:tblPrEx>
          <w:tblCellMar>
            <w:top w:w="0" w:type="dxa"/>
            <w:left w:w="108" w:type="dxa"/>
            <w:bottom w:w="0" w:type="dxa"/>
            <w:right w:w="108" w:type="dxa"/>
          </w:tblCellMar>
        </w:tblPrEx>
        <w:tc>
          <w:tcPr>
            <w:tcW w:w="641" w:type="dxa"/>
            <w:tcBorders>
              <w:top w:val="single" w:color="000000" w:sz="4" w:space="0"/>
              <w:left w:val="single" w:color="000000" w:sz="4" w:space="0"/>
              <w:bottom w:val="single" w:color="000000" w:sz="4" w:space="0"/>
              <w:right w:val="nil"/>
            </w:tcBorders>
            <w:noWrap w:val="0"/>
            <w:vAlign w:val="center"/>
          </w:tcPr>
          <w:p w14:paraId="6EB669AA">
            <w:pPr>
              <w:spacing w:line="500" w:lineRule="exact"/>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4</w:t>
            </w:r>
          </w:p>
        </w:tc>
        <w:tc>
          <w:tcPr>
            <w:tcW w:w="1667" w:type="dxa"/>
            <w:tcBorders>
              <w:top w:val="single" w:color="000000" w:sz="4" w:space="0"/>
              <w:left w:val="single" w:color="000000" w:sz="4" w:space="0"/>
              <w:bottom w:val="single" w:color="000000" w:sz="4" w:space="0"/>
              <w:right w:val="nil"/>
            </w:tcBorders>
            <w:noWrap w:val="0"/>
            <w:vAlign w:val="center"/>
          </w:tcPr>
          <w:p w14:paraId="5966A376">
            <w:pPr>
              <w:keepNext w:val="0"/>
              <w:keepLines w:val="0"/>
              <w:pageBreakBefore w:val="0"/>
              <w:widowControl w:val="0"/>
              <w:spacing w:line="400" w:lineRule="exact"/>
              <w:jc w:val="center"/>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管理人员配备</w:t>
            </w:r>
            <w:r>
              <w:rPr>
                <w:rFonts w:hint="eastAsia" w:ascii="宋体" w:hAnsi="宋体" w:eastAsia="宋体" w:cs="宋体"/>
                <w:b/>
                <w:bCs/>
                <w:sz w:val="24"/>
                <w:highlight w:val="none"/>
              </w:rPr>
              <w:t>(</w:t>
            </w:r>
            <w:r>
              <w:rPr>
                <w:rFonts w:hint="eastAsia" w:ascii="宋体" w:hAnsi="宋体" w:eastAsia="宋体" w:cs="宋体"/>
                <w:b/>
                <w:bCs/>
                <w:sz w:val="24"/>
                <w:highlight w:val="none"/>
                <w:lang w:val="en-US" w:eastAsia="zh-CN"/>
              </w:rPr>
              <w:t>9</w:t>
            </w:r>
            <w:r>
              <w:rPr>
                <w:rFonts w:hint="eastAsia" w:ascii="宋体" w:hAnsi="宋体" w:eastAsia="宋体" w:cs="宋体"/>
                <w:b/>
                <w:bCs/>
                <w:sz w:val="24"/>
                <w:highlight w:val="none"/>
              </w:rPr>
              <w:t>分）</w:t>
            </w:r>
          </w:p>
        </w:tc>
        <w:tc>
          <w:tcPr>
            <w:tcW w:w="7400" w:type="dxa"/>
            <w:tcBorders>
              <w:top w:val="single" w:color="000000" w:sz="4" w:space="0"/>
              <w:left w:val="single" w:color="000000" w:sz="4" w:space="0"/>
              <w:bottom w:val="single" w:color="000000" w:sz="4" w:space="0"/>
              <w:right w:val="single" w:color="000000" w:sz="4" w:space="0"/>
            </w:tcBorders>
            <w:noWrap w:val="0"/>
            <w:vAlign w:val="top"/>
          </w:tcPr>
          <w:p w14:paraId="37BEE828">
            <w:pPr>
              <w:numPr>
                <w:ilvl w:val="0"/>
                <w:numId w:val="3"/>
              </w:numPr>
              <w:spacing w:line="400" w:lineRule="exact"/>
              <w:ind w:firstLine="480"/>
              <w:jc w:val="left"/>
              <w:rPr>
                <w:rFonts w:hint="eastAsia" w:ascii="宋体" w:hAnsi="宋体" w:eastAsia="宋体" w:cs="宋体"/>
                <w:sz w:val="24"/>
                <w:highlight w:val="none"/>
              </w:rPr>
            </w:pPr>
            <w:r>
              <w:rPr>
                <w:rFonts w:hint="eastAsia" w:ascii="宋体" w:hAnsi="宋体" w:eastAsia="宋体" w:cs="宋体"/>
                <w:sz w:val="24"/>
                <w:highlight w:val="none"/>
              </w:rPr>
              <w:t>项目负责人具备</w:t>
            </w:r>
            <w:r>
              <w:rPr>
                <w:rFonts w:hint="eastAsia" w:ascii="宋体" w:hAnsi="宋体" w:eastAsia="宋体" w:cs="宋体"/>
                <w:sz w:val="24"/>
                <w:highlight w:val="none"/>
                <w:lang w:val="en-US" w:eastAsia="zh-CN"/>
              </w:rPr>
              <w:t>水利工程类</w:t>
            </w:r>
            <w:r>
              <w:rPr>
                <w:rFonts w:hint="eastAsia" w:ascii="宋体" w:hAnsi="宋体" w:eastAsia="宋体" w:cs="宋体"/>
                <w:sz w:val="24"/>
                <w:highlight w:val="none"/>
              </w:rPr>
              <w:t>中级</w:t>
            </w:r>
            <w:r>
              <w:rPr>
                <w:rFonts w:hint="eastAsia" w:ascii="宋体" w:hAnsi="宋体" w:eastAsia="宋体" w:cs="宋体"/>
                <w:sz w:val="24"/>
                <w:highlight w:val="none"/>
                <w:lang w:val="en-US" w:eastAsia="zh-CN"/>
              </w:rPr>
              <w:t>及以上</w:t>
            </w:r>
            <w:r>
              <w:rPr>
                <w:rFonts w:hint="eastAsia" w:ascii="宋体" w:hAnsi="宋体" w:eastAsia="宋体" w:cs="宋体"/>
                <w:sz w:val="24"/>
                <w:highlight w:val="none"/>
              </w:rPr>
              <w:t>职称得</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分。</w:t>
            </w:r>
          </w:p>
          <w:p w14:paraId="401BA88A">
            <w:pPr>
              <w:numPr>
                <w:ilvl w:val="0"/>
                <w:numId w:val="3"/>
              </w:numPr>
              <w:spacing w:line="400" w:lineRule="exact"/>
              <w:ind w:firstLine="480"/>
              <w:jc w:val="left"/>
              <w:rPr>
                <w:rFonts w:hint="eastAsia" w:ascii="宋体" w:hAnsi="宋体" w:eastAsia="宋体" w:cs="宋体"/>
                <w:sz w:val="24"/>
                <w:highlight w:val="none"/>
              </w:rPr>
            </w:pPr>
            <w:r>
              <w:rPr>
                <w:rFonts w:hint="eastAsia" w:ascii="宋体" w:hAnsi="宋体" w:eastAsia="宋体" w:cs="宋体"/>
                <w:sz w:val="24"/>
                <w:highlight w:val="none"/>
              </w:rPr>
              <w:t>技术负责人具有水利工程类高级及以上职称得2分。</w:t>
            </w:r>
          </w:p>
          <w:p w14:paraId="5593FA18">
            <w:pPr>
              <w:spacing w:line="400" w:lineRule="exact"/>
              <w:ind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3</w:t>
            </w:r>
            <w:r>
              <w:rPr>
                <w:rFonts w:hint="eastAsia" w:ascii="宋体" w:hAnsi="宋体" w:eastAsia="宋体" w:cs="宋体"/>
                <w:sz w:val="24"/>
                <w:highlight w:val="none"/>
              </w:rPr>
              <w:t>、项目组成员（不含项目负责人</w:t>
            </w:r>
            <w:r>
              <w:rPr>
                <w:rFonts w:hint="eastAsia" w:ascii="宋体" w:hAnsi="宋体" w:eastAsia="宋体" w:cs="宋体"/>
                <w:sz w:val="24"/>
                <w:highlight w:val="none"/>
                <w:lang w:eastAsia="zh-CN"/>
              </w:rPr>
              <w:t>、技术负责人</w:t>
            </w:r>
            <w:r>
              <w:rPr>
                <w:rFonts w:hint="eastAsia" w:ascii="宋体" w:hAnsi="宋体" w:eastAsia="宋体" w:cs="宋体"/>
                <w:sz w:val="24"/>
                <w:highlight w:val="none"/>
              </w:rPr>
              <w:t>）具有水利工程</w:t>
            </w:r>
            <w:r>
              <w:rPr>
                <w:rFonts w:hint="eastAsia" w:ascii="宋体" w:hAnsi="宋体" w:eastAsia="宋体" w:cs="宋体"/>
                <w:sz w:val="24"/>
                <w:highlight w:val="none"/>
                <w:lang w:val="en-US" w:eastAsia="zh-CN"/>
              </w:rPr>
              <w:t>高</w:t>
            </w:r>
            <w:r>
              <w:rPr>
                <w:rFonts w:hint="eastAsia" w:ascii="宋体" w:hAnsi="宋体" w:eastAsia="宋体" w:cs="宋体"/>
                <w:sz w:val="24"/>
                <w:highlight w:val="none"/>
              </w:rPr>
              <w:t>级职称的，每有1人得</w:t>
            </w:r>
            <w:r>
              <w:rPr>
                <w:rFonts w:hint="eastAsia" w:ascii="宋体" w:hAnsi="宋体" w:eastAsia="宋体" w:cs="宋体"/>
                <w:sz w:val="24"/>
                <w:highlight w:val="none"/>
                <w:lang w:val="en-US" w:eastAsia="zh-CN"/>
              </w:rPr>
              <w:t>2</w:t>
            </w:r>
            <w:r>
              <w:rPr>
                <w:rFonts w:hint="eastAsia" w:ascii="宋体" w:hAnsi="宋体" w:eastAsia="宋体" w:cs="宋体"/>
                <w:sz w:val="24"/>
                <w:highlight w:val="none"/>
              </w:rPr>
              <w:t>分，具有水利工程</w:t>
            </w:r>
            <w:r>
              <w:rPr>
                <w:rFonts w:hint="eastAsia" w:ascii="宋体" w:hAnsi="宋体" w:eastAsia="宋体" w:cs="宋体"/>
                <w:sz w:val="24"/>
                <w:highlight w:val="none"/>
                <w:lang w:val="en-US" w:eastAsia="zh-CN"/>
              </w:rPr>
              <w:t>中</w:t>
            </w:r>
            <w:r>
              <w:rPr>
                <w:rFonts w:hint="eastAsia" w:ascii="宋体" w:hAnsi="宋体" w:eastAsia="宋体" w:cs="宋体"/>
                <w:sz w:val="24"/>
                <w:highlight w:val="none"/>
              </w:rPr>
              <w:t>级职称的，每有</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人得</w:t>
            </w:r>
            <w:r>
              <w:rPr>
                <w:rFonts w:hint="eastAsia" w:ascii="宋体" w:hAnsi="宋体" w:eastAsia="宋体" w:cs="宋体"/>
                <w:sz w:val="24"/>
                <w:highlight w:val="none"/>
                <w:lang w:val="en-US" w:eastAsia="zh-CN"/>
              </w:rPr>
              <w:t>1</w:t>
            </w:r>
            <w:r>
              <w:rPr>
                <w:rFonts w:hint="eastAsia" w:ascii="宋体" w:hAnsi="宋体" w:eastAsia="宋体" w:cs="宋体"/>
                <w:sz w:val="24"/>
                <w:highlight w:val="none"/>
              </w:rPr>
              <w:t>分</w:t>
            </w:r>
            <w:r>
              <w:rPr>
                <w:rFonts w:hint="eastAsia" w:ascii="宋体" w:hAnsi="宋体" w:eastAsia="宋体" w:cs="宋体"/>
                <w:sz w:val="24"/>
                <w:highlight w:val="none"/>
                <w:lang w:eastAsia="zh-CN"/>
              </w:rPr>
              <w:t>，</w:t>
            </w:r>
            <w:r>
              <w:rPr>
                <w:rFonts w:hint="eastAsia" w:ascii="宋体" w:hAnsi="宋体" w:eastAsia="宋体" w:cs="宋体"/>
                <w:sz w:val="24"/>
                <w:highlight w:val="none"/>
              </w:rPr>
              <w:t>本项最高得</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分。</w:t>
            </w:r>
          </w:p>
          <w:p w14:paraId="0185E93D">
            <w:pPr>
              <w:spacing w:line="400" w:lineRule="exact"/>
              <w:ind w:firstLine="48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4</w:t>
            </w:r>
            <w:r>
              <w:rPr>
                <w:rFonts w:hint="eastAsia" w:ascii="宋体" w:hAnsi="宋体" w:eastAsia="宋体" w:cs="宋体"/>
                <w:sz w:val="24"/>
                <w:highlight w:val="none"/>
              </w:rPr>
              <w:t>、本项目管理机构除项目负责人以外，还应当配齐安全员、施工员、质量员。人员齐全得3分</w:t>
            </w:r>
            <w:bookmarkStart w:id="263" w:name="_GoBack"/>
            <w:bookmarkEnd w:id="263"/>
            <w:r>
              <w:rPr>
                <w:rFonts w:hint="eastAsia" w:ascii="宋体" w:hAnsi="宋体" w:eastAsia="宋体" w:cs="宋体"/>
                <w:sz w:val="24"/>
                <w:highlight w:val="none"/>
                <w:lang w:eastAsia="zh-CN"/>
              </w:rPr>
              <w:t>，</w:t>
            </w:r>
            <w:r>
              <w:rPr>
                <w:rFonts w:hint="eastAsia" w:ascii="宋体" w:hAnsi="宋体" w:eastAsia="宋体" w:cs="宋体"/>
                <w:sz w:val="24"/>
                <w:highlight w:val="none"/>
              </w:rPr>
              <w:t>不齐全的每缺一名扣1分。</w:t>
            </w:r>
          </w:p>
          <w:p w14:paraId="4B3F5FAD">
            <w:pPr>
              <w:spacing w:line="400" w:lineRule="exact"/>
              <w:ind w:right="105" w:firstLine="480"/>
              <w:jc w:val="left"/>
              <w:rPr>
                <w:rFonts w:hint="default"/>
                <w:color w:val="auto"/>
                <w:highlight w:val="none"/>
                <w:lang w:val="en-US" w:eastAsia="zh-CN"/>
              </w:rPr>
            </w:pPr>
            <w:r>
              <w:rPr>
                <w:rFonts w:hint="eastAsia" w:ascii="宋体" w:hAnsi="宋体" w:eastAsia="宋体" w:cs="Times New Roman"/>
                <w:color w:val="auto"/>
                <w:sz w:val="24"/>
                <w:highlight w:val="none"/>
              </w:rPr>
              <w:t xml:space="preserve">（提供证书的复印件加盖供应商公章，未提供不得分） </w:t>
            </w:r>
          </w:p>
        </w:tc>
      </w:tr>
      <w:tr w14:paraId="58F0EE12">
        <w:tblPrEx>
          <w:tblCellMar>
            <w:top w:w="0" w:type="dxa"/>
            <w:left w:w="108" w:type="dxa"/>
            <w:bottom w:w="0" w:type="dxa"/>
            <w:right w:w="108" w:type="dxa"/>
          </w:tblCellMar>
        </w:tblPrEx>
        <w:tc>
          <w:tcPr>
            <w:tcW w:w="641" w:type="dxa"/>
            <w:tcBorders>
              <w:top w:val="single" w:color="000000" w:sz="4" w:space="0"/>
              <w:left w:val="single" w:color="000000" w:sz="4" w:space="0"/>
              <w:bottom w:val="single" w:color="000000" w:sz="4" w:space="0"/>
              <w:right w:val="nil"/>
            </w:tcBorders>
            <w:noWrap w:val="0"/>
            <w:vAlign w:val="center"/>
          </w:tcPr>
          <w:p w14:paraId="1F79F27B">
            <w:pPr>
              <w:spacing w:line="500" w:lineRule="exact"/>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5</w:t>
            </w:r>
          </w:p>
        </w:tc>
        <w:tc>
          <w:tcPr>
            <w:tcW w:w="1667" w:type="dxa"/>
            <w:tcBorders>
              <w:top w:val="single" w:color="000000" w:sz="4" w:space="0"/>
              <w:left w:val="single" w:color="000000" w:sz="4" w:space="0"/>
              <w:bottom w:val="single" w:color="000000" w:sz="4" w:space="0"/>
              <w:right w:val="nil"/>
            </w:tcBorders>
            <w:noWrap w:val="0"/>
            <w:vAlign w:val="center"/>
          </w:tcPr>
          <w:p w14:paraId="0B90646C">
            <w:pPr>
              <w:widowControl/>
              <w:spacing w:line="276" w:lineRule="auto"/>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施工方案</w:t>
            </w:r>
          </w:p>
          <w:p w14:paraId="4C1EB80C">
            <w:pPr>
              <w:widowControl/>
              <w:spacing w:line="276" w:lineRule="auto"/>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sz w:val="24"/>
                <w:highlight w:val="none"/>
              </w:rPr>
              <w:t>（</w:t>
            </w:r>
            <w:r>
              <w:rPr>
                <w:rFonts w:hint="eastAsia" w:ascii="宋体" w:hAnsi="宋体" w:eastAsia="宋体" w:cs="宋体"/>
                <w:b/>
                <w:bCs/>
                <w:sz w:val="24"/>
                <w:highlight w:val="none"/>
                <w:lang w:val="en-US" w:eastAsia="zh-CN"/>
              </w:rPr>
              <w:t>59</w:t>
            </w:r>
            <w:r>
              <w:rPr>
                <w:rFonts w:hint="eastAsia" w:ascii="宋体" w:hAnsi="宋体" w:eastAsia="宋体" w:cs="宋体"/>
                <w:b/>
                <w:bCs/>
                <w:sz w:val="24"/>
                <w:highlight w:val="none"/>
              </w:rPr>
              <w:t>分）</w:t>
            </w:r>
          </w:p>
        </w:tc>
        <w:tc>
          <w:tcPr>
            <w:tcW w:w="7400" w:type="dxa"/>
            <w:tcBorders>
              <w:top w:val="single" w:color="000000" w:sz="4" w:space="0"/>
              <w:left w:val="single" w:color="000000" w:sz="4" w:space="0"/>
              <w:bottom w:val="single" w:color="000000" w:sz="4" w:space="0"/>
              <w:right w:val="single" w:color="000000" w:sz="4" w:space="0"/>
            </w:tcBorders>
            <w:noWrap w:val="0"/>
            <w:vAlign w:val="top"/>
          </w:tcPr>
          <w:p w14:paraId="32BC0CBD">
            <w:pPr>
              <w:spacing w:line="400" w:lineRule="exact"/>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（1）总体概述（9分）：根据投标人提供的总体概述进行综合评定：</w:t>
            </w:r>
          </w:p>
          <w:p w14:paraId="672F9440">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①施工组织总体设想；</w:t>
            </w:r>
          </w:p>
          <w:p w14:paraId="4E1512A0">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②施工组织机构；</w:t>
            </w:r>
          </w:p>
          <w:p w14:paraId="2F083240">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③施工工艺、顺序； </w:t>
            </w:r>
          </w:p>
          <w:p w14:paraId="54AD05B0">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方案内容描述全面合理符合采购需求的得9分，每有一项内容缺失的扣3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p w14:paraId="43E16461">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（2）现场布置方案（9分）：根据投标人提供的现场布置方案进行综合评定：</w:t>
            </w:r>
          </w:p>
          <w:p w14:paraId="2667A9C2">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①施工现场平面布置；</w:t>
            </w:r>
          </w:p>
          <w:p w14:paraId="17DB8203">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②临时设施；</w:t>
            </w:r>
          </w:p>
          <w:p w14:paraId="1B62918C">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③临时道路布置；</w:t>
            </w:r>
          </w:p>
          <w:p w14:paraId="6A1750F2">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方案内容描述全面合理符合采购需求的得9分，每有一项内容缺失的扣3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p w14:paraId="4D95AB2F">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（3）进度保证措施（10分）：根据投标人提供的进度保证措施进行综合评定：</w:t>
            </w:r>
          </w:p>
          <w:p w14:paraId="77C57FDF">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①施工进度计划；</w:t>
            </w:r>
          </w:p>
          <w:p w14:paraId="4009526A">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②各阶段进度的保证措施；</w:t>
            </w:r>
          </w:p>
          <w:p w14:paraId="3B883208">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方案内容描述全面合理符合采购需求的得10分，每有一项内容缺失的扣5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p w14:paraId="47AFF8D3">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（4）安全文明施工及保证措施（10分）：根据投标人提供的安全文明施工及保证措施进行综合评定：</w:t>
            </w:r>
          </w:p>
          <w:p w14:paraId="72E58F84">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①针对本项目建设施工安全文明方案；</w:t>
            </w:r>
          </w:p>
          <w:p w14:paraId="71C63965">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②针对本项目建设采取的环保措施； </w:t>
            </w:r>
          </w:p>
          <w:p w14:paraId="3D604379">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方案内容描述全面合理符合采购需求的得10分，每有一项内容缺失的扣5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p w14:paraId="38A6D683">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（5）资源投入计划（9分）：根据投标人提供的投入计划进行综合评定： </w:t>
            </w:r>
          </w:p>
          <w:p w14:paraId="43FDFB2D">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①结合本项目具体要求，编制项目实施过程中的劳动力投入计划；</w:t>
            </w:r>
          </w:p>
          <w:p w14:paraId="3FBA4474">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②结合本项目具体要求，编制项目实施过程中的机械设备投入计划；</w:t>
            </w:r>
          </w:p>
          <w:p w14:paraId="0C55762D">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③结合本项目具体要求，编制项目实施过程中的材料投入计划； </w:t>
            </w:r>
          </w:p>
          <w:p w14:paraId="67F7013E">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方案内容描述全面合理符合采购需求的得9分，每有一项内容缺失的扣3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p w14:paraId="114F28FB">
            <w:pPr>
              <w:keepNext w:val="0"/>
              <w:keepLines w:val="0"/>
              <w:pageBreakBefore w:val="0"/>
              <w:widowControl w:val="0"/>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（6）重点、难点和解决方案（12分）：根据投标人提供的重点、难点和解决方案进行综合评定：</w:t>
            </w:r>
          </w:p>
          <w:p w14:paraId="3D17C122">
            <w:pPr>
              <w:keepNext w:val="0"/>
              <w:keepLines w:val="0"/>
              <w:pageBreakBefore w:val="0"/>
              <w:widowControl w:val="0"/>
              <w:numPr>
                <w:ilvl w:val="0"/>
                <w:numId w:val="0"/>
              </w:numPr>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①结合本项目具体要求，编制项目实施过程中的关键施工技术的重点、难点和解决方案；</w:t>
            </w:r>
          </w:p>
          <w:p w14:paraId="41B7D386">
            <w:pPr>
              <w:keepNext w:val="0"/>
              <w:keepLines w:val="0"/>
              <w:pageBreakBefore w:val="0"/>
              <w:widowControl w:val="0"/>
              <w:numPr>
                <w:ilvl w:val="0"/>
                <w:numId w:val="0"/>
              </w:numPr>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②结合本项目具体要求，编制项目实施过程中的关键工艺实施的重点、难点和解决方案；</w:t>
            </w:r>
          </w:p>
          <w:p w14:paraId="3468485E">
            <w:pPr>
              <w:keepNext w:val="0"/>
              <w:keepLines w:val="0"/>
              <w:pageBreakBefore w:val="0"/>
              <w:widowControl w:val="0"/>
              <w:numPr>
                <w:ilvl w:val="0"/>
                <w:numId w:val="0"/>
              </w:numPr>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③结合本项目具体要求，编制项目实施过程中的关键工程项目实施的重点、难点和解决方案；</w:t>
            </w:r>
          </w:p>
          <w:p w14:paraId="1C8BF035">
            <w:pPr>
              <w:keepNext w:val="0"/>
              <w:keepLines w:val="0"/>
              <w:pageBreakBefore w:val="0"/>
              <w:widowControl w:val="0"/>
              <w:numPr>
                <w:ilvl w:val="0"/>
                <w:numId w:val="0"/>
              </w:numPr>
              <w:spacing w:line="400" w:lineRule="exact"/>
              <w:ind w:right="105"/>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方案内容描述全面合理符合采购需求的得12分，每有一项内容缺失的扣4分；每有一处内容存在缺陷或不满足要求的扣1分，扣完为止。（缺陷或不满足指：内容不全面、与实际需求不符、内容不清晰或交叉混乱、套用其他项目方案、有规范性或常识性错误、存在无关的事项、凭空编造、存在不可能实现的夸大情形等任意一种情形）未提供方案不得分。</w:t>
            </w:r>
          </w:p>
        </w:tc>
      </w:tr>
    </w:tbl>
    <w:p w14:paraId="4F804AE6">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5E78C57F">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firstLine="4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（1）评标委员会成员到达评标现场时应在签到表上签到以证明其出席。</w:t>
      </w:r>
    </w:p>
    <w:p w14:paraId="0038C8B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firstLine="4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（2）评标委员会成员首先推选一名评标委员会负责人，负责评标活动的组织领导工作。</w:t>
      </w:r>
    </w:p>
    <w:p w14:paraId="1FE4792A">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firstLine="4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（3）采购人或招标代理机构应向评标委员会提供评标所需的信息和数据。评标委员会负责人应组织评标委员会成员认真研究招标文件，未在招标文件中规定的标准和方法不得作为评标的依据。</w:t>
      </w:r>
    </w:p>
    <w:p w14:paraId="3ACDEFC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firstLine="4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评委应记名打分，打分未记名的或未按招标文件规定的评标办法打分的，一律按无效票处理。各项汇总时，取所有主观分评委打分的平均值。每大项记分保留两位小数（第三位四舍五入）；总得分汇总时保留两位小数（第三位四舍五入）。</w:t>
      </w:r>
    </w:p>
    <w:p w14:paraId="1E265E93">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firstLine="47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（5）如排名第一的中标候选人放弃中标、因不可抗力不能履行合同、不按照招标文件要求提交履约保证金，或者被查实存在影响中标结果的违法行为等情形，不符合中标条件的，须重新招标。</w:t>
      </w:r>
      <w:r>
        <w:rPr>
          <w:rFonts w:hint="eastAsia" w:ascii="宋体" w:hAnsi="宋体" w:eastAsia="宋体" w:cs="宋体"/>
          <w:color w:val="auto"/>
          <w:sz w:val="24"/>
          <w:szCs w:val="24"/>
          <w:highlight w:val="none"/>
          <w:lang w:val="en-US" w:eastAsia="zh-CN"/>
        </w:rPr>
        <w:t xml:space="preserve"> </w:t>
      </w:r>
    </w:p>
    <w:p w14:paraId="1508D99C">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firstLine="47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（6）在招投标过程中发生行贿受贿、扰乱招投标活动秩序及其他严重违法违纪行为的，一律取消有关责任人参与招投标活动的资格；影响评审结果的，应宣布评审结果无效。</w:t>
      </w:r>
    </w:p>
    <w:p w14:paraId="15264EC4">
      <w:pPr>
        <w:keepNext w:val="0"/>
        <w:keepLines w:val="0"/>
        <w:pageBreakBefore w:val="0"/>
        <w:widowControl/>
        <w:pBdr>
          <w:top w:val="none" w:color="000000" w:sz="0" w:space="0"/>
          <w:left w:val="none" w:color="000000" w:sz="0" w:space="0"/>
          <w:bottom w:val="none" w:color="000000" w:sz="0" w:space="0"/>
          <w:right w:val="none" w:color="000000" w:sz="0" w:space="0"/>
        </w:pBdr>
        <w:spacing w:line="440" w:lineRule="exact"/>
        <w:ind w:firstLine="471"/>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（7）评审过程中，除招标文件另有规定外，如发现投标文件无相关资料、数据的，经评标委员会认定，可确定其该项不得分（即取消保底分值）。</w:t>
      </w:r>
    </w:p>
    <w:p w14:paraId="7B1812BF">
      <w:pPr>
        <w:pStyle w:val="36"/>
        <w:spacing w:beforeAutospacing="0" w:afterAutospacing="0"/>
        <w:jc w:val="both"/>
        <w:rPr>
          <w:color w:val="auto"/>
          <w:highlight w:val="none"/>
        </w:rPr>
      </w:pPr>
      <w:r>
        <w:rPr>
          <w:color w:val="auto"/>
          <w:highlight w:val="none"/>
        </w:rPr>
        <w:t> </w:t>
      </w:r>
    </w:p>
    <w:p w14:paraId="36E0FBD2">
      <w:pPr>
        <w:pStyle w:val="36"/>
        <w:spacing w:beforeAutospacing="0" w:afterAutospacing="0"/>
        <w:jc w:val="both"/>
        <w:rPr>
          <w:color w:val="auto"/>
          <w:highlight w:val="none"/>
        </w:rPr>
      </w:pPr>
      <w:r>
        <w:rPr>
          <w:color w:val="auto"/>
          <w:highlight w:val="none"/>
        </w:rPr>
        <w:t> </w:t>
      </w:r>
    </w:p>
    <w:p w14:paraId="2AD60907">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p>
    <w:p w14:paraId="2A9405BA">
      <w:pPr>
        <w:pStyle w:val="36"/>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响应文件格式 </w:t>
      </w:r>
    </w:p>
    <w:p w14:paraId="68EEBA33">
      <w:pPr>
        <w:pStyle w:val="36"/>
        <w:spacing w:beforeAutospacing="0" w:afterAutospacing="0"/>
        <w:jc w:val="center"/>
        <w:rPr>
          <w:rFonts w:hint="eastAsia" w:ascii="宋体" w:hAnsi="宋体" w:eastAsia="宋体" w:cs="宋体"/>
          <w:b/>
          <w:color w:val="auto"/>
          <w:sz w:val="72"/>
          <w:szCs w:val="72"/>
          <w:highlight w:val="none"/>
        </w:rPr>
      </w:pPr>
      <w:bookmarkStart w:id="229" w:name="_Toc49090576"/>
      <w:bookmarkEnd w:id="229"/>
      <w:bookmarkStart w:id="230" w:name="_Toc120614282"/>
      <w:bookmarkEnd w:id="230"/>
      <w:bookmarkStart w:id="231" w:name="_Hlt26671244"/>
      <w:bookmarkStart w:id="232" w:name="_Hlt26955039"/>
      <w:bookmarkStart w:id="233" w:name="_Toc26554094"/>
    </w:p>
    <w:p w14:paraId="455CA3A5">
      <w:pPr>
        <w:pStyle w:val="36"/>
        <w:spacing w:beforeAutospacing="0" w:afterAutospacing="0"/>
        <w:jc w:val="center"/>
        <w:rPr>
          <w:rFonts w:hint="eastAsia" w:ascii="宋体" w:hAnsi="宋体" w:eastAsia="宋体" w:cs="宋体"/>
          <w:b/>
          <w:color w:val="auto"/>
          <w:sz w:val="72"/>
          <w:szCs w:val="72"/>
          <w:highlight w:val="none"/>
        </w:rPr>
      </w:pPr>
    </w:p>
    <w:p w14:paraId="1E6BEB42">
      <w:pPr>
        <w:pStyle w:val="36"/>
        <w:spacing w:beforeAutospacing="0" w:afterAutospacing="0"/>
        <w:jc w:val="center"/>
        <w:rPr>
          <w:rFonts w:hint="eastAsia" w:ascii="宋体" w:hAnsi="宋体" w:eastAsia="宋体" w:cs="宋体"/>
          <w:b/>
          <w:color w:val="auto"/>
          <w:sz w:val="72"/>
          <w:szCs w:val="72"/>
          <w:highlight w:val="none"/>
        </w:rPr>
      </w:pPr>
    </w:p>
    <w:p w14:paraId="407C096A">
      <w:pPr>
        <w:pStyle w:val="36"/>
        <w:spacing w:beforeAutospacing="0" w:afterAutospacing="0"/>
        <w:jc w:val="both"/>
        <w:rPr>
          <w:rFonts w:hint="eastAsia" w:ascii="宋体" w:hAnsi="宋体" w:eastAsia="宋体" w:cs="宋体"/>
          <w:b/>
          <w:color w:val="auto"/>
          <w:sz w:val="72"/>
          <w:szCs w:val="72"/>
          <w:highlight w:val="none"/>
        </w:rPr>
      </w:pPr>
    </w:p>
    <w:p w14:paraId="4BDFD7E9">
      <w:pPr>
        <w:pStyle w:val="36"/>
        <w:spacing w:beforeAutospacing="0" w:afterAutospacing="0"/>
        <w:jc w:val="center"/>
        <w:rPr>
          <w:color w:val="auto"/>
          <w:highlight w:val="none"/>
        </w:rPr>
      </w:pPr>
      <w:r>
        <w:rPr>
          <w:rFonts w:hint="eastAsia" w:ascii="宋体" w:hAnsi="宋体" w:eastAsia="宋体" w:cs="宋体"/>
          <w:b/>
          <w:color w:val="auto"/>
          <w:sz w:val="72"/>
          <w:szCs w:val="72"/>
          <w:highlight w:val="none"/>
        </w:rPr>
        <w:t>响  应  文  件</w:t>
      </w:r>
    </w:p>
    <w:p w14:paraId="1D40CE6C">
      <w:pPr>
        <w:pStyle w:val="36"/>
        <w:spacing w:beforeAutospacing="0" w:afterAutospacing="0"/>
        <w:jc w:val="center"/>
        <w:rPr>
          <w:color w:val="auto"/>
          <w:highlight w:val="none"/>
        </w:rPr>
      </w:pPr>
      <w:r>
        <w:rPr>
          <w:color w:val="auto"/>
          <w:highlight w:val="none"/>
        </w:rPr>
        <w:t> </w:t>
      </w:r>
    </w:p>
    <w:p w14:paraId="2F810DF7">
      <w:pPr>
        <w:pStyle w:val="36"/>
        <w:spacing w:beforeAutospacing="0" w:afterAutospacing="0"/>
        <w:jc w:val="center"/>
        <w:rPr>
          <w:color w:val="auto"/>
          <w:highlight w:val="none"/>
        </w:rPr>
      </w:pPr>
    </w:p>
    <w:p w14:paraId="43559828">
      <w:pPr>
        <w:pStyle w:val="36"/>
        <w:spacing w:beforeAutospacing="0" w:afterAutospacing="0"/>
        <w:jc w:val="center"/>
        <w:rPr>
          <w:color w:val="auto"/>
          <w:highlight w:val="none"/>
        </w:rPr>
      </w:pPr>
    </w:p>
    <w:p w14:paraId="227E49CE">
      <w:pPr>
        <w:pStyle w:val="36"/>
        <w:spacing w:beforeAutospacing="0" w:afterAutospacing="0"/>
        <w:jc w:val="center"/>
        <w:rPr>
          <w:color w:val="auto"/>
          <w:highlight w:val="none"/>
        </w:rPr>
      </w:pPr>
    </w:p>
    <w:p w14:paraId="7FB9AE6B">
      <w:pPr>
        <w:pStyle w:val="36"/>
        <w:spacing w:beforeAutospacing="0" w:afterAutospacing="0"/>
        <w:jc w:val="center"/>
        <w:rPr>
          <w:color w:val="auto"/>
          <w:highlight w:val="none"/>
        </w:rPr>
      </w:pPr>
    </w:p>
    <w:p w14:paraId="66A50D7C">
      <w:pPr>
        <w:pStyle w:val="36"/>
        <w:spacing w:beforeAutospacing="0" w:afterAutospacing="0"/>
        <w:jc w:val="center"/>
        <w:rPr>
          <w:color w:val="auto"/>
          <w:highlight w:val="none"/>
        </w:rPr>
      </w:pPr>
      <w:r>
        <w:rPr>
          <w:color w:val="auto"/>
          <w:highlight w:val="none"/>
        </w:rPr>
        <w:t> </w:t>
      </w:r>
    </w:p>
    <w:p w14:paraId="26DBAE7E">
      <w:pPr>
        <w:pStyle w:val="36"/>
        <w:spacing w:beforeAutospacing="0" w:afterAutospacing="0"/>
        <w:jc w:val="center"/>
        <w:rPr>
          <w:color w:val="auto"/>
          <w:highlight w:val="none"/>
        </w:rPr>
      </w:pPr>
      <w:r>
        <w:rPr>
          <w:color w:val="auto"/>
          <w:highlight w:val="none"/>
        </w:rPr>
        <w:t> </w:t>
      </w:r>
    </w:p>
    <w:p w14:paraId="6AE6D26F">
      <w:pPr>
        <w:pStyle w:val="36"/>
        <w:spacing w:beforeAutospacing="0" w:afterAutospacing="0"/>
        <w:jc w:val="center"/>
        <w:rPr>
          <w:color w:val="auto"/>
          <w:highlight w:val="none"/>
        </w:rPr>
      </w:pPr>
      <w:r>
        <w:rPr>
          <w:color w:val="auto"/>
          <w:highlight w:val="none"/>
        </w:rPr>
        <w:t> </w:t>
      </w:r>
    </w:p>
    <w:p w14:paraId="24906416">
      <w:pPr>
        <w:pStyle w:val="36"/>
        <w:spacing w:beforeAutospacing="0" w:afterAutospacing="0"/>
        <w:jc w:val="center"/>
        <w:rPr>
          <w:color w:val="auto"/>
          <w:highlight w:val="none"/>
        </w:rPr>
      </w:pPr>
      <w:r>
        <w:rPr>
          <w:color w:val="auto"/>
          <w:highlight w:val="none"/>
        </w:rPr>
        <w:t> </w:t>
      </w:r>
    </w:p>
    <w:p w14:paraId="4E100162">
      <w:pPr>
        <w:pStyle w:val="36"/>
        <w:spacing w:beforeAutospacing="0" w:afterAutospacing="0"/>
        <w:ind w:firstLine="0"/>
        <w:jc w:val="both"/>
        <w:rPr>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项 目名 称：</w:t>
      </w:r>
      <w:r>
        <w:rPr>
          <w:rFonts w:hint="eastAsia" w:ascii="宋体" w:hAnsi="宋体" w:eastAsia="宋体" w:cs="宋体"/>
          <w:b/>
          <w:color w:val="auto"/>
          <w:sz w:val="36"/>
          <w:szCs w:val="36"/>
          <w:highlight w:val="none"/>
          <w:u w:val="single"/>
        </w:rPr>
        <w:t xml:space="preserve">               </w:t>
      </w:r>
    </w:p>
    <w:p w14:paraId="21096B92">
      <w:pPr>
        <w:pStyle w:val="36"/>
        <w:spacing w:beforeAutospacing="0" w:afterAutospacing="0"/>
        <w:ind w:firstLine="0"/>
        <w:jc w:val="both"/>
        <w:rPr>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项 目编 号：</w:t>
      </w:r>
      <w:r>
        <w:rPr>
          <w:rFonts w:hint="eastAsia" w:ascii="宋体" w:hAnsi="宋体" w:eastAsia="宋体" w:cs="宋体"/>
          <w:b/>
          <w:color w:val="auto"/>
          <w:sz w:val="36"/>
          <w:szCs w:val="36"/>
          <w:highlight w:val="none"/>
          <w:u w:val="single"/>
        </w:rPr>
        <w:t xml:space="preserve">               </w:t>
      </w:r>
    </w:p>
    <w:p w14:paraId="39A81CEC">
      <w:pPr>
        <w:pStyle w:val="36"/>
        <w:spacing w:beforeAutospacing="0" w:afterAutospacing="0"/>
        <w:jc w:val="both"/>
        <w:rPr>
          <w:rFonts w:hint="default" w:eastAsia="宋体"/>
          <w:color w:val="auto"/>
          <w:highlight w:val="none"/>
          <w:lang w:val="en-US" w:eastAsia="zh-CN"/>
        </w:rPr>
      </w:pPr>
      <w:r>
        <w:rPr>
          <w:rFonts w:hint="eastAsia" w:ascii="宋体" w:hAnsi="宋体" w:eastAsia="宋体" w:cs="宋体"/>
          <w:b/>
          <w:color w:val="auto"/>
          <w:sz w:val="36"/>
          <w:szCs w:val="36"/>
          <w:highlight w:val="none"/>
        </w:rPr>
        <w:t>  供应商名称 ：</w:t>
      </w:r>
      <w:r>
        <w:rPr>
          <w:rFonts w:hint="eastAsia" w:ascii="宋体" w:hAnsi="宋体" w:eastAsia="宋体" w:cs="宋体"/>
          <w:b/>
          <w:color w:val="auto"/>
          <w:sz w:val="36"/>
          <w:szCs w:val="36"/>
          <w:highlight w:val="none"/>
          <w:u w:val="single"/>
        </w:rPr>
        <w:t>（加盖CA电子公章）</w:t>
      </w:r>
      <w:r>
        <w:rPr>
          <w:rFonts w:hint="eastAsia" w:ascii="宋体" w:hAnsi="宋体" w:eastAsia="宋体" w:cs="宋体"/>
          <w:b/>
          <w:color w:val="auto"/>
          <w:sz w:val="36"/>
          <w:szCs w:val="36"/>
          <w:highlight w:val="none"/>
          <w:u w:val="single"/>
          <w:lang w:val="en-US" w:eastAsia="zh-CN"/>
        </w:rPr>
        <w:t xml:space="preserve">         </w:t>
      </w:r>
    </w:p>
    <w:p w14:paraId="37E5F6CD">
      <w:pPr>
        <w:pStyle w:val="36"/>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w:t>
      </w:r>
    </w:p>
    <w:p w14:paraId="3727A4C4">
      <w:pPr>
        <w:pStyle w:val="36"/>
        <w:spacing w:beforeAutospacing="0" w:afterAutospacing="0" w:line="0" w:lineRule="atLeast"/>
        <w:jc w:val="center"/>
        <w:rPr>
          <w:color w:val="auto"/>
          <w:highlight w:val="none"/>
        </w:rPr>
      </w:pPr>
      <w:r>
        <w:rPr>
          <w:color w:val="auto"/>
          <w:highlight w:val="none"/>
        </w:rPr>
        <w:t> </w:t>
      </w:r>
    </w:p>
    <w:p w14:paraId="3CD0D072">
      <w:pPr>
        <w:pStyle w:val="36"/>
        <w:spacing w:beforeAutospacing="0" w:afterAutospacing="0" w:line="0" w:lineRule="atLeast"/>
        <w:jc w:val="center"/>
        <w:rPr>
          <w:rFonts w:ascii="宋体" w:hAnsi="宋体" w:eastAsia="宋体" w:cs="宋体"/>
          <w:b/>
          <w:color w:val="auto"/>
          <w:sz w:val="32"/>
          <w:szCs w:val="32"/>
          <w:highlight w:val="none"/>
        </w:rPr>
      </w:pPr>
    </w:p>
    <w:p w14:paraId="13C6A384">
      <w:pPr>
        <w:pStyle w:val="36"/>
        <w:spacing w:beforeAutospacing="0" w:afterAutospacing="0" w:line="0" w:lineRule="atLeast"/>
        <w:jc w:val="center"/>
        <w:rPr>
          <w:rFonts w:ascii="宋体" w:hAnsi="宋体" w:eastAsia="宋体" w:cs="宋体"/>
          <w:b/>
          <w:color w:val="auto"/>
          <w:sz w:val="32"/>
          <w:szCs w:val="32"/>
          <w:highlight w:val="none"/>
        </w:rPr>
      </w:pPr>
    </w:p>
    <w:p w14:paraId="31F47E88">
      <w:pPr>
        <w:pStyle w:val="36"/>
        <w:spacing w:beforeAutospacing="0" w:afterAutospacing="0" w:line="0" w:lineRule="atLeast"/>
        <w:jc w:val="center"/>
        <w:rPr>
          <w:rFonts w:ascii="宋体" w:hAnsi="宋体" w:eastAsia="宋体" w:cs="宋体"/>
          <w:b/>
          <w:color w:val="auto"/>
          <w:sz w:val="32"/>
          <w:szCs w:val="32"/>
          <w:highlight w:val="none"/>
        </w:rPr>
      </w:pPr>
    </w:p>
    <w:p w14:paraId="23977A80">
      <w:pPr>
        <w:pStyle w:val="36"/>
        <w:spacing w:beforeAutospacing="0" w:afterAutospacing="0" w:line="0" w:lineRule="atLeast"/>
        <w:jc w:val="center"/>
        <w:rPr>
          <w:rFonts w:ascii="宋体" w:hAnsi="宋体" w:eastAsia="宋体" w:cs="宋体"/>
          <w:b/>
          <w:color w:val="auto"/>
          <w:sz w:val="32"/>
          <w:szCs w:val="32"/>
          <w:highlight w:val="none"/>
        </w:rPr>
      </w:pPr>
    </w:p>
    <w:p w14:paraId="5B58391F">
      <w:pPr>
        <w:pStyle w:val="36"/>
        <w:spacing w:beforeAutospacing="0" w:afterAutospacing="0" w:line="0" w:lineRule="atLeast"/>
        <w:jc w:val="center"/>
        <w:rPr>
          <w:rFonts w:ascii="宋体" w:hAnsi="宋体" w:eastAsia="宋体" w:cs="宋体"/>
          <w:b/>
          <w:color w:val="auto"/>
          <w:sz w:val="32"/>
          <w:szCs w:val="32"/>
          <w:highlight w:val="none"/>
        </w:rPr>
      </w:pPr>
    </w:p>
    <w:p w14:paraId="21EAD096">
      <w:pPr>
        <w:pStyle w:val="36"/>
        <w:spacing w:beforeAutospacing="0" w:afterAutospacing="0" w:line="0" w:lineRule="atLeast"/>
        <w:jc w:val="center"/>
        <w:rPr>
          <w:rFonts w:ascii="宋体" w:hAnsi="宋体" w:eastAsia="宋体" w:cs="宋体"/>
          <w:b/>
          <w:color w:val="auto"/>
          <w:sz w:val="32"/>
          <w:szCs w:val="32"/>
          <w:highlight w:val="none"/>
        </w:rPr>
      </w:pPr>
    </w:p>
    <w:p w14:paraId="616CAD7A">
      <w:pPr>
        <w:pStyle w:val="36"/>
        <w:spacing w:beforeAutospacing="0" w:afterAutospacing="0" w:line="0" w:lineRule="atLeast"/>
        <w:jc w:val="center"/>
        <w:rPr>
          <w:rFonts w:ascii="宋体" w:hAnsi="宋体" w:eastAsia="宋体" w:cs="宋体"/>
          <w:b/>
          <w:color w:val="auto"/>
          <w:sz w:val="32"/>
          <w:szCs w:val="32"/>
          <w:highlight w:val="none"/>
        </w:rPr>
      </w:pPr>
    </w:p>
    <w:p w14:paraId="37EB2818">
      <w:pPr>
        <w:pStyle w:val="36"/>
        <w:spacing w:beforeAutospacing="0" w:afterAutospacing="0" w:line="0" w:lineRule="atLeast"/>
        <w:jc w:val="center"/>
        <w:rPr>
          <w:rFonts w:ascii="宋体" w:hAnsi="宋体" w:eastAsia="宋体" w:cs="宋体"/>
          <w:b/>
          <w:color w:val="auto"/>
          <w:sz w:val="32"/>
          <w:szCs w:val="32"/>
          <w:highlight w:val="none"/>
        </w:rPr>
      </w:pPr>
    </w:p>
    <w:p w14:paraId="0ED06E96">
      <w:pPr>
        <w:pStyle w:val="36"/>
        <w:spacing w:beforeAutospacing="0" w:afterAutospacing="0" w:line="0" w:lineRule="atLeast"/>
        <w:jc w:val="center"/>
        <w:rPr>
          <w:rFonts w:ascii="宋体" w:hAnsi="宋体" w:eastAsia="宋体" w:cs="宋体"/>
          <w:b/>
          <w:color w:val="auto"/>
          <w:sz w:val="32"/>
          <w:szCs w:val="32"/>
          <w:highlight w:val="none"/>
        </w:rPr>
      </w:pPr>
    </w:p>
    <w:p w14:paraId="3B0B5318">
      <w:pPr>
        <w:spacing w:line="360" w:lineRule="auto"/>
        <w:jc w:val="center"/>
        <w:rPr>
          <w:rFonts w:ascii="Cambria" w:hAnsi="Cambria"/>
          <w:b/>
          <w:bCs/>
          <w:color w:val="auto"/>
          <w:sz w:val="32"/>
          <w:szCs w:val="32"/>
          <w:highlight w:val="none"/>
        </w:rPr>
      </w:pPr>
      <w:r>
        <w:rPr>
          <w:rFonts w:hint="eastAsia" w:ascii="Cambria" w:hAnsi="Cambria"/>
          <w:b/>
          <w:bCs/>
          <w:color w:val="auto"/>
          <w:sz w:val="32"/>
          <w:szCs w:val="32"/>
          <w:highlight w:val="none"/>
        </w:rPr>
        <w:t>1、磋商响应报价表</w:t>
      </w:r>
    </w:p>
    <w:p w14:paraId="245D0C00">
      <w:pPr>
        <w:pStyle w:val="196"/>
        <w:spacing w:line="520" w:lineRule="atLeast"/>
        <w:rPr>
          <w:color w:val="auto"/>
          <w:highlight w:val="none"/>
        </w:rPr>
      </w:pPr>
      <w:r>
        <w:rPr>
          <w:rFonts w:hint="eastAsia"/>
          <w:color w:val="auto"/>
          <w:highlight w:val="none"/>
        </w:rPr>
        <w:t>（第</w:t>
      </w:r>
      <w:r>
        <w:rPr>
          <w:rFonts w:hint="eastAsia"/>
          <w:color w:val="auto"/>
          <w:highlight w:val="none"/>
          <w:u w:val="single"/>
        </w:rPr>
        <w:t xml:space="preserve">  </w:t>
      </w:r>
      <w:r>
        <w:rPr>
          <w:rFonts w:hint="eastAsia"/>
          <w:color w:val="auto"/>
          <w:highlight w:val="none"/>
          <w:u w:val="single"/>
          <w:lang w:val="en-US" w:eastAsia="zh-CN"/>
        </w:rPr>
        <w:t>一、二</w:t>
      </w:r>
      <w:r>
        <w:rPr>
          <w:rFonts w:hint="eastAsia"/>
          <w:color w:val="auto"/>
          <w:highlight w:val="none"/>
          <w:u w:val="single"/>
        </w:rPr>
        <w:t xml:space="preserve">  </w:t>
      </w:r>
      <w:r>
        <w:rPr>
          <w:rFonts w:hint="eastAsia"/>
          <w:color w:val="auto"/>
          <w:highlight w:val="none"/>
        </w:rPr>
        <w:t>轮）</w:t>
      </w:r>
    </w:p>
    <w:p w14:paraId="35A8A321">
      <w:pPr>
        <w:pStyle w:val="197"/>
        <w:spacing w:line="520" w:lineRule="exact"/>
        <w:rPr>
          <w:rFonts w:ascii="宋体" w:hAnsi="宋体" w:eastAsia="等线"/>
          <w:b/>
          <w:bCs/>
          <w:color w:val="auto"/>
          <w:sz w:val="24"/>
          <w:highlight w:val="none"/>
        </w:rPr>
      </w:pPr>
    </w:p>
    <w:p w14:paraId="0AFCFA66">
      <w:pPr>
        <w:pStyle w:val="197"/>
        <w:spacing w:line="520" w:lineRule="exact"/>
        <w:jc w:val="right"/>
        <w:rPr>
          <w:rFonts w:ascii="宋体" w:hAnsi="宋体"/>
          <w:color w:val="auto"/>
          <w:sz w:val="24"/>
          <w:highlight w:val="none"/>
        </w:rPr>
      </w:pPr>
      <w:r>
        <w:rPr>
          <w:rFonts w:ascii="宋体" w:hAnsi="宋体"/>
          <w:color w:val="auto"/>
          <w:sz w:val="24"/>
          <w:highlight w:val="none"/>
        </w:rPr>
        <w:t>货币单位：人民币元</w:t>
      </w:r>
    </w:p>
    <w:tbl>
      <w:tblPr>
        <w:tblStyle w:val="40"/>
        <w:tblpPr w:leftFromText="180" w:rightFromText="180" w:vertAnchor="text" w:horzAnchor="margin" w:tblpXSpec="center" w:tblpY="199"/>
        <w:tblW w:w="85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06"/>
        <w:gridCol w:w="7075"/>
      </w:tblGrid>
      <w:tr w14:paraId="4CBCA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53" w:hRule="atLeast"/>
        </w:trPr>
        <w:tc>
          <w:tcPr>
            <w:tcW w:w="1506" w:type="dxa"/>
            <w:noWrap w:val="0"/>
            <w:vAlign w:val="center"/>
          </w:tcPr>
          <w:p w14:paraId="54DDF3E7">
            <w:pPr>
              <w:jc w:val="center"/>
              <w:rPr>
                <w:rFonts w:hAnsi="宋体" w:cs="宋体"/>
                <w:color w:val="auto"/>
                <w:sz w:val="24"/>
                <w:highlight w:val="none"/>
              </w:rPr>
            </w:pPr>
            <w:r>
              <w:rPr>
                <w:rFonts w:hint="eastAsia" w:hAnsi="宋体" w:cs="宋体"/>
                <w:color w:val="auto"/>
                <w:sz w:val="24"/>
                <w:highlight w:val="none"/>
              </w:rPr>
              <w:t>项目编号</w:t>
            </w:r>
          </w:p>
        </w:tc>
        <w:tc>
          <w:tcPr>
            <w:tcW w:w="7075" w:type="dxa"/>
            <w:noWrap w:val="0"/>
            <w:vAlign w:val="center"/>
          </w:tcPr>
          <w:p w14:paraId="7E6A41C2">
            <w:pPr>
              <w:rPr>
                <w:rFonts w:hint="eastAsia" w:hAnsi="宋体" w:eastAsia="宋体" w:cs="宋体"/>
                <w:color w:val="auto"/>
                <w:sz w:val="24"/>
                <w:highlight w:val="none"/>
                <w:lang w:eastAsia="zh-CN"/>
              </w:rPr>
            </w:pPr>
            <w:r>
              <w:rPr>
                <w:rFonts w:hint="eastAsia" w:ascii="Segoe UI" w:hAnsi="Segoe UI" w:eastAsia="宋体" w:cs="Segoe UI"/>
                <w:i w:val="0"/>
                <w:iCs w:val="0"/>
                <w:caps w:val="0"/>
                <w:color w:val="auto"/>
                <w:spacing w:val="0"/>
                <w:sz w:val="28"/>
                <w:szCs w:val="28"/>
                <w:highlight w:val="none"/>
                <w:shd w:val="clear" w:color="auto" w:fill="FFFFFF"/>
                <w:lang w:eastAsia="zh-CN"/>
              </w:rPr>
              <w:t>JSZC-320924-YCXD-C2026-0003</w:t>
            </w:r>
          </w:p>
        </w:tc>
      </w:tr>
      <w:tr w14:paraId="31D15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4" w:hRule="atLeast"/>
        </w:trPr>
        <w:tc>
          <w:tcPr>
            <w:tcW w:w="1506" w:type="dxa"/>
            <w:noWrap w:val="0"/>
            <w:vAlign w:val="center"/>
          </w:tcPr>
          <w:p w14:paraId="331BB9A8">
            <w:pPr>
              <w:jc w:val="center"/>
              <w:rPr>
                <w:rFonts w:hAnsi="宋体" w:cs="宋体"/>
                <w:color w:val="auto"/>
                <w:sz w:val="24"/>
                <w:highlight w:val="none"/>
              </w:rPr>
            </w:pPr>
            <w:r>
              <w:rPr>
                <w:rFonts w:hint="eastAsia" w:hAnsi="宋体" w:cs="宋体"/>
                <w:color w:val="auto"/>
                <w:sz w:val="24"/>
                <w:highlight w:val="none"/>
              </w:rPr>
              <w:t>项目名称</w:t>
            </w:r>
          </w:p>
        </w:tc>
        <w:tc>
          <w:tcPr>
            <w:tcW w:w="7075" w:type="dxa"/>
            <w:noWrap w:val="0"/>
            <w:vAlign w:val="center"/>
          </w:tcPr>
          <w:p w14:paraId="7B3E89BF">
            <w:pPr>
              <w:rPr>
                <w:rFonts w:hint="default" w:hAnsi="宋体" w:eastAsia="宋体" w:cs="宋体"/>
                <w:color w:val="auto"/>
                <w:sz w:val="24"/>
                <w:highlight w:val="none"/>
                <w:lang w:eastAsia="zh-CN"/>
              </w:rPr>
            </w:pPr>
            <w:r>
              <w:rPr>
                <w:rFonts w:hint="eastAsia" w:hAnsi="宋体" w:eastAsia="宋体" w:cs="宋体"/>
                <w:color w:val="auto"/>
                <w:sz w:val="24"/>
                <w:highlight w:val="none"/>
                <w:lang w:eastAsia="zh-CN"/>
              </w:rPr>
              <w:t>射阳县长荡镇黄沙港支流（中心河）生态河道建设项目</w:t>
            </w:r>
          </w:p>
        </w:tc>
      </w:tr>
      <w:tr w14:paraId="759994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47" w:hRule="atLeast"/>
        </w:trPr>
        <w:tc>
          <w:tcPr>
            <w:tcW w:w="8581" w:type="dxa"/>
            <w:gridSpan w:val="2"/>
            <w:noWrap w:val="0"/>
            <w:vAlign w:val="center"/>
          </w:tcPr>
          <w:p w14:paraId="6D82CCF1">
            <w:pPr>
              <w:rPr>
                <w:rFonts w:hAnsi="宋体" w:cs="宋体"/>
                <w:color w:val="auto"/>
                <w:sz w:val="24"/>
                <w:highlight w:val="none"/>
              </w:rPr>
            </w:pPr>
            <w:r>
              <w:rPr>
                <w:rFonts w:hint="eastAsia" w:hAnsi="宋体" w:cs="宋体"/>
                <w:color w:val="auto"/>
                <w:sz w:val="24"/>
                <w:highlight w:val="none"/>
              </w:rPr>
              <w:t xml:space="preserve">项目报价（人民币）：大写 </w:t>
            </w:r>
            <w:r>
              <w:rPr>
                <w:rFonts w:hint="eastAsia" w:hAnsi="宋体" w:cs="宋体"/>
                <w:color w:val="auto"/>
                <w:sz w:val="24"/>
                <w:highlight w:val="none"/>
                <w:u w:val="single"/>
              </w:rPr>
              <w:t xml:space="preserve">                    </w:t>
            </w:r>
            <w:r>
              <w:rPr>
                <w:rFonts w:hint="eastAsia" w:hAnsi="宋体" w:cs="宋体"/>
                <w:color w:val="auto"/>
                <w:sz w:val="24"/>
                <w:highlight w:val="none"/>
              </w:rPr>
              <w:t xml:space="preserve"> ，小写：</w:t>
            </w:r>
            <w:r>
              <w:rPr>
                <w:rFonts w:ascii="Arial" w:hAnsi="Arial" w:cs="Arial"/>
                <w:color w:val="auto"/>
                <w:sz w:val="24"/>
                <w:highlight w:val="none"/>
              </w:rPr>
              <w:t>¥</w:t>
            </w:r>
            <w:r>
              <w:rPr>
                <w:rFonts w:hint="eastAsia" w:hAnsi="宋体" w:cs="宋体"/>
                <w:color w:val="auto"/>
                <w:sz w:val="24"/>
                <w:highlight w:val="none"/>
                <w:u w:val="single"/>
              </w:rPr>
              <w:t xml:space="preserve">          </w:t>
            </w:r>
          </w:p>
        </w:tc>
      </w:tr>
      <w:tr w14:paraId="0DBBF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81" w:hRule="atLeast"/>
        </w:trPr>
        <w:tc>
          <w:tcPr>
            <w:tcW w:w="8581" w:type="dxa"/>
            <w:gridSpan w:val="2"/>
            <w:noWrap w:val="0"/>
            <w:vAlign w:val="center"/>
          </w:tcPr>
          <w:p w14:paraId="77B14F36">
            <w:pPr>
              <w:rPr>
                <w:rFonts w:hAnsi="宋体" w:cs="宋体"/>
                <w:color w:val="auto"/>
                <w:sz w:val="24"/>
                <w:highlight w:val="none"/>
              </w:rPr>
            </w:pPr>
            <w:r>
              <w:rPr>
                <w:rFonts w:hint="eastAsia" w:hAnsi="宋体" w:cs="宋体"/>
                <w:color w:val="auto"/>
                <w:sz w:val="24"/>
                <w:highlight w:val="none"/>
              </w:rPr>
              <w:t>服务期限：</w:t>
            </w:r>
          </w:p>
        </w:tc>
      </w:tr>
      <w:tr w14:paraId="3B94B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7" w:hRule="atLeast"/>
        </w:trPr>
        <w:tc>
          <w:tcPr>
            <w:tcW w:w="8581" w:type="dxa"/>
            <w:gridSpan w:val="2"/>
            <w:noWrap w:val="0"/>
            <w:vAlign w:val="center"/>
          </w:tcPr>
          <w:p w14:paraId="04DF4877">
            <w:pPr>
              <w:rPr>
                <w:rFonts w:hAnsi="宋体" w:cs="宋体"/>
                <w:color w:val="auto"/>
                <w:sz w:val="24"/>
                <w:highlight w:val="none"/>
              </w:rPr>
            </w:pPr>
            <w:r>
              <w:rPr>
                <w:rFonts w:hint="eastAsia" w:hAnsi="宋体" w:cs="宋体"/>
                <w:color w:val="auto"/>
                <w:sz w:val="24"/>
                <w:highlight w:val="none"/>
              </w:rPr>
              <w:t xml:space="preserve">小微企业：     □是      □否         详见 </w:t>
            </w:r>
            <w:r>
              <w:rPr>
                <w:rFonts w:hint="eastAsia" w:hAnsi="宋体" w:cs="宋体"/>
                <w:color w:val="auto"/>
                <w:sz w:val="24"/>
                <w:highlight w:val="none"/>
                <w:u w:val="single"/>
              </w:rPr>
              <w:t xml:space="preserve">    </w:t>
            </w:r>
            <w:r>
              <w:rPr>
                <w:rFonts w:hint="eastAsia" w:hAnsi="宋体" w:cs="宋体"/>
                <w:color w:val="auto"/>
                <w:sz w:val="24"/>
                <w:highlight w:val="none"/>
              </w:rPr>
              <w:t xml:space="preserve"> 页 《中小企业声明函》</w:t>
            </w:r>
          </w:p>
        </w:tc>
      </w:tr>
    </w:tbl>
    <w:p w14:paraId="68E3ED7F">
      <w:pPr>
        <w:pStyle w:val="197"/>
        <w:spacing w:line="520" w:lineRule="exact"/>
        <w:rPr>
          <w:rFonts w:ascii="宋体" w:hAnsi="宋体"/>
          <w:color w:val="auto"/>
          <w:sz w:val="24"/>
          <w:highlight w:val="none"/>
        </w:rPr>
      </w:pPr>
    </w:p>
    <w:p w14:paraId="3B30E006">
      <w:pPr>
        <w:widowControl/>
        <w:spacing w:before="100" w:beforeAutospacing="1" w:after="100" w:afterAutospacing="1"/>
        <w:ind w:firstLine="4800"/>
        <w:jc w:val="left"/>
        <w:rPr>
          <w:rFonts w:ascii="宋体" w:hAnsi="宋体" w:cs="Segoe UI"/>
          <w:color w:val="auto"/>
          <w:sz w:val="24"/>
          <w:highlight w:val="none"/>
        </w:rPr>
      </w:pPr>
      <w:r>
        <w:rPr>
          <w:rFonts w:ascii="宋体" w:hAnsi="宋体" w:cs="Segoe UI"/>
          <w:color w:val="auto"/>
          <w:sz w:val="24"/>
          <w:highlight w:val="none"/>
        </w:rPr>
        <w:t>投标</w:t>
      </w:r>
      <w:r>
        <w:rPr>
          <w:rFonts w:hint="eastAsia" w:ascii="宋体" w:hAnsi="宋体" w:cs="Segoe UI"/>
          <w:color w:val="auto"/>
          <w:sz w:val="24"/>
          <w:highlight w:val="none"/>
        </w:rPr>
        <w:t>单位</w:t>
      </w:r>
      <w:r>
        <w:rPr>
          <w:rFonts w:ascii="宋体" w:hAnsi="宋体" w:cs="Segoe UI"/>
          <w:color w:val="auto"/>
          <w:sz w:val="24"/>
          <w:highlight w:val="none"/>
        </w:rPr>
        <w:t>(电子签章)</w:t>
      </w:r>
      <w:r>
        <w:rPr>
          <w:rFonts w:hint="eastAsia" w:ascii="宋体" w:hAnsi="宋体" w:cs="Segoe UI"/>
          <w:color w:val="auto"/>
          <w:sz w:val="24"/>
          <w:highlight w:val="none"/>
        </w:rPr>
        <w:t>：</w:t>
      </w:r>
    </w:p>
    <w:p w14:paraId="589E09AC">
      <w:pPr>
        <w:spacing w:line="520" w:lineRule="atLeast"/>
        <w:rPr>
          <w:color w:val="auto"/>
          <w:highlight w:val="none"/>
        </w:rPr>
      </w:pPr>
      <w:r>
        <w:rPr>
          <w:rFonts w:hint="eastAsia"/>
          <w:color w:val="auto"/>
          <w:sz w:val="24"/>
          <w:highlight w:val="none"/>
        </w:rPr>
        <w:t xml:space="preserve">                                         </w:t>
      </w:r>
      <w:r>
        <w:rPr>
          <w:rFonts w:hint="eastAsia" w:hAnsi="宋体" w:cs="宋体"/>
          <w:color w:val="auto"/>
          <w:sz w:val="24"/>
          <w:highlight w:val="none"/>
        </w:rPr>
        <w:t>日期：      年    月    日</w:t>
      </w:r>
    </w:p>
    <w:p w14:paraId="3DFDAC00">
      <w:pPr>
        <w:pStyle w:val="199"/>
        <w:rPr>
          <w:color w:val="auto"/>
          <w:sz w:val="40"/>
          <w:szCs w:val="36"/>
          <w:highlight w:val="none"/>
        </w:rPr>
      </w:pPr>
    </w:p>
    <w:p w14:paraId="12BF574B">
      <w:pPr>
        <w:pStyle w:val="200"/>
        <w:rPr>
          <w:color w:val="auto"/>
          <w:highlight w:val="none"/>
        </w:rPr>
      </w:pPr>
      <w:r>
        <w:rPr>
          <w:rFonts w:hint="eastAsia"/>
          <w:color w:val="auto"/>
          <w:highlight w:val="none"/>
        </w:rPr>
        <w:t xml:space="preserve">            </w:t>
      </w:r>
    </w:p>
    <w:p w14:paraId="38086953">
      <w:pPr>
        <w:pStyle w:val="200"/>
        <w:rPr>
          <w:color w:val="auto"/>
          <w:highlight w:val="none"/>
        </w:rPr>
      </w:pPr>
    </w:p>
    <w:p w14:paraId="0933F650">
      <w:pPr>
        <w:pStyle w:val="200"/>
        <w:rPr>
          <w:color w:val="auto"/>
          <w:highlight w:val="none"/>
        </w:rPr>
      </w:pPr>
    </w:p>
    <w:p w14:paraId="3BA0D3B5">
      <w:pPr>
        <w:pStyle w:val="200"/>
        <w:rPr>
          <w:color w:val="auto"/>
          <w:highlight w:val="none"/>
        </w:rPr>
      </w:pPr>
    </w:p>
    <w:p w14:paraId="132E8F90">
      <w:pPr>
        <w:rPr>
          <w:rFonts w:hint="eastAsia" w:ascii="宋体" w:hAnsi="宋体" w:eastAsia="宋体" w:cs="宋体"/>
          <w:color w:val="auto"/>
          <w:sz w:val="24"/>
          <w:highlight w:val="none"/>
        </w:rPr>
      </w:pPr>
      <w:r>
        <w:rPr>
          <w:rFonts w:hint="eastAsia" w:ascii="宋体" w:hAnsi="宋体" w:eastAsia="宋体" w:cs="宋体"/>
          <w:color w:val="auto"/>
          <w:sz w:val="24"/>
          <w:highlight w:val="none"/>
        </w:rPr>
        <w:t>注：1、供应商的二轮报价在开标现场根据磋商小组要求或代理机构的通知后填报。</w:t>
      </w:r>
    </w:p>
    <w:p w14:paraId="27A5682E">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2、供应商须在规定时间内发送二轮报价。</w:t>
      </w:r>
    </w:p>
    <w:p w14:paraId="633DA27C">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3、供应商二轮报价应在配置、服务等方面不改变的情况下，不得高于一轮报价，</w:t>
      </w:r>
      <w:r>
        <w:rPr>
          <w:rFonts w:hint="eastAsia" w:ascii="宋体" w:hAnsi="宋体" w:eastAsia="宋体" w:cs="宋体"/>
          <w:color w:val="auto"/>
          <w:sz w:val="24"/>
          <w:highlight w:val="none"/>
          <w:lang w:val="en-US" w:eastAsia="zh-CN"/>
        </w:rPr>
        <w:t>否则价格分为零分,</w:t>
      </w:r>
      <w:r>
        <w:rPr>
          <w:rFonts w:hint="eastAsia" w:ascii="宋体" w:hAnsi="宋体" w:eastAsia="宋体" w:cs="宋体"/>
          <w:color w:val="auto"/>
          <w:sz w:val="24"/>
          <w:highlight w:val="none"/>
        </w:rPr>
        <w:t>该报价作为最终报价。</w:t>
      </w:r>
    </w:p>
    <w:p w14:paraId="0320AA05">
      <w:pPr>
        <w:ind w:firstLine="480"/>
        <w:rPr>
          <w:rFonts w:hint="default" w:ascii="宋体" w:hAnsi="宋体" w:eastAsia="宋体" w:cs="宋体"/>
          <w:color w:val="auto"/>
          <w:sz w:val="24"/>
          <w:highlight w:val="none"/>
          <w:lang w:val="en-US" w:eastAsia="zh-CN"/>
        </w:rPr>
        <w:sectPr>
          <w:headerReference r:id="rId15" w:type="default"/>
          <w:footerReference r:id="rId16" w:type="default"/>
          <w:pgSz w:w="11906" w:h="16838"/>
          <w:pgMar w:top="1417" w:right="1416" w:bottom="1417" w:left="1418" w:header="851" w:footer="992" w:gutter="0"/>
          <w:cols w:space="1701" w:num="1"/>
          <w:docGrid w:linePitch="360" w:charSpace="0"/>
        </w:sectPr>
      </w:pPr>
      <w:r>
        <w:rPr>
          <w:rFonts w:hint="eastAsia" w:ascii="宋体" w:hAnsi="宋体" w:eastAsia="宋体" w:cs="宋体"/>
          <w:color w:val="auto"/>
          <w:sz w:val="24"/>
          <w:highlight w:val="none"/>
          <w:lang w:val="en-US" w:eastAsia="zh-CN"/>
        </w:rPr>
        <w:t>4、分项报价表中的单价根据供应商的二轮报价作同比下浮</w:t>
      </w:r>
    </w:p>
    <w:p w14:paraId="16F4E89C">
      <w:pPr>
        <w:pStyle w:val="196"/>
        <w:spacing w:line="240" w:lineRule="auto"/>
        <w:jc w:val="center"/>
        <w:rPr>
          <w:rFonts w:ascii="黑体" w:hAnsi="宋体" w:eastAsia="黑体"/>
          <w:color w:val="auto"/>
          <w:highlight w:val="none"/>
        </w:rPr>
      </w:pPr>
      <w:r>
        <w:rPr>
          <w:rFonts w:hint="eastAsia" w:ascii="黑体" w:hAnsi="宋体" w:eastAsia="黑体"/>
          <w:color w:val="auto"/>
          <w:highlight w:val="none"/>
          <w:lang w:val="en-US" w:eastAsia="zh-CN"/>
        </w:rPr>
        <w:t xml:space="preserve">2 </w:t>
      </w:r>
      <w:r>
        <w:rPr>
          <w:rFonts w:hint="eastAsia" w:ascii="黑体" w:hAnsi="宋体" w:eastAsia="黑体"/>
          <w:color w:val="auto"/>
          <w:highlight w:val="none"/>
        </w:rPr>
        <w:t>、竞争性磋商函</w:t>
      </w:r>
    </w:p>
    <w:p w14:paraId="2FF2AFCA">
      <w:pPr>
        <w:tabs>
          <w:tab w:val="left" w:pos="5580"/>
        </w:tabs>
        <w:spacing w:line="480" w:lineRule="exact"/>
        <w:rPr>
          <w:rFonts w:hAnsi="宋体"/>
          <w:b/>
          <w:bCs/>
          <w:color w:val="auto"/>
          <w:sz w:val="32"/>
          <w:highlight w:val="none"/>
        </w:rPr>
      </w:pPr>
    </w:p>
    <w:p w14:paraId="3ED3B48A">
      <w:pPr>
        <w:keepNext w:val="0"/>
        <w:keepLines w:val="0"/>
        <w:pageBreakBefore w:val="0"/>
        <w:widowControl w:val="0"/>
        <w:spacing w:line="440" w:lineRule="exact"/>
        <w:ind w:firstLine="420"/>
        <w:rPr>
          <w:rFonts w:hint="eastAsia" w:ascii="宋体" w:hAnsi="宋体"/>
          <w:color w:val="auto"/>
          <w:sz w:val="21"/>
          <w:szCs w:val="21"/>
          <w:highlight w:val="none"/>
          <w:lang w:val="en-US" w:eastAsia="zh-CN"/>
        </w:rPr>
      </w:pPr>
      <w:r>
        <w:rPr>
          <w:rFonts w:hint="eastAsia" w:ascii="宋体" w:hAnsi="宋体"/>
          <w:color w:val="auto"/>
          <w:sz w:val="21"/>
          <w:szCs w:val="21"/>
          <w:highlight w:val="none"/>
        </w:rPr>
        <w:t>致：</w:t>
      </w:r>
      <w:r>
        <w:rPr>
          <w:rFonts w:hint="eastAsia" w:ascii="宋体" w:hAnsi="宋体"/>
          <w:color w:val="auto"/>
          <w:sz w:val="21"/>
          <w:szCs w:val="21"/>
          <w:highlight w:val="none"/>
          <w:lang w:val="en-US" w:eastAsia="zh-CN"/>
        </w:rPr>
        <w:t>射阳县长荡镇人民政府</w:t>
      </w:r>
    </w:p>
    <w:p w14:paraId="22E01677">
      <w:pPr>
        <w:keepNext w:val="0"/>
        <w:keepLines w:val="0"/>
        <w:pageBreakBefore w:val="0"/>
        <w:widowControl w:val="0"/>
        <w:spacing w:line="440" w:lineRule="exact"/>
        <w:ind w:firstLine="420"/>
        <w:rPr>
          <w:rFonts w:ascii="宋体" w:hAnsi="宋体"/>
          <w:color w:val="auto"/>
          <w:sz w:val="21"/>
          <w:szCs w:val="21"/>
          <w:highlight w:val="none"/>
        </w:rPr>
      </w:pPr>
      <w:r>
        <w:rPr>
          <w:rFonts w:hint="eastAsia" w:ascii="宋体" w:hAnsi="宋体"/>
          <w:color w:val="auto"/>
          <w:sz w:val="21"/>
          <w:szCs w:val="21"/>
          <w:highlight w:val="none"/>
        </w:rPr>
        <w:t>根据贵方的</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rPr>
        <w:t>竞争性磋商文件</w:t>
      </w:r>
      <w:r>
        <w:rPr>
          <w:rFonts w:hint="eastAsia" w:ascii="宋体" w:hAnsi="宋体"/>
          <w:color w:val="auto"/>
          <w:sz w:val="21"/>
          <w:szCs w:val="21"/>
          <w:highlight w:val="none"/>
        </w:rPr>
        <w:t>要求，正式授权下述签字人_______________（姓名）代表我方______________（供应商名称），全权处理本次项目磋商的有关事宜。</w:t>
      </w:r>
    </w:p>
    <w:p w14:paraId="66DFD38D">
      <w:pPr>
        <w:keepNext w:val="0"/>
        <w:keepLines w:val="0"/>
        <w:pageBreakBefore w:val="0"/>
        <w:widowControl w:val="0"/>
        <w:spacing w:line="440" w:lineRule="exact"/>
        <w:ind w:firstLine="420"/>
        <w:rPr>
          <w:rFonts w:ascii="宋体" w:hAnsi="宋体"/>
          <w:color w:val="auto"/>
          <w:sz w:val="21"/>
          <w:szCs w:val="21"/>
          <w:highlight w:val="none"/>
        </w:rPr>
      </w:pPr>
      <w:r>
        <w:rPr>
          <w:rFonts w:hint="eastAsia" w:ascii="宋体" w:hAnsi="宋体"/>
          <w:color w:val="auto"/>
          <w:sz w:val="21"/>
          <w:szCs w:val="21"/>
          <w:highlight w:val="none"/>
        </w:rPr>
        <w:t>据此函，签字人兹宣布同意如下：</w:t>
      </w:r>
    </w:p>
    <w:p w14:paraId="7962C07A">
      <w:pPr>
        <w:keepNext w:val="0"/>
        <w:keepLines w:val="0"/>
        <w:pageBreakBefore w:val="0"/>
        <w:widowControl w:val="0"/>
        <w:spacing w:line="440" w:lineRule="exact"/>
        <w:ind w:firstLine="420"/>
        <w:rPr>
          <w:rFonts w:ascii="宋体" w:hAnsi="宋体"/>
          <w:color w:val="auto"/>
          <w:sz w:val="21"/>
          <w:szCs w:val="21"/>
          <w:highlight w:val="none"/>
        </w:rPr>
      </w:pPr>
      <w:r>
        <w:rPr>
          <w:rFonts w:hint="eastAsia" w:ascii="宋体" w:hAnsi="宋体"/>
          <w:color w:val="auto"/>
          <w:sz w:val="21"/>
          <w:szCs w:val="21"/>
          <w:highlight w:val="none"/>
        </w:rPr>
        <w:t>1.按竞争性磋商文件规定的各项要求，向采购人提供所需工程、货物与服务。</w:t>
      </w:r>
    </w:p>
    <w:p w14:paraId="2D3E3217">
      <w:pPr>
        <w:keepNext w:val="0"/>
        <w:keepLines w:val="0"/>
        <w:pageBreakBefore w:val="0"/>
        <w:widowControl w:val="0"/>
        <w:spacing w:line="440" w:lineRule="exact"/>
        <w:ind w:firstLine="420"/>
        <w:rPr>
          <w:rFonts w:ascii="宋体" w:hAnsi="宋体"/>
          <w:color w:val="auto"/>
          <w:sz w:val="21"/>
          <w:szCs w:val="21"/>
          <w:highlight w:val="none"/>
        </w:rPr>
      </w:pPr>
      <w:r>
        <w:rPr>
          <w:rFonts w:hint="eastAsia" w:ascii="宋体" w:hAnsi="宋体"/>
          <w:color w:val="auto"/>
          <w:sz w:val="21"/>
          <w:szCs w:val="21"/>
          <w:highlight w:val="none"/>
        </w:rPr>
        <w:t>2.我们完全理解贵方不一定将合同授予最低报价的供应商。</w:t>
      </w:r>
    </w:p>
    <w:p w14:paraId="2FED1E9A">
      <w:pPr>
        <w:keepNext w:val="0"/>
        <w:keepLines w:val="0"/>
        <w:pageBreakBefore w:val="0"/>
        <w:widowControl w:val="0"/>
        <w:spacing w:line="440" w:lineRule="exact"/>
        <w:ind w:firstLine="420"/>
        <w:rPr>
          <w:rFonts w:ascii="宋体" w:hAnsi="宋体"/>
          <w:color w:val="auto"/>
          <w:sz w:val="21"/>
          <w:szCs w:val="21"/>
          <w:highlight w:val="none"/>
        </w:rPr>
      </w:pPr>
      <w:r>
        <w:rPr>
          <w:rFonts w:hint="eastAsia" w:ascii="宋体" w:hAnsi="宋体"/>
          <w:color w:val="auto"/>
          <w:sz w:val="21"/>
          <w:szCs w:val="21"/>
          <w:highlight w:val="none"/>
        </w:rPr>
        <w:t>3.我们已详细审核全部竞争性磋商文件及其有效补充文件，我们知道必须放弃提出含糊不清或误解问题的权利。</w:t>
      </w:r>
    </w:p>
    <w:p w14:paraId="2DBD8079">
      <w:pPr>
        <w:keepNext w:val="0"/>
        <w:keepLines w:val="0"/>
        <w:pageBreakBefore w:val="0"/>
        <w:widowControl w:val="0"/>
        <w:spacing w:line="440" w:lineRule="exact"/>
        <w:ind w:firstLine="420"/>
        <w:rPr>
          <w:rFonts w:ascii="宋体" w:hAnsi="宋体"/>
          <w:color w:val="auto"/>
          <w:sz w:val="21"/>
          <w:szCs w:val="21"/>
          <w:highlight w:val="none"/>
        </w:rPr>
      </w:pPr>
      <w:r>
        <w:rPr>
          <w:rFonts w:hint="eastAsia" w:ascii="宋体" w:hAnsi="宋体"/>
          <w:color w:val="auto"/>
          <w:sz w:val="21"/>
          <w:szCs w:val="21"/>
          <w:highlight w:val="none"/>
        </w:rPr>
        <w:t>4.我们同意从</w:t>
      </w:r>
      <w:bookmarkStart w:id="234" w:name="_Hlk45975570"/>
      <w:r>
        <w:rPr>
          <w:rFonts w:hint="eastAsia" w:ascii="宋体" w:hAnsi="宋体"/>
          <w:color w:val="auto"/>
          <w:sz w:val="21"/>
          <w:szCs w:val="21"/>
          <w:highlight w:val="none"/>
        </w:rPr>
        <w:t>规定的响应文件开启时间</w:t>
      </w:r>
      <w:bookmarkEnd w:id="234"/>
      <w:r>
        <w:rPr>
          <w:rFonts w:hint="eastAsia" w:ascii="宋体" w:hAnsi="宋体"/>
          <w:color w:val="auto"/>
          <w:sz w:val="21"/>
          <w:szCs w:val="21"/>
          <w:highlight w:val="none"/>
        </w:rPr>
        <w:t>起遵循本响应文件，并在规定的</w:t>
      </w:r>
      <w:bookmarkStart w:id="235" w:name="_Hlk45975587"/>
      <w:r>
        <w:rPr>
          <w:rFonts w:hint="eastAsia" w:ascii="宋体" w:hAnsi="宋体"/>
          <w:color w:val="auto"/>
          <w:sz w:val="21"/>
          <w:szCs w:val="21"/>
          <w:highlight w:val="none"/>
        </w:rPr>
        <w:t>磋商响应有效期期满之前</w:t>
      </w:r>
      <w:bookmarkEnd w:id="235"/>
      <w:r>
        <w:rPr>
          <w:rFonts w:hint="eastAsia" w:ascii="宋体" w:hAnsi="宋体"/>
          <w:color w:val="auto"/>
          <w:sz w:val="21"/>
          <w:szCs w:val="21"/>
          <w:highlight w:val="none"/>
        </w:rPr>
        <w:t>均具有约束力。</w:t>
      </w:r>
    </w:p>
    <w:p w14:paraId="0743043B">
      <w:pPr>
        <w:keepNext w:val="0"/>
        <w:keepLines w:val="0"/>
        <w:pageBreakBefore w:val="0"/>
        <w:widowControl w:val="0"/>
        <w:spacing w:line="440" w:lineRule="exact"/>
        <w:ind w:firstLine="420"/>
        <w:rPr>
          <w:rFonts w:ascii="宋体" w:hAnsi="宋体"/>
          <w:color w:val="auto"/>
          <w:sz w:val="21"/>
          <w:szCs w:val="21"/>
          <w:highlight w:val="none"/>
        </w:rPr>
      </w:pPr>
      <w:r>
        <w:rPr>
          <w:rFonts w:ascii="宋体" w:hAnsi="宋体"/>
          <w:color w:val="auto"/>
          <w:sz w:val="21"/>
          <w:szCs w:val="21"/>
          <w:highlight w:val="none"/>
        </w:rPr>
        <w:t>5.如果在规定的响应文件开启时间起至磋商响应有效期期满之前撤回响应文件或确定成交后拒绝签订协议，所引起的一切法律后果及行政处罚由我们自行承担。</w:t>
      </w:r>
    </w:p>
    <w:p w14:paraId="5807D395">
      <w:pPr>
        <w:keepNext w:val="0"/>
        <w:keepLines w:val="0"/>
        <w:pageBreakBefore w:val="0"/>
        <w:widowControl w:val="0"/>
        <w:spacing w:line="440" w:lineRule="exact"/>
        <w:ind w:firstLine="420"/>
        <w:rPr>
          <w:rFonts w:ascii="宋体" w:hAnsi="宋体"/>
          <w:color w:val="auto"/>
          <w:sz w:val="21"/>
          <w:szCs w:val="21"/>
          <w:highlight w:val="none"/>
        </w:rPr>
      </w:pPr>
      <w:r>
        <w:rPr>
          <w:rFonts w:hint="eastAsia" w:ascii="宋体" w:hAnsi="宋体"/>
          <w:color w:val="auto"/>
          <w:sz w:val="21"/>
          <w:szCs w:val="21"/>
          <w:highlight w:val="none"/>
        </w:rPr>
        <w:t>6.同意向贵方提供贵方可能另外要求的与磋商有关的任何证据或资料，并保证我方已提供和将要提供的文件是真实的、准确的。</w:t>
      </w:r>
    </w:p>
    <w:p w14:paraId="26E23954">
      <w:pPr>
        <w:keepNext w:val="0"/>
        <w:keepLines w:val="0"/>
        <w:pageBreakBefore w:val="0"/>
        <w:widowControl w:val="0"/>
        <w:spacing w:line="440" w:lineRule="exact"/>
        <w:ind w:firstLine="420"/>
        <w:rPr>
          <w:rFonts w:ascii="宋体" w:hAnsi="宋体"/>
          <w:color w:val="auto"/>
          <w:sz w:val="21"/>
          <w:szCs w:val="21"/>
          <w:highlight w:val="none"/>
        </w:rPr>
      </w:pPr>
      <w:r>
        <w:rPr>
          <w:rFonts w:hint="eastAsia" w:ascii="宋体" w:hAnsi="宋体"/>
          <w:color w:val="auto"/>
          <w:sz w:val="21"/>
          <w:szCs w:val="21"/>
          <w:highlight w:val="none"/>
        </w:rPr>
        <w:t>7.本项目一旦确认成交，我方将根据竞争性磋商文件的规定，严格履行合同的责任和义务，并保证在竞争性磋商文件规定的时间内完成项目并按协议规定为采购人提供工程、货物及服务。</w:t>
      </w:r>
    </w:p>
    <w:p w14:paraId="138AA041">
      <w:pPr>
        <w:keepNext w:val="0"/>
        <w:keepLines w:val="0"/>
        <w:pageBreakBefore w:val="0"/>
        <w:widowControl w:val="0"/>
        <w:spacing w:line="440" w:lineRule="exact"/>
        <w:ind w:firstLine="420"/>
        <w:rPr>
          <w:rFonts w:ascii="宋体" w:hAnsi="宋体"/>
          <w:color w:val="auto"/>
          <w:sz w:val="21"/>
          <w:szCs w:val="21"/>
          <w:highlight w:val="none"/>
        </w:rPr>
      </w:pPr>
      <w:r>
        <w:rPr>
          <w:rFonts w:hint="eastAsia" w:ascii="宋体" w:hAnsi="宋体"/>
          <w:color w:val="auto"/>
          <w:sz w:val="21"/>
          <w:szCs w:val="21"/>
          <w:highlight w:val="none"/>
        </w:rPr>
        <w:t>8.遵守竞争性磋商文件中要求的收费项目和标准。</w:t>
      </w:r>
    </w:p>
    <w:p w14:paraId="64391B2D">
      <w:pPr>
        <w:keepNext w:val="0"/>
        <w:keepLines w:val="0"/>
        <w:pageBreakBefore w:val="0"/>
        <w:widowControl w:val="0"/>
        <w:spacing w:line="440" w:lineRule="exact"/>
        <w:ind w:firstLine="420"/>
        <w:rPr>
          <w:rFonts w:ascii="宋体" w:hAnsi="宋体"/>
          <w:color w:val="auto"/>
          <w:sz w:val="21"/>
          <w:szCs w:val="21"/>
          <w:highlight w:val="none"/>
        </w:rPr>
      </w:pPr>
      <w:r>
        <w:rPr>
          <w:rFonts w:hint="eastAsia" w:ascii="宋体" w:hAnsi="宋体"/>
          <w:color w:val="auto"/>
          <w:sz w:val="21"/>
          <w:szCs w:val="21"/>
          <w:highlight w:val="none"/>
        </w:rPr>
        <w:t>9.与本磋商有关的正式通讯地址为：</w:t>
      </w:r>
    </w:p>
    <w:p w14:paraId="0F1C68CC">
      <w:pPr>
        <w:spacing w:line="520" w:lineRule="exact"/>
        <w:ind w:firstLine="480"/>
        <w:rPr>
          <w:rFonts w:ascii="宋体" w:hAnsi="宋体" w:cs="宋体"/>
          <w:color w:val="auto"/>
          <w:sz w:val="21"/>
          <w:szCs w:val="21"/>
          <w:highlight w:val="none"/>
        </w:rPr>
      </w:pPr>
    </w:p>
    <w:p w14:paraId="0A6183B2">
      <w:pPr>
        <w:widowControl/>
        <w:spacing w:before="100" w:beforeAutospacing="1" w:after="100" w:afterAutospacing="1"/>
        <w:ind w:firstLine="420"/>
        <w:jc w:val="left"/>
        <w:rPr>
          <w:rFonts w:hAnsi="宋体" w:cs="宋体"/>
          <w:color w:val="auto"/>
          <w:sz w:val="21"/>
          <w:szCs w:val="21"/>
          <w:highlight w:val="none"/>
        </w:rPr>
      </w:pPr>
      <w:r>
        <w:rPr>
          <w:rFonts w:ascii="宋体" w:hAnsi="宋体" w:cs="Segoe UI"/>
          <w:color w:val="auto"/>
          <w:sz w:val="21"/>
          <w:szCs w:val="21"/>
          <w:highlight w:val="none"/>
        </w:rPr>
        <w:t>投标</w:t>
      </w:r>
      <w:r>
        <w:rPr>
          <w:rFonts w:hint="eastAsia" w:ascii="宋体" w:hAnsi="宋体" w:cs="Segoe UI"/>
          <w:color w:val="auto"/>
          <w:sz w:val="21"/>
          <w:szCs w:val="21"/>
          <w:highlight w:val="none"/>
        </w:rPr>
        <w:t>单位</w:t>
      </w:r>
      <w:r>
        <w:rPr>
          <w:rFonts w:ascii="宋体" w:hAnsi="宋体" w:cs="Segoe UI"/>
          <w:color w:val="auto"/>
          <w:sz w:val="21"/>
          <w:szCs w:val="21"/>
          <w:highlight w:val="none"/>
        </w:rPr>
        <w:t>(电子签章)</w:t>
      </w:r>
      <w:r>
        <w:rPr>
          <w:rFonts w:hint="eastAsia" w:ascii="宋体" w:hAnsi="宋体" w:cs="Segoe UI"/>
          <w:color w:val="auto"/>
          <w:sz w:val="21"/>
          <w:szCs w:val="21"/>
          <w:highlight w:val="none"/>
        </w:rPr>
        <w:t>：</w:t>
      </w:r>
    </w:p>
    <w:p w14:paraId="1BA7C5C5">
      <w:pPr>
        <w:pStyle w:val="204"/>
        <w:spacing w:line="520" w:lineRule="atLeast"/>
        <w:ind w:firstLine="461"/>
        <w:rPr>
          <w:rFonts w:hAnsi="宋体" w:cs="宋体"/>
          <w:color w:val="auto"/>
          <w:sz w:val="21"/>
          <w:szCs w:val="21"/>
          <w:highlight w:val="none"/>
        </w:rPr>
      </w:pPr>
      <w:r>
        <w:rPr>
          <w:rFonts w:hint="eastAsia" w:hAnsi="宋体" w:cs="宋体"/>
          <w:color w:val="auto"/>
          <w:sz w:val="21"/>
          <w:szCs w:val="21"/>
          <w:highlight w:val="none"/>
        </w:rPr>
        <w:t>法定代表人或委托代理人：(盖章或签字)</w:t>
      </w:r>
    </w:p>
    <w:p w14:paraId="3B85EE71">
      <w:pPr>
        <w:pStyle w:val="204"/>
        <w:spacing w:line="520" w:lineRule="atLeast"/>
        <w:rPr>
          <w:rFonts w:hAnsi="宋体" w:cs="宋体"/>
          <w:color w:val="auto"/>
          <w:sz w:val="21"/>
          <w:szCs w:val="21"/>
          <w:highlight w:val="none"/>
        </w:rPr>
      </w:pPr>
    </w:p>
    <w:p w14:paraId="6468AB8B">
      <w:pPr>
        <w:pStyle w:val="204"/>
        <w:spacing w:line="520" w:lineRule="atLeast"/>
        <w:jc w:val="right"/>
        <w:rPr>
          <w:rFonts w:hAnsi="宋体" w:cs="宋体"/>
          <w:color w:val="auto"/>
          <w:sz w:val="24"/>
          <w:highlight w:val="none"/>
        </w:rPr>
      </w:pPr>
      <w:r>
        <w:rPr>
          <w:rFonts w:hint="eastAsia" w:hAnsi="宋体" w:cs="宋体"/>
          <w:color w:val="auto"/>
          <w:sz w:val="24"/>
          <w:highlight w:val="none"/>
        </w:rPr>
        <w:t xml:space="preserve">日 </w:t>
      </w:r>
      <w:r>
        <w:rPr>
          <w:rFonts w:hAnsi="宋体" w:cs="宋体"/>
          <w:color w:val="auto"/>
          <w:sz w:val="24"/>
          <w:highlight w:val="none"/>
        </w:rPr>
        <w:t xml:space="preserve">  </w:t>
      </w:r>
      <w:r>
        <w:rPr>
          <w:rFonts w:hint="eastAsia" w:hAnsi="宋体" w:cs="宋体"/>
          <w:color w:val="auto"/>
          <w:sz w:val="24"/>
          <w:highlight w:val="none"/>
        </w:rPr>
        <w:t>期：       年    月    日</w:t>
      </w:r>
    </w:p>
    <w:p w14:paraId="0618482A">
      <w:pPr>
        <w:widowControl/>
        <w:spacing w:line="520" w:lineRule="atLeast"/>
        <w:ind w:firstLine="482"/>
        <w:jc w:val="center"/>
        <w:rPr>
          <w:rFonts w:ascii="宋体" w:hAnsi="宋体" w:cs="宋体"/>
          <w:b/>
          <w:bCs/>
          <w:color w:val="auto"/>
          <w:sz w:val="24"/>
          <w:szCs w:val="20"/>
          <w:highlight w:val="none"/>
        </w:rPr>
        <w:sectPr>
          <w:pgSz w:w="11906" w:h="16838"/>
          <w:pgMar w:top="1417" w:right="1416" w:bottom="1417" w:left="1418" w:header="851" w:footer="992" w:gutter="0"/>
          <w:cols w:space="1701" w:num="1"/>
          <w:docGrid w:linePitch="360" w:charSpace="0"/>
        </w:sectPr>
      </w:pPr>
    </w:p>
    <w:p w14:paraId="75A4DB33">
      <w:pPr>
        <w:pStyle w:val="196"/>
        <w:spacing w:line="240" w:lineRule="auto"/>
        <w:rPr>
          <w:color w:val="auto"/>
          <w:highlight w:val="none"/>
        </w:rPr>
      </w:pPr>
      <w:bookmarkStart w:id="236" w:name="_Toc101357904"/>
      <w:r>
        <w:rPr>
          <w:rFonts w:hint="eastAsia"/>
          <w:color w:val="auto"/>
          <w:highlight w:val="none"/>
          <w:lang w:val="en-US" w:eastAsia="zh-CN"/>
        </w:rPr>
        <w:t>3</w:t>
      </w:r>
      <w:r>
        <w:rPr>
          <w:rFonts w:hint="eastAsia"/>
          <w:color w:val="auto"/>
          <w:highlight w:val="none"/>
        </w:rPr>
        <w:t>、法定代表人身份证明书</w:t>
      </w:r>
    </w:p>
    <w:p w14:paraId="23D5A552">
      <w:pPr>
        <w:spacing w:line="480" w:lineRule="exact"/>
        <w:rPr>
          <w:rFonts w:ascii="宋体" w:hAnsi="宋体"/>
          <w:color w:val="auto"/>
          <w:sz w:val="24"/>
          <w:highlight w:val="none"/>
        </w:rPr>
      </w:pPr>
    </w:p>
    <w:p w14:paraId="38270C51">
      <w:pPr>
        <w:spacing w:line="520" w:lineRule="exact"/>
        <w:ind w:firstLine="425"/>
        <w:rPr>
          <w:rFonts w:ascii="宋体" w:hAnsi="宋体"/>
          <w:color w:val="auto"/>
          <w:sz w:val="24"/>
          <w:highlight w:val="none"/>
          <w:u w:val="single"/>
        </w:rPr>
      </w:pPr>
      <w:r>
        <w:rPr>
          <w:rFonts w:hint="eastAsia" w:ascii="宋体" w:hAnsi="宋体"/>
          <w:color w:val="auto"/>
          <w:sz w:val="24"/>
          <w:highlight w:val="none"/>
        </w:rPr>
        <w:t>单位名称：</w:t>
      </w:r>
      <w:r>
        <w:rPr>
          <w:rFonts w:ascii="宋体" w:hAnsi="宋体"/>
          <w:color w:val="auto"/>
          <w:sz w:val="24"/>
          <w:highlight w:val="none"/>
          <w:u w:val="single"/>
        </w:rPr>
        <w:t xml:space="preserve">                               </w:t>
      </w:r>
    </w:p>
    <w:p w14:paraId="6ABD8CC6">
      <w:pPr>
        <w:spacing w:line="520" w:lineRule="exact"/>
        <w:ind w:firstLine="425"/>
        <w:rPr>
          <w:rFonts w:ascii="宋体"/>
          <w:color w:val="auto"/>
          <w:sz w:val="24"/>
          <w:highlight w:val="none"/>
          <w:u w:val="single"/>
        </w:rPr>
      </w:pPr>
      <w:r>
        <w:rPr>
          <w:rFonts w:hint="eastAsia" w:ascii="宋体" w:hAnsi="宋体"/>
          <w:color w:val="auto"/>
          <w:sz w:val="24"/>
          <w:highlight w:val="none"/>
        </w:rPr>
        <w:t>单位性质：</w:t>
      </w:r>
      <w:r>
        <w:rPr>
          <w:rFonts w:ascii="宋体" w:hAnsi="宋体"/>
          <w:color w:val="auto"/>
          <w:sz w:val="24"/>
          <w:highlight w:val="none"/>
          <w:u w:val="single"/>
        </w:rPr>
        <w:t xml:space="preserve">                               </w:t>
      </w:r>
      <w:r>
        <w:rPr>
          <w:rFonts w:ascii="宋体" w:hAnsi="宋体"/>
          <w:color w:val="auto"/>
          <w:sz w:val="24"/>
          <w:highlight w:val="none"/>
        </w:rPr>
        <w:t xml:space="preserve">                   </w:t>
      </w:r>
    </w:p>
    <w:p w14:paraId="59684CF9">
      <w:pPr>
        <w:spacing w:line="520" w:lineRule="exact"/>
        <w:ind w:firstLine="425"/>
        <w:rPr>
          <w:rFonts w:ascii="宋体" w:hAnsi="宋体"/>
          <w:color w:val="auto"/>
          <w:sz w:val="24"/>
          <w:highlight w:val="none"/>
          <w:u w:val="single"/>
        </w:rPr>
      </w:pPr>
      <w:r>
        <w:rPr>
          <w:rFonts w:hint="eastAsia" w:ascii="宋体" w:hAnsi="宋体"/>
          <w:color w:val="auto"/>
          <w:sz w:val="24"/>
          <w:highlight w:val="none"/>
        </w:rPr>
        <w:t>地</w:t>
      </w:r>
      <w:r>
        <w:rPr>
          <w:rFonts w:ascii="宋体" w:hAnsi="宋体"/>
          <w:color w:val="auto"/>
          <w:sz w:val="24"/>
          <w:highlight w:val="none"/>
        </w:rPr>
        <w:t xml:space="preserve">    </w:t>
      </w:r>
      <w:r>
        <w:rPr>
          <w:rFonts w:hint="eastAsia" w:ascii="宋体" w:hAnsi="宋体"/>
          <w:color w:val="auto"/>
          <w:sz w:val="24"/>
          <w:highlight w:val="none"/>
        </w:rPr>
        <w:t>址：</w:t>
      </w:r>
      <w:r>
        <w:rPr>
          <w:rFonts w:ascii="宋体" w:hAnsi="宋体"/>
          <w:color w:val="auto"/>
          <w:sz w:val="24"/>
          <w:highlight w:val="none"/>
          <w:u w:val="single"/>
        </w:rPr>
        <w:t xml:space="preserve">                                </w:t>
      </w:r>
    </w:p>
    <w:p w14:paraId="10309572">
      <w:pPr>
        <w:spacing w:line="520" w:lineRule="exact"/>
        <w:ind w:firstLine="425"/>
        <w:rPr>
          <w:rFonts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p>
    <w:p w14:paraId="007E7959">
      <w:pPr>
        <w:spacing w:before="240" w:line="380" w:lineRule="exact"/>
        <w:ind w:firstLine="480"/>
        <w:rPr>
          <w:rFonts w:ascii="宋体" w:hAnsi="宋体" w:cs="宋体"/>
          <w:color w:val="auto"/>
          <w:sz w:val="24"/>
          <w:highlight w:val="none"/>
          <w:u w:val="single"/>
        </w:rPr>
      </w:pPr>
      <w:r>
        <w:rPr>
          <w:rFonts w:hint="eastAsia" w:ascii="宋体" w:hAnsi="宋体" w:cs="宋体"/>
          <w:color w:val="auto"/>
          <w:sz w:val="24"/>
          <w:highlight w:val="none"/>
        </w:rPr>
        <w:t>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r>
        <w:rPr>
          <w:rFonts w:hint="eastAsia" w:ascii="宋体" w:hAnsi="宋体" w:cs="宋体"/>
          <w:color w:val="auto"/>
          <w:sz w:val="24"/>
          <w:highlight w:val="none"/>
          <w:u w:val="single"/>
        </w:rPr>
        <w:t xml:space="preserve">          </w:t>
      </w:r>
    </w:p>
    <w:p w14:paraId="29C5060C">
      <w:pPr>
        <w:spacing w:before="240" w:line="380" w:lineRule="exact"/>
        <w:ind w:firstLine="480"/>
        <w:rPr>
          <w:rFonts w:ascii="宋体" w:hAnsi="宋体" w:cs="宋体"/>
          <w:color w:val="auto"/>
          <w:sz w:val="24"/>
          <w:highlight w:val="none"/>
        </w:rPr>
      </w:pPr>
      <w:r>
        <w:rPr>
          <w:rFonts w:hint="eastAsia" w:ascii="宋体" w:hAnsi="宋体" w:cs="宋体"/>
          <w:color w:val="auto"/>
          <w:sz w:val="24"/>
          <w:highlight w:val="none"/>
        </w:rPr>
        <w:t>身份证号码：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联系电话</w:t>
      </w:r>
      <w:r>
        <w:rPr>
          <w:rFonts w:hint="eastAsia" w:ascii="宋体" w:hAnsi="宋体" w:cs="宋体"/>
          <w:color w:val="auto"/>
          <w:sz w:val="24"/>
          <w:highlight w:val="none"/>
          <w:u w:val="single"/>
        </w:rPr>
        <w:t xml:space="preserve">                </w:t>
      </w:r>
    </w:p>
    <w:p w14:paraId="14BF3B16">
      <w:pPr>
        <w:spacing w:before="240" w:line="380" w:lineRule="exact"/>
        <w:ind w:firstLine="480"/>
        <w:rPr>
          <w:rFonts w:ascii="宋体" w:hAnsi="宋体" w:cs="宋体"/>
          <w:color w:val="auto"/>
          <w:sz w:val="24"/>
          <w:highlight w:val="none"/>
        </w:rPr>
      </w:pP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（单位名称）的法定代表人。</w:t>
      </w:r>
    </w:p>
    <w:p w14:paraId="0AEA4DE1">
      <w:pPr>
        <w:spacing w:before="240" w:line="520" w:lineRule="exact"/>
        <w:ind w:firstLine="480"/>
        <w:rPr>
          <w:rFonts w:ascii="宋体" w:hAnsi="宋体" w:cs="宋体"/>
          <w:color w:val="auto"/>
          <w:sz w:val="24"/>
          <w:highlight w:val="none"/>
        </w:rPr>
      </w:pPr>
    </w:p>
    <w:p w14:paraId="3BA12B4B">
      <w:pPr>
        <w:spacing w:line="520" w:lineRule="exact"/>
        <w:ind w:left="3598" w:hanging="2760"/>
        <w:rPr>
          <w:rFonts w:ascii="宋体"/>
          <w:color w:val="auto"/>
          <w:sz w:val="24"/>
          <w:highlight w:val="none"/>
        </w:rPr>
      </w:pPr>
      <w:r>
        <w:rPr>
          <w:rFonts w:hint="eastAsia" w:ascii="宋体" w:hAnsi="宋体" w:cs="宋体"/>
          <w:color w:val="auto"/>
          <w:sz w:val="24"/>
          <w:highlight w:val="none"/>
        </w:rPr>
        <w:t>特此证明。</w:t>
      </w:r>
    </w:p>
    <w:p w14:paraId="6ECF25F2">
      <w:pPr>
        <w:spacing w:line="480" w:lineRule="exact"/>
        <w:rPr>
          <w:rFonts w:ascii="宋体"/>
          <w:color w:val="auto"/>
          <w:sz w:val="24"/>
          <w:highlight w:val="none"/>
        </w:rPr>
      </w:pPr>
    </w:p>
    <w:p w14:paraId="78A4F598">
      <w:pPr>
        <w:spacing w:line="480" w:lineRule="exact"/>
        <w:rPr>
          <w:rFonts w:ascii="宋体"/>
          <w:color w:val="auto"/>
          <w:sz w:val="24"/>
          <w:highlight w:val="none"/>
        </w:rPr>
      </w:pPr>
    </w:p>
    <w:p w14:paraId="0BAD3709">
      <w:pPr>
        <w:spacing w:line="480" w:lineRule="exact"/>
        <w:rPr>
          <w:rFonts w:ascii="宋体"/>
          <w:color w:val="auto"/>
          <w:sz w:val="24"/>
          <w:highlight w:val="none"/>
        </w:rPr>
      </w:pPr>
    </w:p>
    <w:p w14:paraId="08EF4DB0">
      <w:pPr>
        <w:spacing w:line="480" w:lineRule="exact"/>
        <w:ind w:firstLine="4800"/>
        <w:rPr>
          <w:rFonts w:ascii="宋体" w:hAnsi="宋体"/>
          <w:color w:val="auto"/>
          <w:sz w:val="24"/>
          <w:highlight w:val="none"/>
          <w:u w:val="single"/>
        </w:rPr>
      </w:pPr>
      <w:r>
        <w:rPr>
          <w:rFonts w:hint="eastAsia" w:ascii="宋体" w:hAnsi="宋体"/>
          <w:color w:val="auto"/>
          <w:sz w:val="24"/>
          <w:highlight w:val="none"/>
        </w:rPr>
        <w:t>投标单位（电子签章）</w:t>
      </w:r>
      <w:r>
        <w:rPr>
          <w:rFonts w:ascii="宋体" w:hAnsi="宋体"/>
          <w:color w:val="auto"/>
          <w:sz w:val="24"/>
          <w:highlight w:val="none"/>
          <w:u w:val="single"/>
        </w:rPr>
        <w:t xml:space="preserve">                </w:t>
      </w:r>
    </w:p>
    <w:p w14:paraId="67B8A24D">
      <w:pPr>
        <w:spacing w:line="480" w:lineRule="exact"/>
        <w:rPr>
          <w:rFonts w:ascii="宋体"/>
          <w:color w:val="auto"/>
          <w:sz w:val="24"/>
          <w:highlight w:val="none"/>
          <w:u w:val="single"/>
        </w:rPr>
      </w:pPr>
    </w:p>
    <w:p w14:paraId="565F2C07">
      <w:pPr>
        <w:spacing w:line="480" w:lineRule="exact"/>
        <w:jc w:val="right"/>
        <w:rPr>
          <w:rFonts w:ascii="宋体"/>
          <w:color w:val="auto"/>
          <w:sz w:val="24"/>
          <w:highlight w:val="none"/>
        </w:rPr>
      </w:pPr>
      <w:r>
        <w:rPr>
          <w:rFonts w:hint="eastAsia" w:ascii="宋体" w:hAnsi="宋体"/>
          <w:color w:val="auto"/>
          <w:sz w:val="24"/>
          <w:highlight w:val="none"/>
        </w:rPr>
        <w:t>日</w:t>
      </w:r>
      <w:r>
        <w:rPr>
          <w:rFonts w:ascii="宋体" w:hAnsi="宋体"/>
          <w:color w:val="auto"/>
          <w:sz w:val="24"/>
          <w:highlight w:val="none"/>
        </w:rPr>
        <w:t xml:space="preserve">  </w:t>
      </w:r>
      <w:r>
        <w:rPr>
          <w:rFonts w:hint="eastAsia" w:ascii="宋体" w:hAnsi="宋体"/>
          <w:color w:val="auto"/>
          <w:sz w:val="24"/>
          <w:highlight w:val="none"/>
        </w:rPr>
        <w:t>期：</w:t>
      </w:r>
      <w:r>
        <w:rPr>
          <w:rFonts w:ascii="宋体" w:hAnsi="宋体"/>
          <w:color w:val="auto"/>
          <w:sz w:val="24"/>
          <w:highlight w:val="none"/>
          <w:u w:val="single"/>
        </w:rPr>
        <w:t xml:space="preserve">        </w:t>
      </w:r>
      <w:r>
        <w:rPr>
          <w:rFonts w:hint="eastAsia" w:ascii="宋体" w:hAnsi="宋体"/>
          <w:color w:val="auto"/>
          <w:sz w:val="24"/>
          <w:highlight w:val="none"/>
        </w:rPr>
        <w:t>年</w:t>
      </w:r>
      <w:r>
        <w:rPr>
          <w:rFonts w:ascii="宋体" w:hAnsi="宋体"/>
          <w:color w:val="auto"/>
          <w:sz w:val="24"/>
          <w:highlight w:val="none"/>
          <w:u w:val="single"/>
        </w:rPr>
        <w:t xml:space="preserve">      </w:t>
      </w:r>
      <w:r>
        <w:rPr>
          <w:rFonts w:hint="eastAsia" w:ascii="宋体" w:hAnsi="宋体"/>
          <w:color w:val="auto"/>
          <w:sz w:val="24"/>
          <w:highlight w:val="none"/>
        </w:rPr>
        <w:t>月</w:t>
      </w:r>
      <w:r>
        <w:rPr>
          <w:rFonts w:ascii="宋体" w:hAnsi="宋体"/>
          <w:color w:val="auto"/>
          <w:sz w:val="24"/>
          <w:highlight w:val="none"/>
          <w:u w:val="single"/>
        </w:rPr>
        <w:t xml:space="preserve">      </w:t>
      </w:r>
      <w:r>
        <w:rPr>
          <w:rFonts w:hint="eastAsia" w:ascii="宋体" w:hAnsi="宋体"/>
          <w:color w:val="auto"/>
          <w:sz w:val="24"/>
          <w:highlight w:val="none"/>
        </w:rPr>
        <w:t>日</w:t>
      </w:r>
    </w:p>
    <w:p w14:paraId="091AA4CF">
      <w:pPr>
        <w:spacing w:line="480" w:lineRule="exact"/>
        <w:jc w:val="center"/>
        <w:rPr>
          <w:rFonts w:ascii="黑体" w:eastAsia="黑体"/>
          <w:b/>
          <w:color w:val="auto"/>
          <w:sz w:val="36"/>
          <w:highlight w:val="none"/>
        </w:rPr>
      </w:pPr>
    </w:p>
    <w:p w14:paraId="7E05ADD3">
      <w:pPr>
        <w:spacing w:before="120" w:after="120" w:line="460" w:lineRule="exact"/>
        <w:jc w:val="center"/>
        <w:outlineLvl w:val="0"/>
        <w:rPr>
          <w:rFonts w:ascii="宋体" w:hAnsi="Courier New"/>
          <w:b/>
          <w:color w:val="auto"/>
          <w:sz w:val="32"/>
          <w:szCs w:val="32"/>
          <w:highlight w:val="none"/>
        </w:rPr>
        <w:sectPr>
          <w:pgSz w:w="11906" w:h="16838"/>
          <w:pgMar w:top="1417" w:right="1416" w:bottom="1417" w:left="1418" w:header="851" w:footer="992" w:gutter="0"/>
          <w:cols w:space="1701" w:num="1"/>
          <w:docGrid w:linePitch="360" w:charSpace="0"/>
        </w:sectPr>
      </w:pPr>
    </w:p>
    <w:p w14:paraId="33D3EB0A">
      <w:pPr>
        <w:spacing w:line="420" w:lineRule="exact"/>
        <w:jc w:val="center"/>
        <w:rPr>
          <w:rFonts w:ascii="黑体" w:hAnsi="宋体" w:eastAsia="黑体"/>
          <w:bCs/>
          <w:color w:val="auto"/>
          <w:sz w:val="32"/>
          <w:szCs w:val="32"/>
          <w:highlight w:val="none"/>
        </w:rPr>
      </w:pPr>
      <w:r>
        <w:rPr>
          <w:rFonts w:hint="eastAsia" w:ascii="Cambria" w:hAnsi="Cambria"/>
          <w:b/>
          <w:bCs/>
          <w:color w:val="auto"/>
          <w:sz w:val="32"/>
          <w:szCs w:val="32"/>
          <w:highlight w:val="none"/>
          <w:lang w:val="en-US" w:eastAsia="zh-CN"/>
        </w:rPr>
        <w:t>4</w:t>
      </w:r>
      <w:r>
        <w:rPr>
          <w:rFonts w:hint="eastAsia" w:ascii="Cambria" w:hAnsi="Cambria"/>
          <w:b/>
          <w:bCs/>
          <w:color w:val="auto"/>
          <w:sz w:val="32"/>
          <w:szCs w:val="32"/>
          <w:highlight w:val="none"/>
        </w:rPr>
        <w:t>、供应商单位法定代表人授权书</w:t>
      </w:r>
    </w:p>
    <w:p w14:paraId="58BC900F">
      <w:pPr>
        <w:spacing w:line="460" w:lineRule="exact"/>
        <w:jc w:val="left"/>
        <w:rPr>
          <w:rFonts w:ascii="楷体_GB2312" w:eastAsia="楷体_GB2312"/>
          <w:color w:val="auto"/>
          <w:sz w:val="28"/>
          <w:highlight w:val="none"/>
        </w:rPr>
      </w:pPr>
    </w:p>
    <w:p w14:paraId="1BDCDE4E">
      <w:pPr>
        <w:spacing w:line="500" w:lineRule="exact"/>
        <w:rPr>
          <w:rFonts w:hint="default" w:ascii="宋体" w:hAnsi="宋体" w:eastAsiaTheme="minorEastAsia"/>
          <w:color w:val="auto"/>
          <w:sz w:val="24"/>
          <w:highlight w:val="none"/>
          <w:lang w:val="en-US" w:eastAsia="zh-CN"/>
        </w:rPr>
      </w:pPr>
      <w:r>
        <w:rPr>
          <w:rFonts w:hint="eastAsia" w:ascii="宋体" w:hAnsi="宋体"/>
          <w:color w:val="auto"/>
          <w:sz w:val="24"/>
          <w:highlight w:val="none"/>
          <w:lang w:val="en-US" w:eastAsia="zh-CN"/>
        </w:rPr>
        <w:t>采购人</w:t>
      </w:r>
      <w:r>
        <w:rPr>
          <w:rFonts w:hint="eastAsia" w:ascii="宋体" w:hAnsi="宋体"/>
          <w:color w:val="auto"/>
          <w:sz w:val="24"/>
          <w:highlight w:val="none"/>
        </w:rPr>
        <w:t>：</w:t>
      </w:r>
      <w:r>
        <w:rPr>
          <w:rFonts w:hint="eastAsia" w:ascii="宋体" w:hAnsi="宋体"/>
          <w:color w:val="auto"/>
          <w:sz w:val="24"/>
          <w:highlight w:val="none"/>
          <w:lang w:val="en-US" w:eastAsia="zh-CN"/>
        </w:rPr>
        <w:t>射阳县长荡镇人民政府</w:t>
      </w:r>
    </w:p>
    <w:p w14:paraId="246FF511">
      <w:pPr>
        <w:spacing w:line="500" w:lineRule="exact"/>
        <w:ind w:firstLine="480"/>
        <w:rPr>
          <w:rFonts w:ascii="宋体" w:hAnsi="宋体"/>
          <w:color w:val="auto"/>
          <w:sz w:val="24"/>
          <w:highlight w:val="none"/>
        </w:rPr>
      </w:pPr>
      <w:r>
        <w:rPr>
          <w:rFonts w:hint="eastAsia" w:ascii="宋体" w:hAnsi="宋体"/>
          <w:color w:val="auto"/>
          <w:sz w:val="24"/>
          <w:highlight w:val="none"/>
        </w:rPr>
        <w:t>______________________________系中华人民共和国合法企业，法定地址_________________________，特授权___________代表我单位全权办理针对</w:t>
      </w:r>
      <w:bookmarkStart w:id="237" w:name="_Hlk45974980"/>
      <w:r>
        <w:rPr>
          <w:rFonts w:hint="eastAsia" w:ascii="宋体" w:hAnsi="宋体"/>
          <w:color w:val="auto"/>
          <w:sz w:val="24"/>
          <w:highlight w:val="none"/>
          <w:lang w:eastAsia="zh-CN"/>
        </w:rPr>
        <w:t xml:space="preserve">SYCG(D)- </w:t>
      </w:r>
      <w:r>
        <w:rPr>
          <w:rFonts w:hint="eastAsia" w:ascii="宋体" w:hAnsi="宋体"/>
          <w:color w:val="auto"/>
          <w:sz w:val="24"/>
          <w:highlight w:val="none"/>
          <w:lang w:val="en-US" w:eastAsia="zh-CN"/>
        </w:rPr>
        <w:t>2026142</w:t>
      </w:r>
      <w:r>
        <w:rPr>
          <w:rFonts w:hint="eastAsia" w:ascii="宋体" w:hAnsi="宋体"/>
          <w:color w:val="auto"/>
          <w:sz w:val="24"/>
          <w:highlight w:val="none"/>
        </w:rPr>
        <w:t>竞争性磋商文件</w:t>
      </w:r>
      <w:bookmarkEnd w:id="237"/>
      <w:r>
        <w:rPr>
          <w:rFonts w:hint="eastAsia" w:ascii="宋体" w:hAnsi="宋体"/>
          <w:color w:val="auto"/>
          <w:sz w:val="24"/>
          <w:highlight w:val="none"/>
        </w:rPr>
        <w:t>的投标、参与磋商、谈判、签约等具体工作，并签署全部有关的文件、协议及合同。</w:t>
      </w:r>
    </w:p>
    <w:p w14:paraId="4BD1F3C0">
      <w:pPr>
        <w:spacing w:line="500" w:lineRule="exact"/>
        <w:ind w:firstLine="480"/>
        <w:rPr>
          <w:rFonts w:ascii="宋体" w:hAnsi="宋体"/>
          <w:color w:val="auto"/>
          <w:sz w:val="24"/>
          <w:highlight w:val="none"/>
        </w:rPr>
      </w:pPr>
      <w:r>
        <w:rPr>
          <w:rFonts w:hint="eastAsia" w:ascii="宋体" w:hAnsi="宋体"/>
          <w:color w:val="auto"/>
          <w:sz w:val="24"/>
          <w:highlight w:val="none"/>
        </w:rPr>
        <w:t>我公司对被授权人的签名负全部责任。在撤销授权的书面通知以前，本授权书一直有效。被授权人签署的所有文件（在授权书有效期内签署的）不因授权的撤销而失效。</w:t>
      </w:r>
    </w:p>
    <w:p w14:paraId="461F4186">
      <w:pPr>
        <w:spacing w:line="500" w:lineRule="exact"/>
        <w:ind w:firstLine="480"/>
        <w:rPr>
          <w:rFonts w:ascii="宋体" w:hAnsi="宋体"/>
          <w:color w:val="auto"/>
          <w:sz w:val="24"/>
          <w:highlight w:val="none"/>
        </w:rPr>
      </w:pPr>
      <w:r>
        <w:rPr>
          <w:rFonts w:hint="eastAsia" w:ascii="宋体" w:hAnsi="宋体"/>
          <w:color w:val="auto"/>
          <w:sz w:val="24"/>
          <w:highlight w:val="none"/>
        </w:rPr>
        <w:t>（被授权人联系电话：</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32230B9">
      <w:pPr>
        <w:spacing w:line="500" w:lineRule="exact"/>
        <w:rPr>
          <w:rFonts w:ascii="宋体" w:hAnsi="宋体"/>
          <w:color w:val="auto"/>
          <w:sz w:val="24"/>
          <w:highlight w:val="none"/>
        </w:rPr>
      </w:pPr>
    </w:p>
    <w:p w14:paraId="7C56E5A7">
      <w:pPr>
        <w:spacing w:line="500" w:lineRule="exact"/>
        <w:ind w:firstLine="480"/>
        <w:rPr>
          <w:rFonts w:ascii="宋体" w:hAnsi="宋体"/>
          <w:color w:val="auto"/>
          <w:sz w:val="24"/>
          <w:highlight w:val="none"/>
        </w:rPr>
      </w:pPr>
      <w:r>
        <w:rPr>
          <w:rFonts w:hint="eastAsia" w:ascii="宋体" w:hAnsi="宋体"/>
          <w:color w:val="auto"/>
          <w:sz w:val="24"/>
          <w:highlight w:val="none"/>
        </w:rPr>
        <w:t>代理人无转委权，特此委托。    　　</w:t>
      </w:r>
    </w:p>
    <w:p w14:paraId="66CB7555">
      <w:pPr>
        <w:spacing w:line="500" w:lineRule="exact"/>
        <w:ind w:firstLine="480"/>
        <w:rPr>
          <w:rFonts w:ascii="宋体" w:hAnsi="宋体"/>
          <w:color w:val="auto"/>
          <w:sz w:val="24"/>
          <w:highlight w:val="none"/>
        </w:rPr>
      </w:pPr>
    </w:p>
    <w:p w14:paraId="62ED43E0">
      <w:pPr>
        <w:spacing w:line="500" w:lineRule="exact"/>
        <w:ind w:firstLine="480"/>
        <w:rPr>
          <w:rFonts w:ascii="宋体" w:hAnsi="宋体"/>
          <w:color w:val="auto"/>
          <w:sz w:val="24"/>
          <w:highlight w:val="none"/>
        </w:rPr>
      </w:pPr>
      <w:r>
        <w:rPr>
          <w:rFonts w:hint="eastAsia" w:ascii="宋体" w:hAnsi="宋体"/>
          <w:color w:val="auto"/>
          <w:sz w:val="24"/>
          <w:highlight w:val="none"/>
        </w:rPr>
        <w:t>投标单位（电子签章）：</w:t>
      </w:r>
    </w:p>
    <w:p w14:paraId="0CAC6A57">
      <w:pPr>
        <w:spacing w:line="500" w:lineRule="exact"/>
        <w:ind w:firstLine="480"/>
        <w:rPr>
          <w:rFonts w:ascii="宋体" w:hAnsi="宋体"/>
          <w:color w:val="auto"/>
          <w:sz w:val="24"/>
          <w:highlight w:val="none"/>
        </w:rPr>
      </w:pPr>
    </w:p>
    <w:p w14:paraId="18DDA72C">
      <w:pPr>
        <w:spacing w:line="500" w:lineRule="exact"/>
        <w:ind w:firstLine="480"/>
        <w:rPr>
          <w:rFonts w:ascii="宋体" w:hAnsi="宋体"/>
          <w:color w:val="auto"/>
          <w:sz w:val="24"/>
          <w:highlight w:val="none"/>
        </w:rPr>
      </w:pPr>
      <w:r>
        <w:rPr>
          <w:rFonts w:hint="eastAsia" w:ascii="宋体" w:hAnsi="宋体"/>
          <w:color w:val="auto"/>
          <w:sz w:val="24"/>
          <w:highlight w:val="none"/>
        </w:rPr>
        <w:t>法定代表人（盖章或签字）：</w:t>
      </w:r>
    </w:p>
    <w:p w14:paraId="580F180E">
      <w:pPr>
        <w:spacing w:line="500" w:lineRule="exact"/>
        <w:ind w:firstLine="480"/>
        <w:rPr>
          <w:rFonts w:ascii="宋体" w:hAnsi="宋体"/>
          <w:color w:val="auto"/>
          <w:sz w:val="24"/>
          <w:highlight w:val="none"/>
        </w:rPr>
      </w:pPr>
      <w:r>
        <w:rPr>
          <w:rFonts w:hint="eastAsia" w:ascii="宋体" w:hAnsi="宋体"/>
          <w:color w:val="auto"/>
          <w:sz w:val="24"/>
          <w:highlight w:val="none"/>
        </w:rPr>
        <w:t xml:space="preserve">                         </w:t>
      </w:r>
    </w:p>
    <w:p w14:paraId="1F6CF726">
      <w:pPr>
        <w:spacing w:line="500" w:lineRule="exact"/>
        <w:ind w:firstLine="960"/>
        <w:rPr>
          <w:rFonts w:ascii="宋体" w:hAnsi="宋体"/>
          <w:color w:val="auto"/>
          <w:sz w:val="24"/>
          <w:highlight w:val="none"/>
        </w:rPr>
      </w:pPr>
      <w:r>
        <w:rPr>
          <w:rFonts w:hint="eastAsia" w:ascii="宋体" w:hAnsi="宋体"/>
          <w:color w:val="auto"/>
          <w:sz w:val="24"/>
          <w:highlight w:val="none"/>
        </w:rPr>
        <w:t>年 　月　 日</w:t>
      </w:r>
    </w:p>
    <w:p w14:paraId="04EB9294">
      <w:pPr>
        <w:spacing w:line="500" w:lineRule="exact"/>
        <w:rPr>
          <w:rFonts w:ascii="宋体" w:hAnsi="宋体"/>
          <w:color w:val="auto"/>
          <w:sz w:val="24"/>
          <w:highlight w:val="none"/>
        </w:rPr>
      </w:pPr>
    </w:p>
    <w:p w14:paraId="7D2A2159">
      <w:pPr>
        <w:spacing w:line="500" w:lineRule="exact"/>
        <w:ind w:firstLine="480"/>
        <w:rPr>
          <w:rFonts w:ascii="宋体" w:hAnsi="宋体"/>
          <w:color w:val="auto"/>
          <w:sz w:val="28"/>
          <w:szCs w:val="28"/>
          <w:highlight w:val="none"/>
        </w:rPr>
      </w:pPr>
      <w:r>
        <w:rPr>
          <w:rFonts w:hint="eastAsia" w:ascii="宋体" w:hAnsi="宋体"/>
          <w:color w:val="auto"/>
          <w:sz w:val="24"/>
          <w:highlight w:val="none"/>
        </w:rPr>
        <w:t>附</w:t>
      </w:r>
      <w:r>
        <w:rPr>
          <w:rFonts w:hint="eastAsia" w:ascii="宋体" w:hAnsi="宋体"/>
          <w:color w:val="auto"/>
          <w:sz w:val="28"/>
          <w:szCs w:val="28"/>
          <w:highlight w:val="none"/>
        </w:rPr>
        <w:t>：</w:t>
      </w:r>
    </w:p>
    <w:tbl>
      <w:tblPr>
        <w:tblStyle w:val="40"/>
        <w:tblW w:w="5472" w:type="dxa"/>
        <w:tblInd w:w="19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72"/>
      </w:tblGrid>
      <w:tr w14:paraId="7C26A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4" w:hRule="atLeast"/>
        </w:trPr>
        <w:tc>
          <w:tcPr>
            <w:tcW w:w="5472" w:type="dxa"/>
            <w:noWrap w:val="0"/>
            <w:vAlign w:val="center"/>
          </w:tcPr>
          <w:p w14:paraId="3BE30438">
            <w:pPr>
              <w:spacing w:line="480" w:lineRule="exact"/>
              <w:jc w:val="center"/>
              <w:rPr>
                <w:rFonts w:ascii="宋体"/>
                <w:color w:val="auto"/>
                <w:sz w:val="24"/>
                <w:highlight w:val="none"/>
              </w:rPr>
            </w:pPr>
            <w:r>
              <w:rPr>
                <w:rFonts w:hint="eastAsia" w:ascii="宋体" w:hAnsi="宋体"/>
                <w:color w:val="auto"/>
                <w:sz w:val="24"/>
                <w:highlight w:val="none"/>
              </w:rPr>
              <w:t>（代理人身份证正反面粘贴处）</w:t>
            </w:r>
          </w:p>
        </w:tc>
      </w:tr>
    </w:tbl>
    <w:p w14:paraId="1B840323">
      <w:pPr>
        <w:ind w:firstLine="800"/>
        <w:rPr>
          <w:rFonts w:ascii="黑体" w:hAnsi="宋体" w:eastAsia="黑体"/>
          <w:color w:val="auto"/>
          <w:sz w:val="32"/>
          <w:szCs w:val="32"/>
          <w:highlight w:val="none"/>
        </w:rPr>
      </w:pPr>
      <w:r>
        <w:rPr>
          <w:rFonts w:hint="eastAsia" w:ascii="黑体" w:hAnsi="宋体" w:eastAsia="黑体"/>
          <w:color w:val="auto"/>
          <w:sz w:val="32"/>
          <w:szCs w:val="32"/>
          <w:highlight w:val="none"/>
          <w:lang w:val="en-US" w:eastAsia="zh-CN"/>
        </w:rPr>
        <w:t>5</w:t>
      </w:r>
      <w:r>
        <w:rPr>
          <w:rFonts w:hint="eastAsia" w:ascii="黑体" w:hAnsi="宋体" w:eastAsia="黑体"/>
          <w:color w:val="auto"/>
          <w:sz w:val="32"/>
          <w:szCs w:val="32"/>
          <w:highlight w:val="none"/>
        </w:rPr>
        <w:t>、前 3 年内在经营活动中没有重大违法记录的声明</w:t>
      </w:r>
    </w:p>
    <w:p w14:paraId="2B5405B5">
      <w:pPr>
        <w:ind w:firstLine="560"/>
        <w:rPr>
          <w:rFonts w:ascii="宋体" w:hAnsi="宋体"/>
          <w:color w:val="auto"/>
          <w:sz w:val="28"/>
          <w:szCs w:val="28"/>
          <w:highlight w:val="none"/>
        </w:rPr>
      </w:pPr>
    </w:p>
    <w:p w14:paraId="79EE8A19">
      <w:pPr>
        <w:ind w:firstLine="640"/>
        <w:jc w:val="center"/>
        <w:rPr>
          <w:rFonts w:ascii="黑体" w:hAnsi="宋体" w:eastAsia="黑体"/>
          <w:color w:val="auto"/>
          <w:sz w:val="32"/>
          <w:szCs w:val="32"/>
          <w:highlight w:val="none"/>
        </w:rPr>
      </w:pPr>
      <w:r>
        <w:rPr>
          <w:rFonts w:hint="eastAsia" w:ascii="黑体" w:hAnsi="宋体" w:eastAsia="黑体"/>
          <w:color w:val="auto"/>
          <w:sz w:val="32"/>
          <w:szCs w:val="32"/>
          <w:highlight w:val="none"/>
        </w:rPr>
        <w:t>声明</w:t>
      </w:r>
    </w:p>
    <w:p w14:paraId="3FFD208A">
      <w:pPr>
        <w:spacing w:line="640" w:lineRule="exact"/>
        <w:ind w:firstLine="560"/>
        <w:rPr>
          <w:rFonts w:ascii="宋体" w:hAnsi="宋体"/>
          <w:color w:val="auto"/>
          <w:sz w:val="28"/>
          <w:szCs w:val="28"/>
          <w:highlight w:val="none"/>
        </w:rPr>
      </w:pPr>
    </w:p>
    <w:p w14:paraId="5C33867E">
      <w:pPr>
        <w:spacing w:line="640" w:lineRule="exact"/>
        <w:ind w:firstLine="480"/>
        <w:rPr>
          <w:rFonts w:ascii="宋体" w:hAnsi="宋体"/>
          <w:color w:val="auto"/>
          <w:sz w:val="24"/>
          <w:highlight w:val="none"/>
        </w:rPr>
      </w:pPr>
      <w:r>
        <w:rPr>
          <w:rFonts w:hint="eastAsia" w:ascii="宋体" w:hAnsi="宋体"/>
          <w:color w:val="auto"/>
          <w:sz w:val="24"/>
          <w:highlight w:val="none"/>
        </w:rPr>
        <w:t>我公司郑重声明：参加本次政府采购活动前 3 年内，我公司在经营活动中没有因违法经营受到刑事处罚或者责令停产停业、吊销许可证或者执照、较大数额罚款等行政处罚。</w:t>
      </w:r>
    </w:p>
    <w:p w14:paraId="579B8C24">
      <w:pPr>
        <w:spacing w:line="640" w:lineRule="exact"/>
        <w:ind w:firstLine="480"/>
        <w:rPr>
          <w:rFonts w:ascii="宋体" w:hAnsi="宋体"/>
          <w:color w:val="auto"/>
          <w:sz w:val="24"/>
          <w:highlight w:val="none"/>
        </w:rPr>
      </w:pPr>
      <w:r>
        <w:rPr>
          <w:rFonts w:hint="eastAsia" w:ascii="宋体" w:hAnsi="宋体"/>
          <w:color w:val="auto"/>
          <w:sz w:val="24"/>
          <w:highlight w:val="none"/>
        </w:rPr>
        <w:t>如我公司在前3年内有重大违法记录，则视为我公司出具的声明为虚假材料，我单位愿意接受监管部门的相应处罚。</w:t>
      </w:r>
    </w:p>
    <w:p w14:paraId="6A202C97">
      <w:pPr>
        <w:ind w:firstLine="480"/>
        <w:rPr>
          <w:rFonts w:ascii="宋体" w:hAnsi="宋体"/>
          <w:color w:val="auto"/>
          <w:sz w:val="24"/>
          <w:highlight w:val="none"/>
        </w:rPr>
      </w:pPr>
    </w:p>
    <w:p w14:paraId="49412015">
      <w:pPr>
        <w:ind w:firstLine="480"/>
        <w:rPr>
          <w:rFonts w:ascii="宋体" w:hAnsi="宋体"/>
          <w:color w:val="auto"/>
          <w:sz w:val="24"/>
          <w:highlight w:val="none"/>
        </w:rPr>
      </w:pPr>
    </w:p>
    <w:p w14:paraId="172BC5D4">
      <w:pPr>
        <w:ind w:firstLine="480"/>
        <w:rPr>
          <w:rFonts w:ascii="宋体" w:hAnsi="宋体"/>
          <w:color w:val="auto"/>
          <w:sz w:val="24"/>
          <w:highlight w:val="none"/>
        </w:rPr>
      </w:pPr>
    </w:p>
    <w:p w14:paraId="567744FB">
      <w:pPr>
        <w:ind w:firstLine="480"/>
        <w:rPr>
          <w:rFonts w:ascii="宋体" w:hAnsi="宋体"/>
          <w:color w:val="auto"/>
          <w:sz w:val="24"/>
          <w:highlight w:val="none"/>
        </w:rPr>
      </w:pPr>
    </w:p>
    <w:p w14:paraId="6E77FF1E">
      <w:pPr>
        <w:ind w:firstLine="480"/>
        <w:rPr>
          <w:rFonts w:ascii="宋体" w:hAnsi="宋体"/>
          <w:color w:val="auto"/>
          <w:sz w:val="24"/>
          <w:highlight w:val="none"/>
        </w:rPr>
      </w:pPr>
    </w:p>
    <w:p w14:paraId="5F5E58F5">
      <w:pPr>
        <w:widowControl/>
        <w:spacing w:before="100" w:beforeAutospacing="1" w:after="100" w:afterAutospacing="1"/>
        <w:ind w:firstLine="4800"/>
        <w:jc w:val="left"/>
        <w:rPr>
          <w:rFonts w:ascii="宋体" w:hAnsi="宋体" w:cs="Segoe UI"/>
          <w:color w:val="auto"/>
          <w:sz w:val="24"/>
          <w:highlight w:val="none"/>
        </w:rPr>
      </w:pPr>
      <w:r>
        <w:rPr>
          <w:rFonts w:ascii="宋体" w:hAnsi="宋体" w:cs="Segoe UI"/>
          <w:color w:val="auto"/>
          <w:sz w:val="24"/>
          <w:highlight w:val="none"/>
        </w:rPr>
        <w:t>投标</w:t>
      </w:r>
      <w:r>
        <w:rPr>
          <w:rFonts w:hint="eastAsia" w:ascii="宋体" w:hAnsi="宋体" w:cs="Segoe UI"/>
          <w:color w:val="auto"/>
          <w:sz w:val="24"/>
          <w:highlight w:val="none"/>
        </w:rPr>
        <w:t>单位</w:t>
      </w:r>
      <w:r>
        <w:rPr>
          <w:rFonts w:ascii="宋体" w:hAnsi="宋体" w:cs="Segoe UI"/>
          <w:color w:val="auto"/>
          <w:sz w:val="24"/>
          <w:highlight w:val="none"/>
        </w:rPr>
        <w:t>(电子签章)</w:t>
      </w:r>
      <w:r>
        <w:rPr>
          <w:rFonts w:hint="eastAsia" w:ascii="宋体" w:hAnsi="宋体" w:cs="Segoe UI"/>
          <w:color w:val="auto"/>
          <w:sz w:val="24"/>
          <w:highlight w:val="none"/>
        </w:rPr>
        <w:t>：</w:t>
      </w:r>
    </w:p>
    <w:p w14:paraId="34F1D2DC">
      <w:pPr>
        <w:ind w:firstLine="480"/>
        <w:jc w:val="right"/>
        <w:rPr>
          <w:rFonts w:ascii="宋体" w:hAnsi="宋体"/>
          <w:color w:val="auto"/>
          <w:sz w:val="24"/>
          <w:highlight w:val="none"/>
        </w:rPr>
      </w:pPr>
    </w:p>
    <w:p w14:paraId="3216B5A4">
      <w:pPr>
        <w:ind w:firstLine="480"/>
        <w:jc w:val="right"/>
        <w:rPr>
          <w:rFonts w:ascii="宋体" w:hAnsi="宋体"/>
          <w:color w:val="auto"/>
          <w:sz w:val="24"/>
          <w:highlight w:val="none"/>
        </w:rPr>
      </w:pPr>
      <w:r>
        <w:rPr>
          <w:rFonts w:hint="eastAsia" w:ascii="宋体" w:hAnsi="宋体"/>
          <w:color w:val="auto"/>
          <w:sz w:val="24"/>
          <w:highlight w:val="none"/>
        </w:rPr>
        <w:t>法定代表人或其被授权人（盖章或签字）：</w:t>
      </w:r>
    </w:p>
    <w:p w14:paraId="1B9822ED">
      <w:pPr>
        <w:ind w:firstLine="480"/>
        <w:jc w:val="right"/>
        <w:rPr>
          <w:rFonts w:ascii="宋体" w:hAnsi="宋体"/>
          <w:color w:val="auto"/>
          <w:sz w:val="24"/>
          <w:highlight w:val="none"/>
        </w:rPr>
      </w:pPr>
    </w:p>
    <w:p w14:paraId="53C53E86">
      <w:pPr>
        <w:ind w:firstLine="480"/>
        <w:jc w:val="right"/>
        <w:rPr>
          <w:rFonts w:ascii="宋体" w:hAnsi="宋体"/>
          <w:color w:val="auto"/>
          <w:sz w:val="28"/>
          <w:szCs w:val="28"/>
          <w:highlight w:val="none"/>
        </w:rPr>
      </w:pPr>
      <w:r>
        <w:rPr>
          <w:rFonts w:hint="eastAsia" w:ascii="宋体" w:hAnsi="宋体"/>
          <w:color w:val="auto"/>
          <w:sz w:val="24"/>
          <w:highlight w:val="none"/>
        </w:rPr>
        <w:t xml:space="preserve">     年   月   日</w:t>
      </w:r>
    </w:p>
    <w:p w14:paraId="1D4F1371">
      <w:pPr>
        <w:spacing w:line="460" w:lineRule="exact"/>
        <w:ind w:firstLine="560"/>
        <w:rPr>
          <w:rFonts w:ascii="宋体" w:hAnsi="宋体"/>
          <w:bCs/>
          <w:color w:val="auto"/>
          <w:sz w:val="28"/>
          <w:szCs w:val="28"/>
          <w:highlight w:val="none"/>
        </w:rPr>
      </w:pPr>
    </w:p>
    <w:p w14:paraId="7F8727D9">
      <w:pPr>
        <w:pStyle w:val="205"/>
        <w:widowControl w:val="0"/>
        <w:spacing w:before="0" w:beforeAutospacing="0" w:after="0" w:afterAutospacing="0" w:line="640" w:lineRule="exact"/>
        <w:ind w:firstLine="640"/>
        <w:rPr>
          <w:rFonts w:ascii="黑体" w:hAnsi="宋体" w:eastAsia="黑体"/>
          <w:color w:val="auto"/>
          <w:sz w:val="32"/>
          <w:szCs w:val="32"/>
          <w:highlight w:val="none"/>
        </w:rPr>
      </w:pPr>
    </w:p>
    <w:p w14:paraId="5E5E87AF">
      <w:pPr>
        <w:pStyle w:val="205"/>
        <w:widowControl w:val="0"/>
        <w:spacing w:before="0" w:beforeAutospacing="0" w:after="0" w:afterAutospacing="0" w:line="640" w:lineRule="exact"/>
        <w:ind w:firstLine="640"/>
        <w:rPr>
          <w:rFonts w:ascii="黑体" w:hAnsi="宋体" w:eastAsia="黑体"/>
          <w:color w:val="auto"/>
          <w:sz w:val="32"/>
          <w:szCs w:val="32"/>
          <w:highlight w:val="none"/>
        </w:rPr>
      </w:pPr>
    </w:p>
    <w:p w14:paraId="67E1D10B">
      <w:pPr>
        <w:pStyle w:val="205"/>
        <w:widowControl w:val="0"/>
        <w:spacing w:before="0" w:beforeAutospacing="0" w:after="0" w:afterAutospacing="0" w:line="640" w:lineRule="exact"/>
        <w:ind w:firstLine="640"/>
        <w:rPr>
          <w:rFonts w:ascii="黑体" w:hAnsi="宋体" w:eastAsia="黑体"/>
          <w:color w:val="auto"/>
          <w:sz w:val="32"/>
          <w:szCs w:val="32"/>
          <w:highlight w:val="none"/>
        </w:rPr>
      </w:pPr>
    </w:p>
    <w:p w14:paraId="7C169223">
      <w:pPr>
        <w:pStyle w:val="205"/>
        <w:widowControl w:val="0"/>
        <w:spacing w:before="0" w:beforeAutospacing="0" w:after="0" w:afterAutospacing="0" w:line="640" w:lineRule="exact"/>
        <w:ind w:firstLine="640"/>
        <w:rPr>
          <w:rFonts w:ascii="黑体" w:hAnsi="宋体" w:eastAsia="黑体"/>
          <w:color w:val="auto"/>
          <w:sz w:val="32"/>
          <w:szCs w:val="32"/>
          <w:highlight w:val="none"/>
        </w:rPr>
      </w:pPr>
    </w:p>
    <w:p w14:paraId="191562A7">
      <w:pPr>
        <w:pStyle w:val="205"/>
        <w:widowControl w:val="0"/>
        <w:spacing w:before="0" w:beforeAutospacing="0" w:after="0" w:afterAutospacing="0" w:line="640" w:lineRule="exact"/>
        <w:ind w:firstLine="640"/>
        <w:rPr>
          <w:rFonts w:ascii="黑体" w:hAnsi="宋体" w:eastAsia="黑体"/>
          <w:color w:val="auto"/>
          <w:sz w:val="32"/>
          <w:szCs w:val="32"/>
          <w:highlight w:val="none"/>
        </w:rPr>
      </w:pPr>
    </w:p>
    <w:p w14:paraId="4AFD0DA0">
      <w:pPr>
        <w:pStyle w:val="205"/>
        <w:widowControl w:val="0"/>
        <w:spacing w:before="0" w:beforeAutospacing="0" w:after="0" w:afterAutospacing="0" w:line="640" w:lineRule="exact"/>
        <w:ind w:firstLine="640"/>
        <w:rPr>
          <w:rFonts w:ascii="黑体" w:hAnsi="宋体" w:eastAsia="黑体"/>
          <w:color w:val="auto"/>
          <w:sz w:val="32"/>
          <w:szCs w:val="32"/>
          <w:highlight w:val="none"/>
        </w:rPr>
      </w:pPr>
    </w:p>
    <w:p w14:paraId="0A1709C9">
      <w:pPr>
        <w:pStyle w:val="205"/>
        <w:widowControl w:val="0"/>
        <w:spacing w:before="0" w:beforeAutospacing="0" w:after="0" w:afterAutospacing="0" w:line="640" w:lineRule="exact"/>
        <w:ind w:firstLine="640"/>
        <w:rPr>
          <w:rFonts w:ascii="黑体" w:hAnsi="宋体" w:eastAsia="黑体"/>
          <w:color w:val="auto"/>
          <w:sz w:val="32"/>
          <w:szCs w:val="32"/>
          <w:highlight w:val="none"/>
        </w:rPr>
      </w:pPr>
    </w:p>
    <w:p w14:paraId="176BE907">
      <w:pPr>
        <w:spacing w:line="360" w:lineRule="auto"/>
        <w:jc w:val="center"/>
        <w:rPr>
          <w:rFonts w:ascii="黑体" w:hAnsi="宋体" w:eastAsia="黑体"/>
          <w:color w:val="auto"/>
          <w:sz w:val="32"/>
          <w:szCs w:val="32"/>
          <w:highlight w:val="none"/>
        </w:rPr>
      </w:pPr>
      <w:r>
        <w:rPr>
          <w:rFonts w:hint="eastAsia" w:ascii="黑体" w:hAnsi="宋体" w:eastAsia="黑体"/>
          <w:color w:val="auto"/>
          <w:sz w:val="32"/>
          <w:szCs w:val="32"/>
          <w:highlight w:val="none"/>
          <w:lang w:val="en-US" w:eastAsia="zh-CN"/>
        </w:rPr>
        <w:t>6</w:t>
      </w:r>
      <w:r>
        <w:rPr>
          <w:rFonts w:hint="eastAsia" w:ascii="黑体" w:hAnsi="宋体" w:eastAsia="黑体"/>
          <w:color w:val="auto"/>
          <w:sz w:val="32"/>
          <w:szCs w:val="32"/>
          <w:highlight w:val="none"/>
        </w:rPr>
        <w:t>、</w:t>
      </w:r>
      <w:r>
        <w:rPr>
          <w:rFonts w:ascii="黑体" w:hAnsi="宋体" w:eastAsia="黑体"/>
          <w:color w:val="auto"/>
          <w:sz w:val="32"/>
          <w:szCs w:val="32"/>
          <w:highlight w:val="none"/>
        </w:rPr>
        <w:t>履行合同所必需的设备和专业技术能力的声明</w:t>
      </w:r>
    </w:p>
    <w:p w14:paraId="1AF37396">
      <w:pPr>
        <w:pStyle w:val="206"/>
        <w:spacing w:line="600" w:lineRule="exact"/>
        <w:ind w:firstLine="643"/>
        <w:jc w:val="center"/>
        <w:rPr>
          <w:rFonts w:ascii="宋体" w:hAnsi="宋体"/>
          <w:b/>
          <w:color w:val="auto"/>
          <w:sz w:val="32"/>
          <w:szCs w:val="24"/>
          <w:highlight w:val="none"/>
        </w:rPr>
      </w:pPr>
      <w:r>
        <w:rPr>
          <w:rFonts w:hint="eastAsia" w:ascii="宋体" w:hAnsi="宋体"/>
          <w:b/>
          <w:color w:val="auto"/>
          <w:sz w:val="32"/>
          <w:szCs w:val="24"/>
          <w:highlight w:val="none"/>
        </w:rPr>
        <w:t xml:space="preserve">声 </w:t>
      </w:r>
      <w:r>
        <w:rPr>
          <w:rFonts w:ascii="宋体" w:hAnsi="宋体"/>
          <w:b/>
          <w:color w:val="auto"/>
          <w:sz w:val="32"/>
          <w:szCs w:val="24"/>
          <w:highlight w:val="none"/>
        </w:rPr>
        <w:t xml:space="preserve">  </w:t>
      </w:r>
      <w:r>
        <w:rPr>
          <w:rFonts w:hint="eastAsia" w:ascii="宋体" w:hAnsi="宋体"/>
          <w:b/>
          <w:color w:val="auto"/>
          <w:sz w:val="32"/>
          <w:szCs w:val="24"/>
          <w:highlight w:val="none"/>
        </w:rPr>
        <w:t>明</w:t>
      </w:r>
    </w:p>
    <w:p w14:paraId="1786D21F">
      <w:pPr>
        <w:ind w:firstLine="560"/>
        <w:rPr>
          <w:rFonts w:ascii="宋体" w:hAnsi="宋体"/>
          <w:color w:val="auto"/>
          <w:sz w:val="28"/>
          <w:szCs w:val="28"/>
          <w:highlight w:val="none"/>
        </w:rPr>
      </w:pPr>
    </w:p>
    <w:p w14:paraId="200A84FA">
      <w:pPr>
        <w:spacing w:after="120" w:line="640" w:lineRule="exact"/>
        <w:rPr>
          <w:rFonts w:ascii="宋体" w:hAnsi="宋体" w:cs="宋体"/>
          <w:color w:val="auto"/>
          <w:sz w:val="24"/>
          <w:szCs w:val="20"/>
          <w:highlight w:val="none"/>
        </w:rPr>
      </w:pPr>
      <w:r>
        <w:rPr>
          <w:rFonts w:hint="eastAsia" w:ascii="宋体" w:hAnsi="宋体" w:cs="宋体"/>
          <w:color w:val="auto"/>
          <w:sz w:val="24"/>
          <w:szCs w:val="20"/>
          <w:highlight w:val="none"/>
          <w:lang w:eastAsia="zh-CN"/>
        </w:rPr>
        <w:t>射阳县长荡镇人民政府</w:t>
      </w:r>
      <w:r>
        <w:rPr>
          <w:rFonts w:hint="eastAsia" w:ascii="宋体" w:hAnsi="宋体" w:cs="宋体"/>
          <w:color w:val="auto"/>
          <w:sz w:val="24"/>
          <w:szCs w:val="20"/>
          <w:highlight w:val="none"/>
        </w:rPr>
        <w:t>：</w:t>
      </w:r>
    </w:p>
    <w:p w14:paraId="0ED2D629">
      <w:pPr>
        <w:spacing w:line="64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我公司具备履行采购文件“</w:t>
      </w:r>
      <w:r>
        <w:rPr>
          <w:rFonts w:hint="eastAsia" w:ascii="宋体" w:hAnsi="宋体" w:cs="宋体"/>
          <w:color w:val="auto"/>
          <w:sz w:val="24"/>
          <w:szCs w:val="20"/>
          <w:highlight w:val="none"/>
          <w:lang w:eastAsia="zh-CN"/>
        </w:rPr>
        <w:t>射阳县长荡镇黄沙港支流（中心河）生态河道建设项目</w:t>
      </w:r>
      <w:r>
        <w:rPr>
          <w:rFonts w:hint="eastAsia" w:ascii="宋体" w:hAnsi="宋体" w:cs="宋体"/>
          <w:color w:val="auto"/>
          <w:sz w:val="24"/>
          <w:szCs w:val="20"/>
          <w:highlight w:val="none"/>
        </w:rPr>
        <w:t>项目（项目编号</w:t>
      </w:r>
      <w:r>
        <w:rPr>
          <w:rFonts w:hint="eastAsia" w:ascii="宋体" w:hAnsi="宋体" w:cs="宋体"/>
          <w:color w:val="auto"/>
          <w:sz w:val="24"/>
          <w:szCs w:val="20"/>
          <w:highlight w:val="none"/>
          <w:lang w:eastAsia="zh-CN"/>
        </w:rPr>
        <w:t>：JSZC-320924-YCXD-C2026-0003</w:t>
      </w:r>
      <w:r>
        <w:rPr>
          <w:rFonts w:hint="eastAsia" w:ascii="宋体" w:hAnsi="宋体" w:cs="宋体"/>
          <w:color w:val="auto"/>
          <w:sz w:val="24"/>
          <w:szCs w:val="20"/>
          <w:highlight w:val="none"/>
          <w:lang w:val="en-US" w:eastAsia="zh-CN"/>
        </w:rPr>
        <w:t xml:space="preserve"> </w:t>
      </w:r>
      <w:r>
        <w:rPr>
          <w:rFonts w:hint="eastAsia" w:ascii="宋体" w:hAnsi="宋体" w:cs="宋体"/>
          <w:color w:val="auto"/>
          <w:sz w:val="24"/>
          <w:szCs w:val="20"/>
          <w:highlight w:val="none"/>
        </w:rPr>
        <w:t>）”合同的设备和专业技术能力。</w:t>
      </w:r>
    </w:p>
    <w:p w14:paraId="622F46F0">
      <w:pPr>
        <w:pStyle w:val="206"/>
        <w:spacing w:line="600" w:lineRule="exact"/>
        <w:ind w:firstLine="480"/>
        <w:rPr>
          <w:rFonts w:ascii="宋体" w:hAnsi="宋体" w:cs="宋体"/>
          <w:color w:val="auto"/>
          <w:sz w:val="24"/>
          <w:szCs w:val="20"/>
          <w:highlight w:val="none"/>
        </w:rPr>
      </w:pPr>
      <w:r>
        <w:rPr>
          <w:rFonts w:hint="eastAsia" w:ascii="宋体" w:hAnsi="宋体" w:cs="宋体"/>
          <w:color w:val="auto"/>
          <w:sz w:val="24"/>
          <w:szCs w:val="20"/>
          <w:highlight w:val="none"/>
        </w:rPr>
        <w:t>特此声明。</w:t>
      </w:r>
    </w:p>
    <w:p w14:paraId="5C8E4009">
      <w:pPr>
        <w:spacing w:line="360" w:lineRule="auto"/>
        <w:ind w:firstLine="480"/>
        <w:jc w:val="center"/>
        <w:rPr>
          <w:rFonts w:ascii="宋体" w:hAnsi="宋体" w:cs="宋体"/>
          <w:color w:val="auto"/>
          <w:sz w:val="24"/>
          <w:szCs w:val="20"/>
          <w:highlight w:val="none"/>
        </w:rPr>
      </w:pPr>
    </w:p>
    <w:p w14:paraId="1A6A1414">
      <w:pPr>
        <w:spacing w:line="360" w:lineRule="auto"/>
        <w:ind w:firstLine="480"/>
        <w:jc w:val="center"/>
        <w:rPr>
          <w:rFonts w:ascii="宋体" w:hAnsi="宋体" w:cs="宋体"/>
          <w:color w:val="auto"/>
          <w:sz w:val="24"/>
          <w:szCs w:val="20"/>
          <w:highlight w:val="none"/>
        </w:rPr>
      </w:pPr>
    </w:p>
    <w:p w14:paraId="64204A2B">
      <w:pPr>
        <w:spacing w:line="360" w:lineRule="auto"/>
        <w:ind w:firstLine="480"/>
        <w:jc w:val="center"/>
        <w:rPr>
          <w:rFonts w:ascii="宋体" w:hAnsi="宋体" w:cs="宋体"/>
          <w:color w:val="auto"/>
          <w:sz w:val="24"/>
          <w:szCs w:val="20"/>
          <w:highlight w:val="none"/>
        </w:rPr>
      </w:pPr>
    </w:p>
    <w:p w14:paraId="32C73CCA">
      <w:pPr>
        <w:spacing w:line="360" w:lineRule="auto"/>
        <w:ind w:firstLine="480"/>
        <w:jc w:val="center"/>
        <w:rPr>
          <w:rFonts w:ascii="宋体" w:hAnsi="宋体" w:cs="宋体"/>
          <w:color w:val="auto"/>
          <w:sz w:val="24"/>
          <w:szCs w:val="20"/>
          <w:highlight w:val="none"/>
        </w:rPr>
      </w:pPr>
    </w:p>
    <w:p w14:paraId="500ADCEA">
      <w:pPr>
        <w:widowControl/>
        <w:spacing w:before="100" w:beforeAutospacing="1" w:after="100" w:afterAutospacing="1"/>
        <w:ind w:firstLine="4800"/>
        <w:jc w:val="left"/>
        <w:rPr>
          <w:rFonts w:ascii="宋体" w:hAnsi="宋体" w:cs="Segoe UI"/>
          <w:color w:val="auto"/>
          <w:sz w:val="24"/>
          <w:highlight w:val="none"/>
        </w:rPr>
      </w:pPr>
      <w:r>
        <w:rPr>
          <w:rFonts w:ascii="宋体" w:hAnsi="宋体" w:cs="Segoe UI"/>
          <w:color w:val="auto"/>
          <w:sz w:val="24"/>
          <w:highlight w:val="none"/>
        </w:rPr>
        <w:t>投标</w:t>
      </w:r>
      <w:r>
        <w:rPr>
          <w:rFonts w:hint="eastAsia" w:ascii="宋体" w:hAnsi="宋体" w:cs="Segoe UI"/>
          <w:color w:val="auto"/>
          <w:sz w:val="24"/>
          <w:highlight w:val="none"/>
        </w:rPr>
        <w:t>单位</w:t>
      </w:r>
      <w:r>
        <w:rPr>
          <w:rFonts w:ascii="宋体" w:hAnsi="宋体" w:cs="Segoe UI"/>
          <w:color w:val="auto"/>
          <w:sz w:val="24"/>
          <w:highlight w:val="none"/>
        </w:rPr>
        <w:t>(电子签章)</w:t>
      </w:r>
      <w:r>
        <w:rPr>
          <w:rFonts w:hint="eastAsia" w:ascii="宋体" w:hAnsi="宋体" w:cs="Segoe UI"/>
          <w:color w:val="auto"/>
          <w:sz w:val="24"/>
          <w:highlight w:val="none"/>
        </w:rPr>
        <w:t>：</w:t>
      </w:r>
    </w:p>
    <w:p w14:paraId="562E1F1D">
      <w:pPr>
        <w:ind w:firstLine="480"/>
        <w:jc w:val="right"/>
        <w:rPr>
          <w:rFonts w:ascii="宋体" w:hAnsi="宋体" w:cs="宋体"/>
          <w:color w:val="auto"/>
          <w:sz w:val="24"/>
          <w:szCs w:val="20"/>
          <w:highlight w:val="none"/>
        </w:rPr>
      </w:pPr>
    </w:p>
    <w:p w14:paraId="6720326D">
      <w:pPr>
        <w:ind w:firstLine="480"/>
        <w:jc w:val="right"/>
        <w:rPr>
          <w:rFonts w:ascii="宋体" w:hAnsi="宋体" w:cs="宋体"/>
          <w:color w:val="auto"/>
          <w:sz w:val="24"/>
          <w:szCs w:val="20"/>
          <w:highlight w:val="none"/>
        </w:rPr>
      </w:pPr>
      <w:r>
        <w:rPr>
          <w:rFonts w:hint="eastAsia" w:ascii="宋体" w:hAnsi="宋体" w:cs="宋体"/>
          <w:color w:val="auto"/>
          <w:sz w:val="24"/>
          <w:szCs w:val="20"/>
          <w:highlight w:val="none"/>
        </w:rPr>
        <w:t>法定代表人或其被授权人（盖章或签字）：</w:t>
      </w:r>
    </w:p>
    <w:p w14:paraId="5E9B3FE9">
      <w:pPr>
        <w:ind w:firstLine="480"/>
        <w:jc w:val="right"/>
        <w:rPr>
          <w:rFonts w:ascii="宋体" w:hAnsi="宋体" w:cs="宋体"/>
          <w:color w:val="auto"/>
          <w:sz w:val="24"/>
          <w:szCs w:val="20"/>
          <w:highlight w:val="none"/>
        </w:rPr>
      </w:pPr>
    </w:p>
    <w:p w14:paraId="26E99A35">
      <w:pPr>
        <w:ind w:firstLine="480"/>
        <w:jc w:val="left"/>
        <w:rPr>
          <w:rFonts w:ascii="宋体" w:hAnsi="宋体" w:cs="宋体"/>
          <w:color w:val="auto"/>
          <w:sz w:val="24"/>
          <w:szCs w:val="20"/>
          <w:highlight w:val="none"/>
        </w:rPr>
      </w:pPr>
      <w:r>
        <w:rPr>
          <w:rFonts w:hint="eastAsia" w:ascii="宋体" w:hAnsi="宋体" w:cs="宋体"/>
          <w:color w:val="auto"/>
          <w:sz w:val="24"/>
          <w:szCs w:val="20"/>
          <w:highlight w:val="none"/>
        </w:rPr>
        <w:t xml:space="preserve">                                              年     月     日</w:t>
      </w:r>
      <w:bookmarkEnd w:id="236"/>
    </w:p>
    <w:p w14:paraId="5D2A198F">
      <w:pPr>
        <w:pStyle w:val="207"/>
        <w:ind w:firstLine="482"/>
        <w:rPr>
          <w:rFonts w:ascii="Tahoma" w:hAnsi="Tahoma"/>
          <w:color w:val="auto"/>
          <w:sz w:val="24"/>
          <w:highlight w:val="none"/>
        </w:rPr>
      </w:pPr>
    </w:p>
    <w:p w14:paraId="7E378BB3">
      <w:pPr>
        <w:spacing w:before="120" w:after="120" w:line="460" w:lineRule="exact"/>
        <w:jc w:val="center"/>
        <w:outlineLvl w:val="0"/>
        <w:rPr>
          <w:rFonts w:ascii="宋体" w:hAnsi="Courier New"/>
          <w:b/>
          <w:color w:val="auto"/>
          <w:sz w:val="32"/>
          <w:szCs w:val="32"/>
          <w:highlight w:val="none"/>
        </w:rPr>
        <w:sectPr>
          <w:pgSz w:w="11906" w:h="16838"/>
          <w:pgMar w:top="1417" w:right="1417" w:bottom="1417" w:left="1418" w:header="851" w:footer="992" w:gutter="0"/>
          <w:cols w:space="1701" w:num="1"/>
          <w:docGrid w:linePitch="360" w:charSpace="0"/>
        </w:sectPr>
      </w:pPr>
    </w:p>
    <w:p w14:paraId="4408C0C4">
      <w:pPr>
        <w:spacing w:line="360" w:lineRule="auto"/>
        <w:jc w:val="center"/>
        <w:rPr>
          <w:rFonts w:ascii="黑体" w:hAnsi="宋体" w:eastAsia="黑体"/>
          <w:color w:val="auto"/>
          <w:sz w:val="32"/>
          <w:szCs w:val="32"/>
          <w:highlight w:val="none"/>
        </w:rPr>
      </w:pPr>
      <w:bookmarkStart w:id="238" w:name="_Toc68706657"/>
      <w:bookmarkStart w:id="239" w:name="_Toc151374125"/>
      <w:bookmarkStart w:id="240" w:name="_Toc154670211"/>
      <w:r>
        <w:rPr>
          <w:rFonts w:hint="eastAsia" w:ascii="Cambria" w:hAnsi="Cambria"/>
          <w:b/>
          <w:bCs/>
          <w:color w:val="auto"/>
          <w:sz w:val="32"/>
          <w:szCs w:val="32"/>
          <w:highlight w:val="none"/>
          <w:lang w:val="en-US" w:eastAsia="zh-CN"/>
        </w:rPr>
        <w:t>7</w:t>
      </w:r>
      <w:r>
        <w:rPr>
          <w:rFonts w:hint="eastAsia" w:ascii="Cambria" w:hAnsi="Cambria"/>
          <w:b/>
          <w:bCs/>
          <w:color w:val="auto"/>
          <w:sz w:val="32"/>
          <w:szCs w:val="32"/>
          <w:highlight w:val="none"/>
        </w:rPr>
        <w:t>、中小企业声明函</w:t>
      </w:r>
      <w:bookmarkEnd w:id="238"/>
      <w:bookmarkEnd w:id="239"/>
      <w:bookmarkEnd w:id="240"/>
      <w:bookmarkStart w:id="241" w:name="_Toc101357907"/>
      <w:bookmarkStart w:id="242" w:name="_Toc151374126"/>
      <w:bookmarkStart w:id="243" w:name="_Toc154670212"/>
    </w:p>
    <w:p w14:paraId="295DFF8C">
      <w:pPr>
        <w:spacing w:line="240" w:lineRule="exact"/>
        <w:ind w:firstLine="141"/>
        <w:rPr>
          <w:rFonts w:ascii="黑体" w:hAnsi="宋体" w:eastAsia="黑体"/>
          <w:b/>
          <w:bCs/>
          <w:color w:val="auto"/>
          <w:sz w:val="28"/>
          <w:szCs w:val="28"/>
          <w:highlight w:val="none"/>
        </w:rPr>
      </w:pPr>
    </w:p>
    <w:p w14:paraId="096DE00B">
      <w:pPr>
        <w:keepNext w:val="0"/>
        <w:keepLines w:val="0"/>
        <w:pageBreakBefore w:val="0"/>
        <w:widowControl/>
        <w:spacing w:line="440" w:lineRule="exact"/>
        <w:ind w:firstLine="420"/>
        <w:jc w:val="left"/>
        <w:rPr>
          <w:rFonts w:hint="eastAsia" w:hAnsi="宋体" w:eastAsia="宋体" w:cs="宋体"/>
          <w:b w:val="0"/>
          <w:bCs w:val="0"/>
          <w:i w:val="0"/>
          <w:iCs/>
          <w:color w:val="auto"/>
          <w:szCs w:val="28"/>
          <w:highlight w:val="none"/>
        </w:rPr>
      </w:pPr>
      <w:r>
        <w:rPr>
          <w:rFonts w:hint="eastAsia" w:hAnsi="宋体" w:eastAsia="宋体" w:cs="宋体"/>
          <w:color w:val="auto"/>
          <w:szCs w:val="28"/>
          <w:highlight w:val="none"/>
        </w:rPr>
        <w:t>本公司（联合体）郑重声明，根据《政府采购促进中小企业发展管理办法》（财库﹝2020﹞46 号）的规定，本公司（联合体）参加</w:t>
      </w:r>
      <w:r>
        <w:rPr>
          <w:rFonts w:hint="eastAsia" w:hAnsi="宋体" w:eastAsia="宋体" w:cs="宋体"/>
          <w:b w:val="0"/>
          <w:bCs w:val="0"/>
          <w:i w:val="0"/>
          <w:iCs/>
          <w:color w:val="auto"/>
          <w:szCs w:val="28"/>
          <w:highlight w:val="none"/>
          <w:u w:val="single"/>
        </w:rPr>
        <w:t>（单位名称）</w:t>
      </w:r>
      <w:r>
        <w:rPr>
          <w:rFonts w:hint="eastAsia" w:hAnsi="宋体" w:eastAsia="宋体" w:cs="宋体"/>
          <w:b w:val="0"/>
          <w:bCs w:val="0"/>
          <w:i w:val="0"/>
          <w:iCs/>
          <w:color w:val="auto"/>
          <w:szCs w:val="28"/>
          <w:highlight w:val="none"/>
        </w:rPr>
        <w:t>的</w:t>
      </w:r>
      <w:r>
        <w:rPr>
          <w:rFonts w:hint="eastAsia" w:hAnsi="宋体" w:eastAsia="宋体" w:cs="宋体"/>
          <w:b w:val="0"/>
          <w:bCs w:val="0"/>
          <w:i w:val="0"/>
          <w:iCs/>
          <w:color w:val="auto"/>
          <w:szCs w:val="28"/>
          <w:highlight w:val="none"/>
          <w:u w:val="single"/>
        </w:rPr>
        <w:t>（项目名称）</w:t>
      </w:r>
      <w:r>
        <w:rPr>
          <w:rFonts w:hint="eastAsia" w:hAnsi="宋体" w:eastAsia="宋体" w:cs="宋体"/>
          <w:b w:val="0"/>
          <w:bCs w:val="0"/>
          <w:i w:val="0"/>
          <w:iCs/>
          <w:color w:val="auto"/>
          <w:szCs w:val="28"/>
          <w:highlight w:val="none"/>
        </w:rPr>
        <w:t>采购活动，服务全部由符合政策要求的中小企业承接。相关企业（含联合体中的中小企业、签订分包意向协议的中小企业）的具体情况如下：</w:t>
      </w:r>
    </w:p>
    <w:p w14:paraId="6A670192">
      <w:pPr>
        <w:keepNext w:val="0"/>
        <w:keepLines w:val="0"/>
        <w:pageBreakBefore w:val="0"/>
        <w:widowControl/>
        <w:spacing w:line="440" w:lineRule="exact"/>
        <w:ind w:firstLine="420"/>
        <w:jc w:val="left"/>
        <w:rPr>
          <w:rFonts w:hint="eastAsia" w:hAnsi="宋体" w:eastAsia="宋体" w:cs="宋体"/>
          <w:b w:val="0"/>
          <w:bCs w:val="0"/>
          <w:i w:val="0"/>
          <w:iCs/>
          <w:color w:val="auto"/>
          <w:szCs w:val="28"/>
          <w:highlight w:val="none"/>
        </w:rPr>
      </w:pPr>
      <w:r>
        <w:rPr>
          <w:rFonts w:hint="eastAsia" w:hAnsi="宋体" w:eastAsia="宋体" w:cs="宋体"/>
          <w:b w:val="0"/>
          <w:bCs w:val="0"/>
          <w:i w:val="0"/>
          <w:iCs/>
          <w:color w:val="auto"/>
          <w:szCs w:val="28"/>
          <w:highlight w:val="none"/>
        </w:rPr>
        <w:t xml:space="preserve">1. </w:t>
      </w:r>
      <w:r>
        <w:rPr>
          <w:rFonts w:hint="eastAsia" w:hAnsi="宋体" w:eastAsia="宋体" w:cs="宋体"/>
          <w:b w:val="0"/>
          <w:bCs w:val="0"/>
          <w:i w:val="0"/>
          <w:iCs/>
          <w:color w:val="auto"/>
          <w:szCs w:val="28"/>
          <w:highlight w:val="none"/>
          <w:u w:val="single"/>
        </w:rPr>
        <w:t xml:space="preserve">（标的名称） </w:t>
      </w:r>
      <w:r>
        <w:rPr>
          <w:rFonts w:hint="eastAsia" w:hAnsi="宋体" w:eastAsia="宋体" w:cs="宋体"/>
          <w:b w:val="0"/>
          <w:bCs w:val="0"/>
          <w:i w:val="0"/>
          <w:iCs/>
          <w:color w:val="auto"/>
          <w:szCs w:val="28"/>
          <w:highlight w:val="none"/>
        </w:rPr>
        <w:t>，属于</w:t>
      </w:r>
      <w:r>
        <w:rPr>
          <w:rFonts w:hint="eastAsia" w:hAnsi="宋体" w:eastAsia="宋体" w:cs="宋体"/>
          <w:b w:val="0"/>
          <w:bCs w:val="0"/>
          <w:i w:val="0"/>
          <w:iCs/>
          <w:color w:val="auto"/>
          <w:szCs w:val="28"/>
          <w:highlight w:val="none"/>
          <w:u w:val="single"/>
        </w:rPr>
        <w:t>（采购文件中明确的所属行业）</w:t>
      </w:r>
      <w:r>
        <w:rPr>
          <w:rFonts w:hint="eastAsia" w:hAnsi="宋体" w:eastAsia="宋体" w:cs="宋体"/>
          <w:b w:val="0"/>
          <w:bCs w:val="0"/>
          <w:i w:val="0"/>
          <w:iCs/>
          <w:color w:val="auto"/>
          <w:szCs w:val="28"/>
          <w:highlight w:val="none"/>
        </w:rPr>
        <w:t>；承接企业为</w:t>
      </w:r>
      <w:r>
        <w:rPr>
          <w:rFonts w:hint="eastAsia" w:hAnsi="宋体" w:eastAsia="宋体" w:cs="宋体"/>
          <w:b w:val="0"/>
          <w:bCs w:val="0"/>
          <w:i w:val="0"/>
          <w:iCs/>
          <w:color w:val="auto"/>
          <w:szCs w:val="28"/>
          <w:highlight w:val="none"/>
          <w:u w:val="single"/>
        </w:rPr>
        <w:t>（企业名称）</w:t>
      </w:r>
      <w:r>
        <w:rPr>
          <w:rFonts w:hint="eastAsia" w:hAnsi="宋体" w:eastAsia="宋体" w:cs="宋体"/>
          <w:b w:val="0"/>
          <w:bCs w:val="0"/>
          <w:i w:val="0"/>
          <w:iCs/>
          <w:color w:val="auto"/>
          <w:szCs w:val="28"/>
          <w:highlight w:val="none"/>
        </w:rPr>
        <w:t>，从业人员人，营业收入为</w:t>
      </w:r>
      <w:r>
        <w:rPr>
          <w:rFonts w:hint="eastAsia" w:hAnsi="宋体" w:eastAsia="宋体" w:cs="宋体"/>
          <w:b w:val="0"/>
          <w:bCs w:val="0"/>
          <w:i w:val="0"/>
          <w:iCs/>
          <w:color w:val="auto"/>
          <w:szCs w:val="28"/>
          <w:highlight w:val="none"/>
          <w:u w:val="single"/>
        </w:rPr>
        <w:t xml:space="preserve">         </w:t>
      </w:r>
      <w:r>
        <w:rPr>
          <w:rFonts w:hint="eastAsia" w:hAnsi="宋体" w:eastAsia="宋体" w:cs="宋体"/>
          <w:b w:val="0"/>
          <w:bCs w:val="0"/>
          <w:i w:val="0"/>
          <w:iCs/>
          <w:color w:val="auto"/>
          <w:szCs w:val="28"/>
          <w:highlight w:val="none"/>
        </w:rPr>
        <w:t>万元，资产总额为</w:t>
      </w:r>
      <w:r>
        <w:rPr>
          <w:rFonts w:hint="eastAsia" w:hAnsi="宋体" w:eastAsia="宋体" w:cs="宋体"/>
          <w:b w:val="0"/>
          <w:bCs w:val="0"/>
          <w:i w:val="0"/>
          <w:iCs/>
          <w:color w:val="auto"/>
          <w:szCs w:val="28"/>
          <w:highlight w:val="none"/>
          <w:u w:val="single"/>
        </w:rPr>
        <w:t xml:space="preserve">        </w:t>
      </w:r>
      <w:r>
        <w:rPr>
          <w:rFonts w:hint="eastAsia" w:hAnsi="宋体" w:eastAsia="宋体" w:cs="宋体"/>
          <w:b w:val="0"/>
          <w:bCs w:val="0"/>
          <w:i w:val="0"/>
          <w:iCs/>
          <w:color w:val="auto"/>
          <w:szCs w:val="28"/>
          <w:highlight w:val="none"/>
        </w:rPr>
        <w:t>万元，属于</w:t>
      </w:r>
      <w:r>
        <w:rPr>
          <w:rFonts w:hint="eastAsia" w:hAnsi="宋体" w:eastAsia="宋体" w:cs="宋体"/>
          <w:b w:val="0"/>
          <w:bCs w:val="0"/>
          <w:i w:val="0"/>
          <w:iCs/>
          <w:color w:val="auto"/>
          <w:szCs w:val="28"/>
          <w:highlight w:val="none"/>
          <w:u w:val="single"/>
        </w:rPr>
        <w:t>（中型企业、小型企业、微型企业）</w:t>
      </w:r>
      <w:r>
        <w:rPr>
          <w:rFonts w:hint="eastAsia" w:hAnsi="宋体" w:eastAsia="宋体" w:cs="宋体"/>
          <w:b w:val="0"/>
          <w:bCs w:val="0"/>
          <w:i w:val="0"/>
          <w:iCs/>
          <w:color w:val="auto"/>
          <w:szCs w:val="28"/>
          <w:highlight w:val="none"/>
        </w:rPr>
        <w:t xml:space="preserve">； </w:t>
      </w:r>
    </w:p>
    <w:p w14:paraId="4396014C">
      <w:pPr>
        <w:keepNext w:val="0"/>
        <w:keepLines w:val="0"/>
        <w:pageBreakBefore w:val="0"/>
        <w:widowControl/>
        <w:spacing w:line="440" w:lineRule="exact"/>
        <w:ind w:firstLine="420"/>
        <w:jc w:val="left"/>
        <w:rPr>
          <w:rFonts w:hint="eastAsia" w:hAnsi="宋体" w:eastAsia="宋体" w:cs="宋体"/>
          <w:b w:val="0"/>
          <w:bCs w:val="0"/>
          <w:i w:val="0"/>
          <w:iCs/>
          <w:color w:val="auto"/>
          <w:szCs w:val="28"/>
          <w:highlight w:val="none"/>
        </w:rPr>
      </w:pPr>
      <w:r>
        <w:rPr>
          <w:rFonts w:hint="eastAsia" w:hAnsi="宋体" w:eastAsia="宋体" w:cs="宋体"/>
          <w:b w:val="0"/>
          <w:bCs w:val="0"/>
          <w:i w:val="0"/>
          <w:iCs/>
          <w:color w:val="auto"/>
          <w:szCs w:val="28"/>
          <w:highlight w:val="none"/>
        </w:rPr>
        <w:t>2.</w:t>
      </w:r>
      <w:r>
        <w:rPr>
          <w:rFonts w:hint="eastAsia" w:hAnsi="宋体" w:eastAsia="宋体" w:cs="宋体"/>
          <w:b w:val="0"/>
          <w:bCs w:val="0"/>
          <w:i w:val="0"/>
          <w:iCs/>
          <w:color w:val="auto"/>
          <w:szCs w:val="28"/>
          <w:highlight w:val="none"/>
          <w:u w:val="single"/>
        </w:rPr>
        <w:t xml:space="preserve"> （标的名称）</w:t>
      </w:r>
      <w:r>
        <w:rPr>
          <w:rFonts w:hint="eastAsia" w:hAnsi="宋体" w:eastAsia="宋体" w:cs="宋体"/>
          <w:b w:val="0"/>
          <w:bCs w:val="0"/>
          <w:i w:val="0"/>
          <w:iCs/>
          <w:color w:val="auto"/>
          <w:szCs w:val="28"/>
          <w:highlight w:val="none"/>
        </w:rPr>
        <w:t xml:space="preserve"> ，属于</w:t>
      </w:r>
      <w:r>
        <w:rPr>
          <w:rFonts w:hint="eastAsia" w:hAnsi="宋体" w:eastAsia="宋体" w:cs="宋体"/>
          <w:b w:val="0"/>
          <w:bCs w:val="0"/>
          <w:i w:val="0"/>
          <w:iCs/>
          <w:color w:val="auto"/>
          <w:szCs w:val="28"/>
          <w:highlight w:val="none"/>
          <w:u w:val="single"/>
        </w:rPr>
        <w:t>（采购文件中明确的所属行业）</w:t>
      </w:r>
      <w:r>
        <w:rPr>
          <w:rFonts w:hint="eastAsia" w:hAnsi="宋体" w:eastAsia="宋体" w:cs="宋体"/>
          <w:b w:val="0"/>
          <w:bCs w:val="0"/>
          <w:i w:val="0"/>
          <w:iCs/>
          <w:color w:val="auto"/>
          <w:szCs w:val="28"/>
          <w:highlight w:val="none"/>
        </w:rPr>
        <w:t>；承接企业为</w:t>
      </w:r>
      <w:r>
        <w:rPr>
          <w:rFonts w:hint="eastAsia" w:hAnsi="宋体" w:eastAsia="宋体" w:cs="宋体"/>
          <w:b w:val="0"/>
          <w:bCs w:val="0"/>
          <w:i w:val="0"/>
          <w:iCs/>
          <w:color w:val="auto"/>
          <w:szCs w:val="28"/>
          <w:highlight w:val="none"/>
          <w:u w:val="single"/>
        </w:rPr>
        <w:t>（企业名称）</w:t>
      </w:r>
      <w:r>
        <w:rPr>
          <w:rFonts w:hint="eastAsia" w:hAnsi="宋体" w:eastAsia="宋体" w:cs="宋体"/>
          <w:b w:val="0"/>
          <w:bCs w:val="0"/>
          <w:i w:val="0"/>
          <w:iCs/>
          <w:color w:val="auto"/>
          <w:szCs w:val="28"/>
          <w:highlight w:val="none"/>
        </w:rPr>
        <w:t xml:space="preserve">，从业人员人，营业收入为 </w:t>
      </w:r>
      <w:r>
        <w:rPr>
          <w:rFonts w:hint="eastAsia" w:hAnsi="宋体" w:eastAsia="宋体" w:cs="宋体"/>
          <w:b w:val="0"/>
          <w:bCs w:val="0"/>
          <w:i w:val="0"/>
          <w:iCs/>
          <w:color w:val="auto"/>
          <w:szCs w:val="28"/>
          <w:highlight w:val="none"/>
          <w:u w:val="single"/>
        </w:rPr>
        <w:t xml:space="preserve">       </w:t>
      </w:r>
      <w:r>
        <w:rPr>
          <w:rFonts w:hint="eastAsia" w:hAnsi="宋体" w:eastAsia="宋体" w:cs="宋体"/>
          <w:b w:val="0"/>
          <w:bCs w:val="0"/>
          <w:i w:val="0"/>
          <w:iCs/>
          <w:color w:val="auto"/>
          <w:szCs w:val="28"/>
          <w:highlight w:val="none"/>
        </w:rPr>
        <w:t>万元</w:t>
      </w:r>
      <w:r>
        <w:rPr>
          <w:rStyle w:val="45"/>
          <w:rFonts w:hint="eastAsia" w:hAnsi="宋体" w:cs="宋体"/>
          <w:b w:val="0"/>
          <w:bCs w:val="0"/>
          <w:i w:val="0"/>
          <w:iCs/>
          <w:color w:val="auto"/>
          <w:szCs w:val="28"/>
          <w:highlight w:val="none"/>
        </w:rPr>
        <w:footnoteReference w:id="0"/>
      </w:r>
      <w:r>
        <w:rPr>
          <w:rFonts w:hint="eastAsia" w:hAnsi="宋体" w:eastAsia="宋体" w:cs="宋体"/>
          <w:b w:val="0"/>
          <w:bCs w:val="0"/>
          <w:i w:val="0"/>
          <w:iCs/>
          <w:color w:val="auto"/>
          <w:szCs w:val="28"/>
          <w:highlight w:val="none"/>
        </w:rPr>
        <w:t>，资产总额为</w:t>
      </w:r>
      <w:r>
        <w:rPr>
          <w:rFonts w:hint="eastAsia" w:hAnsi="宋体" w:eastAsia="宋体" w:cs="宋体"/>
          <w:b w:val="0"/>
          <w:bCs w:val="0"/>
          <w:i w:val="0"/>
          <w:iCs/>
          <w:color w:val="auto"/>
          <w:szCs w:val="28"/>
          <w:highlight w:val="none"/>
          <w:u w:val="single"/>
        </w:rPr>
        <w:t xml:space="preserve">     </w:t>
      </w:r>
      <w:r>
        <w:rPr>
          <w:rFonts w:hint="eastAsia" w:hAnsi="宋体" w:eastAsia="宋体" w:cs="宋体"/>
          <w:b w:val="0"/>
          <w:bCs w:val="0"/>
          <w:i w:val="0"/>
          <w:iCs/>
          <w:color w:val="auto"/>
          <w:szCs w:val="28"/>
          <w:highlight w:val="none"/>
        </w:rPr>
        <w:t>万元，属于</w:t>
      </w:r>
      <w:r>
        <w:rPr>
          <w:rFonts w:hint="eastAsia" w:hAnsi="宋体" w:eastAsia="宋体" w:cs="宋体"/>
          <w:b w:val="0"/>
          <w:bCs w:val="0"/>
          <w:i w:val="0"/>
          <w:iCs/>
          <w:color w:val="auto"/>
          <w:szCs w:val="28"/>
          <w:highlight w:val="none"/>
          <w:u w:val="single"/>
        </w:rPr>
        <w:t>（中型企业、小型企业、微型企业）</w:t>
      </w:r>
      <w:r>
        <w:rPr>
          <w:rFonts w:hint="eastAsia" w:hAnsi="宋体" w:eastAsia="宋体" w:cs="宋体"/>
          <w:b w:val="0"/>
          <w:bCs w:val="0"/>
          <w:i w:val="0"/>
          <w:iCs/>
          <w:color w:val="auto"/>
          <w:szCs w:val="28"/>
          <w:highlight w:val="none"/>
        </w:rPr>
        <w:t xml:space="preserve">； </w:t>
      </w:r>
    </w:p>
    <w:p w14:paraId="3F6522BE">
      <w:pPr>
        <w:keepNext w:val="0"/>
        <w:keepLines w:val="0"/>
        <w:pageBreakBefore w:val="0"/>
        <w:widowControl/>
        <w:spacing w:line="440" w:lineRule="exact"/>
        <w:ind w:firstLine="420"/>
        <w:jc w:val="left"/>
        <w:rPr>
          <w:rFonts w:hint="eastAsia" w:hAnsi="宋体" w:eastAsia="宋体" w:cs="宋体"/>
          <w:color w:val="auto"/>
          <w:szCs w:val="28"/>
          <w:highlight w:val="none"/>
        </w:rPr>
      </w:pPr>
      <w:r>
        <w:rPr>
          <w:rFonts w:hint="eastAsia" w:hAnsi="宋体" w:eastAsia="宋体" w:cs="宋体"/>
          <w:color w:val="auto"/>
          <w:szCs w:val="28"/>
          <w:highlight w:val="none"/>
        </w:rPr>
        <w:t>……</w:t>
      </w:r>
    </w:p>
    <w:p w14:paraId="07646420">
      <w:pPr>
        <w:keepNext w:val="0"/>
        <w:keepLines w:val="0"/>
        <w:pageBreakBefore w:val="0"/>
        <w:widowControl/>
        <w:spacing w:line="440" w:lineRule="exact"/>
        <w:ind w:firstLine="420"/>
        <w:jc w:val="left"/>
        <w:rPr>
          <w:rFonts w:hint="eastAsia" w:hAnsi="宋体" w:eastAsia="宋体" w:cs="宋体"/>
          <w:color w:val="auto"/>
          <w:szCs w:val="28"/>
          <w:highlight w:val="none"/>
        </w:rPr>
      </w:pPr>
      <w:r>
        <w:rPr>
          <w:rFonts w:hint="eastAsia" w:hAnsi="宋体" w:eastAsia="宋体" w:cs="宋体"/>
          <w:color w:val="auto"/>
          <w:szCs w:val="28"/>
          <w:highlight w:val="none"/>
        </w:rPr>
        <w:t>以上企业，不属于大企业的分支机构，不存在控股股东为大企业的情形，也不存在与大企业的负责人为同一人的情形。</w:t>
      </w:r>
    </w:p>
    <w:p w14:paraId="74D5FF22">
      <w:pPr>
        <w:keepNext w:val="0"/>
        <w:keepLines w:val="0"/>
        <w:pageBreakBefore w:val="0"/>
        <w:widowControl/>
        <w:spacing w:line="440" w:lineRule="exact"/>
        <w:ind w:firstLine="420"/>
        <w:jc w:val="left"/>
        <w:rPr>
          <w:rFonts w:hint="eastAsia" w:hAnsi="宋体" w:eastAsia="宋体" w:cs="宋体"/>
          <w:color w:val="auto"/>
          <w:szCs w:val="28"/>
          <w:highlight w:val="none"/>
        </w:rPr>
      </w:pPr>
      <w:r>
        <w:rPr>
          <w:rFonts w:hint="eastAsia" w:hAnsi="宋体" w:eastAsia="宋体" w:cs="宋体"/>
          <w:color w:val="auto"/>
          <w:szCs w:val="28"/>
          <w:highlight w:val="none"/>
        </w:rPr>
        <w:t xml:space="preserve">本企业对上述声明内容的真实性负责。如有虚假，将依法承担相应责任。 </w:t>
      </w:r>
    </w:p>
    <w:p w14:paraId="0B0E41EA">
      <w:pPr>
        <w:pStyle w:val="38"/>
        <w:ind w:firstLine="240"/>
        <w:rPr>
          <w:rFonts w:hint="eastAsia" w:hAnsi="宋体" w:eastAsia="宋体" w:cs="宋体"/>
          <w:color w:val="auto"/>
          <w:highlight w:val="none"/>
        </w:rPr>
      </w:pPr>
    </w:p>
    <w:p w14:paraId="20957411">
      <w:pPr>
        <w:widowControl/>
        <w:ind w:firstLine="3570"/>
        <w:jc w:val="left"/>
        <w:rPr>
          <w:rFonts w:hint="eastAsia" w:hAnsi="宋体" w:eastAsia="宋体" w:cs="宋体"/>
          <w:color w:val="auto"/>
          <w:szCs w:val="28"/>
          <w:highlight w:val="none"/>
        </w:rPr>
      </w:pPr>
    </w:p>
    <w:p w14:paraId="53BE41D3">
      <w:pPr>
        <w:widowControl/>
        <w:ind w:firstLine="3570"/>
        <w:jc w:val="left"/>
        <w:rPr>
          <w:rFonts w:hint="eastAsia" w:hAnsi="宋体" w:eastAsia="宋体" w:cs="宋体"/>
          <w:color w:val="auto"/>
          <w:szCs w:val="28"/>
          <w:highlight w:val="none"/>
        </w:rPr>
      </w:pPr>
    </w:p>
    <w:p w14:paraId="3BBBABAB">
      <w:pPr>
        <w:keepNext w:val="0"/>
        <w:keepLines w:val="0"/>
        <w:pageBreakBefore w:val="0"/>
        <w:widowControl/>
        <w:spacing w:line="440" w:lineRule="exact"/>
        <w:ind w:firstLine="3780"/>
        <w:jc w:val="left"/>
        <w:rPr>
          <w:rFonts w:hint="eastAsia" w:hAnsi="宋体" w:eastAsia="宋体" w:cs="宋体"/>
          <w:color w:val="auto"/>
          <w:szCs w:val="28"/>
          <w:highlight w:val="none"/>
        </w:rPr>
      </w:pPr>
      <w:r>
        <w:rPr>
          <w:rFonts w:hint="eastAsia" w:hAnsi="宋体" w:eastAsia="宋体" w:cs="宋体"/>
          <w:color w:val="auto"/>
          <w:szCs w:val="28"/>
          <w:highlight w:val="none"/>
        </w:rPr>
        <w:t xml:space="preserve">企业名称（盖章）： </w:t>
      </w:r>
    </w:p>
    <w:p w14:paraId="3AF2047B">
      <w:pPr>
        <w:pStyle w:val="38"/>
        <w:keepNext w:val="0"/>
        <w:keepLines w:val="0"/>
        <w:pageBreakBefore w:val="0"/>
        <w:spacing w:after="0" w:line="440" w:lineRule="exact"/>
        <w:ind w:firstLine="3780"/>
        <w:rPr>
          <w:rFonts w:hint="eastAsia" w:hAnsi="宋体" w:eastAsia="宋体" w:cs="宋体" w:asciiTheme="minorHAnsi"/>
          <w:color w:val="auto"/>
          <w:sz w:val="21"/>
          <w:szCs w:val="28"/>
          <w:highlight w:val="none"/>
          <w:lang w:val="en-US" w:eastAsia="zh-CN" w:bidi="ar-SA"/>
        </w:rPr>
      </w:pPr>
      <w:r>
        <w:rPr>
          <w:rFonts w:hint="eastAsia" w:hAnsi="宋体" w:eastAsia="宋体" w:cs="宋体" w:asciiTheme="minorHAnsi"/>
          <w:color w:val="auto"/>
          <w:sz w:val="21"/>
          <w:szCs w:val="28"/>
          <w:highlight w:val="none"/>
          <w:lang w:val="en-US" w:eastAsia="zh-CN" w:bidi="ar-SA"/>
        </w:rPr>
        <w:t>日    期</w:t>
      </w:r>
      <w:r>
        <w:rPr>
          <w:rFonts w:hint="eastAsia" w:hAnsi="宋体" w:eastAsia="宋体" w:cs="宋体"/>
          <w:color w:val="auto"/>
          <w:sz w:val="21"/>
          <w:szCs w:val="28"/>
          <w:highlight w:val="none"/>
          <w:lang w:val="en-US" w:eastAsia="zh-CN" w:bidi="ar-SA"/>
        </w:rPr>
        <w:t>：</w:t>
      </w:r>
    </w:p>
    <w:p w14:paraId="7D7B02B5">
      <w:pPr>
        <w:pStyle w:val="31"/>
        <w:rPr>
          <w:rFonts w:hint="eastAsia"/>
          <w:color w:val="auto"/>
          <w:highlight w:val="none"/>
        </w:rPr>
      </w:pPr>
    </w:p>
    <w:p w14:paraId="2DF295B2">
      <w:pPr>
        <w:pStyle w:val="30"/>
        <w:rPr>
          <w:color w:val="auto"/>
          <w:highlight w:val="none"/>
        </w:rPr>
      </w:pPr>
    </w:p>
    <w:p w14:paraId="2D51D07D">
      <w:pPr>
        <w:pStyle w:val="30"/>
        <w:rPr>
          <w:color w:val="auto"/>
          <w:highlight w:val="none"/>
        </w:rPr>
      </w:pPr>
    </w:p>
    <w:p w14:paraId="043B477B">
      <w:pPr>
        <w:pStyle w:val="30"/>
        <w:rPr>
          <w:color w:val="auto"/>
          <w:highlight w:val="none"/>
        </w:rPr>
      </w:pPr>
    </w:p>
    <w:p w14:paraId="24ADC628">
      <w:pPr>
        <w:pStyle w:val="30"/>
        <w:rPr>
          <w:color w:val="auto"/>
          <w:highlight w:val="none"/>
        </w:rPr>
      </w:pPr>
    </w:p>
    <w:p w14:paraId="5470995E">
      <w:pPr>
        <w:pStyle w:val="30"/>
        <w:rPr>
          <w:color w:val="auto"/>
          <w:highlight w:val="none"/>
        </w:rPr>
      </w:pPr>
    </w:p>
    <w:p w14:paraId="7315B157">
      <w:pPr>
        <w:pStyle w:val="30"/>
        <w:rPr>
          <w:color w:val="auto"/>
          <w:highlight w:val="none"/>
        </w:rPr>
      </w:pPr>
    </w:p>
    <w:p w14:paraId="2C9E0312">
      <w:pPr>
        <w:pStyle w:val="30"/>
        <w:rPr>
          <w:color w:val="auto"/>
          <w:highlight w:val="none"/>
        </w:rPr>
      </w:pPr>
    </w:p>
    <w:p w14:paraId="4A8B918F">
      <w:pPr>
        <w:pStyle w:val="30"/>
        <w:rPr>
          <w:color w:val="auto"/>
          <w:highlight w:val="none"/>
        </w:rPr>
      </w:pPr>
    </w:p>
    <w:p w14:paraId="115E95A2">
      <w:pPr>
        <w:pStyle w:val="196"/>
        <w:spacing w:line="520" w:lineRule="atLeast"/>
        <w:rPr>
          <w:rFonts w:hint="eastAsia"/>
          <w:color w:val="auto"/>
          <w:highlight w:val="none"/>
        </w:rPr>
      </w:pPr>
      <w:r>
        <w:rPr>
          <w:rFonts w:hint="eastAsia" w:ascii="等线" w:hAnsi="等线" w:eastAsia="等线"/>
          <w:color w:val="auto"/>
          <w:sz w:val="28"/>
          <w:szCs w:val="28"/>
          <w:highlight w:val="none"/>
        </w:rPr>
        <w:t>（备注：供应商如不提供此声明函，</w:t>
      </w:r>
      <w:r>
        <w:rPr>
          <w:rFonts w:hint="eastAsia" w:ascii="等线" w:hAnsi="等线" w:eastAsia="等线"/>
          <w:color w:val="auto"/>
          <w:sz w:val="28"/>
          <w:szCs w:val="28"/>
          <w:highlight w:val="none"/>
          <w:lang w:val="en-US" w:eastAsia="zh-CN"/>
        </w:rPr>
        <w:t>将作为无效投标人处理</w:t>
      </w:r>
      <w:r>
        <w:rPr>
          <w:rFonts w:hint="eastAsia" w:ascii="等线" w:hAnsi="等线" w:eastAsia="等线"/>
          <w:color w:val="auto"/>
          <w:sz w:val="28"/>
          <w:szCs w:val="28"/>
          <w:highlight w:val="none"/>
        </w:rPr>
        <w:t>。）</w:t>
      </w:r>
      <w:bookmarkEnd w:id="241"/>
      <w:bookmarkEnd w:id="242"/>
      <w:bookmarkEnd w:id="243"/>
      <w:bookmarkStart w:id="244" w:name="_Toc83487569"/>
      <w:bookmarkEnd w:id="244"/>
      <w:bookmarkStart w:id="245" w:name="_Toc101166962"/>
      <w:bookmarkStart w:id="246" w:name="_Toc154670213"/>
      <w:bookmarkStart w:id="247" w:name="_Toc151374127"/>
      <w:bookmarkStart w:id="248" w:name="_Toc101357908"/>
    </w:p>
    <w:p w14:paraId="7E95AC79">
      <w:pPr>
        <w:spacing w:line="460" w:lineRule="exact"/>
        <w:jc w:val="center"/>
        <w:rPr>
          <w:rFonts w:hint="eastAsia" w:ascii="黑体" w:hAnsi="宋体" w:eastAsia="黑体"/>
          <w:bCs/>
          <w:color w:val="auto"/>
          <w:sz w:val="32"/>
          <w:szCs w:val="32"/>
          <w:highlight w:val="none"/>
          <w:lang w:val="en-US" w:eastAsia="zh-CN"/>
        </w:rPr>
      </w:pPr>
    </w:p>
    <w:p w14:paraId="46A43233">
      <w:pPr>
        <w:spacing w:line="460" w:lineRule="exact"/>
        <w:jc w:val="center"/>
        <w:rPr>
          <w:rFonts w:hint="eastAsia" w:ascii="黑体" w:hAnsi="宋体" w:eastAsia="黑体"/>
          <w:bCs/>
          <w:color w:val="auto"/>
          <w:sz w:val="32"/>
          <w:szCs w:val="32"/>
          <w:highlight w:val="none"/>
          <w:lang w:val="en-US" w:eastAsia="zh-CN"/>
        </w:rPr>
      </w:pPr>
    </w:p>
    <w:p w14:paraId="35130EB6">
      <w:pPr>
        <w:spacing w:line="460" w:lineRule="exact"/>
        <w:jc w:val="center"/>
        <w:rPr>
          <w:rFonts w:hint="eastAsia" w:ascii="黑体" w:hAnsi="宋体" w:eastAsia="黑体"/>
          <w:color w:val="auto"/>
          <w:sz w:val="32"/>
          <w:szCs w:val="32"/>
          <w:highlight w:val="none"/>
        </w:rPr>
      </w:pPr>
      <w:r>
        <w:rPr>
          <w:rFonts w:hint="eastAsia" w:ascii="黑体" w:hAnsi="宋体" w:eastAsia="黑体"/>
          <w:bCs/>
          <w:color w:val="auto"/>
          <w:sz w:val="32"/>
          <w:szCs w:val="32"/>
          <w:highlight w:val="none"/>
          <w:lang w:val="en-US" w:eastAsia="zh-CN"/>
        </w:rPr>
        <w:t>8</w:t>
      </w:r>
      <w:r>
        <w:rPr>
          <w:rFonts w:hint="eastAsia" w:ascii="黑体" w:hAnsi="宋体" w:eastAsia="黑体"/>
          <w:bCs/>
          <w:color w:val="auto"/>
          <w:sz w:val="32"/>
          <w:szCs w:val="32"/>
          <w:highlight w:val="none"/>
        </w:rPr>
        <w:t>、资格性检查响应对照表（格式）</w:t>
      </w:r>
    </w:p>
    <w:p w14:paraId="75F5CB29">
      <w:pPr>
        <w:ind w:firstLine="309"/>
        <w:rPr>
          <w:rFonts w:hint="eastAsia" w:hAnsi="宋体" w:eastAsia="宋体"/>
          <w:color w:val="auto"/>
          <w:sz w:val="24"/>
          <w:highlight w:val="none"/>
        </w:rPr>
      </w:pPr>
      <w:r>
        <w:rPr>
          <w:rFonts w:hint="eastAsia" w:hAnsi="宋体" w:eastAsia="宋体"/>
          <w:color w:val="auto"/>
          <w:sz w:val="24"/>
          <w:highlight w:val="none"/>
        </w:rPr>
        <w:t>投标人全称（加盖公章）：</w:t>
      </w:r>
    </w:p>
    <w:tbl>
      <w:tblPr>
        <w:tblStyle w:val="40"/>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5631"/>
        <w:gridCol w:w="1545"/>
        <w:gridCol w:w="1755"/>
      </w:tblGrid>
      <w:tr w14:paraId="6AB2C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648" w:type="dxa"/>
            <w:noWrap w:val="0"/>
            <w:vAlign w:val="center"/>
          </w:tcPr>
          <w:p w14:paraId="43686346">
            <w:pPr>
              <w:spacing w:line="240" w:lineRule="auto"/>
              <w:jc w:val="center"/>
              <w:rPr>
                <w:rFonts w:hint="eastAsia" w:hAnsi="宋体" w:eastAsia="宋体" w:cs="宋体"/>
                <w:b/>
                <w:color w:val="auto"/>
                <w:sz w:val="24"/>
                <w:szCs w:val="24"/>
                <w:highlight w:val="none"/>
              </w:rPr>
            </w:pPr>
            <w:r>
              <w:rPr>
                <w:rFonts w:hint="eastAsia" w:hAnsi="宋体" w:eastAsia="宋体" w:cs="宋体"/>
                <w:b/>
                <w:color w:val="auto"/>
                <w:sz w:val="24"/>
                <w:szCs w:val="24"/>
                <w:highlight w:val="none"/>
              </w:rPr>
              <w:t>序号</w:t>
            </w:r>
          </w:p>
        </w:tc>
        <w:tc>
          <w:tcPr>
            <w:tcW w:w="5631" w:type="dxa"/>
            <w:noWrap w:val="0"/>
            <w:vAlign w:val="center"/>
          </w:tcPr>
          <w:p w14:paraId="2FFACD0A">
            <w:pPr>
              <w:spacing w:line="240" w:lineRule="auto"/>
              <w:jc w:val="center"/>
              <w:rPr>
                <w:rFonts w:hint="eastAsia" w:hAnsi="宋体" w:eastAsia="宋体" w:cs="宋体"/>
                <w:b/>
                <w:color w:val="auto"/>
                <w:sz w:val="24"/>
                <w:szCs w:val="24"/>
                <w:highlight w:val="none"/>
              </w:rPr>
            </w:pPr>
            <w:r>
              <w:rPr>
                <w:rFonts w:hint="eastAsia" w:hAnsi="宋体" w:eastAsia="宋体" w:cs="宋体"/>
                <w:b/>
                <w:color w:val="auto"/>
                <w:sz w:val="24"/>
                <w:szCs w:val="24"/>
                <w:highlight w:val="none"/>
              </w:rPr>
              <w:t>资格性检查响应内容</w:t>
            </w:r>
          </w:p>
        </w:tc>
        <w:tc>
          <w:tcPr>
            <w:tcW w:w="1545" w:type="dxa"/>
            <w:noWrap w:val="0"/>
            <w:vAlign w:val="center"/>
          </w:tcPr>
          <w:p w14:paraId="3342C24E">
            <w:pPr>
              <w:spacing w:line="24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是否响应（填是或者否）</w:t>
            </w:r>
          </w:p>
        </w:tc>
        <w:tc>
          <w:tcPr>
            <w:tcW w:w="1755" w:type="dxa"/>
            <w:noWrap w:val="0"/>
            <w:vAlign w:val="center"/>
          </w:tcPr>
          <w:p w14:paraId="72E4BF2E">
            <w:pPr>
              <w:spacing w:line="240" w:lineRule="auto"/>
              <w:jc w:val="center"/>
              <w:rPr>
                <w:rFonts w:hint="eastAsia" w:hAnsi="宋体" w:eastAsia="宋体" w:cs="宋体"/>
                <w:b/>
                <w:color w:val="auto"/>
                <w:sz w:val="24"/>
                <w:szCs w:val="24"/>
                <w:highlight w:val="none"/>
              </w:rPr>
            </w:pPr>
            <w:r>
              <w:rPr>
                <w:rFonts w:hint="eastAsia" w:hAnsi="宋体" w:eastAsia="宋体" w:cs="宋体"/>
                <w:b/>
                <w:color w:val="auto"/>
                <w:sz w:val="24"/>
                <w:szCs w:val="24"/>
                <w:highlight w:val="none"/>
              </w:rPr>
              <w:t>响应文件中的</w:t>
            </w:r>
          </w:p>
          <w:p w14:paraId="00E3DEB4">
            <w:pPr>
              <w:spacing w:line="240" w:lineRule="auto"/>
              <w:jc w:val="center"/>
              <w:rPr>
                <w:rFonts w:hint="eastAsia" w:hAnsi="宋体" w:eastAsia="宋体" w:cs="宋体"/>
                <w:b/>
                <w:color w:val="auto"/>
                <w:sz w:val="24"/>
                <w:szCs w:val="24"/>
                <w:highlight w:val="none"/>
              </w:rPr>
            </w:pPr>
            <w:r>
              <w:rPr>
                <w:rFonts w:hint="eastAsia" w:hAnsi="宋体" w:eastAsia="宋体" w:cs="宋体"/>
                <w:b/>
                <w:color w:val="auto"/>
                <w:sz w:val="24"/>
                <w:szCs w:val="24"/>
                <w:highlight w:val="none"/>
              </w:rPr>
              <w:t>页码位置</w:t>
            </w:r>
          </w:p>
        </w:tc>
      </w:tr>
      <w:tr w14:paraId="0CDC7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8" w:type="dxa"/>
            <w:noWrap w:val="0"/>
            <w:vAlign w:val="center"/>
          </w:tcPr>
          <w:p w14:paraId="5928A8EB">
            <w:pPr>
              <w:spacing w:line="240" w:lineRule="auto"/>
              <w:jc w:val="center"/>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1</w:t>
            </w:r>
          </w:p>
        </w:tc>
        <w:tc>
          <w:tcPr>
            <w:tcW w:w="5631" w:type="dxa"/>
            <w:noWrap w:val="0"/>
            <w:vAlign w:val="center"/>
          </w:tcPr>
          <w:p w14:paraId="62F0864A">
            <w:pPr>
              <w:rPr>
                <w:rFonts w:hint="eastAsia" w:hAnsi="宋体" w:eastAsia="宋体" w:cs="宋体"/>
                <w:iCs/>
                <w:color w:val="auto"/>
                <w:sz w:val="24"/>
                <w:highlight w:val="none"/>
              </w:rPr>
            </w:pPr>
            <w:r>
              <w:rPr>
                <w:rFonts w:hint="eastAsia" w:hAnsi="宋体" w:eastAsia="宋体" w:cs="宋体"/>
                <w:iCs/>
                <w:color w:val="auto"/>
                <w:sz w:val="24"/>
                <w:szCs w:val="24"/>
                <w:highlight w:val="none"/>
              </w:rPr>
              <w:t>法人或者其他组织的营业执照等证明文件，自然人的身份证明</w:t>
            </w:r>
          </w:p>
        </w:tc>
        <w:tc>
          <w:tcPr>
            <w:tcW w:w="1545" w:type="dxa"/>
            <w:noWrap w:val="0"/>
            <w:vAlign w:val="center"/>
          </w:tcPr>
          <w:p w14:paraId="768A02FA">
            <w:pPr>
              <w:spacing w:line="240" w:lineRule="auto"/>
              <w:rPr>
                <w:rFonts w:hint="eastAsia" w:hAnsi="宋体" w:eastAsia="宋体" w:cs="宋体"/>
                <w:b/>
                <w:color w:val="auto"/>
                <w:highlight w:val="none"/>
              </w:rPr>
            </w:pPr>
          </w:p>
        </w:tc>
        <w:tc>
          <w:tcPr>
            <w:tcW w:w="1755" w:type="dxa"/>
            <w:noWrap w:val="0"/>
            <w:vAlign w:val="center"/>
          </w:tcPr>
          <w:p w14:paraId="76839473">
            <w:pPr>
              <w:spacing w:line="240" w:lineRule="auto"/>
              <w:rPr>
                <w:rFonts w:hint="eastAsia" w:hAnsi="宋体" w:eastAsia="宋体" w:cs="宋体"/>
                <w:b/>
                <w:color w:val="auto"/>
                <w:highlight w:val="none"/>
              </w:rPr>
            </w:pPr>
          </w:p>
        </w:tc>
      </w:tr>
      <w:tr w14:paraId="5DF00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8" w:type="dxa"/>
            <w:noWrap w:val="0"/>
            <w:vAlign w:val="center"/>
          </w:tcPr>
          <w:p w14:paraId="7FCFF5A1">
            <w:pPr>
              <w:spacing w:line="240" w:lineRule="auto"/>
              <w:jc w:val="center"/>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2</w:t>
            </w:r>
          </w:p>
        </w:tc>
        <w:tc>
          <w:tcPr>
            <w:tcW w:w="5631" w:type="dxa"/>
            <w:noWrap w:val="0"/>
            <w:vAlign w:val="center"/>
          </w:tcPr>
          <w:p w14:paraId="6D16F892">
            <w:pPr>
              <w:rPr>
                <w:rFonts w:hint="eastAsia" w:hAnsi="宋体" w:eastAsia="宋体" w:cs="宋体"/>
                <w:iCs/>
                <w:color w:val="auto"/>
                <w:sz w:val="24"/>
                <w:highlight w:val="none"/>
              </w:rPr>
            </w:pPr>
            <w:r>
              <w:rPr>
                <w:rFonts w:hint="eastAsia" w:hAnsi="宋体" w:eastAsia="宋体" w:cs="宋体"/>
                <w:iCs/>
                <w:color w:val="auto"/>
                <w:sz w:val="24"/>
                <w:szCs w:val="24"/>
                <w:highlight w:val="none"/>
              </w:rPr>
              <w:t>上一年度的财务状况报表（成立不满一年无需提供）</w:t>
            </w:r>
          </w:p>
        </w:tc>
        <w:tc>
          <w:tcPr>
            <w:tcW w:w="1545" w:type="dxa"/>
            <w:noWrap w:val="0"/>
            <w:vAlign w:val="center"/>
          </w:tcPr>
          <w:p w14:paraId="553117A2">
            <w:pPr>
              <w:spacing w:line="240" w:lineRule="auto"/>
              <w:rPr>
                <w:rFonts w:hint="eastAsia" w:hAnsi="宋体" w:eastAsia="宋体" w:cs="宋体"/>
                <w:color w:val="auto"/>
                <w:highlight w:val="none"/>
              </w:rPr>
            </w:pPr>
          </w:p>
        </w:tc>
        <w:tc>
          <w:tcPr>
            <w:tcW w:w="1755" w:type="dxa"/>
            <w:noWrap w:val="0"/>
            <w:vAlign w:val="center"/>
          </w:tcPr>
          <w:p w14:paraId="54A37652">
            <w:pPr>
              <w:spacing w:line="240" w:lineRule="auto"/>
              <w:rPr>
                <w:rFonts w:hint="eastAsia" w:hAnsi="宋体" w:eastAsia="宋体" w:cs="宋体"/>
                <w:color w:val="auto"/>
                <w:highlight w:val="none"/>
              </w:rPr>
            </w:pPr>
          </w:p>
        </w:tc>
      </w:tr>
      <w:tr w14:paraId="65F6C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8" w:type="dxa"/>
            <w:noWrap w:val="0"/>
            <w:vAlign w:val="center"/>
          </w:tcPr>
          <w:p w14:paraId="031EA95F">
            <w:pPr>
              <w:spacing w:line="240" w:lineRule="auto"/>
              <w:jc w:val="center"/>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3</w:t>
            </w:r>
          </w:p>
        </w:tc>
        <w:tc>
          <w:tcPr>
            <w:tcW w:w="5631" w:type="dxa"/>
            <w:noWrap w:val="0"/>
            <w:vAlign w:val="center"/>
          </w:tcPr>
          <w:p w14:paraId="3D451477">
            <w:pPr>
              <w:rPr>
                <w:rFonts w:hint="eastAsia" w:hAnsi="宋体" w:eastAsia="宋体" w:cs="宋体"/>
                <w:iCs/>
                <w:color w:val="auto"/>
                <w:sz w:val="24"/>
                <w:highlight w:val="none"/>
                <w:lang w:eastAsia="zh-CN"/>
              </w:rPr>
            </w:pPr>
            <w:r>
              <w:rPr>
                <w:rFonts w:hint="eastAsia" w:hAnsi="宋体" w:eastAsia="宋体" w:cs="宋体"/>
                <w:iCs/>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hAnsi="宋体" w:eastAsia="宋体" w:cs="宋体"/>
                <w:iCs/>
                <w:color w:val="auto"/>
                <w:sz w:val="24"/>
                <w:szCs w:val="24"/>
                <w:highlight w:val="none"/>
                <w:lang w:eastAsia="zh-CN"/>
              </w:rPr>
              <w:t>。）</w:t>
            </w:r>
          </w:p>
        </w:tc>
        <w:tc>
          <w:tcPr>
            <w:tcW w:w="1545" w:type="dxa"/>
            <w:noWrap w:val="0"/>
            <w:vAlign w:val="center"/>
          </w:tcPr>
          <w:p w14:paraId="78F027A2">
            <w:pPr>
              <w:spacing w:line="240" w:lineRule="auto"/>
              <w:rPr>
                <w:rFonts w:hint="eastAsia" w:hAnsi="宋体" w:eastAsia="宋体" w:cs="宋体"/>
                <w:color w:val="auto"/>
                <w:highlight w:val="none"/>
              </w:rPr>
            </w:pPr>
          </w:p>
        </w:tc>
        <w:tc>
          <w:tcPr>
            <w:tcW w:w="1755" w:type="dxa"/>
            <w:noWrap w:val="0"/>
            <w:vAlign w:val="center"/>
          </w:tcPr>
          <w:p w14:paraId="4F717FB5">
            <w:pPr>
              <w:spacing w:line="240" w:lineRule="auto"/>
              <w:rPr>
                <w:rFonts w:hint="eastAsia" w:hAnsi="宋体" w:eastAsia="宋体" w:cs="宋体"/>
                <w:color w:val="auto"/>
                <w:highlight w:val="none"/>
              </w:rPr>
            </w:pPr>
          </w:p>
        </w:tc>
      </w:tr>
      <w:tr w14:paraId="0BB7C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8" w:type="dxa"/>
            <w:noWrap w:val="0"/>
            <w:vAlign w:val="center"/>
          </w:tcPr>
          <w:p w14:paraId="0101FDC2">
            <w:pPr>
              <w:spacing w:line="240" w:lineRule="auto"/>
              <w:jc w:val="center"/>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4</w:t>
            </w:r>
          </w:p>
        </w:tc>
        <w:tc>
          <w:tcPr>
            <w:tcW w:w="5631" w:type="dxa"/>
            <w:noWrap w:val="0"/>
            <w:vAlign w:val="center"/>
          </w:tcPr>
          <w:p w14:paraId="1A51940F">
            <w:pPr>
              <w:rPr>
                <w:rFonts w:hint="eastAsia" w:hAnsi="宋体" w:eastAsia="宋体" w:cs="宋体"/>
                <w:iCs/>
                <w:color w:val="auto"/>
                <w:sz w:val="24"/>
                <w:highlight w:val="none"/>
              </w:rPr>
            </w:pPr>
            <w:r>
              <w:rPr>
                <w:rFonts w:hint="eastAsia" w:hAnsi="宋体" w:eastAsia="宋体" w:cs="宋体"/>
                <w:iCs/>
                <w:color w:val="auto"/>
                <w:sz w:val="24"/>
                <w:szCs w:val="24"/>
                <w:highlight w:val="none"/>
              </w:rPr>
              <w:t>具备履行合同所必需的设备和专业技术能力的书面声明</w:t>
            </w:r>
          </w:p>
        </w:tc>
        <w:tc>
          <w:tcPr>
            <w:tcW w:w="1545" w:type="dxa"/>
            <w:noWrap w:val="0"/>
            <w:vAlign w:val="center"/>
          </w:tcPr>
          <w:p w14:paraId="49BBB50F">
            <w:pPr>
              <w:spacing w:line="240" w:lineRule="auto"/>
              <w:rPr>
                <w:rFonts w:hint="eastAsia" w:hAnsi="宋体" w:eastAsia="宋体" w:cs="宋体"/>
                <w:color w:val="auto"/>
                <w:highlight w:val="none"/>
              </w:rPr>
            </w:pPr>
          </w:p>
        </w:tc>
        <w:tc>
          <w:tcPr>
            <w:tcW w:w="1755" w:type="dxa"/>
            <w:noWrap w:val="0"/>
            <w:vAlign w:val="center"/>
          </w:tcPr>
          <w:p w14:paraId="4374342F">
            <w:pPr>
              <w:spacing w:line="240" w:lineRule="auto"/>
              <w:rPr>
                <w:rFonts w:hint="eastAsia" w:hAnsi="宋体" w:eastAsia="宋体" w:cs="宋体"/>
                <w:color w:val="auto"/>
                <w:highlight w:val="none"/>
              </w:rPr>
            </w:pPr>
          </w:p>
        </w:tc>
      </w:tr>
      <w:tr w14:paraId="39953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8" w:type="dxa"/>
            <w:noWrap w:val="0"/>
            <w:vAlign w:val="center"/>
          </w:tcPr>
          <w:p w14:paraId="72E7BEB9">
            <w:pPr>
              <w:spacing w:line="240" w:lineRule="auto"/>
              <w:jc w:val="center"/>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5</w:t>
            </w:r>
          </w:p>
        </w:tc>
        <w:tc>
          <w:tcPr>
            <w:tcW w:w="5631" w:type="dxa"/>
            <w:noWrap w:val="0"/>
            <w:vAlign w:val="center"/>
          </w:tcPr>
          <w:p w14:paraId="60CAF21A">
            <w:pPr>
              <w:rPr>
                <w:color w:val="auto"/>
                <w:sz w:val="24"/>
                <w:szCs w:val="24"/>
                <w:highlight w:val="none"/>
              </w:rPr>
            </w:pPr>
            <w:r>
              <w:rPr>
                <w:rFonts w:hint="eastAsia" w:ascii="宋体" w:hAnsi="宋体"/>
                <w:color w:val="auto"/>
                <w:sz w:val="24"/>
                <w:szCs w:val="24"/>
                <w:highlight w:val="none"/>
              </w:rPr>
              <w:t>参加政府采购活动前三年内，在经营活动中没有重大违法记录（提供参加本次政府采购活动前3年内在经营活动中没有重大违法记录的书面声明）</w:t>
            </w:r>
          </w:p>
        </w:tc>
        <w:tc>
          <w:tcPr>
            <w:tcW w:w="1545" w:type="dxa"/>
            <w:noWrap w:val="0"/>
            <w:vAlign w:val="center"/>
          </w:tcPr>
          <w:p w14:paraId="6CB1110A">
            <w:pPr>
              <w:spacing w:line="240" w:lineRule="auto"/>
              <w:rPr>
                <w:rFonts w:hint="eastAsia" w:hAnsi="宋体" w:eastAsia="宋体" w:cs="宋体"/>
                <w:color w:val="auto"/>
                <w:highlight w:val="none"/>
              </w:rPr>
            </w:pPr>
          </w:p>
        </w:tc>
        <w:tc>
          <w:tcPr>
            <w:tcW w:w="1755" w:type="dxa"/>
            <w:noWrap w:val="0"/>
            <w:vAlign w:val="center"/>
          </w:tcPr>
          <w:p w14:paraId="34065E13">
            <w:pPr>
              <w:spacing w:line="240" w:lineRule="auto"/>
              <w:rPr>
                <w:rFonts w:hint="eastAsia" w:hAnsi="宋体" w:eastAsia="宋体" w:cs="宋体"/>
                <w:color w:val="auto"/>
                <w:highlight w:val="none"/>
              </w:rPr>
            </w:pPr>
          </w:p>
        </w:tc>
      </w:tr>
      <w:tr w14:paraId="209C4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8" w:type="dxa"/>
            <w:noWrap w:val="0"/>
            <w:vAlign w:val="center"/>
          </w:tcPr>
          <w:p w14:paraId="788631CF">
            <w:pPr>
              <w:spacing w:line="240" w:lineRule="auto"/>
              <w:jc w:val="center"/>
              <w:rPr>
                <w:rFonts w:hint="eastAsia" w:hAnsi="宋体" w:eastAsia="宋体" w:cs="宋体"/>
                <w:bCs/>
                <w:color w:val="auto"/>
                <w:sz w:val="24"/>
                <w:szCs w:val="24"/>
                <w:highlight w:val="none"/>
              </w:rPr>
            </w:pPr>
            <w:r>
              <w:rPr>
                <w:rFonts w:hint="eastAsia" w:hAnsi="宋体" w:eastAsia="宋体" w:cs="宋体"/>
                <w:bCs/>
                <w:color w:val="auto"/>
                <w:sz w:val="24"/>
                <w:szCs w:val="24"/>
                <w:highlight w:val="none"/>
              </w:rPr>
              <w:t>6</w:t>
            </w:r>
          </w:p>
        </w:tc>
        <w:tc>
          <w:tcPr>
            <w:tcW w:w="5631" w:type="dxa"/>
            <w:noWrap w:val="0"/>
            <w:vAlign w:val="center"/>
          </w:tcPr>
          <w:p w14:paraId="298E9AF8">
            <w:pPr>
              <w:spacing w:line="240" w:lineRule="auto"/>
              <w:rPr>
                <w:color w:val="auto"/>
                <w:sz w:val="24"/>
                <w:szCs w:val="24"/>
                <w:highlight w:val="none"/>
              </w:rPr>
            </w:pPr>
            <w:r>
              <w:rPr>
                <w:rFonts w:hint="eastAsia"/>
                <w:color w:val="auto"/>
                <w:sz w:val="24"/>
                <w:szCs w:val="24"/>
                <w:highlight w:val="none"/>
              </w:rPr>
              <w:t>中小企业声明函</w:t>
            </w:r>
          </w:p>
        </w:tc>
        <w:tc>
          <w:tcPr>
            <w:tcW w:w="1545" w:type="dxa"/>
            <w:noWrap w:val="0"/>
            <w:vAlign w:val="center"/>
          </w:tcPr>
          <w:p w14:paraId="47DEA149">
            <w:pPr>
              <w:spacing w:line="240" w:lineRule="auto"/>
              <w:rPr>
                <w:rFonts w:hint="eastAsia" w:hAnsi="宋体" w:eastAsia="宋体" w:cs="宋体"/>
                <w:color w:val="auto"/>
                <w:highlight w:val="none"/>
              </w:rPr>
            </w:pPr>
          </w:p>
        </w:tc>
        <w:tc>
          <w:tcPr>
            <w:tcW w:w="1755" w:type="dxa"/>
            <w:noWrap w:val="0"/>
            <w:vAlign w:val="center"/>
          </w:tcPr>
          <w:p w14:paraId="454D69D3">
            <w:pPr>
              <w:spacing w:line="240" w:lineRule="auto"/>
              <w:rPr>
                <w:rFonts w:hint="eastAsia" w:hAnsi="宋体" w:eastAsia="宋体" w:cs="宋体"/>
                <w:color w:val="auto"/>
                <w:highlight w:val="none"/>
              </w:rPr>
            </w:pPr>
          </w:p>
        </w:tc>
      </w:tr>
      <w:tr w14:paraId="76249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8" w:type="dxa"/>
            <w:noWrap w:val="0"/>
            <w:vAlign w:val="center"/>
          </w:tcPr>
          <w:p w14:paraId="0FE2A4BA">
            <w:pPr>
              <w:spacing w:line="240" w:lineRule="auto"/>
              <w:jc w:val="center"/>
              <w:rPr>
                <w:rFonts w:hint="eastAsia" w:hAnsi="宋体" w:eastAsia="宋体" w:cs="宋体"/>
                <w:bCs/>
                <w:color w:val="auto"/>
                <w:sz w:val="24"/>
                <w:szCs w:val="24"/>
                <w:highlight w:val="none"/>
                <w:lang w:val="en-US" w:eastAsia="zh-CN"/>
              </w:rPr>
            </w:pPr>
            <w:r>
              <w:rPr>
                <w:rFonts w:hint="eastAsia" w:hAnsi="宋体" w:cs="宋体"/>
                <w:bCs/>
                <w:color w:val="auto"/>
                <w:sz w:val="24"/>
                <w:szCs w:val="24"/>
                <w:highlight w:val="none"/>
                <w:lang w:val="en-US" w:eastAsia="zh-CN"/>
              </w:rPr>
              <w:t>7</w:t>
            </w:r>
          </w:p>
        </w:tc>
        <w:tc>
          <w:tcPr>
            <w:tcW w:w="5631" w:type="dxa"/>
            <w:noWrap w:val="0"/>
            <w:vAlign w:val="center"/>
          </w:tcPr>
          <w:p w14:paraId="143B7298">
            <w:pPr>
              <w:rPr>
                <w:rFonts w:hint="eastAsia"/>
                <w:color w:val="auto"/>
                <w:sz w:val="24"/>
                <w:szCs w:val="24"/>
                <w:highlight w:val="none"/>
              </w:rPr>
            </w:pPr>
            <w:r>
              <w:rPr>
                <w:rFonts w:hint="eastAsia" w:ascii="宋体" w:hAnsi="宋体" w:eastAsia="宋体" w:cs="Times New Roman"/>
                <w:color w:val="auto"/>
                <w:sz w:val="24"/>
                <w:szCs w:val="24"/>
                <w:highlight w:val="none"/>
                <w:lang w:val="en-US" w:eastAsia="zh-CN"/>
              </w:rPr>
              <w:t>投标</w:t>
            </w:r>
            <w:r>
              <w:rPr>
                <w:rFonts w:hint="eastAsia" w:ascii="宋体" w:hAnsi="宋体" w:eastAsia="宋体" w:cs="Times New Roman"/>
                <w:color w:val="auto"/>
                <w:sz w:val="24"/>
                <w:szCs w:val="24"/>
                <w:highlight w:val="none"/>
              </w:rPr>
              <w:t>人必须为未被列入“信用中国”网站(www.creditchina.gov.cn)、中国政府采购网(www.ccgp.gov.cn)渠道信用记录失信被执行人、重大税收违法案件当事人名单、政府采购严重违法失信行为记录名单；</w:t>
            </w:r>
          </w:p>
        </w:tc>
        <w:tc>
          <w:tcPr>
            <w:tcW w:w="1545" w:type="dxa"/>
            <w:noWrap w:val="0"/>
            <w:vAlign w:val="center"/>
          </w:tcPr>
          <w:p w14:paraId="417831A0">
            <w:pPr>
              <w:spacing w:line="240" w:lineRule="auto"/>
              <w:rPr>
                <w:rFonts w:hint="eastAsia" w:hAnsi="宋体" w:eastAsia="宋体" w:cs="宋体"/>
                <w:color w:val="auto"/>
                <w:highlight w:val="none"/>
              </w:rPr>
            </w:pPr>
          </w:p>
        </w:tc>
        <w:tc>
          <w:tcPr>
            <w:tcW w:w="1755" w:type="dxa"/>
            <w:noWrap w:val="0"/>
            <w:vAlign w:val="center"/>
          </w:tcPr>
          <w:p w14:paraId="34B3464F">
            <w:pPr>
              <w:spacing w:line="240" w:lineRule="auto"/>
              <w:rPr>
                <w:rFonts w:hint="eastAsia" w:hAnsi="宋体" w:eastAsia="宋体" w:cs="宋体"/>
                <w:color w:val="auto"/>
                <w:highlight w:val="none"/>
              </w:rPr>
            </w:pPr>
          </w:p>
        </w:tc>
      </w:tr>
      <w:tr w14:paraId="4A594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8" w:type="dxa"/>
            <w:noWrap w:val="0"/>
            <w:vAlign w:val="center"/>
          </w:tcPr>
          <w:p w14:paraId="30B68AA6">
            <w:pPr>
              <w:spacing w:line="240" w:lineRule="auto"/>
              <w:jc w:val="center"/>
              <w:rPr>
                <w:rFonts w:hint="eastAsia" w:hAnsi="宋体" w:eastAsia="宋体" w:cs="宋体"/>
                <w:bCs/>
                <w:color w:val="auto"/>
                <w:sz w:val="24"/>
                <w:szCs w:val="24"/>
                <w:highlight w:val="none"/>
                <w:lang w:val="en-US" w:eastAsia="zh-CN"/>
              </w:rPr>
            </w:pPr>
            <w:r>
              <w:rPr>
                <w:rFonts w:hint="eastAsia" w:hAnsi="宋体" w:cs="宋体"/>
                <w:bCs/>
                <w:color w:val="auto"/>
                <w:sz w:val="24"/>
                <w:szCs w:val="24"/>
                <w:highlight w:val="none"/>
                <w:lang w:val="en-US" w:eastAsia="zh-CN"/>
              </w:rPr>
              <w:t>8</w:t>
            </w:r>
          </w:p>
        </w:tc>
        <w:tc>
          <w:tcPr>
            <w:tcW w:w="5631" w:type="dxa"/>
            <w:noWrap w:val="0"/>
            <w:vAlign w:val="center"/>
          </w:tcPr>
          <w:p w14:paraId="571B3509">
            <w:pPr>
              <w:rPr>
                <w:rFonts w:hint="eastAsia" w:eastAsia="宋体"/>
                <w:color w:val="auto"/>
                <w:sz w:val="24"/>
                <w:szCs w:val="24"/>
                <w:highlight w:val="none"/>
                <w:lang w:eastAsia="zh-CN"/>
              </w:rPr>
            </w:pPr>
            <w:r>
              <w:rPr>
                <w:rFonts w:hint="eastAsia" w:ascii="宋体" w:hAnsi="宋体" w:eastAsia="宋体" w:cs="Times New Roman"/>
                <w:color w:val="auto"/>
                <w:sz w:val="24"/>
                <w:szCs w:val="24"/>
                <w:highlight w:val="none"/>
              </w:rPr>
              <w:t>单位负责人为同一人或者存在直接控股、管理关系的不同供应商，不得参加同一合同项下的政府采购活动，否则均做无效标处理。</w:t>
            </w:r>
            <w:r>
              <w:rPr>
                <w:rFonts w:hint="eastAsia" w:ascii="宋体" w:hAnsi="宋体" w:eastAsia="宋体" w:cs="Times New Roman"/>
                <w:color w:val="auto"/>
                <w:sz w:val="24"/>
                <w:szCs w:val="24"/>
                <w:highlight w:val="none"/>
                <w:lang w:eastAsia="zh-CN"/>
              </w:rPr>
              <w:t>（书面声明，格式自拟）</w:t>
            </w:r>
          </w:p>
        </w:tc>
        <w:tc>
          <w:tcPr>
            <w:tcW w:w="1545" w:type="dxa"/>
            <w:noWrap w:val="0"/>
            <w:vAlign w:val="center"/>
          </w:tcPr>
          <w:p w14:paraId="6159C7D5">
            <w:pPr>
              <w:spacing w:line="240" w:lineRule="auto"/>
              <w:rPr>
                <w:rFonts w:hint="eastAsia" w:hAnsi="宋体" w:eastAsia="宋体" w:cs="宋体"/>
                <w:color w:val="auto"/>
                <w:highlight w:val="none"/>
              </w:rPr>
            </w:pPr>
          </w:p>
        </w:tc>
        <w:tc>
          <w:tcPr>
            <w:tcW w:w="1755" w:type="dxa"/>
            <w:noWrap w:val="0"/>
            <w:vAlign w:val="center"/>
          </w:tcPr>
          <w:p w14:paraId="236D59A8">
            <w:pPr>
              <w:spacing w:line="240" w:lineRule="auto"/>
              <w:rPr>
                <w:rFonts w:hint="eastAsia" w:hAnsi="宋体" w:eastAsia="宋体" w:cs="宋体"/>
                <w:color w:val="auto"/>
                <w:highlight w:val="none"/>
              </w:rPr>
            </w:pPr>
          </w:p>
        </w:tc>
      </w:tr>
      <w:tr w14:paraId="4D632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8" w:type="dxa"/>
            <w:noWrap w:val="0"/>
            <w:vAlign w:val="center"/>
          </w:tcPr>
          <w:p w14:paraId="6B5F404F">
            <w:pPr>
              <w:spacing w:line="240" w:lineRule="auto"/>
              <w:jc w:val="center"/>
              <w:rPr>
                <w:rFonts w:hint="default"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9</w:t>
            </w:r>
          </w:p>
        </w:tc>
        <w:tc>
          <w:tcPr>
            <w:tcW w:w="5631" w:type="dxa"/>
            <w:noWrap w:val="0"/>
            <w:vAlign w:val="center"/>
          </w:tcPr>
          <w:p w14:paraId="43A48623">
            <w:pPr>
              <w:spacing w:line="240" w:lineRule="auto"/>
              <w:rPr>
                <w:color w:val="auto"/>
                <w:sz w:val="24"/>
                <w:szCs w:val="24"/>
                <w:highlight w:val="none"/>
              </w:rPr>
            </w:pPr>
            <w:r>
              <w:rPr>
                <w:rFonts w:hint="eastAsia"/>
                <w:color w:val="auto"/>
                <w:sz w:val="24"/>
                <w:szCs w:val="24"/>
                <w:highlight w:val="none"/>
                <w:lang w:val="en-US" w:eastAsia="zh-CN"/>
              </w:rPr>
              <w:t>竞争性磋商公告中</w:t>
            </w:r>
            <w:r>
              <w:rPr>
                <w:rFonts w:hint="eastAsia"/>
                <w:color w:val="auto"/>
                <w:sz w:val="24"/>
                <w:szCs w:val="24"/>
                <w:highlight w:val="none"/>
              </w:rPr>
              <w:t>本项目的特定资格要求</w:t>
            </w:r>
          </w:p>
        </w:tc>
        <w:tc>
          <w:tcPr>
            <w:tcW w:w="1545" w:type="dxa"/>
            <w:noWrap w:val="0"/>
            <w:vAlign w:val="center"/>
          </w:tcPr>
          <w:p w14:paraId="31621943">
            <w:pPr>
              <w:spacing w:line="240" w:lineRule="auto"/>
              <w:rPr>
                <w:rFonts w:hint="eastAsia" w:hAnsi="宋体" w:eastAsia="宋体" w:cs="宋体"/>
                <w:color w:val="auto"/>
                <w:highlight w:val="none"/>
              </w:rPr>
            </w:pPr>
          </w:p>
        </w:tc>
        <w:tc>
          <w:tcPr>
            <w:tcW w:w="1755" w:type="dxa"/>
            <w:noWrap w:val="0"/>
            <w:vAlign w:val="center"/>
          </w:tcPr>
          <w:p w14:paraId="14844198">
            <w:pPr>
              <w:spacing w:line="240" w:lineRule="auto"/>
              <w:rPr>
                <w:rFonts w:hint="eastAsia" w:hAnsi="宋体" w:eastAsia="宋体" w:cs="宋体"/>
                <w:color w:val="auto"/>
                <w:highlight w:val="none"/>
              </w:rPr>
            </w:pPr>
          </w:p>
        </w:tc>
      </w:tr>
      <w:tr w14:paraId="162E8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648" w:type="dxa"/>
            <w:noWrap w:val="0"/>
            <w:vAlign w:val="center"/>
          </w:tcPr>
          <w:p w14:paraId="49ABA1E1">
            <w:pPr>
              <w:spacing w:line="240" w:lineRule="auto"/>
              <w:jc w:val="center"/>
              <w:rPr>
                <w:rFonts w:hint="default"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10</w:t>
            </w:r>
          </w:p>
        </w:tc>
        <w:tc>
          <w:tcPr>
            <w:tcW w:w="5631" w:type="dxa"/>
            <w:noWrap w:val="0"/>
            <w:vAlign w:val="center"/>
          </w:tcPr>
          <w:p w14:paraId="1EA5DBEB">
            <w:pPr>
              <w:spacing w:line="240" w:lineRule="auto"/>
              <w:rPr>
                <w:rFonts w:hint="eastAsia" w:eastAsiaTheme="minorEastAsia"/>
                <w:color w:val="auto"/>
                <w:sz w:val="24"/>
                <w:szCs w:val="24"/>
                <w:highlight w:val="none"/>
                <w:lang w:eastAsia="zh-CN"/>
              </w:rPr>
            </w:pPr>
          </w:p>
        </w:tc>
        <w:tc>
          <w:tcPr>
            <w:tcW w:w="1545" w:type="dxa"/>
            <w:noWrap w:val="0"/>
            <w:vAlign w:val="center"/>
          </w:tcPr>
          <w:p w14:paraId="15143589">
            <w:pPr>
              <w:spacing w:line="240" w:lineRule="auto"/>
              <w:rPr>
                <w:rFonts w:hint="eastAsia" w:hAnsi="宋体" w:eastAsia="宋体" w:cs="宋体"/>
                <w:color w:val="auto"/>
                <w:highlight w:val="none"/>
              </w:rPr>
            </w:pPr>
          </w:p>
        </w:tc>
        <w:tc>
          <w:tcPr>
            <w:tcW w:w="1755" w:type="dxa"/>
            <w:noWrap w:val="0"/>
            <w:vAlign w:val="center"/>
          </w:tcPr>
          <w:p w14:paraId="03997D8F">
            <w:pPr>
              <w:spacing w:line="240" w:lineRule="auto"/>
              <w:rPr>
                <w:rFonts w:hint="eastAsia" w:hAnsi="宋体" w:eastAsia="宋体" w:cs="宋体"/>
                <w:color w:val="auto"/>
                <w:highlight w:val="none"/>
              </w:rPr>
            </w:pPr>
          </w:p>
        </w:tc>
      </w:tr>
    </w:tbl>
    <w:p w14:paraId="1CA093BF">
      <w:pPr>
        <w:spacing w:before="240"/>
        <w:rPr>
          <w:rFonts w:hint="eastAsia"/>
          <w:color w:val="auto"/>
          <w:highlight w:val="none"/>
        </w:rPr>
      </w:pPr>
      <w:r>
        <w:rPr>
          <w:rFonts w:hint="eastAsia"/>
          <w:color w:val="auto"/>
          <w:highlight w:val="none"/>
          <w:lang w:val="zh-CN"/>
        </w:rPr>
        <w:t>注：本表须明确填写并按磋商文件要求提供材料，否则资格性检查无法通过。</w:t>
      </w:r>
    </w:p>
    <w:p w14:paraId="7B9852DB">
      <w:pPr>
        <w:ind w:firstLine="2940"/>
        <w:rPr>
          <w:rFonts w:hAnsi="宋体" w:eastAsia="宋体"/>
          <w:bCs/>
          <w:color w:val="auto"/>
          <w:szCs w:val="28"/>
          <w:highlight w:val="none"/>
        </w:rPr>
      </w:pPr>
      <w:r>
        <w:rPr>
          <w:rFonts w:hint="eastAsia" w:hAnsi="宋体" w:eastAsia="宋体"/>
          <w:bCs/>
          <w:color w:val="auto"/>
          <w:szCs w:val="28"/>
          <w:highlight w:val="none"/>
        </w:rPr>
        <w:t>投标人（公章）：</w:t>
      </w:r>
    </w:p>
    <w:p w14:paraId="0A5566E4">
      <w:pPr>
        <w:ind w:firstLine="2940"/>
        <w:rPr>
          <w:rFonts w:hAnsi="宋体" w:eastAsia="宋体"/>
          <w:bCs/>
          <w:color w:val="auto"/>
          <w:szCs w:val="28"/>
          <w:highlight w:val="none"/>
        </w:rPr>
      </w:pPr>
      <w:r>
        <w:rPr>
          <w:rFonts w:hint="eastAsia" w:hAnsi="宋体" w:eastAsia="宋体"/>
          <w:bCs/>
          <w:color w:val="auto"/>
          <w:szCs w:val="28"/>
          <w:highlight w:val="none"/>
        </w:rPr>
        <w:t>法定代表人或授权委托人：（签字或盖章）</w:t>
      </w:r>
    </w:p>
    <w:p w14:paraId="4D7F1DC0">
      <w:pPr>
        <w:ind w:firstLine="3360"/>
        <w:rPr>
          <w:rFonts w:hAnsi="宋体" w:eastAsia="宋体"/>
          <w:bCs/>
          <w:color w:val="auto"/>
          <w:szCs w:val="28"/>
          <w:highlight w:val="none"/>
        </w:rPr>
      </w:pPr>
      <w:r>
        <w:rPr>
          <w:rFonts w:hint="eastAsia" w:hAnsi="宋体" w:eastAsia="宋体"/>
          <w:bCs/>
          <w:color w:val="auto"/>
          <w:szCs w:val="28"/>
          <w:highlight w:val="none"/>
        </w:rPr>
        <w:t>日期：</w:t>
      </w:r>
      <w:r>
        <w:rPr>
          <w:rFonts w:hAnsi="宋体" w:eastAsia="宋体"/>
          <w:bCs/>
          <w:color w:val="auto"/>
          <w:szCs w:val="28"/>
          <w:highlight w:val="none"/>
          <w:u w:val="single"/>
        </w:rPr>
        <w:t xml:space="preserve">      </w:t>
      </w:r>
      <w:r>
        <w:rPr>
          <w:rFonts w:hint="eastAsia" w:hAnsi="宋体" w:eastAsia="宋体"/>
          <w:bCs/>
          <w:color w:val="auto"/>
          <w:szCs w:val="28"/>
          <w:highlight w:val="none"/>
        </w:rPr>
        <w:t>年</w:t>
      </w:r>
      <w:r>
        <w:rPr>
          <w:rFonts w:hAnsi="宋体" w:eastAsia="宋体"/>
          <w:bCs/>
          <w:color w:val="auto"/>
          <w:szCs w:val="28"/>
          <w:highlight w:val="none"/>
        </w:rPr>
        <w:t xml:space="preserve"> </w:t>
      </w:r>
      <w:r>
        <w:rPr>
          <w:rFonts w:hAnsi="宋体" w:eastAsia="宋体"/>
          <w:bCs/>
          <w:color w:val="auto"/>
          <w:szCs w:val="28"/>
          <w:highlight w:val="none"/>
          <w:u w:val="single"/>
        </w:rPr>
        <w:t xml:space="preserve">    </w:t>
      </w:r>
      <w:r>
        <w:rPr>
          <w:rFonts w:hint="eastAsia" w:hAnsi="宋体" w:eastAsia="宋体"/>
          <w:bCs/>
          <w:color w:val="auto"/>
          <w:szCs w:val="28"/>
          <w:highlight w:val="none"/>
        </w:rPr>
        <w:t>月</w:t>
      </w:r>
      <w:r>
        <w:rPr>
          <w:rFonts w:hAnsi="宋体" w:eastAsia="宋体"/>
          <w:bCs/>
          <w:color w:val="auto"/>
          <w:szCs w:val="28"/>
          <w:highlight w:val="none"/>
          <w:u w:val="single"/>
        </w:rPr>
        <w:t xml:space="preserve">     </w:t>
      </w:r>
      <w:r>
        <w:rPr>
          <w:rFonts w:hint="eastAsia" w:hAnsi="宋体" w:eastAsia="宋体"/>
          <w:bCs/>
          <w:color w:val="auto"/>
          <w:szCs w:val="28"/>
          <w:highlight w:val="none"/>
        </w:rPr>
        <w:t>日</w:t>
      </w:r>
    </w:p>
    <w:p w14:paraId="0092E9FE">
      <w:pPr>
        <w:pStyle w:val="3"/>
        <w:spacing w:before="240" w:after="240" w:line="240" w:lineRule="auto"/>
        <w:jc w:val="center"/>
        <w:rPr>
          <w:rFonts w:hAnsi="宋体" w:eastAsia="宋体"/>
          <w:b w:val="0"/>
          <w:bCs w:val="0"/>
          <w:color w:val="auto"/>
          <w:sz w:val="32"/>
          <w:szCs w:val="32"/>
          <w:highlight w:val="none"/>
        </w:rPr>
      </w:pPr>
      <w:r>
        <w:rPr>
          <w:rFonts w:hint="eastAsia" w:hAnsi="宋体" w:eastAsia="宋体"/>
          <w:b w:val="0"/>
          <w:bCs w:val="0"/>
          <w:color w:val="auto"/>
          <w:sz w:val="32"/>
          <w:szCs w:val="32"/>
          <w:highlight w:val="none"/>
        </w:rPr>
        <w:br w:type="page" w:clear="all"/>
      </w:r>
      <w:r>
        <w:rPr>
          <w:rFonts w:hint="eastAsia" w:ascii="黑体" w:hAnsi="宋体" w:eastAsia="黑体" w:cs="Times New Roman"/>
          <w:bCs/>
          <w:color w:val="auto"/>
          <w:sz w:val="32"/>
          <w:szCs w:val="32"/>
          <w:highlight w:val="none"/>
          <w:lang w:val="en-US" w:eastAsia="zh-CN" w:bidi="ar-SA"/>
        </w:rPr>
        <w:t xml:space="preserve">   9、符合性检查响应对照表（格式）</w:t>
      </w:r>
    </w:p>
    <w:p w14:paraId="7BDA93FA">
      <w:pPr>
        <w:ind w:firstLine="309"/>
        <w:rPr>
          <w:rFonts w:hint="eastAsia" w:hAnsi="宋体" w:eastAsia="宋体"/>
          <w:color w:val="auto"/>
          <w:sz w:val="24"/>
          <w:highlight w:val="none"/>
        </w:rPr>
      </w:pPr>
      <w:r>
        <w:rPr>
          <w:rFonts w:hint="eastAsia" w:hAnsi="宋体" w:eastAsia="宋体"/>
          <w:color w:val="auto"/>
          <w:sz w:val="24"/>
          <w:highlight w:val="none"/>
        </w:rPr>
        <w:t>投标人全称（加盖公章）：</w:t>
      </w:r>
    </w:p>
    <w:tbl>
      <w:tblPr>
        <w:tblStyle w:val="40"/>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5234"/>
        <w:gridCol w:w="1816"/>
        <w:gridCol w:w="1890"/>
      </w:tblGrid>
      <w:tr w14:paraId="0897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0" w:hRule="atLeast"/>
          <w:jc w:val="center"/>
        </w:trPr>
        <w:tc>
          <w:tcPr>
            <w:tcW w:w="859" w:type="dxa"/>
            <w:noWrap w:val="0"/>
            <w:vAlign w:val="center"/>
          </w:tcPr>
          <w:p w14:paraId="00337414">
            <w:pPr>
              <w:spacing w:line="240" w:lineRule="auto"/>
              <w:jc w:val="center"/>
              <w:rPr>
                <w:rFonts w:hint="eastAsia" w:hAnsi="宋体" w:eastAsia="宋体" w:cs="宋体"/>
                <w:b/>
                <w:color w:val="auto"/>
                <w:sz w:val="24"/>
                <w:szCs w:val="24"/>
                <w:highlight w:val="none"/>
              </w:rPr>
            </w:pPr>
            <w:r>
              <w:rPr>
                <w:rFonts w:hint="eastAsia" w:hAnsi="宋体" w:eastAsia="宋体" w:cs="宋体"/>
                <w:b/>
                <w:color w:val="auto"/>
                <w:sz w:val="24"/>
                <w:szCs w:val="24"/>
                <w:highlight w:val="none"/>
              </w:rPr>
              <w:t>序号</w:t>
            </w:r>
          </w:p>
        </w:tc>
        <w:tc>
          <w:tcPr>
            <w:tcW w:w="5234" w:type="dxa"/>
            <w:noWrap w:val="0"/>
            <w:vAlign w:val="center"/>
          </w:tcPr>
          <w:p w14:paraId="2B20A08D">
            <w:pPr>
              <w:spacing w:line="240" w:lineRule="auto"/>
              <w:jc w:val="center"/>
              <w:rPr>
                <w:rFonts w:hint="eastAsia" w:hAnsi="宋体" w:eastAsia="宋体" w:cs="宋体"/>
                <w:b/>
                <w:color w:val="auto"/>
                <w:sz w:val="24"/>
                <w:szCs w:val="24"/>
                <w:highlight w:val="none"/>
              </w:rPr>
            </w:pPr>
            <w:r>
              <w:rPr>
                <w:rFonts w:hint="eastAsia" w:hAnsi="宋体" w:eastAsia="宋体" w:cs="宋体"/>
                <w:b/>
                <w:color w:val="auto"/>
                <w:sz w:val="24"/>
                <w:szCs w:val="24"/>
                <w:highlight w:val="none"/>
              </w:rPr>
              <w:t>符合性检查响应内容</w:t>
            </w:r>
          </w:p>
        </w:tc>
        <w:tc>
          <w:tcPr>
            <w:tcW w:w="1816" w:type="dxa"/>
            <w:noWrap w:val="0"/>
            <w:vAlign w:val="center"/>
          </w:tcPr>
          <w:p w14:paraId="43FBEC84">
            <w:pPr>
              <w:spacing w:line="240" w:lineRule="auto"/>
              <w:jc w:val="center"/>
              <w:rPr>
                <w:rFonts w:hint="eastAsia" w:hAnsi="宋体" w:eastAsia="宋体" w:cs="宋体"/>
                <w:b/>
                <w:color w:val="auto"/>
                <w:sz w:val="24"/>
                <w:szCs w:val="24"/>
                <w:highlight w:val="none"/>
              </w:rPr>
            </w:pPr>
            <w:r>
              <w:rPr>
                <w:rFonts w:hint="eastAsia" w:hAnsi="宋体" w:eastAsia="宋体" w:cs="宋体"/>
                <w:b/>
                <w:color w:val="auto"/>
                <w:sz w:val="24"/>
                <w:szCs w:val="24"/>
                <w:highlight w:val="none"/>
              </w:rPr>
              <w:t>是否响应</w:t>
            </w:r>
          </w:p>
          <w:p w14:paraId="11C54F21">
            <w:pPr>
              <w:spacing w:line="240" w:lineRule="auto"/>
              <w:jc w:val="center"/>
              <w:rPr>
                <w:rFonts w:hint="eastAsia" w:hAnsi="宋体" w:eastAsia="宋体" w:cs="宋体"/>
                <w:b/>
                <w:color w:val="auto"/>
                <w:sz w:val="24"/>
                <w:szCs w:val="24"/>
                <w:highlight w:val="none"/>
              </w:rPr>
            </w:pPr>
            <w:r>
              <w:rPr>
                <w:rFonts w:hint="eastAsia" w:hAnsi="宋体" w:eastAsia="宋体" w:cs="宋体"/>
                <w:b/>
                <w:color w:val="auto"/>
                <w:sz w:val="24"/>
                <w:szCs w:val="24"/>
                <w:highlight w:val="none"/>
              </w:rPr>
              <w:t>（填是或者否）</w:t>
            </w:r>
          </w:p>
        </w:tc>
        <w:tc>
          <w:tcPr>
            <w:tcW w:w="1890" w:type="dxa"/>
            <w:noWrap w:val="0"/>
            <w:vAlign w:val="center"/>
          </w:tcPr>
          <w:p w14:paraId="211DD2C8">
            <w:pPr>
              <w:spacing w:line="240" w:lineRule="auto"/>
              <w:jc w:val="center"/>
              <w:rPr>
                <w:rFonts w:hint="eastAsia" w:hAnsi="宋体" w:eastAsia="宋体" w:cs="宋体"/>
                <w:b/>
                <w:color w:val="auto"/>
                <w:sz w:val="24"/>
                <w:szCs w:val="24"/>
                <w:highlight w:val="none"/>
              </w:rPr>
            </w:pPr>
            <w:r>
              <w:rPr>
                <w:rFonts w:hint="eastAsia" w:hAnsi="宋体" w:eastAsia="宋体" w:cs="宋体"/>
                <w:b/>
                <w:color w:val="auto"/>
                <w:sz w:val="24"/>
                <w:szCs w:val="24"/>
                <w:highlight w:val="none"/>
              </w:rPr>
              <w:t>响应文件中的</w:t>
            </w:r>
          </w:p>
          <w:p w14:paraId="1D7AC4D2">
            <w:pPr>
              <w:spacing w:line="240" w:lineRule="auto"/>
              <w:jc w:val="center"/>
              <w:rPr>
                <w:rFonts w:hint="eastAsia" w:hAnsi="宋体" w:eastAsia="宋体" w:cs="宋体"/>
                <w:b/>
                <w:color w:val="auto"/>
                <w:sz w:val="24"/>
                <w:szCs w:val="24"/>
                <w:highlight w:val="none"/>
              </w:rPr>
            </w:pPr>
            <w:r>
              <w:rPr>
                <w:rFonts w:hint="eastAsia" w:hAnsi="宋体" w:eastAsia="宋体" w:cs="宋体"/>
                <w:b/>
                <w:color w:val="auto"/>
                <w:sz w:val="24"/>
                <w:szCs w:val="24"/>
                <w:highlight w:val="none"/>
              </w:rPr>
              <w:t>页码位置</w:t>
            </w:r>
          </w:p>
        </w:tc>
      </w:tr>
      <w:tr w14:paraId="3FCBF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859" w:type="dxa"/>
            <w:noWrap w:val="0"/>
            <w:vAlign w:val="center"/>
          </w:tcPr>
          <w:p w14:paraId="328B6D35">
            <w:pPr>
              <w:spacing w:line="240" w:lineRule="auto"/>
              <w:jc w:val="center"/>
              <w:rPr>
                <w:rFonts w:hint="eastAsia"/>
                <w:iCs/>
                <w:color w:val="auto"/>
                <w:sz w:val="24"/>
                <w:highlight w:val="none"/>
              </w:rPr>
            </w:pPr>
            <w:r>
              <w:rPr>
                <w:rFonts w:hint="eastAsia"/>
                <w:iCs/>
                <w:color w:val="auto"/>
                <w:sz w:val="24"/>
                <w:highlight w:val="none"/>
              </w:rPr>
              <w:t>1</w:t>
            </w:r>
          </w:p>
        </w:tc>
        <w:tc>
          <w:tcPr>
            <w:tcW w:w="5234" w:type="dxa"/>
            <w:noWrap w:val="0"/>
            <w:vAlign w:val="center"/>
          </w:tcPr>
          <w:p w14:paraId="57B354BE">
            <w:pPr>
              <w:spacing w:line="240" w:lineRule="auto"/>
              <w:rPr>
                <w:rFonts w:hAnsi="宋体" w:eastAsia="宋体" w:cs="宋体"/>
                <w:iCs/>
                <w:color w:val="auto"/>
                <w:sz w:val="24"/>
                <w:highlight w:val="none"/>
              </w:rPr>
            </w:pPr>
            <w:r>
              <w:rPr>
                <w:rFonts w:hint="eastAsia" w:hAnsi="宋体"/>
                <w:iCs/>
                <w:color w:val="auto"/>
                <w:sz w:val="24"/>
                <w:szCs w:val="24"/>
                <w:highlight w:val="none"/>
              </w:rPr>
              <w:t>报价不得高于最高限价</w:t>
            </w:r>
          </w:p>
        </w:tc>
        <w:tc>
          <w:tcPr>
            <w:tcW w:w="1816" w:type="dxa"/>
            <w:noWrap w:val="0"/>
            <w:vAlign w:val="center"/>
          </w:tcPr>
          <w:p w14:paraId="6D50FBF7">
            <w:pPr>
              <w:spacing w:line="240" w:lineRule="auto"/>
              <w:rPr>
                <w:rFonts w:hAnsi="宋体"/>
                <w:color w:val="auto"/>
                <w:highlight w:val="none"/>
              </w:rPr>
            </w:pPr>
          </w:p>
        </w:tc>
        <w:tc>
          <w:tcPr>
            <w:tcW w:w="1890" w:type="dxa"/>
            <w:noWrap w:val="0"/>
            <w:vAlign w:val="center"/>
          </w:tcPr>
          <w:p w14:paraId="4C74D4C7">
            <w:pPr>
              <w:spacing w:line="240" w:lineRule="auto"/>
              <w:rPr>
                <w:rFonts w:hAnsi="宋体"/>
                <w:color w:val="auto"/>
                <w:highlight w:val="none"/>
              </w:rPr>
            </w:pPr>
          </w:p>
        </w:tc>
      </w:tr>
      <w:tr w14:paraId="39FED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859" w:type="dxa"/>
            <w:noWrap w:val="0"/>
            <w:vAlign w:val="center"/>
          </w:tcPr>
          <w:p w14:paraId="6440CDC4">
            <w:pPr>
              <w:spacing w:line="240" w:lineRule="auto"/>
              <w:jc w:val="center"/>
              <w:rPr>
                <w:rFonts w:hint="eastAsia"/>
                <w:iCs/>
                <w:color w:val="auto"/>
                <w:sz w:val="24"/>
                <w:highlight w:val="none"/>
              </w:rPr>
            </w:pPr>
            <w:r>
              <w:rPr>
                <w:rFonts w:hint="eastAsia"/>
                <w:iCs/>
                <w:color w:val="auto"/>
                <w:sz w:val="24"/>
                <w:highlight w:val="none"/>
              </w:rPr>
              <w:t>2</w:t>
            </w:r>
          </w:p>
        </w:tc>
        <w:tc>
          <w:tcPr>
            <w:tcW w:w="5234" w:type="dxa"/>
            <w:noWrap w:val="0"/>
            <w:vAlign w:val="center"/>
          </w:tcPr>
          <w:p w14:paraId="7A572911">
            <w:pPr>
              <w:spacing w:line="240" w:lineRule="auto"/>
              <w:rPr>
                <w:rFonts w:hint="eastAsia" w:hAnsi="宋体" w:eastAsia="宋体" w:cs="宋体"/>
                <w:iCs/>
                <w:color w:val="auto"/>
                <w:sz w:val="24"/>
                <w:highlight w:val="none"/>
              </w:rPr>
            </w:pPr>
            <w:r>
              <w:rPr>
                <w:rFonts w:hint="eastAsia" w:hAnsi="宋体" w:eastAsia="宋体" w:cs="宋体"/>
                <w:iCs/>
                <w:color w:val="auto"/>
                <w:sz w:val="24"/>
                <w:highlight w:val="none"/>
              </w:rPr>
              <w:t>合同履行期限</w:t>
            </w:r>
          </w:p>
        </w:tc>
        <w:tc>
          <w:tcPr>
            <w:tcW w:w="1816" w:type="dxa"/>
            <w:noWrap w:val="0"/>
            <w:vAlign w:val="center"/>
          </w:tcPr>
          <w:p w14:paraId="36A87A67">
            <w:pPr>
              <w:spacing w:line="240" w:lineRule="auto"/>
              <w:rPr>
                <w:rFonts w:hAnsi="宋体"/>
                <w:b/>
                <w:color w:val="auto"/>
                <w:highlight w:val="none"/>
              </w:rPr>
            </w:pPr>
          </w:p>
        </w:tc>
        <w:tc>
          <w:tcPr>
            <w:tcW w:w="1890" w:type="dxa"/>
            <w:noWrap w:val="0"/>
            <w:vAlign w:val="center"/>
          </w:tcPr>
          <w:p w14:paraId="2F194D1E">
            <w:pPr>
              <w:spacing w:line="240" w:lineRule="auto"/>
              <w:rPr>
                <w:rFonts w:hAnsi="宋体"/>
                <w:b/>
                <w:color w:val="auto"/>
                <w:highlight w:val="none"/>
              </w:rPr>
            </w:pPr>
          </w:p>
        </w:tc>
      </w:tr>
      <w:tr w14:paraId="7F359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859" w:type="dxa"/>
            <w:noWrap w:val="0"/>
            <w:vAlign w:val="center"/>
          </w:tcPr>
          <w:p w14:paraId="2EBBAEAF">
            <w:pPr>
              <w:spacing w:line="240" w:lineRule="auto"/>
              <w:jc w:val="center"/>
              <w:rPr>
                <w:rFonts w:hint="eastAsia" w:eastAsia="宋体"/>
                <w:iCs/>
                <w:color w:val="auto"/>
                <w:sz w:val="24"/>
                <w:highlight w:val="none"/>
                <w:lang w:val="en-US" w:eastAsia="zh-CN"/>
              </w:rPr>
            </w:pPr>
            <w:r>
              <w:rPr>
                <w:rFonts w:hint="eastAsia"/>
                <w:iCs/>
                <w:color w:val="auto"/>
                <w:sz w:val="24"/>
                <w:highlight w:val="none"/>
                <w:lang w:val="en-US" w:eastAsia="zh-CN"/>
              </w:rPr>
              <w:t>3</w:t>
            </w:r>
          </w:p>
        </w:tc>
        <w:tc>
          <w:tcPr>
            <w:tcW w:w="5234" w:type="dxa"/>
            <w:noWrap w:val="0"/>
            <w:vAlign w:val="center"/>
          </w:tcPr>
          <w:p w14:paraId="6F84CB58">
            <w:pPr>
              <w:spacing w:line="240" w:lineRule="auto"/>
              <w:rPr>
                <w:rFonts w:hint="eastAsia" w:hAnsi="宋体" w:eastAsia="宋体" w:cs="宋体"/>
                <w:iCs/>
                <w:color w:val="auto"/>
                <w:sz w:val="24"/>
                <w:highlight w:val="none"/>
                <w:lang w:val="en-US" w:eastAsia="zh-CN"/>
              </w:rPr>
            </w:pPr>
            <w:r>
              <w:rPr>
                <w:rFonts w:hint="eastAsia" w:hAnsi="宋体" w:eastAsia="宋体" w:cs="宋体"/>
                <w:iCs/>
                <w:color w:val="auto"/>
                <w:sz w:val="24"/>
                <w:highlight w:val="none"/>
              </w:rPr>
              <w:t>项目需求响应承诺函。详见附件1、</w:t>
            </w:r>
          </w:p>
        </w:tc>
        <w:tc>
          <w:tcPr>
            <w:tcW w:w="1816" w:type="dxa"/>
            <w:noWrap w:val="0"/>
            <w:vAlign w:val="center"/>
          </w:tcPr>
          <w:p w14:paraId="7298ED62">
            <w:pPr>
              <w:spacing w:line="240" w:lineRule="auto"/>
              <w:rPr>
                <w:rFonts w:hAnsi="宋体"/>
                <w:b/>
                <w:color w:val="auto"/>
                <w:highlight w:val="none"/>
              </w:rPr>
            </w:pPr>
          </w:p>
        </w:tc>
        <w:tc>
          <w:tcPr>
            <w:tcW w:w="1890" w:type="dxa"/>
            <w:noWrap w:val="0"/>
            <w:vAlign w:val="center"/>
          </w:tcPr>
          <w:p w14:paraId="63049339">
            <w:pPr>
              <w:spacing w:line="240" w:lineRule="auto"/>
              <w:rPr>
                <w:rFonts w:hAnsi="宋体"/>
                <w:b/>
                <w:color w:val="auto"/>
                <w:highlight w:val="none"/>
              </w:rPr>
            </w:pPr>
          </w:p>
        </w:tc>
      </w:tr>
      <w:tr w14:paraId="18D96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jc w:val="center"/>
        </w:trPr>
        <w:tc>
          <w:tcPr>
            <w:tcW w:w="859" w:type="dxa"/>
            <w:noWrap w:val="0"/>
            <w:vAlign w:val="center"/>
          </w:tcPr>
          <w:p w14:paraId="143D0B89">
            <w:pPr>
              <w:spacing w:line="240" w:lineRule="auto"/>
              <w:jc w:val="center"/>
              <w:rPr>
                <w:rFonts w:hint="eastAsia"/>
                <w:iCs/>
                <w:color w:val="auto"/>
                <w:sz w:val="24"/>
                <w:highlight w:val="none"/>
              </w:rPr>
            </w:pPr>
          </w:p>
        </w:tc>
        <w:tc>
          <w:tcPr>
            <w:tcW w:w="5234" w:type="dxa"/>
            <w:noWrap w:val="0"/>
            <w:vAlign w:val="center"/>
          </w:tcPr>
          <w:p w14:paraId="371E9BBA">
            <w:pPr>
              <w:spacing w:line="240" w:lineRule="auto"/>
              <w:rPr>
                <w:rFonts w:hint="eastAsia" w:hAnsi="宋体" w:eastAsia="宋体" w:cs="宋体"/>
                <w:iCs/>
                <w:color w:val="auto"/>
                <w:sz w:val="24"/>
                <w:highlight w:val="none"/>
              </w:rPr>
            </w:pPr>
          </w:p>
        </w:tc>
        <w:tc>
          <w:tcPr>
            <w:tcW w:w="1816" w:type="dxa"/>
            <w:noWrap w:val="0"/>
            <w:vAlign w:val="center"/>
          </w:tcPr>
          <w:p w14:paraId="2CBAB746">
            <w:pPr>
              <w:spacing w:line="240" w:lineRule="auto"/>
              <w:rPr>
                <w:rFonts w:hAnsi="宋体"/>
                <w:color w:val="auto"/>
                <w:highlight w:val="none"/>
              </w:rPr>
            </w:pPr>
          </w:p>
        </w:tc>
        <w:tc>
          <w:tcPr>
            <w:tcW w:w="1890" w:type="dxa"/>
            <w:noWrap w:val="0"/>
            <w:vAlign w:val="center"/>
          </w:tcPr>
          <w:p w14:paraId="3341B0AA">
            <w:pPr>
              <w:spacing w:line="240" w:lineRule="auto"/>
              <w:rPr>
                <w:rFonts w:hAnsi="宋体"/>
                <w:color w:val="auto"/>
                <w:highlight w:val="none"/>
              </w:rPr>
            </w:pPr>
          </w:p>
        </w:tc>
      </w:tr>
      <w:tr w14:paraId="4BC5D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859" w:type="dxa"/>
            <w:noWrap w:val="0"/>
            <w:vAlign w:val="center"/>
          </w:tcPr>
          <w:p w14:paraId="417B45CC">
            <w:pPr>
              <w:spacing w:line="240" w:lineRule="auto"/>
              <w:rPr>
                <w:rFonts w:hAnsi="宋体"/>
                <w:color w:val="auto"/>
                <w:highlight w:val="none"/>
              </w:rPr>
            </w:pPr>
          </w:p>
        </w:tc>
        <w:tc>
          <w:tcPr>
            <w:tcW w:w="5234" w:type="dxa"/>
            <w:noWrap w:val="0"/>
            <w:vAlign w:val="center"/>
          </w:tcPr>
          <w:p w14:paraId="1C7A7667">
            <w:pPr>
              <w:spacing w:line="240" w:lineRule="auto"/>
              <w:rPr>
                <w:rFonts w:hint="eastAsia" w:hAnsi="宋体"/>
                <w:iCs/>
                <w:color w:val="auto"/>
                <w:sz w:val="24"/>
                <w:highlight w:val="none"/>
              </w:rPr>
            </w:pPr>
          </w:p>
        </w:tc>
        <w:tc>
          <w:tcPr>
            <w:tcW w:w="1816" w:type="dxa"/>
            <w:noWrap w:val="0"/>
            <w:vAlign w:val="center"/>
          </w:tcPr>
          <w:p w14:paraId="517F5016">
            <w:pPr>
              <w:spacing w:line="240" w:lineRule="auto"/>
              <w:rPr>
                <w:rFonts w:hAnsi="宋体"/>
                <w:color w:val="auto"/>
                <w:highlight w:val="none"/>
              </w:rPr>
            </w:pPr>
          </w:p>
        </w:tc>
        <w:tc>
          <w:tcPr>
            <w:tcW w:w="1890" w:type="dxa"/>
            <w:noWrap w:val="0"/>
            <w:vAlign w:val="center"/>
          </w:tcPr>
          <w:p w14:paraId="50EC75E8">
            <w:pPr>
              <w:spacing w:line="240" w:lineRule="auto"/>
              <w:rPr>
                <w:rFonts w:hAnsi="宋体"/>
                <w:color w:val="auto"/>
                <w:highlight w:val="none"/>
              </w:rPr>
            </w:pPr>
          </w:p>
        </w:tc>
      </w:tr>
      <w:tr w14:paraId="67BC9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859" w:type="dxa"/>
            <w:noWrap w:val="0"/>
            <w:vAlign w:val="center"/>
          </w:tcPr>
          <w:p w14:paraId="1AD27D25">
            <w:pPr>
              <w:spacing w:line="240" w:lineRule="auto"/>
              <w:rPr>
                <w:rFonts w:hAnsi="宋体"/>
                <w:color w:val="auto"/>
                <w:highlight w:val="none"/>
              </w:rPr>
            </w:pPr>
          </w:p>
        </w:tc>
        <w:tc>
          <w:tcPr>
            <w:tcW w:w="5234" w:type="dxa"/>
            <w:noWrap w:val="0"/>
            <w:vAlign w:val="center"/>
          </w:tcPr>
          <w:p w14:paraId="0D7981C0">
            <w:pPr>
              <w:spacing w:line="240" w:lineRule="auto"/>
              <w:rPr>
                <w:rFonts w:hAnsi="宋体"/>
                <w:iCs/>
                <w:color w:val="auto"/>
                <w:sz w:val="24"/>
                <w:highlight w:val="none"/>
              </w:rPr>
            </w:pPr>
          </w:p>
        </w:tc>
        <w:tc>
          <w:tcPr>
            <w:tcW w:w="1816" w:type="dxa"/>
            <w:noWrap w:val="0"/>
            <w:vAlign w:val="center"/>
          </w:tcPr>
          <w:p w14:paraId="73621303">
            <w:pPr>
              <w:spacing w:line="240" w:lineRule="auto"/>
              <w:rPr>
                <w:rFonts w:hAnsi="宋体"/>
                <w:color w:val="auto"/>
                <w:highlight w:val="none"/>
              </w:rPr>
            </w:pPr>
          </w:p>
        </w:tc>
        <w:tc>
          <w:tcPr>
            <w:tcW w:w="1890" w:type="dxa"/>
            <w:noWrap w:val="0"/>
            <w:vAlign w:val="center"/>
          </w:tcPr>
          <w:p w14:paraId="50F73C24">
            <w:pPr>
              <w:spacing w:line="240" w:lineRule="auto"/>
              <w:rPr>
                <w:rFonts w:hAnsi="宋体"/>
                <w:color w:val="auto"/>
                <w:highlight w:val="none"/>
              </w:rPr>
            </w:pPr>
          </w:p>
        </w:tc>
      </w:tr>
      <w:tr w14:paraId="638E2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859" w:type="dxa"/>
            <w:noWrap w:val="0"/>
            <w:vAlign w:val="center"/>
          </w:tcPr>
          <w:p w14:paraId="55696E06">
            <w:pPr>
              <w:spacing w:line="240" w:lineRule="auto"/>
              <w:rPr>
                <w:rFonts w:hAnsi="宋体"/>
                <w:color w:val="auto"/>
                <w:highlight w:val="none"/>
              </w:rPr>
            </w:pPr>
          </w:p>
        </w:tc>
        <w:tc>
          <w:tcPr>
            <w:tcW w:w="5234" w:type="dxa"/>
            <w:noWrap w:val="0"/>
            <w:vAlign w:val="center"/>
          </w:tcPr>
          <w:p w14:paraId="02CEF9AD">
            <w:pPr>
              <w:spacing w:line="240" w:lineRule="auto"/>
              <w:rPr>
                <w:rFonts w:hAnsi="宋体"/>
                <w:iCs/>
                <w:color w:val="auto"/>
                <w:sz w:val="24"/>
                <w:highlight w:val="none"/>
              </w:rPr>
            </w:pPr>
          </w:p>
        </w:tc>
        <w:tc>
          <w:tcPr>
            <w:tcW w:w="1816" w:type="dxa"/>
            <w:noWrap w:val="0"/>
            <w:vAlign w:val="center"/>
          </w:tcPr>
          <w:p w14:paraId="2031938B">
            <w:pPr>
              <w:spacing w:line="240" w:lineRule="auto"/>
              <w:rPr>
                <w:rFonts w:hAnsi="宋体"/>
                <w:color w:val="auto"/>
                <w:highlight w:val="none"/>
              </w:rPr>
            </w:pPr>
          </w:p>
        </w:tc>
        <w:tc>
          <w:tcPr>
            <w:tcW w:w="1890" w:type="dxa"/>
            <w:noWrap w:val="0"/>
            <w:vAlign w:val="center"/>
          </w:tcPr>
          <w:p w14:paraId="5147E268">
            <w:pPr>
              <w:spacing w:line="240" w:lineRule="auto"/>
              <w:rPr>
                <w:rFonts w:hAnsi="宋体"/>
                <w:color w:val="auto"/>
                <w:highlight w:val="none"/>
              </w:rPr>
            </w:pPr>
          </w:p>
        </w:tc>
      </w:tr>
    </w:tbl>
    <w:p w14:paraId="3AF60BC9">
      <w:pPr>
        <w:spacing w:line="560" w:lineRule="exact"/>
        <w:ind w:firstLine="645"/>
        <w:jc w:val="center"/>
        <w:rPr>
          <w:rFonts w:hint="eastAsia" w:ascii="黑体" w:hAnsi="黑体" w:eastAsia="黑体"/>
          <w:b/>
          <w:color w:val="auto"/>
          <w:sz w:val="32"/>
          <w:szCs w:val="32"/>
          <w:highlight w:val="none"/>
        </w:rPr>
      </w:pPr>
    </w:p>
    <w:p w14:paraId="17961BE5">
      <w:pPr>
        <w:ind w:firstLine="210"/>
        <w:rPr>
          <w:rFonts w:hint="eastAsia"/>
          <w:color w:val="auto"/>
          <w:szCs w:val="28"/>
          <w:highlight w:val="none"/>
          <w:lang w:val="zh-CN"/>
        </w:rPr>
      </w:pPr>
      <w:r>
        <w:rPr>
          <w:rFonts w:hint="eastAsia"/>
          <w:color w:val="auto"/>
          <w:szCs w:val="28"/>
          <w:highlight w:val="none"/>
          <w:lang w:val="zh-CN"/>
        </w:rPr>
        <w:t>注：本表须明确填写并按磋商文件要求提供材料，否则符合性检查无法通过。</w:t>
      </w:r>
    </w:p>
    <w:p w14:paraId="00A9536D">
      <w:pPr>
        <w:ind w:firstLine="2940"/>
        <w:rPr>
          <w:rFonts w:hint="eastAsia" w:hAnsi="宋体" w:eastAsia="宋体"/>
          <w:bCs/>
          <w:color w:val="auto"/>
          <w:szCs w:val="28"/>
          <w:highlight w:val="none"/>
        </w:rPr>
      </w:pPr>
    </w:p>
    <w:p w14:paraId="685E0801">
      <w:pPr>
        <w:ind w:firstLine="2940"/>
        <w:rPr>
          <w:rFonts w:hAnsi="宋体" w:eastAsia="宋体"/>
          <w:bCs/>
          <w:color w:val="auto"/>
          <w:szCs w:val="28"/>
          <w:highlight w:val="none"/>
        </w:rPr>
      </w:pPr>
      <w:r>
        <w:rPr>
          <w:rFonts w:hint="eastAsia" w:hAnsi="宋体" w:eastAsia="宋体"/>
          <w:bCs/>
          <w:color w:val="auto"/>
          <w:szCs w:val="28"/>
          <w:highlight w:val="none"/>
        </w:rPr>
        <w:t>投标人（公章）：</w:t>
      </w:r>
    </w:p>
    <w:p w14:paraId="288B5A91">
      <w:pPr>
        <w:ind w:firstLine="2940"/>
        <w:rPr>
          <w:rFonts w:hAnsi="宋体" w:eastAsia="宋体"/>
          <w:bCs/>
          <w:color w:val="auto"/>
          <w:szCs w:val="28"/>
          <w:highlight w:val="none"/>
        </w:rPr>
      </w:pPr>
      <w:r>
        <w:rPr>
          <w:rFonts w:hint="eastAsia" w:hAnsi="宋体" w:eastAsia="宋体"/>
          <w:bCs/>
          <w:color w:val="auto"/>
          <w:szCs w:val="28"/>
          <w:highlight w:val="none"/>
        </w:rPr>
        <w:t>法定代表人或授权委托人：（签字或盖章）</w:t>
      </w:r>
    </w:p>
    <w:p w14:paraId="6BDF29DC">
      <w:pPr>
        <w:ind w:firstLine="3360"/>
        <w:rPr>
          <w:rFonts w:hAnsi="宋体" w:eastAsia="宋体"/>
          <w:bCs/>
          <w:color w:val="auto"/>
          <w:szCs w:val="28"/>
          <w:highlight w:val="none"/>
        </w:rPr>
      </w:pPr>
      <w:r>
        <w:rPr>
          <w:rFonts w:hint="eastAsia" w:hAnsi="宋体" w:eastAsia="宋体"/>
          <w:bCs/>
          <w:color w:val="auto"/>
          <w:szCs w:val="28"/>
          <w:highlight w:val="none"/>
        </w:rPr>
        <w:t>日期：</w:t>
      </w:r>
      <w:r>
        <w:rPr>
          <w:rFonts w:hAnsi="宋体" w:eastAsia="宋体"/>
          <w:bCs/>
          <w:color w:val="auto"/>
          <w:szCs w:val="28"/>
          <w:highlight w:val="none"/>
          <w:u w:val="single"/>
        </w:rPr>
        <w:t xml:space="preserve">      </w:t>
      </w:r>
      <w:r>
        <w:rPr>
          <w:rFonts w:hint="eastAsia" w:hAnsi="宋体" w:eastAsia="宋体"/>
          <w:bCs/>
          <w:color w:val="auto"/>
          <w:szCs w:val="28"/>
          <w:highlight w:val="none"/>
        </w:rPr>
        <w:t>年</w:t>
      </w:r>
      <w:r>
        <w:rPr>
          <w:rFonts w:hAnsi="宋体" w:eastAsia="宋体"/>
          <w:bCs/>
          <w:color w:val="auto"/>
          <w:szCs w:val="28"/>
          <w:highlight w:val="none"/>
        </w:rPr>
        <w:t xml:space="preserve"> </w:t>
      </w:r>
      <w:r>
        <w:rPr>
          <w:rFonts w:hAnsi="宋体" w:eastAsia="宋体"/>
          <w:bCs/>
          <w:color w:val="auto"/>
          <w:szCs w:val="28"/>
          <w:highlight w:val="none"/>
          <w:u w:val="single"/>
        </w:rPr>
        <w:t xml:space="preserve">    </w:t>
      </w:r>
      <w:r>
        <w:rPr>
          <w:rFonts w:hint="eastAsia" w:hAnsi="宋体" w:eastAsia="宋体"/>
          <w:bCs/>
          <w:color w:val="auto"/>
          <w:szCs w:val="28"/>
          <w:highlight w:val="none"/>
        </w:rPr>
        <w:t>月</w:t>
      </w:r>
      <w:r>
        <w:rPr>
          <w:rFonts w:hAnsi="宋体" w:eastAsia="宋体"/>
          <w:bCs/>
          <w:color w:val="auto"/>
          <w:szCs w:val="28"/>
          <w:highlight w:val="none"/>
          <w:u w:val="single"/>
        </w:rPr>
        <w:t xml:space="preserve">     </w:t>
      </w:r>
      <w:r>
        <w:rPr>
          <w:rFonts w:hint="eastAsia" w:hAnsi="宋体" w:eastAsia="宋体"/>
          <w:bCs/>
          <w:color w:val="auto"/>
          <w:szCs w:val="28"/>
          <w:highlight w:val="none"/>
        </w:rPr>
        <w:t>日</w:t>
      </w:r>
    </w:p>
    <w:p w14:paraId="1871F42E">
      <w:pPr>
        <w:spacing w:line="560" w:lineRule="exact"/>
        <w:rPr>
          <w:rFonts w:hint="eastAsia" w:ascii="黑体" w:hAnsi="黑体" w:eastAsia="黑体"/>
          <w:b/>
          <w:color w:val="auto"/>
          <w:sz w:val="32"/>
          <w:szCs w:val="32"/>
          <w:highlight w:val="none"/>
        </w:rPr>
      </w:pPr>
    </w:p>
    <w:p w14:paraId="46A2DB5D">
      <w:pPr>
        <w:pStyle w:val="38"/>
        <w:ind w:firstLine="2570"/>
        <w:rPr>
          <w:rFonts w:hint="eastAsia" w:hAnsi="宋体" w:eastAsia="宋体"/>
          <w:b/>
          <w:bCs/>
          <w:color w:val="auto"/>
          <w:sz w:val="32"/>
          <w:szCs w:val="32"/>
          <w:highlight w:val="none"/>
        </w:rPr>
      </w:pPr>
    </w:p>
    <w:p w14:paraId="7B0209AD">
      <w:pPr>
        <w:pStyle w:val="31"/>
        <w:rPr>
          <w:rFonts w:hint="eastAsia" w:hAnsi="宋体" w:eastAsia="宋体"/>
          <w:b/>
          <w:bCs/>
          <w:color w:val="auto"/>
          <w:sz w:val="32"/>
          <w:szCs w:val="32"/>
          <w:highlight w:val="none"/>
        </w:rPr>
      </w:pPr>
    </w:p>
    <w:p w14:paraId="4A320045">
      <w:pPr>
        <w:rPr>
          <w:rFonts w:hint="eastAsia" w:hAnsi="宋体" w:eastAsia="宋体"/>
          <w:b/>
          <w:bCs/>
          <w:color w:val="auto"/>
          <w:sz w:val="32"/>
          <w:szCs w:val="32"/>
          <w:highlight w:val="none"/>
        </w:rPr>
      </w:pPr>
    </w:p>
    <w:p w14:paraId="6AA69561">
      <w:pPr>
        <w:pStyle w:val="17"/>
        <w:rPr>
          <w:rFonts w:hint="eastAsia" w:hAnsi="宋体" w:eastAsia="宋体"/>
          <w:b/>
          <w:bCs/>
          <w:color w:val="auto"/>
          <w:sz w:val="32"/>
          <w:szCs w:val="32"/>
          <w:highlight w:val="none"/>
        </w:rPr>
      </w:pPr>
    </w:p>
    <w:p w14:paraId="633F8ECF">
      <w:pPr>
        <w:pStyle w:val="18"/>
        <w:rPr>
          <w:rFonts w:hint="eastAsia" w:hAnsi="宋体" w:eastAsia="宋体"/>
          <w:b/>
          <w:bCs/>
          <w:color w:val="auto"/>
          <w:sz w:val="32"/>
          <w:szCs w:val="32"/>
          <w:highlight w:val="none"/>
        </w:rPr>
      </w:pPr>
    </w:p>
    <w:p w14:paraId="3D50C532">
      <w:pPr>
        <w:pStyle w:val="18"/>
        <w:rPr>
          <w:rFonts w:hint="eastAsia" w:hAnsi="宋体" w:eastAsia="宋体"/>
          <w:b/>
          <w:bCs/>
          <w:color w:val="auto"/>
          <w:sz w:val="32"/>
          <w:szCs w:val="32"/>
          <w:highlight w:val="none"/>
        </w:rPr>
      </w:pPr>
    </w:p>
    <w:p w14:paraId="1F25DB51">
      <w:pPr>
        <w:pStyle w:val="4"/>
        <w:numPr>
          <w:ilvl w:val="0"/>
          <w:numId w:val="0"/>
        </w:numPr>
        <w:spacing w:before="0" w:after="0"/>
        <w:rPr>
          <w:rFonts w:hint="eastAsia" w:hAnsi="Times New Roman" w:eastAsia="宋体"/>
          <w:color w:val="auto"/>
          <w:szCs w:val="28"/>
          <w:highlight w:val="none"/>
        </w:rPr>
      </w:pPr>
    </w:p>
    <w:p w14:paraId="37B54650">
      <w:pPr>
        <w:pStyle w:val="4"/>
        <w:numPr>
          <w:ilvl w:val="0"/>
          <w:numId w:val="0"/>
        </w:numPr>
        <w:spacing w:before="0" w:after="0"/>
        <w:rPr>
          <w:rFonts w:hAnsi="Times New Roman" w:eastAsia="宋体"/>
          <w:color w:val="auto"/>
          <w:szCs w:val="28"/>
          <w:highlight w:val="none"/>
        </w:rPr>
      </w:pPr>
      <w:r>
        <w:rPr>
          <w:rFonts w:hint="eastAsia" w:hAnsi="Times New Roman" w:eastAsia="宋体"/>
          <w:color w:val="auto"/>
          <w:szCs w:val="28"/>
          <w:highlight w:val="none"/>
        </w:rPr>
        <w:t>附件1、        项目需求响应承诺函</w:t>
      </w:r>
    </w:p>
    <w:p w14:paraId="5D5B0097">
      <w:pPr>
        <w:pStyle w:val="219"/>
        <w:keepNext w:val="0"/>
        <w:keepLines w:val="0"/>
        <w:pageBreakBefore w:val="0"/>
        <w:widowControl w:val="0"/>
        <w:spacing w:after="0" w:line="480" w:lineRule="exact"/>
        <w:ind w:firstLine="480"/>
        <w:rPr>
          <w:rFonts w:hint="eastAsia" w:ascii="宋体" w:hAnsi="宋体" w:cs="宋体"/>
          <w:color w:val="auto"/>
          <w:sz w:val="24"/>
          <w:highlight w:val="none"/>
          <w:lang w:eastAsia="zh-CN"/>
        </w:rPr>
      </w:pPr>
      <w:r>
        <w:rPr>
          <w:rFonts w:hint="eastAsia" w:ascii="宋体" w:hAnsi="宋体" w:cs="宋体"/>
          <w:color w:val="auto"/>
          <w:sz w:val="24"/>
          <w:highlight w:val="none"/>
        </w:rPr>
        <w:t>一、</w:t>
      </w:r>
      <w:r>
        <w:rPr>
          <w:rFonts w:hint="eastAsia" w:ascii="宋体" w:hAnsi="宋体" w:cs="宋体"/>
          <w:color w:val="auto"/>
          <w:sz w:val="24"/>
          <w:highlight w:val="none"/>
          <w:lang w:eastAsia="zh-CN"/>
        </w:rPr>
        <w:t>采购项目简要说明：</w:t>
      </w:r>
    </w:p>
    <w:p w14:paraId="5D06CD30">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1、本次招标采购：本工程为</w:t>
      </w:r>
      <w:r>
        <w:rPr>
          <w:rFonts w:hint="eastAsia" w:ascii="宋体" w:hAnsi="宋体" w:cs="宋体"/>
          <w:color w:val="auto"/>
          <w:sz w:val="24"/>
          <w:highlight w:val="none"/>
          <w:lang w:eastAsia="zh-CN"/>
        </w:rPr>
        <w:t>射阳县长荡镇黄沙港支流（中心河）生态河道建设项目</w:t>
      </w:r>
      <w:r>
        <w:rPr>
          <w:rFonts w:hint="eastAsia" w:ascii="宋体" w:hAnsi="宋体"/>
          <w:color w:val="auto"/>
          <w:sz w:val="24"/>
          <w:highlight w:val="none"/>
        </w:rPr>
        <w:t>，</w:t>
      </w:r>
      <w:r>
        <w:rPr>
          <w:rFonts w:hint="eastAsia" w:ascii="宋体" w:hAnsi="宋体" w:eastAsia="宋体" w:cs="宋体"/>
          <w:color w:val="auto"/>
          <w:sz w:val="24"/>
          <w:szCs w:val="24"/>
          <w:highlight w:val="none"/>
        </w:rPr>
        <w:t>具体以招标人提供的工程量清单、图纸为准。</w:t>
      </w:r>
    </w:p>
    <w:p w14:paraId="0670C99C">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2、质量要求：合格</w:t>
      </w:r>
    </w:p>
    <w:p w14:paraId="2A5EE6F5">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3、合同履行期限：60日历天</w:t>
      </w:r>
    </w:p>
    <w:p w14:paraId="2A99AC4B">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4、预算金额：270.1万元</w:t>
      </w:r>
    </w:p>
    <w:p w14:paraId="0460778D">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5、履约地点：</w:t>
      </w:r>
      <w:r>
        <w:rPr>
          <w:rFonts w:hint="eastAsia" w:ascii="宋体" w:hAnsi="宋体" w:cs="Times New Roman"/>
          <w:color w:val="auto"/>
          <w:sz w:val="24"/>
          <w:szCs w:val="24"/>
          <w:highlight w:val="none"/>
          <w:lang w:val="en-US" w:eastAsia="zh-CN"/>
        </w:rPr>
        <w:t>射阳县长荡镇境内</w:t>
      </w:r>
    </w:p>
    <w:p w14:paraId="29205B3B">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6、采购方式：竞争性磋商</w:t>
      </w:r>
    </w:p>
    <w:p w14:paraId="719518D8">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7、评标方法：综合评分法</w:t>
      </w:r>
    </w:p>
    <w:p w14:paraId="30310047">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二、采购需求</w:t>
      </w:r>
    </w:p>
    <w:p w14:paraId="08588853">
      <w:pPr>
        <w:pStyle w:val="219"/>
        <w:keepNext w:val="0"/>
        <w:keepLines w:val="0"/>
        <w:pageBreakBefore w:val="0"/>
        <w:widowControl w:val="0"/>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详见工程量清单及图纸</w:t>
      </w:r>
    </w:p>
    <w:p w14:paraId="2A39B37D">
      <w:pPr>
        <w:pStyle w:val="219"/>
        <w:keepNext w:val="0"/>
        <w:keepLines w:val="0"/>
        <w:pageBreakBefore w:val="0"/>
        <w:widowControl w:val="0"/>
        <w:numPr>
          <w:ilvl w:val="0"/>
          <w:numId w:val="4"/>
        </w:numPr>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付款方式：</w:t>
      </w:r>
    </w:p>
    <w:p w14:paraId="359A8353">
      <w:pPr>
        <w:pStyle w:val="219"/>
        <w:keepNext w:val="0"/>
        <w:keepLines w:val="0"/>
        <w:pageBreakBefore w:val="0"/>
        <w:widowControl w:val="0"/>
        <w:numPr>
          <w:ilvl w:val="0"/>
          <w:numId w:val="0"/>
        </w:numPr>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根据《关于进一步做好建筑施工拖欠农民工工资治理工作的通知》（盐建建筑【2016】35号）文件精神要求，政府投资工程保障农民工工资支付“四项制度”。工程款指按签订的合同价扣除《其他项目清单与计价汇总表》中发包人预留的暂列金额、专业工程暂估价及其二项税金后的工程价款。工程实施中按形象进度支付工程款，具体付款幅度如下：</w:t>
      </w:r>
    </w:p>
    <w:p w14:paraId="4F518C90">
      <w:pPr>
        <w:pStyle w:val="219"/>
        <w:keepNext w:val="0"/>
        <w:keepLines w:val="0"/>
        <w:pageBreakBefore w:val="0"/>
        <w:widowControl w:val="0"/>
        <w:numPr>
          <w:ilvl w:val="0"/>
          <w:numId w:val="0"/>
        </w:numPr>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（1）合同签订后10日内采购人向成交供应商预付10%的合同价款，供应商书面明确表示无需预付款或主动要求降低预付款比例的，由双方另行商定；</w:t>
      </w:r>
    </w:p>
    <w:p w14:paraId="1610A968">
      <w:pPr>
        <w:pStyle w:val="219"/>
        <w:keepNext w:val="0"/>
        <w:keepLines w:val="0"/>
        <w:pageBreakBefore w:val="0"/>
        <w:widowControl w:val="0"/>
        <w:numPr>
          <w:ilvl w:val="0"/>
          <w:numId w:val="0"/>
        </w:numPr>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（2）工程竣工验收合格后付至中标价的50%（包括以前支付）；</w:t>
      </w:r>
    </w:p>
    <w:p w14:paraId="0549E979">
      <w:pPr>
        <w:pStyle w:val="219"/>
        <w:keepNext w:val="0"/>
        <w:keepLines w:val="0"/>
        <w:pageBreakBefore w:val="0"/>
        <w:widowControl w:val="0"/>
        <w:numPr>
          <w:ilvl w:val="0"/>
          <w:numId w:val="0"/>
        </w:numPr>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（3）工程竣工验收合格经审计后付至审计价的80%（包括以前支付）；</w:t>
      </w:r>
    </w:p>
    <w:p w14:paraId="161D89C8">
      <w:pPr>
        <w:pStyle w:val="219"/>
        <w:keepNext w:val="0"/>
        <w:keepLines w:val="0"/>
        <w:pageBreakBefore w:val="0"/>
        <w:widowControl w:val="0"/>
        <w:numPr>
          <w:ilvl w:val="0"/>
          <w:numId w:val="0"/>
        </w:numPr>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（4）工程竣工验收合格满一年按审计结论结清剩余工程款。</w:t>
      </w:r>
    </w:p>
    <w:p w14:paraId="41BC72D6">
      <w:pPr>
        <w:pStyle w:val="219"/>
        <w:keepNext w:val="0"/>
        <w:keepLines w:val="0"/>
        <w:pageBreakBefore w:val="0"/>
        <w:widowControl w:val="0"/>
        <w:numPr>
          <w:ilvl w:val="0"/>
          <w:numId w:val="0"/>
        </w:numPr>
        <w:spacing w:after="0" w:line="480" w:lineRule="exact"/>
        <w:ind w:firstLine="480"/>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（5）按以上进度付款，无任何利息补偿。付款时，承包人须开具税务部门认可的税务发票。</w:t>
      </w:r>
    </w:p>
    <w:p w14:paraId="04A5F8BE">
      <w:pPr>
        <w:pStyle w:val="219"/>
        <w:keepNext w:val="0"/>
        <w:keepLines w:val="0"/>
        <w:pageBreakBefore w:val="0"/>
        <w:widowControl w:val="0"/>
        <w:numPr>
          <w:ilvl w:val="0"/>
          <w:numId w:val="4"/>
        </w:numPr>
        <w:spacing w:after="0" w:line="480" w:lineRule="exact"/>
        <w:ind w:left="0" w:firstLine="480"/>
        <w:rPr>
          <w:rFonts w:ascii="宋体" w:hAnsi="宋体" w:cs="宋体"/>
          <w:color w:val="auto"/>
          <w:sz w:val="24"/>
          <w:highlight w:val="none"/>
          <w:lang w:val="en-US" w:eastAsia="zh-CN"/>
        </w:rPr>
      </w:pPr>
      <w:r>
        <w:rPr>
          <w:rFonts w:ascii="宋体" w:hAnsi="宋体" w:cs="宋体"/>
          <w:color w:val="auto"/>
          <w:sz w:val="24"/>
          <w:highlight w:val="none"/>
          <w:lang w:val="en-US" w:eastAsia="zh-CN"/>
        </w:rPr>
        <w:t>其它：</w:t>
      </w:r>
    </w:p>
    <w:p w14:paraId="10CBF9B2">
      <w:pPr>
        <w:pStyle w:val="219"/>
        <w:keepNext w:val="0"/>
        <w:keepLines w:val="0"/>
        <w:pageBreakBefore w:val="0"/>
        <w:widowControl w:val="0"/>
        <w:numPr>
          <w:ilvl w:val="0"/>
          <w:numId w:val="0"/>
        </w:numPr>
        <w:spacing w:after="0" w:line="480" w:lineRule="exact"/>
        <w:ind w:firstLine="482"/>
        <w:rPr>
          <w:rFonts w:hint="default"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1、各潜在投标人应自行对项目现场及周边环境进行勘察，以获取编制投标文件和签署合同所需的资料，现场勘察所发生的费用、相关的责任和风险均由各潜在投标人自行承担，中标后，不对场地现状提出异议，不以场地存在问题为由拒绝签署项目合同书或履行所约定的各项义务。</w:t>
      </w:r>
    </w:p>
    <w:p w14:paraId="79502BA9">
      <w:pPr>
        <w:pStyle w:val="219"/>
        <w:keepNext w:val="0"/>
        <w:keepLines w:val="0"/>
        <w:pageBreakBefore w:val="0"/>
        <w:widowControl w:val="0"/>
        <w:numPr>
          <w:ilvl w:val="0"/>
          <w:numId w:val="0"/>
        </w:numPr>
        <w:spacing w:after="0" w:line="480" w:lineRule="exact"/>
        <w:ind w:firstLine="480"/>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2</w:t>
      </w:r>
      <w:r>
        <w:rPr>
          <w:rFonts w:ascii="宋体" w:hAnsi="宋体" w:cs="宋体"/>
          <w:color w:val="auto"/>
          <w:sz w:val="24"/>
          <w:highlight w:val="none"/>
          <w:lang w:val="en-US" w:eastAsia="zh-CN"/>
        </w:rPr>
        <w:t>、本项目报价含完成项目要求的一切费用，供应商应综合考虑在磋商报价中。</w:t>
      </w:r>
    </w:p>
    <w:p w14:paraId="55C45307">
      <w:pPr>
        <w:pStyle w:val="219"/>
        <w:keepNext w:val="0"/>
        <w:keepLines w:val="0"/>
        <w:pageBreakBefore w:val="0"/>
        <w:widowControl w:val="0"/>
        <w:numPr>
          <w:ilvl w:val="0"/>
          <w:numId w:val="0"/>
        </w:numPr>
        <w:tabs>
          <w:tab w:val="center" w:pos="4536"/>
        </w:tabs>
        <w:spacing w:after="0" w:line="480" w:lineRule="exact"/>
        <w:ind w:firstLine="480"/>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r>
        <w:rPr>
          <w:rFonts w:ascii="宋体" w:hAnsi="宋体" w:cs="宋体"/>
          <w:color w:val="auto"/>
          <w:sz w:val="24"/>
          <w:highlight w:val="none"/>
          <w:lang w:val="en-US" w:eastAsia="zh-CN"/>
        </w:rPr>
        <w:t>、本次磋商不接受选择性报价。</w:t>
      </w:r>
      <w:r>
        <w:rPr>
          <w:rFonts w:hint="eastAsia" w:ascii="宋体" w:hAnsi="宋体" w:cs="宋体"/>
          <w:color w:val="auto"/>
          <w:sz w:val="24"/>
          <w:highlight w:val="none"/>
          <w:lang w:val="en-US" w:eastAsia="zh-CN"/>
        </w:rPr>
        <w:tab/>
      </w:r>
    </w:p>
    <w:p w14:paraId="255E69CD">
      <w:pPr>
        <w:pStyle w:val="219"/>
        <w:keepNext w:val="0"/>
        <w:keepLines w:val="0"/>
        <w:pageBreakBefore w:val="0"/>
        <w:widowControl w:val="0"/>
        <w:numPr>
          <w:ilvl w:val="0"/>
          <w:numId w:val="0"/>
        </w:numPr>
        <w:spacing w:after="0" w:line="480" w:lineRule="exact"/>
        <w:ind w:firstLine="480"/>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val="en-US" w:eastAsia="zh-CN"/>
        </w:rPr>
        <w:t>、资格后审：在评审时，对磋商供应商的响应文件中资格性、符合性进行审查，确定供应商是否具备磋商资格以及是否具备成交资格。</w:t>
      </w:r>
    </w:p>
    <w:p w14:paraId="76B1B388">
      <w:pPr>
        <w:pStyle w:val="219"/>
        <w:keepNext w:val="0"/>
        <w:keepLines w:val="0"/>
        <w:pageBreakBefore w:val="0"/>
        <w:widowControl w:val="0"/>
        <w:numPr>
          <w:ilvl w:val="0"/>
          <w:numId w:val="0"/>
        </w:numPr>
        <w:spacing w:after="0" w:line="480" w:lineRule="exact"/>
        <w:ind w:firstLine="480"/>
        <w:rPr>
          <w:rFonts w:ascii="宋体" w:hAnsi="宋体" w:cs="宋体"/>
          <w:b w:val="0"/>
          <w:bCs w:val="0"/>
          <w:color w:val="auto"/>
          <w:sz w:val="24"/>
          <w:highlight w:val="none"/>
          <w:lang w:val="en-US" w:eastAsia="zh-CN"/>
        </w:rPr>
      </w:pPr>
      <w:r>
        <w:rPr>
          <w:rFonts w:hint="eastAsia" w:ascii="宋体" w:hAnsi="宋体" w:cs="宋体"/>
          <w:b w:val="0"/>
          <w:bCs w:val="0"/>
          <w:color w:val="auto"/>
          <w:sz w:val="24"/>
          <w:highlight w:val="none"/>
          <w:lang w:val="en-US" w:eastAsia="zh-CN"/>
        </w:rPr>
        <w:t>5</w:t>
      </w:r>
      <w:r>
        <w:rPr>
          <w:rFonts w:ascii="宋体" w:hAnsi="宋体" w:cs="宋体"/>
          <w:b w:val="0"/>
          <w:bCs w:val="0"/>
          <w:color w:val="auto"/>
          <w:sz w:val="24"/>
          <w:highlight w:val="none"/>
          <w:lang w:val="en-US" w:eastAsia="zh-CN"/>
        </w:rPr>
        <w:t>、供应商如未能在承诺时间内提供服务，采购人有权没收其履约保证金作为预定的损害赔偿而非罚款。</w:t>
      </w:r>
    </w:p>
    <w:p w14:paraId="47BD0E5B">
      <w:pPr>
        <w:pStyle w:val="36"/>
        <w:spacing w:beforeAutospacing="0" w:afterAutospacing="0" w:line="0" w:lineRule="atLeast"/>
        <w:ind w:firstLine="480"/>
        <w:jc w:val="both"/>
        <w:rPr>
          <w:color w:val="auto"/>
          <w:highlight w:val="none"/>
        </w:rPr>
      </w:pPr>
      <w:r>
        <w:rPr>
          <w:color w:val="auto"/>
          <w:highlight w:val="none"/>
        </w:rPr>
        <w:t> </w:t>
      </w:r>
    </w:p>
    <w:p w14:paraId="0318998A">
      <w:pPr>
        <w:pStyle w:val="219"/>
        <w:keepNext w:val="0"/>
        <w:keepLines w:val="0"/>
        <w:pageBreakBefore w:val="0"/>
        <w:widowControl w:val="0"/>
        <w:numPr>
          <w:ilvl w:val="0"/>
          <w:numId w:val="0"/>
        </w:numPr>
        <w:spacing w:after="0" w:line="480" w:lineRule="exact"/>
        <w:ind w:firstLine="420"/>
        <w:rPr>
          <w:rFonts w:ascii="宋体" w:hAnsi="宋体" w:cs="宋体"/>
          <w:color w:val="auto"/>
          <w:sz w:val="21"/>
          <w:szCs w:val="21"/>
          <w:highlight w:val="none"/>
          <w:lang w:val="en-US" w:eastAsia="zh-CN"/>
        </w:rPr>
      </w:pPr>
    </w:p>
    <w:p w14:paraId="63A43716">
      <w:pPr>
        <w:spacing w:before="240" w:after="120"/>
        <w:ind w:firstLine="422"/>
        <w:rPr>
          <w:rFonts w:hint="eastAsia" w:hAnsi="宋体" w:eastAsia="宋体"/>
          <w:b/>
          <w:color w:val="auto"/>
          <w:szCs w:val="28"/>
          <w:highlight w:val="none"/>
          <w:lang w:eastAsia="zh-CN"/>
        </w:rPr>
      </w:pPr>
      <w:r>
        <w:rPr>
          <w:rFonts w:hint="eastAsia" w:ascii="宋体" w:hAnsi="宋体" w:eastAsia="宋体" w:cs="宋体"/>
          <w:b/>
          <w:bCs w:val="0"/>
          <w:color w:val="auto"/>
          <w:sz w:val="21"/>
          <w:szCs w:val="21"/>
          <w:highlight w:val="none"/>
          <w:lang w:val="en-US" w:eastAsia="zh-CN"/>
        </w:rPr>
        <w:t> </w:t>
      </w:r>
      <w:r>
        <w:rPr>
          <w:rFonts w:hint="eastAsia" w:hAnsi="宋体" w:eastAsia="宋体"/>
          <w:b/>
          <w:color w:val="auto"/>
          <w:szCs w:val="28"/>
          <w:highlight w:val="none"/>
        </w:rPr>
        <w:t>我公司承诺响应上述实质性响应内容</w:t>
      </w:r>
      <w:r>
        <w:rPr>
          <w:rFonts w:hint="eastAsia" w:hAnsi="宋体"/>
          <w:b/>
          <w:color w:val="auto"/>
          <w:szCs w:val="28"/>
          <w:highlight w:val="none"/>
          <w:lang w:eastAsia="zh-CN"/>
        </w:rPr>
        <w:t>。</w:t>
      </w:r>
    </w:p>
    <w:p w14:paraId="3903CB0F">
      <w:pPr>
        <w:spacing w:before="240" w:after="120"/>
        <w:jc w:val="both"/>
        <w:rPr>
          <w:rFonts w:hint="eastAsia" w:hAnsi="宋体"/>
          <w:b/>
          <w:bCs/>
          <w:color w:val="auto"/>
          <w:sz w:val="32"/>
          <w:szCs w:val="32"/>
          <w:highlight w:val="none"/>
        </w:rPr>
      </w:pPr>
    </w:p>
    <w:p w14:paraId="41795AF6">
      <w:pPr>
        <w:ind w:firstLine="2940"/>
        <w:rPr>
          <w:rFonts w:hAnsi="宋体"/>
          <w:bCs/>
          <w:color w:val="auto"/>
          <w:szCs w:val="28"/>
          <w:highlight w:val="none"/>
        </w:rPr>
      </w:pPr>
      <w:r>
        <w:rPr>
          <w:rFonts w:hint="eastAsia" w:hAnsi="宋体"/>
          <w:bCs/>
          <w:color w:val="auto"/>
          <w:szCs w:val="28"/>
          <w:highlight w:val="none"/>
        </w:rPr>
        <w:t>投标人（公章）：</w:t>
      </w:r>
    </w:p>
    <w:p w14:paraId="6E1D230B">
      <w:pPr>
        <w:ind w:firstLine="2940"/>
        <w:rPr>
          <w:rFonts w:hAnsi="宋体"/>
          <w:bCs/>
          <w:color w:val="auto"/>
          <w:szCs w:val="28"/>
          <w:highlight w:val="none"/>
        </w:rPr>
      </w:pPr>
      <w:r>
        <w:rPr>
          <w:rFonts w:hint="eastAsia" w:hAnsi="宋体"/>
          <w:bCs/>
          <w:color w:val="auto"/>
          <w:szCs w:val="28"/>
          <w:highlight w:val="none"/>
        </w:rPr>
        <w:t>法定代表人或授权委托人：（签字或盖章）</w:t>
      </w:r>
    </w:p>
    <w:p w14:paraId="0E3365D1">
      <w:pPr>
        <w:ind w:firstLine="3360"/>
        <w:rPr>
          <w:rFonts w:hAnsi="宋体"/>
          <w:bCs/>
          <w:color w:val="auto"/>
          <w:szCs w:val="28"/>
          <w:highlight w:val="none"/>
        </w:rPr>
      </w:pPr>
      <w:r>
        <w:rPr>
          <w:rFonts w:hint="eastAsia" w:hAnsi="宋体"/>
          <w:bCs/>
          <w:color w:val="auto"/>
          <w:szCs w:val="28"/>
          <w:highlight w:val="none"/>
        </w:rPr>
        <w:t>日期：</w:t>
      </w:r>
      <w:r>
        <w:rPr>
          <w:rFonts w:hAnsi="宋体"/>
          <w:bCs/>
          <w:color w:val="auto"/>
          <w:szCs w:val="28"/>
          <w:highlight w:val="none"/>
          <w:u w:val="single"/>
        </w:rPr>
        <w:t xml:space="preserve">      </w:t>
      </w:r>
      <w:r>
        <w:rPr>
          <w:rFonts w:hint="eastAsia" w:hAnsi="宋体"/>
          <w:bCs/>
          <w:color w:val="auto"/>
          <w:szCs w:val="28"/>
          <w:highlight w:val="none"/>
        </w:rPr>
        <w:t>年</w:t>
      </w:r>
      <w:r>
        <w:rPr>
          <w:rFonts w:hAnsi="宋体"/>
          <w:bCs/>
          <w:color w:val="auto"/>
          <w:szCs w:val="28"/>
          <w:highlight w:val="none"/>
        </w:rPr>
        <w:t xml:space="preserve"> </w:t>
      </w:r>
      <w:r>
        <w:rPr>
          <w:rFonts w:hAnsi="宋体"/>
          <w:bCs/>
          <w:color w:val="auto"/>
          <w:szCs w:val="28"/>
          <w:highlight w:val="none"/>
          <w:u w:val="single"/>
        </w:rPr>
        <w:t xml:space="preserve">    </w:t>
      </w:r>
      <w:r>
        <w:rPr>
          <w:rFonts w:hint="eastAsia" w:hAnsi="宋体"/>
          <w:bCs/>
          <w:color w:val="auto"/>
          <w:szCs w:val="28"/>
          <w:highlight w:val="none"/>
        </w:rPr>
        <w:t>月</w:t>
      </w:r>
      <w:r>
        <w:rPr>
          <w:rFonts w:hAnsi="宋体"/>
          <w:bCs/>
          <w:color w:val="auto"/>
          <w:szCs w:val="28"/>
          <w:highlight w:val="none"/>
          <w:u w:val="single"/>
        </w:rPr>
        <w:t xml:space="preserve">     </w:t>
      </w:r>
      <w:r>
        <w:rPr>
          <w:rFonts w:hint="eastAsia" w:hAnsi="宋体"/>
          <w:bCs/>
          <w:color w:val="auto"/>
          <w:szCs w:val="28"/>
          <w:highlight w:val="none"/>
        </w:rPr>
        <w:t>日</w:t>
      </w:r>
    </w:p>
    <w:p w14:paraId="4B19349F">
      <w:pPr>
        <w:pStyle w:val="31"/>
        <w:rPr>
          <w:rFonts w:hint="eastAsia"/>
          <w:color w:val="auto"/>
          <w:highlight w:val="none"/>
        </w:rPr>
      </w:pPr>
    </w:p>
    <w:p w14:paraId="19322E21">
      <w:pPr>
        <w:pStyle w:val="4"/>
        <w:numPr>
          <w:ilvl w:val="0"/>
          <w:numId w:val="0"/>
        </w:numPr>
        <w:spacing w:before="0" w:after="0"/>
        <w:jc w:val="center"/>
        <w:rPr>
          <w:rFonts w:hint="eastAsia"/>
          <w:color w:val="auto"/>
          <w:highlight w:val="none"/>
        </w:rPr>
      </w:pPr>
    </w:p>
    <w:p w14:paraId="6E91B804">
      <w:pPr>
        <w:pStyle w:val="4"/>
        <w:numPr>
          <w:ilvl w:val="0"/>
          <w:numId w:val="0"/>
        </w:numPr>
        <w:spacing w:before="0" w:after="0"/>
        <w:jc w:val="center"/>
        <w:rPr>
          <w:rFonts w:hint="eastAsia"/>
          <w:color w:val="auto"/>
          <w:highlight w:val="none"/>
        </w:rPr>
      </w:pPr>
    </w:p>
    <w:p w14:paraId="1350D903">
      <w:pPr>
        <w:rPr>
          <w:rFonts w:hint="eastAsia"/>
          <w:color w:val="auto"/>
          <w:highlight w:val="none"/>
        </w:rPr>
      </w:pPr>
    </w:p>
    <w:p w14:paraId="68D29F9F">
      <w:pPr>
        <w:pStyle w:val="39"/>
        <w:rPr>
          <w:rFonts w:hint="eastAsia"/>
          <w:color w:val="auto"/>
          <w:highlight w:val="none"/>
        </w:rPr>
      </w:pPr>
    </w:p>
    <w:p w14:paraId="03ED36A7">
      <w:pPr>
        <w:pStyle w:val="39"/>
        <w:rPr>
          <w:rFonts w:hint="eastAsia"/>
          <w:color w:val="auto"/>
          <w:highlight w:val="none"/>
        </w:rPr>
      </w:pPr>
    </w:p>
    <w:p w14:paraId="70B20D95">
      <w:pPr>
        <w:pStyle w:val="39"/>
        <w:rPr>
          <w:rFonts w:hint="eastAsia"/>
          <w:color w:val="auto"/>
          <w:highlight w:val="none"/>
        </w:rPr>
      </w:pPr>
    </w:p>
    <w:p w14:paraId="59301954">
      <w:pPr>
        <w:pStyle w:val="39"/>
        <w:rPr>
          <w:rFonts w:hint="eastAsia"/>
          <w:color w:val="auto"/>
          <w:highlight w:val="none"/>
        </w:rPr>
      </w:pPr>
    </w:p>
    <w:p w14:paraId="2391F3F5">
      <w:pPr>
        <w:pStyle w:val="39"/>
        <w:rPr>
          <w:rFonts w:hint="eastAsia"/>
          <w:color w:val="auto"/>
          <w:highlight w:val="none"/>
        </w:rPr>
      </w:pPr>
    </w:p>
    <w:p w14:paraId="0AD3F5B9">
      <w:pPr>
        <w:pStyle w:val="39"/>
        <w:rPr>
          <w:rFonts w:hint="eastAsia"/>
          <w:color w:val="auto"/>
          <w:highlight w:val="none"/>
        </w:rPr>
      </w:pPr>
    </w:p>
    <w:p w14:paraId="6F502023">
      <w:pPr>
        <w:pStyle w:val="39"/>
        <w:rPr>
          <w:rFonts w:hint="eastAsia"/>
          <w:color w:val="auto"/>
          <w:highlight w:val="none"/>
        </w:rPr>
      </w:pPr>
    </w:p>
    <w:p w14:paraId="7AC3B66C">
      <w:pPr>
        <w:pStyle w:val="39"/>
        <w:rPr>
          <w:rFonts w:hint="eastAsia"/>
          <w:color w:val="auto"/>
          <w:highlight w:val="none"/>
        </w:rPr>
      </w:pPr>
    </w:p>
    <w:p w14:paraId="36750167">
      <w:pPr>
        <w:pStyle w:val="196"/>
        <w:spacing w:line="520" w:lineRule="atLeast"/>
        <w:rPr>
          <w:rFonts w:ascii="宋体" w:hAnsi="宋体" w:cs="宋体"/>
          <w:color w:val="auto"/>
          <w:sz w:val="24"/>
          <w:highlight w:val="none"/>
        </w:rPr>
      </w:pPr>
      <w:r>
        <w:rPr>
          <w:rFonts w:hint="eastAsia" w:eastAsia="黑体"/>
          <w:color w:val="auto"/>
          <w:highlight w:val="none"/>
          <w:lang w:val="en-US" w:eastAsia="zh-CN"/>
        </w:rPr>
        <w:t>10</w:t>
      </w:r>
      <w:r>
        <w:rPr>
          <w:rFonts w:hint="eastAsia" w:eastAsia="黑体"/>
          <w:color w:val="auto"/>
          <w:highlight w:val="none"/>
        </w:rPr>
        <w:t>、</w:t>
      </w:r>
      <w:r>
        <w:rPr>
          <w:rFonts w:hint="eastAsia"/>
          <w:color w:val="auto"/>
          <w:highlight w:val="none"/>
        </w:rPr>
        <w:t>政府采购事前信用承诺书</w:t>
      </w:r>
      <w:bookmarkEnd w:id="245"/>
      <w:bookmarkEnd w:id="246"/>
      <w:bookmarkEnd w:id="247"/>
      <w:bookmarkEnd w:id="248"/>
    </w:p>
    <w:p w14:paraId="0750D528">
      <w:pPr>
        <w:widowControl/>
        <w:spacing w:line="520" w:lineRule="exact"/>
        <w:ind w:firstLine="480"/>
        <w:jc w:val="left"/>
        <w:rPr>
          <w:rFonts w:ascii="宋体" w:cs="宋体"/>
          <w:color w:val="auto"/>
          <w:sz w:val="24"/>
          <w:highlight w:val="none"/>
        </w:rPr>
      </w:pPr>
      <w:r>
        <w:rPr>
          <w:rFonts w:hint="eastAsia" w:ascii="宋体" w:hAnsi="宋体" w:cs="宋体"/>
          <w:color w:val="auto"/>
          <w:sz w:val="24"/>
          <w:highlight w:val="none"/>
        </w:rPr>
        <w:t>为营造我县公开、公平、公正、诚实守信的政府采购交易环境，树立诚信守法的投标人形象，本人代表本单位作出以下承诺：</w:t>
      </w:r>
    </w:p>
    <w:p w14:paraId="218E4363">
      <w:pPr>
        <w:widowControl/>
        <w:spacing w:line="520" w:lineRule="exact"/>
        <w:jc w:val="left"/>
        <w:rPr>
          <w:rFonts w:asci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一）本单位对所提交的企（事）业单位基本信息、企（事）业负责人、项目负责人、技术负责人、从业资质和资格、财务状况、信誉等所有资料，均合法、真实、准确、有效，无任何伪造、修改、虚假成份，并对所提供资料的真实性负责；</w:t>
      </w:r>
    </w:p>
    <w:p w14:paraId="3DCB9494">
      <w:pPr>
        <w:widowControl/>
        <w:spacing w:line="520" w:lineRule="exact"/>
        <w:ind w:firstLine="480"/>
        <w:jc w:val="left"/>
        <w:rPr>
          <w:rFonts w:ascii="宋体" w:cs="宋体"/>
          <w:color w:val="auto"/>
          <w:sz w:val="24"/>
          <w:highlight w:val="none"/>
        </w:rPr>
      </w:pPr>
      <w:r>
        <w:rPr>
          <w:rFonts w:hint="eastAsia" w:ascii="宋体" w:hAnsi="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88D8415">
      <w:pPr>
        <w:widowControl/>
        <w:spacing w:line="520" w:lineRule="exact"/>
        <w:jc w:val="left"/>
        <w:rPr>
          <w:rFonts w:asci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（三）严格依照国家和省、市关于政府采购的法律、法规、规章、规范性文件，参加政府采购投标活动；积极履行社会责任，促进廉政建设；</w:t>
      </w:r>
      <w:r>
        <w:rPr>
          <w:rFonts w:ascii="宋体" w:hAnsi="宋体" w:cs="宋体"/>
          <w:color w:val="auto"/>
          <w:sz w:val="24"/>
          <w:highlight w:val="none"/>
        </w:rPr>
        <w:t xml:space="preserve"> </w:t>
      </w:r>
    </w:p>
    <w:p w14:paraId="6224E46E">
      <w:pPr>
        <w:widowControl/>
        <w:spacing w:line="520" w:lineRule="exact"/>
        <w:jc w:val="left"/>
        <w:rPr>
          <w:rFonts w:asci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（四）严格遵守即时信息公示规定，及时更新维护</w:t>
      </w:r>
      <w:r>
        <w:rPr>
          <w:rFonts w:hint="eastAsia" w:ascii="宋体" w:hAnsi="宋体" w:cs="宋体"/>
          <w:color w:val="auto"/>
          <w:sz w:val="24"/>
          <w:highlight w:val="none"/>
          <w:lang w:val="en-US" w:eastAsia="zh-CN"/>
        </w:rPr>
        <w:t>盐城市</w:t>
      </w:r>
      <w:r>
        <w:rPr>
          <w:rFonts w:hint="eastAsia" w:ascii="宋体" w:hAnsi="宋体" w:cs="宋体"/>
          <w:color w:val="auto"/>
          <w:sz w:val="24"/>
          <w:highlight w:val="none"/>
        </w:rPr>
        <w:t>政府采购网中与本单位相关的信息；</w:t>
      </w:r>
    </w:p>
    <w:p w14:paraId="77926E87">
      <w:pPr>
        <w:widowControl/>
        <w:spacing w:line="520" w:lineRule="exact"/>
        <w:jc w:val="left"/>
        <w:rPr>
          <w:rFonts w:asci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61946A69">
      <w:pPr>
        <w:widowControl/>
        <w:spacing w:line="520" w:lineRule="exact"/>
        <w:jc w:val="left"/>
        <w:rPr>
          <w:rFonts w:asci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（六）自觉接受政府、行业组织、社会公众、新闻舆论的监督；</w:t>
      </w:r>
    </w:p>
    <w:p w14:paraId="0C91E091">
      <w:pPr>
        <w:widowControl/>
        <w:spacing w:line="520" w:lineRule="exact"/>
        <w:ind w:firstLine="480"/>
        <w:jc w:val="left"/>
        <w:rPr>
          <w:rFonts w:ascii="宋体" w:cs="宋体"/>
          <w:color w:val="auto"/>
          <w:sz w:val="24"/>
          <w:highlight w:val="none"/>
        </w:rPr>
      </w:pPr>
      <w:r>
        <w:rPr>
          <w:rFonts w:hint="eastAsia" w:ascii="宋体" w:hAnsi="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2DCED00B">
      <w:pPr>
        <w:widowControl/>
        <w:spacing w:line="520" w:lineRule="exact"/>
        <w:jc w:val="left"/>
        <w:rPr>
          <w:rFonts w:asci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（八）本人已认真阅读了上述承诺，并向本单位员工作了宣传教育。</w:t>
      </w:r>
    </w:p>
    <w:p w14:paraId="574F343A">
      <w:pPr>
        <w:widowControl/>
        <w:spacing w:line="520" w:lineRule="exact"/>
        <w:ind w:firstLine="480"/>
        <w:jc w:val="left"/>
        <w:rPr>
          <w:rFonts w:ascii="宋体" w:hAnsi="宋体" w:cs="宋体"/>
          <w:color w:val="auto"/>
          <w:sz w:val="24"/>
          <w:highlight w:val="none"/>
        </w:rPr>
      </w:pPr>
      <w:r>
        <w:rPr>
          <w:rFonts w:hint="eastAsia" w:ascii="宋体" w:hAnsi="宋体" w:cs="宋体"/>
          <w:color w:val="auto"/>
          <w:sz w:val="24"/>
          <w:highlight w:val="none"/>
        </w:rPr>
        <w:t>法定代表人（签名或盖章）：</w:t>
      </w:r>
    </w:p>
    <w:p w14:paraId="6D1BE748">
      <w:pPr>
        <w:widowControl/>
        <w:spacing w:before="100" w:beforeAutospacing="1" w:after="100" w:afterAutospacing="1"/>
        <w:ind w:firstLine="480"/>
        <w:jc w:val="left"/>
        <w:rPr>
          <w:rFonts w:ascii="宋体" w:hAnsi="宋体" w:cs="Segoe UI"/>
          <w:color w:val="auto"/>
          <w:sz w:val="24"/>
          <w:highlight w:val="none"/>
        </w:rPr>
      </w:pPr>
      <w:r>
        <w:rPr>
          <w:rFonts w:ascii="宋体" w:hAnsi="宋体" w:cs="Segoe UI"/>
          <w:color w:val="auto"/>
          <w:sz w:val="24"/>
          <w:highlight w:val="none"/>
        </w:rPr>
        <w:t>投标</w:t>
      </w:r>
      <w:r>
        <w:rPr>
          <w:rFonts w:hint="eastAsia" w:ascii="宋体" w:hAnsi="宋体" w:cs="Segoe UI"/>
          <w:color w:val="auto"/>
          <w:sz w:val="24"/>
          <w:highlight w:val="none"/>
        </w:rPr>
        <w:t>单位</w:t>
      </w:r>
      <w:r>
        <w:rPr>
          <w:rFonts w:ascii="宋体" w:hAnsi="宋体" w:cs="Segoe UI"/>
          <w:color w:val="auto"/>
          <w:sz w:val="24"/>
          <w:highlight w:val="none"/>
        </w:rPr>
        <w:t>(电子签章)</w:t>
      </w:r>
      <w:r>
        <w:rPr>
          <w:rFonts w:hint="eastAsia" w:ascii="宋体" w:hAnsi="宋体" w:cs="Segoe UI"/>
          <w:color w:val="auto"/>
          <w:sz w:val="24"/>
          <w:highlight w:val="none"/>
        </w:rPr>
        <w:t>：</w:t>
      </w:r>
    </w:p>
    <w:p w14:paraId="496CAA9E">
      <w:pPr>
        <w:widowControl/>
        <w:spacing w:line="520" w:lineRule="exact"/>
        <w:ind w:firstLine="480"/>
        <w:jc w:val="right"/>
        <w:rPr>
          <w:color w:val="auto"/>
          <w:highlight w:val="none"/>
        </w:rPr>
      </w:pPr>
      <w:r>
        <w:rPr>
          <w:rFonts w:hint="eastAsia" w:ascii="宋体" w:hAnsi="宋体" w:cs="宋体"/>
          <w:color w:val="auto"/>
          <w:sz w:val="24"/>
          <w:highlight w:val="none"/>
        </w:rPr>
        <w:t>日</w:t>
      </w:r>
      <w:r>
        <w:rPr>
          <w:rFonts w:ascii="宋体" w:hAnsi="宋体" w:cs="宋体"/>
          <w:color w:val="auto"/>
          <w:sz w:val="24"/>
          <w:highlight w:val="none"/>
        </w:rPr>
        <w:t xml:space="preserve">   </w:t>
      </w:r>
      <w:r>
        <w:rPr>
          <w:rFonts w:hint="eastAsia" w:ascii="宋体" w:hAnsi="宋体" w:cs="宋体"/>
          <w:color w:val="auto"/>
          <w:sz w:val="24"/>
          <w:highlight w:val="none"/>
        </w:rPr>
        <w:t>期：</w:t>
      </w:r>
      <w:r>
        <w:rPr>
          <w:rFonts w:ascii="宋体" w:hAnsi="宋体" w:cs="宋体"/>
          <w:color w:val="auto"/>
          <w:sz w:val="24"/>
          <w:highlight w:val="none"/>
        </w:rPr>
        <w:t xml:space="preserve">    </w:t>
      </w:r>
      <w:r>
        <w:rPr>
          <w:rFonts w:hint="eastAsia" w:ascii="宋体" w:hAnsi="宋体" w:cs="宋体"/>
          <w:color w:val="auto"/>
          <w:sz w:val="24"/>
          <w:highlight w:val="none"/>
        </w:rPr>
        <w:t>年</w:t>
      </w:r>
      <w:r>
        <w:rPr>
          <w:rFonts w:ascii="宋体" w:hAnsi="宋体" w:cs="宋体"/>
          <w:color w:val="auto"/>
          <w:sz w:val="24"/>
          <w:highlight w:val="none"/>
        </w:rPr>
        <w:t xml:space="preserve">    </w:t>
      </w:r>
      <w:r>
        <w:rPr>
          <w:rFonts w:hint="eastAsia" w:ascii="宋体" w:hAnsi="宋体" w:cs="宋体"/>
          <w:color w:val="auto"/>
          <w:sz w:val="24"/>
          <w:highlight w:val="none"/>
        </w:rPr>
        <w:t>月</w:t>
      </w:r>
      <w:r>
        <w:rPr>
          <w:rFonts w:ascii="宋体" w:hAnsi="宋体" w:cs="宋体"/>
          <w:color w:val="auto"/>
          <w:sz w:val="24"/>
          <w:highlight w:val="none"/>
        </w:rPr>
        <w:t xml:space="preserve">    </w:t>
      </w:r>
      <w:r>
        <w:rPr>
          <w:rFonts w:hint="eastAsia" w:ascii="宋体" w:hAnsi="宋体" w:cs="宋体"/>
          <w:color w:val="auto"/>
          <w:sz w:val="24"/>
          <w:highlight w:val="none"/>
        </w:rPr>
        <w:t>日</w:t>
      </w:r>
      <w:bookmarkStart w:id="249" w:name="_Toc101357909"/>
      <w:bookmarkEnd w:id="249"/>
      <w:bookmarkStart w:id="250" w:name="_Toc154670214"/>
      <w:bookmarkEnd w:id="250"/>
      <w:bookmarkStart w:id="251" w:name="_Toc68706659"/>
      <w:bookmarkEnd w:id="251"/>
      <w:bookmarkStart w:id="252" w:name="_Toc151374128"/>
      <w:bookmarkEnd w:id="252"/>
    </w:p>
    <w:p w14:paraId="09AC8BA4">
      <w:pPr>
        <w:spacing w:before="120" w:after="120" w:line="460" w:lineRule="exact"/>
        <w:jc w:val="center"/>
        <w:outlineLvl w:val="0"/>
        <w:rPr>
          <w:rFonts w:hint="eastAsia" w:ascii="黑体" w:hAnsi="黑体" w:eastAsia="黑体" w:cs="Times New Roman"/>
          <w:b/>
          <w:bCs/>
          <w:color w:val="auto"/>
          <w:sz w:val="32"/>
          <w:szCs w:val="32"/>
          <w:highlight w:val="none"/>
          <w:lang w:val="en-US" w:eastAsia="zh-CN" w:bidi="ar-SA"/>
        </w:rPr>
      </w:pPr>
      <w:bookmarkStart w:id="253" w:name="_Toc101342300"/>
      <w:bookmarkEnd w:id="253"/>
      <w:bookmarkStart w:id="254" w:name="_Toc101357911"/>
      <w:bookmarkEnd w:id="254"/>
      <w:bookmarkStart w:id="255" w:name="_Toc68706662"/>
      <w:bookmarkEnd w:id="255"/>
      <w:bookmarkStart w:id="256" w:name="_Toc101166970"/>
      <w:bookmarkEnd w:id="256"/>
      <w:bookmarkStart w:id="257" w:name="_Toc56582937"/>
      <w:bookmarkEnd w:id="257"/>
      <w:bookmarkStart w:id="258" w:name="_Toc151374135"/>
      <w:bookmarkStart w:id="259" w:name="_Toc154670221"/>
    </w:p>
    <w:p w14:paraId="442F81E9">
      <w:pPr>
        <w:spacing w:before="120" w:after="120" w:line="460" w:lineRule="exact"/>
        <w:jc w:val="center"/>
        <w:outlineLvl w:val="0"/>
        <w:rPr>
          <w:rFonts w:hint="eastAsia" w:ascii="黑体" w:hAnsi="黑体" w:eastAsia="黑体" w:cs="Times New Roman"/>
          <w:b/>
          <w:bCs/>
          <w:color w:val="auto"/>
          <w:sz w:val="32"/>
          <w:szCs w:val="32"/>
          <w:highlight w:val="none"/>
          <w:lang w:val="en-US" w:eastAsia="zh-CN" w:bidi="ar-SA"/>
        </w:rPr>
      </w:pPr>
      <w:r>
        <w:rPr>
          <w:rFonts w:hint="eastAsia" w:ascii="黑体" w:hAnsi="黑体" w:eastAsia="黑体" w:cs="Times New Roman"/>
          <w:b/>
          <w:bCs/>
          <w:color w:val="auto"/>
          <w:sz w:val="32"/>
          <w:szCs w:val="32"/>
          <w:highlight w:val="none"/>
          <w:lang w:val="en-US" w:eastAsia="zh-CN" w:bidi="ar-SA"/>
        </w:rPr>
        <w:t>11、</w:t>
      </w:r>
      <w:bookmarkEnd w:id="258"/>
      <w:bookmarkEnd w:id="259"/>
      <w:bookmarkStart w:id="260" w:name="_Toc151374398"/>
      <w:bookmarkStart w:id="261" w:name="_Toc151374136"/>
      <w:bookmarkStart w:id="262" w:name="_Toc154670222"/>
      <w:r>
        <w:rPr>
          <w:rFonts w:hint="eastAsia" w:ascii="黑体" w:hAnsi="黑体" w:eastAsia="黑体" w:cs="Times New Roman"/>
          <w:b/>
          <w:bCs/>
          <w:color w:val="auto"/>
          <w:sz w:val="32"/>
          <w:szCs w:val="32"/>
          <w:highlight w:val="none"/>
          <w:lang w:val="en-US" w:eastAsia="zh-CN" w:bidi="ar-SA"/>
        </w:rPr>
        <w:t>投标人按评分标准要求分点表述，格式自拟</w:t>
      </w:r>
    </w:p>
    <w:p w14:paraId="230D3052">
      <w:pPr>
        <w:spacing w:before="120" w:after="120" w:line="460" w:lineRule="exact"/>
        <w:jc w:val="center"/>
        <w:outlineLvl w:val="0"/>
        <w:rPr>
          <w:rFonts w:ascii="宋体" w:hAnsi="宋体" w:cs="宋体"/>
          <w:color w:val="auto"/>
          <w:sz w:val="28"/>
          <w:szCs w:val="28"/>
          <w:highlight w:val="none"/>
        </w:rPr>
      </w:pPr>
    </w:p>
    <w:p w14:paraId="05CF7F83">
      <w:pPr>
        <w:spacing w:before="120" w:after="120" w:line="460" w:lineRule="exact"/>
        <w:jc w:val="center"/>
        <w:outlineLvl w:val="0"/>
        <w:rPr>
          <w:rFonts w:ascii="宋体" w:hAnsi="宋体" w:cs="宋体"/>
          <w:color w:val="auto"/>
          <w:sz w:val="28"/>
          <w:szCs w:val="28"/>
          <w:highlight w:val="none"/>
        </w:rPr>
      </w:pPr>
      <w:r>
        <w:rPr>
          <w:rFonts w:hint="eastAsia" w:ascii="宋体" w:hAnsi="宋体" w:cs="宋体"/>
          <w:color w:val="auto"/>
          <w:sz w:val="28"/>
          <w:szCs w:val="28"/>
          <w:highlight w:val="none"/>
        </w:rPr>
        <w:t>（</w:t>
      </w:r>
      <w:r>
        <w:rPr>
          <w:rFonts w:hint="eastAsia" w:ascii="宋体" w:hAnsi="宋体" w:cs="宋体"/>
          <w:color w:val="auto"/>
          <w:sz w:val="28"/>
          <w:szCs w:val="28"/>
          <w:highlight w:val="none"/>
          <w:lang w:val="en-US" w:eastAsia="zh-CN"/>
        </w:rPr>
        <w:t>供应商</w:t>
      </w:r>
      <w:r>
        <w:rPr>
          <w:rFonts w:hint="eastAsia" w:ascii="宋体" w:hAnsi="宋体" w:cs="宋体"/>
          <w:color w:val="auto"/>
          <w:sz w:val="28"/>
          <w:szCs w:val="28"/>
          <w:highlight w:val="none"/>
        </w:rPr>
        <w:t>根据评标细则中的相关要求自行编制，格式自制）</w:t>
      </w:r>
      <w:bookmarkEnd w:id="260"/>
      <w:bookmarkEnd w:id="261"/>
      <w:bookmarkEnd w:id="262"/>
    </w:p>
    <w:p w14:paraId="5129BC86">
      <w:pPr>
        <w:spacing w:before="120" w:after="120" w:line="460" w:lineRule="exact"/>
        <w:jc w:val="center"/>
        <w:outlineLvl w:val="0"/>
        <w:rPr>
          <w:rFonts w:ascii="宋体" w:hAnsi="宋体" w:cs="宋体"/>
          <w:color w:val="auto"/>
          <w:sz w:val="28"/>
          <w:szCs w:val="28"/>
          <w:highlight w:val="none"/>
        </w:rPr>
      </w:pPr>
    </w:p>
    <w:p w14:paraId="13F97D94">
      <w:pPr>
        <w:spacing w:before="120" w:after="120" w:line="460" w:lineRule="exact"/>
        <w:jc w:val="center"/>
        <w:outlineLvl w:val="0"/>
        <w:rPr>
          <w:rFonts w:ascii="宋体" w:hAnsi="宋体" w:cs="宋体"/>
          <w:color w:val="auto"/>
          <w:sz w:val="28"/>
          <w:szCs w:val="28"/>
          <w:highlight w:val="none"/>
        </w:rPr>
      </w:pPr>
    </w:p>
    <w:p w14:paraId="05E39611">
      <w:pPr>
        <w:spacing w:before="120" w:after="120" w:line="460" w:lineRule="exact"/>
        <w:jc w:val="center"/>
        <w:outlineLvl w:val="0"/>
        <w:rPr>
          <w:rFonts w:ascii="宋体" w:hAnsi="宋体" w:cs="宋体"/>
          <w:color w:val="auto"/>
          <w:sz w:val="28"/>
          <w:szCs w:val="28"/>
          <w:highlight w:val="none"/>
        </w:rPr>
      </w:pPr>
    </w:p>
    <w:p w14:paraId="5E275471">
      <w:pPr>
        <w:spacing w:before="120" w:after="120" w:line="460" w:lineRule="exact"/>
        <w:jc w:val="center"/>
        <w:outlineLvl w:val="0"/>
        <w:rPr>
          <w:rFonts w:ascii="宋体" w:hAnsi="宋体" w:cs="宋体"/>
          <w:color w:val="auto"/>
          <w:sz w:val="28"/>
          <w:szCs w:val="28"/>
          <w:highlight w:val="none"/>
        </w:rPr>
      </w:pPr>
    </w:p>
    <w:p w14:paraId="13B4AE88">
      <w:pPr>
        <w:spacing w:before="120" w:after="120" w:line="460" w:lineRule="exact"/>
        <w:jc w:val="center"/>
        <w:outlineLvl w:val="0"/>
        <w:rPr>
          <w:rFonts w:ascii="宋体" w:hAnsi="宋体" w:cs="宋体"/>
          <w:color w:val="auto"/>
          <w:sz w:val="28"/>
          <w:szCs w:val="28"/>
          <w:highlight w:val="none"/>
        </w:rPr>
      </w:pPr>
    </w:p>
    <w:p w14:paraId="60E71553">
      <w:pPr>
        <w:spacing w:before="120" w:after="120" w:line="460" w:lineRule="exact"/>
        <w:jc w:val="center"/>
        <w:outlineLvl w:val="0"/>
        <w:rPr>
          <w:rFonts w:ascii="宋体" w:hAnsi="宋体" w:cs="宋体"/>
          <w:color w:val="auto"/>
          <w:sz w:val="28"/>
          <w:szCs w:val="28"/>
          <w:highlight w:val="none"/>
        </w:rPr>
      </w:pPr>
    </w:p>
    <w:p w14:paraId="6E81021D">
      <w:pPr>
        <w:spacing w:before="120" w:after="120" w:line="460" w:lineRule="exact"/>
        <w:jc w:val="center"/>
        <w:outlineLvl w:val="0"/>
        <w:rPr>
          <w:rFonts w:ascii="宋体" w:hAnsi="宋体" w:cs="宋体"/>
          <w:color w:val="auto"/>
          <w:sz w:val="28"/>
          <w:szCs w:val="28"/>
          <w:highlight w:val="none"/>
        </w:rPr>
      </w:pPr>
    </w:p>
    <w:p w14:paraId="74E02BF0">
      <w:pPr>
        <w:spacing w:before="120" w:after="120" w:line="460" w:lineRule="exact"/>
        <w:jc w:val="center"/>
        <w:outlineLvl w:val="0"/>
        <w:rPr>
          <w:rFonts w:ascii="宋体" w:hAnsi="宋体" w:cs="宋体"/>
          <w:color w:val="auto"/>
          <w:sz w:val="28"/>
          <w:szCs w:val="28"/>
          <w:highlight w:val="none"/>
        </w:rPr>
      </w:pPr>
    </w:p>
    <w:p w14:paraId="6A29D89C">
      <w:pPr>
        <w:spacing w:before="120" w:after="120" w:line="460" w:lineRule="exact"/>
        <w:jc w:val="center"/>
        <w:outlineLvl w:val="0"/>
        <w:rPr>
          <w:rFonts w:ascii="宋体" w:hAnsi="宋体" w:cs="宋体"/>
          <w:color w:val="auto"/>
          <w:sz w:val="28"/>
          <w:szCs w:val="28"/>
          <w:highlight w:val="none"/>
        </w:rPr>
      </w:pPr>
    </w:p>
    <w:p w14:paraId="4B49B4C7">
      <w:pPr>
        <w:spacing w:before="120" w:after="120" w:line="460" w:lineRule="exact"/>
        <w:jc w:val="center"/>
        <w:outlineLvl w:val="0"/>
        <w:rPr>
          <w:rFonts w:ascii="宋体" w:hAnsi="宋体" w:cs="宋体"/>
          <w:color w:val="auto"/>
          <w:sz w:val="28"/>
          <w:szCs w:val="28"/>
          <w:highlight w:val="none"/>
        </w:rPr>
      </w:pPr>
    </w:p>
    <w:p w14:paraId="2653DB8B">
      <w:pPr>
        <w:spacing w:before="120" w:after="120" w:line="460" w:lineRule="exact"/>
        <w:jc w:val="center"/>
        <w:outlineLvl w:val="0"/>
        <w:rPr>
          <w:rFonts w:ascii="宋体" w:hAnsi="宋体" w:cs="宋体"/>
          <w:color w:val="auto"/>
          <w:sz w:val="28"/>
          <w:szCs w:val="28"/>
          <w:highlight w:val="none"/>
        </w:rPr>
      </w:pPr>
    </w:p>
    <w:p w14:paraId="6123E697">
      <w:pPr>
        <w:spacing w:before="120" w:after="120" w:line="460" w:lineRule="exact"/>
        <w:jc w:val="center"/>
        <w:outlineLvl w:val="0"/>
        <w:rPr>
          <w:rFonts w:ascii="宋体" w:hAnsi="宋体" w:cs="宋体"/>
          <w:color w:val="auto"/>
          <w:sz w:val="28"/>
          <w:szCs w:val="28"/>
          <w:highlight w:val="none"/>
        </w:rPr>
      </w:pPr>
    </w:p>
    <w:p w14:paraId="7FFCACBF">
      <w:pPr>
        <w:spacing w:before="120" w:after="120" w:line="460" w:lineRule="exact"/>
        <w:jc w:val="center"/>
        <w:outlineLvl w:val="0"/>
        <w:rPr>
          <w:rFonts w:ascii="宋体" w:hAnsi="宋体" w:cs="宋体"/>
          <w:color w:val="auto"/>
          <w:sz w:val="28"/>
          <w:szCs w:val="28"/>
          <w:highlight w:val="none"/>
        </w:rPr>
      </w:pPr>
    </w:p>
    <w:p w14:paraId="429C1B13">
      <w:pPr>
        <w:spacing w:before="120" w:after="120" w:line="460" w:lineRule="exact"/>
        <w:jc w:val="center"/>
        <w:outlineLvl w:val="0"/>
        <w:rPr>
          <w:rFonts w:ascii="宋体" w:hAnsi="宋体" w:cs="宋体"/>
          <w:color w:val="auto"/>
          <w:sz w:val="28"/>
          <w:szCs w:val="28"/>
          <w:highlight w:val="none"/>
        </w:rPr>
      </w:pPr>
    </w:p>
    <w:p w14:paraId="3E3D0110">
      <w:pPr>
        <w:spacing w:before="120" w:after="120" w:line="460" w:lineRule="exact"/>
        <w:jc w:val="center"/>
        <w:outlineLvl w:val="0"/>
        <w:rPr>
          <w:rFonts w:ascii="宋体" w:hAnsi="宋体" w:cs="宋体"/>
          <w:color w:val="auto"/>
          <w:sz w:val="28"/>
          <w:szCs w:val="28"/>
          <w:highlight w:val="none"/>
        </w:rPr>
      </w:pPr>
    </w:p>
    <w:p w14:paraId="2CC012B8">
      <w:pPr>
        <w:spacing w:before="120" w:after="120" w:line="460" w:lineRule="exact"/>
        <w:jc w:val="center"/>
        <w:outlineLvl w:val="0"/>
        <w:rPr>
          <w:rFonts w:ascii="宋体" w:hAnsi="宋体" w:cs="宋体"/>
          <w:color w:val="auto"/>
          <w:sz w:val="28"/>
          <w:szCs w:val="28"/>
          <w:highlight w:val="none"/>
        </w:rPr>
      </w:pPr>
    </w:p>
    <w:p w14:paraId="44DCD7DF">
      <w:pPr>
        <w:spacing w:before="120" w:after="120" w:line="460" w:lineRule="exact"/>
        <w:jc w:val="center"/>
        <w:outlineLvl w:val="0"/>
        <w:rPr>
          <w:rFonts w:ascii="宋体" w:hAnsi="宋体" w:cs="宋体"/>
          <w:color w:val="auto"/>
          <w:sz w:val="28"/>
          <w:szCs w:val="28"/>
          <w:highlight w:val="none"/>
        </w:rPr>
      </w:pPr>
    </w:p>
    <w:p w14:paraId="52BBCDC4">
      <w:pPr>
        <w:spacing w:line="480" w:lineRule="exact"/>
        <w:jc w:val="left"/>
        <w:rPr>
          <w:rFonts w:ascii="宋体" w:hAnsi="宋体" w:cs="宋体"/>
          <w:color w:val="auto"/>
          <w:sz w:val="24"/>
          <w:highlight w:val="none"/>
        </w:rPr>
      </w:pPr>
    </w:p>
    <w:p w14:paraId="1AB79CD2">
      <w:pPr>
        <w:rPr>
          <w:color w:val="auto"/>
          <w:highlight w:val="none"/>
        </w:rPr>
      </w:pPr>
    </w:p>
    <w:p w14:paraId="26FFC66C">
      <w:pPr>
        <w:spacing w:before="240" w:after="120"/>
        <w:jc w:val="center"/>
        <w:rPr>
          <w:rFonts w:hint="eastAsia" w:ascii="Arial" w:hAnsi="宋体" w:eastAsia="宋体"/>
          <w:b/>
          <w:bCs/>
          <w:color w:val="auto"/>
          <w:sz w:val="32"/>
          <w:szCs w:val="32"/>
          <w:highlight w:val="none"/>
        </w:rPr>
      </w:pPr>
    </w:p>
    <w:p w14:paraId="4B784CD9">
      <w:pPr>
        <w:spacing w:before="120" w:after="120" w:line="460" w:lineRule="exact"/>
        <w:jc w:val="center"/>
        <w:outlineLvl w:val="0"/>
        <w:rPr>
          <w:rFonts w:hint="eastAsia" w:ascii="黑体" w:hAnsi="黑体" w:eastAsia="黑体" w:cs="Times New Roman"/>
          <w:b/>
          <w:bCs/>
          <w:color w:val="auto"/>
          <w:sz w:val="32"/>
          <w:szCs w:val="32"/>
          <w:highlight w:val="none"/>
          <w:lang w:val="en-US" w:eastAsia="zh-CN" w:bidi="ar-SA"/>
        </w:rPr>
      </w:pPr>
    </w:p>
    <w:p w14:paraId="264392C1">
      <w:pPr>
        <w:spacing w:before="120" w:after="120" w:line="460" w:lineRule="exact"/>
        <w:jc w:val="center"/>
        <w:outlineLvl w:val="0"/>
        <w:rPr>
          <w:rFonts w:hint="eastAsia" w:ascii="黑体" w:hAnsi="黑体" w:eastAsia="黑体" w:cs="Times New Roman"/>
          <w:b/>
          <w:bCs/>
          <w:color w:val="auto"/>
          <w:sz w:val="32"/>
          <w:szCs w:val="32"/>
          <w:highlight w:val="none"/>
          <w:lang w:val="en-US" w:eastAsia="zh-CN" w:bidi="ar-SA"/>
        </w:rPr>
      </w:pPr>
      <w:r>
        <w:rPr>
          <w:rFonts w:hint="eastAsia" w:ascii="黑体" w:hAnsi="黑体" w:eastAsia="黑体" w:cs="Times New Roman"/>
          <w:b/>
          <w:bCs/>
          <w:color w:val="auto"/>
          <w:sz w:val="32"/>
          <w:szCs w:val="32"/>
          <w:highlight w:val="none"/>
          <w:lang w:val="en-US" w:eastAsia="zh-CN" w:bidi="ar-SA"/>
        </w:rPr>
        <w:t>12、拟派项目组成员资格证明材料</w:t>
      </w:r>
    </w:p>
    <w:tbl>
      <w:tblPr>
        <w:tblStyle w:val="40"/>
        <w:tblpPr w:leftFromText="180" w:rightFromText="180" w:vertAnchor="text" w:horzAnchor="page" w:tblpX="1257" w:tblpY="120"/>
        <w:tblW w:w="9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900"/>
        <w:gridCol w:w="788"/>
        <w:gridCol w:w="931"/>
        <w:gridCol w:w="809"/>
        <w:gridCol w:w="935"/>
        <w:gridCol w:w="1212"/>
        <w:gridCol w:w="2593"/>
      </w:tblGrid>
      <w:tr w14:paraId="2D99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875" w:type="dxa"/>
            <w:tcBorders>
              <w:top w:val="single" w:color="auto" w:sz="4" w:space="0"/>
              <w:left w:val="single" w:color="auto" w:sz="4" w:space="0"/>
              <w:bottom w:val="single" w:color="auto" w:sz="4" w:space="0"/>
              <w:right w:val="single" w:color="auto" w:sz="4" w:space="0"/>
            </w:tcBorders>
            <w:noWrap w:val="0"/>
            <w:vAlign w:val="center"/>
          </w:tcPr>
          <w:p w14:paraId="628313E0">
            <w:pPr>
              <w:jc w:val="center"/>
              <w:rPr>
                <w:rFonts w:hAnsi="宋体" w:cs="宋体"/>
                <w:color w:val="auto"/>
                <w:sz w:val="24"/>
                <w:szCs w:val="21"/>
                <w:highlight w:val="none"/>
              </w:rPr>
            </w:pPr>
            <w:r>
              <w:rPr>
                <w:rFonts w:hint="eastAsia" w:hAnsi="宋体" w:cs="宋体"/>
                <w:color w:val="auto"/>
                <w:sz w:val="24"/>
                <w:szCs w:val="21"/>
                <w:highlight w:val="none"/>
              </w:rPr>
              <w:t>序号</w:t>
            </w:r>
          </w:p>
        </w:tc>
        <w:tc>
          <w:tcPr>
            <w:tcW w:w="900" w:type="dxa"/>
            <w:tcBorders>
              <w:top w:val="single" w:color="auto" w:sz="4" w:space="0"/>
              <w:left w:val="single" w:color="auto" w:sz="4" w:space="0"/>
              <w:bottom w:val="single" w:color="auto" w:sz="4" w:space="0"/>
              <w:right w:val="single" w:color="auto" w:sz="4" w:space="0"/>
            </w:tcBorders>
            <w:noWrap w:val="0"/>
            <w:vAlign w:val="center"/>
          </w:tcPr>
          <w:p w14:paraId="016EAC9A">
            <w:pPr>
              <w:jc w:val="center"/>
              <w:rPr>
                <w:rFonts w:hAnsi="宋体" w:cs="宋体"/>
                <w:color w:val="auto"/>
                <w:sz w:val="24"/>
                <w:szCs w:val="21"/>
                <w:highlight w:val="none"/>
              </w:rPr>
            </w:pPr>
            <w:r>
              <w:rPr>
                <w:rFonts w:hint="eastAsia" w:hAnsi="宋体" w:cs="宋体"/>
                <w:color w:val="auto"/>
                <w:sz w:val="24"/>
                <w:szCs w:val="21"/>
                <w:highlight w:val="none"/>
              </w:rPr>
              <w:t>姓名</w:t>
            </w:r>
          </w:p>
        </w:tc>
        <w:tc>
          <w:tcPr>
            <w:tcW w:w="788" w:type="dxa"/>
            <w:tcBorders>
              <w:top w:val="single" w:color="auto" w:sz="4" w:space="0"/>
              <w:left w:val="single" w:color="auto" w:sz="4" w:space="0"/>
              <w:bottom w:val="single" w:color="auto" w:sz="4" w:space="0"/>
              <w:right w:val="single" w:color="auto" w:sz="4" w:space="0"/>
            </w:tcBorders>
            <w:noWrap w:val="0"/>
            <w:vAlign w:val="center"/>
          </w:tcPr>
          <w:p w14:paraId="6E4E04E0">
            <w:pPr>
              <w:jc w:val="center"/>
              <w:rPr>
                <w:rFonts w:hAnsi="宋体" w:cs="宋体"/>
                <w:color w:val="auto"/>
                <w:sz w:val="24"/>
                <w:szCs w:val="21"/>
                <w:highlight w:val="none"/>
              </w:rPr>
            </w:pPr>
            <w:r>
              <w:rPr>
                <w:rFonts w:hint="eastAsia" w:hAnsi="宋体" w:cs="宋体"/>
                <w:color w:val="auto"/>
                <w:sz w:val="24"/>
                <w:szCs w:val="21"/>
                <w:highlight w:val="none"/>
              </w:rPr>
              <w:t>性别</w:t>
            </w:r>
          </w:p>
        </w:tc>
        <w:tc>
          <w:tcPr>
            <w:tcW w:w="931" w:type="dxa"/>
            <w:tcBorders>
              <w:top w:val="single" w:color="auto" w:sz="4" w:space="0"/>
              <w:left w:val="single" w:color="auto" w:sz="4" w:space="0"/>
              <w:bottom w:val="single" w:color="auto" w:sz="4" w:space="0"/>
              <w:right w:val="single" w:color="auto" w:sz="4" w:space="0"/>
            </w:tcBorders>
            <w:noWrap w:val="0"/>
            <w:vAlign w:val="center"/>
          </w:tcPr>
          <w:p w14:paraId="64113DBD">
            <w:pPr>
              <w:jc w:val="center"/>
              <w:rPr>
                <w:rFonts w:hAnsi="宋体" w:cs="宋体"/>
                <w:color w:val="auto"/>
                <w:sz w:val="24"/>
                <w:szCs w:val="21"/>
                <w:highlight w:val="none"/>
              </w:rPr>
            </w:pPr>
            <w:r>
              <w:rPr>
                <w:rFonts w:hint="eastAsia" w:hAnsi="宋体" w:cs="宋体"/>
                <w:color w:val="auto"/>
                <w:sz w:val="24"/>
                <w:szCs w:val="21"/>
                <w:highlight w:val="none"/>
              </w:rPr>
              <w:t>出生</w:t>
            </w:r>
          </w:p>
          <w:p w14:paraId="2CBA05DB">
            <w:pPr>
              <w:jc w:val="center"/>
              <w:rPr>
                <w:rFonts w:hAnsi="宋体" w:cs="宋体"/>
                <w:color w:val="auto"/>
                <w:sz w:val="24"/>
                <w:szCs w:val="21"/>
                <w:highlight w:val="none"/>
              </w:rPr>
            </w:pPr>
            <w:r>
              <w:rPr>
                <w:rFonts w:hint="eastAsia" w:hAnsi="宋体" w:cs="宋体"/>
                <w:color w:val="auto"/>
                <w:sz w:val="24"/>
                <w:szCs w:val="21"/>
                <w:highlight w:val="none"/>
              </w:rPr>
              <w:t>日期</w:t>
            </w:r>
          </w:p>
        </w:tc>
        <w:tc>
          <w:tcPr>
            <w:tcW w:w="809" w:type="dxa"/>
            <w:tcBorders>
              <w:top w:val="single" w:color="auto" w:sz="4" w:space="0"/>
              <w:left w:val="single" w:color="auto" w:sz="4" w:space="0"/>
              <w:bottom w:val="single" w:color="auto" w:sz="4" w:space="0"/>
              <w:right w:val="single" w:color="auto" w:sz="4" w:space="0"/>
            </w:tcBorders>
            <w:noWrap w:val="0"/>
            <w:vAlign w:val="center"/>
          </w:tcPr>
          <w:p w14:paraId="5A2F9D4F">
            <w:pPr>
              <w:jc w:val="center"/>
              <w:rPr>
                <w:rFonts w:hAnsi="宋体" w:cs="宋体"/>
                <w:color w:val="auto"/>
                <w:sz w:val="24"/>
                <w:szCs w:val="21"/>
                <w:highlight w:val="none"/>
              </w:rPr>
            </w:pPr>
            <w:r>
              <w:rPr>
                <w:rFonts w:hint="eastAsia" w:hAnsi="宋体" w:cs="宋体"/>
                <w:color w:val="auto"/>
                <w:sz w:val="24"/>
                <w:szCs w:val="21"/>
                <w:highlight w:val="none"/>
              </w:rPr>
              <w:t>学历</w:t>
            </w:r>
          </w:p>
        </w:tc>
        <w:tc>
          <w:tcPr>
            <w:tcW w:w="935" w:type="dxa"/>
            <w:tcBorders>
              <w:top w:val="single" w:color="auto" w:sz="4" w:space="0"/>
              <w:left w:val="single" w:color="auto" w:sz="4" w:space="0"/>
              <w:bottom w:val="single" w:color="auto" w:sz="4" w:space="0"/>
              <w:right w:val="single" w:color="auto" w:sz="4" w:space="0"/>
            </w:tcBorders>
            <w:noWrap w:val="0"/>
            <w:vAlign w:val="center"/>
          </w:tcPr>
          <w:p w14:paraId="515573B5">
            <w:pPr>
              <w:jc w:val="center"/>
              <w:rPr>
                <w:rFonts w:hAnsi="宋体" w:cs="宋体"/>
                <w:color w:val="auto"/>
                <w:sz w:val="24"/>
                <w:szCs w:val="21"/>
                <w:highlight w:val="none"/>
              </w:rPr>
            </w:pPr>
            <w:r>
              <w:rPr>
                <w:rFonts w:hint="eastAsia" w:hAnsi="宋体" w:cs="宋体"/>
                <w:color w:val="auto"/>
                <w:sz w:val="24"/>
                <w:szCs w:val="21"/>
                <w:highlight w:val="none"/>
              </w:rPr>
              <w:t>专业</w:t>
            </w:r>
          </w:p>
        </w:tc>
        <w:tc>
          <w:tcPr>
            <w:tcW w:w="1212" w:type="dxa"/>
            <w:tcBorders>
              <w:top w:val="single" w:color="auto" w:sz="4" w:space="0"/>
              <w:left w:val="single" w:color="auto" w:sz="4" w:space="0"/>
              <w:bottom w:val="single" w:color="auto" w:sz="4" w:space="0"/>
              <w:right w:val="single" w:color="auto" w:sz="4" w:space="0"/>
            </w:tcBorders>
            <w:noWrap w:val="0"/>
            <w:vAlign w:val="center"/>
          </w:tcPr>
          <w:p w14:paraId="66538E3A">
            <w:pPr>
              <w:jc w:val="center"/>
              <w:rPr>
                <w:rFonts w:hAnsi="宋体" w:cs="宋体"/>
                <w:color w:val="auto"/>
                <w:sz w:val="24"/>
                <w:szCs w:val="21"/>
                <w:highlight w:val="none"/>
              </w:rPr>
            </w:pPr>
            <w:r>
              <w:rPr>
                <w:rFonts w:hint="eastAsia" w:hAnsi="宋体" w:cs="宋体"/>
                <w:color w:val="auto"/>
                <w:sz w:val="24"/>
                <w:szCs w:val="21"/>
                <w:highlight w:val="none"/>
              </w:rPr>
              <w:t>技术职称</w:t>
            </w:r>
          </w:p>
        </w:tc>
        <w:tc>
          <w:tcPr>
            <w:tcW w:w="2593" w:type="dxa"/>
            <w:tcBorders>
              <w:top w:val="single" w:color="auto" w:sz="4" w:space="0"/>
              <w:left w:val="single" w:color="auto" w:sz="4" w:space="0"/>
              <w:bottom w:val="single" w:color="auto" w:sz="4" w:space="0"/>
              <w:right w:val="single" w:color="auto" w:sz="4" w:space="0"/>
            </w:tcBorders>
            <w:noWrap w:val="0"/>
            <w:vAlign w:val="center"/>
          </w:tcPr>
          <w:p w14:paraId="6486DB1D">
            <w:pPr>
              <w:jc w:val="center"/>
              <w:rPr>
                <w:rFonts w:hAnsi="宋体" w:cs="宋体"/>
                <w:color w:val="auto"/>
                <w:sz w:val="24"/>
                <w:szCs w:val="21"/>
                <w:highlight w:val="none"/>
              </w:rPr>
            </w:pPr>
            <w:r>
              <w:rPr>
                <w:rFonts w:hint="eastAsia" w:hAnsi="宋体" w:cs="宋体"/>
                <w:color w:val="auto"/>
                <w:sz w:val="24"/>
                <w:szCs w:val="21"/>
                <w:highlight w:val="none"/>
              </w:rPr>
              <w:t>在本项目拟任职务</w:t>
            </w:r>
          </w:p>
        </w:tc>
      </w:tr>
      <w:tr w14:paraId="01D87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trPr>
        <w:tc>
          <w:tcPr>
            <w:tcW w:w="875" w:type="dxa"/>
            <w:tcBorders>
              <w:top w:val="single" w:color="auto" w:sz="4" w:space="0"/>
              <w:left w:val="single" w:color="auto" w:sz="4" w:space="0"/>
              <w:bottom w:val="single" w:color="auto" w:sz="4" w:space="0"/>
              <w:right w:val="single" w:color="auto" w:sz="4" w:space="0"/>
            </w:tcBorders>
            <w:noWrap w:val="0"/>
            <w:vAlign w:val="center"/>
          </w:tcPr>
          <w:p w14:paraId="4743A0A1">
            <w:pPr>
              <w:jc w:val="center"/>
              <w:rPr>
                <w:rFonts w:hAnsi="宋体" w:cs="宋体"/>
                <w:color w:val="auto"/>
                <w:sz w:val="24"/>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6060179B">
            <w:pPr>
              <w:jc w:val="center"/>
              <w:rPr>
                <w:rFonts w:hAnsi="宋体" w:cs="宋体"/>
                <w:color w:val="auto"/>
                <w:sz w:val="24"/>
                <w:szCs w:val="21"/>
                <w:highlight w:val="none"/>
              </w:rPr>
            </w:pPr>
          </w:p>
        </w:tc>
        <w:tc>
          <w:tcPr>
            <w:tcW w:w="788" w:type="dxa"/>
            <w:tcBorders>
              <w:top w:val="single" w:color="auto" w:sz="4" w:space="0"/>
              <w:left w:val="single" w:color="auto" w:sz="4" w:space="0"/>
              <w:bottom w:val="single" w:color="auto" w:sz="4" w:space="0"/>
              <w:right w:val="single" w:color="auto" w:sz="4" w:space="0"/>
            </w:tcBorders>
            <w:noWrap w:val="0"/>
            <w:vAlign w:val="center"/>
          </w:tcPr>
          <w:p w14:paraId="70654F79">
            <w:pPr>
              <w:jc w:val="center"/>
              <w:rPr>
                <w:rFonts w:hAnsi="宋体" w:cs="宋体"/>
                <w:color w:val="auto"/>
                <w:sz w:val="24"/>
                <w:szCs w:val="21"/>
                <w:highlight w:val="none"/>
              </w:rPr>
            </w:pPr>
          </w:p>
        </w:tc>
        <w:tc>
          <w:tcPr>
            <w:tcW w:w="931" w:type="dxa"/>
            <w:tcBorders>
              <w:top w:val="single" w:color="auto" w:sz="4" w:space="0"/>
              <w:left w:val="single" w:color="auto" w:sz="4" w:space="0"/>
              <w:bottom w:val="single" w:color="auto" w:sz="4" w:space="0"/>
              <w:right w:val="single" w:color="auto" w:sz="4" w:space="0"/>
            </w:tcBorders>
            <w:noWrap w:val="0"/>
            <w:vAlign w:val="center"/>
          </w:tcPr>
          <w:p w14:paraId="0EF2D0BC">
            <w:pPr>
              <w:jc w:val="center"/>
              <w:rPr>
                <w:rFonts w:hAnsi="宋体" w:cs="宋体"/>
                <w:color w:val="auto"/>
                <w:sz w:val="24"/>
                <w:szCs w:val="21"/>
                <w:highlight w:val="none"/>
              </w:rPr>
            </w:pPr>
          </w:p>
        </w:tc>
        <w:tc>
          <w:tcPr>
            <w:tcW w:w="809" w:type="dxa"/>
            <w:tcBorders>
              <w:top w:val="single" w:color="auto" w:sz="4" w:space="0"/>
              <w:left w:val="single" w:color="auto" w:sz="4" w:space="0"/>
              <w:bottom w:val="single" w:color="auto" w:sz="4" w:space="0"/>
              <w:right w:val="single" w:color="auto" w:sz="4" w:space="0"/>
            </w:tcBorders>
            <w:noWrap w:val="0"/>
            <w:vAlign w:val="center"/>
          </w:tcPr>
          <w:p w14:paraId="49426CF2">
            <w:pPr>
              <w:jc w:val="center"/>
              <w:rPr>
                <w:rFonts w:hAnsi="宋体" w:cs="宋体"/>
                <w:color w:val="auto"/>
                <w:sz w:val="24"/>
                <w:szCs w:val="21"/>
                <w:highlight w:val="none"/>
              </w:rPr>
            </w:pPr>
          </w:p>
        </w:tc>
        <w:tc>
          <w:tcPr>
            <w:tcW w:w="935" w:type="dxa"/>
            <w:tcBorders>
              <w:top w:val="single" w:color="auto" w:sz="4" w:space="0"/>
              <w:left w:val="single" w:color="auto" w:sz="4" w:space="0"/>
              <w:bottom w:val="single" w:color="auto" w:sz="4" w:space="0"/>
              <w:right w:val="single" w:color="auto" w:sz="4" w:space="0"/>
            </w:tcBorders>
            <w:noWrap w:val="0"/>
            <w:vAlign w:val="center"/>
          </w:tcPr>
          <w:p w14:paraId="62049FC2">
            <w:pPr>
              <w:jc w:val="center"/>
              <w:rPr>
                <w:rFonts w:hAnsi="宋体" w:cs="宋体"/>
                <w:color w:val="auto"/>
                <w:sz w:val="24"/>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0"/>
            <w:vAlign w:val="center"/>
          </w:tcPr>
          <w:p w14:paraId="008D8570">
            <w:pPr>
              <w:jc w:val="center"/>
              <w:rPr>
                <w:rFonts w:hAnsi="宋体" w:cs="宋体"/>
                <w:color w:val="auto"/>
                <w:sz w:val="24"/>
                <w:szCs w:val="21"/>
                <w:highlight w:val="none"/>
              </w:rPr>
            </w:pPr>
          </w:p>
        </w:tc>
        <w:tc>
          <w:tcPr>
            <w:tcW w:w="2593" w:type="dxa"/>
            <w:tcBorders>
              <w:top w:val="single" w:color="auto" w:sz="4" w:space="0"/>
              <w:left w:val="single" w:color="auto" w:sz="4" w:space="0"/>
              <w:bottom w:val="single" w:color="auto" w:sz="4" w:space="0"/>
              <w:right w:val="single" w:color="auto" w:sz="4" w:space="0"/>
            </w:tcBorders>
            <w:noWrap w:val="0"/>
            <w:vAlign w:val="center"/>
          </w:tcPr>
          <w:p w14:paraId="68B074C6">
            <w:pPr>
              <w:jc w:val="center"/>
              <w:rPr>
                <w:rFonts w:hAnsi="宋体" w:cs="宋体"/>
                <w:color w:val="auto"/>
                <w:sz w:val="24"/>
                <w:szCs w:val="21"/>
                <w:highlight w:val="none"/>
              </w:rPr>
            </w:pPr>
          </w:p>
        </w:tc>
      </w:tr>
      <w:tr w14:paraId="3153E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trPr>
        <w:tc>
          <w:tcPr>
            <w:tcW w:w="875" w:type="dxa"/>
            <w:tcBorders>
              <w:top w:val="single" w:color="auto" w:sz="4" w:space="0"/>
              <w:left w:val="single" w:color="auto" w:sz="4" w:space="0"/>
              <w:bottom w:val="single" w:color="auto" w:sz="4" w:space="0"/>
              <w:right w:val="single" w:color="auto" w:sz="4" w:space="0"/>
            </w:tcBorders>
            <w:noWrap w:val="0"/>
            <w:vAlign w:val="center"/>
          </w:tcPr>
          <w:p w14:paraId="29566F5C">
            <w:pPr>
              <w:jc w:val="center"/>
              <w:rPr>
                <w:rFonts w:hAnsi="宋体" w:cs="宋体"/>
                <w:color w:val="auto"/>
                <w:sz w:val="24"/>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5EAB9589">
            <w:pPr>
              <w:jc w:val="center"/>
              <w:rPr>
                <w:rFonts w:hAnsi="宋体" w:cs="宋体"/>
                <w:color w:val="auto"/>
                <w:sz w:val="24"/>
                <w:szCs w:val="21"/>
                <w:highlight w:val="none"/>
              </w:rPr>
            </w:pPr>
          </w:p>
        </w:tc>
        <w:tc>
          <w:tcPr>
            <w:tcW w:w="788" w:type="dxa"/>
            <w:tcBorders>
              <w:top w:val="single" w:color="auto" w:sz="4" w:space="0"/>
              <w:left w:val="single" w:color="auto" w:sz="4" w:space="0"/>
              <w:bottom w:val="single" w:color="auto" w:sz="4" w:space="0"/>
              <w:right w:val="single" w:color="auto" w:sz="4" w:space="0"/>
            </w:tcBorders>
            <w:noWrap w:val="0"/>
            <w:vAlign w:val="center"/>
          </w:tcPr>
          <w:p w14:paraId="041D4A34">
            <w:pPr>
              <w:jc w:val="center"/>
              <w:rPr>
                <w:rFonts w:hAnsi="宋体" w:cs="宋体"/>
                <w:color w:val="auto"/>
                <w:sz w:val="24"/>
                <w:szCs w:val="21"/>
                <w:highlight w:val="none"/>
              </w:rPr>
            </w:pPr>
          </w:p>
        </w:tc>
        <w:tc>
          <w:tcPr>
            <w:tcW w:w="931" w:type="dxa"/>
            <w:tcBorders>
              <w:top w:val="single" w:color="auto" w:sz="4" w:space="0"/>
              <w:left w:val="single" w:color="auto" w:sz="4" w:space="0"/>
              <w:bottom w:val="single" w:color="auto" w:sz="4" w:space="0"/>
              <w:right w:val="single" w:color="auto" w:sz="4" w:space="0"/>
            </w:tcBorders>
            <w:noWrap w:val="0"/>
            <w:vAlign w:val="center"/>
          </w:tcPr>
          <w:p w14:paraId="1A26257A">
            <w:pPr>
              <w:jc w:val="center"/>
              <w:rPr>
                <w:rFonts w:hAnsi="宋体" w:cs="宋体"/>
                <w:color w:val="auto"/>
                <w:sz w:val="24"/>
                <w:szCs w:val="21"/>
                <w:highlight w:val="none"/>
              </w:rPr>
            </w:pPr>
          </w:p>
        </w:tc>
        <w:tc>
          <w:tcPr>
            <w:tcW w:w="809" w:type="dxa"/>
            <w:tcBorders>
              <w:top w:val="single" w:color="auto" w:sz="4" w:space="0"/>
              <w:left w:val="single" w:color="auto" w:sz="4" w:space="0"/>
              <w:bottom w:val="single" w:color="auto" w:sz="4" w:space="0"/>
              <w:right w:val="single" w:color="auto" w:sz="4" w:space="0"/>
            </w:tcBorders>
            <w:noWrap w:val="0"/>
            <w:vAlign w:val="center"/>
          </w:tcPr>
          <w:p w14:paraId="40A7BAFA">
            <w:pPr>
              <w:jc w:val="center"/>
              <w:rPr>
                <w:rFonts w:hAnsi="宋体" w:cs="宋体"/>
                <w:color w:val="auto"/>
                <w:sz w:val="24"/>
                <w:szCs w:val="21"/>
                <w:highlight w:val="none"/>
              </w:rPr>
            </w:pPr>
          </w:p>
        </w:tc>
        <w:tc>
          <w:tcPr>
            <w:tcW w:w="935" w:type="dxa"/>
            <w:tcBorders>
              <w:top w:val="single" w:color="auto" w:sz="4" w:space="0"/>
              <w:left w:val="single" w:color="auto" w:sz="4" w:space="0"/>
              <w:bottom w:val="single" w:color="auto" w:sz="4" w:space="0"/>
              <w:right w:val="single" w:color="auto" w:sz="4" w:space="0"/>
            </w:tcBorders>
            <w:noWrap w:val="0"/>
            <w:vAlign w:val="center"/>
          </w:tcPr>
          <w:p w14:paraId="450FC36D">
            <w:pPr>
              <w:jc w:val="center"/>
              <w:rPr>
                <w:rFonts w:hAnsi="宋体" w:cs="宋体"/>
                <w:color w:val="auto"/>
                <w:sz w:val="24"/>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0"/>
            <w:vAlign w:val="center"/>
          </w:tcPr>
          <w:p w14:paraId="32A18948">
            <w:pPr>
              <w:jc w:val="center"/>
              <w:rPr>
                <w:rFonts w:hAnsi="宋体" w:cs="宋体"/>
                <w:color w:val="auto"/>
                <w:sz w:val="24"/>
                <w:szCs w:val="21"/>
                <w:highlight w:val="none"/>
              </w:rPr>
            </w:pPr>
          </w:p>
        </w:tc>
        <w:tc>
          <w:tcPr>
            <w:tcW w:w="2593" w:type="dxa"/>
            <w:tcBorders>
              <w:top w:val="single" w:color="auto" w:sz="4" w:space="0"/>
              <w:left w:val="single" w:color="auto" w:sz="4" w:space="0"/>
              <w:bottom w:val="single" w:color="auto" w:sz="4" w:space="0"/>
              <w:right w:val="single" w:color="auto" w:sz="4" w:space="0"/>
            </w:tcBorders>
            <w:noWrap w:val="0"/>
            <w:vAlign w:val="center"/>
          </w:tcPr>
          <w:p w14:paraId="2DCD9409">
            <w:pPr>
              <w:jc w:val="center"/>
              <w:rPr>
                <w:rFonts w:hAnsi="宋体" w:cs="宋体"/>
                <w:color w:val="auto"/>
                <w:sz w:val="24"/>
                <w:szCs w:val="21"/>
                <w:highlight w:val="none"/>
              </w:rPr>
            </w:pPr>
          </w:p>
        </w:tc>
      </w:tr>
      <w:tr w14:paraId="02752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875" w:type="dxa"/>
            <w:tcBorders>
              <w:top w:val="single" w:color="auto" w:sz="4" w:space="0"/>
              <w:left w:val="single" w:color="auto" w:sz="4" w:space="0"/>
              <w:bottom w:val="single" w:color="auto" w:sz="4" w:space="0"/>
              <w:right w:val="single" w:color="auto" w:sz="4" w:space="0"/>
            </w:tcBorders>
            <w:noWrap w:val="0"/>
            <w:vAlign w:val="center"/>
          </w:tcPr>
          <w:p w14:paraId="3BE1F212">
            <w:pPr>
              <w:jc w:val="center"/>
              <w:rPr>
                <w:rFonts w:hAnsi="宋体" w:cs="宋体"/>
                <w:color w:val="auto"/>
                <w:sz w:val="24"/>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6C470841">
            <w:pPr>
              <w:jc w:val="center"/>
              <w:rPr>
                <w:rFonts w:hAnsi="宋体" w:cs="宋体"/>
                <w:color w:val="auto"/>
                <w:sz w:val="24"/>
                <w:szCs w:val="21"/>
                <w:highlight w:val="none"/>
              </w:rPr>
            </w:pPr>
          </w:p>
        </w:tc>
        <w:tc>
          <w:tcPr>
            <w:tcW w:w="788" w:type="dxa"/>
            <w:tcBorders>
              <w:top w:val="single" w:color="auto" w:sz="4" w:space="0"/>
              <w:left w:val="single" w:color="auto" w:sz="4" w:space="0"/>
              <w:bottom w:val="single" w:color="auto" w:sz="4" w:space="0"/>
              <w:right w:val="single" w:color="auto" w:sz="4" w:space="0"/>
            </w:tcBorders>
            <w:noWrap w:val="0"/>
            <w:vAlign w:val="center"/>
          </w:tcPr>
          <w:p w14:paraId="055C45A5">
            <w:pPr>
              <w:jc w:val="center"/>
              <w:rPr>
                <w:rFonts w:hAnsi="宋体" w:cs="宋体"/>
                <w:color w:val="auto"/>
                <w:sz w:val="24"/>
                <w:szCs w:val="21"/>
                <w:highlight w:val="none"/>
              </w:rPr>
            </w:pPr>
          </w:p>
        </w:tc>
        <w:tc>
          <w:tcPr>
            <w:tcW w:w="931" w:type="dxa"/>
            <w:tcBorders>
              <w:top w:val="single" w:color="auto" w:sz="4" w:space="0"/>
              <w:left w:val="single" w:color="auto" w:sz="4" w:space="0"/>
              <w:bottom w:val="single" w:color="auto" w:sz="4" w:space="0"/>
              <w:right w:val="single" w:color="auto" w:sz="4" w:space="0"/>
            </w:tcBorders>
            <w:noWrap w:val="0"/>
            <w:vAlign w:val="center"/>
          </w:tcPr>
          <w:p w14:paraId="15E638E4">
            <w:pPr>
              <w:jc w:val="center"/>
              <w:rPr>
                <w:rFonts w:hAnsi="宋体" w:cs="宋体"/>
                <w:color w:val="auto"/>
                <w:sz w:val="24"/>
                <w:szCs w:val="21"/>
                <w:highlight w:val="none"/>
              </w:rPr>
            </w:pPr>
          </w:p>
        </w:tc>
        <w:tc>
          <w:tcPr>
            <w:tcW w:w="809" w:type="dxa"/>
            <w:tcBorders>
              <w:top w:val="single" w:color="auto" w:sz="4" w:space="0"/>
              <w:left w:val="single" w:color="auto" w:sz="4" w:space="0"/>
              <w:bottom w:val="single" w:color="auto" w:sz="4" w:space="0"/>
              <w:right w:val="single" w:color="auto" w:sz="4" w:space="0"/>
            </w:tcBorders>
            <w:noWrap w:val="0"/>
            <w:vAlign w:val="center"/>
          </w:tcPr>
          <w:p w14:paraId="62795B72">
            <w:pPr>
              <w:jc w:val="center"/>
              <w:rPr>
                <w:rFonts w:hAnsi="宋体" w:cs="宋体"/>
                <w:color w:val="auto"/>
                <w:sz w:val="24"/>
                <w:szCs w:val="21"/>
                <w:highlight w:val="none"/>
              </w:rPr>
            </w:pPr>
          </w:p>
        </w:tc>
        <w:tc>
          <w:tcPr>
            <w:tcW w:w="935" w:type="dxa"/>
            <w:tcBorders>
              <w:top w:val="single" w:color="auto" w:sz="4" w:space="0"/>
              <w:left w:val="single" w:color="auto" w:sz="4" w:space="0"/>
              <w:bottom w:val="single" w:color="auto" w:sz="4" w:space="0"/>
              <w:right w:val="single" w:color="auto" w:sz="4" w:space="0"/>
            </w:tcBorders>
            <w:noWrap w:val="0"/>
            <w:vAlign w:val="center"/>
          </w:tcPr>
          <w:p w14:paraId="29F63B95">
            <w:pPr>
              <w:jc w:val="center"/>
              <w:rPr>
                <w:rFonts w:hAnsi="宋体" w:cs="宋体"/>
                <w:color w:val="auto"/>
                <w:sz w:val="24"/>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0"/>
            <w:vAlign w:val="center"/>
          </w:tcPr>
          <w:p w14:paraId="352A3E43">
            <w:pPr>
              <w:jc w:val="center"/>
              <w:rPr>
                <w:rFonts w:hAnsi="宋体" w:cs="宋体"/>
                <w:color w:val="auto"/>
                <w:sz w:val="24"/>
                <w:szCs w:val="21"/>
                <w:highlight w:val="none"/>
              </w:rPr>
            </w:pPr>
          </w:p>
        </w:tc>
        <w:tc>
          <w:tcPr>
            <w:tcW w:w="2593" w:type="dxa"/>
            <w:tcBorders>
              <w:top w:val="single" w:color="auto" w:sz="4" w:space="0"/>
              <w:left w:val="single" w:color="auto" w:sz="4" w:space="0"/>
              <w:bottom w:val="single" w:color="auto" w:sz="4" w:space="0"/>
              <w:right w:val="single" w:color="auto" w:sz="4" w:space="0"/>
            </w:tcBorders>
            <w:noWrap w:val="0"/>
            <w:vAlign w:val="center"/>
          </w:tcPr>
          <w:p w14:paraId="1C19FE5A">
            <w:pPr>
              <w:jc w:val="center"/>
              <w:rPr>
                <w:rFonts w:hAnsi="宋体" w:cs="宋体"/>
                <w:color w:val="auto"/>
                <w:sz w:val="24"/>
                <w:szCs w:val="21"/>
                <w:highlight w:val="none"/>
              </w:rPr>
            </w:pPr>
          </w:p>
        </w:tc>
      </w:tr>
      <w:tr w14:paraId="5195D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875" w:type="dxa"/>
            <w:tcBorders>
              <w:top w:val="single" w:color="auto" w:sz="4" w:space="0"/>
              <w:left w:val="single" w:color="auto" w:sz="4" w:space="0"/>
              <w:bottom w:val="single" w:color="auto" w:sz="4" w:space="0"/>
              <w:right w:val="single" w:color="auto" w:sz="4" w:space="0"/>
            </w:tcBorders>
            <w:noWrap w:val="0"/>
            <w:vAlign w:val="center"/>
          </w:tcPr>
          <w:p w14:paraId="6B64BE32">
            <w:pPr>
              <w:jc w:val="center"/>
              <w:rPr>
                <w:rFonts w:hAnsi="宋体" w:cs="宋体"/>
                <w:color w:val="auto"/>
                <w:sz w:val="24"/>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0A47D5EB">
            <w:pPr>
              <w:jc w:val="center"/>
              <w:rPr>
                <w:rFonts w:hAnsi="宋体" w:cs="宋体"/>
                <w:color w:val="auto"/>
                <w:sz w:val="24"/>
                <w:szCs w:val="21"/>
                <w:highlight w:val="none"/>
              </w:rPr>
            </w:pPr>
          </w:p>
        </w:tc>
        <w:tc>
          <w:tcPr>
            <w:tcW w:w="788" w:type="dxa"/>
            <w:tcBorders>
              <w:top w:val="single" w:color="auto" w:sz="4" w:space="0"/>
              <w:left w:val="single" w:color="auto" w:sz="4" w:space="0"/>
              <w:bottom w:val="single" w:color="auto" w:sz="4" w:space="0"/>
              <w:right w:val="single" w:color="auto" w:sz="4" w:space="0"/>
            </w:tcBorders>
            <w:noWrap w:val="0"/>
            <w:vAlign w:val="center"/>
          </w:tcPr>
          <w:p w14:paraId="6B40C246">
            <w:pPr>
              <w:jc w:val="center"/>
              <w:rPr>
                <w:rFonts w:hAnsi="宋体" w:cs="宋体"/>
                <w:color w:val="auto"/>
                <w:sz w:val="24"/>
                <w:szCs w:val="21"/>
                <w:highlight w:val="none"/>
              </w:rPr>
            </w:pPr>
          </w:p>
        </w:tc>
        <w:tc>
          <w:tcPr>
            <w:tcW w:w="931" w:type="dxa"/>
            <w:tcBorders>
              <w:top w:val="single" w:color="auto" w:sz="4" w:space="0"/>
              <w:left w:val="single" w:color="auto" w:sz="4" w:space="0"/>
              <w:bottom w:val="single" w:color="auto" w:sz="4" w:space="0"/>
              <w:right w:val="single" w:color="auto" w:sz="4" w:space="0"/>
            </w:tcBorders>
            <w:noWrap w:val="0"/>
            <w:vAlign w:val="center"/>
          </w:tcPr>
          <w:p w14:paraId="48A6A490">
            <w:pPr>
              <w:jc w:val="center"/>
              <w:rPr>
                <w:rFonts w:hAnsi="宋体" w:cs="宋体"/>
                <w:color w:val="auto"/>
                <w:sz w:val="24"/>
                <w:szCs w:val="21"/>
                <w:highlight w:val="none"/>
              </w:rPr>
            </w:pPr>
          </w:p>
        </w:tc>
        <w:tc>
          <w:tcPr>
            <w:tcW w:w="809" w:type="dxa"/>
            <w:tcBorders>
              <w:top w:val="single" w:color="auto" w:sz="4" w:space="0"/>
              <w:left w:val="single" w:color="auto" w:sz="4" w:space="0"/>
              <w:bottom w:val="single" w:color="auto" w:sz="4" w:space="0"/>
              <w:right w:val="single" w:color="auto" w:sz="4" w:space="0"/>
            </w:tcBorders>
            <w:noWrap w:val="0"/>
            <w:vAlign w:val="center"/>
          </w:tcPr>
          <w:p w14:paraId="017C18A9">
            <w:pPr>
              <w:jc w:val="center"/>
              <w:rPr>
                <w:rFonts w:hAnsi="宋体" w:cs="宋体"/>
                <w:color w:val="auto"/>
                <w:sz w:val="24"/>
                <w:szCs w:val="21"/>
                <w:highlight w:val="none"/>
              </w:rPr>
            </w:pPr>
          </w:p>
        </w:tc>
        <w:tc>
          <w:tcPr>
            <w:tcW w:w="935" w:type="dxa"/>
            <w:tcBorders>
              <w:top w:val="single" w:color="auto" w:sz="4" w:space="0"/>
              <w:left w:val="single" w:color="auto" w:sz="4" w:space="0"/>
              <w:bottom w:val="single" w:color="auto" w:sz="4" w:space="0"/>
              <w:right w:val="single" w:color="auto" w:sz="4" w:space="0"/>
            </w:tcBorders>
            <w:noWrap w:val="0"/>
            <w:vAlign w:val="center"/>
          </w:tcPr>
          <w:p w14:paraId="4305C5E1">
            <w:pPr>
              <w:jc w:val="center"/>
              <w:rPr>
                <w:rFonts w:hAnsi="宋体" w:cs="宋体"/>
                <w:color w:val="auto"/>
                <w:sz w:val="24"/>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0"/>
            <w:vAlign w:val="center"/>
          </w:tcPr>
          <w:p w14:paraId="7DF275A1">
            <w:pPr>
              <w:jc w:val="center"/>
              <w:rPr>
                <w:rFonts w:hAnsi="宋体" w:cs="宋体"/>
                <w:color w:val="auto"/>
                <w:sz w:val="24"/>
                <w:szCs w:val="21"/>
                <w:highlight w:val="none"/>
              </w:rPr>
            </w:pPr>
          </w:p>
        </w:tc>
        <w:tc>
          <w:tcPr>
            <w:tcW w:w="2593" w:type="dxa"/>
            <w:tcBorders>
              <w:top w:val="single" w:color="auto" w:sz="4" w:space="0"/>
              <w:left w:val="single" w:color="auto" w:sz="4" w:space="0"/>
              <w:bottom w:val="single" w:color="auto" w:sz="4" w:space="0"/>
              <w:right w:val="single" w:color="auto" w:sz="4" w:space="0"/>
            </w:tcBorders>
            <w:noWrap w:val="0"/>
            <w:vAlign w:val="center"/>
          </w:tcPr>
          <w:p w14:paraId="474A04EA">
            <w:pPr>
              <w:jc w:val="center"/>
              <w:rPr>
                <w:rFonts w:hAnsi="宋体" w:cs="宋体"/>
                <w:color w:val="auto"/>
                <w:sz w:val="24"/>
                <w:szCs w:val="21"/>
                <w:highlight w:val="none"/>
              </w:rPr>
            </w:pPr>
          </w:p>
        </w:tc>
      </w:tr>
      <w:tr w14:paraId="060BA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trPr>
        <w:tc>
          <w:tcPr>
            <w:tcW w:w="875" w:type="dxa"/>
            <w:tcBorders>
              <w:top w:val="single" w:color="auto" w:sz="4" w:space="0"/>
              <w:left w:val="single" w:color="auto" w:sz="4" w:space="0"/>
              <w:bottom w:val="single" w:color="auto" w:sz="4" w:space="0"/>
              <w:right w:val="single" w:color="auto" w:sz="4" w:space="0"/>
            </w:tcBorders>
            <w:noWrap w:val="0"/>
            <w:vAlign w:val="center"/>
          </w:tcPr>
          <w:p w14:paraId="5131EDCF">
            <w:pPr>
              <w:jc w:val="center"/>
              <w:rPr>
                <w:rFonts w:hAnsi="宋体" w:cs="宋体"/>
                <w:color w:val="auto"/>
                <w:sz w:val="24"/>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2EA58790">
            <w:pPr>
              <w:jc w:val="center"/>
              <w:rPr>
                <w:rFonts w:hAnsi="宋体" w:cs="宋体"/>
                <w:color w:val="auto"/>
                <w:sz w:val="24"/>
                <w:szCs w:val="21"/>
                <w:highlight w:val="none"/>
              </w:rPr>
            </w:pPr>
          </w:p>
        </w:tc>
        <w:tc>
          <w:tcPr>
            <w:tcW w:w="788" w:type="dxa"/>
            <w:tcBorders>
              <w:top w:val="single" w:color="auto" w:sz="4" w:space="0"/>
              <w:left w:val="single" w:color="auto" w:sz="4" w:space="0"/>
              <w:bottom w:val="single" w:color="auto" w:sz="4" w:space="0"/>
              <w:right w:val="single" w:color="auto" w:sz="4" w:space="0"/>
            </w:tcBorders>
            <w:noWrap w:val="0"/>
            <w:vAlign w:val="center"/>
          </w:tcPr>
          <w:p w14:paraId="37C3F544">
            <w:pPr>
              <w:jc w:val="center"/>
              <w:rPr>
                <w:rFonts w:hAnsi="宋体" w:cs="宋体"/>
                <w:color w:val="auto"/>
                <w:sz w:val="24"/>
                <w:szCs w:val="21"/>
                <w:highlight w:val="none"/>
              </w:rPr>
            </w:pPr>
          </w:p>
        </w:tc>
        <w:tc>
          <w:tcPr>
            <w:tcW w:w="931" w:type="dxa"/>
            <w:tcBorders>
              <w:top w:val="single" w:color="auto" w:sz="4" w:space="0"/>
              <w:left w:val="single" w:color="auto" w:sz="4" w:space="0"/>
              <w:bottom w:val="single" w:color="auto" w:sz="4" w:space="0"/>
              <w:right w:val="single" w:color="auto" w:sz="4" w:space="0"/>
            </w:tcBorders>
            <w:noWrap w:val="0"/>
            <w:vAlign w:val="center"/>
          </w:tcPr>
          <w:p w14:paraId="1613C879">
            <w:pPr>
              <w:jc w:val="center"/>
              <w:rPr>
                <w:rFonts w:hAnsi="宋体" w:cs="宋体"/>
                <w:color w:val="auto"/>
                <w:sz w:val="24"/>
                <w:szCs w:val="21"/>
                <w:highlight w:val="none"/>
              </w:rPr>
            </w:pPr>
          </w:p>
        </w:tc>
        <w:tc>
          <w:tcPr>
            <w:tcW w:w="809" w:type="dxa"/>
            <w:tcBorders>
              <w:top w:val="single" w:color="auto" w:sz="4" w:space="0"/>
              <w:left w:val="single" w:color="auto" w:sz="4" w:space="0"/>
              <w:bottom w:val="single" w:color="auto" w:sz="4" w:space="0"/>
              <w:right w:val="single" w:color="auto" w:sz="4" w:space="0"/>
            </w:tcBorders>
            <w:noWrap w:val="0"/>
            <w:vAlign w:val="center"/>
          </w:tcPr>
          <w:p w14:paraId="59A40BA1">
            <w:pPr>
              <w:jc w:val="center"/>
              <w:rPr>
                <w:rFonts w:hAnsi="宋体" w:cs="宋体"/>
                <w:color w:val="auto"/>
                <w:sz w:val="24"/>
                <w:szCs w:val="21"/>
                <w:highlight w:val="none"/>
              </w:rPr>
            </w:pPr>
          </w:p>
        </w:tc>
        <w:tc>
          <w:tcPr>
            <w:tcW w:w="935" w:type="dxa"/>
            <w:tcBorders>
              <w:top w:val="single" w:color="auto" w:sz="4" w:space="0"/>
              <w:left w:val="single" w:color="auto" w:sz="4" w:space="0"/>
              <w:bottom w:val="single" w:color="auto" w:sz="4" w:space="0"/>
              <w:right w:val="single" w:color="auto" w:sz="4" w:space="0"/>
            </w:tcBorders>
            <w:noWrap w:val="0"/>
            <w:vAlign w:val="center"/>
          </w:tcPr>
          <w:p w14:paraId="0C227773">
            <w:pPr>
              <w:jc w:val="center"/>
              <w:rPr>
                <w:rFonts w:hAnsi="宋体" w:cs="宋体"/>
                <w:color w:val="auto"/>
                <w:sz w:val="24"/>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0"/>
            <w:vAlign w:val="center"/>
          </w:tcPr>
          <w:p w14:paraId="08246067">
            <w:pPr>
              <w:jc w:val="center"/>
              <w:rPr>
                <w:rFonts w:hAnsi="宋体" w:cs="宋体"/>
                <w:color w:val="auto"/>
                <w:sz w:val="24"/>
                <w:szCs w:val="21"/>
                <w:highlight w:val="none"/>
              </w:rPr>
            </w:pPr>
          </w:p>
        </w:tc>
        <w:tc>
          <w:tcPr>
            <w:tcW w:w="2593" w:type="dxa"/>
            <w:tcBorders>
              <w:top w:val="single" w:color="auto" w:sz="4" w:space="0"/>
              <w:left w:val="single" w:color="auto" w:sz="4" w:space="0"/>
              <w:bottom w:val="single" w:color="auto" w:sz="4" w:space="0"/>
              <w:right w:val="single" w:color="auto" w:sz="4" w:space="0"/>
            </w:tcBorders>
            <w:noWrap w:val="0"/>
            <w:vAlign w:val="center"/>
          </w:tcPr>
          <w:p w14:paraId="48FA0394">
            <w:pPr>
              <w:jc w:val="center"/>
              <w:rPr>
                <w:rFonts w:hAnsi="宋体" w:cs="宋体"/>
                <w:color w:val="auto"/>
                <w:sz w:val="24"/>
                <w:szCs w:val="21"/>
                <w:highlight w:val="none"/>
              </w:rPr>
            </w:pPr>
          </w:p>
        </w:tc>
      </w:tr>
      <w:tr w14:paraId="3B779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875" w:type="dxa"/>
            <w:tcBorders>
              <w:top w:val="single" w:color="auto" w:sz="4" w:space="0"/>
              <w:left w:val="single" w:color="auto" w:sz="4" w:space="0"/>
              <w:bottom w:val="single" w:color="auto" w:sz="4" w:space="0"/>
              <w:right w:val="single" w:color="auto" w:sz="4" w:space="0"/>
            </w:tcBorders>
            <w:noWrap w:val="0"/>
            <w:vAlign w:val="center"/>
          </w:tcPr>
          <w:p w14:paraId="74CBE6EB">
            <w:pPr>
              <w:jc w:val="center"/>
              <w:rPr>
                <w:rFonts w:hAnsi="宋体" w:cs="宋体"/>
                <w:color w:val="auto"/>
                <w:sz w:val="24"/>
                <w:szCs w:val="21"/>
                <w:highlight w:val="none"/>
              </w:rPr>
            </w:pPr>
          </w:p>
        </w:tc>
        <w:tc>
          <w:tcPr>
            <w:tcW w:w="900" w:type="dxa"/>
            <w:tcBorders>
              <w:top w:val="single" w:color="auto" w:sz="4" w:space="0"/>
              <w:left w:val="single" w:color="auto" w:sz="4" w:space="0"/>
              <w:bottom w:val="single" w:color="auto" w:sz="4" w:space="0"/>
              <w:right w:val="single" w:color="auto" w:sz="4" w:space="0"/>
            </w:tcBorders>
            <w:noWrap w:val="0"/>
            <w:vAlign w:val="center"/>
          </w:tcPr>
          <w:p w14:paraId="33492B3A">
            <w:pPr>
              <w:jc w:val="center"/>
              <w:rPr>
                <w:rFonts w:hAnsi="宋体" w:cs="宋体"/>
                <w:color w:val="auto"/>
                <w:sz w:val="24"/>
                <w:szCs w:val="21"/>
                <w:highlight w:val="none"/>
              </w:rPr>
            </w:pPr>
          </w:p>
        </w:tc>
        <w:tc>
          <w:tcPr>
            <w:tcW w:w="788" w:type="dxa"/>
            <w:tcBorders>
              <w:top w:val="single" w:color="auto" w:sz="4" w:space="0"/>
              <w:left w:val="single" w:color="auto" w:sz="4" w:space="0"/>
              <w:bottom w:val="single" w:color="auto" w:sz="4" w:space="0"/>
              <w:right w:val="single" w:color="auto" w:sz="4" w:space="0"/>
            </w:tcBorders>
            <w:noWrap w:val="0"/>
            <w:vAlign w:val="center"/>
          </w:tcPr>
          <w:p w14:paraId="3AFC05B7">
            <w:pPr>
              <w:jc w:val="center"/>
              <w:rPr>
                <w:rFonts w:hAnsi="宋体" w:cs="宋体"/>
                <w:color w:val="auto"/>
                <w:sz w:val="24"/>
                <w:szCs w:val="21"/>
                <w:highlight w:val="none"/>
              </w:rPr>
            </w:pPr>
          </w:p>
        </w:tc>
        <w:tc>
          <w:tcPr>
            <w:tcW w:w="931" w:type="dxa"/>
            <w:tcBorders>
              <w:top w:val="single" w:color="auto" w:sz="4" w:space="0"/>
              <w:left w:val="single" w:color="auto" w:sz="4" w:space="0"/>
              <w:bottom w:val="single" w:color="auto" w:sz="4" w:space="0"/>
              <w:right w:val="single" w:color="auto" w:sz="4" w:space="0"/>
            </w:tcBorders>
            <w:noWrap w:val="0"/>
            <w:vAlign w:val="center"/>
          </w:tcPr>
          <w:p w14:paraId="6E5215F9">
            <w:pPr>
              <w:jc w:val="center"/>
              <w:rPr>
                <w:rFonts w:hAnsi="宋体" w:cs="宋体"/>
                <w:color w:val="auto"/>
                <w:sz w:val="24"/>
                <w:szCs w:val="21"/>
                <w:highlight w:val="none"/>
              </w:rPr>
            </w:pPr>
          </w:p>
        </w:tc>
        <w:tc>
          <w:tcPr>
            <w:tcW w:w="809" w:type="dxa"/>
            <w:tcBorders>
              <w:top w:val="single" w:color="auto" w:sz="4" w:space="0"/>
              <w:left w:val="single" w:color="auto" w:sz="4" w:space="0"/>
              <w:bottom w:val="single" w:color="auto" w:sz="4" w:space="0"/>
              <w:right w:val="single" w:color="auto" w:sz="4" w:space="0"/>
            </w:tcBorders>
            <w:noWrap w:val="0"/>
            <w:vAlign w:val="center"/>
          </w:tcPr>
          <w:p w14:paraId="585A5473">
            <w:pPr>
              <w:jc w:val="center"/>
              <w:rPr>
                <w:rFonts w:hAnsi="宋体" w:cs="宋体"/>
                <w:color w:val="auto"/>
                <w:sz w:val="24"/>
                <w:szCs w:val="21"/>
                <w:highlight w:val="none"/>
              </w:rPr>
            </w:pPr>
          </w:p>
        </w:tc>
        <w:tc>
          <w:tcPr>
            <w:tcW w:w="935" w:type="dxa"/>
            <w:tcBorders>
              <w:top w:val="single" w:color="auto" w:sz="4" w:space="0"/>
              <w:left w:val="single" w:color="auto" w:sz="4" w:space="0"/>
              <w:bottom w:val="single" w:color="auto" w:sz="4" w:space="0"/>
              <w:right w:val="single" w:color="auto" w:sz="4" w:space="0"/>
            </w:tcBorders>
            <w:noWrap w:val="0"/>
            <w:vAlign w:val="center"/>
          </w:tcPr>
          <w:p w14:paraId="239CA6B7">
            <w:pPr>
              <w:jc w:val="center"/>
              <w:rPr>
                <w:rFonts w:hAnsi="宋体" w:cs="宋体"/>
                <w:color w:val="auto"/>
                <w:sz w:val="24"/>
                <w:szCs w:val="21"/>
                <w:highlight w:val="none"/>
              </w:rPr>
            </w:pPr>
          </w:p>
        </w:tc>
        <w:tc>
          <w:tcPr>
            <w:tcW w:w="1212" w:type="dxa"/>
            <w:tcBorders>
              <w:top w:val="single" w:color="auto" w:sz="4" w:space="0"/>
              <w:left w:val="single" w:color="auto" w:sz="4" w:space="0"/>
              <w:bottom w:val="single" w:color="auto" w:sz="4" w:space="0"/>
              <w:right w:val="single" w:color="auto" w:sz="4" w:space="0"/>
            </w:tcBorders>
            <w:noWrap w:val="0"/>
            <w:vAlign w:val="center"/>
          </w:tcPr>
          <w:p w14:paraId="751A3638">
            <w:pPr>
              <w:jc w:val="center"/>
              <w:rPr>
                <w:rFonts w:hAnsi="宋体" w:cs="宋体"/>
                <w:color w:val="auto"/>
                <w:sz w:val="24"/>
                <w:szCs w:val="21"/>
                <w:highlight w:val="none"/>
              </w:rPr>
            </w:pPr>
          </w:p>
        </w:tc>
        <w:tc>
          <w:tcPr>
            <w:tcW w:w="2593" w:type="dxa"/>
            <w:tcBorders>
              <w:top w:val="single" w:color="auto" w:sz="4" w:space="0"/>
              <w:left w:val="single" w:color="auto" w:sz="4" w:space="0"/>
              <w:bottom w:val="single" w:color="auto" w:sz="4" w:space="0"/>
              <w:right w:val="single" w:color="auto" w:sz="4" w:space="0"/>
            </w:tcBorders>
            <w:noWrap w:val="0"/>
            <w:vAlign w:val="center"/>
          </w:tcPr>
          <w:p w14:paraId="18CBF5B7">
            <w:pPr>
              <w:jc w:val="center"/>
              <w:rPr>
                <w:rFonts w:hAnsi="宋体" w:cs="宋体"/>
                <w:color w:val="auto"/>
                <w:sz w:val="24"/>
                <w:szCs w:val="21"/>
                <w:highlight w:val="none"/>
              </w:rPr>
            </w:pPr>
          </w:p>
        </w:tc>
      </w:tr>
    </w:tbl>
    <w:p w14:paraId="11C5F345">
      <w:pPr>
        <w:ind w:firstLine="720"/>
        <w:rPr>
          <w:rFonts w:hAnsi="宋体"/>
          <w:color w:val="auto"/>
          <w:sz w:val="24"/>
          <w:highlight w:val="none"/>
        </w:rPr>
      </w:pPr>
    </w:p>
    <w:p w14:paraId="1BB07DCD">
      <w:pPr>
        <w:ind w:firstLine="720"/>
        <w:rPr>
          <w:rFonts w:hint="eastAsia" w:hAnsi="宋体" w:eastAsia="宋体"/>
          <w:color w:val="auto"/>
          <w:sz w:val="24"/>
          <w:highlight w:val="none"/>
        </w:rPr>
      </w:pPr>
    </w:p>
    <w:p w14:paraId="3A7F41E5">
      <w:pPr>
        <w:ind w:firstLine="2940"/>
        <w:rPr>
          <w:rFonts w:hAnsi="宋体" w:eastAsia="宋体"/>
          <w:bCs/>
          <w:color w:val="auto"/>
          <w:szCs w:val="28"/>
          <w:highlight w:val="none"/>
        </w:rPr>
      </w:pPr>
      <w:r>
        <w:rPr>
          <w:rFonts w:hint="eastAsia" w:hAnsi="宋体" w:eastAsia="宋体"/>
          <w:bCs/>
          <w:color w:val="auto"/>
          <w:szCs w:val="28"/>
          <w:highlight w:val="none"/>
        </w:rPr>
        <w:t>投标人（公章）：</w:t>
      </w:r>
    </w:p>
    <w:p w14:paraId="3EC4BD90">
      <w:pPr>
        <w:ind w:firstLine="2940"/>
        <w:rPr>
          <w:rFonts w:hAnsi="宋体" w:eastAsia="宋体"/>
          <w:bCs/>
          <w:color w:val="auto"/>
          <w:szCs w:val="28"/>
          <w:highlight w:val="none"/>
        </w:rPr>
      </w:pPr>
      <w:r>
        <w:rPr>
          <w:rFonts w:hint="eastAsia" w:hAnsi="宋体" w:eastAsia="宋体"/>
          <w:bCs/>
          <w:color w:val="auto"/>
          <w:szCs w:val="28"/>
          <w:highlight w:val="none"/>
        </w:rPr>
        <w:t>法定代表人或授权委托人：（签字或盖章）</w:t>
      </w:r>
    </w:p>
    <w:p w14:paraId="0202E38A">
      <w:pPr>
        <w:ind w:firstLine="3360"/>
        <w:rPr>
          <w:rFonts w:hAnsi="宋体" w:eastAsia="宋体"/>
          <w:bCs/>
          <w:color w:val="auto"/>
          <w:szCs w:val="28"/>
          <w:highlight w:val="none"/>
        </w:rPr>
      </w:pPr>
      <w:r>
        <w:rPr>
          <w:rFonts w:hint="eastAsia" w:hAnsi="宋体" w:eastAsia="宋体"/>
          <w:bCs/>
          <w:color w:val="auto"/>
          <w:szCs w:val="28"/>
          <w:highlight w:val="none"/>
        </w:rPr>
        <w:t>日期：</w:t>
      </w:r>
      <w:r>
        <w:rPr>
          <w:rFonts w:hAnsi="宋体" w:eastAsia="宋体"/>
          <w:bCs/>
          <w:color w:val="auto"/>
          <w:szCs w:val="28"/>
          <w:highlight w:val="none"/>
          <w:u w:val="single"/>
        </w:rPr>
        <w:t xml:space="preserve">      </w:t>
      </w:r>
      <w:r>
        <w:rPr>
          <w:rFonts w:hint="eastAsia" w:hAnsi="宋体" w:eastAsia="宋体"/>
          <w:bCs/>
          <w:color w:val="auto"/>
          <w:szCs w:val="28"/>
          <w:highlight w:val="none"/>
        </w:rPr>
        <w:t>年</w:t>
      </w:r>
      <w:r>
        <w:rPr>
          <w:rFonts w:hAnsi="宋体" w:eastAsia="宋体"/>
          <w:bCs/>
          <w:color w:val="auto"/>
          <w:szCs w:val="28"/>
          <w:highlight w:val="none"/>
        </w:rPr>
        <w:t xml:space="preserve"> </w:t>
      </w:r>
      <w:r>
        <w:rPr>
          <w:rFonts w:hAnsi="宋体" w:eastAsia="宋体"/>
          <w:bCs/>
          <w:color w:val="auto"/>
          <w:szCs w:val="28"/>
          <w:highlight w:val="none"/>
          <w:u w:val="single"/>
        </w:rPr>
        <w:t xml:space="preserve">    </w:t>
      </w:r>
      <w:r>
        <w:rPr>
          <w:rFonts w:hint="eastAsia" w:hAnsi="宋体" w:eastAsia="宋体"/>
          <w:bCs/>
          <w:color w:val="auto"/>
          <w:szCs w:val="28"/>
          <w:highlight w:val="none"/>
        </w:rPr>
        <w:t>月</w:t>
      </w:r>
      <w:r>
        <w:rPr>
          <w:rFonts w:hAnsi="宋体" w:eastAsia="宋体"/>
          <w:bCs/>
          <w:color w:val="auto"/>
          <w:szCs w:val="28"/>
          <w:highlight w:val="none"/>
          <w:u w:val="single"/>
        </w:rPr>
        <w:t xml:space="preserve">     </w:t>
      </w:r>
      <w:r>
        <w:rPr>
          <w:rFonts w:hint="eastAsia" w:hAnsi="宋体" w:eastAsia="宋体"/>
          <w:bCs/>
          <w:color w:val="auto"/>
          <w:szCs w:val="28"/>
          <w:highlight w:val="none"/>
        </w:rPr>
        <w:t>日</w:t>
      </w:r>
    </w:p>
    <w:p w14:paraId="4B8A48A5">
      <w:pPr>
        <w:pStyle w:val="4"/>
        <w:numPr>
          <w:ilvl w:val="0"/>
          <w:numId w:val="0"/>
        </w:numPr>
        <w:jc w:val="center"/>
        <w:rPr>
          <w:rFonts w:hint="eastAsia" w:hAnsi="宋体" w:eastAsia="宋体"/>
          <w:color w:val="auto"/>
          <w:highlight w:val="none"/>
        </w:rPr>
      </w:pPr>
    </w:p>
    <w:p w14:paraId="58C71895">
      <w:pPr>
        <w:rPr>
          <w:rFonts w:hint="eastAsia"/>
          <w:color w:val="auto"/>
          <w:highlight w:val="none"/>
        </w:rPr>
      </w:pPr>
    </w:p>
    <w:p w14:paraId="727F28AB">
      <w:pPr>
        <w:pStyle w:val="39"/>
        <w:ind w:left="560" w:firstLine="480"/>
        <w:rPr>
          <w:rFonts w:hint="eastAsia"/>
          <w:color w:val="auto"/>
          <w:highlight w:val="none"/>
        </w:rPr>
      </w:pPr>
    </w:p>
    <w:p w14:paraId="777F4A64">
      <w:pPr>
        <w:rPr>
          <w:rFonts w:hint="eastAsia"/>
          <w:color w:val="auto"/>
          <w:highlight w:val="none"/>
        </w:rPr>
      </w:pPr>
    </w:p>
    <w:p w14:paraId="6FE098D9">
      <w:pPr>
        <w:pStyle w:val="7"/>
        <w:rPr>
          <w:rFonts w:hint="eastAsia"/>
          <w:color w:val="auto"/>
          <w:highlight w:val="none"/>
        </w:rPr>
      </w:pPr>
    </w:p>
    <w:p w14:paraId="7D1FE08F">
      <w:pPr>
        <w:pStyle w:val="39"/>
        <w:ind w:left="0" w:firstLine="0"/>
        <w:rPr>
          <w:rFonts w:hint="eastAsia"/>
          <w:color w:val="auto"/>
          <w:highlight w:val="none"/>
        </w:rPr>
      </w:pPr>
    </w:p>
    <w:p w14:paraId="3CA26251">
      <w:pPr>
        <w:rPr>
          <w:rFonts w:hint="eastAsia"/>
          <w:color w:val="auto"/>
          <w:highlight w:val="none"/>
        </w:rPr>
      </w:pPr>
    </w:p>
    <w:p w14:paraId="4E959150">
      <w:pPr>
        <w:pStyle w:val="17"/>
        <w:rPr>
          <w:rFonts w:hint="eastAsia"/>
          <w:color w:val="auto"/>
          <w:highlight w:val="none"/>
        </w:rPr>
      </w:pPr>
    </w:p>
    <w:p w14:paraId="50F46627">
      <w:pPr>
        <w:spacing w:before="120" w:after="120" w:line="460" w:lineRule="exact"/>
        <w:jc w:val="center"/>
        <w:outlineLvl w:val="0"/>
        <w:rPr>
          <w:rFonts w:hint="eastAsia" w:ascii="黑体" w:hAnsi="黑体" w:eastAsia="黑体" w:cs="Times New Roman"/>
          <w:b/>
          <w:bCs/>
          <w:color w:val="auto"/>
          <w:sz w:val="32"/>
          <w:szCs w:val="32"/>
          <w:highlight w:val="none"/>
          <w:lang w:val="en-US" w:eastAsia="zh-CN" w:bidi="ar-SA"/>
        </w:rPr>
      </w:pPr>
    </w:p>
    <w:p w14:paraId="7EEDDBAF">
      <w:pPr>
        <w:spacing w:before="120" w:after="120" w:line="460" w:lineRule="exact"/>
        <w:jc w:val="center"/>
        <w:outlineLvl w:val="0"/>
        <w:rPr>
          <w:rFonts w:hint="eastAsia" w:ascii="黑体" w:hAnsi="黑体" w:eastAsia="黑体" w:cs="Times New Roman"/>
          <w:b/>
          <w:bCs/>
          <w:color w:val="auto"/>
          <w:sz w:val="32"/>
          <w:szCs w:val="32"/>
          <w:highlight w:val="none"/>
          <w:lang w:val="en-US" w:eastAsia="zh-CN" w:bidi="ar-SA"/>
        </w:rPr>
      </w:pPr>
    </w:p>
    <w:p w14:paraId="583DD85E">
      <w:pPr>
        <w:spacing w:before="120" w:after="120" w:line="460" w:lineRule="exact"/>
        <w:jc w:val="center"/>
        <w:outlineLvl w:val="0"/>
        <w:rPr>
          <w:rFonts w:hint="eastAsia" w:ascii="黑体" w:hAnsi="黑体" w:eastAsia="黑体" w:cs="Times New Roman"/>
          <w:b/>
          <w:bCs/>
          <w:color w:val="auto"/>
          <w:sz w:val="32"/>
          <w:szCs w:val="32"/>
          <w:highlight w:val="none"/>
          <w:lang w:val="en-US" w:eastAsia="zh-CN" w:bidi="ar-SA"/>
        </w:rPr>
      </w:pPr>
      <w:r>
        <w:rPr>
          <w:rFonts w:hint="eastAsia" w:ascii="黑体" w:hAnsi="黑体" w:eastAsia="黑体" w:cs="Times New Roman"/>
          <w:b/>
          <w:bCs/>
          <w:color w:val="auto"/>
          <w:sz w:val="32"/>
          <w:szCs w:val="32"/>
          <w:highlight w:val="none"/>
          <w:lang w:val="en-US" w:eastAsia="zh-CN" w:bidi="ar-SA"/>
        </w:rPr>
        <w:t>13、投标人类似业绩项目一览表</w:t>
      </w:r>
    </w:p>
    <w:tbl>
      <w:tblPr>
        <w:tblStyle w:val="40"/>
        <w:tblW w:w="98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210"/>
        <w:gridCol w:w="1680"/>
        <w:gridCol w:w="1241"/>
        <w:gridCol w:w="1878"/>
        <w:gridCol w:w="2036"/>
        <w:gridCol w:w="1764"/>
      </w:tblGrid>
      <w:tr w14:paraId="07E0D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210" w:type="dxa"/>
            <w:tcBorders>
              <w:top w:val="single" w:color="auto" w:sz="6" w:space="0"/>
              <w:left w:val="single" w:color="auto" w:sz="6" w:space="0"/>
              <w:bottom w:val="single" w:color="auto" w:sz="6" w:space="0"/>
              <w:right w:val="single" w:color="auto" w:sz="6" w:space="0"/>
            </w:tcBorders>
            <w:noWrap w:val="0"/>
            <w:vAlign w:val="center"/>
          </w:tcPr>
          <w:p w14:paraId="2EF6E12A">
            <w:pPr>
              <w:pStyle w:val="36"/>
              <w:jc w:val="center"/>
              <w:rPr>
                <w:bCs/>
                <w:color w:val="auto"/>
                <w:szCs w:val="28"/>
                <w:highlight w:val="none"/>
              </w:rPr>
            </w:pPr>
            <w:r>
              <w:rPr>
                <w:rFonts w:hint="eastAsia"/>
                <w:bCs/>
                <w:color w:val="auto"/>
                <w:szCs w:val="28"/>
                <w:highlight w:val="none"/>
              </w:rPr>
              <w:t>序号</w:t>
            </w:r>
          </w:p>
        </w:tc>
        <w:tc>
          <w:tcPr>
            <w:tcW w:w="1680" w:type="dxa"/>
            <w:tcBorders>
              <w:top w:val="single" w:color="auto" w:sz="6" w:space="0"/>
              <w:left w:val="single" w:color="auto" w:sz="6" w:space="0"/>
              <w:bottom w:val="single" w:color="auto" w:sz="6" w:space="0"/>
              <w:right w:val="single" w:color="auto" w:sz="6" w:space="0"/>
            </w:tcBorders>
            <w:noWrap w:val="0"/>
            <w:vAlign w:val="center"/>
          </w:tcPr>
          <w:p w14:paraId="4626DC92">
            <w:pPr>
              <w:pStyle w:val="36"/>
              <w:jc w:val="center"/>
              <w:rPr>
                <w:bCs/>
                <w:color w:val="auto"/>
                <w:szCs w:val="28"/>
                <w:highlight w:val="none"/>
              </w:rPr>
            </w:pPr>
            <w:r>
              <w:rPr>
                <w:rFonts w:hint="eastAsia"/>
                <w:bCs/>
                <w:color w:val="auto"/>
                <w:szCs w:val="28"/>
                <w:highlight w:val="none"/>
              </w:rPr>
              <w:t>项目名称</w:t>
            </w:r>
          </w:p>
        </w:tc>
        <w:tc>
          <w:tcPr>
            <w:tcW w:w="1241" w:type="dxa"/>
            <w:tcBorders>
              <w:top w:val="single" w:color="auto" w:sz="6" w:space="0"/>
              <w:left w:val="single" w:color="auto" w:sz="6" w:space="0"/>
              <w:bottom w:val="single" w:color="auto" w:sz="6" w:space="0"/>
              <w:right w:val="single" w:color="auto" w:sz="6" w:space="0"/>
            </w:tcBorders>
            <w:noWrap w:val="0"/>
            <w:vAlign w:val="center"/>
          </w:tcPr>
          <w:p w14:paraId="2D1112AC">
            <w:pPr>
              <w:pStyle w:val="36"/>
              <w:jc w:val="center"/>
              <w:rPr>
                <w:bCs/>
                <w:color w:val="auto"/>
                <w:szCs w:val="28"/>
                <w:highlight w:val="none"/>
              </w:rPr>
            </w:pPr>
            <w:r>
              <w:rPr>
                <w:rFonts w:hint="eastAsia"/>
                <w:bCs/>
                <w:color w:val="auto"/>
                <w:szCs w:val="28"/>
                <w:highlight w:val="none"/>
              </w:rPr>
              <w:t>合同期</w:t>
            </w:r>
          </w:p>
        </w:tc>
        <w:tc>
          <w:tcPr>
            <w:tcW w:w="1878" w:type="dxa"/>
            <w:tcBorders>
              <w:top w:val="single" w:color="auto" w:sz="6" w:space="0"/>
              <w:left w:val="single" w:color="auto" w:sz="6" w:space="0"/>
              <w:bottom w:val="single" w:color="auto" w:sz="6" w:space="0"/>
              <w:right w:val="single" w:color="auto" w:sz="4" w:space="0"/>
            </w:tcBorders>
            <w:noWrap w:val="0"/>
            <w:vAlign w:val="center"/>
          </w:tcPr>
          <w:p w14:paraId="375AA782">
            <w:pPr>
              <w:pStyle w:val="36"/>
              <w:jc w:val="center"/>
              <w:rPr>
                <w:bCs/>
                <w:color w:val="auto"/>
                <w:szCs w:val="28"/>
                <w:highlight w:val="none"/>
              </w:rPr>
            </w:pPr>
            <w:r>
              <w:rPr>
                <w:rFonts w:hint="eastAsia"/>
                <w:bCs/>
                <w:color w:val="auto"/>
                <w:szCs w:val="28"/>
                <w:highlight w:val="none"/>
              </w:rPr>
              <w:t>范围</w:t>
            </w:r>
          </w:p>
        </w:tc>
        <w:tc>
          <w:tcPr>
            <w:tcW w:w="2036" w:type="dxa"/>
            <w:tcBorders>
              <w:top w:val="single" w:color="auto" w:sz="6" w:space="0"/>
              <w:left w:val="single" w:color="auto" w:sz="4" w:space="0"/>
              <w:bottom w:val="single" w:color="auto" w:sz="6" w:space="0"/>
              <w:right w:val="single" w:color="auto" w:sz="4" w:space="0"/>
            </w:tcBorders>
            <w:noWrap w:val="0"/>
            <w:vAlign w:val="center"/>
          </w:tcPr>
          <w:p w14:paraId="1CB8FF7F">
            <w:pPr>
              <w:pStyle w:val="36"/>
              <w:rPr>
                <w:bCs/>
                <w:color w:val="auto"/>
                <w:szCs w:val="28"/>
                <w:highlight w:val="none"/>
              </w:rPr>
            </w:pPr>
            <w:r>
              <w:rPr>
                <w:rFonts w:hint="eastAsia"/>
                <w:bCs/>
                <w:color w:val="auto"/>
                <w:szCs w:val="28"/>
                <w:highlight w:val="none"/>
              </w:rPr>
              <w:t>合同金额（万元）</w:t>
            </w:r>
          </w:p>
        </w:tc>
        <w:tc>
          <w:tcPr>
            <w:tcW w:w="1764" w:type="dxa"/>
            <w:tcBorders>
              <w:top w:val="single" w:color="auto" w:sz="6" w:space="0"/>
              <w:left w:val="single" w:color="auto" w:sz="6" w:space="0"/>
              <w:bottom w:val="single" w:color="auto" w:sz="6" w:space="0"/>
              <w:right w:val="single" w:color="auto" w:sz="6" w:space="0"/>
            </w:tcBorders>
            <w:noWrap w:val="0"/>
            <w:vAlign w:val="center"/>
          </w:tcPr>
          <w:p w14:paraId="1B5CDBC2">
            <w:pPr>
              <w:pStyle w:val="36"/>
              <w:ind w:firstLine="420"/>
              <w:jc w:val="center"/>
              <w:rPr>
                <w:bCs/>
                <w:color w:val="auto"/>
                <w:szCs w:val="28"/>
                <w:highlight w:val="none"/>
              </w:rPr>
            </w:pPr>
            <w:r>
              <w:rPr>
                <w:rFonts w:hint="eastAsia"/>
                <w:bCs/>
                <w:color w:val="auto"/>
                <w:szCs w:val="28"/>
                <w:highlight w:val="none"/>
              </w:rPr>
              <w:t>备注</w:t>
            </w:r>
          </w:p>
        </w:tc>
      </w:tr>
      <w:tr w14:paraId="38019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noWrap w:val="0"/>
            <w:vAlign w:val="center"/>
          </w:tcPr>
          <w:p w14:paraId="0EFF45AA">
            <w:pPr>
              <w:pStyle w:val="36"/>
              <w:ind w:firstLine="420"/>
              <w:rPr>
                <w:bCs/>
                <w:color w:val="auto"/>
                <w:szCs w:val="28"/>
                <w:highlight w:val="none"/>
              </w:rPr>
            </w:pPr>
            <w:r>
              <w:rPr>
                <w:rFonts w:hint="eastAsia"/>
                <w:bCs/>
                <w:color w:val="auto"/>
                <w:szCs w:val="28"/>
                <w:highlight w:val="none"/>
              </w:rPr>
              <w:t>1</w:t>
            </w:r>
          </w:p>
        </w:tc>
        <w:tc>
          <w:tcPr>
            <w:tcW w:w="1680" w:type="dxa"/>
            <w:tcBorders>
              <w:top w:val="single" w:color="auto" w:sz="6" w:space="0"/>
              <w:left w:val="single" w:color="auto" w:sz="6" w:space="0"/>
              <w:bottom w:val="single" w:color="auto" w:sz="6" w:space="0"/>
              <w:right w:val="single" w:color="auto" w:sz="6" w:space="0"/>
            </w:tcBorders>
            <w:noWrap w:val="0"/>
            <w:vAlign w:val="center"/>
          </w:tcPr>
          <w:p w14:paraId="641EB7C2">
            <w:pPr>
              <w:pStyle w:val="36"/>
              <w:ind w:firstLine="420"/>
              <w:jc w:val="center"/>
              <w:rPr>
                <w:bCs/>
                <w:color w:val="auto"/>
                <w:szCs w:val="28"/>
                <w:highlight w:val="none"/>
              </w:rPr>
            </w:pPr>
          </w:p>
        </w:tc>
        <w:tc>
          <w:tcPr>
            <w:tcW w:w="1241" w:type="dxa"/>
            <w:tcBorders>
              <w:top w:val="single" w:color="auto" w:sz="6" w:space="0"/>
              <w:left w:val="single" w:color="auto" w:sz="6" w:space="0"/>
              <w:bottom w:val="single" w:color="auto" w:sz="6" w:space="0"/>
              <w:right w:val="single" w:color="auto" w:sz="6" w:space="0"/>
            </w:tcBorders>
            <w:noWrap w:val="0"/>
            <w:vAlign w:val="center"/>
          </w:tcPr>
          <w:p w14:paraId="00895E79">
            <w:pPr>
              <w:pStyle w:val="36"/>
              <w:ind w:firstLine="420"/>
              <w:jc w:val="center"/>
              <w:rPr>
                <w:bCs/>
                <w:color w:val="auto"/>
                <w:szCs w:val="28"/>
                <w:highlight w:val="none"/>
              </w:rPr>
            </w:pPr>
          </w:p>
        </w:tc>
        <w:tc>
          <w:tcPr>
            <w:tcW w:w="1878" w:type="dxa"/>
            <w:tcBorders>
              <w:top w:val="single" w:color="auto" w:sz="6" w:space="0"/>
              <w:left w:val="single" w:color="auto" w:sz="6" w:space="0"/>
              <w:bottom w:val="single" w:color="auto" w:sz="6" w:space="0"/>
              <w:right w:val="single" w:color="auto" w:sz="4" w:space="0"/>
            </w:tcBorders>
            <w:noWrap w:val="0"/>
            <w:vAlign w:val="center"/>
          </w:tcPr>
          <w:p w14:paraId="2EAA3244">
            <w:pPr>
              <w:pStyle w:val="36"/>
              <w:ind w:firstLine="420"/>
              <w:jc w:val="center"/>
              <w:rPr>
                <w:bCs/>
                <w:color w:val="auto"/>
                <w:szCs w:val="28"/>
                <w:highlight w:val="none"/>
              </w:rPr>
            </w:pPr>
          </w:p>
        </w:tc>
        <w:tc>
          <w:tcPr>
            <w:tcW w:w="2036" w:type="dxa"/>
            <w:tcBorders>
              <w:top w:val="single" w:color="auto" w:sz="6" w:space="0"/>
              <w:left w:val="single" w:color="auto" w:sz="4" w:space="0"/>
              <w:bottom w:val="single" w:color="auto" w:sz="6" w:space="0"/>
              <w:right w:val="single" w:color="auto" w:sz="4" w:space="0"/>
            </w:tcBorders>
            <w:noWrap w:val="0"/>
            <w:vAlign w:val="center"/>
          </w:tcPr>
          <w:p w14:paraId="0FE7BB94">
            <w:pPr>
              <w:pStyle w:val="36"/>
              <w:ind w:firstLine="420"/>
              <w:jc w:val="center"/>
              <w:rPr>
                <w:bCs/>
                <w:color w:val="auto"/>
                <w:szCs w:val="28"/>
                <w:highlight w:val="none"/>
              </w:rPr>
            </w:pPr>
          </w:p>
        </w:tc>
        <w:tc>
          <w:tcPr>
            <w:tcW w:w="1764" w:type="dxa"/>
            <w:tcBorders>
              <w:top w:val="single" w:color="auto" w:sz="6" w:space="0"/>
              <w:left w:val="single" w:color="auto" w:sz="6" w:space="0"/>
              <w:bottom w:val="single" w:color="auto" w:sz="6" w:space="0"/>
              <w:right w:val="single" w:color="auto" w:sz="6" w:space="0"/>
            </w:tcBorders>
            <w:noWrap w:val="0"/>
            <w:vAlign w:val="center"/>
          </w:tcPr>
          <w:p w14:paraId="0D0E80E6">
            <w:pPr>
              <w:pStyle w:val="36"/>
              <w:ind w:firstLine="420"/>
              <w:jc w:val="center"/>
              <w:rPr>
                <w:bCs/>
                <w:color w:val="auto"/>
                <w:szCs w:val="28"/>
                <w:highlight w:val="none"/>
              </w:rPr>
            </w:pPr>
          </w:p>
        </w:tc>
      </w:tr>
      <w:tr w14:paraId="400F30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noWrap w:val="0"/>
            <w:vAlign w:val="center"/>
          </w:tcPr>
          <w:p w14:paraId="26BCF502">
            <w:pPr>
              <w:pStyle w:val="36"/>
              <w:ind w:firstLine="420"/>
              <w:rPr>
                <w:bCs/>
                <w:color w:val="auto"/>
                <w:szCs w:val="28"/>
                <w:highlight w:val="none"/>
              </w:rPr>
            </w:pPr>
            <w:r>
              <w:rPr>
                <w:rFonts w:hint="eastAsia"/>
                <w:bCs/>
                <w:color w:val="auto"/>
                <w:szCs w:val="28"/>
                <w:highlight w:val="none"/>
              </w:rPr>
              <w:t>2</w:t>
            </w:r>
          </w:p>
        </w:tc>
        <w:tc>
          <w:tcPr>
            <w:tcW w:w="1680" w:type="dxa"/>
            <w:tcBorders>
              <w:top w:val="single" w:color="auto" w:sz="6" w:space="0"/>
              <w:left w:val="single" w:color="auto" w:sz="6" w:space="0"/>
              <w:bottom w:val="single" w:color="auto" w:sz="6" w:space="0"/>
              <w:right w:val="single" w:color="auto" w:sz="6" w:space="0"/>
            </w:tcBorders>
            <w:noWrap w:val="0"/>
            <w:vAlign w:val="center"/>
          </w:tcPr>
          <w:p w14:paraId="1E74D6BC">
            <w:pPr>
              <w:pStyle w:val="36"/>
              <w:ind w:firstLine="420"/>
              <w:jc w:val="center"/>
              <w:rPr>
                <w:bCs/>
                <w:color w:val="auto"/>
                <w:szCs w:val="28"/>
                <w:highlight w:val="none"/>
              </w:rPr>
            </w:pPr>
          </w:p>
        </w:tc>
        <w:tc>
          <w:tcPr>
            <w:tcW w:w="1241" w:type="dxa"/>
            <w:tcBorders>
              <w:top w:val="single" w:color="auto" w:sz="6" w:space="0"/>
              <w:left w:val="single" w:color="auto" w:sz="6" w:space="0"/>
              <w:bottom w:val="single" w:color="auto" w:sz="6" w:space="0"/>
              <w:right w:val="single" w:color="auto" w:sz="6" w:space="0"/>
            </w:tcBorders>
            <w:noWrap w:val="0"/>
            <w:vAlign w:val="center"/>
          </w:tcPr>
          <w:p w14:paraId="0DAC00C9">
            <w:pPr>
              <w:pStyle w:val="36"/>
              <w:ind w:firstLine="420"/>
              <w:jc w:val="center"/>
              <w:rPr>
                <w:bCs/>
                <w:color w:val="auto"/>
                <w:szCs w:val="28"/>
                <w:highlight w:val="none"/>
              </w:rPr>
            </w:pPr>
          </w:p>
        </w:tc>
        <w:tc>
          <w:tcPr>
            <w:tcW w:w="1878" w:type="dxa"/>
            <w:tcBorders>
              <w:top w:val="single" w:color="auto" w:sz="6" w:space="0"/>
              <w:left w:val="single" w:color="auto" w:sz="6" w:space="0"/>
              <w:bottom w:val="single" w:color="auto" w:sz="6" w:space="0"/>
              <w:right w:val="single" w:color="auto" w:sz="4" w:space="0"/>
            </w:tcBorders>
            <w:noWrap w:val="0"/>
            <w:vAlign w:val="center"/>
          </w:tcPr>
          <w:p w14:paraId="1802047A">
            <w:pPr>
              <w:pStyle w:val="36"/>
              <w:ind w:firstLine="420"/>
              <w:jc w:val="center"/>
              <w:rPr>
                <w:bCs/>
                <w:color w:val="auto"/>
                <w:szCs w:val="28"/>
                <w:highlight w:val="none"/>
              </w:rPr>
            </w:pPr>
          </w:p>
        </w:tc>
        <w:tc>
          <w:tcPr>
            <w:tcW w:w="2036" w:type="dxa"/>
            <w:tcBorders>
              <w:top w:val="single" w:color="auto" w:sz="6" w:space="0"/>
              <w:left w:val="single" w:color="auto" w:sz="4" w:space="0"/>
              <w:bottom w:val="single" w:color="auto" w:sz="6" w:space="0"/>
              <w:right w:val="single" w:color="auto" w:sz="4" w:space="0"/>
            </w:tcBorders>
            <w:noWrap w:val="0"/>
            <w:vAlign w:val="center"/>
          </w:tcPr>
          <w:p w14:paraId="235CE398">
            <w:pPr>
              <w:pStyle w:val="36"/>
              <w:ind w:firstLine="420"/>
              <w:jc w:val="center"/>
              <w:rPr>
                <w:bCs/>
                <w:color w:val="auto"/>
                <w:szCs w:val="28"/>
                <w:highlight w:val="none"/>
              </w:rPr>
            </w:pPr>
          </w:p>
        </w:tc>
        <w:tc>
          <w:tcPr>
            <w:tcW w:w="1764" w:type="dxa"/>
            <w:tcBorders>
              <w:top w:val="single" w:color="auto" w:sz="6" w:space="0"/>
              <w:left w:val="single" w:color="auto" w:sz="6" w:space="0"/>
              <w:bottom w:val="single" w:color="auto" w:sz="6" w:space="0"/>
              <w:right w:val="single" w:color="auto" w:sz="6" w:space="0"/>
            </w:tcBorders>
            <w:noWrap w:val="0"/>
            <w:vAlign w:val="center"/>
          </w:tcPr>
          <w:p w14:paraId="39628049">
            <w:pPr>
              <w:pStyle w:val="36"/>
              <w:ind w:firstLine="420"/>
              <w:jc w:val="center"/>
              <w:rPr>
                <w:bCs/>
                <w:color w:val="auto"/>
                <w:szCs w:val="28"/>
                <w:highlight w:val="none"/>
              </w:rPr>
            </w:pPr>
          </w:p>
        </w:tc>
      </w:tr>
      <w:tr w14:paraId="28814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noWrap w:val="0"/>
            <w:vAlign w:val="center"/>
          </w:tcPr>
          <w:p w14:paraId="288CCE40">
            <w:pPr>
              <w:pStyle w:val="36"/>
              <w:ind w:firstLine="420"/>
              <w:rPr>
                <w:bCs/>
                <w:color w:val="auto"/>
                <w:szCs w:val="28"/>
                <w:highlight w:val="none"/>
              </w:rPr>
            </w:pPr>
            <w:r>
              <w:rPr>
                <w:rFonts w:hint="eastAsia"/>
                <w:bCs/>
                <w:color w:val="auto"/>
                <w:szCs w:val="28"/>
                <w:highlight w:val="none"/>
              </w:rPr>
              <w:t>3</w:t>
            </w:r>
          </w:p>
        </w:tc>
        <w:tc>
          <w:tcPr>
            <w:tcW w:w="1680" w:type="dxa"/>
            <w:tcBorders>
              <w:top w:val="single" w:color="auto" w:sz="6" w:space="0"/>
              <w:left w:val="single" w:color="auto" w:sz="6" w:space="0"/>
              <w:bottom w:val="single" w:color="auto" w:sz="6" w:space="0"/>
              <w:right w:val="single" w:color="auto" w:sz="6" w:space="0"/>
            </w:tcBorders>
            <w:noWrap w:val="0"/>
            <w:vAlign w:val="center"/>
          </w:tcPr>
          <w:p w14:paraId="3BDEE51A">
            <w:pPr>
              <w:pStyle w:val="36"/>
              <w:ind w:firstLine="420"/>
              <w:jc w:val="center"/>
              <w:rPr>
                <w:bCs/>
                <w:color w:val="auto"/>
                <w:szCs w:val="28"/>
                <w:highlight w:val="none"/>
              </w:rPr>
            </w:pPr>
          </w:p>
        </w:tc>
        <w:tc>
          <w:tcPr>
            <w:tcW w:w="1241" w:type="dxa"/>
            <w:tcBorders>
              <w:top w:val="single" w:color="auto" w:sz="6" w:space="0"/>
              <w:left w:val="single" w:color="auto" w:sz="6" w:space="0"/>
              <w:bottom w:val="single" w:color="auto" w:sz="6" w:space="0"/>
              <w:right w:val="single" w:color="auto" w:sz="6" w:space="0"/>
            </w:tcBorders>
            <w:noWrap w:val="0"/>
            <w:vAlign w:val="center"/>
          </w:tcPr>
          <w:p w14:paraId="7FC3477D">
            <w:pPr>
              <w:pStyle w:val="36"/>
              <w:ind w:firstLine="420"/>
              <w:jc w:val="center"/>
              <w:rPr>
                <w:bCs/>
                <w:color w:val="auto"/>
                <w:szCs w:val="28"/>
                <w:highlight w:val="none"/>
              </w:rPr>
            </w:pPr>
          </w:p>
        </w:tc>
        <w:tc>
          <w:tcPr>
            <w:tcW w:w="1878" w:type="dxa"/>
            <w:tcBorders>
              <w:top w:val="single" w:color="auto" w:sz="6" w:space="0"/>
              <w:left w:val="single" w:color="auto" w:sz="6" w:space="0"/>
              <w:bottom w:val="single" w:color="auto" w:sz="6" w:space="0"/>
              <w:right w:val="single" w:color="auto" w:sz="4" w:space="0"/>
            </w:tcBorders>
            <w:noWrap w:val="0"/>
            <w:vAlign w:val="center"/>
          </w:tcPr>
          <w:p w14:paraId="02E7CE59">
            <w:pPr>
              <w:pStyle w:val="36"/>
              <w:ind w:firstLine="420"/>
              <w:jc w:val="center"/>
              <w:rPr>
                <w:bCs/>
                <w:color w:val="auto"/>
                <w:szCs w:val="28"/>
                <w:highlight w:val="none"/>
              </w:rPr>
            </w:pPr>
          </w:p>
        </w:tc>
        <w:tc>
          <w:tcPr>
            <w:tcW w:w="2036" w:type="dxa"/>
            <w:tcBorders>
              <w:top w:val="single" w:color="auto" w:sz="6" w:space="0"/>
              <w:left w:val="single" w:color="auto" w:sz="4" w:space="0"/>
              <w:bottom w:val="single" w:color="auto" w:sz="6" w:space="0"/>
              <w:right w:val="single" w:color="auto" w:sz="4" w:space="0"/>
            </w:tcBorders>
            <w:noWrap w:val="0"/>
            <w:vAlign w:val="center"/>
          </w:tcPr>
          <w:p w14:paraId="3F60D518">
            <w:pPr>
              <w:pStyle w:val="36"/>
              <w:ind w:firstLine="420"/>
              <w:jc w:val="center"/>
              <w:rPr>
                <w:bCs/>
                <w:color w:val="auto"/>
                <w:szCs w:val="28"/>
                <w:highlight w:val="none"/>
              </w:rPr>
            </w:pPr>
          </w:p>
        </w:tc>
        <w:tc>
          <w:tcPr>
            <w:tcW w:w="1764" w:type="dxa"/>
            <w:tcBorders>
              <w:top w:val="single" w:color="auto" w:sz="6" w:space="0"/>
              <w:left w:val="single" w:color="auto" w:sz="6" w:space="0"/>
              <w:bottom w:val="single" w:color="auto" w:sz="6" w:space="0"/>
              <w:right w:val="single" w:color="auto" w:sz="6" w:space="0"/>
            </w:tcBorders>
            <w:noWrap w:val="0"/>
            <w:vAlign w:val="center"/>
          </w:tcPr>
          <w:p w14:paraId="02504390">
            <w:pPr>
              <w:pStyle w:val="36"/>
              <w:ind w:firstLine="420"/>
              <w:jc w:val="center"/>
              <w:rPr>
                <w:bCs/>
                <w:color w:val="auto"/>
                <w:szCs w:val="28"/>
                <w:highlight w:val="none"/>
              </w:rPr>
            </w:pPr>
          </w:p>
        </w:tc>
      </w:tr>
      <w:tr w14:paraId="650F2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noWrap w:val="0"/>
            <w:vAlign w:val="center"/>
          </w:tcPr>
          <w:p w14:paraId="7EB2C3A4">
            <w:pPr>
              <w:pStyle w:val="36"/>
              <w:ind w:firstLine="420"/>
              <w:rPr>
                <w:bCs/>
                <w:color w:val="auto"/>
                <w:szCs w:val="28"/>
                <w:highlight w:val="none"/>
              </w:rPr>
            </w:pPr>
            <w:r>
              <w:rPr>
                <w:rFonts w:hint="eastAsia"/>
                <w:bCs/>
                <w:color w:val="auto"/>
                <w:szCs w:val="28"/>
                <w:highlight w:val="none"/>
              </w:rPr>
              <w:t>4</w:t>
            </w:r>
          </w:p>
        </w:tc>
        <w:tc>
          <w:tcPr>
            <w:tcW w:w="1680" w:type="dxa"/>
            <w:tcBorders>
              <w:top w:val="single" w:color="auto" w:sz="6" w:space="0"/>
              <w:left w:val="single" w:color="auto" w:sz="6" w:space="0"/>
              <w:bottom w:val="single" w:color="auto" w:sz="6" w:space="0"/>
              <w:right w:val="single" w:color="auto" w:sz="6" w:space="0"/>
            </w:tcBorders>
            <w:noWrap w:val="0"/>
            <w:vAlign w:val="center"/>
          </w:tcPr>
          <w:p w14:paraId="71E81ABF">
            <w:pPr>
              <w:pStyle w:val="36"/>
              <w:ind w:firstLine="420"/>
              <w:jc w:val="center"/>
              <w:rPr>
                <w:bCs/>
                <w:color w:val="auto"/>
                <w:szCs w:val="28"/>
                <w:highlight w:val="none"/>
              </w:rPr>
            </w:pPr>
          </w:p>
        </w:tc>
        <w:tc>
          <w:tcPr>
            <w:tcW w:w="1241" w:type="dxa"/>
            <w:tcBorders>
              <w:top w:val="single" w:color="auto" w:sz="6" w:space="0"/>
              <w:left w:val="single" w:color="auto" w:sz="6" w:space="0"/>
              <w:bottom w:val="single" w:color="auto" w:sz="6" w:space="0"/>
              <w:right w:val="single" w:color="auto" w:sz="6" w:space="0"/>
            </w:tcBorders>
            <w:noWrap w:val="0"/>
            <w:vAlign w:val="center"/>
          </w:tcPr>
          <w:p w14:paraId="6B56262D">
            <w:pPr>
              <w:pStyle w:val="36"/>
              <w:ind w:firstLine="420"/>
              <w:jc w:val="center"/>
              <w:rPr>
                <w:bCs/>
                <w:color w:val="auto"/>
                <w:szCs w:val="28"/>
                <w:highlight w:val="none"/>
              </w:rPr>
            </w:pPr>
          </w:p>
        </w:tc>
        <w:tc>
          <w:tcPr>
            <w:tcW w:w="1878" w:type="dxa"/>
            <w:tcBorders>
              <w:top w:val="single" w:color="auto" w:sz="6" w:space="0"/>
              <w:left w:val="single" w:color="auto" w:sz="6" w:space="0"/>
              <w:bottom w:val="single" w:color="auto" w:sz="6" w:space="0"/>
              <w:right w:val="single" w:color="auto" w:sz="4" w:space="0"/>
            </w:tcBorders>
            <w:noWrap w:val="0"/>
            <w:vAlign w:val="center"/>
          </w:tcPr>
          <w:p w14:paraId="7671FE33">
            <w:pPr>
              <w:pStyle w:val="36"/>
              <w:ind w:firstLine="420"/>
              <w:jc w:val="center"/>
              <w:rPr>
                <w:bCs/>
                <w:color w:val="auto"/>
                <w:szCs w:val="28"/>
                <w:highlight w:val="none"/>
              </w:rPr>
            </w:pPr>
          </w:p>
        </w:tc>
        <w:tc>
          <w:tcPr>
            <w:tcW w:w="2036" w:type="dxa"/>
            <w:tcBorders>
              <w:top w:val="single" w:color="auto" w:sz="6" w:space="0"/>
              <w:left w:val="single" w:color="auto" w:sz="4" w:space="0"/>
              <w:bottom w:val="single" w:color="auto" w:sz="6" w:space="0"/>
              <w:right w:val="single" w:color="auto" w:sz="4" w:space="0"/>
            </w:tcBorders>
            <w:noWrap w:val="0"/>
            <w:vAlign w:val="center"/>
          </w:tcPr>
          <w:p w14:paraId="347F7C8C">
            <w:pPr>
              <w:pStyle w:val="36"/>
              <w:ind w:firstLine="420"/>
              <w:jc w:val="center"/>
              <w:rPr>
                <w:bCs/>
                <w:color w:val="auto"/>
                <w:szCs w:val="28"/>
                <w:highlight w:val="none"/>
              </w:rPr>
            </w:pPr>
          </w:p>
        </w:tc>
        <w:tc>
          <w:tcPr>
            <w:tcW w:w="1764" w:type="dxa"/>
            <w:tcBorders>
              <w:top w:val="single" w:color="auto" w:sz="6" w:space="0"/>
              <w:left w:val="single" w:color="auto" w:sz="6" w:space="0"/>
              <w:bottom w:val="single" w:color="auto" w:sz="6" w:space="0"/>
              <w:right w:val="single" w:color="auto" w:sz="6" w:space="0"/>
            </w:tcBorders>
            <w:noWrap w:val="0"/>
            <w:vAlign w:val="center"/>
          </w:tcPr>
          <w:p w14:paraId="7BD52306">
            <w:pPr>
              <w:pStyle w:val="36"/>
              <w:ind w:firstLine="420"/>
              <w:jc w:val="center"/>
              <w:rPr>
                <w:bCs/>
                <w:color w:val="auto"/>
                <w:szCs w:val="28"/>
                <w:highlight w:val="none"/>
              </w:rPr>
            </w:pPr>
          </w:p>
        </w:tc>
      </w:tr>
      <w:tr w14:paraId="18296A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noWrap w:val="0"/>
            <w:vAlign w:val="center"/>
          </w:tcPr>
          <w:p w14:paraId="1E7FD348">
            <w:pPr>
              <w:pStyle w:val="36"/>
              <w:ind w:firstLine="420"/>
              <w:rPr>
                <w:bCs/>
                <w:color w:val="auto"/>
                <w:szCs w:val="28"/>
                <w:highlight w:val="none"/>
              </w:rPr>
            </w:pPr>
            <w:r>
              <w:rPr>
                <w:rFonts w:hint="eastAsia"/>
                <w:bCs/>
                <w:color w:val="auto"/>
                <w:szCs w:val="28"/>
                <w:highlight w:val="none"/>
              </w:rPr>
              <w:t>5</w:t>
            </w:r>
          </w:p>
        </w:tc>
        <w:tc>
          <w:tcPr>
            <w:tcW w:w="1680" w:type="dxa"/>
            <w:tcBorders>
              <w:top w:val="single" w:color="auto" w:sz="6" w:space="0"/>
              <w:left w:val="single" w:color="auto" w:sz="6" w:space="0"/>
              <w:bottom w:val="single" w:color="auto" w:sz="6" w:space="0"/>
              <w:right w:val="single" w:color="auto" w:sz="6" w:space="0"/>
            </w:tcBorders>
            <w:noWrap w:val="0"/>
            <w:vAlign w:val="center"/>
          </w:tcPr>
          <w:p w14:paraId="1EB06A8F">
            <w:pPr>
              <w:pStyle w:val="36"/>
              <w:ind w:firstLine="420"/>
              <w:jc w:val="center"/>
              <w:rPr>
                <w:bCs/>
                <w:color w:val="auto"/>
                <w:szCs w:val="28"/>
                <w:highlight w:val="none"/>
              </w:rPr>
            </w:pPr>
          </w:p>
        </w:tc>
        <w:tc>
          <w:tcPr>
            <w:tcW w:w="1241" w:type="dxa"/>
            <w:tcBorders>
              <w:top w:val="single" w:color="auto" w:sz="6" w:space="0"/>
              <w:left w:val="single" w:color="auto" w:sz="6" w:space="0"/>
              <w:bottom w:val="single" w:color="auto" w:sz="6" w:space="0"/>
              <w:right w:val="single" w:color="auto" w:sz="6" w:space="0"/>
            </w:tcBorders>
            <w:noWrap w:val="0"/>
            <w:vAlign w:val="center"/>
          </w:tcPr>
          <w:p w14:paraId="28C17A8A">
            <w:pPr>
              <w:pStyle w:val="36"/>
              <w:ind w:firstLine="420"/>
              <w:jc w:val="center"/>
              <w:rPr>
                <w:bCs/>
                <w:color w:val="auto"/>
                <w:szCs w:val="28"/>
                <w:highlight w:val="none"/>
              </w:rPr>
            </w:pPr>
          </w:p>
        </w:tc>
        <w:tc>
          <w:tcPr>
            <w:tcW w:w="1878" w:type="dxa"/>
            <w:tcBorders>
              <w:top w:val="single" w:color="auto" w:sz="6" w:space="0"/>
              <w:left w:val="single" w:color="auto" w:sz="6" w:space="0"/>
              <w:bottom w:val="single" w:color="auto" w:sz="6" w:space="0"/>
              <w:right w:val="single" w:color="auto" w:sz="4" w:space="0"/>
            </w:tcBorders>
            <w:noWrap w:val="0"/>
            <w:vAlign w:val="center"/>
          </w:tcPr>
          <w:p w14:paraId="3E345A50">
            <w:pPr>
              <w:pStyle w:val="36"/>
              <w:ind w:firstLine="420"/>
              <w:jc w:val="center"/>
              <w:rPr>
                <w:bCs/>
                <w:color w:val="auto"/>
                <w:szCs w:val="28"/>
                <w:highlight w:val="none"/>
              </w:rPr>
            </w:pPr>
          </w:p>
        </w:tc>
        <w:tc>
          <w:tcPr>
            <w:tcW w:w="2036" w:type="dxa"/>
            <w:tcBorders>
              <w:top w:val="single" w:color="auto" w:sz="6" w:space="0"/>
              <w:left w:val="single" w:color="auto" w:sz="4" w:space="0"/>
              <w:bottom w:val="single" w:color="auto" w:sz="6" w:space="0"/>
              <w:right w:val="single" w:color="auto" w:sz="4" w:space="0"/>
            </w:tcBorders>
            <w:noWrap w:val="0"/>
            <w:vAlign w:val="center"/>
          </w:tcPr>
          <w:p w14:paraId="5199BE30">
            <w:pPr>
              <w:pStyle w:val="36"/>
              <w:ind w:firstLine="420"/>
              <w:jc w:val="center"/>
              <w:rPr>
                <w:bCs/>
                <w:color w:val="auto"/>
                <w:szCs w:val="28"/>
                <w:highlight w:val="none"/>
              </w:rPr>
            </w:pPr>
          </w:p>
        </w:tc>
        <w:tc>
          <w:tcPr>
            <w:tcW w:w="1764" w:type="dxa"/>
            <w:tcBorders>
              <w:top w:val="single" w:color="auto" w:sz="6" w:space="0"/>
              <w:left w:val="single" w:color="auto" w:sz="6" w:space="0"/>
              <w:bottom w:val="single" w:color="auto" w:sz="6" w:space="0"/>
              <w:right w:val="single" w:color="auto" w:sz="6" w:space="0"/>
            </w:tcBorders>
            <w:noWrap w:val="0"/>
            <w:vAlign w:val="center"/>
          </w:tcPr>
          <w:p w14:paraId="130DE20F">
            <w:pPr>
              <w:pStyle w:val="36"/>
              <w:ind w:firstLine="420"/>
              <w:jc w:val="center"/>
              <w:rPr>
                <w:bCs/>
                <w:color w:val="auto"/>
                <w:szCs w:val="28"/>
                <w:highlight w:val="none"/>
              </w:rPr>
            </w:pPr>
          </w:p>
        </w:tc>
      </w:tr>
      <w:tr w14:paraId="7FD49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noWrap w:val="0"/>
            <w:textDirection w:val="tbRlV"/>
            <w:vAlign w:val="center"/>
          </w:tcPr>
          <w:p w14:paraId="665800E1">
            <w:pPr>
              <w:pStyle w:val="36"/>
              <w:ind w:firstLine="420"/>
              <w:jc w:val="center"/>
              <w:rPr>
                <w:bCs/>
                <w:color w:val="auto"/>
                <w:szCs w:val="28"/>
                <w:highlight w:val="none"/>
              </w:rPr>
            </w:pPr>
          </w:p>
        </w:tc>
        <w:tc>
          <w:tcPr>
            <w:tcW w:w="1680" w:type="dxa"/>
            <w:tcBorders>
              <w:top w:val="single" w:color="auto" w:sz="6" w:space="0"/>
              <w:left w:val="single" w:color="auto" w:sz="6" w:space="0"/>
              <w:bottom w:val="single" w:color="auto" w:sz="6" w:space="0"/>
              <w:right w:val="single" w:color="auto" w:sz="6" w:space="0"/>
            </w:tcBorders>
            <w:noWrap w:val="0"/>
            <w:vAlign w:val="center"/>
          </w:tcPr>
          <w:p w14:paraId="2B67D8E3">
            <w:pPr>
              <w:pStyle w:val="36"/>
              <w:ind w:firstLine="420"/>
              <w:jc w:val="center"/>
              <w:rPr>
                <w:bCs/>
                <w:color w:val="auto"/>
                <w:szCs w:val="28"/>
                <w:highlight w:val="none"/>
              </w:rPr>
            </w:pPr>
          </w:p>
        </w:tc>
        <w:tc>
          <w:tcPr>
            <w:tcW w:w="1241" w:type="dxa"/>
            <w:tcBorders>
              <w:top w:val="single" w:color="auto" w:sz="6" w:space="0"/>
              <w:left w:val="single" w:color="auto" w:sz="6" w:space="0"/>
              <w:bottom w:val="single" w:color="auto" w:sz="6" w:space="0"/>
              <w:right w:val="single" w:color="auto" w:sz="6" w:space="0"/>
            </w:tcBorders>
            <w:noWrap w:val="0"/>
            <w:vAlign w:val="center"/>
          </w:tcPr>
          <w:p w14:paraId="6848E2FE">
            <w:pPr>
              <w:pStyle w:val="36"/>
              <w:ind w:firstLine="420"/>
              <w:jc w:val="center"/>
              <w:rPr>
                <w:bCs/>
                <w:color w:val="auto"/>
                <w:szCs w:val="28"/>
                <w:highlight w:val="none"/>
              </w:rPr>
            </w:pPr>
          </w:p>
        </w:tc>
        <w:tc>
          <w:tcPr>
            <w:tcW w:w="1878" w:type="dxa"/>
            <w:tcBorders>
              <w:top w:val="single" w:color="auto" w:sz="6" w:space="0"/>
              <w:left w:val="single" w:color="auto" w:sz="6" w:space="0"/>
              <w:bottom w:val="single" w:color="auto" w:sz="6" w:space="0"/>
              <w:right w:val="single" w:color="auto" w:sz="4" w:space="0"/>
            </w:tcBorders>
            <w:noWrap w:val="0"/>
            <w:vAlign w:val="center"/>
          </w:tcPr>
          <w:p w14:paraId="00FC8734">
            <w:pPr>
              <w:pStyle w:val="36"/>
              <w:ind w:firstLine="420"/>
              <w:jc w:val="center"/>
              <w:rPr>
                <w:bCs/>
                <w:color w:val="auto"/>
                <w:szCs w:val="28"/>
                <w:highlight w:val="none"/>
              </w:rPr>
            </w:pPr>
          </w:p>
        </w:tc>
        <w:tc>
          <w:tcPr>
            <w:tcW w:w="2036" w:type="dxa"/>
            <w:tcBorders>
              <w:top w:val="single" w:color="auto" w:sz="6" w:space="0"/>
              <w:left w:val="single" w:color="auto" w:sz="4" w:space="0"/>
              <w:bottom w:val="single" w:color="auto" w:sz="6" w:space="0"/>
              <w:right w:val="single" w:color="auto" w:sz="4" w:space="0"/>
            </w:tcBorders>
            <w:noWrap w:val="0"/>
            <w:vAlign w:val="center"/>
          </w:tcPr>
          <w:p w14:paraId="06E44336">
            <w:pPr>
              <w:pStyle w:val="36"/>
              <w:ind w:firstLine="420"/>
              <w:jc w:val="center"/>
              <w:rPr>
                <w:bCs/>
                <w:color w:val="auto"/>
                <w:szCs w:val="28"/>
                <w:highlight w:val="none"/>
              </w:rPr>
            </w:pPr>
          </w:p>
        </w:tc>
        <w:tc>
          <w:tcPr>
            <w:tcW w:w="1764" w:type="dxa"/>
            <w:tcBorders>
              <w:top w:val="single" w:color="auto" w:sz="6" w:space="0"/>
              <w:left w:val="single" w:color="auto" w:sz="6" w:space="0"/>
              <w:bottom w:val="single" w:color="auto" w:sz="6" w:space="0"/>
              <w:right w:val="single" w:color="auto" w:sz="6" w:space="0"/>
            </w:tcBorders>
            <w:noWrap w:val="0"/>
            <w:vAlign w:val="center"/>
          </w:tcPr>
          <w:p w14:paraId="7A135742">
            <w:pPr>
              <w:pStyle w:val="36"/>
              <w:ind w:firstLine="420"/>
              <w:jc w:val="center"/>
              <w:rPr>
                <w:bCs/>
                <w:color w:val="auto"/>
                <w:szCs w:val="28"/>
                <w:highlight w:val="none"/>
              </w:rPr>
            </w:pPr>
          </w:p>
        </w:tc>
      </w:tr>
      <w:tr w14:paraId="6B1700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noWrap w:val="0"/>
            <w:vAlign w:val="center"/>
          </w:tcPr>
          <w:p w14:paraId="37431E08">
            <w:pPr>
              <w:pStyle w:val="36"/>
              <w:ind w:firstLine="420"/>
              <w:jc w:val="center"/>
              <w:rPr>
                <w:bCs/>
                <w:color w:val="auto"/>
                <w:szCs w:val="28"/>
                <w:highlight w:val="none"/>
              </w:rPr>
            </w:pPr>
          </w:p>
        </w:tc>
        <w:tc>
          <w:tcPr>
            <w:tcW w:w="1680" w:type="dxa"/>
            <w:tcBorders>
              <w:top w:val="single" w:color="auto" w:sz="6" w:space="0"/>
              <w:left w:val="single" w:color="auto" w:sz="6" w:space="0"/>
              <w:bottom w:val="single" w:color="auto" w:sz="6" w:space="0"/>
              <w:right w:val="single" w:color="auto" w:sz="6" w:space="0"/>
            </w:tcBorders>
            <w:noWrap w:val="0"/>
            <w:vAlign w:val="center"/>
          </w:tcPr>
          <w:p w14:paraId="4992C465">
            <w:pPr>
              <w:pStyle w:val="36"/>
              <w:ind w:firstLine="420"/>
              <w:jc w:val="center"/>
              <w:rPr>
                <w:bCs/>
                <w:color w:val="auto"/>
                <w:szCs w:val="28"/>
                <w:highlight w:val="none"/>
              </w:rPr>
            </w:pPr>
          </w:p>
        </w:tc>
        <w:tc>
          <w:tcPr>
            <w:tcW w:w="1241" w:type="dxa"/>
            <w:tcBorders>
              <w:top w:val="single" w:color="auto" w:sz="6" w:space="0"/>
              <w:left w:val="single" w:color="auto" w:sz="6" w:space="0"/>
              <w:bottom w:val="single" w:color="auto" w:sz="6" w:space="0"/>
              <w:right w:val="single" w:color="auto" w:sz="6" w:space="0"/>
            </w:tcBorders>
            <w:noWrap w:val="0"/>
            <w:vAlign w:val="center"/>
          </w:tcPr>
          <w:p w14:paraId="4D096425">
            <w:pPr>
              <w:pStyle w:val="36"/>
              <w:ind w:firstLine="420"/>
              <w:jc w:val="center"/>
              <w:rPr>
                <w:bCs/>
                <w:color w:val="auto"/>
                <w:szCs w:val="28"/>
                <w:highlight w:val="none"/>
              </w:rPr>
            </w:pPr>
          </w:p>
        </w:tc>
        <w:tc>
          <w:tcPr>
            <w:tcW w:w="1878" w:type="dxa"/>
            <w:tcBorders>
              <w:top w:val="single" w:color="auto" w:sz="6" w:space="0"/>
              <w:left w:val="single" w:color="auto" w:sz="6" w:space="0"/>
              <w:bottom w:val="single" w:color="auto" w:sz="6" w:space="0"/>
              <w:right w:val="single" w:color="auto" w:sz="4" w:space="0"/>
            </w:tcBorders>
            <w:noWrap w:val="0"/>
            <w:vAlign w:val="center"/>
          </w:tcPr>
          <w:p w14:paraId="66598464">
            <w:pPr>
              <w:pStyle w:val="36"/>
              <w:ind w:firstLine="420"/>
              <w:jc w:val="center"/>
              <w:rPr>
                <w:bCs/>
                <w:color w:val="auto"/>
                <w:szCs w:val="28"/>
                <w:highlight w:val="none"/>
              </w:rPr>
            </w:pPr>
          </w:p>
        </w:tc>
        <w:tc>
          <w:tcPr>
            <w:tcW w:w="2036" w:type="dxa"/>
            <w:tcBorders>
              <w:top w:val="single" w:color="auto" w:sz="6" w:space="0"/>
              <w:left w:val="single" w:color="auto" w:sz="4" w:space="0"/>
              <w:bottom w:val="single" w:color="auto" w:sz="6" w:space="0"/>
              <w:right w:val="single" w:color="auto" w:sz="4" w:space="0"/>
            </w:tcBorders>
            <w:noWrap w:val="0"/>
            <w:vAlign w:val="center"/>
          </w:tcPr>
          <w:p w14:paraId="2D5E1D5A">
            <w:pPr>
              <w:pStyle w:val="36"/>
              <w:ind w:firstLine="420"/>
              <w:jc w:val="center"/>
              <w:rPr>
                <w:bCs/>
                <w:color w:val="auto"/>
                <w:szCs w:val="28"/>
                <w:highlight w:val="none"/>
              </w:rPr>
            </w:pPr>
          </w:p>
        </w:tc>
        <w:tc>
          <w:tcPr>
            <w:tcW w:w="1764" w:type="dxa"/>
            <w:tcBorders>
              <w:top w:val="single" w:color="auto" w:sz="6" w:space="0"/>
              <w:left w:val="single" w:color="auto" w:sz="6" w:space="0"/>
              <w:bottom w:val="single" w:color="auto" w:sz="6" w:space="0"/>
              <w:right w:val="single" w:color="auto" w:sz="6" w:space="0"/>
            </w:tcBorders>
            <w:noWrap w:val="0"/>
            <w:vAlign w:val="center"/>
          </w:tcPr>
          <w:p w14:paraId="161327CC">
            <w:pPr>
              <w:pStyle w:val="36"/>
              <w:ind w:firstLine="420"/>
              <w:jc w:val="center"/>
              <w:rPr>
                <w:bCs/>
                <w:color w:val="auto"/>
                <w:szCs w:val="28"/>
                <w:highlight w:val="none"/>
              </w:rPr>
            </w:pPr>
          </w:p>
        </w:tc>
      </w:tr>
      <w:tr w14:paraId="3AB866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noWrap w:val="0"/>
            <w:vAlign w:val="center"/>
          </w:tcPr>
          <w:p w14:paraId="71188083">
            <w:pPr>
              <w:pStyle w:val="36"/>
              <w:ind w:firstLine="420"/>
              <w:jc w:val="center"/>
              <w:rPr>
                <w:bCs/>
                <w:color w:val="auto"/>
                <w:szCs w:val="28"/>
                <w:highlight w:val="none"/>
              </w:rPr>
            </w:pPr>
          </w:p>
        </w:tc>
        <w:tc>
          <w:tcPr>
            <w:tcW w:w="1680" w:type="dxa"/>
            <w:tcBorders>
              <w:top w:val="single" w:color="auto" w:sz="6" w:space="0"/>
              <w:left w:val="single" w:color="auto" w:sz="6" w:space="0"/>
              <w:bottom w:val="single" w:color="auto" w:sz="6" w:space="0"/>
              <w:right w:val="single" w:color="auto" w:sz="6" w:space="0"/>
            </w:tcBorders>
            <w:noWrap w:val="0"/>
            <w:vAlign w:val="center"/>
          </w:tcPr>
          <w:p w14:paraId="2EDCDC11">
            <w:pPr>
              <w:pStyle w:val="36"/>
              <w:ind w:firstLine="420"/>
              <w:jc w:val="center"/>
              <w:rPr>
                <w:bCs/>
                <w:color w:val="auto"/>
                <w:szCs w:val="28"/>
                <w:highlight w:val="none"/>
              </w:rPr>
            </w:pPr>
          </w:p>
        </w:tc>
        <w:tc>
          <w:tcPr>
            <w:tcW w:w="1241" w:type="dxa"/>
            <w:tcBorders>
              <w:top w:val="single" w:color="auto" w:sz="6" w:space="0"/>
              <w:left w:val="single" w:color="auto" w:sz="6" w:space="0"/>
              <w:bottom w:val="single" w:color="auto" w:sz="6" w:space="0"/>
              <w:right w:val="single" w:color="auto" w:sz="6" w:space="0"/>
            </w:tcBorders>
            <w:noWrap w:val="0"/>
            <w:vAlign w:val="center"/>
          </w:tcPr>
          <w:p w14:paraId="285C2C92">
            <w:pPr>
              <w:pStyle w:val="36"/>
              <w:ind w:firstLine="420"/>
              <w:jc w:val="center"/>
              <w:rPr>
                <w:bCs/>
                <w:color w:val="auto"/>
                <w:szCs w:val="28"/>
                <w:highlight w:val="none"/>
              </w:rPr>
            </w:pPr>
          </w:p>
        </w:tc>
        <w:tc>
          <w:tcPr>
            <w:tcW w:w="1878" w:type="dxa"/>
            <w:tcBorders>
              <w:top w:val="single" w:color="auto" w:sz="6" w:space="0"/>
              <w:left w:val="single" w:color="auto" w:sz="6" w:space="0"/>
              <w:bottom w:val="single" w:color="auto" w:sz="6" w:space="0"/>
              <w:right w:val="single" w:color="auto" w:sz="4" w:space="0"/>
            </w:tcBorders>
            <w:noWrap w:val="0"/>
            <w:vAlign w:val="center"/>
          </w:tcPr>
          <w:p w14:paraId="198B3F8F">
            <w:pPr>
              <w:pStyle w:val="36"/>
              <w:ind w:firstLine="420"/>
              <w:jc w:val="center"/>
              <w:rPr>
                <w:bCs/>
                <w:color w:val="auto"/>
                <w:szCs w:val="28"/>
                <w:highlight w:val="none"/>
              </w:rPr>
            </w:pPr>
          </w:p>
        </w:tc>
        <w:tc>
          <w:tcPr>
            <w:tcW w:w="2036" w:type="dxa"/>
            <w:tcBorders>
              <w:top w:val="single" w:color="auto" w:sz="6" w:space="0"/>
              <w:left w:val="single" w:color="auto" w:sz="4" w:space="0"/>
              <w:bottom w:val="single" w:color="auto" w:sz="6" w:space="0"/>
              <w:right w:val="single" w:color="auto" w:sz="4" w:space="0"/>
            </w:tcBorders>
            <w:noWrap w:val="0"/>
            <w:vAlign w:val="center"/>
          </w:tcPr>
          <w:p w14:paraId="47D6E556">
            <w:pPr>
              <w:pStyle w:val="36"/>
              <w:ind w:firstLine="420"/>
              <w:jc w:val="center"/>
              <w:rPr>
                <w:bCs/>
                <w:color w:val="auto"/>
                <w:szCs w:val="28"/>
                <w:highlight w:val="none"/>
              </w:rPr>
            </w:pPr>
          </w:p>
        </w:tc>
        <w:tc>
          <w:tcPr>
            <w:tcW w:w="1764" w:type="dxa"/>
            <w:tcBorders>
              <w:top w:val="single" w:color="auto" w:sz="6" w:space="0"/>
              <w:left w:val="single" w:color="auto" w:sz="6" w:space="0"/>
              <w:bottom w:val="single" w:color="auto" w:sz="6" w:space="0"/>
              <w:right w:val="single" w:color="auto" w:sz="6" w:space="0"/>
            </w:tcBorders>
            <w:noWrap w:val="0"/>
            <w:vAlign w:val="center"/>
          </w:tcPr>
          <w:p w14:paraId="465A4096">
            <w:pPr>
              <w:pStyle w:val="36"/>
              <w:ind w:firstLine="420"/>
              <w:jc w:val="center"/>
              <w:rPr>
                <w:bCs/>
                <w:color w:val="auto"/>
                <w:szCs w:val="28"/>
                <w:highlight w:val="none"/>
              </w:rPr>
            </w:pPr>
          </w:p>
        </w:tc>
      </w:tr>
      <w:tr w14:paraId="154C80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noWrap w:val="0"/>
            <w:vAlign w:val="center"/>
          </w:tcPr>
          <w:p w14:paraId="3932CD78">
            <w:pPr>
              <w:pStyle w:val="36"/>
              <w:ind w:firstLine="420"/>
              <w:jc w:val="center"/>
              <w:rPr>
                <w:bCs/>
                <w:color w:val="auto"/>
                <w:szCs w:val="28"/>
                <w:highlight w:val="none"/>
              </w:rPr>
            </w:pPr>
          </w:p>
        </w:tc>
        <w:tc>
          <w:tcPr>
            <w:tcW w:w="1680" w:type="dxa"/>
            <w:tcBorders>
              <w:top w:val="single" w:color="auto" w:sz="6" w:space="0"/>
              <w:left w:val="single" w:color="auto" w:sz="6" w:space="0"/>
              <w:bottom w:val="single" w:color="auto" w:sz="6" w:space="0"/>
              <w:right w:val="single" w:color="auto" w:sz="6" w:space="0"/>
            </w:tcBorders>
            <w:noWrap w:val="0"/>
            <w:vAlign w:val="center"/>
          </w:tcPr>
          <w:p w14:paraId="3D1A0884">
            <w:pPr>
              <w:pStyle w:val="36"/>
              <w:ind w:firstLine="420"/>
              <w:jc w:val="center"/>
              <w:rPr>
                <w:bCs/>
                <w:color w:val="auto"/>
                <w:szCs w:val="28"/>
                <w:highlight w:val="none"/>
              </w:rPr>
            </w:pPr>
          </w:p>
        </w:tc>
        <w:tc>
          <w:tcPr>
            <w:tcW w:w="1241" w:type="dxa"/>
            <w:tcBorders>
              <w:top w:val="single" w:color="auto" w:sz="6" w:space="0"/>
              <w:left w:val="single" w:color="auto" w:sz="6" w:space="0"/>
              <w:bottom w:val="single" w:color="auto" w:sz="6" w:space="0"/>
              <w:right w:val="single" w:color="auto" w:sz="6" w:space="0"/>
            </w:tcBorders>
            <w:noWrap w:val="0"/>
            <w:vAlign w:val="center"/>
          </w:tcPr>
          <w:p w14:paraId="4714B6EB">
            <w:pPr>
              <w:pStyle w:val="36"/>
              <w:ind w:firstLine="420"/>
              <w:jc w:val="center"/>
              <w:rPr>
                <w:bCs/>
                <w:color w:val="auto"/>
                <w:szCs w:val="28"/>
                <w:highlight w:val="none"/>
              </w:rPr>
            </w:pPr>
          </w:p>
        </w:tc>
        <w:tc>
          <w:tcPr>
            <w:tcW w:w="1878" w:type="dxa"/>
            <w:tcBorders>
              <w:top w:val="single" w:color="auto" w:sz="6" w:space="0"/>
              <w:left w:val="single" w:color="auto" w:sz="6" w:space="0"/>
              <w:bottom w:val="single" w:color="auto" w:sz="6" w:space="0"/>
              <w:right w:val="single" w:color="auto" w:sz="4" w:space="0"/>
            </w:tcBorders>
            <w:noWrap w:val="0"/>
            <w:vAlign w:val="center"/>
          </w:tcPr>
          <w:p w14:paraId="1157B713">
            <w:pPr>
              <w:pStyle w:val="36"/>
              <w:ind w:firstLine="420"/>
              <w:jc w:val="center"/>
              <w:rPr>
                <w:bCs/>
                <w:color w:val="auto"/>
                <w:szCs w:val="28"/>
                <w:highlight w:val="none"/>
              </w:rPr>
            </w:pPr>
          </w:p>
        </w:tc>
        <w:tc>
          <w:tcPr>
            <w:tcW w:w="2036" w:type="dxa"/>
            <w:tcBorders>
              <w:top w:val="single" w:color="auto" w:sz="6" w:space="0"/>
              <w:left w:val="single" w:color="auto" w:sz="4" w:space="0"/>
              <w:bottom w:val="single" w:color="auto" w:sz="6" w:space="0"/>
              <w:right w:val="single" w:color="auto" w:sz="4" w:space="0"/>
            </w:tcBorders>
            <w:noWrap w:val="0"/>
            <w:vAlign w:val="center"/>
          </w:tcPr>
          <w:p w14:paraId="519285C0">
            <w:pPr>
              <w:pStyle w:val="36"/>
              <w:ind w:firstLine="420"/>
              <w:jc w:val="center"/>
              <w:rPr>
                <w:bCs/>
                <w:color w:val="auto"/>
                <w:szCs w:val="28"/>
                <w:highlight w:val="none"/>
              </w:rPr>
            </w:pPr>
          </w:p>
        </w:tc>
        <w:tc>
          <w:tcPr>
            <w:tcW w:w="1764" w:type="dxa"/>
            <w:tcBorders>
              <w:top w:val="single" w:color="auto" w:sz="6" w:space="0"/>
              <w:left w:val="single" w:color="auto" w:sz="6" w:space="0"/>
              <w:bottom w:val="single" w:color="auto" w:sz="6" w:space="0"/>
              <w:right w:val="single" w:color="auto" w:sz="6" w:space="0"/>
            </w:tcBorders>
            <w:noWrap w:val="0"/>
            <w:vAlign w:val="center"/>
          </w:tcPr>
          <w:p w14:paraId="0979F404">
            <w:pPr>
              <w:pStyle w:val="36"/>
              <w:ind w:firstLine="420"/>
              <w:jc w:val="center"/>
              <w:rPr>
                <w:bCs/>
                <w:color w:val="auto"/>
                <w:szCs w:val="28"/>
                <w:highlight w:val="none"/>
              </w:rPr>
            </w:pPr>
          </w:p>
        </w:tc>
      </w:tr>
      <w:tr w14:paraId="4B527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noWrap w:val="0"/>
            <w:vAlign w:val="center"/>
          </w:tcPr>
          <w:p w14:paraId="1EFF5EB7">
            <w:pPr>
              <w:pStyle w:val="36"/>
              <w:ind w:firstLine="420"/>
              <w:jc w:val="center"/>
              <w:rPr>
                <w:bCs/>
                <w:color w:val="auto"/>
                <w:szCs w:val="28"/>
                <w:highlight w:val="none"/>
              </w:rPr>
            </w:pPr>
          </w:p>
        </w:tc>
        <w:tc>
          <w:tcPr>
            <w:tcW w:w="1680" w:type="dxa"/>
            <w:tcBorders>
              <w:top w:val="single" w:color="auto" w:sz="6" w:space="0"/>
              <w:left w:val="single" w:color="auto" w:sz="6" w:space="0"/>
              <w:bottom w:val="single" w:color="auto" w:sz="6" w:space="0"/>
              <w:right w:val="single" w:color="auto" w:sz="6" w:space="0"/>
            </w:tcBorders>
            <w:noWrap w:val="0"/>
            <w:vAlign w:val="center"/>
          </w:tcPr>
          <w:p w14:paraId="06B0CEA9">
            <w:pPr>
              <w:pStyle w:val="36"/>
              <w:ind w:firstLine="420"/>
              <w:jc w:val="center"/>
              <w:rPr>
                <w:bCs/>
                <w:color w:val="auto"/>
                <w:szCs w:val="28"/>
                <w:highlight w:val="none"/>
              </w:rPr>
            </w:pPr>
          </w:p>
        </w:tc>
        <w:tc>
          <w:tcPr>
            <w:tcW w:w="1241" w:type="dxa"/>
            <w:tcBorders>
              <w:top w:val="single" w:color="auto" w:sz="6" w:space="0"/>
              <w:left w:val="single" w:color="auto" w:sz="6" w:space="0"/>
              <w:bottom w:val="single" w:color="auto" w:sz="6" w:space="0"/>
              <w:right w:val="single" w:color="auto" w:sz="6" w:space="0"/>
            </w:tcBorders>
            <w:noWrap w:val="0"/>
            <w:vAlign w:val="center"/>
          </w:tcPr>
          <w:p w14:paraId="66F8FEF1">
            <w:pPr>
              <w:pStyle w:val="36"/>
              <w:ind w:firstLine="420"/>
              <w:jc w:val="center"/>
              <w:rPr>
                <w:bCs/>
                <w:color w:val="auto"/>
                <w:szCs w:val="28"/>
                <w:highlight w:val="none"/>
              </w:rPr>
            </w:pPr>
          </w:p>
        </w:tc>
        <w:tc>
          <w:tcPr>
            <w:tcW w:w="1878" w:type="dxa"/>
            <w:tcBorders>
              <w:top w:val="single" w:color="auto" w:sz="6" w:space="0"/>
              <w:left w:val="single" w:color="auto" w:sz="6" w:space="0"/>
              <w:bottom w:val="single" w:color="auto" w:sz="6" w:space="0"/>
              <w:right w:val="single" w:color="auto" w:sz="4" w:space="0"/>
            </w:tcBorders>
            <w:noWrap w:val="0"/>
            <w:vAlign w:val="center"/>
          </w:tcPr>
          <w:p w14:paraId="2092B453">
            <w:pPr>
              <w:pStyle w:val="36"/>
              <w:ind w:firstLine="420"/>
              <w:jc w:val="center"/>
              <w:rPr>
                <w:bCs/>
                <w:color w:val="auto"/>
                <w:szCs w:val="28"/>
                <w:highlight w:val="none"/>
              </w:rPr>
            </w:pPr>
          </w:p>
        </w:tc>
        <w:tc>
          <w:tcPr>
            <w:tcW w:w="2036" w:type="dxa"/>
            <w:tcBorders>
              <w:top w:val="single" w:color="auto" w:sz="6" w:space="0"/>
              <w:left w:val="single" w:color="auto" w:sz="4" w:space="0"/>
              <w:bottom w:val="single" w:color="auto" w:sz="6" w:space="0"/>
              <w:right w:val="single" w:color="auto" w:sz="4" w:space="0"/>
            </w:tcBorders>
            <w:noWrap w:val="0"/>
            <w:vAlign w:val="center"/>
          </w:tcPr>
          <w:p w14:paraId="3B6E1E08">
            <w:pPr>
              <w:pStyle w:val="36"/>
              <w:ind w:firstLine="420"/>
              <w:jc w:val="center"/>
              <w:rPr>
                <w:bCs/>
                <w:color w:val="auto"/>
                <w:szCs w:val="28"/>
                <w:highlight w:val="none"/>
              </w:rPr>
            </w:pPr>
          </w:p>
        </w:tc>
        <w:tc>
          <w:tcPr>
            <w:tcW w:w="1764" w:type="dxa"/>
            <w:tcBorders>
              <w:top w:val="single" w:color="auto" w:sz="6" w:space="0"/>
              <w:left w:val="single" w:color="auto" w:sz="6" w:space="0"/>
              <w:bottom w:val="single" w:color="auto" w:sz="6" w:space="0"/>
              <w:right w:val="single" w:color="auto" w:sz="6" w:space="0"/>
            </w:tcBorders>
            <w:noWrap w:val="0"/>
            <w:vAlign w:val="center"/>
          </w:tcPr>
          <w:p w14:paraId="20E802B8">
            <w:pPr>
              <w:pStyle w:val="36"/>
              <w:ind w:firstLine="420"/>
              <w:jc w:val="center"/>
              <w:rPr>
                <w:bCs/>
                <w:color w:val="auto"/>
                <w:szCs w:val="28"/>
                <w:highlight w:val="none"/>
              </w:rPr>
            </w:pPr>
          </w:p>
        </w:tc>
      </w:tr>
    </w:tbl>
    <w:p w14:paraId="135ADB46">
      <w:pPr>
        <w:ind w:firstLine="2940"/>
        <w:rPr>
          <w:rFonts w:hAnsi="宋体"/>
          <w:bCs/>
          <w:color w:val="auto"/>
          <w:szCs w:val="28"/>
          <w:highlight w:val="none"/>
        </w:rPr>
      </w:pPr>
    </w:p>
    <w:p w14:paraId="5B6858DB">
      <w:pPr>
        <w:ind w:firstLine="2940"/>
        <w:rPr>
          <w:rFonts w:hAnsi="宋体"/>
          <w:bCs/>
          <w:color w:val="auto"/>
          <w:szCs w:val="28"/>
          <w:highlight w:val="none"/>
        </w:rPr>
      </w:pPr>
    </w:p>
    <w:p w14:paraId="43E96DB4">
      <w:pPr>
        <w:ind w:firstLine="2940"/>
        <w:rPr>
          <w:rFonts w:hAnsi="宋体"/>
          <w:bCs/>
          <w:color w:val="auto"/>
          <w:szCs w:val="28"/>
          <w:highlight w:val="none"/>
        </w:rPr>
      </w:pPr>
    </w:p>
    <w:p w14:paraId="748D15F4">
      <w:pPr>
        <w:ind w:firstLine="2940"/>
        <w:rPr>
          <w:rFonts w:hAnsi="宋体"/>
          <w:bCs/>
          <w:color w:val="auto"/>
          <w:szCs w:val="28"/>
          <w:highlight w:val="none"/>
        </w:rPr>
      </w:pPr>
      <w:r>
        <w:rPr>
          <w:rFonts w:hint="eastAsia" w:hAnsi="宋体"/>
          <w:bCs/>
          <w:color w:val="auto"/>
          <w:szCs w:val="28"/>
          <w:highlight w:val="none"/>
        </w:rPr>
        <w:t>投标人（公章）：</w:t>
      </w:r>
    </w:p>
    <w:p w14:paraId="40C48374">
      <w:pPr>
        <w:ind w:firstLine="2940"/>
        <w:rPr>
          <w:rFonts w:hAnsi="宋体"/>
          <w:bCs/>
          <w:color w:val="auto"/>
          <w:szCs w:val="28"/>
          <w:highlight w:val="none"/>
        </w:rPr>
      </w:pPr>
      <w:r>
        <w:rPr>
          <w:rFonts w:hint="eastAsia" w:hAnsi="宋体"/>
          <w:bCs/>
          <w:color w:val="auto"/>
          <w:szCs w:val="28"/>
          <w:highlight w:val="none"/>
        </w:rPr>
        <w:t>法定代表人或授权委托人：（签字或盖章）</w:t>
      </w:r>
    </w:p>
    <w:p w14:paraId="351EB9C5">
      <w:pPr>
        <w:ind w:firstLine="3360"/>
        <w:rPr>
          <w:rFonts w:hAnsi="宋体"/>
          <w:bCs/>
          <w:color w:val="auto"/>
          <w:szCs w:val="28"/>
          <w:highlight w:val="none"/>
        </w:rPr>
      </w:pPr>
      <w:r>
        <w:rPr>
          <w:rFonts w:hint="eastAsia" w:hAnsi="宋体"/>
          <w:bCs/>
          <w:color w:val="auto"/>
          <w:szCs w:val="28"/>
          <w:highlight w:val="none"/>
        </w:rPr>
        <w:t>日期：</w:t>
      </w:r>
      <w:r>
        <w:rPr>
          <w:rFonts w:hAnsi="宋体"/>
          <w:bCs/>
          <w:color w:val="auto"/>
          <w:szCs w:val="28"/>
          <w:highlight w:val="none"/>
          <w:u w:val="single"/>
        </w:rPr>
        <w:t xml:space="preserve">      </w:t>
      </w:r>
      <w:r>
        <w:rPr>
          <w:rFonts w:hint="eastAsia" w:hAnsi="宋体"/>
          <w:bCs/>
          <w:color w:val="auto"/>
          <w:szCs w:val="28"/>
          <w:highlight w:val="none"/>
        </w:rPr>
        <w:t>年</w:t>
      </w:r>
      <w:r>
        <w:rPr>
          <w:rFonts w:hAnsi="宋体"/>
          <w:bCs/>
          <w:color w:val="auto"/>
          <w:szCs w:val="28"/>
          <w:highlight w:val="none"/>
        </w:rPr>
        <w:t xml:space="preserve"> </w:t>
      </w:r>
      <w:r>
        <w:rPr>
          <w:rFonts w:hAnsi="宋体"/>
          <w:bCs/>
          <w:color w:val="auto"/>
          <w:szCs w:val="28"/>
          <w:highlight w:val="none"/>
          <w:u w:val="single"/>
        </w:rPr>
        <w:t xml:space="preserve">    </w:t>
      </w:r>
      <w:r>
        <w:rPr>
          <w:rFonts w:hint="eastAsia" w:hAnsi="宋体"/>
          <w:bCs/>
          <w:color w:val="auto"/>
          <w:szCs w:val="28"/>
          <w:highlight w:val="none"/>
        </w:rPr>
        <w:t>月</w:t>
      </w:r>
      <w:r>
        <w:rPr>
          <w:rFonts w:hAnsi="宋体"/>
          <w:bCs/>
          <w:color w:val="auto"/>
          <w:szCs w:val="28"/>
          <w:highlight w:val="none"/>
          <w:u w:val="single"/>
        </w:rPr>
        <w:t xml:space="preserve">     </w:t>
      </w:r>
      <w:r>
        <w:rPr>
          <w:rFonts w:hint="eastAsia" w:hAnsi="宋体"/>
          <w:bCs/>
          <w:color w:val="auto"/>
          <w:szCs w:val="28"/>
          <w:highlight w:val="none"/>
        </w:rPr>
        <w:t>日</w:t>
      </w:r>
    </w:p>
    <w:p w14:paraId="447EBD4E">
      <w:pPr>
        <w:rPr>
          <w:color w:val="auto"/>
          <w:highlight w:val="none"/>
        </w:rPr>
      </w:pPr>
    </w:p>
    <w:p w14:paraId="195671BB">
      <w:pPr>
        <w:pStyle w:val="36"/>
        <w:spacing w:beforeAutospacing="0" w:afterAutospacing="0" w:line="0" w:lineRule="atLeast"/>
        <w:jc w:val="center"/>
        <w:rPr>
          <w:rFonts w:ascii="宋体" w:hAnsi="宋体" w:eastAsia="宋体" w:cs="宋体"/>
          <w:b/>
          <w:color w:val="auto"/>
          <w:sz w:val="32"/>
          <w:szCs w:val="32"/>
          <w:highlight w:val="none"/>
        </w:rPr>
      </w:pPr>
    </w:p>
    <w:p w14:paraId="44D56CF2">
      <w:pPr>
        <w:pStyle w:val="36"/>
        <w:spacing w:beforeAutospacing="0" w:afterAutospacing="0" w:line="0" w:lineRule="atLeast"/>
        <w:jc w:val="both"/>
        <w:rPr>
          <w:rFonts w:ascii="宋体" w:hAnsi="宋体" w:eastAsia="宋体" w:cs="宋体"/>
          <w:b/>
          <w:color w:val="auto"/>
          <w:sz w:val="32"/>
          <w:szCs w:val="32"/>
          <w:highlight w:val="none"/>
        </w:rPr>
      </w:pPr>
    </w:p>
    <w:p w14:paraId="152A3E15">
      <w:pPr>
        <w:pStyle w:val="36"/>
        <w:spacing w:beforeAutospacing="0" w:afterAutospacing="0" w:line="0" w:lineRule="atLeast"/>
        <w:jc w:val="center"/>
        <w:rPr>
          <w:rFonts w:ascii="宋体" w:hAnsi="宋体" w:eastAsia="宋体" w:cs="宋体"/>
          <w:b/>
          <w:color w:val="auto"/>
          <w:sz w:val="32"/>
          <w:szCs w:val="32"/>
          <w:highlight w:val="none"/>
        </w:rPr>
      </w:pPr>
    </w:p>
    <w:p w14:paraId="42D05AC7">
      <w:pPr>
        <w:pStyle w:val="36"/>
        <w:spacing w:beforeAutospacing="0" w:afterAutospacing="0" w:line="0" w:lineRule="atLeast"/>
        <w:jc w:val="center"/>
        <w:rPr>
          <w:rFonts w:ascii="宋体" w:hAnsi="宋体" w:eastAsia="宋体" w:cs="宋体"/>
          <w:b/>
          <w:color w:val="auto"/>
          <w:sz w:val="32"/>
          <w:szCs w:val="32"/>
          <w:highlight w:val="none"/>
        </w:rPr>
      </w:pPr>
    </w:p>
    <w:p w14:paraId="745E53E8">
      <w:pPr>
        <w:pStyle w:val="36"/>
        <w:spacing w:beforeAutospacing="0" w:afterAutospacing="0" w:line="0" w:lineRule="atLeast"/>
        <w:jc w:val="center"/>
        <w:rPr>
          <w:rFonts w:ascii="宋体" w:hAnsi="宋体" w:eastAsia="宋体" w:cs="宋体"/>
          <w:b/>
          <w:color w:val="auto"/>
          <w:sz w:val="32"/>
          <w:szCs w:val="32"/>
          <w:highlight w:val="none"/>
        </w:rPr>
      </w:pPr>
    </w:p>
    <w:p w14:paraId="31C2C272">
      <w:pPr>
        <w:pStyle w:val="36"/>
        <w:spacing w:beforeAutospacing="0" w:afterAutospacing="0" w:line="0" w:lineRule="atLeast"/>
        <w:jc w:val="center"/>
        <w:rPr>
          <w:rFonts w:ascii="宋体" w:hAnsi="宋体" w:eastAsia="宋体" w:cs="宋体"/>
          <w:b/>
          <w:color w:val="auto"/>
          <w:sz w:val="32"/>
          <w:szCs w:val="32"/>
          <w:highlight w:val="none"/>
        </w:rPr>
      </w:pPr>
    </w:p>
    <w:bookmarkEnd w:id="6"/>
    <w:bookmarkEnd w:id="39"/>
    <w:bookmarkEnd w:id="86"/>
    <w:bookmarkEnd w:id="87"/>
    <w:bookmarkEnd w:id="88"/>
    <w:bookmarkEnd w:id="89"/>
    <w:bookmarkEnd w:id="90"/>
    <w:bookmarkEnd w:id="91"/>
    <w:bookmarkEnd w:id="92"/>
    <w:bookmarkEnd w:id="93"/>
    <w:bookmarkEnd w:id="102"/>
    <w:bookmarkEnd w:id="103"/>
    <w:bookmarkEnd w:id="110"/>
    <w:bookmarkEnd w:id="156"/>
    <w:bookmarkEnd w:id="157"/>
    <w:bookmarkEnd w:id="231"/>
    <w:bookmarkEnd w:id="232"/>
    <w:bookmarkEnd w:id="233"/>
    <w:p w14:paraId="7C928608">
      <w:pPr>
        <w:pStyle w:val="36"/>
        <w:spacing w:beforeAutospacing="0" w:afterAutospacing="0" w:line="0" w:lineRule="atLeast"/>
        <w:jc w:val="center"/>
        <w:rPr>
          <w:rFonts w:ascii="宋体" w:hAnsi="宋体" w:eastAsia="宋体" w:cs="宋体"/>
          <w:b/>
          <w:color w:val="auto"/>
          <w:sz w:val="32"/>
          <w:szCs w:val="32"/>
          <w:highlight w:val="none"/>
        </w:rPr>
      </w:pPr>
    </w:p>
    <w:p w14:paraId="1D7CD415">
      <w:pPr>
        <w:pStyle w:val="36"/>
        <w:spacing w:beforeAutospacing="0" w:afterAutospacing="0" w:line="0" w:lineRule="atLeast"/>
        <w:jc w:val="center"/>
        <w:rPr>
          <w:rFonts w:ascii="宋体" w:hAnsi="宋体" w:eastAsia="宋体" w:cs="宋体"/>
          <w:b/>
          <w:color w:val="auto"/>
          <w:sz w:val="32"/>
          <w:szCs w:val="32"/>
          <w:highlight w:val="none"/>
        </w:rPr>
      </w:pPr>
    </w:p>
    <w:p w14:paraId="77004D6B">
      <w:pPr>
        <w:pStyle w:val="36"/>
        <w:spacing w:beforeAutospacing="0" w:afterAutospacing="0" w:line="480" w:lineRule="auto"/>
        <w:jc w:val="both"/>
        <w:rPr>
          <w:color w:val="auto"/>
          <w:highlight w:val="none"/>
        </w:rPr>
      </w:pPr>
    </w:p>
    <w:sectPr>
      <w:footerReference r:id="rId17" w:type="default"/>
      <w:pgSz w:w="11906" w:h="16838"/>
      <w:pgMar w:top="1417" w:right="1417" w:bottom="1417" w:left="1417"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Arial Unicode MS">
    <w:altName w:val="Arial"/>
    <w:panose1 w:val="020B0604020202020204"/>
    <w:charset w:val="00"/>
    <w:family w:val="auto"/>
    <w:pitch w:val="default"/>
    <w:sig w:usb0="00000000" w:usb1="00000000" w:usb2="00000000" w:usb3="00000000" w:csb0="00000000" w:csb1="00000000"/>
  </w:font>
  <w:font w:name="_x000B__x000C_">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宋体">
    <w:panose1 w:val="02010600030101010101"/>
    <w:charset w:val="86"/>
    <w:family w:val="auto"/>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幼圆">
    <w:panose1 w:val="02010509060101010101"/>
    <w:charset w:val="86"/>
    <w:family w:val="auto"/>
    <w:pitch w:val="default"/>
    <w:sig w:usb0="00000001" w:usb1="080E0000" w:usb2="0000000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KSOFE450088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7B0A3">
    <w:pPr>
      <w:pStyle w:val="26"/>
      <w:pBdr>
        <w:bottom w:val="none" w:color="000000" w:sz="0" w:space="0"/>
      </w:pBdr>
      <w:tabs>
        <w:tab w:val="left" w:pos="3615"/>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CF2B3">
    <w:pPr>
      <w:widowControl w:val="0"/>
      <w:tabs>
        <w:tab w:val="center" w:pos="4153"/>
        <w:tab w:val="right" w:pos="8306"/>
      </w:tabs>
      <w:jc w:val="center"/>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1610" cy="284480"/>
              <wp:effectExtent l="7937" t="7937" r="7937" b="7937"/>
              <wp:wrapNone/>
              <wp:docPr id="1" name="文本框 3"/>
              <wp:cNvGraphicFramePr/>
              <a:graphic xmlns:a="http://schemas.openxmlformats.org/drawingml/2006/main">
                <a:graphicData uri="http://schemas.microsoft.com/office/word/2010/wordprocessingShape">
                  <wps:wsp>
                    <wps:cNvSpPr txBox="1"/>
                    <wps:spPr bwMode="auto">
                      <a:xfrm>
                        <a:off x="0" y="0"/>
                        <a:ext cx="181910" cy="284772"/>
                      </a:xfrm>
                      <a:prstGeom prst="rect">
                        <a:avLst/>
                      </a:prstGeom>
                      <a:noFill/>
                      <a:ln w="15875">
                        <a:noFill/>
                      </a:ln>
                    </wps:spPr>
                    <wps:txbx>
                      <w:txbxContent>
                        <w:p w14:paraId="0DCD1692">
                          <w:pPr>
                            <w:widowControl w:val="0"/>
                            <w:jc w:val="left"/>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32</w:t>
                          </w:r>
                          <w:r>
                            <w:rPr>
                              <w:rFonts w:hint="eastAsia" w:ascii="Times New Roman" w:hAnsi="Times New Roman" w:eastAsia="宋体" w:cs="Times New Roman"/>
                              <w:sz w:val="18"/>
                              <w:szCs w:val="20"/>
                              <w:lang w:val="en-US" w:eastAsia="zh-CN" w:bidi="ar-SA"/>
                            </w:rPr>
                            <w:fldChar w:fldCharType="end"/>
                          </w:r>
                        </w:p>
                        <w:p w14:paraId="5AD9ACAD">
                          <w:pPr>
                            <w:rPr>
                              <w:rFonts w:ascii="Times New Roman" w:hAnsi="Times New Roman" w:eastAsia="宋体" w:cs="Times New Roman"/>
                            </w:rPr>
                          </w:pPr>
                        </w:p>
                      </w:txbxContent>
                    </wps:txbx>
                    <wps:bodyPr wrap="square" lIns="0" tIns="0" rIns="0" bIns="0" upright="1">
                      <a:noAutofit/>
                    </wps:bodyPr>
                  </wps:wsp>
                </a:graphicData>
              </a:graphic>
            </wp:anchor>
          </w:drawing>
        </mc:Choice>
        <mc:Fallback>
          <w:pict>
            <v:shape id="文本框 3" o:spid="_x0000_s1026" o:spt="202" type="#_x0000_t202" style="position:absolute;left:0pt;margin-top:0pt;height:22.4pt;width:14.3pt;mso-position-horizontal:center;mso-position-horizontal-relative:margin;z-index:251660288;mso-width-relative:page;mso-height-relative:page;" filled="f" stroked="f" coordsize="21600,21600" o:gfxdata="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FTFM71AAAAAMBAAAPAAAA&#10;AAAAAAEAIAAAACIAAABkcnMvZG93bnJldi54bWxQSwECFAAUAAAACACHTuJAIIpNSOABAACxAwAA&#10;DgAAAAAAAAABACAAAAAjAQAAZHJzL2Uyb0RvYy54bWxQSwUGAAAAAAYABgBZAQAAdQUAAAAA&#10;">
              <v:fill on="f" focussize="0,0"/>
              <v:stroke on="f" weight="1.25pt"/>
              <v:imagedata o:title=""/>
              <o:lock v:ext="edit" aspectratio="f"/>
              <v:textbox inset="0mm,0mm,0mm,0mm">
                <w:txbxContent>
                  <w:p w14:paraId="0DCD1692">
                    <w:pPr>
                      <w:widowControl w:val="0"/>
                      <w:jc w:val="left"/>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32</w:t>
                    </w:r>
                    <w:r>
                      <w:rPr>
                        <w:rFonts w:hint="eastAsia" w:ascii="Times New Roman" w:hAnsi="Times New Roman" w:eastAsia="宋体" w:cs="Times New Roman"/>
                        <w:sz w:val="18"/>
                        <w:szCs w:val="20"/>
                        <w:lang w:val="en-US" w:eastAsia="zh-CN" w:bidi="ar-SA"/>
                      </w:rPr>
                      <w:fldChar w:fldCharType="end"/>
                    </w:r>
                  </w:p>
                  <w:p w14:paraId="5AD9ACAD">
                    <w:pPr>
                      <w:rPr>
                        <w:rFonts w:ascii="Times New Roman" w:hAnsi="Times New Roman" w:eastAsia="宋体" w:cs="Times New Roman"/>
                      </w:rPr>
                    </w:pPr>
                  </w:p>
                </w:txbxContent>
              </v:textbox>
            </v:shape>
          </w:pict>
        </mc:Fallback>
      </mc:AlternateContent>
    </w:r>
  </w:p>
  <w:p w14:paraId="2709DE4F">
    <w:pPr>
      <w:widowControl w:val="0"/>
      <w:pBdr>
        <w:bottom w:val="none" w:color="000000" w:sz="0" w:space="0"/>
      </w:pBdr>
      <w:tabs>
        <w:tab w:val="left" w:pos="3615"/>
        <w:tab w:val="center" w:pos="4153"/>
        <w:tab w:val="right" w:pos="8306"/>
      </w:tabs>
      <w:jc w:val="center"/>
      <w:rPr>
        <w:rFonts w:hint="default" w:ascii="Times New Roman" w:hAnsi="Times New Roman" w:eastAsia="宋体" w:cs="Times New Roman"/>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873F6B">
    <w:pPr>
      <w:widowControl w:val="0"/>
      <w:tabs>
        <w:tab w:val="center" w:pos="4153"/>
        <w:tab w:val="right" w:pos="8306"/>
      </w:tabs>
      <w:jc w:val="center"/>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07645" cy="284480"/>
              <wp:effectExtent l="7937" t="7937" r="7937" b="7937"/>
              <wp:wrapNone/>
              <wp:docPr id="2" name="文本框 3"/>
              <wp:cNvGraphicFramePr/>
              <a:graphic xmlns:a="http://schemas.openxmlformats.org/drawingml/2006/main">
                <a:graphicData uri="http://schemas.microsoft.com/office/word/2010/wordprocessingShape">
                  <wps:wsp>
                    <wps:cNvSpPr txBox="1"/>
                    <wps:spPr bwMode="auto">
                      <a:xfrm>
                        <a:off x="0" y="0"/>
                        <a:ext cx="207423" cy="284772"/>
                      </a:xfrm>
                      <a:prstGeom prst="rect">
                        <a:avLst/>
                      </a:prstGeom>
                      <a:noFill/>
                      <a:ln w="15875">
                        <a:noFill/>
                      </a:ln>
                    </wps:spPr>
                    <wps:txbx>
                      <w:txbxContent>
                        <w:p w14:paraId="55553DFE">
                          <w:pPr>
                            <w:widowControl w:val="0"/>
                            <w:jc w:val="left"/>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32</w:t>
                          </w:r>
                          <w:r>
                            <w:rPr>
                              <w:rFonts w:hint="eastAsia" w:ascii="Times New Roman" w:hAnsi="Times New Roman" w:eastAsia="宋体" w:cs="Times New Roman"/>
                              <w:sz w:val="18"/>
                              <w:szCs w:val="20"/>
                              <w:lang w:val="en-US" w:eastAsia="zh-CN" w:bidi="ar-SA"/>
                            </w:rPr>
                            <w:fldChar w:fldCharType="end"/>
                          </w:r>
                        </w:p>
                        <w:p w14:paraId="2040D76B">
                          <w:pPr>
                            <w:rPr>
                              <w:rFonts w:ascii="Times New Roman" w:hAnsi="Times New Roman" w:eastAsia="宋体" w:cs="Times New Roman"/>
                            </w:rPr>
                          </w:pPr>
                        </w:p>
                      </w:txbxContent>
                    </wps:txbx>
                    <wps:bodyPr wrap="square" lIns="0" tIns="0" rIns="0" bIns="0" upright="1">
                      <a:noAutofit/>
                    </wps:bodyPr>
                  </wps:wsp>
                </a:graphicData>
              </a:graphic>
            </wp:anchor>
          </w:drawing>
        </mc:Choice>
        <mc:Fallback>
          <w:pict>
            <v:shape id="文本框 3" o:spid="_x0000_s1026" o:spt="202" type="#_x0000_t202" style="position:absolute;left:0pt;margin-top:0pt;height:22.4pt;width:16.35pt;mso-position-horizontal:center;mso-position-horizontal-relative:margin;z-index:251664384;mso-width-relative:page;mso-height-relative:page;" filled="f" stroked="f" coordsize="21600,21600" o:gfxdata="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KcHDjUAAAAAwEAAA8A&#10;AAAAAAAAAQAgAAAAIgAAAGRycy9kb3ducmV2LnhtbFBLAQIUABQAAAAIAIdO4kDZh8M84gEAALED&#10;AAAOAAAAAAAAAAEAIAAAACMBAABkcnMvZTJvRG9jLnhtbFBLBQYAAAAABgAGAFkBAAB3BQAAAAA=&#10;">
              <v:fill on="f" focussize="0,0"/>
              <v:stroke on="f" weight="1.25pt"/>
              <v:imagedata o:title=""/>
              <o:lock v:ext="edit" aspectratio="f"/>
              <v:textbox inset="0mm,0mm,0mm,0mm">
                <w:txbxContent>
                  <w:p w14:paraId="55553DFE">
                    <w:pPr>
                      <w:widowControl w:val="0"/>
                      <w:jc w:val="left"/>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32</w:t>
                    </w:r>
                    <w:r>
                      <w:rPr>
                        <w:rFonts w:hint="eastAsia" w:ascii="Times New Roman" w:hAnsi="Times New Roman" w:eastAsia="宋体" w:cs="Times New Roman"/>
                        <w:sz w:val="18"/>
                        <w:szCs w:val="20"/>
                        <w:lang w:val="en-US" w:eastAsia="zh-CN" w:bidi="ar-SA"/>
                      </w:rPr>
                      <w:fldChar w:fldCharType="end"/>
                    </w:r>
                  </w:p>
                  <w:p w14:paraId="2040D76B">
                    <w:pPr>
                      <w:rPr>
                        <w:rFonts w:ascii="Times New Roman" w:hAnsi="Times New Roman" w:eastAsia="宋体" w:cs="Times New Roman"/>
                      </w:rPr>
                    </w:pPr>
                  </w:p>
                </w:txbxContent>
              </v:textbox>
            </v:shape>
          </w:pict>
        </mc:Fallback>
      </mc:AlternateContent>
    </w:r>
  </w:p>
  <w:p w14:paraId="73B9DE20">
    <w:pPr>
      <w:widowControl w:val="0"/>
      <w:pBdr>
        <w:bottom w:val="none" w:color="000000" w:sz="0" w:space="0"/>
      </w:pBdr>
      <w:tabs>
        <w:tab w:val="left" w:pos="3615"/>
        <w:tab w:val="center" w:pos="4153"/>
        <w:tab w:val="right" w:pos="8306"/>
      </w:tabs>
      <w:jc w:val="center"/>
      <w:rPr>
        <w:rFonts w:hint="default" w:ascii="Times New Roman" w:hAnsi="Times New Roman" w:eastAsia="宋体" w:cs="Times New Roman"/>
        <w:sz w:val="18"/>
        <w:szCs w:val="18"/>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A1848">
    <w:pPr>
      <w:pStyle w:val="25"/>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9298F9">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qRNrk9AgAAcA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qkTa5PQIAAHAEAAAOAAAAAAAAAAEAIAAAAB8BAABkcnMvZTJv&#10;RG9jLnhtbFBLBQYAAAAABgAGAFkBAADOBQAAAAA=&#10;">
              <v:fill on="f" focussize="0,0"/>
              <v:stroke on="f" weight="0.5pt"/>
              <v:imagedata o:title=""/>
              <o:lock v:ext="edit" aspectratio="f"/>
              <v:textbox inset="0mm,0mm,0mm,0mm" style="mso-fit-shape-to-text:t;">
                <w:txbxContent>
                  <w:p w14:paraId="2C9298F9">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FB2DF">
    <w:pPr>
      <w:widowControl w:val="0"/>
      <w:tabs>
        <w:tab w:val="center" w:pos="4153"/>
        <w:tab w:val="right" w:pos="8306"/>
      </w:tabs>
      <w:jc w:val="center"/>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15875">
                        <a:noFill/>
                      </a:ln>
                    </wps:spPr>
                    <wps:txbx>
                      <w:txbxContent>
                        <w:p w14:paraId="7C8C2875">
                          <w:pPr>
                            <w:widowControl w:val="0"/>
                            <w:jc w:val="left"/>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32</w:t>
                          </w:r>
                          <w:r>
                            <w:rPr>
                              <w:rFonts w:hint="eastAsia" w:ascii="Times New Roman" w:hAnsi="Times New Roman" w:eastAsia="宋体" w:cs="Times New Roman"/>
                              <w:sz w:val="18"/>
                              <w:szCs w:val="20"/>
                              <w:lang w:val="en-US" w:eastAsia="zh-CN" w:bidi="ar-SA"/>
                            </w:rPr>
                            <w:fldChar w:fldCharType="end"/>
                          </w:r>
                        </w:p>
                        <w:p w14:paraId="56386D09">
                          <w:pPr>
                            <w:rPr>
                              <w:rFonts w:ascii="Times New Roman" w:hAnsi="Times New Roman" w:eastAsia="宋体" w:cs="Times New Roman"/>
                            </w:rPr>
                          </w:pPr>
                        </w:p>
                      </w:txbxContent>
                    </wps:txbx>
                    <wps:bodyPr wrap="none" lIns="0" tIns="0" rIns="0" bIns="0" upright="1">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hpgkvTAAAABQEAAA8AAAAAAAAA&#10;AQAgAAAAIgAAAGRycy9kb3ducmV2LnhtbFBLAQIUABQAAAAIAIdO4kCUqvlW3QEAALEDAAAOAAAA&#10;AAAAAAEAIAAAACIBAABkcnMvZTJvRG9jLnhtbFBLBQYAAAAABgAGAFkBAABxBQAAAAA=&#10;">
              <v:fill on="f" focussize="0,0"/>
              <v:stroke on="f" weight="1.25pt"/>
              <v:imagedata o:title=""/>
              <o:lock v:ext="edit" aspectratio="f"/>
              <v:textbox inset="0mm,0mm,0mm,0mm" style="mso-fit-shape-to-text:t;">
                <w:txbxContent>
                  <w:p w14:paraId="7C8C2875">
                    <w:pPr>
                      <w:widowControl w:val="0"/>
                      <w:jc w:val="left"/>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32</w:t>
                    </w:r>
                    <w:r>
                      <w:rPr>
                        <w:rFonts w:hint="eastAsia" w:ascii="Times New Roman" w:hAnsi="Times New Roman" w:eastAsia="宋体" w:cs="Times New Roman"/>
                        <w:sz w:val="18"/>
                        <w:szCs w:val="20"/>
                        <w:lang w:val="en-US" w:eastAsia="zh-CN" w:bidi="ar-SA"/>
                      </w:rPr>
                      <w:fldChar w:fldCharType="end"/>
                    </w:r>
                  </w:p>
                  <w:p w14:paraId="56386D09">
                    <w:pPr>
                      <w:rPr>
                        <w:rFonts w:ascii="Times New Roman" w:hAnsi="Times New Roman" w:eastAsia="宋体" w:cs="Times New Roman"/>
                      </w:rPr>
                    </w:pPr>
                  </w:p>
                </w:txbxContent>
              </v:textbox>
            </v:shape>
          </w:pict>
        </mc:Fallback>
      </mc:AlternateContent>
    </w:r>
  </w:p>
  <w:p w14:paraId="1CA0B687">
    <w:pPr>
      <w:widowControl w:val="0"/>
      <w:pBdr>
        <w:bottom w:val="none" w:color="000000" w:sz="0" w:space="0"/>
      </w:pBdr>
      <w:tabs>
        <w:tab w:val="left" w:pos="3615"/>
        <w:tab w:val="center" w:pos="4153"/>
        <w:tab w:val="right" w:pos="8306"/>
      </w:tabs>
      <w:jc w:val="center"/>
      <w:rPr>
        <w:rFonts w:hint="default" w:ascii="Times New Roman" w:hAnsi="Times New Roman" w:eastAsia="宋体" w:cs="Times New Roman"/>
        <w:sz w:val="18"/>
        <w:szCs w:val="18"/>
        <w:lang w:val="en-US" w:eastAsia="zh-CN" w:bidi="ar-S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AB5F5">
    <w:pPr>
      <w:pStyle w:val="2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99390" cy="231775"/>
              <wp:effectExtent l="0" t="0" r="0" b="0"/>
              <wp:wrapNone/>
              <wp:docPr id="5" name="文本框 6"/>
              <wp:cNvGraphicFramePr/>
              <a:graphic xmlns:a="http://schemas.openxmlformats.org/drawingml/2006/main">
                <a:graphicData uri="http://schemas.microsoft.com/office/word/2010/wordprocessingShape">
                  <wps:wsp>
                    <wps:cNvSpPr txBox="1"/>
                    <wps:spPr bwMode="auto">
                      <a:xfrm>
                        <a:off x="0" y="0"/>
                        <a:ext cx="199390" cy="2317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87F83C">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6" o:spid="_x0000_s1026" o:spt="202" type="#_x0000_t202" style="position:absolute;left:0pt;margin-top:0pt;height:18.25pt;width:15.7pt;mso-position-horizontal:center;mso-position-horizontal-relative:margin;z-index:251662336;mso-width-relative:page;mso-height-relative:page;" filled="f" stroked="f" coordsize="21600,21600" o:gfxdata="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h4Ihd0wAAAAMBAAAPAAAAAAAAAAEAIAAAACIAAABkcnMv&#10;ZG93bnJldi54bWxQSwECFAAUAAAACACHTuJA88xszkECAABvBAAADgAAAAAAAAABACAAAAAiAQAA&#10;ZHJzL2Uyb0RvYy54bWxQSwUGAAAAAAYABgBZAQAA1QUAAAAA&#10;">
              <v:fill on="f" focussize="0,0"/>
              <v:stroke on="f" weight="0.5pt"/>
              <v:imagedata o:title=""/>
              <o:lock v:ext="edit" aspectratio="f"/>
              <v:textbox inset="0mm,0mm,0mm,0mm">
                <w:txbxContent>
                  <w:p w14:paraId="2A87F83C">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B9C286">
    <w:pPr>
      <w:widowControl w:val="0"/>
      <w:tabs>
        <w:tab w:val="center" w:pos="4153"/>
        <w:tab w:val="right" w:pos="8306"/>
      </w:tabs>
      <w:jc w:val="left"/>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94005" cy="300355"/>
              <wp:effectExtent l="0" t="0" r="0" b="0"/>
              <wp:wrapNone/>
              <wp:docPr id="6" name="文本框 4"/>
              <wp:cNvGraphicFramePr/>
              <a:graphic xmlns:a="http://schemas.openxmlformats.org/drawingml/2006/main">
                <a:graphicData uri="http://schemas.microsoft.com/office/word/2010/wordprocessingShape">
                  <wps:wsp>
                    <wps:cNvSpPr txBox="1"/>
                    <wps:spPr bwMode="auto">
                      <a:xfrm>
                        <a:off x="0" y="0"/>
                        <a:ext cx="294005" cy="300355"/>
                      </a:xfrm>
                      <a:prstGeom prst="rect">
                        <a:avLst/>
                      </a:prstGeom>
                      <a:noFill/>
                      <a:ln w="15875">
                        <a:noFill/>
                      </a:ln>
                    </wps:spPr>
                    <wps:txbx>
                      <w:txbxContent>
                        <w:p w14:paraId="61D0C9DA">
                          <w:pPr>
                            <w:widowControl w:val="0"/>
                            <w:jc w:val="left"/>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70</w:t>
                          </w:r>
                          <w:r>
                            <w:rPr>
                              <w:rFonts w:hint="eastAsia" w:ascii="Times New Roman" w:hAnsi="Times New Roman" w:eastAsia="宋体" w:cs="Times New Roman"/>
                              <w:sz w:val="18"/>
                              <w:szCs w:val="20"/>
                              <w:lang w:val="en-US" w:eastAsia="zh-CN" w:bidi="ar-SA"/>
                            </w:rPr>
                            <w:fldChar w:fldCharType="end"/>
                          </w:r>
                        </w:p>
                        <w:p w14:paraId="107B9113">
                          <w:pPr>
                            <w:rPr>
                              <w:rFonts w:ascii="Times New Roman" w:hAnsi="Times New Roman" w:eastAsia="宋体" w:cs="Times New Roman"/>
                            </w:rPr>
                          </w:pPr>
                        </w:p>
                      </w:txbxContent>
                    </wps:txbx>
                    <wps:bodyPr wrap="square" lIns="0" tIns="0" rIns="0" bIns="0" upright="1">
                      <a:noAutofit/>
                    </wps:bodyPr>
                  </wps:wsp>
                </a:graphicData>
              </a:graphic>
            </wp:anchor>
          </w:drawing>
        </mc:Choice>
        <mc:Fallback>
          <w:pict>
            <v:shape id="文本框 4" o:spid="_x0000_s1026" o:spt="202" type="#_x0000_t202" style="position:absolute;left:0pt;margin-top:0pt;height:23.65pt;width:23.15pt;mso-position-horizontal:center;mso-position-horizontal-relative:margin;z-index:251660288;mso-width-relative:page;mso-height-relative:page;" filled="f" stroked="f" coordsize="21600,21600" o:gfxdata="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Y3LKo0gAAAAMBAAAPAAAA&#10;AAAAAAEAIAAAACIAAABkcnMvZG93bnJldi54bWxQSwECFAAUAAAACACHTuJAeAOXDOIBAACxAwAA&#10;DgAAAAAAAAABACAAAAAhAQAAZHJzL2Uyb0RvYy54bWxQSwUGAAAAAAYABgBZAQAAdQUAAAAA&#10;">
              <v:fill on="f" focussize="0,0"/>
              <v:stroke on="f" weight="1.25pt"/>
              <v:imagedata o:title=""/>
              <o:lock v:ext="edit" aspectratio="f"/>
              <v:textbox inset="0mm,0mm,0mm,0mm">
                <w:txbxContent>
                  <w:p w14:paraId="61D0C9DA">
                    <w:pPr>
                      <w:widowControl w:val="0"/>
                      <w:jc w:val="left"/>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70</w:t>
                    </w:r>
                    <w:r>
                      <w:rPr>
                        <w:rFonts w:hint="eastAsia" w:ascii="Times New Roman" w:hAnsi="Times New Roman" w:eastAsia="宋体" w:cs="Times New Roman"/>
                        <w:sz w:val="18"/>
                        <w:szCs w:val="20"/>
                        <w:lang w:val="en-US" w:eastAsia="zh-CN" w:bidi="ar-SA"/>
                      </w:rPr>
                      <w:fldChar w:fldCharType="end"/>
                    </w:r>
                  </w:p>
                  <w:p w14:paraId="107B9113">
                    <w:pPr>
                      <w:rPr>
                        <w:rFonts w:ascii="Times New Roman" w:hAnsi="Times New Roman" w:eastAsia="宋体" w:cs="Times New Roman"/>
                      </w:rPr>
                    </w:pPr>
                  </w:p>
                </w:txbxContent>
              </v:textbox>
            </v:shape>
          </w:pict>
        </mc:Fallback>
      </mc:AlternateContent>
    </w:r>
  </w:p>
  <w:p w14:paraId="43124F8B">
    <w:pPr>
      <w:rPr>
        <w:rFonts w:ascii="Times New Roman" w:hAnsi="Times New Roman" w:eastAsia="宋体" w:cs="Times New Roman"/>
      </w:rPr>
    </w:pPr>
  </w:p>
  <w:p w14:paraId="2538E740">
    <w:pPr>
      <w:widowControl w:val="0"/>
      <w:tabs>
        <w:tab w:val="center" w:pos="4153"/>
        <w:tab w:val="right" w:pos="8306"/>
      </w:tabs>
      <w:jc w:val="left"/>
      <w:rPr>
        <w:rFonts w:hint="default" w:ascii="Times New Roman" w:hAnsi="Times New Roman" w:eastAsia="宋体" w:cs="Times New Roman"/>
        <w:sz w:val="18"/>
        <w:szCs w:val="20"/>
        <w:lang w:val="en-US" w:eastAsia="zh-CN" w:bidi="ar-S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AB496">
    <w:pPr>
      <w:widowControl w:val="0"/>
      <w:tabs>
        <w:tab w:val="center" w:pos="4153"/>
        <w:tab w:val="right" w:pos="8306"/>
      </w:tabs>
      <w:jc w:val="left"/>
      <w:rPr>
        <w:rFonts w:hint="default" w:ascii="Times New Roman" w:hAnsi="Times New Roman" w:eastAsia="宋体" w:cs="Times New Roman"/>
        <w:sz w:val="18"/>
        <w:szCs w:val="20"/>
        <w:lang w:val="en-US" w:eastAsia="zh-CN" w:bidi="ar-SA"/>
      </w:rPr>
    </w:pPr>
    <w:r>
      <w:rPr>
        <w:rFonts w:hint="default" w:ascii="Times New Roman" w:hAnsi="Times New Roman" w:eastAsia="宋体" w:cs="Times New Roman"/>
        <w:sz w:val="18"/>
        <w:szCs w:val="20"/>
        <w:lang w:val="en-US" w:eastAsia="zh-CN"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94005" cy="300355"/>
              <wp:effectExtent l="0" t="0" r="0" b="0"/>
              <wp:wrapNone/>
              <wp:docPr id="7" name="文本框 4"/>
              <wp:cNvGraphicFramePr/>
              <a:graphic xmlns:a="http://schemas.openxmlformats.org/drawingml/2006/main">
                <a:graphicData uri="http://schemas.microsoft.com/office/word/2010/wordprocessingShape">
                  <wps:wsp>
                    <wps:cNvSpPr txBox="1"/>
                    <wps:spPr bwMode="auto">
                      <a:xfrm>
                        <a:off x="0" y="0"/>
                        <a:ext cx="294005" cy="300355"/>
                      </a:xfrm>
                      <a:prstGeom prst="rect">
                        <a:avLst/>
                      </a:prstGeom>
                      <a:noFill/>
                      <a:ln w="15875">
                        <a:noFill/>
                      </a:ln>
                    </wps:spPr>
                    <wps:txbx>
                      <w:txbxContent>
                        <w:p w14:paraId="5A16EED5">
                          <w:pPr>
                            <w:widowControl w:val="0"/>
                            <w:jc w:val="left"/>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70</w:t>
                          </w:r>
                          <w:r>
                            <w:rPr>
                              <w:rFonts w:hint="eastAsia" w:ascii="Times New Roman" w:hAnsi="Times New Roman" w:eastAsia="宋体" w:cs="Times New Roman"/>
                              <w:sz w:val="18"/>
                              <w:szCs w:val="20"/>
                              <w:lang w:val="en-US" w:eastAsia="zh-CN" w:bidi="ar-SA"/>
                            </w:rPr>
                            <w:fldChar w:fldCharType="end"/>
                          </w:r>
                        </w:p>
                        <w:p w14:paraId="01E2E302">
                          <w:pPr>
                            <w:rPr>
                              <w:rFonts w:ascii="Times New Roman" w:hAnsi="Times New Roman" w:eastAsia="宋体" w:cs="Times New Roman"/>
                            </w:rPr>
                          </w:pPr>
                        </w:p>
                      </w:txbxContent>
                    </wps:txbx>
                    <wps:bodyPr wrap="square" lIns="0" tIns="0" rIns="0" bIns="0" upright="1">
                      <a:noAutofit/>
                    </wps:bodyPr>
                  </wps:wsp>
                </a:graphicData>
              </a:graphic>
            </wp:anchor>
          </w:drawing>
        </mc:Choice>
        <mc:Fallback>
          <w:pict>
            <v:shape id="文本框 4" o:spid="_x0000_s1026" o:spt="202" type="#_x0000_t202" style="position:absolute;left:0pt;margin-top:0pt;height:23.65pt;width:23.15pt;mso-position-horizontal:center;mso-position-horizontal-relative:margin;z-index:251663360;mso-width-relative:page;mso-height-relative:page;" filled="f" stroked="f" coordsize="21600,21600" o:gfxdata="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Y3LKo0gAAAAMBAAAPAAAA&#10;AAAAAAEAIAAAACIAAABkcnMvZG93bnJldi54bWxQSwECFAAUAAAACACHTuJAvJY04uIBAACxAwAA&#10;DgAAAAAAAAABACAAAAAhAQAAZHJzL2Uyb0RvYy54bWxQSwUGAAAAAAYABgBZAQAAdQUAAAAA&#10;">
              <v:fill on="f" focussize="0,0"/>
              <v:stroke on="f" weight="1.25pt"/>
              <v:imagedata o:title=""/>
              <o:lock v:ext="edit" aspectratio="f"/>
              <v:textbox inset="0mm,0mm,0mm,0mm">
                <w:txbxContent>
                  <w:p w14:paraId="5A16EED5">
                    <w:pPr>
                      <w:widowControl w:val="0"/>
                      <w:jc w:val="left"/>
                      <w:rPr>
                        <w:rFonts w:hint="eastAsia" w:ascii="Times New Roman" w:hAnsi="Times New Roman" w:eastAsia="宋体" w:cs="Times New Roman"/>
                        <w:sz w:val="18"/>
                        <w:szCs w:val="20"/>
                        <w:lang w:val="en-US" w:eastAsia="zh-CN" w:bidi="ar-SA"/>
                      </w:rPr>
                    </w:pPr>
                    <w:r>
                      <w:rPr>
                        <w:rFonts w:hint="eastAsia" w:ascii="Times New Roman" w:hAnsi="Times New Roman" w:eastAsia="宋体" w:cs="Times New Roman"/>
                        <w:sz w:val="18"/>
                        <w:szCs w:val="20"/>
                        <w:lang w:val="en-US" w:eastAsia="zh-CN" w:bidi="ar-SA"/>
                      </w:rPr>
                      <w:fldChar w:fldCharType="begin"/>
                    </w:r>
                    <w:r>
                      <w:rPr>
                        <w:rFonts w:hint="eastAsia" w:ascii="Times New Roman" w:hAnsi="Times New Roman" w:eastAsia="宋体" w:cs="Times New Roman"/>
                        <w:sz w:val="18"/>
                        <w:szCs w:val="20"/>
                        <w:lang w:val="en-US" w:eastAsia="zh-CN" w:bidi="ar-SA"/>
                      </w:rPr>
                      <w:instrText xml:space="preserve"> PAGE  \* MERGEFORMAT </w:instrText>
                    </w:r>
                    <w:r>
                      <w:rPr>
                        <w:rFonts w:hint="eastAsia" w:ascii="Times New Roman" w:hAnsi="Times New Roman" w:eastAsia="宋体" w:cs="Times New Roman"/>
                        <w:sz w:val="18"/>
                        <w:szCs w:val="20"/>
                        <w:lang w:val="en-US" w:eastAsia="zh-CN" w:bidi="ar-SA"/>
                      </w:rPr>
                      <w:fldChar w:fldCharType="separate"/>
                    </w:r>
                    <w:r>
                      <w:rPr>
                        <w:rFonts w:hint="eastAsia" w:ascii="Times New Roman" w:hAnsi="Times New Roman" w:eastAsia="宋体" w:cs="Times New Roman"/>
                        <w:sz w:val="18"/>
                        <w:szCs w:val="20"/>
                        <w:lang w:val="en-US" w:eastAsia="zh-CN" w:bidi="ar-SA"/>
                      </w:rPr>
                      <w:t>70</w:t>
                    </w:r>
                    <w:r>
                      <w:rPr>
                        <w:rFonts w:hint="eastAsia" w:ascii="Times New Roman" w:hAnsi="Times New Roman" w:eastAsia="宋体" w:cs="Times New Roman"/>
                        <w:sz w:val="18"/>
                        <w:szCs w:val="20"/>
                        <w:lang w:val="en-US" w:eastAsia="zh-CN" w:bidi="ar-SA"/>
                      </w:rPr>
                      <w:fldChar w:fldCharType="end"/>
                    </w:r>
                  </w:p>
                  <w:p w14:paraId="01E2E302">
                    <w:pPr>
                      <w:rPr>
                        <w:rFonts w:ascii="Times New Roman" w:hAnsi="Times New Roman" w:eastAsia="宋体" w:cs="Times New Roman"/>
                      </w:rPr>
                    </w:pPr>
                  </w:p>
                </w:txbxContent>
              </v:textbox>
            </v:shape>
          </w:pict>
        </mc:Fallback>
      </mc:AlternateContent>
    </w:r>
  </w:p>
  <w:p w14:paraId="205AE347">
    <w:pPr>
      <w:rPr>
        <w:rFonts w:ascii="Times New Roman" w:hAnsi="Times New Roman" w:eastAsia="宋体" w:cs="Times New Roman"/>
      </w:rPr>
    </w:pPr>
  </w:p>
  <w:p w14:paraId="2899C78E">
    <w:pPr>
      <w:widowControl w:val="0"/>
      <w:tabs>
        <w:tab w:val="center" w:pos="4153"/>
        <w:tab w:val="right" w:pos="8306"/>
      </w:tabs>
      <w:jc w:val="left"/>
      <w:rPr>
        <w:rFonts w:hint="default" w:ascii="Times New Roman" w:hAnsi="Times New Roman" w:eastAsia="宋体" w:cs="Times New Roman"/>
        <w:sz w:val="18"/>
        <w:szCs w:val="20"/>
        <w:lang w:val="en-US" w:eastAsia="zh-CN" w:bidi="ar-SA"/>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9BC02E">
    <w:pPr>
      <w:pStyle w:val="213"/>
      <w:ind w:right="360"/>
    </w:pPr>
    <w:r>
      <w:rPr>
        <w:sz w:val="18"/>
      </w:rPr>
      <mc:AlternateContent>
        <mc:Choice Requires="wps">
          <w:drawing>
            <wp:anchor distT="0" distB="0" distL="114300" distR="114300" simplePos="0" relativeHeight="251659264" behindDoc="0" locked="0" layoutInCell="1" allowOverlap="1">
              <wp:simplePos x="0" y="0"/>
              <wp:positionH relativeFrom="margin">
                <wp:posOffset>2952115</wp:posOffset>
              </wp:positionH>
              <wp:positionV relativeFrom="paragraph">
                <wp:posOffset>8255</wp:posOffset>
              </wp:positionV>
              <wp:extent cx="178435" cy="139700"/>
              <wp:effectExtent l="3175" t="3175" r="3175" b="3175"/>
              <wp:wrapNone/>
              <wp:docPr id="8" name="文本框 4"/>
              <wp:cNvGraphicFramePr/>
              <a:graphic xmlns:a="http://schemas.openxmlformats.org/drawingml/2006/main">
                <a:graphicData uri="http://schemas.microsoft.com/office/word/2010/wordprocessingShape">
                  <wps:wsp>
                    <wps:cNvSpPr txBox="1"/>
                    <wps:spPr bwMode="auto">
                      <a:xfrm>
                        <a:off x="0" y="0"/>
                        <a:ext cx="178196" cy="139526"/>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A0BA45">
                          <w:pPr>
                            <w:pStyle w:val="25"/>
                            <w:jc w:val="center"/>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4" o:spid="_x0000_s1026" o:spt="202" type="#_x0000_t202" style="position:absolute;left:0pt;margin-left:232.45pt;margin-top:0.65pt;height:11pt;width:14.05pt;mso-position-horizontal-relative:margin;z-index:251659264;mso-width-relative:page;mso-height-relative:page;" filled="f" stroked="f" coordsize="21600,21600" o:gfxdata="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JIGITzXAAAACAEAAA8AAAAAAAAAAQAgAAAAIgAA&#10;AGRycy9kb3ducmV2LnhtbFBLAQIUABQAAAAIAIdO4kCJTYrnQgIAAG8EAAAOAAAAAAAAAAEAIAAA&#10;ACYBAABkcnMvZTJvRG9jLnhtbFBLBQYAAAAABgAGAFkBAADaBQAAAAA=&#10;">
              <v:fill on="f" focussize="0,0"/>
              <v:stroke on="f" weight="0.5pt"/>
              <v:imagedata o:title=""/>
              <o:lock v:ext="edit" aspectratio="f"/>
              <v:textbox inset="0mm,0mm,0mm,0mm">
                <w:txbxContent>
                  <w:p w14:paraId="6FA0BA45">
                    <w:pPr>
                      <w:pStyle w:val="25"/>
                      <w:jc w:val="center"/>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65960">
    <w:pPr>
      <w:pStyle w:val="2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2080" cy="191135"/>
              <wp:effectExtent l="3175" t="3175" r="3175" b="3175"/>
              <wp:wrapNone/>
              <wp:docPr id="9" name="文本框 5"/>
              <wp:cNvGraphicFramePr/>
              <a:graphic xmlns:a="http://schemas.openxmlformats.org/drawingml/2006/main">
                <a:graphicData uri="http://schemas.microsoft.com/office/word/2010/wordprocessingShape">
                  <wps:wsp>
                    <wps:cNvSpPr txBox="1"/>
                    <wps:spPr bwMode="auto">
                      <a:xfrm>
                        <a:off x="0" y="0"/>
                        <a:ext cx="132159" cy="19130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EC9012">
                          <w:pPr>
                            <w:pStyle w:val="25"/>
                          </w:pPr>
                          <w:r>
                            <w:fldChar w:fldCharType="begin"/>
                          </w:r>
                          <w:r>
                            <w:instrText xml:space="preserve"> PAGE  \* MERGEFORMAT </w:instrText>
                          </w:r>
                          <w:r>
                            <w:fldChar w:fldCharType="separate"/>
                          </w:r>
                          <w:r>
                            <w:t>80</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文本框 5" o:spid="_x0000_s1026" o:spt="202" type="#_x0000_t202" style="position:absolute;left:0pt;margin-top:0pt;height:15.05pt;width:10.4pt;mso-position-horizontal:center;mso-position-horizontal-relative:margin;z-index:251660288;mso-width-relative:page;mso-height-relative:page;" filled="f" stroked="f" coordsize="21600,21600" o:gfxdata="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ODpsvHSAAAAAwEAAA8AAAAAAAAAAQAgAAAAIgAAAGRycy9k&#10;b3ducmV2LnhtbFBLAQIUABQAAAAIAIdO4kAu9BGOQQIAAG8EAAAOAAAAAAAAAAEAIAAAACEBAABk&#10;cnMvZTJvRG9jLnhtbFBLBQYAAAAABgAGAFkBAADUBQAAAAA=&#10;">
              <v:fill on="f" focussize="0,0"/>
              <v:stroke on="f" weight="0.5pt"/>
              <v:imagedata o:title=""/>
              <o:lock v:ext="edit" aspectratio="f"/>
              <v:textbox inset="0mm,0mm,0mm,0mm">
                <w:txbxContent>
                  <w:p w14:paraId="26EC9012">
                    <w:pPr>
                      <w:pStyle w:val="25"/>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1BCD5E60">
      <w:pPr>
        <w:pStyle w:val="30"/>
      </w:pPr>
      <w:r>
        <w:rPr>
          <w:rStyle w:val="45"/>
        </w:rPr>
        <w:footnoteRef/>
      </w:r>
      <w:r>
        <w:t xml:space="preserve"> </w:t>
      </w:r>
      <w:r>
        <w:rPr>
          <w:rFonts w:hint="eastAsia" w:hAnsi="宋体"/>
          <w:color w:val="000000"/>
          <w:sz w:val="21"/>
          <w:szCs w:val="21"/>
        </w:rPr>
        <w:t>从业人员、营业收入、资产总额填报上一年度数据，无上一年度数据的新成立企业可不填报。</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EF3C73">
    <w:pPr>
      <w:pStyle w:val="26"/>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58DCD">
    <w:pPr>
      <w:pStyle w:val="26"/>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F2446">
    <w:pPr>
      <w:widowControl w:val="0"/>
      <w:pBdr>
        <w:bottom w:val="none" w:color="000000" w:sz="0" w:space="0"/>
      </w:pBdr>
      <w:tabs>
        <w:tab w:val="center" w:pos="4153"/>
        <w:tab w:val="right" w:pos="8306"/>
      </w:tabs>
      <w:jc w:val="center"/>
      <w:rPr>
        <w:rFonts w:hint="default" w:ascii="Times New Roman" w:hAnsi="Times New Roman" w:eastAsia="宋体" w:cs="Times New Roman"/>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2613D7">
    <w:pPr>
      <w:pStyle w:val="212"/>
      <w:tabs>
        <w:tab w:val="left" w:pos="8376"/>
      </w:tabs>
      <w:rPr>
        <w:rFonts w:hint="eastAsia"/>
      </w:rPr>
    </w:pPr>
    <w:r>
      <w:rPr>
        <w:rFonts w:hint="eastAsia"/>
      </w:rPr>
      <w:tab/>
    </w:r>
  </w:p>
  <w:p w14:paraId="78F0B499">
    <w:pPr>
      <w:pStyle w:val="212"/>
      <w:tabs>
        <w:tab w:val="left" w:pos="8376"/>
      </w:tabs>
      <w:rPr>
        <w:rFonts w:hint="eastAsia"/>
      </w:rPr>
    </w:pPr>
  </w:p>
  <w:p w14:paraId="22045614">
    <w:pPr>
      <w:pStyle w:val="212"/>
      <w:tabs>
        <w:tab w:val="left" w:pos="8376"/>
      </w:tabs>
      <w:ind w:firstLine="1080"/>
      <w:rPr>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42459C"/>
    <w:multiLevelType w:val="singleLevel"/>
    <w:tmpl w:val="9342459C"/>
    <w:lvl w:ilvl="0" w:tentative="0">
      <w:start w:val="1"/>
      <w:numFmt w:val="decimal"/>
      <w:suff w:val="nothing"/>
      <w:lvlText w:val="%1、"/>
      <w:lvlJc w:val="left"/>
    </w:lvl>
  </w:abstractNum>
  <w:abstractNum w:abstractNumId="1">
    <w:nsid w:val="CF092B84"/>
    <w:multiLevelType w:val="multilevel"/>
    <w:tmpl w:val="CF092B84"/>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59ADCABA"/>
    <w:multiLevelType w:val="multilevel"/>
    <w:tmpl w:val="59ADCABA"/>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footnotePr>
    <w:footnote w:id="2"/>
    <w:footnote w:id="3"/>
  </w:foot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CE6646"/>
    <w:rsid w:val="1B65531B"/>
    <w:rsid w:val="1C96002A"/>
    <w:rsid w:val="1DB61202"/>
    <w:rsid w:val="298F7E1F"/>
    <w:rsid w:val="40D33B5F"/>
    <w:rsid w:val="4DBF1F4F"/>
    <w:rsid w:val="58BB37C1"/>
    <w:rsid w:val="5B854EEE"/>
    <w:rsid w:val="5CBB3B9A"/>
    <w:rsid w:val="5E500D51"/>
    <w:rsid w:val="619A1022"/>
    <w:rsid w:val="64810F36"/>
    <w:rsid w:val="68E708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5">
    <w:name w:val="heading 3"/>
    <w:basedOn w:val="1"/>
    <w:next w:val="6"/>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Default"/>
    <w:semiHidden/>
    <w:qFormat/>
    <w:uiPriority w:val="0"/>
    <w:pPr>
      <w:widowControl w:val="0"/>
      <w:jc w:val="left"/>
    </w:pPr>
    <w:rPr>
      <w:rFonts w:hint="default" w:ascii="宋体" w:hAnsi="Calibri" w:eastAsia="宋体" w:cs="宋体"/>
      <w:color w:val="000000"/>
      <w:sz w:val="24"/>
      <w:szCs w:val="24"/>
      <w:lang w:val="en-US" w:eastAsia="zh-CN" w:bidi="ar-SA"/>
    </w:rPr>
  </w:style>
  <w:style w:type="paragraph" w:styleId="6">
    <w:name w:val="Normal Indent"/>
    <w:basedOn w:val="1"/>
    <w:qFormat/>
    <w:uiPriority w:val="0"/>
    <w:pPr>
      <w:ind w:firstLine="420"/>
    </w:pPr>
    <w:rPr>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toa heading"/>
    <w:basedOn w:val="1"/>
    <w:next w:val="1"/>
    <w:qFormat/>
    <w:uiPriority w:val="0"/>
    <w:pPr>
      <w:spacing w:before="120"/>
    </w:pPr>
    <w:rPr>
      <w:rFonts w:ascii="Arial" w:hAnsi="Arial" w:eastAsia="宋体" w:cs="Arial"/>
      <w:sz w:val="24"/>
    </w:rPr>
  </w:style>
  <w:style w:type="paragraph" w:styleId="16">
    <w:name w:val="Body Text"/>
    <w:basedOn w:val="1"/>
    <w:qFormat/>
    <w:uiPriority w:val="0"/>
    <w:pPr>
      <w:spacing w:after="120"/>
    </w:pPr>
  </w:style>
  <w:style w:type="paragraph" w:styleId="17">
    <w:name w:val="Body Text Indent"/>
    <w:basedOn w:val="1"/>
    <w:next w:val="18"/>
    <w:qFormat/>
    <w:uiPriority w:val="0"/>
    <w:pPr>
      <w:spacing w:line="360" w:lineRule="auto"/>
      <w:ind w:firstLine="600"/>
    </w:pPr>
    <w:rPr>
      <w:rFonts w:ascii="仿宋_GB2312" w:eastAsia="仿宋_GB2312"/>
      <w:sz w:val="30"/>
    </w:rPr>
  </w:style>
  <w:style w:type="paragraph" w:styleId="18">
    <w:name w:val="envelope return"/>
    <w:basedOn w:val="1"/>
    <w:qFormat/>
    <w:uiPriority w:val="0"/>
    <w:rPr>
      <w:rFonts w:ascii="Arial" w:hAnsi="Arial"/>
    </w:rPr>
  </w:style>
  <w:style w:type="paragraph" w:styleId="19">
    <w:name w:val="toc 5"/>
    <w:basedOn w:val="1"/>
    <w:next w:val="1"/>
    <w:unhideWhenUsed/>
    <w:qFormat/>
    <w:uiPriority w:val="39"/>
    <w:pPr>
      <w:spacing w:after="57"/>
      <w:ind w:left="1134" w:right="0" w:firstLine="0"/>
    </w:pPr>
  </w:style>
  <w:style w:type="paragraph" w:styleId="20">
    <w:name w:val="toc 3"/>
    <w:basedOn w:val="1"/>
    <w:next w:val="1"/>
    <w:unhideWhenUsed/>
    <w:qFormat/>
    <w:uiPriority w:val="39"/>
    <w:pPr>
      <w:spacing w:after="57"/>
      <w:ind w:left="567" w:right="0" w:firstLine="0"/>
    </w:pPr>
  </w:style>
  <w:style w:type="paragraph" w:styleId="21">
    <w:name w:val="Plain Text"/>
    <w:basedOn w:val="1"/>
    <w:qFormat/>
    <w:uiPriority w:val="0"/>
    <w:rPr>
      <w:rFonts w:ascii="宋体" w:hAnsi="Courier New"/>
    </w:rPr>
  </w:style>
  <w:style w:type="paragraph" w:styleId="22">
    <w:name w:val="toc 8"/>
    <w:basedOn w:val="1"/>
    <w:next w:val="1"/>
    <w:unhideWhenUsed/>
    <w:qFormat/>
    <w:uiPriority w:val="39"/>
    <w:pPr>
      <w:spacing w:after="57"/>
      <w:ind w:left="1984" w:right="0" w:firstLine="0"/>
    </w:pPr>
  </w:style>
  <w:style w:type="paragraph" w:styleId="23">
    <w:name w:val="Body Text Indent 2"/>
    <w:qFormat/>
    <w:uiPriority w:val="0"/>
    <w:pPr>
      <w:widowControl w:val="0"/>
      <w:spacing w:line="420" w:lineRule="exact"/>
      <w:ind w:firstLine="525"/>
      <w:jc w:val="both"/>
    </w:pPr>
    <w:rPr>
      <w:rFonts w:hint="default" w:ascii="宋体" w:hAnsi="Times New Roman" w:eastAsia="宋体" w:cs="Times New Roman"/>
      <w:sz w:val="21"/>
      <w:szCs w:val="20"/>
      <w:lang w:val="en-US" w:eastAsia="zh-CN" w:bidi="ar-SA"/>
    </w:rPr>
  </w:style>
  <w:style w:type="paragraph" w:styleId="24">
    <w:name w:val="endnote text"/>
    <w:basedOn w:val="1"/>
    <w:link w:val="192"/>
    <w:semiHidden/>
    <w:unhideWhenUsed/>
    <w:qFormat/>
    <w:uiPriority w:val="99"/>
    <w:pPr>
      <w:spacing w:after="0" w:line="240" w:lineRule="auto"/>
    </w:pPr>
    <w:rPr>
      <w:sz w:val="20"/>
    </w:rPr>
  </w:style>
  <w:style w:type="paragraph" w:styleId="25">
    <w:name w:val="footer"/>
    <w:basedOn w:val="1"/>
    <w:link w:val="195"/>
    <w:qFormat/>
    <w:uiPriority w:val="0"/>
    <w:pPr>
      <w:tabs>
        <w:tab w:val="center" w:pos="4153"/>
        <w:tab w:val="right" w:pos="8306"/>
      </w:tabs>
      <w:jc w:val="left"/>
    </w:pPr>
    <w:rPr>
      <w:sz w:val="18"/>
      <w:szCs w:val="18"/>
    </w:rPr>
  </w:style>
  <w:style w:type="paragraph" w:styleId="26">
    <w:name w:val="header"/>
    <w:basedOn w:val="1"/>
    <w:link w:val="194"/>
    <w:qFormat/>
    <w:uiPriority w:val="0"/>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pPr>
      <w:spacing w:after="57"/>
      <w:ind w:left="0" w:right="0" w:firstLine="0"/>
    </w:pPr>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8"/>
    <w:qFormat/>
    <w:uiPriority w:val="11"/>
    <w:pPr>
      <w:spacing w:before="200" w:after="200"/>
    </w:pPr>
    <w:rPr>
      <w:sz w:val="24"/>
      <w:szCs w:val="24"/>
    </w:rPr>
  </w:style>
  <w:style w:type="paragraph" w:styleId="30">
    <w:name w:val="footnote text"/>
    <w:basedOn w:val="1"/>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Message Header"/>
    <w:basedOn w:val="1"/>
    <w:unhideWhenUsed/>
    <w:qFormat/>
    <w:uiPriority w:val="99"/>
    <w:pPr>
      <w:ind w:left="1080" w:hanging="1080"/>
      <w:jc w:val="left"/>
    </w:pPr>
    <w:rPr>
      <w:rFonts w:ascii="Arial" w:hAnsi="Arial" w:cs="宋体"/>
      <w:sz w:val="22"/>
      <w:szCs w:val="22"/>
      <w:lang w:val="ja-JP" w:eastAsia="ja-JP" w:bidi="ja-JP"/>
    </w:rPr>
  </w:style>
  <w:style w:type="paragraph" w:styleId="36">
    <w:name w:val="Normal (Web)"/>
    <w:basedOn w:val="1"/>
    <w:qFormat/>
    <w:uiPriority w:val="0"/>
    <w:pPr>
      <w:spacing w:beforeAutospacing="1" w:afterAutospacing="1"/>
      <w:jc w:val="left"/>
    </w:pPr>
    <w:rPr>
      <w:rFonts w:cs="Times New Roman"/>
      <w:sz w:val="24"/>
    </w:rPr>
  </w:style>
  <w:style w:type="paragraph" w:styleId="37">
    <w:name w:val="Title"/>
    <w:basedOn w:val="1"/>
    <w:next w:val="1"/>
    <w:qFormat/>
    <w:uiPriority w:val="10"/>
    <w:pPr>
      <w:spacing w:before="300" w:after="200"/>
      <w:contextualSpacing/>
    </w:pPr>
    <w:rPr>
      <w:sz w:val="48"/>
      <w:szCs w:val="48"/>
    </w:rPr>
  </w:style>
  <w:style w:type="paragraph" w:styleId="38">
    <w:name w:val="Body Text First Indent"/>
    <w:basedOn w:val="16"/>
    <w:next w:val="31"/>
    <w:qFormat/>
    <w:uiPriority w:val="0"/>
    <w:pPr>
      <w:ind w:firstLine="420"/>
    </w:pPr>
    <w:rPr>
      <w:sz w:val="24"/>
    </w:rPr>
  </w:style>
  <w:style w:type="paragraph" w:styleId="39">
    <w:name w:val="Body Text First Indent 2"/>
    <w:basedOn w:val="17"/>
    <w:qFormat/>
    <w:uiPriority w:val="0"/>
    <w:pPr>
      <w:ind w:firstLine="420"/>
    </w:pPr>
  </w:style>
  <w:style w:type="table" w:styleId="41">
    <w:name w:val="Table Grid"/>
    <w:basedOn w:val="40"/>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basedOn w:val="42"/>
    <w:semiHidden/>
    <w:unhideWhenUsed/>
    <w:qFormat/>
    <w:uiPriority w:val="99"/>
    <w:rPr>
      <w:vertAlign w:val="superscript"/>
    </w:rPr>
  </w:style>
  <w:style w:type="character" w:styleId="44">
    <w:name w:val="Hyperlink"/>
    <w:unhideWhenUsed/>
    <w:qFormat/>
    <w:uiPriority w:val="99"/>
    <w:rPr>
      <w:color w:val="0563C1" w:themeColor="hyperlink"/>
      <w:u w:val="single"/>
      <w14:textFill>
        <w14:solidFill>
          <w14:schemeClr w14:val="hlink"/>
        </w14:solidFill>
      </w14:textFill>
    </w:rPr>
  </w:style>
  <w:style w:type="character" w:styleId="45">
    <w:name w:val="footnote reference"/>
    <w:unhideWhenUsed/>
    <w:qFormat/>
    <w:uiPriority w:val="99"/>
    <w:rPr>
      <w:vertAlign w:val="superscript"/>
    </w:rPr>
  </w:style>
  <w:style w:type="character" w:customStyle="1" w:styleId="46">
    <w:name w:val="Heading 1 Char"/>
    <w:basedOn w:val="42"/>
    <w:qFormat/>
    <w:uiPriority w:val="9"/>
    <w:rPr>
      <w:rFonts w:ascii="Arial" w:hAnsi="Arial" w:eastAsia="Arial" w:cs="Arial"/>
      <w:sz w:val="40"/>
      <w:szCs w:val="40"/>
    </w:rPr>
  </w:style>
  <w:style w:type="character" w:customStyle="1" w:styleId="47">
    <w:name w:val="Heading 2 Char"/>
    <w:basedOn w:val="42"/>
    <w:qFormat/>
    <w:uiPriority w:val="9"/>
    <w:rPr>
      <w:rFonts w:ascii="Arial" w:hAnsi="Arial" w:eastAsia="Arial" w:cs="Arial"/>
      <w:sz w:val="34"/>
    </w:rPr>
  </w:style>
  <w:style w:type="character" w:customStyle="1" w:styleId="48">
    <w:name w:val="Heading 3 Char"/>
    <w:basedOn w:val="42"/>
    <w:qFormat/>
    <w:uiPriority w:val="9"/>
    <w:rPr>
      <w:rFonts w:ascii="Arial" w:hAnsi="Arial" w:eastAsia="Arial" w:cs="Arial"/>
      <w:sz w:val="30"/>
      <w:szCs w:val="30"/>
    </w:rPr>
  </w:style>
  <w:style w:type="character" w:customStyle="1" w:styleId="49">
    <w:name w:val="Heading 4 Char"/>
    <w:basedOn w:val="42"/>
    <w:qFormat/>
    <w:uiPriority w:val="9"/>
    <w:rPr>
      <w:rFonts w:ascii="Arial" w:hAnsi="Arial" w:eastAsia="Arial" w:cs="Arial"/>
      <w:b/>
      <w:bCs/>
      <w:sz w:val="26"/>
      <w:szCs w:val="26"/>
    </w:rPr>
  </w:style>
  <w:style w:type="character" w:customStyle="1" w:styleId="50">
    <w:name w:val="Heading 5 Char"/>
    <w:basedOn w:val="42"/>
    <w:qFormat/>
    <w:uiPriority w:val="9"/>
    <w:rPr>
      <w:rFonts w:ascii="Arial" w:hAnsi="Arial" w:eastAsia="Arial" w:cs="Arial"/>
      <w:b/>
      <w:bCs/>
      <w:sz w:val="24"/>
      <w:szCs w:val="24"/>
    </w:rPr>
  </w:style>
  <w:style w:type="character" w:customStyle="1" w:styleId="51">
    <w:name w:val="Heading 6 Char"/>
    <w:basedOn w:val="42"/>
    <w:link w:val="9"/>
    <w:qFormat/>
    <w:uiPriority w:val="9"/>
    <w:rPr>
      <w:rFonts w:ascii="Arial" w:hAnsi="Arial" w:eastAsia="Arial" w:cs="Arial"/>
      <w:b/>
      <w:bCs/>
      <w:sz w:val="22"/>
      <w:szCs w:val="22"/>
    </w:rPr>
  </w:style>
  <w:style w:type="character" w:customStyle="1" w:styleId="52">
    <w:name w:val="Heading 7 Char"/>
    <w:basedOn w:val="42"/>
    <w:link w:val="10"/>
    <w:qFormat/>
    <w:uiPriority w:val="9"/>
    <w:rPr>
      <w:rFonts w:ascii="Arial" w:hAnsi="Arial" w:eastAsia="Arial" w:cs="Arial"/>
      <w:b/>
      <w:bCs/>
      <w:i/>
      <w:iCs/>
      <w:sz w:val="22"/>
      <w:szCs w:val="22"/>
    </w:rPr>
  </w:style>
  <w:style w:type="character" w:customStyle="1" w:styleId="53">
    <w:name w:val="Heading 8 Char"/>
    <w:basedOn w:val="42"/>
    <w:link w:val="11"/>
    <w:qFormat/>
    <w:uiPriority w:val="9"/>
    <w:rPr>
      <w:rFonts w:ascii="Arial" w:hAnsi="Arial" w:eastAsia="Arial" w:cs="Arial"/>
      <w:i/>
      <w:iCs/>
      <w:sz w:val="22"/>
      <w:szCs w:val="22"/>
    </w:rPr>
  </w:style>
  <w:style w:type="character" w:customStyle="1" w:styleId="54">
    <w:name w:val="Heading 9 Char"/>
    <w:basedOn w:val="42"/>
    <w:link w:val="12"/>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basedOn w:val="42"/>
    <w:qFormat/>
    <w:uiPriority w:val="10"/>
    <w:rPr>
      <w:sz w:val="48"/>
      <w:szCs w:val="48"/>
    </w:rPr>
  </w:style>
  <w:style w:type="character" w:customStyle="1" w:styleId="58">
    <w:name w:val="Subtitle Char"/>
    <w:basedOn w:val="42"/>
    <w:link w:val="29"/>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42"/>
    <w:qFormat/>
    <w:uiPriority w:val="99"/>
  </w:style>
  <w:style w:type="character" w:customStyle="1" w:styleId="64">
    <w:name w:val="Footer Char"/>
    <w:basedOn w:val="42"/>
    <w:qFormat/>
    <w:uiPriority w:val="99"/>
  </w:style>
  <w:style w:type="character" w:customStyle="1" w:styleId="65">
    <w:name w:val="Caption Char"/>
    <w:qFormat/>
    <w:uiPriority w:val="99"/>
  </w:style>
  <w:style w:type="table" w:customStyle="1" w:styleId="66">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4">
    <w:name w:val="Grid Table 1 Light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5">
    <w:name w:val="Grid Table 1 Light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6">
    <w:name w:val="Grid Table 1 Light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7">
    <w:name w:val="Grid Table 1 Light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8">
    <w:name w:val="Grid Table 1 Light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9">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1">
    <w:name w:val="Grid Table 2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2">
    <w:name w:val="Grid Table 2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3">
    <w:name w:val="Grid Table 2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4">
    <w:name w:val="Grid Table 2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5">
    <w:name w:val="Grid Table 2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6">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3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3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3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3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3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40"/>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5">
    <w:name w:val="Grid Table 4 - Accent 2"/>
    <w:basedOn w:val="4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4 - Accent 3"/>
    <w:basedOn w:val="4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4 - Accent 4"/>
    <w:basedOn w:val="40"/>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4 - Accent 5"/>
    <w:basedOn w:val="40"/>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4 - Accent 6"/>
    <w:basedOn w:val="4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2">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3">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4">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5">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6">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7">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40"/>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40"/>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40"/>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3">
    <w:name w:val="Grid Table 6 Colorful - Accent 6"/>
    <w:basedOn w:val="40"/>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4">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40"/>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4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4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basedOn w:val="4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40"/>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7 Colorful - Accent 6"/>
    <w:basedOn w:val="4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1">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40"/>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3">
    <w:name w:val="List Table 1 Light - Accent 2"/>
    <w:basedOn w:val="4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4">
    <w:name w:val="List Table 1 Light - Accent 3"/>
    <w:basedOn w:val="4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5">
    <w:name w:val="List Table 1 Light - Accent 4"/>
    <w:basedOn w:val="4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6">
    <w:name w:val="List Table 1 Light - Accent 5"/>
    <w:basedOn w:val="40"/>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7">
    <w:name w:val="List Table 1 Light - Accent 6"/>
    <w:basedOn w:val="4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8">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40"/>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0">
    <w:name w:val="List Table 2 - Accent 2"/>
    <w:basedOn w:val="40"/>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1">
    <w:name w:val="List Table 2 - Accent 3"/>
    <w:basedOn w:val="4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2">
    <w:name w:val="List Table 2 - Accent 4"/>
    <w:basedOn w:val="4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3">
    <w:name w:val="List Table 2 - Accent 5"/>
    <w:basedOn w:val="40"/>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4">
    <w:name w:val="List Table 2 - Accent 6"/>
    <w:basedOn w:val="40"/>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5">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40"/>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7">
    <w:name w:val="List Table 3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8">
    <w:name w:val="List Table 3 - Accent 3"/>
    <w:basedOn w:val="40"/>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9">
    <w:name w:val="List Table 3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0">
    <w:name w:val="List Table 3 - Accent 5"/>
    <w:basedOn w:val="40"/>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1">
    <w:name w:val="List Table 3 - Accent 6"/>
    <w:basedOn w:val="40"/>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2">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40"/>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4">
    <w:name w:val="List Table 4 - Accent 2"/>
    <w:basedOn w:val="40"/>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5">
    <w:name w:val="List Table 4 - Accent 3"/>
    <w:basedOn w:val="40"/>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6">
    <w:name w:val="List Table 4 - Accent 4"/>
    <w:basedOn w:val="40"/>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7">
    <w:name w:val="List Table 4 - Accent 5"/>
    <w:basedOn w:val="40"/>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8">
    <w:name w:val="List Table 4 - Accent 6"/>
    <w:basedOn w:val="40"/>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9">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40"/>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1">
    <w:name w:val="List Table 5 Dark - Accent 2"/>
    <w:basedOn w:val="40"/>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2">
    <w:name w:val="List Table 5 Dark - Accent 3"/>
    <w:basedOn w:val="40"/>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3">
    <w:name w:val="List Table 5 Dark - Accent 4"/>
    <w:basedOn w:val="40"/>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4">
    <w:name w:val="List Table 5 Dark - Accent 5"/>
    <w:basedOn w:val="40"/>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5">
    <w:name w:val="List Table 5 Dark - Accent 6"/>
    <w:basedOn w:val="40"/>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6">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40"/>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8">
    <w:name w:val="List Table 6 Colorful - Accent 2"/>
    <w:basedOn w:val="40"/>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40"/>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40"/>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40"/>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40"/>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40"/>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7 Colorful - Accent 2"/>
    <w:basedOn w:val="40"/>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40"/>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40"/>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40"/>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40"/>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40"/>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2">
    <w:name w:val="Lined - Accent 2"/>
    <w:basedOn w:val="40"/>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3">
    <w:name w:val="Lined - Accent 3"/>
    <w:basedOn w:val="40"/>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4">
    <w:name w:val="Lined - Accent 4"/>
    <w:basedOn w:val="40"/>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5">
    <w:name w:val="Lined - Accent 5"/>
    <w:basedOn w:val="40"/>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6">
    <w:name w:val="Lined - Accent 6"/>
    <w:basedOn w:val="40"/>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7">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40"/>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Bordered &amp; Lined - Accent 2"/>
    <w:basedOn w:val="40"/>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Bordered &amp; Lined - Accent 3"/>
    <w:basedOn w:val="40"/>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Bordered &amp; Lined - Accent 4"/>
    <w:basedOn w:val="40"/>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Bordered &amp; Lined - Accent 5"/>
    <w:basedOn w:val="40"/>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Bordered &amp; Lined - Accent 6"/>
    <w:basedOn w:val="40"/>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6">
    <w:name w:val="Bordered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7">
    <w:name w:val="Bordered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8">
    <w:name w:val="Bordered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9">
    <w:name w:val="Bordered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0">
    <w:name w:val="Bordered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1">
    <w:name w:val="Footnote Text Char"/>
    <w:qFormat/>
    <w:uiPriority w:val="99"/>
    <w:rPr>
      <w:sz w:val="18"/>
    </w:rPr>
  </w:style>
  <w:style w:type="character" w:customStyle="1" w:styleId="192">
    <w:name w:val="Endnote Text Char"/>
    <w:link w:val="24"/>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character" w:customStyle="1" w:styleId="194">
    <w:name w:val="页眉 Char"/>
    <w:basedOn w:val="42"/>
    <w:link w:val="26"/>
    <w:qFormat/>
    <w:uiPriority w:val="0"/>
    <w:rPr>
      <w:rFonts w:asciiTheme="minorHAnsi" w:hAnsiTheme="minorHAnsi" w:eastAsiaTheme="minorEastAsia" w:cstheme="minorBidi"/>
      <w:sz w:val="18"/>
      <w:szCs w:val="18"/>
    </w:rPr>
  </w:style>
  <w:style w:type="character" w:customStyle="1" w:styleId="195">
    <w:name w:val="页脚 Char"/>
    <w:basedOn w:val="42"/>
    <w:link w:val="25"/>
    <w:qFormat/>
    <w:uiPriority w:val="0"/>
    <w:rPr>
      <w:rFonts w:asciiTheme="minorHAnsi" w:hAnsiTheme="minorHAnsi" w:eastAsiaTheme="minorEastAsia" w:cstheme="minorBidi"/>
      <w:sz w:val="18"/>
      <w:szCs w:val="18"/>
    </w:rPr>
  </w:style>
  <w:style w:type="paragraph" w:customStyle="1" w:styleId="196">
    <w:name w:val="标题1"/>
    <w:basedOn w:val="1"/>
    <w:next w:val="1"/>
    <w:qFormat/>
    <w:uiPriority w:val="0"/>
    <w:pPr>
      <w:spacing w:before="240" w:after="60"/>
      <w:jc w:val="center"/>
      <w:outlineLvl w:val="0"/>
    </w:pPr>
    <w:rPr>
      <w:rFonts w:ascii="Cambria" w:hAnsi="Cambria"/>
      <w:b/>
      <w:bCs/>
      <w:sz w:val="32"/>
      <w:szCs w:val="32"/>
    </w:rPr>
  </w:style>
  <w:style w:type="paragraph" w:customStyle="1" w:styleId="197">
    <w:name w:val="正文11"/>
    <w:next w:val="198"/>
    <w:qFormat/>
    <w:uiPriority w:val="0"/>
    <w:pPr>
      <w:widowControl w:val="0"/>
      <w:jc w:val="both"/>
    </w:pPr>
    <w:rPr>
      <w:rFonts w:hint="default" w:ascii="Times New Roman" w:hAnsi="Times New Roman" w:eastAsia="Arial" w:cs="Times New Roman"/>
      <w:lang w:val="en-US" w:eastAsia="zh-CN" w:bidi="ar-SA"/>
    </w:rPr>
  </w:style>
  <w:style w:type="paragraph" w:customStyle="1" w:styleId="198">
    <w:name w:val="文本块1"/>
    <w:basedOn w:val="197"/>
    <w:qFormat/>
    <w:uiPriority w:val="0"/>
    <w:pPr>
      <w:widowControl/>
      <w:ind w:left="567" w:right="454" w:firstLine="498"/>
      <w:jc w:val="left"/>
    </w:pPr>
    <w:rPr>
      <w:rFonts w:ascii="仿宋_GB2312" w:eastAsia="仿宋_GB2312"/>
      <w:sz w:val="30"/>
    </w:rPr>
  </w:style>
  <w:style w:type="paragraph" w:customStyle="1" w:styleId="199">
    <w:name w:val="正文文本11"/>
    <w:basedOn w:val="1"/>
    <w:qFormat/>
    <w:uiPriority w:val="0"/>
    <w:pPr>
      <w:spacing w:after="120"/>
    </w:pPr>
    <w:rPr>
      <w:sz w:val="28"/>
    </w:rPr>
  </w:style>
  <w:style w:type="paragraph" w:customStyle="1" w:styleId="200">
    <w:name w:val="一级条标题"/>
    <w:basedOn w:val="201"/>
    <w:next w:val="202"/>
    <w:qFormat/>
    <w:uiPriority w:val="0"/>
    <w:pPr>
      <w:tabs>
        <w:tab w:val="left" w:pos="810"/>
        <w:tab w:val="left" w:pos="907"/>
        <w:tab w:val="left" w:pos="1265"/>
      </w:tabs>
      <w:spacing w:before="0" w:after="0"/>
      <w:ind w:left="907" w:hanging="907"/>
      <w:outlineLvl w:val="2"/>
    </w:pPr>
    <w:rPr>
      <w:rFonts w:ascii="Times New Roman" w:hAnsi="宋体" w:eastAsia="宋体"/>
      <w:sz w:val="20"/>
      <w:szCs w:val="20"/>
    </w:rPr>
  </w:style>
  <w:style w:type="paragraph" w:customStyle="1" w:styleId="201">
    <w:name w:val="章标题"/>
    <w:next w:val="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02">
    <w:name w:val="段"/>
    <w:next w:val="203"/>
    <w:qFormat/>
    <w:uiPriority w:val="99"/>
    <w:pPr>
      <w:ind w:firstLine="200"/>
      <w:jc w:val="both"/>
    </w:pPr>
    <w:rPr>
      <w:rFonts w:hint="default" w:ascii="宋体" w:hAnsi="Times New Roman" w:eastAsia="宋体" w:cs="Times New Roman"/>
      <w:sz w:val="22"/>
      <w:lang w:val="en-US" w:eastAsia="zh-CN" w:bidi="ar-SA"/>
    </w:rPr>
  </w:style>
  <w:style w:type="paragraph" w:customStyle="1" w:styleId="203">
    <w:name w:val="正文 A"/>
    <w:next w:val="202"/>
    <w:qFormat/>
    <w:uiPriority w:val="0"/>
    <w:pPr>
      <w:widowControl w:val="0"/>
      <w:jc w:val="both"/>
    </w:pPr>
    <w:rPr>
      <w:rFonts w:hint="default" w:ascii="Calibri" w:hAnsi="Calibri" w:eastAsia="Calibri" w:cs="Calibri"/>
      <w:color w:val="000000"/>
      <w:sz w:val="21"/>
      <w:szCs w:val="21"/>
    </w:rPr>
  </w:style>
  <w:style w:type="paragraph" w:customStyle="1" w:styleId="204">
    <w:name w:val="纯文本1"/>
    <w:basedOn w:val="1"/>
    <w:qFormat/>
    <w:uiPriority w:val="0"/>
    <w:rPr>
      <w:rFonts w:ascii="宋体" w:hAnsi="Courier New"/>
      <w:szCs w:val="20"/>
    </w:rPr>
  </w:style>
  <w:style w:type="paragraph" w:customStyle="1" w:styleId="205">
    <w:name w:val="xl33"/>
    <w:basedOn w:val="1"/>
    <w:qFormat/>
    <w:uiPriority w:val="0"/>
    <w:pPr>
      <w:widowControl/>
      <w:spacing w:before="100" w:beforeAutospacing="1" w:after="100" w:afterAutospacing="1"/>
      <w:jc w:val="center"/>
    </w:pPr>
    <w:rPr>
      <w:rFonts w:hint="eastAsia" w:ascii="华文中宋" w:hAnsi="华文中宋" w:eastAsia="华文中宋" w:cs="Arial Unicode MS"/>
      <w:sz w:val="44"/>
      <w:szCs w:val="44"/>
    </w:rPr>
  </w:style>
  <w:style w:type="paragraph" w:customStyle="1" w:styleId="206">
    <w:name w:val="正文_3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07">
    <w:name w:val="标题 31"/>
    <w:basedOn w:val="1"/>
    <w:next w:val="208"/>
    <w:qFormat/>
    <w:uiPriority w:val="0"/>
    <w:pPr>
      <w:widowControl/>
      <w:spacing w:before="100" w:beforeAutospacing="1" w:after="100" w:afterAutospacing="1"/>
      <w:jc w:val="left"/>
      <w:outlineLvl w:val="2"/>
    </w:pPr>
    <w:rPr>
      <w:rFonts w:ascii="_x000B__x000C_" w:hAnsi="_x000B__x000C_"/>
      <w:b/>
      <w:color w:val="999999"/>
      <w:sz w:val="19"/>
      <w:szCs w:val="20"/>
    </w:rPr>
  </w:style>
  <w:style w:type="paragraph" w:customStyle="1" w:styleId="208">
    <w:name w:val="正文缩进1"/>
    <w:basedOn w:val="1"/>
    <w:unhideWhenUsed/>
    <w:qFormat/>
    <w:uiPriority w:val="99"/>
    <w:pPr>
      <w:ind w:firstLine="420"/>
    </w:pPr>
    <w:rPr>
      <w:szCs w:val="20"/>
    </w:rPr>
  </w:style>
  <w:style w:type="paragraph" w:customStyle="1" w:styleId="209">
    <w:name w:val="正文文本首行缩进 21"/>
    <w:basedOn w:val="210"/>
    <w:next w:val="208"/>
    <w:qFormat/>
    <w:uiPriority w:val="0"/>
    <w:pPr>
      <w:tabs>
        <w:tab w:val="left" w:pos="180"/>
      </w:tabs>
      <w:spacing w:after="120" w:line="276" w:lineRule="auto"/>
      <w:ind w:left="420" w:firstLine="420"/>
      <w:jc w:val="left"/>
    </w:pPr>
    <w:rPr>
      <w:sz w:val="22"/>
      <w:szCs w:val="22"/>
      <w:lang w:eastAsia="en-US"/>
    </w:rPr>
  </w:style>
  <w:style w:type="paragraph" w:customStyle="1" w:styleId="210">
    <w:name w:val="正文文本缩进1"/>
    <w:basedOn w:val="1"/>
    <w:next w:val="211"/>
    <w:qFormat/>
    <w:uiPriority w:val="0"/>
    <w:pPr>
      <w:tabs>
        <w:tab w:val="left" w:pos="180"/>
      </w:tabs>
      <w:ind w:firstLine="480"/>
    </w:pPr>
    <w:rPr>
      <w:color w:val="000000"/>
      <w:sz w:val="24"/>
      <w:szCs w:val="21"/>
    </w:rPr>
  </w:style>
  <w:style w:type="paragraph" w:customStyle="1" w:styleId="211">
    <w:name w:val="寄信人地址1"/>
    <w:basedOn w:val="1"/>
    <w:qFormat/>
    <w:uiPriority w:val="0"/>
    <w:rPr>
      <w:rFonts w:ascii="Arial" w:hAnsi="Arial"/>
    </w:rPr>
  </w:style>
  <w:style w:type="paragraph" w:customStyle="1" w:styleId="212">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pPr>
    <w:rPr>
      <w:sz w:val="18"/>
    </w:rPr>
  </w:style>
  <w:style w:type="paragraph" w:customStyle="1" w:styleId="213">
    <w:name w:val="页脚1"/>
    <w:basedOn w:val="1"/>
    <w:qFormat/>
    <w:uiPriority w:val="0"/>
    <w:pPr>
      <w:tabs>
        <w:tab w:val="center" w:pos="4153"/>
        <w:tab w:val="right" w:pos="8306"/>
      </w:tabs>
      <w:jc w:val="left"/>
    </w:pPr>
    <w:rPr>
      <w:sz w:val="18"/>
      <w:szCs w:val="18"/>
    </w:rPr>
  </w:style>
  <w:style w:type="paragraph" w:customStyle="1" w:styleId="214">
    <w:name w:val="正文文本缩进11"/>
    <w:basedOn w:val="1"/>
    <w:next w:val="215"/>
    <w:qFormat/>
    <w:uiPriority w:val="0"/>
    <w:pPr>
      <w:spacing w:before="240" w:line="360" w:lineRule="auto"/>
      <w:ind w:firstLine="552"/>
    </w:pPr>
    <w:rPr>
      <w:rFonts w:ascii="宋体" w:hAnsi="宋体"/>
      <w:szCs w:val="20"/>
    </w:rPr>
  </w:style>
  <w:style w:type="paragraph" w:customStyle="1" w:styleId="215">
    <w:name w:val="寄信人地址11"/>
    <w:basedOn w:val="1"/>
    <w:qFormat/>
    <w:uiPriority w:val="0"/>
    <w:pPr>
      <w:widowControl/>
      <w:jc w:val="left"/>
    </w:pPr>
    <w:rPr>
      <w:rFonts w:ascii="@宋体" w:hAnsi="@宋体" w:eastAsia="等线"/>
      <w:sz w:val="22"/>
      <w:szCs w:val="20"/>
    </w:rPr>
  </w:style>
  <w:style w:type="paragraph" w:customStyle="1" w:styleId="216">
    <w:name w:val="标题 2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17">
    <w:name w:val="_Style 7"/>
    <w:basedOn w:val="3"/>
    <w:next w:val="1"/>
    <w:qFormat/>
    <w:uiPriority w:val="0"/>
    <w:pPr>
      <w:keepLines/>
      <w:spacing w:before="340" w:after="330" w:line="578" w:lineRule="auto"/>
      <w:outlineLvl w:val="9"/>
    </w:pPr>
    <w:rPr>
      <w:rFonts w:ascii="Times New Roman" w:eastAsia="宋体"/>
      <w:b/>
      <w:bCs/>
      <w:sz w:val="44"/>
      <w:szCs w:val="44"/>
    </w:rPr>
  </w:style>
  <w:style w:type="paragraph" w:customStyle="1" w:styleId="218">
    <w:name w:val="Blockquote"/>
    <w:basedOn w:val="1"/>
    <w:qFormat/>
    <w:uiPriority w:val="0"/>
    <w:pPr>
      <w:spacing w:before="100" w:after="100"/>
      <w:ind w:left="360" w:right="360"/>
      <w:jc w:val="left"/>
    </w:pPr>
    <w:rPr>
      <w:sz w:val="24"/>
      <w:szCs w:val="20"/>
    </w:rPr>
  </w:style>
  <w:style w:type="paragraph" w:customStyle="1" w:styleId="219">
    <w:name w:val="正文文本1"/>
    <w:basedOn w:val="1"/>
    <w:qFormat/>
    <w:uiPriority w:val="0"/>
    <w:pPr>
      <w:spacing w:after="120"/>
    </w:pPr>
  </w:style>
  <w:style w:type="paragraph" w:customStyle="1" w:styleId="220">
    <w:name w:val="标题 11"/>
    <w:basedOn w:val="1"/>
    <w:next w:val="1"/>
    <w:qFormat/>
    <w:uiPriority w:val="0"/>
    <w:pPr>
      <w:keepNext/>
      <w:outlineLvl w:val="0"/>
    </w:pPr>
    <w:rPr>
      <w:rFonts w:ascii="楷体_GB2312" w:eastAsia="楷体_GB2312"/>
      <w:sz w:val="28"/>
      <w:szCs w:val="20"/>
    </w:rPr>
  </w:style>
  <w:style w:type="paragraph" w:customStyle="1" w:styleId="221">
    <w:name w:val="目录 61"/>
    <w:basedOn w:val="1"/>
    <w:next w:val="1"/>
    <w:semiHidden/>
    <w:qFormat/>
    <w:uiPriority w:val="0"/>
    <w:pPr>
      <w:ind w:left="2100"/>
    </w:pPr>
  </w:style>
  <w:style w:type="paragraph" w:customStyle="1" w:styleId="222">
    <w:name w:val="正文首行缩进1"/>
    <w:basedOn w:val="1"/>
    <w:qFormat/>
    <w:uiPriority w:val="0"/>
    <w:pPr>
      <w:ind w:firstLine="420"/>
    </w:pPr>
  </w:style>
  <w:style w:type="paragraph" w:customStyle="1" w:styleId="223">
    <w:name w:val="_Style 3"/>
    <w:basedOn w:val="220"/>
    <w:next w:val="1"/>
    <w:qFormat/>
    <w:uiPriority w:val="0"/>
    <w:pPr>
      <w:spacing w:line="578" w:lineRule="auto"/>
      <w:outlineLvl w:val="9"/>
    </w:pPr>
  </w:style>
  <w:style w:type="paragraph" w:customStyle="1" w:styleId="224">
    <w:name w:val="正文首行缩进11"/>
    <w:basedOn w:val="225"/>
    <w:next w:val="1"/>
    <w:qFormat/>
    <w:uiPriority w:val="0"/>
    <w:pPr>
      <w:spacing w:line="360" w:lineRule="auto"/>
      <w:ind w:firstLine="200"/>
    </w:pPr>
    <w:rPr>
      <w:rFonts w:ascii="仿宋_GB2312" w:eastAsia="仿宋_GB2312"/>
      <w:sz w:val="30"/>
      <w:szCs w:val="30"/>
    </w:rPr>
  </w:style>
  <w:style w:type="paragraph" w:customStyle="1" w:styleId="225">
    <w:name w:val="正文文本113"/>
    <w:basedOn w:val="1"/>
    <w:next w:val="200"/>
    <w:qFormat/>
    <w:uiPriority w:val="0"/>
    <w:pPr>
      <w:spacing w:after="120"/>
    </w:pPr>
    <w:rPr>
      <w:sz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3.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4.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8B2083-7CEF-4A46-BCC1-7D05DD947812}">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92</Pages>
  <Words>9219</Words>
  <Characters>9872</Characters>
  <TotalTime>57</TotalTime>
  <ScaleCrop>false</ScaleCrop>
  <LinksUpToDate>false</LinksUpToDate>
  <CharactersWithSpaces>10046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过去过卜去1371110199</cp:lastModifiedBy>
  <cp:lastPrinted>2026-09-24T02:32:00Z</cp:lastPrinted>
  <dcterms:modified xsi:type="dcterms:W3CDTF">2026-09-29T03:28:58Z</dcterms:modified>
  <cp:revision>192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912251EB5B944E89B4CC4A1B16829BB2_13</vt:lpwstr>
  </property>
  <property fmtid="{D5CDD505-2E9C-101B-9397-08002B2CF9AE}" pid="4" name="KSOTemplateDocerSaveRecord">
    <vt:lpwstr>eyJoZGlkIjoiYWY3Y2M5YTU4MmNiNjExODdiNzkzNTI0M2RhM2ZjYmMiLCJ1c2VySWQiOiIyNTQ1NzE1In0=</vt:lpwstr>
  </property>
</Properties>
</file>