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5"/>
        <w:jc w:val="center"/>
        <w:spacing w:before="120" w:beforeAutospacing="0" w:after="120" w:afterAutospacing="0" w:line="360" w:lineRule="auto"/>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r>
      <w:r/>
    </w:p>
    <w:p>
      <w:pPr>
        <w:pStyle w:val="725"/>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725"/>
        <w:ind w:firstLine="2249"/>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725"/>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eastAsiaTheme="minorEastAsia" w:cstheme="minorEastAsia"/>
          <w:b/>
          <w:color w:val="auto"/>
          <w:sz w:val="32"/>
          <w:szCs w:val="22"/>
          <w:highlight w:val="none"/>
        </w:rPr>
        <w:t xml:space="preserve">项目名称：</w:t>
      </w:r>
      <w:r>
        <w:rPr>
          <w:rFonts w:hint="eastAsia" w:asciiTheme="minorEastAsia" w:hAnsiTheme="minorEastAsia" w:cstheme="minorEastAsia"/>
          <w:b/>
          <w:color w:val="auto"/>
          <w:sz w:val="32"/>
          <w:szCs w:val="22"/>
          <w:highlight w:val="none"/>
          <w:lang w:eastAsia="zh-CN"/>
        </w:rPr>
        <w:t xml:space="preserve">2026年盐南高新区区直学校（园）安保服务项目</w:t>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cstheme="minorEastAsia"/>
          <w:b/>
          <w:color w:val="auto"/>
          <w:sz w:val="32"/>
          <w:szCs w:val="22"/>
          <w:highlight w:val="none"/>
          <w:lang w:eastAsia="zh-CN"/>
        </w:rPr>
      </w:r>
      <w:r/>
    </w:p>
    <w:p>
      <w:pPr>
        <w:rPr>
          <w:rFonts w:hint="default" w:asciiTheme="minorEastAsia" w:hAnsiTheme="minorEastAsia" w:eastAsiaTheme="minorEastAsia" w:cstheme="minorEastAsia"/>
          <w:b/>
          <w:color w:val="auto"/>
          <w:sz w:val="32"/>
          <w:szCs w:val="22"/>
          <w:highlight w:val="none"/>
          <w:lang w:val="en-US" w:eastAsia="zh-CN"/>
        </w:rPr>
      </w:pPr>
      <w:r>
        <w:rPr>
          <w:rFonts w:hint="eastAsia" w:asciiTheme="minorEastAsia" w:hAnsiTheme="minorEastAsia" w:eastAsiaTheme="minorEastAsia" w:cstheme="minorEastAsia"/>
          <w:b/>
          <w:color w:val="auto"/>
          <w:sz w:val="32"/>
          <w:szCs w:val="22"/>
          <w:highlight w:val="none"/>
        </w:rPr>
        <w:t xml:space="preserve">项目编号：JSZC-320992-YCJX-G2026-0002</w:t>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pStyle w:val="72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center"/>
        <w:spacing w:line="500" w:lineRule="exact"/>
        <w:rPr>
          <w:rFonts w:hint="eastAsia" w:asciiTheme="minorEastAsia" w:hAnsiTheme="minorEastAsia" w:eastAsiaTheme="minorEastAsia" w:cstheme="minorEastAsia"/>
          <w:b/>
          <w:color w:val="auto"/>
          <w:sz w:val="32"/>
          <w:szCs w:val="32"/>
          <w:highlight w:val="none"/>
          <w:lang w:eastAsia="zh-CN"/>
        </w:rPr>
        <w:outlineLvl w:val="9"/>
      </w:pPr>
      <w:r>
        <w:rPr>
          <w:rFonts w:hint="eastAsia" w:asciiTheme="minorEastAsia" w:hAnsiTheme="minorEastAsia" w:cstheme="minorEastAsia"/>
          <w:b/>
          <w:color w:val="auto"/>
          <w:sz w:val="32"/>
          <w:szCs w:val="32"/>
          <w:highlight w:val="none"/>
          <w:lang w:eastAsia="zh-CN"/>
        </w:rPr>
        <w:t xml:space="preserve">江苏省盐南高新技术产业开发区教育发展中心</w:t>
      </w:r>
      <w:r/>
    </w:p>
    <w:p>
      <w:pPr>
        <w:pStyle w:val="71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rPr>
        <w:outlineLvl w:val="9"/>
      </w:pPr>
      <w:r>
        <w:rPr>
          <w:rFonts w:hint="eastAsia" w:asciiTheme="minorEastAsia" w:hAnsiTheme="minorEastAsia" w:eastAsiaTheme="minorEastAsia" w:cstheme="minorEastAsia"/>
          <w:b/>
          <w:color w:val="auto"/>
          <w:sz w:val="32"/>
          <w:szCs w:val="32"/>
          <w:highlight w:val="none"/>
        </w:rPr>
        <w:t xml:space="preserve">盐城建信造价工程师事务所有限公司</w:t>
      </w:r>
      <w:r/>
    </w:p>
    <w:p>
      <w:pPr>
        <w:pStyle w:val="71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1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1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202</w:t>
      </w:r>
      <w:r>
        <w:rPr>
          <w:rFonts w:hint="eastAsia" w:asciiTheme="minorEastAsia" w:hAnsiTheme="minorEastAsia" w:cstheme="minorEastAsia"/>
          <w:b/>
          <w:color w:val="auto"/>
          <w:sz w:val="32"/>
          <w:szCs w:val="32"/>
          <w:highlight w:val="none"/>
          <w:lang w:val="en-US" w:eastAsia="zh-CN"/>
        </w:rPr>
        <w:t xml:space="preserve">6</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cstheme="minorEastAsia"/>
          <w:b/>
          <w:color w:val="auto"/>
          <w:sz w:val="32"/>
          <w:szCs w:val="32"/>
          <w:highlight w:val="none"/>
          <w:lang w:val="en-US" w:eastAsia="zh-CN"/>
        </w:rPr>
        <w:t xml:space="preserve">7</w:t>
      </w:r>
      <w:r>
        <w:rPr>
          <w:rFonts w:hint="eastAsia" w:asciiTheme="minorEastAsia" w:hAnsiTheme="minorEastAsia" w:eastAsiaTheme="minorEastAsia" w:cstheme="minorEastAsia"/>
          <w:b/>
          <w:color w:val="auto"/>
          <w:sz w:val="32"/>
          <w:szCs w:val="32"/>
          <w:highlight w:val="none"/>
        </w:rPr>
        <w:t xml:space="preserve">月</w:t>
      </w:r>
      <w:r/>
    </w:p>
    <w:p>
      <w:pPr>
        <w:jc w:val="center"/>
        <w:spacing w:line="50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r>
      <w:r>
        <w:rPr>
          <w:rFonts w:hint="eastAsia" w:asciiTheme="minorEastAsia" w:hAnsiTheme="minorEastAsia" w:eastAsiaTheme="minorEastAsia" w:cstheme="minorEastAsia"/>
          <w:b/>
          <w:bCs/>
          <w:color w:val="auto"/>
          <w:sz w:val="32"/>
          <w:szCs w:val="32"/>
          <w:highlight w:val="none"/>
          <w:lang w:val="en-US" w:eastAsia="zh-CN"/>
        </w:rPr>
      </w:r>
    </w:p>
    <w:p>
      <w:pPr>
        <w:jc w:val="center"/>
        <w:spacing w:line="50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r>
      <w:r>
        <w:rPr>
          <w:rFonts w:hint="eastAsia" w:asciiTheme="minorEastAsia" w:hAnsiTheme="minorEastAsia" w:eastAsiaTheme="minorEastAsia" w:cstheme="minorEastAsia"/>
          <w:b/>
          <w:bCs/>
          <w:color w:val="auto"/>
          <w:sz w:val="32"/>
          <w:szCs w:val="32"/>
          <w:highlight w:val="none"/>
          <w:lang w:val="en-US" w:eastAsia="zh-CN"/>
        </w:rPr>
      </w:r>
    </w:p>
    <w:p>
      <w:pPr>
        <w:jc w:val="center"/>
        <w:spacing w:line="50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r>
      <w:r>
        <w:rPr>
          <w:rFonts w:hint="eastAsia" w:asciiTheme="minorEastAsia" w:hAnsiTheme="minorEastAsia" w:eastAsiaTheme="minorEastAsia" w:cstheme="minorEastAsia"/>
          <w:b/>
          <w:color w:val="auto"/>
          <w:sz w:val="32"/>
          <w:szCs w:val="32"/>
          <w:highlight w:val="none"/>
        </w:rPr>
      </w:r>
    </w:p>
    <w:p>
      <w:pPr>
        <w:pStyle w:val="725"/>
        <w:spacing w:before="120" w:beforeAutospacing="0" w:after="120" w:afterAutospacing="0" w:line="360" w:lineRule="auto"/>
        <w:rPr>
          <w:color w:val="auto"/>
          <w:highlight w:val="none"/>
        </w:rPr>
      </w:pPr>
      <w:r>
        <w:rPr>
          <w:rFonts w:hint="eastAsia" w:asciiTheme="minorEastAsia" w:hAnsiTheme="minorEastAsia" w:eastAsiaTheme="minorEastAsia" w:cstheme="minorEastAsia"/>
          <w:color w:val="auto"/>
          <w:highlight w:val="none"/>
        </w:rPr>
        <w:t xml:space="preserve">            </w:t>
      </w:r>
      <w:r/>
    </w:p>
    <w:sdt>
      <w:sdtPr>
        <w15:appearance w15:val="boundingBox"/>
        <w15:color w:val="dbdbdb"/>
        <w:id w:val="147467214"/>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ind w:left="0" w:right="0" w:firstLine="0"/>
            <w:jc w:val="center"/>
            <w:spacing w:before="0" w:after="0" w:line="240" w:lineRule="auto"/>
            <w:rPr>
              <w:rFonts w:ascii="宋体" w:hAnsi="宋体" w:eastAsia="宋体" w:cstheme="minorBidi"/>
              <w:color w:val="auto"/>
              <w:sz w:val="21"/>
              <w:szCs w:val="24"/>
              <w:highlight w:val="none"/>
              <w:lang w:val="en-US" w:eastAsia="zh-CN" w:bidi="ar-SA"/>
            </w:rPr>
          </w:pPr>
          <w:r>
            <w:rPr>
              <w:rFonts w:ascii="宋体" w:hAnsi="宋体" w:eastAsia="宋体" w:cstheme="minorBidi"/>
              <w:color w:val="auto"/>
              <w:sz w:val="21"/>
              <w:szCs w:val="24"/>
              <w:highlight w:val="none"/>
              <w:lang w:val="en-US" w:eastAsia="zh-CN" w:bidi="ar-SA"/>
            </w:rPr>
          </w:r>
          <w:r/>
        </w:p>
        <w:p>
          <w:pPr>
            <w:ind w:left="0" w:right="0" w:firstLine="0"/>
            <w:jc w:val="center"/>
            <w:spacing w:before="0" w:after="0" w:line="240" w:lineRule="auto"/>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44"/>
              <w:highlight w:val="none"/>
            </w:rPr>
            <w:t xml:space="preserve">目录</w:t>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52"/>
              <w:szCs w:val="52"/>
              <w:highlight w:val="none"/>
            </w:rPr>
            <w:fldChar w:fldCharType="begin"/>
          </w:r>
          <w:r>
            <w:rPr>
              <w:rFonts w:hint="eastAsia" w:asciiTheme="minorEastAsia" w:hAnsiTheme="minorEastAsia" w:eastAsiaTheme="minorEastAsia" w:cstheme="minorEastAsia"/>
              <w:b w:val="0"/>
              <w:bCs w:val="0"/>
              <w:color w:val="auto"/>
              <w:sz w:val="52"/>
              <w:szCs w:val="52"/>
              <w:highlight w:val="none"/>
            </w:rPr>
            <w:instrText xml:space="preserve">TOC \o "1-1" \h \u </w:instrText>
          </w:r>
          <w:r>
            <w:rPr>
              <w:rFonts w:hint="eastAsia" w:asciiTheme="minorEastAsia" w:hAnsiTheme="minorEastAsia" w:eastAsiaTheme="minorEastAsia" w:cstheme="minorEastAsia"/>
              <w:b w:val="0"/>
              <w:bCs w:val="0"/>
              <w:color w:val="auto"/>
              <w:sz w:val="52"/>
              <w:szCs w:val="52"/>
              <w:highlight w:val="none"/>
            </w:rPr>
            <w:fldChar w:fldCharType="separate"/>
          </w: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_Toc9042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第一章 </w:t>
          </w:r>
          <w:r>
            <w:rPr>
              <w:rFonts w:hint="eastAsia" w:asciiTheme="minorEastAsia" w:hAnsiTheme="minorEastAsia" w:eastAsiaTheme="minorEastAsia" w:cstheme="minorEastAsia"/>
              <w:b w:val="0"/>
              <w:bCs w:val="0"/>
              <w:sz w:val="32"/>
              <w:szCs w:val="60"/>
              <w:highlight w:val="none"/>
              <w:lang w:val="en-US" w:eastAsia="zh-CN"/>
            </w:rPr>
            <w:t xml:space="preserve">招标公告</w:t>
          </w:r>
          <w:r>
            <w:rPr>
              <w:b w:val="0"/>
              <w:bCs w:val="0"/>
              <w:sz w:val="32"/>
              <w:szCs w:val="40"/>
            </w:rPr>
            <w:tab/>
          </w:r>
          <w:r>
            <w:rPr>
              <w:b w:val="0"/>
              <w:bCs w:val="0"/>
              <w:sz w:val="32"/>
              <w:szCs w:val="40"/>
            </w:rPr>
            <w:fldChar w:fldCharType="begin"/>
          </w:r>
          <w:r>
            <w:rPr>
              <w:b w:val="0"/>
              <w:bCs w:val="0"/>
              <w:sz w:val="32"/>
              <w:szCs w:val="40"/>
            </w:rPr>
            <w:instrText xml:space="preserve"> PAGEREF _Toc9042 \h </w:instrText>
          </w:r>
          <w:r>
            <w:rPr>
              <w:b w:val="0"/>
              <w:bCs w:val="0"/>
              <w:sz w:val="32"/>
              <w:szCs w:val="40"/>
            </w:rPr>
            <w:fldChar w:fldCharType="separate"/>
          </w:r>
          <w:r>
            <w:rPr>
              <w:b w:val="0"/>
              <w:bCs w:val="0"/>
              <w:sz w:val="32"/>
              <w:szCs w:val="40"/>
            </w:rPr>
            <w:t xml:space="preserve">3</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_Toc25896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第二章 投标人须知</w:t>
          </w:r>
          <w:r>
            <w:rPr>
              <w:b w:val="0"/>
              <w:bCs w:val="0"/>
              <w:sz w:val="32"/>
              <w:szCs w:val="40"/>
            </w:rPr>
            <w:tab/>
          </w:r>
          <w:r>
            <w:rPr>
              <w:b w:val="0"/>
              <w:bCs w:val="0"/>
              <w:sz w:val="32"/>
              <w:szCs w:val="40"/>
            </w:rPr>
            <w:fldChar w:fldCharType="begin"/>
          </w:r>
          <w:r>
            <w:rPr>
              <w:b w:val="0"/>
              <w:bCs w:val="0"/>
              <w:sz w:val="32"/>
              <w:szCs w:val="40"/>
            </w:rPr>
            <w:instrText xml:space="preserve"> PAGEREF _Toc25896 \h </w:instrText>
          </w:r>
          <w:r>
            <w:rPr>
              <w:b w:val="0"/>
              <w:bCs w:val="0"/>
              <w:sz w:val="32"/>
              <w:szCs w:val="40"/>
            </w:rPr>
            <w:fldChar w:fldCharType="separate"/>
          </w:r>
          <w:r>
            <w:rPr>
              <w:b w:val="0"/>
              <w:bCs w:val="0"/>
              <w:sz w:val="32"/>
              <w:szCs w:val="40"/>
            </w:rPr>
            <w:t xml:space="preserve">7</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_Toc12455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rPr>
            <w:t xml:space="preserve">第三章 </w:t>
          </w:r>
          <w:r>
            <w:rPr>
              <w:rFonts w:hint="eastAsia" w:asciiTheme="minorEastAsia" w:hAnsiTheme="minorEastAsia" w:cstheme="minorEastAsia"/>
              <w:b w:val="0"/>
              <w:bCs w:val="0"/>
              <w:sz w:val="32"/>
              <w:szCs w:val="60"/>
              <w:lang w:val="en-US" w:eastAsia="zh-CN"/>
            </w:rPr>
            <w:t xml:space="preserve"> </w:t>
          </w:r>
          <w:r>
            <w:rPr>
              <w:rFonts w:hint="eastAsia" w:asciiTheme="minorEastAsia" w:hAnsiTheme="minorEastAsia" w:eastAsiaTheme="minorEastAsia" w:cstheme="minorEastAsia"/>
              <w:b w:val="0"/>
              <w:bCs w:val="0"/>
              <w:sz w:val="32"/>
              <w:szCs w:val="60"/>
              <w:highlight w:val="none"/>
              <w:lang w:val="en-US" w:eastAsia="zh-CN"/>
            </w:rPr>
            <w:t xml:space="preserve">合同主要条款</w:t>
          </w:r>
          <w:r>
            <w:rPr>
              <w:b w:val="0"/>
              <w:bCs w:val="0"/>
              <w:sz w:val="32"/>
              <w:szCs w:val="40"/>
            </w:rPr>
            <w:tab/>
          </w:r>
          <w:r>
            <w:rPr>
              <w:b w:val="0"/>
              <w:bCs w:val="0"/>
              <w:sz w:val="32"/>
              <w:szCs w:val="40"/>
            </w:rPr>
            <w:fldChar w:fldCharType="begin"/>
          </w:r>
          <w:r>
            <w:rPr>
              <w:b w:val="0"/>
              <w:bCs w:val="0"/>
              <w:sz w:val="32"/>
              <w:szCs w:val="40"/>
            </w:rPr>
            <w:instrText xml:space="preserve"> PAGEREF _Toc12455 \h </w:instrText>
          </w:r>
          <w:r>
            <w:rPr>
              <w:b w:val="0"/>
              <w:bCs w:val="0"/>
              <w:sz w:val="32"/>
              <w:szCs w:val="40"/>
            </w:rPr>
            <w:fldChar w:fldCharType="separate"/>
          </w:r>
          <w:r>
            <w:rPr>
              <w:b w:val="0"/>
              <w:bCs w:val="0"/>
              <w:sz w:val="32"/>
              <w:szCs w:val="40"/>
            </w:rPr>
            <w:t xml:space="preserve">22</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_Toc2967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第四章 </w:t>
          </w:r>
          <w:r>
            <w:rPr>
              <w:rFonts w:hint="eastAsia" w:asciiTheme="minorEastAsia" w:hAnsiTheme="minorEastAsia" w:cstheme="minorEastAsia"/>
              <w:b w:val="0"/>
              <w:bCs w:val="0"/>
              <w:sz w:val="32"/>
              <w:szCs w:val="60"/>
              <w:highlight w:val="none"/>
              <w:lang w:val="en-US" w:eastAsia="zh-CN"/>
            </w:rPr>
            <w:t xml:space="preserve"> </w:t>
          </w:r>
          <w:r>
            <w:rPr>
              <w:rFonts w:hint="eastAsia" w:asciiTheme="minorEastAsia" w:hAnsiTheme="minorEastAsia" w:eastAsiaTheme="minorEastAsia" w:cstheme="minorEastAsia"/>
              <w:b w:val="0"/>
              <w:bCs w:val="0"/>
              <w:sz w:val="32"/>
              <w:szCs w:val="60"/>
              <w:highlight w:val="none"/>
            </w:rPr>
            <w:t xml:space="preserve">采购需求</w:t>
          </w:r>
          <w:r>
            <w:rPr>
              <w:b w:val="0"/>
              <w:bCs w:val="0"/>
              <w:sz w:val="32"/>
              <w:szCs w:val="40"/>
            </w:rPr>
            <w:tab/>
          </w:r>
          <w:r>
            <w:rPr>
              <w:b w:val="0"/>
              <w:bCs w:val="0"/>
              <w:sz w:val="32"/>
              <w:szCs w:val="40"/>
            </w:rPr>
            <w:fldChar w:fldCharType="begin"/>
          </w:r>
          <w:r>
            <w:rPr>
              <w:b w:val="0"/>
              <w:bCs w:val="0"/>
              <w:sz w:val="32"/>
              <w:szCs w:val="40"/>
            </w:rPr>
            <w:instrText xml:space="preserve"> PAGEREF _Toc2967 \h </w:instrText>
          </w:r>
          <w:r>
            <w:rPr>
              <w:b w:val="0"/>
              <w:bCs w:val="0"/>
              <w:sz w:val="32"/>
              <w:szCs w:val="40"/>
            </w:rPr>
            <w:fldChar w:fldCharType="separate"/>
          </w:r>
          <w:r>
            <w:rPr>
              <w:b w:val="0"/>
              <w:bCs w:val="0"/>
              <w:sz w:val="32"/>
              <w:szCs w:val="40"/>
            </w:rPr>
            <w:t xml:space="preserve">35</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_Toc12595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Theme="minorEastAsia" w:hAnsiTheme="minorEastAsia" w:eastAsiaTheme="minorEastAsia" w:cstheme="minorEastAsia"/>
              <w:b w:val="0"/>
              <w:bCs w:val="0"/>
              <w:sz w:val="32"/>
              <w:szCs w:val="60"/>
              <w:highlight w:val="none"/>
            </w:rPr>
            <w:t xml:space="preserve">第五章 评标方法与评标标准</w:t>
          </w:r>
          <w:r>
            <w:rPr>
              <w:b w:val="0"/>
              <w:bCs w:val="0"/>
              <w:sz w:val="32"/>
              <w:szCs w:val="40"/>
            </w:rPr>
            <w:tab/>
          </w:r>
          <w:r>
            <w:rPr>
              <w:b w:val="0"/>
              <w:bCs w:val="0"/>
              <w:sz w:val="32"/>
              <w:szCs w:val="40"/>
            </w:rPr>
            <w:fldChar w:fldCharType="begin"/>
          </w:r>
          <w:r>
            <w:rPr>
              <w:b w:val="0"/>
              <w:bCs w:val="0"/>
              <w:sz w:val="32"/>
              <w:szCs w:val="40"/>
            </w:rPr>
            <w:instrText xml:space="preserve"> PAGEREF _Toc12595 \h </w:instrText>
          </w:r>
          <w:r>
            <w:rPr>
              <w:b w:val="0"/>
              <w:bCs w:val="0"/>
              <w:sz w:val="32"/>
              <w:szCs w:val="40"/>
            </w:rPr>
            <w:fldChar w:fldCharType="separate"/>
          </w:r>
          <w:r>
            <w:rPr>
              <w:b w:val="0"/>
              <w:bCs w:val="0"/>
              <w:sz w:val="32"/>
              <w:szCs w:val="40"/>
            </w:rPr>
            <w:t xml:space="preserve">39</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3"/>
            <w:tabs>
              <w:tab w:val="right" w:pos="9746" w:leader="dot"/>
            </w:tabs>
            <w:rPr>
              <w:b w:val="0"/>
              <w:bCs w:val="0"/>
              <w:sz w:val="32"/>
              <w:szCs w:val="40"/>
            </w:rPr>
          </w:pPr>
          <w:r>
            <w:rPr>
              <w:rFonts w:hint="eastAsia" w:asciiTheme="minorEastAsia" w:hAnsiTheme="minorEastAsia" w:eastAsiaTheme="minorEastAsia" w:cstheme="minorEastAsia"/>
              <w:b w:val="0"/>
              <w:bCs w:val="0"/>
              <w:color w:val="auto"/>
              <w:sz w:val="32"/>
              <w:szCs w:val="52"/>
              <w:highlight w:val="none"/>
            </w:rPr>
            <w:fldChar w:fldCharType="begin"/>
          </w:r>
          <w:r>
            <w:rPr>
              <w:rFonts w:hint="eastAsia" w:asciiTheme="minorEastAsia" w:hAnsiTheme="minorEastAsia" w:eastAsiaTheme="minorEastAsia" w:cstheme="minorEastAsia"/>
              <w:b w:val="0"/>
              <w:bCs w:val="0"/>
              <w:sz w:val="32"/>
              <w:szCs w:val="52"/>
              <w:highlight w:val="none"/>
            </w:rPr>
            <w:instrText xml:space="preserve"> HYPERLINK \l _Toc4360 </w:instrText>
          </w:r>
          <w:r>
            <w:rPr>
              <w:rFonts w:hint="eastAsia" w:asciiTheme="minorEastAsia" w:hAnsiTheme="minorEastAsia" w:eastAsiaTheme="minorEastAsia" w:cstheme="minorEastAsia"/>
              <w:b w:val="0"/>
              <w:bCs w:val="0"/>
              <w:sz w:val="32"/>
              <w:szCs w:val="52"/>
              <w:highlight w:val="none"/>
            </w:rPr>
            <w:fldChar w:fldCharType="separate"/>
          </w:r>
          <w:r>
            <w:rPr>
              <w:rFonts w:hint="eastAsia" w:ascii="黑体" w:hAnsi="宋体" w:eastAsia="黑体" w:cs="黑体"/>
              <w:b w:val="0"/>
              <w:bCs w:val="0"/>
              <w:sz w:val="32"/>
              <w:szCs w:val="60"/>
              <w:highlight w:val="none"/>
            </w:rPr>
            <w:t xml:space="preserve">第六章 投标文件格式</w:t>
          </w:r>
          <w:r>
            <w:rPr>
              <w:b w:val="0"/>
              <w:bCs w:val="0"/>
              <w:sz w:val="32"/>
              <w:szCs w:val="40"/>
            </w:rPr>
            <w:tab/>
          </w:r>
          <w:r>
            <w:rPr>
              <w:b w:val="0"/>
              <w:bCs w:val="0"/>
              <w:sz w:val="32"/>
              <w:szCs w:val="40"/>
            </w:rPr>
            <w:fldChar w:fldCharType="begin"/>
          </w:r>
          <w:r>
            <w:rPr>
              <w:b w:val="0"/>
              <w:bCs w:val="0"/>
              <w:sz w:val="32"/>
              <w:szCs w:val="40"/>
            </w:rPr>
            <w:instrText xml:space="preserve"> PAGEREF _Toc4360 \h </w:instrText>
          </w:r>
          <w:r>
            <w:rPr>
              <w:b w:val="0"/>
              <w:bCs w:val="0"/>
              <w:sz w:val="32"/>
              <w:szCs w:val="40"/>
            </w:rPr>
            <w:fldChar w:fldCharType="separate"/>
          </w:r>
          <w:r>
            <w:rPr>
              <w:b w:val="0"/>
              <w:bCs w:val="0"/>
              <w:sz w:val="32"/>
              <w:szCs w:val="40"/>
            </w:rPr>
            <w:t xml:space="preserve">43</w:t>
          </w:r>
          <w:r>
            <w:rPr>
              <w:b w:val="0"/>
              <w:bCs w:val="0"/>
              <w:sz w:val="32"/>
              <w:szCs w:val="40"/>
            </w:rPr>
            <w:fldChar w:fldCharType="end"/>
          </w:r>
          <w:r>
            <w:rPr>
              <w:rFonts w:hint="eastAsia" w:asciiTheme="minorEastAsia" w:hAnsiTheme="minorEastAsia" w:eastAsiaTheme="minorEastAsia" w:cstheme="minorEastAsia"/>
              <w:b w:val="0"/>
              <w:bCs w:val="0"/>
              <w:color w:val="auto"/>
              <w:sz w:val="32"/>
              <w:szCs w:val="52"/>
              <w:highlight w:val="none"/>
            </w:rPr>
            <w:fldChar w:fldCharType="end"/>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sz w:val="40"/>
              <w:szCs w:val="52"/>
              <w:highlight w:val="none"/>
            </w:rPr>
            <w:fldChar w:fldCharType="end"/>
          </w:r>
          <w:r/>
        </w:p>
      </w:sdtContent>
    </w:sdt>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tabs>
          <w:tab w:val="left" w:pos="8137"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eastAsia="zh-CN"/>
        </w:rPr>
        <w:tab/>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725"/>
        <w:jc w:val="center"/>
        <w:keepNext/>
        <w:spacing w:beforeAutospacing="0" w:afterAutospacing="0"/>
        <w:rPr>
          <w:rFonts w:hint="eastAsia" w:asciiTheme="minorEastAsia" w:hAnsiTheme="minorEastAsia" w:eastAsiaTheme="minorEastAsia" w:cstheme="minorEastAsia"/>
          <w:color w:val="auto"/>
          <w:highlight w:val="none"/>
          <w:lang w:val="en-US" w:eastAsia="zh-CN"/>
        </w:rPr>
        <w:outlineLvl w:val="0"/>
      </w:pPr>
      <w:r/>
      <w:bookmarkStart w:id="0" w:name="_Toc9042"/>
      <w:r>
        <w:rPr>
          <w:rFonts w:hint="eastAsia" w:asciiTheme="minorEastAsia" w:hAnsiTheme="minorEastAsia" w:eastAsiaTheme="minorEastAsia" w:cstheme="minorEastAsia"/>
          <w:color w:val="auto"/>
          <w:sz w:val="44"/>
          <w:szCs w:val="44"/>
          <w:highlight w:val="none"/>
        </w:rPr>
        <w:t xml:space="preserve">第一章 </w:t>
      </w:r>
      <w:r>
        <w:rPr>
          <w:rFonts w:hint="eastAsia" w:asciiTheme="minorEastAsia" w:hAnsiTheme="minorEastAsia" w:eastAsiaTheme="minorEastAsia" w:cstheme="minorEastAsia"/>
          <w:color w:val="auto"/>
          <w:sz w:val="44"/>
          <w:szCs w:val="44"/>
          <w:highlight w:val="none"/>
          <w:lang w:val="en-US" w:eastAsia="zh-CN"/>
        </w:rPr>
        <w:t xml:space="preserve">招标公告</w:t>
      </w:r>
      <w:bookmarkEnd w:id="0"/>
      <w:r/>
      <w:r/>
    </w:p>
    <w:p>
      <w:pPr>
        <w:pStyle w:val="72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bookmarkStart w:id="1" w:name="_Toc38985263"/>
      <w:r/>
      <w:bookmarkStart w:id="2" w:name="_Toc35393621"/>
      <w:r/>
      <w:bookmarkStart w:id="3" w:name="_Toc28359002"/>
      <w:r/>
      <w:bookmarkStart w:id="4" w:name="_Toc35393790"/>
      <w:r/>
      <w:bookmarkStart w:id="5" w:name="_Hlk24379207"/>
      <w:r/>
      <w:bookmarkStart w:id="6" w:name="_Toc28359079"/>
      <w:r>
        <w:rPr>
          <w:rFonts w:hint="eastAsia" w:ascii="宋体" w:hAnsi="宋体" w:eastAsia="宋体" w:cs="宋体"/>
          <w:color w:val="000000"/>
          <w:sz w:val="24"/>
          <w:szCs w:val="24"/>
          <w:highlight w:val="none"/>
        </w:rPr>
        <w:t xml:space="preserve">项目概况</w:t>
      </w:r>
      <w:r/>
    </w:p>
    <w:p>
      <w:pPr>
        <w:pStyle w:val="72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2026年盐南高新区区直学校（园）安保服务项目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72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一、项目基本情况</w:t>
      </w:r>
      <w:bookmarkEnd w:id="1"/>
      <w:r/>
      <w:bookmarkEnd w:id="2"/>
      <w:r/>
      <w:bookmarkEnd w:id="3"/>
      <w:r/>
      <w:bookmarkEnd w:id="4"/>
      <w:r/>
      <w:bookmarkEnd w:id="5"/>
      <w:r/>
      <w:bookmarkEnd w:id="6"/>
      <w:r/>
      <w:r/>
    </w:p>
    <w:p>
      <w:pPr>
        <w:pStyle w:val="725"/>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1.项目编号：JSZC-320992-YCJX-G2026-0002</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2.项目名称：</w:t>
      </w:r>
      <w:r>
        <w:rPr>
          <w:rFonts w:hint="eastAsia" w:asciiTheme="minorEastAsia" w:hAnsiTheme="minorEastAsia" w:cstheme="minorEastAsia"/>
          <w:color w:val="auto"/>
          <w:sz w:val="24"/>
          <w:szCs w:val="24"/>
          <w:highlight w:val="none"/>
          <w:lang w:val="en-US" w:eastAsia="zh-CN"/>
        </w:rPr>
        <w:t xml:space="preserve">2026年盐南高新区区直学校（园）安保服务项目</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3.采购方式：公开招标</w:t>
      </w:r>
      <w:r/>
    </w:p>
    <w:p>
      <w:pPr>
        <w:pStyle w:val="725"/>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4.预算金额：</w:t>
      </w:r>
      <w:r>
        <w:rPr>
          <w:rFonts w:hint="eastAsia" w:asciiTheme="minorEastAsia" w:hAnsiTheme="minorEastAsia" w:cstheme="minorEastAsia"/>
          <w:color w:val="auto"/>
          <w:sz w:val="24"/>
          <w:szCs w:val="24"/>
          <w:highlight w:val="none"/>
          <w:lang w:val="en-US" w:eastAsia="zh-CN"/>
        </w:rPr>
        <w:t xml:space="preserve">5805692.84元</w:t>
      </w:r>
      <w:r/>
    </w:p>
    <w:p>
      <w:pPr>
        <w:pStyle w:val="725"/>
        <w:ind w:firstLine="480"/>
        <w:jc w:val="both"/>
        <w:pageBreakBefore w:val="0"/>
        <w:spacing w:beforeAutospacing="0" w:afterAutospacing="0" w:line="42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5.最高限价：</w:t>
      </w:r>
      <w:r>
        <w:rPr>
          <w:rFonts w:hint="eastAsia" w:asciiTheme="minorEastAsia" w:hAnsiTheme="minorEastAsia" w:cstheme="minorEastAsia"/>
          <w:color w:val="auto"/>
          <w:sz w:val="24"/>
          <w:szCs w:val="24"/>
          <w:highlight w:val="none"/>
          <w:lang w:val="en-US" w:eastAsia="zh-CN"/>
        </w:rPr>
        <w:t xml:space="preserve">5805692.84元</w:t>
      </w:r>
      <w:r/>
    </w:p>
    <w:p>
      <w:pPr>
        <w:ind w:firstLine="480"/>
        <w:spacing w:line="480" w:lineRule="exact"/>
        <w:rPr>
          <w:rFonts w:hint="eastAsia" w:ascii="宋体" w:hAnsi="宋体" w:cs="宋体"/>
          <w:color w:val="auto"/>
          <w:sz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6.采购需求：</w:t>
      </w:r>
      <w:bookmarkStart w:id="7" w:name="_Toc35393791"/>
      <w:r/>
      <w:bookmarkStart w:id="8" w:name="_Toc35393622"/>
      <w:r/>
      <w:bookmarkStart w:id="9" w:name="_Toc28359080"/>
      <w:r/>
      <w:bookmarkStart w:id="10" w:name="_Toc28359003"/>
      <w:r/>
      <w:bookmarkStart w:id="11" w:name="_Toc38985264"/>
      <w:r>
        <w:rPr>
          <w:rFonts w:hint="eastAsia" w:ascii="宋体" w:hAnsi="宋体"/>
          <w:sz w:val="24"/>
          <w:szCs w:val="24"/>
          <w:lang w:val="en-US" w:eastAsia="zh-CN"/>
        </w:rPr>
        <w:t xml:space="preserve">2026年盐南高新区区直学校（园）安保服务</w:t>
      </w:r>
      <w:r>
        <w:rPr>
          <w:rFonts w:hint="eastAsia" w:ascii="宋体" w:hAnsi="宋体"/>
          <w:sz w:val="24"/>
          <w:szCs w:val="24"/>
        </w:rPr>
        <w:t xml:space="preserve">，</w:t>
      </w:r>
      <w:r>
        <w:rPr>
          <w:rFonts w:hint="eastAsia" w:ascii="宋体" w:hAnsi="宋体"/>
          <w:sz w:val="24"/>
          <w:szCs w:val="24"/>
          <w:lang w:val="en-US" w:eastAsia="zh-CN"/>
        </w:rPr>
        <w:t xml:space="preserve">包含但不限于：治安服务（人员出入登记、防止偷盗、校园巡逻等）、安全检查（安全隐患排查、处置及上报）、应急处置（处置突发事件、开展应急演练）等，</w:t>
      </w:r>
      <w:r>
        <w:rPr>
          <w:rFonts w:hint="eastAsia" w:ascii="宋体" w:hAnsi="宋体"/>
          <w:sz w:val="24"/>
          <w:szCs w:val="24"/>
        </w:rPr>
        <w:t xml:space="preserve">具体人员安排服从采购人要求</w:t>
      </w:r>
      <w:r>
        <w:rPr>
          <w:rFonts w:hint="eastAsia" w:ascii="宋体" w:hAnsi="宋体"/>
          <w:color w:val="000000"/>
          <w:sz w:val="24"/>
          <w:highlight w:val="none"/>
        </w:rPr>
        <w:t xml:space="preserve">。</w:t>
      </w:r>
      <w:r/>
    </w:p>
    <w:p>
      <w:pPr>
        <w:pStyle w:val="753"/>
        <w:ind w:firstLine="480"/>
        <w:jc w:val="both"/>
        <w:pageBreakBefore w:val="0"/>
        <w:spacing w:beforeAutospacing="0" w:afterAutospacing="0" w:line="440" w:lineRule="exact"/>
        <w:rPr>
          <w:rFonts w:hint="eastAsia" w:ascii="宋体" w:hAnsi="宋体" w:eastAsiaTheme="minorEastAsia" w:cstheme="minorBidi"/>
          <w:sz w:val="24"/>
          <w:szCs w:val="24"/>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7.合同履行</w:t>
      </w:r>
      <w:r>
        <w:rPr>
          <w:rFonts w:hint="eastAsia" w:ascii="宋体" w:hAnsi="宋体" w:eastAsiaTheme="minorEastAsia" w:cstheme="minorBidi"/>
          <w:sz w:val="24"/>
          <w:szCs w:val="24"/>
          <w:lang w:val="en-US" w:eastAsia="zh-CN" w:bidi="ar-SA"/>
        </w:rPr>
        <w:t xml:space="preserve">期限：服务期一年，上一年度经采购人综合考核合格后可续签下一年度合同，最多续签两次；每年度综合考核未达到考核要求，采购人可自行终止合同）。</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lang w:val="en-US" w:eastAsia="zh-CN"/>
        </w:rPr>
        <w:t xml:space="preserve">接受联合体参与招标</w:t>
      </w:r>
      <w:r>
        <w:rPr>
          <w:rFonts w:hint="eastAsia" w:ascii="宋体" w:hAnsi="宋体" w:eastAsia="宋体" w:cs="宋体"/>
          <w:color w:val="auto"/>
          <w:sz w:val="24"/>
          <w:szCs w:val="24"/>
          <w:highlight w:val="none"/>
          <w:lang w:val="en-US" w:eastAsia="zh-CN"/>
        </w:rPr>
        <w:t xml:space="preserve">。</w:t>
      </w:r>
      <w:r/>
    </w:p>
    <w:p>
      <w:pPr>
        <w:pStyle w:val="72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二、申请人的资格要求</w:t>
      </w:r>
      <w:bookmarkEnd w:id="7"/>
      <w:r/>
      <w:bookmarkEnd w:id="8"/>
      <w:r/>
      <w:bookmarkEnd w:id="9"/>
      <w:r/>
      <w:bookmarkEnd w:id="10"/>
      <w:r/>
      <w:bookmarkEnd w:id="11"/>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1.满足《中华人民共和国政府采购法》第二十二条规定，并提供下列材料：</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1.1法人或者其他组织的营业执照等证明文件，自然人的身份证明；</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1.2上一年度的财务状况报表（成立不满一年无需提供）；</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具备履行合同所必需的设备和专业技术能力的书面声明；</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.5参加政府采购活动前3年内在经营活动中没有重大违法记录的书面声明。</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1.6法律、行政法规规定的其他条件。</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1.8</w:t>
      </w:r>
      <w:r>
        <w:rPr>
          <w:rFonts w:hint="eastAsia" w:asciiTheme="minorEastAsia" w:hAnsiTheme="minorEastAsia" w:eastAsiaTheme="minorEastAsia" w:cstheme="minorEastAsia"/>
          <w:color w:val="auto"/>
          <w:sz w:val="24"/>
          <w:szCs w:val="24"/>
          <w:highlight w:val="none"/>
        </w:rPr>
        <w:t xml:space="preserve">单位负责人为同一人或者存在直接控股、管理关系的不同供应商，不得参加同一合同项下的政府采购活动。</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落实政府采购政策需满足的资格要求：</w:t>
      </w:r>
      <w:r>
        <w:rPr>
          <w:rFonts w:hint="eastAsia" w:asciiTheme="minorEastAsia" w:hAnsiTheme="minorEastAsia" w:eastAsiaTheme="minorEastAsia" w:cstheme="minorEastAsia"/>
          <w:color w:val="auto"/>
          <w:sz w:val="24"/>
          <w:szCs w:val="24"/>
          <w:highlight w:val="none"/>
          <w:lang w:val="en-US" w:eastAsia="zh-CN"/>
        </w:rPr>
        <w:t xml:space="preserve">本项目专门面向中小企业采购，所属行业为其他未列明行业。投标人须为符合《关于印发中小企业划型标准规定的通知》(工信部联企业[2011]300号)文件的中小微企业</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供应商投标时须提供《中小企业声明函》，否则按无效</w:t>
      </w:r>
      <w:r>
        <w:rPr>
          <w:rFonts w:hint="eastAsia" w:asciiTheme="minorEastAsia" w:hAnsiTheme="minorEastAsia" w:cstheme="minorEastAsia"/>
          <w:color w:val="auto"/>
          <w:sz w:val="24"/>
          <w:szCs w:val="24"/>
          <w:highlight w:val="none"/>
          <w:lang w:val="en-US" w:eastAsia="zh-CN"/>
        </w:rPr>
        <w:t xml:space="preserve">标</w:t>
      </w:r>
      <w:r>
        <w:rPr>
          <w:rFonts w:hint="eastAsia" w:asciiTheme="minorEastAsia" w:hAnsiTheme="minorEastAsia" w:eastAsiaTheme="minorEastAsia" w:cstheme="minorEastAsia"/>
          <w:color w:val="auto"/>
          <w:sz w:val="24"/>
          <w:szCs w:val="24"/>
          <w:highlight w:val="none"/>
          <w:lang w:val="en-US" w:eastAsia="zh-CN"/>
        </w:rPr>
        <w:t xml:space="preserve">处理</w:t>
      </w:r>
      <w:r>
        <w:rPr>
          <w:rFonts w:hint="eastAsia" w:asciiTheme="minorEastAsia" w:hAnsiTheme="minorEastAsia" w:cstheme="minorEastAsia"/>
          <w:color w:val="auto"/>
          <w:sz w:val="24"/>
          <w:szCs w:val="24"/>
          <w:highlight w:val="none"/>
          <w:lang w:val="en-US" w:eastAsia="zh-CN"/>
        </w:rPr>
        <w:t xml:space="preserve">。</w:t>
      </w:r>
      <w:r/>
    </w:p>
    <w:p>
      <w:pPr>
        <w:pStyle w:val="725"/>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本项目的特定资格要求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投标人应具有公安部门核发的有效期</w:t>
      </w:r>
      <w:bookmarkStart w:id="201" w:name="_GoBack"/>
      <w:r/>
      <w:bookmarkEnd w:id="201"/>
      <w:r>
        <w:rPr>
          <w:rFonts w:hint="eastAsia" w:asciiTheme="minorEastAsia" w:hAnsiTheme="minorEastAsia" w:cstheme="minorEastAsia"/>
          <w:color w:val="auto"/>
          <w:sz w:val="24"/>
          <w:szCs w:val="24"/>
          <w:highlight w:val="none"/>
          <w:lang w:val="en-US" w:eastAsia="zh-CN"/>
        </w:rPr>
        <w:t xml:space="preserve">内的《保安服务许可证》。</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三、获取招标文件</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12" w:name="_Toc35393793"/>
      <w:r/>
      <w:bookmarkStart w:id="13" w:name="_Toc28359082"/>
      <w:r/>
      <w:bookmarkStart w:id="14" w:name="_Toc35393624"/>
      <w:r/>
      <w:bookmarkStart w:id="15" w:name="_Toc28359005"/>
      <w:r/>
      <w:bookmarkStart w:id="16" w:name="_Toc38985266"/>
      <w:r/>
      <w:bookmarkStart w:id="17" w:name="_Toc35393625"/>
      <w:r/>
      <w:bookmarkStart w:id="18" w:name="_Toc28359007"/>
      <w:r/>
      <w:bookmarkStart w:id="19" w:name="_Toc35393794"/>
      <w:r/>
      <w:bookmarkStart w:id="20" w:name="_Toc28359084"/>
      <w:r/>
      <w:bookmarkStart w:id="21" w:name="_Toc3898526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2"/>
      <w:r/>
      <w:bookmarkEnd w:id="13"/>
      <w:r/>
      <w:bookmarkEnd w:id="14"/>
      <w:r/>
      <w:bookmarkEnd w:id="15"/>
      <w:r/>
      <w:bookmarkEnd w:id="1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ind w:firstLine="480"/>
        <w:spacing w:line="560" w:lineRule="exact"/>
        <w:widowControl/>
        <w:rPr>
          <w:b/>
          <w:bCs/>
          <w:sz w:val="24"/>
          <w:szCs w:val="20"/>
        </w:rPr>
      </w:pP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宋体" w:hAnsi="宋体" w:eastAsia="宋体" w:cs="宋体"/>
          <w:b/>
          <w:bCs/>
          <w:sz w:val="24"/>
          <w:szCs w:val="20"/>
        </w:rPr>
        <w:t xml:space="preserve">提交投标文件截止时间、开标时间和地点</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1.时间：2026年7月24日9点00分（北京时间）</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2.地点：苏采云“不见面”开标大厅。</w:t>
      </w:r>
      <w:r/>
    </w:p>
    <w:p>
      <w:pPr>
        <w:pStyle w:val="72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五、公告期限</w:t>
      </w:r>
      <w:bookmarkEnd w:id="17"/>
      <w:r/>
      <w:bookmarkEnd w:id="18"/>
      <w:r/>
      <w:bookmarkEnd w:id="19"/>
      <w:r/>
      <w:bookmarkEnd w:id="20"/>
      <w:r/>
      <w:bookmarkEnd w:id="21"/>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8985268"/>
      <w:r/>
      <w:bookmarkStart w:id="23" w:name="_Toc35393626"/>
      <w:r/>
      <w:bookmarkStart w:id="24" w:name="_Toc35393795"/>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72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六、其他补充事宜</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盐城建信造价工程师事务所有限公司</w:t>
      </w:r>
      <w:r>
        <w:rPr>
          <w:rFonts w:hint="eastAsia" w:ascii="宋体" w:hAnsi="宋体" w:eastAsia="宋体" w:cs="宋体"/>
          <w:color w:val="auto"/>
          <w:sz w:val="24"/>
          <w:szCs w:val="24"/>
          <w:highlight w:val="none"/>
          <w:lang w:val="en-US" w:eastAsia="zh-CN" w:bidi="ar-SA"/>
        </w:rPr>
        <w:t xml:space="preserve">在“中国政府采购网”、“江苏政府采购网”、“盐城市政府采购网”发布的更正公告。</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5.监督举报电话信息</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联系人：盐南高新区纪检监察工委信访室</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联系方式：0515-66661555</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6.政府采购投诉电话信息</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联系人：盐南高新区财政局政府采购科</w:t>
      </w:r>
      <w:r/>
    </w:p>
    <w:p>
      <w:pPr>
        <w:pStyle w:val="72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联系方式：0515-69938599</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七、对本次招标提出询问，请按以下方式联系。</w:t>
      </w:r>
      <w:bookmarkEnd w:id="25"/>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bookmarkStart w:id="26" w:name="_Toc28359009"/>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江苏省盐南高新技术产业开发区教育发展中心</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南路38</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号</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28359097"/>
      <w:r/>
      <w:bookmarkStart w:id="28" w:name="_Toc28359020"/>
      <w:r/>
      <w:bookmarkStart w:id="29" w:name="_Toc35393807"/>
      <w:r/>
      <w:bookmarkStart w:id="30" w:name="_Toc35393638"/>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黄主任</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13276200331</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2.采购代理机构信息</w:t>
      </w:r>
      <w:bookmarkEnd w:id="27"/>
      <w:r/>
      <w:bookmarkEnd w:id="28"/>
      <w:r/>
      <w:bookmarkEnd w:id="29"/>
      <w:r/>
      <w:bookmarkEnd w:id="30"/>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称：盐城建信造价工程师事务所有限公司</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址：盐城市人民中路5号鹿鸣广场商办楼9F</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3.项目联系方式</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72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b/>
          <w:color w:val="auto"/>
          <w:sz w:val="44"/>
          <w:szCs w:val="4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bookmarkStart w:id="31" w:name="_Toc120614211"/>
      <w:r/>
      <w:r/>
    </w:p>
    <w:p>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clear="all"/>
      </w:r>
      <w:r/>
    </w:p>
    <w:p>
      <w:pPr>
        <w:pStyle w:val="725"/>
        <w:ind w:right="840"/>
        <w:jc w:val="center"/>
        <w:spacing w:beforeAutospacing="0" w:afterAutospacing="0"/>
        <w:rPr>
          <w:rFonts w:hint="eastAsia" w:asciiTheme="minorEastAsia" w:hAnsiTheme="minorEastAsia" w:eastAsiaTheme="minorEastAsia" w:cstheme="minorEastAsia"/>
          <w:color w:val="auto"/>
          <w:highlight w:val="none"/>
        </w:rPr>
        <w:outlineLvl w:val="0"/>
      </w:pPr>
      <w:r/>
      <w:bookmarkStart w:id="32" w:name="_Toc25896"/>
      <w:r>
        <w:rPr>
          <w:rFonts w:hint="eastAsia" w:asciiTheme="minorEastAsia" w:hAnsiTheme="minorEastAsia" w:eastAsiaTheme="minorEastAsia" w:cstheme="minorEastAsia"/>
          <w:b/>
          <w:color w:val="auto"/>
          <w:sz w:val="44"/>
          <w:szCs w:val="44"/>
          <w:highlight w:val="none"/>
        </w:rPr>
        <w:t xml:space="preserve">第二章  </w:t>
      </w:r>
      <w:bookmarkEnd w:id="31"/>
      <w:r/>
      <w:bookmarkStart w:id="33" w:name="_Toc16938518"/>
      <w:r/>
      <w:bookmarkStart w:id="34" w:name="_Toc513029202"/>
      <w:r/>
      <w:bookmarkStart w:id="35" w:name="_Toc20823274"/>
      <w:r/>
      <w:bookmarkStart w:id="36" w:name="_Toc120614213"/>
      <w:r>
        <w:rPr>
          <w:rFonts w:hint="eastAsia" w:asciiTheme="minorEastAsia" w:hAnsiTheme="minorEastAsia" w:eastAsiaTheme="minorEastAsia" w:cstheme="minorEastAsia"/>
          <w:b/>
          <w:color w:val="auto"/>
          <w:sz w:val="44"/>
          <w:szCs w:val="44"/>
          <w:highlight w:val="none"/>
        </w:rPr>
        <w:t xml:space="preserve">投标人须知</w:t>
      </w:r>
      <w:bookmarkEnd w:id="32"/>
      <w:r/>
      <w:bookmarkEnd w:id="33"/>
      <w:r/>
      <w:bookmarkEnd w:id="34"/>
      <w:r/>
      <w:bookmarkEnd w:id="35"/>
      <w:r/>
      <w:bookmarkEnd w:id="36"/>
      <w:r/>
      <w:r/>
    </w:p>
    <w:p>
      <w:pPr>
        <w:pStyle w:val="725"/>
        <w:ind w:firstLine="498"/>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37" w:name="_Toc20823275"/>
      <w:r/>
      <w:bookmarkStart w:id="38" w:name="_Toc513029203"/>
      <w:r/>
      <w:bookmarkStart w:id="39" w:name="_Toc120614214"/>
      <w:r/>
      <w:bookmarkStart w:id="40" w:name="_Toc16938519"/>
      <w:r>
        <w:rPr>
          <w:rFonts w:hint="eastAsia" w:asciiTheme="minorEastAsia" w:hAnsiTheme="minorEastAsia" w:eastAsiaTheme="minorEastAsia" w:cstheme="minorEastAsia"/>
          <w:b/>
          <w:color w:val="auto"/>
          <w:sz w:val="32"/>
          <w:szCs w:val="32"/>
          <w:highlight w:val="none"/>
        </w:rPr>
        <w:t xml:space="preserve">一、总则</w:t>
      </w:r>
      <w:bookmarkEnd w:id="37"/>
      <w:r/>
      <w:bookmarkEnd w:id="38"/>
      <w:r/>
      <w:bookmarkEnd w:id="39"/>
      <w:r/>
      <w:bookmarkEnd w:id="40"/>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41" w:name="_Toc16938520"/>
      <w:r/>
      <w:bookmarkStart w:id="42" w:name="_Toc458694821"/>
      <w:r/>
      <w:bookmarkStart w:id="43" w:name="_Toc513029204"/>
      <w:r/>
      <w:bookmarkStart w:id="44" w:name="_Toc20823276"/>
      <w:r/>
      <w:bookmarkStart w:id="45" w:name="_Toc513029209"/>
      <w:r/>
      <w:bookmarkStart w:id="46" w:name="_Toc16938525"/>
      <w:r/>
      <w:bookmarkStart w:id="47" w:name="_Toc20823281"/>
      <w:r/>
      <w:bookmarkStart w:id="48" w:name="_Toc120614215"/>
      <w:r/>
      <w:bookmarkStart w:id="49" w:name="_Hlt16619475"/>
      <w:r>
        <w:rPr>
          <w:rFonts w:hint="eastAsia" w:asciiTheme="minorEastAsia" w:hAnsiTheme="minorEastAsia" w:eastAsiaTheme="minorEastAsia" w:cstheme="minorEastAsia"/>
          <w:color w:val="auto"/>
          <w:highlight w:val="none"/>
        </w:rPr>
        <w:t xml:space="preserve">1</w:t>
      </w:r>
      <w:bookmarkEnd w:id="41"/>
      <w:r>
        <w:rPr>
          <w:rFonts w:hint="eastAsia" w:asciiTheme="minorEastAsia" w:hAnsiTheme="minorEastAsia" w:eastAsiaTheme="minorEastAsia" w:cstheme="minorEastAsia"/>
          <w:color w:val="auto"/>
          <w:highlight w:val="none"/>
        </w:rPr>
        <w:t xml:space="preserve">、招标方式</w:t>
      </w:r>
      <w:bookmarkEnd w:id="42"/>
      <w:r/>
      <w:bookmarkEnd w:id="43"/>
      <w:r/>
      <w:bookmarkEnd w:id="44"/>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1.1本次招标采取公开招标方式，本招标文件仅适用于招标公告中所述项目。</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0" w:name="_Toc16938521"/>
      <w:r/>
      <w:bookmarkStart w:id="51" w:name="_Toc513029205"/>
      <w:r/>
      <w:bookmarkStart w:id="52" w:name="_Toc20823277"/>
      <w:r>
        <w:rPr>
          <w:rFonts w:hint="eastAsia" w:asciiTheme="minorEastAsia" w:hAnsiTheme="minorEastAsia" w:eastAsiaTheme="minorEastAsia" w:cstheme="minorEastAsia"/>
          <w:color w:val="auto"/>
          <w:highlight w:val="none"/>
        </w:rPr>
        <w:t xml:space="preserve">2、合格的投标人</w:t>
      </w:r>
      <w:bookmarkEnd w:id="50"/>
      <w:r/>
      <w:bookmarkEnd w:id="51"/>
      <w:r/>
      <w:bookmarkEnd w:id="52"/>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2.2满足本文件实质性要求和条件的规定。</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3" w:name="_Toc513029206"/>
      <w:r/>
      <w:bookmarkStart w:id="54" w:name="_Toc16938522"/>
      <w:r/>
      <w:bookmarkStart w:id="55" w:name="_Toc20823278"/>
      <w:r>
        <w:rPr>
          <w:rFonts w:hint="eastAsia" w:asciiTheme="minorEastAsia" w:hAnsiTheme="minorEastAsia" w:eastAsiaTheme="minorEastAsia" w:cstheme="minorEastAsia"/>
          <w:color w:val="auto"/>
          <w:highlight w:val="none"/>
        </w:rPr>
        <w:t xml:space="preserve">3、适用法律</w:t>
      </w:r>
      <w:bookmarkEnd w:id="53"/>
      <w:r/>
      <w:bookmarkEnd w:id="54"/>
      <w:r/>
      <w:bookmarkEnd w:id="55"/>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3.1本次招标及由此产生的合同受中华人民共和国有关的法律法规制约和保护。</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6" w:name="_Toc16938523"/>
      <w:r/>
      <w:bookmarkStart w:id="57" w:name="_Toc20823279"/>
      <w:r/>
      <w:bookmarkStart w:id="58" w:name="_Toc462564067"/>
      <w:r/>
      <w:bookmarkStart w:id="59" w:name="_Toc513029207"/>
      <w:r>
        <w:rPr>
          <w:rFonts w:hint="eastAsia" w:asciiTheme="minorEastAsia" w:hAnsiTheme="minorEastAsia" w:eastAsiaTheme="minorEastAsia" w:cstheme="minorEastAsia"/>
          <w:color w:val="auto"/>
          <w:highlight w:val="none"/>
        </w:rPr>
        <w:t xml:space="preserve">4、投标费用</w:t>
      </w:r>
      <w:bookmarkEnd w:id="56"/>
      <w:r/>
      <w:bookmarkEnd w:id="57"/>
      <w:r/>
      <w:bookmarkEnd w:id="58"/>
      <w:r/>
      <w:bookmarkEnd w:id="59"/>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4.1投标人应自行承担所有与参加投标有关的费用，无论投标过程中的做法和结果如何，采购</w:t>
      </w:r>
      <w:r>
        <w:rPr>
          <w:rFonts w:hint="eastAsia" w:asciiTheme="minorEastAsia" w:hAnsiTheme="minorEastAsia" w:cstheme="minorEastAsia"/>
          <w:color w:val="auto"/>
          <w:highlight w:val="none"/>
          <w:lang w:val="en-US" w:eastAsia="zh-CN"/>
        </w:rPr>
        <w:t xml:space="preserve">代理机构</w:t>
      </w:r>
      <w:r>
        <w:rPr>
          <w:rFonts w:hint="eastAsia" w:asciiTheme="minorEastAsia" w:hAnsiTheme="minorEastAsia" w:eastAsiaTheme="minorEastAsia" w:cstheme="minorEastAsia"/>
          <w:color w:val="auto"/>
          <w:highlight w:val="none"/>
        </w:rPr>
        <w:t xml:space="preserve">和采购人在任何情况下均无义务和责任承担这些费用。</w:t>
      </w:r>
      <w:r/>
    </w:p>
    <w:p>
      <w:pPr>
        <w:ind w:firstLine="480"/>
        <w:spacing w:line="50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highlight w:val="none"/>
        </w:rPr>
        <w:t xml:space="preserve">4.2</w:t>
      </w:r>
      <w:r>
        <w:rPr>
          <w:rFonts w:hint="eastAsia" w:asciiTheme="minorEastAsia" w:hAnsiTheme="minorEastAsia" w:eastAsiaTheme="minorEastAsia" w:cstheme="minorEastAsia"/>
          <w:color w:val="auto"/>
          <w:sz w:val="24"/>
          <w:szCs w:val="24"/>
          <w:highlight w:val="none"/>
          <w:lang w:val="en-US" w:eastAsia="zh-CN" w:bidi="ar-SA"/>
        </w:rPr>
        <w:t xml:space="preserve">本次招标采购代理机构和采购人不收取标书工本费。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本项目代理服务费由项目中标单位</w:t>
      </w:r>
      <w:r>
        <w:rPr>
          <w:rFonts w:hint="eastAsia" w:asciiTheme="minorEastAsia" w:hAnsiTheme="minorEastAsia" w:eastAsiaTheme="minorEastAsia" w:cstheme="minorEastAsia"/>
          <w:color w:val="auto"/>
          <w:highlight w:val="none"/>
          <w:lang w:val="en-US" w:eastAsia="zh-CN"/>
        </w:rPr>
        <w:t xml:space="preserve">向采购代理机构</w:t>
      </w:r>
      <w:r>
        <w:rPr>
          <w:rFonts w:hint="eastAsia" w:asciiTheme="minorEastAsia" w:hAnsiTheme="minorEastAsia" w:eastAsiaTheme="minorEastAsia" w:cstheme="minorEastAsia"/>
          <w:color w:val="auto"/>
          <w:highlight w:val="none"/>
        </w:rPr>
        <w:t xml:space="preserve">支付，在领取中标通知书时支付。</w:t>
      </w:r>
      <w:r/>
    </w:p>
    <w:p>
      <w:pPr>
        <w:pStyle w:val="725"/>
        <w:ind w:firstLine="480"/>
        <w:jc w:val="both"/>
        <w:pageBreakBefore w:val="0"/>
        <w:spacing w:beforeAutospacing="0" w:afterAutospacing="0" w:line="480" w:lineRule="exact"/>
        <w:widowControl w:val="off"/>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代理服务费收费标准：为方便计算，代理服务费参照《江苏省政府采购代理服务收费指导意见》的通知（苏政采协</w:t>
      </w:r>
      <w:r>
        <w:rPr>
          <w:rFonts w:hint="eastAsia" w:asciiTheme="minorEastAsia" w:hAnsi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lang w:val="en-US" w:eastAsia="zh-CN"/>
        </w:rPr>
        <w:t xml:space="preserve">2024</w:t>
      </w:r>
      <w:r>
        <w:rPr>
          <w:rFonts w:hint="eastAsia" w:asciiTheme="minorEastAsia" w:hAnsiTheme="minorEastAsia" w:cstheme="minorEastAsia"/>
          <w:color w:val="auto"/>
          <w:highlight w:val="none"/>
          <w:lang w:val="en-US" w:eastAsia="zh-CN"/>
        </w:rPr>
        <w:t xml:space="preserve">]</w:t>
      </w:r>
      <w:r>
        <w:rPr>
          <w:rFonts w:hint="eastAsia" w:asciiTheme="minorEastAsia" w:hAnsiTheme="minorEastAsia" w:eastAsiaTheme="minorEastAsia" w:cstheme="minorEastAsia"/>
          <w:color w:val="auto"/>
          <w:highlight w:val="none"/>
          <w:lang w:val="en-US" w:eastAsia="zh-CN"/>
        </w:rPr>
        <w:t xml:space="preserve">20号）收费标准</w:t>
      </w:r>
      <w:r>
        <w:rPr>
          <w:rFonts w:hint="eastAsia" w:asciiTheme="minorEastAsia" w:hAnsiTheme="minorEastAsia" w:cstheme="minorEastAsia"/>
          <w:color w:val="auto"/>
          <w:highlight w:val="none"/>
          <w:lang w:val="en-US" w:eastAsia="zh-CN"/>
        </w:rPr>
        <w:t xml:space="preserve">的45%</w:t>
      </w:r>
      <w:r>
        <w:rPr>
          <w:rFonts w:hint="eastAsia" w:asciiTheme="minorEastAsia" w:hAnsiTheme="minorEastAsia" w:eastAsiaTheme="minorEastAsia" w:cstheme="minorEastAsia"/>
          <w:color w:val="auto"/>
          <w:highlight w:val="none"/>
          <w:lang w:val="en-US" w:eastAsia="zh-CN"/>
        </w:rPr>
        <w:t xml:space="preserve">计</w:t>
      </w:r>
      <w:r>
        <w:rPr>
          <w:rFonts w:hint="eastAsia" w:asciiTheme="minorEastAsia" w:hAnsiTheme="minorEastAsia" w:eastAsiaTheme="minorEastAsia" w:cstheme="minorEastAsia"/>
          <w:color w:val="auto"/>
          <w:highlight w:val="none"/>
        </w:rPr>
        <w:t xml:space="preserve">取。</w:t>
      </w:r>
      <w:r>
        <w:rPr>
          <w:rFonts w:hint="eastAsia" w:asciiTheme="minorEastAsia" w:hAnsiTheme="minorEastAsia" w:eastAsiaTheme="minorEastAsia" w:cstheme="minorEastAsia"/>
          <w:color w:val="auto"/>
          <w:highlight w:val="none"/>
          <w:lang w:val="en-US" w:eastAsia="zh-CN"/>
        </w:rPr>
        <w:t xml:space="preserve">供应商投标时综合考虑采购代理服务费进报价中，此项费用不得单列，凡漏项或少计均视为优惠，采购人不另行增加费用。</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5、招标文件的约束力</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5.1投标人一旦参加本项目采购活动，即被认为接受了本招标文件的规定和约束。</w:t>
      </w:r>
      <w:r/>
    </w:p>
    <w:p>
      <w:pPr>
        <w:pStyle w:val="725"/>
        <w:ind w:firstLine="321"/>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二、招标文件</w:t>
      </w:r>
      <w:bookmarkEnd w:id="45"/>
      <w:r/>
      <w:bookmarkEnd w:id="46"/>
      <w:r/>
      <w:bookmarkEnd w:id="47"/>
      <w:r/>
      <w:bookmarkEnd w:id="48"/>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0" w:name="_Toc16938526"/>
      <w:r/>
      <w:bookmarkStart w:id="61" w:name="_Toc20823282"/>
      <w:r/>
      <w:bookmarkStart w:id="62" w:name="_Toc513029210"/>
      <w:r>
        <w:rPr>
          <w:rFonts w:hint="eastAsia" w:asciiTheme="minorEastAsia" w:hAnsiTheme="minorEastAsia" w:eastAsiaTheme="minorEastAsia" w:cstheme="minorEastAsia"/>
          <w:color w:val="auto"/>
          <w:sz w:val="28"/>
          <w:szCs w:val="28"/>
          <w:highlight w:val="none"/>
        </w:rPr>
        <w:t xml:space="preserve">6、招标文件构成</w:t>
      </w:r>
      <w:bookmarkEnd w:id="60"/>
      <w:r/>
      <w:bookmarkEnd w:id="61"/>
      <w:r/>
      <w:bookmarkEnd w:id="62"/>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招标公告</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联系解决。</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3" w:name="_Toc462564070"/>
      <w:r/>
      <w:bookmarkStart w:id="64" w:name="_Toc513029211"/>
      <w:r/>
      <w:bookmarkStart w:id="65" w:name="_Toc20823283"/>
      <w:r/>
      <w:bookmarkStart w:id="66" w:name="_Toc16938527"/>
      <w:r>
        <w:rPr>
          <w:rFonts w:hint="eastAsia" w:asciiTheme="minorEastAsia" w:hAnsiTheme="minorEastAsia" w:eastAsiaTheme="minorEastAsia" w:cstheme="minorEastAsia"/>
          <w:color w:val="auto"/>
          <w:sz w:val="28"/>
          <w:szCs w:val="28"/>
          <w:highlight w:val="none"/>
        </w:rPr>
        <w:t xml:space="preserve">7、招标文件的澄清</w:t>
      </w:r>
      <w:bookmarkEnd w:id="63"/>
      <w:r/>
      <w:bookmarkEnd w:id="64"/>
      <w:r/>
      <w:bookmarkEnd w:id="65"/>
      <w:r/>
      <w:bookmarkEnd w:id="66"/>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w:t>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7" w:name="_Toc20823284"/>
      <w:r/>
      <w:bookmarkStart w:id="68" w:name="_Toc16938528"/>
      <w:r/>
      <w:bookmarkStart w:id="69" w:name="_Toc513029212"/>
      <w:r/>
      <w:bookmarkStart w:id="70" w:name="_Toc462564071"/>
      <w:r>
        <w:rPr>
          <w:rFonts w:hint="eastAsia" w:asciiTheme="minorEastAsia" w:hAnsiTheme="minorEastAsia" w:eastAsiaTheme="minorEastAsia" w:cstheme="minorEastAsia"/>
          <w:color w:val="auto"/>
          <w:sz w:val="28"/>
          <w:szCs w:val="28"/>
          <w:highlight w:val="none"/>
        </w:rPr>
        <w:t xml:space="preserve">8、招标文件的修改</w:t>
      </w:r>
      <w:bookmarkEnd w:id="67"/>
      <w:r/>
      <w:bookmarkEnd w:id="68"/>
      <w:r/>
      <w:bookmarkEnd w:id="69"/>
      <w:r/>
      <w:bookmarkEnd w:id="70"/>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8.1在投标截止时间前，</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可以对招标文件进行修改。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有权按照法定的要求推迟投标截止日期和开标日期。</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8.3招标文件的修改将在</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盐城市政府采购网公布，补充文件将作为招标文件的组成部分，并对投标人具有约束力。</w:t>
      </w:r>
      <w:r/>
    </w:p>
    <w:p>
      <w:pPr>
        <w:pStyle w:val="72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71" w:name="_Toc120614216"/>
      <w:r/>
      <w:bookmarkStart w:id="72" w:name="_Toc513029213"/>
      <w:r/>
      <w:bookmarkStart w:id="73" w:name="_Toc462564072"/>
      <w:r/>
      <w:bookmarkStart w:id="74" w:name="_Toc16938529"/>
      <w:r/>
      <w:bookmarkStart w:id="75" w:name="_Toc20823285"/>
      <w:r>
        <w:rPr>
          <w:rFonts w:hint="eastAsia" w:asciiTheme="minorEastAsia" w:hAnsiTheme="minorEastAsia" w:eastAsiaTheme="minorEastAsia" w:cstheme="minorEastAsia"/>
          <w:b/>
          <w:color w:val="auto"/>
          <w:sz w:val="32"/>
          <w:szCs w:val="32"/>
          <w:highlight w:val="none"/>
        </w:rPr>
        <w:t xml:space="preserve">三、投标文件的编制</w:t>
      </w:r>
      <w:bookmarkEnd w:id="71"/>
      <w:r/>
      <w:bookmarkEnd w:id="72"/>
      <w:r/>
      <w:bookmarkEnd w:id="73"/>
      <w:r/>
      <w:bookmarkEnd w:id="74"/>
      <w:r/>
      <w:bookmarkEnd w:id="75"/>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76" w:name="_Toc20823286"/>
      <w:r/>
      <w:bookmarkStart w:id="77" w:name="_Toc16938530"/>
      <w:r/>
      <w:bookmarkStart w:id="78" w:name="_Toc462564073"/>
      <w:r/>
      <w:bookmarkStart w:id="79" w:name="_Toc513029214"/>
      <w:r>
        <w:rPr>
          <w:rFonts w:hint="eastAsia" w:asciiTheme="minorEastAsia" w:hAnsiTheme="minorEastAsia" w:eastAsiaTheme="minorEastAsia" w:cstheme="minorEastAsia"/>
          <w:color w:val="auto"/>
          <w:sz w:val="28"/>
          <w:szCs w:val="28"/>
          <w:highlight w:val="none"/>
        </w:rPr>
        <w:t xml:space="preserve">9、投标文件的语言及度量衡单位</w:t>
      </w:r>
      <w:bookmarkEnd w:id="76"/>
      <w:r/>
      <w:bookmarkEnd w:id="77"/>
      <w:r/>
      <w:bookmarkEnd w:id="78"/>
      <w:r/>
      <w:bookmarkEnd w:id="79"/>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9.1投标人提交的投标文件以及投标人与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就有关投标的所有来往通知、函件和文件均应使用</w:t>
      </w:r>
      <w:r>
        <w:rPr>
          <w:rFonts w:hint="eastAsia" w:asciiTheme="minorEastAsia" w:hAnsiTheme="minorEastAsia" w:eastAsiaTheme="minorEastAsia" w:cstheme="minorEastAsia"/>
          <w:b/>
          <w:color w:val="auto"/>
          <w:highlight w:val="none"/>
        </w:rPr>
        <w:t xml:space="preserve">简体中文</w:t>
      </w:r>
      <w:r>
        <w:rPr>
          <w:rFonts w:hint="eastAsia" w:asciiTheme="minorEastAsia" w:hAnsiTheme="minorEastAsia" w:eastAsiaTheme="minorEastAsia" w:cstheme="minorEastAsia"/>
          <w:color w:val="auto"/>
          <w:highlight w:val="none"/>
        </w:rPr>
        <w:t xml:space="preserve">。</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9.2除技术性能另有规定外，投标文件所使用的度量衡单位，均须采用国家法定计量单位。</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0" w:name="_Toc462564074"/>
      <w:r/>
      <w:bookmarkStart w:id="81" w:name="_Toc16938531"/>
      <w:r/>
      <w:bookmarkStart w:id="82" w:name="_Toc20823287"/>
      <w:r/>
      <w:bookmarkStart w:id="83" w:name="_Toc513029215"/>
      <w:r>
        <w:rPr>
          <w:rFonts w:hint="eastAsia" w:asciiTheme="minorEastAsia" w:hAnsiTheme="minorEastAsia" w:eastAsiaTheme="minorEastAsia" w:cstheme="minorEastAsia"/>
          <w:color w:val="auto"/>
          <w:sz w:val="28"/>
          <w:szCs w:val="28"/>
          <w:highlight w:val="none"/>
        </w:rPr>
        <w:t xml:space="preserve">10、投标文件构成</w:t>
      </w:r>
      <w:bookmarkEnd w:id="80"/>
      <w:r/>
      <w:bookmarkEnd w:id="81"/>
      <w:r/>
      <w:bookmarkEnd w:id="82"/>
      <w:r/>
      <w:bookmarkEnd w:id="83"/>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10.2如标书制作工具中格式和内容与</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“江苏政府采购网”、“盐城市政府采购网”发布的招标文件不一致，请以</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“江苏政府采购网”、“盐城市政府采购网”发布的招标文件为准。</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4" w:name="_Toc49090509"/>
      <w:r/>
      <w:bookmarkStart w:id="85" w:name="_Toc513029219"/>
      <w:r/>
      <w:bookmarkStart w:id="86" w:name="_Toc14577357"/>
      <w:r/>
      <w:bookmarkStart w:id="87" w:name="_Toc14577354"/>
      <w:r/>
      <w:bookmarkStart w:id="88" w:name="_Toc513029216"/>
      <w:r/>
      <w:bookmarkStart w:id="89" w:name="_Toc49090507"/>
      <w:r/>
      <w:bookmarkStart w:id="90" w:name="_Hlt26670360"/>
      <w:r/>
      <w:bookmarkStart w:id="91" w:name="_Hlt26668975"/>
      <w:r/>
      <w:bookmarkStart w:id="92" w:name="_Hlt26954838"/>
      <w:r>
        <w:rPr>
          <w:rFonts w:hint="eastAsia" w:asciiTheme="minorEastAsia" w:hAnsiTheme="minorEastAsia" w:eastAsiaTheme="minorEastAsia" w:cstheme="minorEastAsia"/>
          <w:color w:val="auto"/>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3" w:name="_Toc49090508"/>
      <w:r/>
      <w:bookmarkStart w:id="94" w:name="_Toc14577355"/>
      <w:r>
        <w:rPr>
          <w:rFonts w:hint="eastAsia" w:asciiTheme="minorEastAsia" w:hAnsiTheme="minorEastAsia" w:eastAsiaTheme="minorEastAsia" w:cstheme="minorEastAsia"/>
          <w:color w:val="auto"/>
          <w:highlight w:val="none"/>
        </w:rPr>
        <w:t xml:space="preserve">  11.1投标人应按照法律、法规、规章和规范性文件以及招标文件要求提交证明文件，证明其及投标标的符合招标文件规定。</w:t>
      </w:r>
      <w:bookmarkEnd w:id="93"/>
      <w:r/>
      <w:bookmarkEnd w:id="94"/>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12、投标分项报价</w:t>
      </w:r>
      <w:bookmarkStart w:id="95" w:name="_Hlt26670373"/>
      <w:r>
        <w:rPr>
          <w:rFonts w:hint="eastAsia" w:ascii="宋体" w:hAnsi="宋体" w:eastAsia="宋体" w:cs="宋体"/>
          <w:b w:val="0"/>
          <w:bCs/>
          <w:color w:val="auto"/>
          <w:sz w:val="24"/>
          <w:szCs w:val="24"/>
          <w:highlight w:val="none"/>
        </w:rPr>
        <w:t xml:space="preserve">表</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12.1投</w:t>
      </w:r>
      <w:bookmarkStart w:id="96" w:name="_Hlt26954840"/>
      <w:r>
        <w:rPr>
          <w:rFonts w:hint="eastAsia" w:ascii="宋体" w:hAnsi="宋体" w:eastAsia="宋体" w:cs="宋体"/>
          <w:b w:val="0"/>
          <w:bCs/>
          <w:color w:val="auto"/>
          <w:sz w:val="24"/>
          <w:szCs w:val="24"/>
          <w:highlight w:val="none"/>
        </w:rPr>
        <w:t xml:space="preserve">标人应按照招标文件规定格式填报投标分项报价表</w:t>
      </w:r>
      <w:bookmarkStart w:id="97" w:name="_Hlt26670399"/>
      <w:r>
        <w:rPr>
          <w:rFonts w:hint="eastAsia" w:ascii="宋体" w:hAnsi="宋体" w:eastAsia="宋体" w:cs="宋体"/>
          <w:b w:val="0"/>
          <w:bCs/>
          <w:color w:val="auto"/>
          <w:sz w:val="24"/>
          <w:szCs w:val="24"/>
          <w:highlight w:val="none"/>
        </w:rPr>
        <w:t xml:space="preserve">。</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12.2投标货币。投标文件中的单价和总价无特殊规定的采用人民币报价，以元为单位标注。招标文件中另有规定的按规定执行。</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12.3投标配置和分项明细报价，不仅应包括所有人员的工资、法定节假日加班费、社保、公积金、福利费，还应包括：税金、合理利润及政策性文件规定等各项应有费用，以及为完成招标文件规定的</w:t>
      </w:r>
      <w:r>
        <w:rPr>
          <w:rFonts w:hint="eastAsia" w:ascii="宋体" w:hAnsi="宋体" w:eastAsia="宋体" w:cs="宋体"/>
          <w:b w:val="0"/>
          <w:bCs/>
          <w:color w:val="auto"/>
          <w:sz w:val="24"/>
          <w:szCs w:val="24"/>
          <w:highlight w:val="none"/>
          <w:lang w:val="en-US" w:eastAsia="zh-CN"/>
        </w:rPr>
        <w:t xml:space="preserve">保安</w:t>
      </w:r>
      <w:r>
        <w:rPr>
          <w:rFonts w:hint="eastAsia" w:ascii="宋体" w:hAnsi="宋体" w:eastAsia="宋体" w:cs="宋体"/>
          <w:b w:val="0"/>
          <w:bCs/>
          <w:color w:val="auto"/>
          <w:sz w:val="24"/>
          <w:szCs w:val="24"/>
          <w:highlight w:val="none"/>
        </w:rPr>
        <w:t xml:space="preserve">服务工作所涉及到的一切相关费用。</w:t>
      </w:r>
      <w:r/>
    </w:p>
    <w:p>
      <w:pPr>
        <w:ind w:firstLine="468"/>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rPr>
        <w:t xml:space="preserve">12.4</w:t>
      </w:r>
      <w:r>
        <w:rPr>
          <w:rFonts w:hint="eastAsia" w:ascii="宋体" w:hAnsi="宋体" w:eastAsia="宋体" w:cs="宋体"/>
          <w:b/>
          <w:bCs w:val="0"/>
          <w:color w:val="auto"/>
          <w:sz w:val="24"/>
          <w:szCs w:val="24"/>
          <w:highlight w:val="none"/>
          <w:lang w:val="zh-CN"/>
        </w:rPr>
        <w:t xml:space="preserve">所有人员工资不低于本市最低工资标准</w:t>
      </w:r>
      <w:r>
        <w:rPr>
          <w:rFonts w:hint="eastAsia" w:ascii="宋体" w:hAnsi="宋体" w:eastAsia="宋体" w:cs="宋体"/>
          <w:b/>
          <w:bCs w:val="0"/>
          <w:color w:val="auto"/>
          <w:sz w:val="24"/>
          <w:szCs w:val="24"/>
          <w:highlight w:val="none"/>
          <w:lang w:val="en-US" w:eastAsia="zh-CN"/>
        </w:rPr>
        <w:t xml:space="preserve">2430</w:t>
      </w:r>
      <w:r>
        <w:rPr>
          <w:rFonts w:hint="eastAsia" w:ascii="宋体" w:hAnsi="宋体" w:eastAsia="宋体" w:cs="宋体"/>
          <w:b/>
          <w:bCs w:val="0"/>
          <w:color w:val="auto"/>
          <w:sz w:val="24"/>
          <w:szCs w:val="24"/>
          <w:highlight w:val="none"/>
          <w:lang w:val="zh-CN"/>
        </w:rPr>
        <w:t xml:space="preserve">元/人</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szCs w:val="24"/>
          <w:highlight w:val="none"/>
          <w:lang w:val="zh-CN"/>
        </w:rPr>
        <w:t xml:space="preserve">月，所有人员必须足额缴纳社保费用，</w:t>
      </w:r>
      <w:r>
        <w:rPr>
          <w:rFonts w:hint="eastAsia" w:ascii="宋体" w:hAnsi="宋体" w:eastAsia="宋体" w:cs="宋体"/>
          <w:b/>
          <w:bCs w:val="0"/>
          <w:color w:val="auto"/>
          <w:sz w:val="24"/>
          <w:szCs w:val="24"/>
          <w:highlight w:val="none"/>
        </w:rPr>
        <w:t xml:space="preserve">社保（企业部分）不得低于129</w:t>
      </w:r>
      <w:r>
        <w:rPr>
          <w:rFonts w:hint="eastAsia" w:ascii="宋体" w:hAnsi="宋体" w:eastAsia="宋体" w:cs="宋体"/>
          <w:b/>
          <w:bCs w:val="0"/>
          <w:color w:val="auto"/>
          <w:sz w:val="24"/>
          <w:szCs w:val="20"/>
          <w:highlight w:val="none"/>
        </w:rPr>
        <w:t xml:space="preserve">2.47元/人/月</w:t>
      </w:r>
      <w:r>
        <w:rPr>
          <w:rFonts w:hint="eastAsia" w:ascii="宋体" w:hAnsi="宋体" w:eastAsia="宋体" w:cs="宋体"/>
          <w:b/>
          <w:bCs w:val="0"/>
          <w:color w:val="auto"/>
          <w:sz w:val="24"/>
          <w:highlight w:val="none"/>
          <w:lang w:val="zh-CN"/>
        </w:rPr>
        <w:t xml:space="preserve">，</w:t>
      </w:r>
      <w:r>
        <w:rPr>
          <w:rFonts w:hint="eastAsia" w:ascii="宋体" w:hAnsi="宋体" w:eastAsia="宋体" w:cs="宋体"/>
          <w:b/>
          <w:bCs w:val="0"/>
          <w:color w:val="auto"/>
          <w:sz w:val="24"/>
          <w:highlight w:val="none"/>
        </w:rPr>
        <w:t xml:space="preserve">住房公积金不得低于</w:t>
      </w:r>
      <w:r>
        <w:rPr>
          <w:rFonts w:hint="eastAsia" w:ascii="宋体" w:hAnsi="宋体" w:eastAsia="宋体" w:cs="宋体"/>
          <w:b/>
          <w:bCs w:val="0"/>
          <w:color w:val="auto"/>
          <w:sz w:val="24"/>
          <w:highlight w:val="none"/>
          <w:lang w:val="en-US" w:eastAsia="zh-CN"/>
        </w:rPr>
        <w:t xml:space="preserve">114</w:t>
      </w:r>
      <w:r>
        <w:rPr>
          <w:rFonts w:hint="eastAsia" w:ascii="宋体" w:hAnsi="宋体" w:eastAsia="宋体" w:cs="宋体"/>
          <w:b/>
          <w:bCs w:val="0"/>
          <w:color w:val="auto"/>
          <w:sz w:val="24"/>
          <w:highlight w:val="none"/>
        </w:rPr>
        <w:t xml:space="preserve">元</w:t>
      </w:r>
      <w:r>
        <w:rPr>
          <w:rFonts w:hint="eastAsia" w:ascii="宋体" w:hAnsi="宋体" w:eastAsia="宋体" w:cs="宋体"/>
          <w:b/>
          <w:bCs w:val="0"/>
          <w:color w:val="auto"/>
          <w:sz w:val="24"/>
          <w:highlight w:val="none"/>
          <w:lang w:val="zh-CN"/>
        </w:rPr>
        <w:t xml:space="preserve">人/每月</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国假加班费不低于4357.25</w:t>
      </w:r>
      <w:r>
        <w:rPr>
          <w:rFonts w:hint="eastAsia" w:ascii="宋体" w:hAnsi="宋体" w:eastAsia="宋体" w:cs="宋体"/>
          <w:b/>
          <w:bCs w:val="0"/>
          <w:color w:val="auto"/>
          <w:sz w:val="24"/>
          <w:highlight w:val="none"/>
        </w:rPr>
        <w:t xml:space="preserve">元/人/年</w:t>
      </w:r>
      <w:r>
        <w:rPr>
          <w:rFonts w:hint="eastAsia" w:ascii="宋体" w:hAnsi="宋体" w:eastAsia="宋体" w:cs="宋体"/>
          <w:b/>
          <w:bCs w:val="0"/>
          <w:color w:val="auto"/>
          <w:sz w:val="24"/>
          <w:highlight w:val="none"/>
          <w:lang w:eastAsia="zh-CN"/>
        </w:rPr>
        <w:t xml:space="preserve">，休息日加班费</w:t>
      </w:r>
      <w:r>
        <w:rPr>
          <w:rFonts w:hint="eastAsia" w:ascii="宋体" w:hAnsi="宋体" w:eastAsia="宋体" w:cs="宋体"/>
          <w:b/>
          <w:bCs w:val="0"/>
          <w:color w:val="auto"/>
          <w:sz w:val="24"/>
          <w:highlight w:val="none"/>
          <w:lang w:val="en-US" w:eastAsia="zh-CN"/>
        </w:rPr>
        <w:t xml:space="preserve">按全年52天计算</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11619.31</w:t>
      </w:r>
      <w:r>
        <w:rPr>
          <w:rFonts w:hint="eastAsia" w:ascii="宋体" w:hAnsi="宋体" w:eastAsia="宋体" w:cs="宋体"/>
          <w:b/>
          <w:bCs w:val="0"/>
          <w:color w:val="auto"/>
          <w:sz w:val="24"/>
          <w:highlight w:val="none"/>
        </w:rPr>
        <w:t xml:space="preserve">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夏季高温费不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低于1200元/人/年</w:t>
      </w:r>
      <w:r>
        <w:rPr>
          <w:rFonts w:hint="eastAsia" w:ascii="宋体" w:hAnsi="宋体" w:eastAsia="宋体" w:cs="宋体"/>
          <w:b/>
          <w:bCs w:val="0"/>
          <w:color w:val="auto"/>
          <w:sz w:val="24"/>
          <w:highlight w:val="none"/>
          <w:lang w:val="zh-CN"/>
        </w:rPr>
        <w:t xml:space="preserve">，</w:t>
      </w:r>
      <w:r>
        <w:rPr>
          <w:rFonts w:hint="eastAsia" w:ascii="宋体" w:hAnsi="宋体" w:eastAsia="宋体" w:cs="宋体"/>
          <w:b/>
          <w:bCs w:val="0"/>
          <w:color w:val="auto"/>
          <w:sz w:val="24"/>
          <w:highlight w:val="none"/>
          <w:lang w:val="en-US" w:eastAsia="zh-CN"/>
        </w:rPr>
        <w:t xml:space="preserve">福利费</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10</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服装</w:t>
      </w:r>
      <w:r>
        <w:rPr>
          <w:rFonts w:hint="eastAsia" w:ascii="宋体" w:hAnsi="宋体" w:eastAsia="宋体" w:cs="宋体"/>
          <w:b/>
          <w:bCs w:val="0"/>
          <w:color w:val="auto"/>
          <w:sz w:val="24"/>
          <w:highlight w:val="none"/>
        </w:rPr>
        <w:t xml:space="preserve">费不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，保安器具及装备费</w:t>
      </w:r>
      <w:r>
        <w:rPr>
          <w:rFonts w:hint="eastAsia" w:ascii="宋体" w:hAnsi="宋体" w:eastAsia="宋体" w:cs="宋体"/>
          <w:b/>
          <w:bCs w:val="0"/>
          <w:color w:val="auto"/>
          <w:sz w:val="24"/>
          <w:highlight w:val="none"/>
        </w:rPr>
        <w:t xml:space="preserve">不</w:t>
      </w:r>
      <w:r>
        <w:rPr>
          <w:rFonts w:hint="eastAsia" w:ascii="宋体" w:hAnsi="宋体" w:eastAsia="宋体" w:cs="宋体"/>
          <w:b/>
          <w:bCs w:val="0"/>
          <w:color w:val="auto"/>
          <w:sz w:val="24"/>
          <w:szCs w:val="20"/>
          <w:highlight w:val="none"/>
        </w:rPr>
        <w:t xml:space="preserve">得</w:t>
      </w:r>
      <w:r>
        <w:rPr>
          <w:rFonts w:hint="eastAsia" w:ascii="宋体" w:hAnsi="宋体" w:eastAsia="宋体" w:cs="宋体"/>
          <w:b/>
          <w:bCs w:val="0"/>
          <w:color w:val="auto"/>
          <w:sz w:val="24"/>
          <w:highlight w:val="none"/>
        </w:rPr>
        <w:t xml:space="preserve">低于</w:t>
      </w:r>
      <w:r>
        <w:rPr>
          <w:rFonts w:hint="eastAsia" w:ascii="宋体" w:hAnsi="宋体" w:eastAsia="宋体" w:cs="宋体"/>
          <w:b/>
          <w:bCs w:val="0"/>
          <w:color w:val="auto"/>
          <w:sz w:val="24"/>
          <w:highlight w:val="none"/>
          <w:lang w:val="en-US" w:eastAsia="zh-CN"/>
        </w:rPr>
        <w:t xml:space="preserve">10</w:t>
      </w:r>
      <w:r>
        <w:rPr>
          <w:rFonts w:hint="eastAsia" w:ascii="宋体" w:hAnsi="宋体" w:eastAsia="宋体" w:cs="宋体"/>
          <w:b/>
          <w:bCs w:val="0"/>
          <w:color w:val="auto"/>
          <w:sz w:val="24"/>
          <w:highlight w:val="none"/>
        </w:rPr>
        <w:t xml:space="preserve">00元/人/年</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税金费率不得低于</w:t>
      </w:r>
      <w:r>
        <w:rPr>
          <w:rFonts w:hint="eastAsia" w:ascii="宋体" w:hAnsi="宋体" w:eastAsia="宋体" w:cs="宋体"/>
          <w:b/>
          <w:bCs w:val="0"/>
          <w:color w:val="auto"/>
          <w:sz w:val="24"/>
          <w:highlight w:val="none"/>
          <w:lang w:val="en-US" w:eastAsia="zh-CN"/>
        </w:rPr>
        <w:t xml:space="preserve">6.72</w:t>
      </w:r>
      <w:r>
        <w:rPr>
          <w:rFonts w:hint="eastAsia" w:ascii="宋体" w:hAnsi="宋体" w:eastAsia="宋体" w:cs="宋体"/>
          <w:b/>
          <w:bCs w:val="0"/>
          <w:color w:val="auto"/>
          <w:sz w:val="24"/>
          <w:highlight w:val="none"/>
        </w:rPr>
        <w:t xml:space="preserve">%。</w:t>
      </w:r>
      <w:r/>
    </w:p>
    <w:p>
      <w:pPr>
        <w:ind w:firstLine="470"/>
        <w:pageBreakBefore w:val="0"/>
        <w:spacing w:line="360" w:lineRule="auto"/>
        <w:widowControl w:val="off"/>
        <w:rPr>
          <w:rFonts w:hint="eastAsia" w:asciiTheme="minorEastAsia" w:hAnsiTheme="minorEastAsia" w:eastAsiaTheme="minorEastAsia" w:cstheme="minorEastAsia"/>
          <w:b/>
          <w:bCs w:val="0"/>
          <w:color w:val="auto"/>
          <w:highlight w:val="yellow"/>
        </w:rPr>
      </w:pPr>
      <w:r>
        <w:rPr>
          <w:rFonts w:hint="eastAsia" w:ascii="宋体" w:hAnsi="宋体" w:eastAsia="宋体" w:cs="宋体"/>
          <w:b/>
          <w:bCs w:val="0"/>
          <w:color w:val="auto"/>
          <w:sz w:val="24"/>
          <w:highlight w:val="none"/>
          <w:lang w:val="en-US" w:eastAsia="zh-CN"/>
        </w:rPr>
        <w:t xml:space="preserve">12.5</w:t>
      </w:r>
      <w:r>
        <w:rPr>
          <w:rFonts w:hint="eastAsia" w:ascii="宋体" w:hAnsi="宋体" w:eastAsia="宋体" w:cs="宋体"/>
          <w:b/>
          <w:bCs w:val="0"/>
          <w:color w:val="auto"/>
          <w:sz w:val="24"/>
          <w:highlight w:val="none"/>
        </w:rPr>
        <w:t xml:space="preserve">投标人</w:t>
      </w:r>
      <w:r>
        <w:rPr>
          <w:rFonts w:hint="eastAsia" w:ascii="宋体" w:hAnsi="宋体" w:eastAsia="宋体" w:cs="宋体"/>
          <w:b/>
          <w:bCs w:val="0"/>
          <w:color w:val="auto"/>
          <w:sz w:val="24"/>
          <w:highlight w:val="none"/>
          <w:lang w:val="zh-CN"/>
        </w:rPr>
        <w:t xml:space="preserve">所提供人员的</w:t>
      </w:r>
      <w:r>
        <w:rPr>
          <w:rFonts w:hint="eastAsia" w:ascii="宋体" w:hAnsi="宋体" w:eastAsia="宋体" w:cs="宋体"/>
          <w:b/>
          <w:bCs w:val="0"/>
          <w:color w:val="auto"/>
          <w:sz w:val="24"/>
          <w:highlight w:val="none"/>
          <w:lang w:val="en-US" w:eastAsia="zh-CN"/>
        </w:rPr>
        <w:t xml:space="preserve">报价</w:t>
      </w:r>
      <w:r>
        <w:rPr>
          <w:rFonts w:hint="eastAsia" w:ascii="宋体" w:hAnsi="宋体" w:eastAsia="宋体" w:cs="宋体"/>
          <w:b/>
          <w:bCs w:val="0"/>
          <w:color w:val="auto"/>
          <w:sz w:val="24"/>
          <w:highlight w:val="none"/>
          <w:lang w:val="zh-CN"/>
        </w:rPr>
        <w:t xml:space="preserve">费用不得低于上述标准进行测算，</w:t>
      </w:r>
      <w:r>
        <w:rPr>
          <w:rFonts w:hint="eastAsia" w:ascii="宋体" w:hAnsi="宋体" w:eastAsia="宋体" w:cs="宋体"/>
          <w:b/>
          <w:bCs w:val="0"/>
          <w:color w:val="auto"/>
          <w:sz w:val="24"/>
          <w:highlight w:val="none"/>
        </w:rPr>
        <w:t xml:space="preserve">否则</w:t>
      </w:r>
      <w:r>
        <w:rPr>
          <w:rFonts w:hint="eastAsia" w:ascii="宋体" w:hAnsi="宋体" w:eastAsia="宋体" w:cs="宋体"/>
          <w:b/>
          <w:bCs w:val="0"/>
          <w:color w:val="auto"/>
          <w:sz w:val="24"/>
          <w:highlight w:val="none"/>
          <w:lang w:val="zh-CN"/>
        </w:rPr>
        <w:t xml:space="preserve">视为未实质性响应招标文件要求</w:t>
      </w:r>
      <w:r>
        <w:rPr>
          <w:rFonts w:hint="eastAsia" w:ascii="宋体" w:hAnsi="宋体" w:eastAsia="宋体" w:cs="宋体"/>
          <w:b/>
          <w:bCs w:val="0"/>
          <w:color w:val="auto"/>
          <w:sz w:val="24"/>
          <w:highlight w:val="none"/>
        </w:rPr>
        <w:t xml:space="preserve">。如果招标公告发布之后</w:t>
      </w:r>
      <w:r>
        <w:rPr>
          <w:rFonts w:hint="eastAsia" w:ascii="宋体" w:hAnsi="宋体" w:eastAsia="宋体" w:cs="宋体"/>
          <w:b/>
          <w:bCs w:val="0"/>
          <w:color w:val="auto"/>
          <w:sz w:val="24"/>
          <w:highlight w:val="none"/>
          <w:lang w:val="en-US" w:eastAsia="zh-CN"/>
        </w:rPr>
        <w:t xml:space="preserve">开标前</w:t>
      </w:r>
      <w:r>
        <w:rPr>
          <w:rFonts w:hint="eastAsia" w:ascii="宋体" w:hAnsi="宋体" w:eastAsia="宋体" w:cs="宋体"/>
          <w:b/>
          <w:bCs w:val="0"/>
          <w:color w:val="auto"/>
          <w:sz w:val="24"/>
          <w:highlight w:val="none"/>
        </w:rPr>
        <w:t xml:space="preserve">遇政府调整职工最低工资标准或社会保险缴纳基数，</w:t>
      </w:r>
      <w:r>
        <w:rPr>
          <w:rFonts w:hint="eastAsia" w:ascii="宋体" w:hAnsi="宋体" w:eastAsia="宋体" w:cs="宋体"/>
          <w:b/>
          <w:bCs w:val="0"/>
          <w:color w:val="auto"/>
          <w:sz w:val="24"/>
          <w:highlight w:val="none"/>
          <w:lang w:val="en-US" w:eastAsia="zh-CN"/>
        </w:rPr>
        <w:t xml:space="preserve">评标委员会进行符合性审查时</w:t>
      </w:r>
      <w:r>
        <w:rPr>
          <w:rFonts w:hint="eastAsia" w:ascii="宋体" w:hAnsi="宋体" w:eastAsia="宋体" w:cs="宋体"/>
          <w:b/>
          <w:bCs w:val="0"/>
          <w:color w:val="auto"/>
          <w:sz w:val="24"/>
          <w:highlight w:val="none"/>
        </w:rPr>
        <w:t xml:space="preserve">可仍按上述标准</w:t>
      </w:r>
      <w:r>
        <w:rPr>
          <w:rFonts w:hint="eastAsia" w:ascii="宋体" w:hAnsi="宋体" w:eastAsia="宋体" w:cs="宋体"/>
          <w:b/>
          <w:bCs w:val="0"/>
          <w:color w:val="auto"/>
          <w:sz w:val="24"/>
          <w:highlight w:val="none"/>
          <w:lang w:val="en-US" w:eastAsia="zh-CN"/>
        </w:rPr>
        <w:t xml:space="preserve">审查</w:t>
      </w:r>
      <w:r>
        <w:rPr>
          <w:rFonts w:hint="eastAsia" w:ascii="宋体" w:hAnsi="宋体" w:eastAsia="宋体" w:cs="宋体"/>
          <w:b/>
          <w:bCs w:val="0"/>
          <w:color w:val="auto"/>
          <w:sz w:val="24"/>
          <w:highlight w:val="none"/>
        </w:rPr>
        <w:t xml:space="preserve">，中标后，</w:t>
      </w:r>
      <w:r>
        <w:rPr>
          <w:rFonts w:hint="eastAsia" w:ascii="宋体" w:hAnsi="宋体" w:eastAsia="宋体" w:cs="宋体"/>
          <w:b/>
          <w:bCs w:val="0"/>
          <w:color w:val="auto"/>
          <w:sz w:val="24"/>
          <w:highlight w:val="none"/>
          <w:lang w:val="en-US" w:eastAsia="zh-CN"/>
        </w:rPr>
        <w:t xml:space="preserve">中标人应按照最新政策文件规定执行</w:t>
      </w:r>
      <w:r>
        <w:rPr>
          <w:rFonts w:hint="eastAsia" w:ascii="宋体" w:hAnsi="宋体" w:eastAsia="宋体" w:cs="宋体"/>
          <w:b/>
          <w:bCs w:val="0"/>
          <w:color w:val="auto"/>
          <w:sz w:val="24"/>
          <w:highlight w:val="none"/>
        </w:rPr>
        <w:t xml:space="preserve">。</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8" w:name="_Hlt26670425"/>
      <w:r/>
      <w:bookmarkStart w:id="99" w:name="_Hlt26954731"/>
      <w:r/>
      <w:bookmarkStart w:id="100" w:name="_Hlt26954844"/>
      <w:r/>
      <w:bookmarkStart w:id="101" w:name="_Hlt26670403"/>
      <w:r/>
      <w:bookmarkStart w:id="102" w:name="_Hlt26670482"/>
      <w:r/>
      <w:bookmarkStart w:id="103" w:name="_Hlt26954842"/>
      <w:r/>
      <w:bookmarkStart w:id="104" w:name="_Hlt26668983"/>
      <w:r/>
      <w:bookmarkStart w:id="105" w:name="_Hlt26670486"/>
      <w:r/>
      <w:bookmarkStart w:id="106" w:name="_Hlt26954848"/>
      <w:r/>
      <w:bookmarkStart w:id="107" w:name="_Hlt26954846"/>
      <w:r>
        <w:rPr>
          <w:rFonts w:hint="eastAsia" w:asciiTheme="minorEastAsia" w:hAnsiTheme="minorEastAsia" w:eastAsiaTheme="minorEastAsia" w:cstheme="minorEastAsia"/>
          <w:color w:val="auto"/>
          <w:sz w:val="28"/>
          <w:szCs w:val="28"/>
          <w:highlight w:val="none"/>
        </w:rPr>
        <w:t xml:space="preserve">13、技术要求响应及偏离表、商务要求响应及偏离表</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13.1投标人需对招标文件中的技术要求与商务要求逐项作出响应或偏离，并说明原因。</w:t>
      </w:r>
      <w:r/>
    </w:p>
    <w:p>
      <w:pPr>
        <w:pStyle w:val="725"/>
        <w:ind w:firstLine="480"/>
        <w:jc w:val="both"/>
        <w:pageBreakBefore w:val="0"/>
        <w:spacing w:beforeAutospacing="0" w:afterAutospacing="0" w:line="480" w:lineRule="exact"/>
        <w:widowControl w:val="off"/>
        <w:tabs>
          <w:tab w:val="left" w:pos="1036"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13.2投标人可在投标文件中提供认为需要的其他技术文件或说明。</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08" w:name="_Toc49090510"/>
      <w:r/>
      <w:bookmarkStart w:id="109" w:name="_Toc14577359"/>
      <w:r>
        <w:rPr>
          <w:rFonts w:hint="eastAsia" w:asciiTheme="minorEastAsia" w:hAnsiTheme="minorEastAsia" w:eastAsiaTheme="minorEastAsia" w:cstheme="minorEastAsia"/>
          <w:color w:val="auto"/>
          <w:sz w:val="28"/>
          <w:szCs w:val="28"/>
          <w:highlight w:val="none"/>
        </w:rPr>
        <w:t xml:space="preserve">14、投标函和开标一览表</w:t>
      </w:r>
      <w:bookmarkEnd w:id="108"/>
      <w:r/>
      <w:bookmarkEnd w:id="109"/>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14.1投标人应按照招标文件中提供的格式完整、正确填写投标函、开标一览表。</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color w:val="auto"/>
          <w:highlight w:val="none"/>
        </w:rPr>
        <w:t xml:space="preserve">。</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10" w:name="_Toc14577360"/>
      <w:r/>
      <w:bookmarkStart w:id="111" w:name="_Toc49090511"/>
      <w:r/>
      <w:bookmarkStart w:id="112" w:name="_Hlt26954850"/>
      <w:r/>
      <w:bookmarkStart w:id="113" w:name="_Hlt26954734"/>
      <w:r/>
      <w:bookmarkStart w:id="114" w:name="_Hlt26670489"/>
      <w:r>
        <w:rPr>
          <w:rFonts w:hint="eastAsia" w:asciiTheme="minorEastAsia" w:hAnsiTheme="minorEastAsia" w:eastAsiaTheme="minorEastAsia" w:cstheme="minorEastAsia"/>
          <w:color w:val="auto"/>
          <w:sz w:val="28"/>
          <w:szCs w:val="28"/>
          <w:highlight w:val="none"/>
        </w:rPr>
        <w:t xml:space="preserve">15、投标有效期</w:t>
      </w:r>
      <w:bookmarkEnd w:id="110"/>
      <w:r/>
      <w:bookmarkEnd w:id="111"/>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15.1投标有效期为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规定的开标之日后</w:t>
      </w:r>
      <w:r>
        <w:rPr>
          <w:rFonts w:hint="eastAsia" w:asciiTheme="minorEastAsia" w:hAnsiTheme="minorEastAsia" w:cstheme="minorEastAsia"/>
          <w:b/>
          <w:color w:val="auto"/>
          <w:highlight w:val="none"/>
          <w:u w:val="single"/>
          <w:lang w:val="en-US" w:eastAsia="zh-CN"/>
        </w:rPr>
        <w:t xml:space="preserve">九</w:t>
      </w:r>
      <w:r>
        <w:rPr>
          <w:rFonts w:hint="eastAsia" w:asciiTheme="minorEastAsia" w:hAnsiTheme="minorEastAsia" w:eastAsiaTheme="minorEastAsia" w:cstheme="minorEastAsia"/>
          <w:b/>
          <w:color w:val="auto"/>
          <w:highlight w:val="none"/>
          <w:u w:val="single"/>
        </w:rPr>
        <w:t xml:space="preserve">十（</w:t>
      </w:r>
      <w:r>
        <w:rPr>
          <w:rFonts w:hint="eastAsia" w:asciiTheme="minorEastAsia" w:hAnsiTheme="minorEastAsia" w:cstheme="minorEastAsia"/>
          <w:b/>
          <w:color w:val="auto"/>
          <w:highlight w:val="none"/>
          <w:u w:val="single"/>
          <w:lang w:val="en-US" w:eastAsia="zh-CN"/>
        </w:rPr>
        <w:t xml:space="preserve">9</w:t>
      </w:r>
      <w:r>
        <w:rPr>
          <w:rFonts w:hint="eastAsia" w:asciiTheme="minorEastAsia" w:hAnsiTheme="minorEastAsia" w:eastAsiaTheme="minorEastAsia" w:cstheme="minorEastAsia"/>
          <w:b/>
          <w:color w:val="auto"/>
          <w:highlight w:val="none"/>
          <w:u w:val="single"/>
        </w:rPr>
        <w:t xml:space="preserve">0）天</w:t>
      </w:r>
      <w:r>
        <w:rPr>
          <w:rFonts w:hint="eastAsia" w:asciiTheme="minorEastAsia" w:hAnsiTheme="minorEastAsia" w:eastAsiaTheme="minorEastAsia" w:cstheme="minorEastAsia"/>
          <w:color w:val="auto"/>
          <w:highlight w:val="none"/>
        </w:rPr>
        <w:t xml:space="preserve">。投标有效期比规定短的将被视为未实质性响应招标文件而予以拒绝。</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16、投标有效期的延长</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16.1在特殊情况下，</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于原投标有效期满之前，可向投标人提出延长投标有效期的要求。这种要求与答复均应采用书面形式。投标人可以拒绝</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72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15" w:name="_Toc513029224"/>
      <w:r/>
      <w:bookmarkStart w:id="116" w:name="_Toc16938540"/>
      <w:r/>
      <w:bookmarkStart w:id="117" w:name="_Toc120614217"/>
      <w:r/>
      <w:bookmarkStart w:id="118" w:name="_Toc20823296"/>
      <w:r/>
      <w:bookmarkStart w:id="119" w:name="_Hlt26954739"/>
      <w:r/>
      <w:bookmarkStart w:id="120" w:name="_Hlt26954852"/>
      <w:r>
        <w:rPr>
          <w:rFonts w:hint="eastAsia" w:asciiTheme="minorEastAsia" w:hAnsiTheme="minorEastAsia" w:eastAsiaTheme="minorEastAsia" w:cstheme="minorEastAsia"/>
          <w:b/>
          <w:color w:val="auto"/>
          <w:sz w:val="32"/>
          <w:szCs w:val="32"/>
          <w:highlight w:val="none"/>
        </w:rPr>
        <w:t xml:space="preserve">四、投标文件的递交</w:t>
      </w:r>
      <w:bookmarkEnd w:id="115"/>
      <w:r/>
      <w:bookmarkEnd w:id="116"/>
      <w:r/>
      <w:bookmarkEnd w:id="117"/>
      <w:r/>
      <w:bookmarkEnd w:id="118"/>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1" w:name="_Toc513029225"/>
      <w:r/>
      <w:bookmarkStart w:id="122" w:name="_Toc16938541"/>
      <w:r/>
      <w:bookmarkStart w:id="123" w:name="_Toc20823297"/>
      <w:r/>
      <w:bookmarkStart w:id="124" w:name="_Toc462564084"/>
      <w:r>
        <w:rPr>
          <w:rFonts w:hint="eastAsia" w:asciiTheme="minorEastAsia" w:hAnsiTheme="minorEastAsia" w:eastAsiaTheme="minorEastAsia" w:cstheme="minorEastAsia"/>
          <w:color w:val="auto"/>
          <w:sz w:val="28"/>
          <w:szCs w:val="28"/>
          <w:highlight w:val="none"/>
        </w:rPr>
        <w:t xml:space="preserve">17、投标文件</w:t>
      </w:r>
      <w:bookmarkEnd w:id="121"/>
      <w:r/>
      <w:bookmarkEnd w:id="122"/>
      <w:r/>
      <w:bookmarkEnd w:id="123"/>
      <w:r/>
      <w:bookmarkEnd w:id="124"/>
      <w:r>
        <w:rPr>
          <w:rFonts w:hint="eastAsia" w:asciiTheme="minorEastAsia" w:hAnsiTheme="minorEastAsia" w:eastAsiaTheme="minorEastAsia" w:cstheme="minorEastAsia"/>
          <w:color w:val="auto"/>
          <w:sz w:val="28"/>
          <w:szCs w:val="28"/>
          <w:highlight w:val="none"/>
        </w:rPr>
        <w:t xml:space="preserve">的递交</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电子投标文件的递交</w:t>
      </w:r>
      <w:r/>
    </w:p>
    <w:p>
      <w:pPr>
        <w:pStyle w:val="725"/>
        <w:ind w:left="5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72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18、投标截止时间</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 xml:space="preserve">18.1投标人上传电子投标文件的时间不得迟于招标公告中规定的投标截止时间。</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8" w:name="_Toc16938543"/>
      <w:r/>
      <w:bookmarkStart w:id="129" w:name="_Toc20823299"/>
      <w:r/>
      <w:bookmarkStart w:id="130" w:name="_Toc513029227"/>
      <w:r>
        <w:rPr>
          <w:rFonts w:hint="eastAsia" w:asciiTheme="minorEastAsia" w:hAnsiTheme="minorEastAsia" w:eastAsiaTheme="minorEastAsia" w:cstheme="minorEastAsia"/>
          <w:color w:val="auto"/>
          <w:sz w:val="28"/>
          <w:szCs w:val="28"/>
          <w:highlight w:val="none"/>
        </w:rPr>
        <w:t xml:space="preserve">19、投标文件</w:t>
      </w:r>
      <w:bookmarkEnd w:id="128"/>
      <w:r/>
      <w:bookmarkEnd w:id="129"/>
      <w:r/>
      <w:bookmarkEnd w:id="130"/>
      <w:r>
        <w:rPr>
          <w:rFonts w:hint="eastAsia" w:asciiTheme="minorEastAsia" w:hAnsiTheme="minorEastAsia" w:eastAsiaTheme="minorEastAsia" w:cstheme="minorEastAsia"/>
          <w:color w:val="auto"/>
          <w:sz w:val="28"/>
          <w:szCs w:val="28"/>
          <w:highlight w:val="none"/>
        </w:rPr>
        <w:t xml:space="preserve">的拒收</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19.1</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拒绝接收在其规定的投标截止时间后上传的任何投标文件。</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bookmarkStart w:id="131" w:name="_Toc513029228"/>
      <w:r/>
      <w:bookmarkStart w:id="132" w:name="_Toc16938544"/>
      <w:r/>
      <w:bookmarkStart w:id="133" w:name="_Toc20823300"/>
      <w:r/>
      <w:bookmarkStart w:id="134" w:name="_Toc20823301"/>
      <w:r/>
      <w:bookmarkStart w:id="135" w:name="_Toc16938545"/>
      <w:r/>
      <w:bookmarkStart w:id="136" w:name="_Toc120614218"/>
      <w:r/>
      <w:bookmarkStart w:id="137" w:name="_Toc513029229"/>
      <w:r>
        <w:rPr>
          <w:rFonts w:hint="eastAsia" w:asciiTheme="minorEastAsia" w:hAnsiTheme="minorEastAsia" w:eastAsiaTheme="minorEastAsia" w:cstheme="minorEastAsia"/>
          <w:color w:val="auto"/>
          <w:sz w:val="28"/>
          <w:szCs w:val="28"/>
          <w:highlight w:val="none"/>
        </w:rPr>
        <w:t xml:space="preserve">20、投标文件的撤回和修改</w:t>
      </w:r>
      <w:bookmarkEnd w:id="131"/>
      <w:r/>
      <w:bookmarkEnd w:id="132"/>
      <w:r/>
      <w:bookmarkEnd w:id="133"/>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20.1投标文件的撤回</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.1.1电子投标文件的撤回</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.1.2投标人撤回电子投标文件，则认为其不再参与本项目投标活动。</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 投标文件的修改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20.2.1投标人可在投标截止时间前，对其电子投标文件进行修改，具体操作方法见《操作手册》。</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20.2.2在投标截止时间之后，投标人不得对其电子投标文件作任何修改。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20.3在投标截止时间至招标文件中规定的投标有效期满之间的这段时间内，投标人不得撤回其投标。</w:t>
      </w:r>
      <w:r/>
    </w:p>
    <w:p>
      <w:pPr>
        <w:pStyle w:val="72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五、开标与评标</w:t>
      </w:r>
      <w:bookmarkEnd w:id="134"/>
      <w:r/>
      <w:bookmarkEnd w:id="135"/>
      <w:r/>
      <w:bookmarkEnd w:id="136"/>
      <w:r/>
      <w:bookmarkEnd w:id="137"/>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38" w:name="_Toc16938546"/>
      <w:r/>
      <w:bookmarkStart w:id="139" w:name="_Toc20823302"/>
      <w:r/>
      <w:bookmarkStart w:id="140" w:name="_Toc513029230"/>
      <w:r>
        <w:rPr>
          <w:rFonts w:hint="eastAsia" w:asciiTheme="minorEastAsia" w:hAnsiTheme="minorEastAsia" w:eastAsiaTheme="minorEastAsia" w:cstheme="minorEastAsia"/>
          <w:color w:val="auto"/>
          <w:sz w:val="28"/>
          <w:szCs w:val="28"/>
          <w:highlight w:val="none"/>
        </w:rPr>
        <w:t xml:space="preserve">21、开标</w:t>
      </w:r>
      <w:bookmarkEnd w:id="138"/>
      <w:r/>
      <w:bookmarkEnd w:id="139"/>
      <w:r/>
      <w:bookmarkEnd w:id="140"/>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将在招标公告中规定的时间和地点组织公开开标。投标人应当按照《操作手册》规定，参加开标活动和在苏采云系统规定的时间内对投标文件进行解密。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21.2开标仪式由</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组织。苏采云系统将自动对项目进行开标，并宣布各投标人名称和投标价格。</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21.3投标人在开标过程中涉及到的投标文件解密、开标结果确认等工作，应按照《操作手册》规定执行。</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21.4投标人如果对开标过程和开标记录有疑义，应当根据《操作手册》规定提出，如苏采云系统中《开标记录表》宣布后5分钟内未提出的，视同认可开标结果。</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1" w:name="_Toc513029231"/>
      <w:r/>
      <w:bookmarkStart w:id="142" w:name="_Toc16938547"/>
      <w:r/>
      <w:bookmarkStart w:id="143" w:name="_Toc20823303"/>
      <w:r>
        <w:rPr>
          <w:rFonts w:hint="eastAsia" w:asciiTheme="minorEastAsia" w:hAnsiTheme="minorEastAsia" w:eastAsiaTheme="minorEastAsia" w:cstheme="minorEastAsia"/>
          <w:color w:val="auto"/>
          <w:sz w:val="28"/>
          <w:szCs w:val="28"/>
          <w:highlight w:val="none"/>
        </w:rPr>
        <w:t xml:space="preserve">22、评标委员会</w:t>
      </w:r>
      <w:bookmarkEnd w:id="141"/>
      <w:r/>
      <w:bookmarkEnd w:id="142"/>
      <w:r/>
      <w:bookmarkEnd w:id="143"/>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22.1开标后，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将立即组织评标委员会（以下简称评委会）进行评标。</w:t>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22.2评委会由采购人代表和有关技术、经济等方面的专家组成，且人员构成符合政府采购有关规定。</w:t>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22.3评委会独立工作，负责评审所有投标文件并确定中标侯选人。</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23、评标过程的保密与公正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23.1凡是与审查、澄清、评价和比较投标的有关资料以及授标建议等，采购人、评委、</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均不得向投标人或与评标无关的其他人员透露。</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23.2在评标过程中，投标人不得以任何行为影响评标过程，否则其投标文件将被作为无效投标文件。</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和评标委员会不向未中标的投标人解释未中标原因，也不公布评标过程中的相关细节。</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23.4采用综合评分法的项目，未中标的投标人可于中标结果公告期限届满之日起通过苏采云系统查看自己的评审得分及排序情况。</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4" w:name="_Toc20823304"/>
      <w:r/>
      <w:bookmarkStart w:id="145" w:name="_Toc16938548"/>
      <w:r/>
      <w:bookmarkStart w:id="146" w:name="_Toc513029232"/>
      <w:r>
        <w:rPr>
          <w:rFonts w:hint="eastAsia" w:asciiTheme="minorEastAsia" w:hAnsiTheme="minorEastAsia" w:eastAsiaTheme="minorEastAsia" w:cstheme="minorEastAsia"/>
          <w:color w:val="auto"/>
          <w:sz w:val="28"/>
          <w:szCs w:val="28"/>
          <w:highlight w:val="none"/>
        </w:rPr>
        <w:t xml:space="preserve">24、投标文件的澄清</w:t>
      </w:r>
      <w:bookmarkEnd w:id="144"/>
      <w:r/>
      <w:bookmarkEnd w:id="145"/>
      <w:r/>
      <w:bookmarkEnd w:id="146"/>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24.3接到评委会澄清、说明和补正要求的投标人如未按规定做出澄清、说明和补正，其风险由投标人自行承担。</w:t>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7" w:name="_Toc513029233"/>
      <w:r/>
      <w:bookmarkStart w:id="148" w:name="_Toc20823305"/>
      <w:r/>
      <w:bookmarkStart w:id="149" w:name="_Toc16938549"/>
      <w:r>
        <w:rPr>
          <w:rFonts w:hint="eastAsia" w:asciiTheme="minorEastAsia" w:hAnsiTheme="minorEastAsia" w:eastAsiaTheme="minorEastAsia" w:cstheme="minorEastAsia"/>
          <w:color w:val="auto"/>
          <w:sz w:val="28"/>
          <w:szCs w:val="28"/>
          <w:highlight w:val="none"/>
        </w:rPr>
        <w:t xml:space="preserve">25、对投标文件的初审</w:t>
      </w:r>
      <w:bookmarkEnd w:id="147"/>
      <w:r/>
      <w:bookmarkEnd w:id="148"/>
      <w:r/>
      <w:bookmarkEnd w:id="149"/>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25.1投标文件初审分为资格审查和符合性审查。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25.1.3未通过资格审查或符合性审查的投标人，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将在苏采云系统中告知未通过资格审查或符合性审查的原因，评标结束后，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将不再告知未通过资格审查和符合性审查的原因。</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所谓重大偏离或保留是指与招标文件规定的实质性要求存在负偏离，或者在实质上与招标文件不一致，而且限制了合同中买方和</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25.4评委会将对确定为实质性响应的投标进行进一步审核，确定其是否有计算上或累加上的算术错误，修正错误的原则如下：</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（3）单价金额小数点或者百分比有明显错位的，以开标一览表的总价为准，并修改单价。</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25"/>
        <w:ind w:firstLine="42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0" w:name="_Toc513029234"/>
      <w:r/>
      <w:bookmarkStart w:id="151" w:name="_Toc20823306"/>
      <w:r/>
      <w:bookmarkStart w:id="152" w:name="_Toc16938550"/>
      <w:r>
        <w:rPr>
          <w:rFonts w:hint="eastAsia" w:asciiTheme="minorEastAsia" w:hAnsiTheme="minorEastAsia" w:eastAsiaTheme="minorEastAsia" w:cstheme="minorEastAsia"/>
          <w:color w:val="auto"/>
          <w:highlight w:val="none"/>
        </w:rPr>
        <w:t xml:space="preserve">25.6投标人在开、评标全过程中应保持通讯畅通，及时登录苏采云系统查阅、答复相关信息，并安排专人与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及评标委员会联系。</w:t>
      </w:r>
      <w:bookmarkEnd w:id="150"/>
      <w:r/>
      <w:bookmarkEnd w:id="151"/>
      <w:r/>
      <w:bookmarkEnd w:id="152"/>
      <w:r/>
      <w:r/>
    </w:p>
    <w:p>
      <w:pPr>
        <w:pStyle w:val="72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26、无效投标条款和废标条款</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3" w:name="_Toc16938551"/>
      <w:r/>
      <w:bookmarkStart w:id="154" w:name="_Toc513029235"/>
      <w:r/>
      <w:bookmarkStart w:id="155" w:name="_Toc20823307"/>
      <w:r>
        <w:rPr>
          <w:rFonts w:hint="eastAsia" w:asciiTheme="minorEastAsia" w:hAnsiTheme="minorEastAsia" w:eastAsiaTheme="minorEastAsia" w:cstheme="minorEastAsia"/>
          <w:color w:val="auto"/>
          <w:highlight w:val="none"/>
        </w:rPr>
        <w:t xml:space="preserve">26.1无效投标条款</w:t>
      </w:r>
      <w:bookmarkEnd w:id="153"/>
      <w:r/>
      <w:bookmarkEnd w:id="154"/>
      <w:r/>
      <w:bookmarkEnd w:id="155"/>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26.1.1投标人在苏采云系统规定的时间内未成功解密电子投标文件的。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26.1.2投标人未按照招标文件要求上传电子投标文件的。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26.1.3同一投标人提交两个（含两个）以上不同的投标报价的。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26.1.4投标人不具备招标文件中规定资格要求的。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26.1.5投标人的报价超过了采购预算或最高限价的。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26.1.6未通过符合性审查的。</w:t>
      </w:r>
      <w:r/>
    </w:p>
    <w:p>
      <w:pPr>
        <w:pStyle w:val="72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26.1.7不符合招标文件中规定的实质性要求和条件的（</w:t>
      </w:r>
      <w:r>
        <w:rPr>
          <w:rFonts w:hint="eastAsia" w:asciiTheme="minorEastAsia" w:hAnsiTheme="minorEastAsia" w:eastAsiaTheme="minorEastAsia" w:cstheme="minorEastAsia"/>
          <w:i/>
          <w:color w:val="auto"/>
          <w:highlight w:val="none"/>
          <w:u w:val="single"/>
        </w:rPr>
        <w:t xml:space="preserve">本招标文件中斜体且有下划线部分为实质性要求和条件）。</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26.1.9投标文件含有采购人不能接受的附加条件的。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rPr>
      </w:pPr>
      <w:r>
        <w:rPr>
          <w:rFonts w:hint="eastAsia" w:asciiTheme="minorEastAsia" w:hAnsiTheme="minorEastAsia" w:eastAsiaTheme="minorEastAsia" w:cstheme="minorEastAsia"/>
          <w:color w:val="ff0000"/>
          <w:highlight w:val="none"/>
        </w:rPr>
        <w:t xml:space="preserve">26.1.10投标人不能证明其报价合理性的，评</w:t>
      </w:r>
      <w:r>
        <w:rPr>
          <w:rFonts w:hint="eastAsia" w:asciiTheme="minorEastAsia" w:hAnsiTheme="minorEastAsia" w:eastAsiaTheme="minorEastAsia" w:cstheme="minorEastAsia"/>
          <w:color w:val="ff0000"/>
          <w:highlight w:val="none"/>
          <w:lang w:val="en-US" w:eastAsia="zh-CN"/>
        </w:rPr>
        <w:t xml:space="preserve">标</w:t>
      </w:r>
      <w:r>
        <w:rPr>
          <w:rFonts w:hint="eastAsia" w:asciiTheme="minorEastAsia" w:hAnsiTheme="minorEastAsia" w:eastAsiaTheme="minorEastAsia" w:cstheme="minorEastAsia"/>
          <w:color w:val="ff0000"/>
          <w:highlight w:val="none"/>
        </w:rPr>
        <w:t xml:space="preserve">委员会应当将其作为无效投标处理。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（一）评审过程中出现下列情形之一的，评标委员会应当启动异常低价投标审查程序：</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3.投标（响应）报价低于采购项目最高限价45%的，即投标（响应）报价&lt;采购项目最高限价×45%；</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4.评审委员会基于专业判断，认为供应商报价过低，有可能影响产品质量或者不能诚信履约的其他情形。</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26.1.11投标文件未按照招标文件要求加盖CA电子公章的。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26.1.12其他法律、法规及本招标文件规定的属无效投标的情形。</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26.2废标条款</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26.2.1符合专业条件的供应商或者对招标文件作实质响应的供应商不足三家的。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26.2.2出现影响采购公正的违法、违规行为的。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26.2.3因重大变故，采购任务取消的。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26.2.4评标委员会认定招标文件存在歧义、重大缺陷导致评审工作无法进行。</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26.2.5因苏采云系统系统故障原因造成开标不成功的。</w:t>
      </w:r>
      <w:r/>
    </w:p>
    <w:p>
      <w:pPr>
        <w:pStyle w:val="72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 投标截止时间结束后参加投标的供应商不足三家的处理：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26.3.1如出现投标截止时间结束后参加投标的供应商或者在评标期间对招标文件做出实质响应的供应商不足三家情况，按政府采购相关规定执行。</w:t>
      </w:r>
      <w:r/>
    </w:p>
    <w:p>
      <w:pPr>
        <w:pStyle w:val="72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56" w:name="_Toc120614219"/>
      <w:r>
        <w:rPr>
          <w:rFonts w:hint="eastAsia" w:asciiTheme="minorEastAsia" w:hAnsiTheme="minorEastAsia" w:eastAsiaTheme="minorEastAsia" w:cstheme="minorEastAsia"/>
          <w:b/>
          <w:color w:val="auto"/>
          <w:sz w:val="32"/>
          <w:szCs w:val="32"/>
          <w:highlight w:val="none"/>
        </w:rPr>
        <w:t xml:space="preserve">六、定标</w:t>
      </w:r>
      <w:bookmarkEnd w:id="156"/>
      <w:r/>
      <w:r/>
    </w:p>
    <w:p>
      <w:pPr>
        <w:pStyle w:val="72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7" w:name="_Toc20823310"/>
      <w:r/>
      <w:bookmarkStart w:id="158" w:name="_Toc16938554"/>
      <w:r/>
      <w:bookmarkStart w:id="159" w:name="_Toc513029238"/>
      <w:r>
        <w:rPr>
          <w:rFonts w:hint="eastAsia" w:asciiTheme="minorEastAsia" w:hAnsiTheme="minorEastAsia" w:eastAsiaTheme="minorEastAsia" w:cstheme="minorEastAsia"/>
          <w:color w:val="auto"/>
          <w:sz w:val="30"/>
          <w:szCs w:val="30"/>
          <w:highlight w:val="none"/>
        </w:rPr>
        <w:t xml:space="preserve">27、</w:t>
      </w:r>
      <w:bookmarkEnd w:id="157"/>
      <w:r>
        <w:rPr>
          <w:rFonts w:hint="eastAsia" w:asciiTheme="minorEastAsia" w:hAnsiTheme="minorEastAsia" w:eastAsiaTheme="minorEastAsia" w:cstheme="minorEastAsia"/>
          <w:color w:val="auto"/>
          <w:sz w:val="30"/>
          <w:szCs w:val="30"/>
          <w:highlight w:val="none"/>
        </w:rPr>
        <w:t xml:space="preserve">确定</w:t>
      </w:r>
      <w:bookmarkEnd w:id="158"/>
      <w:r/>
      <w:bookmarkEnd w:id="159"/>
      <w:r>
        <w:rPr>
          <w:rFonts w:hint="eastAsia" w:asciiTheme="minorEastAsia" w:hAnsiTheme="minorEastAsia" w:eastAsiaTheme="minorEastAsia" w:cstheme="minorEastAsia"/>
          <w:color w:val="auto"/>
          <w:sz w:val="30"/>
          <w:szCs w:val="30"/>
          <w:highlight w:val="none"/>
        </w:rPr>
        <w:t xml:space="preserve">中标单位</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27.1中标候选人的选取原则和数量见招标文件第五章规定。 </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27.2采购人应根据评委会推荐的中标候选人确定中标人。</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“江苏政府采购网”、“盐城市政府采购网”发布中标公告，公告期限为1个工作日。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27.4若有充分证据证明，中标人出现下列情况之一的，一经查实，将被取消中标资格：</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27.4.1提供虚假材料谋取中标的。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27.4.2向采购人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行贿或者提供其他不正当利益的。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27.4.3属于本文件规定的无效条件，但在评标过程中又未被评委会发现的。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27.4.4与采购人或者其他供应商恶意串通的。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27.4.5采取不正当手段诋毁、排挤其他供应商的。</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0" w:name="_Toc200451960"/>
      <w:r>
        <w:rPr>
          <w:rFonts w:hint="eastAsia" w:asciiTheme="minorEastAsia" w:hAnsiTheme="minorEastAsia" w:eastAsiaTheme="minorEastAsia" w:cstheme="minorEastAsia"/>
          <w:color w:val="auto"/>
          <w:highlight w:val="none"/>
        </w:rPr>
        <w:t xml:space="preserve">27.5 有下列情形之一的，视为投标人串通投标，投标无效：</w:t>
      </w:r>
      <w:bookmarkEnd w:id="160"/>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27.5.1不同投标人的投标文件由同一单位或者个人编制。</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27.5.2不同投标人委托同一单位或者个人办理投标事宜。</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27.5.3不同投标人的投标文件载明的项目管理成员或者联系人员为同一人。</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27.5.4不同投标人的投标文件异常一致或者投标报价呈规律性差异。</w:t>
      </w:r>
      <w:r/>
    </w:p>
    <w:p>
      <w:pPr>
        <w:pStyle w:val="72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28、质疑处理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28.1提出质疑的供应商应当是参与所质疑项目采购活动的供应商。潜在供应商依法获取其可质疑的采购文件的，可以对采购文件提出质疑。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或采购人提出质疑。上述应知其权益受到损害之日，是指：</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28.2.1对可以质疑的采购文件提出质疑的，为收到采购文件之日或者采购文件公告期限届满之日；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28.2.2对采购过程提出质疑的，为各采购程序环节结束之日；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28.2.3对中标或者成交结果提出质疑的，为中标或者成交结果公告期限届满之日。</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、采购人将只对供应商第一次质疑作出答复。</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采购人及采购代理机构只接收以纸质原件形式送达的质疑,采购人和采购代理机构不接受未填写快递运单的快件。质疑接收部门联系地址:（</w:t>
      </w:r>
      <w:r>
        <w:rPr>
          <w:rFonts w:hint="eastAsia" w:ascii="宋体" w:hAnsi="宋体" w:eastAsia="宋体" w:cs="宋体"/>
          <w:color w:val="auto"/>
          <w:highlight w:val="none"/>
          <w:lang w:val="en-US" w:eastAsia="zh-CN"/>
        </w:rPr>
        <w:t xml:space="preserve">江苏省盐城市人民中路鹿鸣广场商办楼9F综合部</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19962361001</w:t>
      </w:r>
      <w:r>
        <w:rPr>
          <w:rFonts w:hint="eastAsia" w:ascii="宋体" w:hAnsi="宋体" w:eastAsia="宋体" w:cs="宋体"/>
          <w:color w:val="auto"/>
          <w:highlight w:val="none"/>
        </w:rPr>
        <w:t xml:space="preserve">）。</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 以下情形的质疑不予受理</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28.5.1内容不符合《政府采购质疑和投诉办法》第十二条规定的质疑。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28.5.2超出政府采购法定期限的质疑。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28.5.3以传真、电子邮件等方式递交的非原件形式的质疑。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28.5.4未参加投标活动的供应商或在投标活动中自身权益未受到损害的供应商所提出的质疑。</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28.5.5供应商组成联合体参加投标，联合体中任何一方或多方未按要求签字、盖章、加盖公章的质疑。</w:t>
      </w:r>
      <w:r/>
    </w:p>
    <w:p>
      <w:pPr>
        <w:pStyle w:val="725"/>
        <w:ind w:firstLine="4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28.6供应商提出书面质疑必须有理、有据，不得捏造事实、提供虚假材料进行恶意质疑。否则，一经查实，采购人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有权依据政府采购的有关规定，报请政府采购监管部门对该供应商进行相应的行政处罚和记录该供应商的失信信息。</w:t>
      </w:r>
      <w:r/>
    </w:p>
    <w:p>
      <w:pPr>
        <w:pStyle w:val="72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29、中标通知书</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29.l中标结果确定后，</w:t>
      </w:r>
      <w:r>
        <w:rPr>
          <w:rFonts w:hint="eastAsia" w:asciiTheme="minorEastAsia" w:hAnsiTheme="minorEastAsia" w:eastAsia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25"/>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61" w:name="_Toc20823308"/>
      <w:r/>
      <w:bookmarkStart w:id="162" w:name="_Toc513029236"/>
      <w:r/>
      <w:bookmarkStart w:id="163" w:name="_Toc120614220"/>
      <w:r/>
      <w:bookmarkStart w:id="164" w:name="_Toc16938552"/>
      <w:r>
        <w:rPr>
          <w:rFonts w:hint="eastAsia" w:asciiTheme="minorEastAsia" w:hAnsiTheme="minorEastAsia" w:eastAsiaTheme="minorEastAsia" w:cstheme="minorEastAsia"/>
          <w:b/>
          <w:color w:val="auto"/>
          <w:sz w:val="32"/>
          <w:szCs w:val="32"/>
          <w:highlight w:val="none"/>
        </w:rPr>
        <w:t xml:space="preserve">七、授予合同</w:t>
      </w:r>
      <w:bookmarkEnd w:id="161"/>
      <w:r/>
      <w:bookmarkEnd w:id="162"/>
      <w:r/>
      <w:bookmarkEnd w:id="163"/>
      <w:r/>
      <w:bookmarkEnd w:id="164"/>
      <w:r/>
      <w:r/>
    </w:p>
    <w:p>
      <w:pPr>
        <w:pStyle w:val="72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5" w:name="_Toc20823309"/>
      <w:r/>
      <w:bookmarkStart w:id="166" w:name="_Toc16938553"/>
      <w:r/>
      <w:bookmarkStart w:id="167" w:name="_Toc513029237"/>
      <w:r>
        <w:rPr>
          <w:rFonts w:hint="eastAsia" w:asciiTheme="minorEastAsia" w:hAnsiTheme="minorEastAsia" w:eastAsiaTheme="minorEastAsia" w:cstheme="minorEastAsia"/>
          <w:color w:val="auto"/>
          <w:sz w:val="30"/>
          <w:szCs w:val="30"/>
          <w:highlight w:val="none"/>
        </w:rPr>
        <w:t xml:space="preserve">30.签订合同</w:t>
      </w:r>
      <w:bookmarkEnd w:id="165"/>
      <w:r/>
      <w:bookmarkEnd w:id="166"/>
      <w:r/>
      <w:bookmarkEnd w:id="167"/>
      <w:r/>
      <w:r/>
    </w:p>
    <w:p>
      <w:pPr>
        <w:pStyle w:val="72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30.l中标人应当在中标通知书发出之日起三十日内，按照招标文件确定的事项与采购人签订政府采购合同。</w:t>
      </w:r>
      <w:r/>
    </w:p>
    <w:p>
      <w:pPr>
        <w:pStyle w:val="72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30.2招标文件、中标人的投标文件及招标过程中有关澄清、承诺文件均应作为合同附件。</w:t>
      </w:r>
      <w:r/>
    </w:p>
    <w:p>
      <w:pPr>
        <w:pStyle w:val="72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30.3签订合同后，</w:t>
      </w:r>
      <w:r>
        <w:rPr>
          <w:rFonts w:hint="eastAsia" w:asciiTheme="minorEastAsia" w:hAnsiTheme="minorEastAsia" w:eastAsiaTheme="minorEastAsia" w:cstheme="minorEastAsia"/>
          <w:i/>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725"/>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31、服务（包含与服务相关的货物）的追加</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5"/>
        <w:ind w:firstLine="600"/>
        <w:jc w:val="both"/>
        <w:keepLines/>
        <w:keepNext/>
        <w:pageBreakBefore w:val="0"/>
        <w:spacing w:beforeAutospacing="0" w:afterAutospacing="0" w:line="480" w:lineRule="exact"/>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32.政府采购政策功能落实</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32.1</w:t>
      </w:r>
      <w:r>
        <w:rPr>
          <w:rFonts w:hint="eastAsia" w:ascii="宋体" w:hAnsi="宋体" w:eastAsia="宋体" w:cs="宋体"/>
          <w:color w:val="auto"/>
          <w:highlight w:val="none"/>
        </w:rPr>
        <w:t xml:space="preserve">政府采购</w:t>
      </w:r>
      <w:r>
        <w:rPr>
          <w:rFonts w:hint="eastAsia" w:ascii="宋体" w:hAnsi="宋体" w:eastAsia="宋体" w:cs="宋体"/>
          <w:color w:val="auto"/>
          <w:highlight w:val="none"/>
          <w:lang w:eastAsia="zh-CN"/>
        </w:rPr>
        <w:t xml:space="preserve">线上合同信用融资</w:t>
      </w:r>
      <w:r>
        <w:rPr>
          <w:rFonts w:hint="eastAsia" w:ascii="宋体" w:hAnsi="宋体" w:eastAsia="宋体" w:cs="宋体"/>
          <w:color w:val="auto"/>
          <w:highlight w:val="none"/>
        </w:rPr>
        <w:t xml:space="preserve">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highlight w:val="none"/>
          <w:lang w:val="en-US" w:eastAsia="zh-CN"/>
        </w:rPr>
        <w:t xml:space="preserve">江苏</w:t>
      </w:r>
      <w:r>
        <w:rPr>
          <w:rFonts w:hint="eastAsia" w:ascii="宋体" w:hAnsi="宋体" w:eastAsia="宋体" w:cs="宋体"/>
          <w:color w:val="auto"/>
          <w:highlight w:val="none"/>
        </w:rPr>
        <w:t xml:space="preserve">政府采购网“政采贷”栏目）申请贷款，相关金融机构按照双方自愿的原则提供便捷、优惠的贷款服务；具体操作流程请参考苏采云系统中操作手册。</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32.2进口产品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进口产品</w:t>
      </w:r>
      <w:r>
        <w:rPr>
          <w:rFonts w:hint="eastAsia" w:ascii="宋体" w:hAnsi="宋体" w:eastAsia="宋体" w:cs="宋体"/>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32.3中小企业、监狱企业及残疾人福利性单位</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32.3.1中小企业定义：</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中小企业是</w:t>
      </w:r>
      <w:r>
        <w:rPr>
          <w:rFonts w:hint="eastAsia" w:ascii="宋体" w:hAnsi="宋体" w:eastAsia="宋体" w:cs="宋体"/>
          <w:color w:val="auto"/>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32.3.2供应商提供的货物、工程或者服务符合下列情形的，享受中小企业扶持政策：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32.3.2.1在货物采购项目中，货物由中小企业制造，即货物由中小企业生产且使用该中小企业商号或者注册商标；</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32.3.2.2在工程采购项目中，工程由中小企业承建，即工程施工单位为中小企业；</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32.3.2.3在服务采购项目中，服务由中小企业承接，即提供服务的人员为中小企业依照《中华人民共和国劳动合同法》订立劳动合同的从业人员。</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32.3.3在货物采购项目中，供应商提供的货物既有中小企业制造货物，也有大型企业制造货物的，不享受中小企业扶持政策。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32.3.6残疾人福利单位定义：享受政府采购支持政策的残疾人福利性单位应当同时满足以下条件：</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32.3.6.1安置的残疾人占本单位在职职工人数的比例不低于25%（含25%），并且安置的残疾人人数不少于10 人（含10 人）；</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32.3.6.2依法与安置的每位残疾人签订了一年以上（含一年）的劳动合同或服务协议；</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32.3.6.3为安置的每位残疾人按月足额缴纳了基本养老保险、基本医疗保险、失业保险、工伤保险和生育保险等社会保险费；</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32.3.6.4通过银行等金融机构向安置的每位残疾人，按月支付了不低于单位所在区县适用的经省级人民政府批准的月最低工资标准的工资；</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32.3.7本项目是否专门面向中小企业预留采购份额见第一章《招标公告》。</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32.3.8采购标的对应的中小企业划分标准所属行业见第四章《采购需求》。</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32.3.9小微企业价格评审优惠的政策：见第五章《评标方法和评标标准》。</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32.4政府采购节能产品、环境标志产品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32.4.1严格执行政府采购关于支持</w:t>
      </w:r>
      <w:r>
        <w:rPr>
          <w:rFonts w:hint="eastAsia" w:ascii="宋体" w:hAnsi="宋体" w:eastAsia="宋体" w:cs="宋体"/>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32.5绿色包装</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32.6政府采购创新产品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采购人优先采购各级政府部门公开发布的有效期内的创新产品、创新服务、首台套、首购首用等《目录》的创新产品。</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32.7绿色数据中心政策 </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32.8实施本国产品标准及相关政策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1.本项目对采购本国产品给予政策支持，具体内容见招标文件“第五章 评标方法与评标标准”。</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32.9履约保证金政策</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确需收取履约保证金的，履约保证金的缴纳形式：</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如以履约保函（保险）形式缴纳履约保证金，供应商可通过政府采购电子履约保函（保险）平台（www.jsdzbh.com）在线申请履约保函（保险）。</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为降低履约保证金至合同价的5%。</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33.预付款制度</w:t>
      </w:r>
      <w:r/>
    </w:p>
    <w:p>
      <w:pPr>
        <w:pStyle w:val="72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r/>
    </w:p>
    <w:p>
      <w:pPr>
        <w:numPr>
          <w:ilvl w:val="0"/>
          <w:numId w:val="1"/>
        </w:numPr>
        <w:jc w:val="center"/>
        <w:rPr>
          <w:rFonts w:hint="eastAsia" w:asciiTheme="minorEastAsia" w:hAnsiTheme="minorEastAsia" w:eastAsiaTheme="minorEastAsia" w:cstheme="minorEastAsia"/>
          <w:b/>
          <w:bCs/>
          <w:color w:val="auto"/>
          <w:sz w:val="44"/>
          <w:szCs w:val="44"/>
          <w:highlight w:val="none"/>
        </w:rPr>
        <w:outlineLvl w:val="0"/>
      </w:pPr>
      <w:r/>
      <w:bookmarkStart w:id="168" w:name="_Toc479757211"/>
      <w:r/>
      <w:bookmarkStart w:id="169" w:name="_Hlt16619350"/>
      <w:r/>
      <w:bookmarkStart w:id="170" w:name="_Toc20823346"/>
      <w:r/>
      <w:bookmarkStart w:id="171" w:name="_Toc16938590"/>
      <w:r/>
      <w:bookmarkStart w:id="172" w:name="_Toc120614244"/>
      <w:r/>
      <w:bookmarkStart w:id="173" w:name="_Toc462564139"/>
      <w:r/>
      <w:bookmarkStart w:id="174" w:name="_Hlt16619369"/>
      <w:r>
        <w:rPr>
          <w:rFonts w:hint="eastAsia" w:asciiTheme="minorEastAsia" w:hAnsiTheme="minorEastAsia" w:cstheme="minorEastAsia"/>
          <w:b/>
          <w:bCs/>
          <w:color w:val="auto"/>
          <w:sz w:val="44"/>
          <w:szCs w:val="44"/>
          <w:highlight w:val="none"/>
          <w:lang w:val="en-US" w:eastAsia="zh-CN"/>
        </w:rPr>
        <w:t xml:space="preserve"> </w:t>
      </w:r>
      <w:bookmarkStart w:id="175" w:name="_Toc12455"/>
      <w:r>
        <w:rPr>
          <w:rFonts w:hint="eastAsia" w:asciiTheme="minorEastAsia" w:hAnsiTheme="minorEastAsia" w:eastAsiaTheme="minorEastAsia" w:cstheme="minorEastAsia"/>
          <w:b/>
          <w:bCs/>
          <w:color w:val="auto"/>
          <w:sz w:val="44"/>
          <w:szCs w:val="44"/>
          <w:highlight w:val="none"/>
          <w:lang w:val="en-US" w:eastAsia="zh-CN"/>
        </w:rPr>
        <w:t xml:space="preserve">合同主要条款</w:t>
      </w:r>
      <w:bookmarkEnd w:id="175"/>
      <w:r/>
      <w:r/>
    </w:p>
    <w:p>
      <w:pPr>
        <w:contextualSpacing/>
        <w:ind w:firstLine="420"/>
        <w:spacing w:line="400" w:lineRule="exact"/>
        <w:rPr>
          <w:rFonts w:hint="eastAsia" w:ascii="仿宋" w:hAnsi="仿宋" w:eastAsia="仿宋"/>
        </w:rPr>
      </w:pPr>
      <w:r>
        <w:rPr>
          <w:rFonts w:hint="eastAsia" w:ascii="仿宋" w:hAnsi="仿宋" w:eastAsia="仿宋"/>
        </w:rPr>
        <w:t xml:space="preserve"> </w:t>
      </w:r>
      <w:r/>
    </w:p>
    <w:p>
      <w:pPr>
        <w:contextualSpacing/>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委托单位：</w:t>
      </w:r>
      <w:r>
        <w:rPr>
          <w:rFonts w:hint="eastAsia" w:ascii="宋体" w:hAnsi="宋体"/>
          <w:sz w:val="24"/>
          <w:szCs w:val="24"/>
          <w:u w:val="single"/>
        </w:rPr>
        <w:t xml:space="preserve">江苏省盐南高新技术产业开发区教育发展中心</w:t>
      </w:r>
      <w:r>
        <w:rPr>
          <w:rFonts w:hint="eastAsia" w:ascii="宋体" w:hAnsi="宋体"/>
          <w:sz w:val="24"/>
          <w:szCs w:val="24"/>
        </w:rPr>
        <w:t xml:space="preserve">（以下简称“甲方”）</w:t>
      </w:r>
      <w:r/>
    </w:p>
    <w:p>
      <w:pPr>
        <w:contextualSpacing/>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受托单位：</w:t>
      </w:r>
      <w:r>
        <w:rPr>
          <w:rFonts w:hint="eastAsia" w:ascii="宋体" w:hAnsi="宋体"/>
          <w:sz w:val="24"/>
          <w:szCs w:val="24"/>
          <w:u w:val="single"/>
        </w:rPr>
        <w:t xml:space="preserve">                                       </w:t>
      </w:r>
      <w:r>
        <w:rPr>
          <w:rFonts w:hint="eastAsia" w:ascii="宋体" w:hAnsi="宋体"/>
          <w:sz w:val="24"/>
          <w:szCs w:val="24"/>
        </w:rPr>
        <w:t xml:space="preserve">（以下简称“乙方”）</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 </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根据《中华人民共和国民法典》、《中华人民共和国政府采购法》等相关法律法规和有关规定，为明确甲、乙双方在</w:t>
      </w:r>
      <w:r>
        <w:rPr>
          <w:rFonts w:hint="eastAsia" w:ascii="宋体" w:hAnsi="宋体"/>
          <w:sz w:val="24"/>
          <w:szCs w:val="24"/>
          <w:lang w:eastAsia="zh-CN"/>
        </w:rPr>
        <w:t xml:space="preserve">2026年盐南高新区区直学校（园）安保服务项目</w:t>
      </w:r>
      <w:r>
        <w:rPr>
          <w:rFonts w:hint="eastAsia" w:ascii="宋体" w:hAnsi="宋体"/>
          <w:sz w:val="24"/>
          <w:szCs w:val="24"/>
        </w:rPr>
        <w:t xml:space="preserve">中的权利、义务和经济责任，经甲、乙双方协商同意签订本合同。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一.项目名称：</w:t>
      </w:r>
      <w:r>
        <w:rPr>
          <w:rFonts w:hint="eastAsia" w:ascii="宋体" w:hAnsi="宋体"/>
          <w:sz w:val="24"/>
          <w:szCs w:val="24"/>
          <w:lang w:eastAsia="zh-CN"/>
        </w:rPr>
        <w:t xml:space="preserve">2026年盐南高新区区直学校（园）安保服务项目</w:t>
      </w:r>
      <w:r>
        <w:rPr>
          <w:rFonts w:hint="eastAsia" w:ascii="宋体" w:hAnsi="宋体"/>
          <w:sz w:val="24"/>
          <w:szCs w:val="24"/>
        </w:rPr>
        <w:t xml:space="preserve">。</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二.项目地点：盐南高新区部分区直学校，具体人员安排服从采购人要求。</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三.委托服务范围及内容：2026年盐南高新区区直学校（园）安保服务，</w:t>
      </w:r>
      <w:r>
        <w:rPr>
          <w:rFonts w:hint="eastAsia" w:ascii="宋体" w:hAnsi="宋体"/>
          <w:sz w:val="24"/>
          <w:szCs w:val="24"/>
          <w:lang w:val="en-US" w:eastAsia="zh-CN"/>
        </w:rPr>
        <w:t xml:space="preserve">包含但不限于：治安服务（人员出入登记、防止偷盗、校园巡逻等）、安全检查（安全隐患排查、处置及上报）、应急处置（处置突发事件、开展应急演练等）</w:t>
      </w:r>
      <w:r>
        <w:rPr>
          <w:rFonts w:hint="eastAsia" w:ascii="宋体" w:hAnsi="宋体"/>
          <w:sz w:val="24"/>
          <w:szCs w:val="24"/>
        </w:rPr>
        <w:t xml:space="preserve">具体人员安排服从采购人要求。</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四.合同金额</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4.1合同</w:t>
      </w:r>
      <w:r>
        <w:rPr>
          <w:rFonts w:hint="eastAsia" w:ascii="宋体" w:hAnsi="宋体"/>
          <w:sz w:val="24"/>
          <w:szCs w:val="24"/>
          <w:lang w:val="en-US" w:eastAsia="zh-CN"/>
        </w:rPr>
        <w:t xml:space="preserve">总</w:t>
      </w:r>
      <w:r>
        <w:rPr>
          <w:rFonts w:hint="eastAsia" w:ascii="宋体" w:hAnsi="宋体"/>
          <w:sz w:val="24"/>
          <w:szCs w:val="24"/>
        </w:rPr>
        <w:t xml:space="preserve">价为人民币</w:t>
      </w:r>
      <w:r>
        <w:rPr>
          <w:rFonts w:hint="eastAsia" w:ascii="宋体" w:hAnsi="宋体" w:eastAsia="宋体" w:cs="Times New Roman"/>
          <w:b/>
          <w:color w:val="000000"/>
          <w:sz w:val="24"/>
          <w:szCs w:val="24"/>
          <w:u w:val="single"/>
          <w:lang w:val="en-US" w:eastAsia="zh-CN"/>
        </w:rPr>
        <w:t xml:space="preserve">     </w:t>
      </w:r>
      <w:r>
        <w:rPr>
          <w:rFonts w:hint="eastAsia" w:ascii="宋体" w:hAnsi="宋体" w:cs="Times New Roman"/>
          <w:b/>
          <w:color w:val="000000"/>
          <w:sz w:val="24"/>
          <w:szCs w:val="24"/>
          <w:u w:val="single"/>
          <w:lang w:val="en-US" w:eastAsia="zh-CN"/>
        </w:rPr>
        <w:t xml:space="preserve">   </w:t>
      </w:r>
      <w:r>
        <w:rPr>
          <w:rFonts w:hint="eastAsia" w:ascii="宋体" w:hAnsi="宋体" w:eastAsia="宋体" w:cs="Times New Roman"/>
          <w:b/>
          <w:color w:val="000000"/>
          <w:sz w:val="24"/>
          <w:szCs w:val="24"/>
          <w:u w:val="single"/>
          <w:lang w:val="en-US" w:eastAsia="zh-CN"/>
        </w:rPr>
        <w:t xml:space="preserve"> </w:t>
      </w:r>
      <w:r>
        <w:rPr>
          <w:rFonts w:hint="eastAsia" w:ascii="宋体" w:hAnsi="宋体" w:eastAsia="宋体" w:cs="Times New Roman"/>
          <w:b w:val="0"/>
          <w:bCs/>
          <w:color w:val="000000"/>
          <w:sz w:val="24"/>
          <w:szCs w:val="24"/>
          <w:u w:val="single"/>
          <w:lang w:val="en-US" w:eastAsia="zh-CN"/>
        </w:rPr>
        <w:t xml:space="preserve"> </w:t>
      </w:r>
      <w:r>
        <w:rPr>
          <w:rFonts w:hint="eastAsia" w:ascii="宋体" w:hAnsi="宋体" w:eastAsia="宋体" w:cs="Times New Roman"/>
          <w:b w:val="0"/>
          <w:bCs/>
          <w:color w:val="000000"/>
          <w:sz w:val="24"/>
          <w:szCs w:val="24"/>
          <w:lang w:val="en-US" w:eastAsia="zh-CN"/>
        </w:rPr>
        <w:t xml:space="preserve">元</w:t>
      </w:r>
      <w:r>
        <w:rPr>
          <w:rFonts w:hint="eastAsia" w:ascii="宋体" w:hAnsi="宋体" w:cs="Times New Roman"/>
          <w:b w:val="0"/>
          <w:bCs/>
          <w:color w:val="000000"/>
          <w:sz w:val="24"/>
          <w:szCs w:val="24"/>
          <w:lang w:val="en-US" w:eastAsia="zh-CN"/>
        </w:rPr>
        <w:t xml:space="preserve">，</w:t>
      </w:r>
      <w:r>
        <w:rPr>
          <w:rFonts w:hint="eastAsia" w:ascii="宋体" w:hAnsi="宋体"/>
          <w:b w:val="0"/>
          <w:bCs/>
          <w:sz w:val="24"/>
          <w:szCs w:val="24"/>
        </w:rPr>
        <w:t xml:space="preserve">合同价款包括（但不限于）人员工</w:t>
      </w:r>
      <w:r>
        <w:rPr>
          <w:rFonts w:hint="eastAsia" w:ascii="宋体" w:hAnsi="宋体"/>
          <w:sz w:val="24"/>
          <w:szCs w:val="24"/>
        </w:rPr>
        <w:t xml:space="preserve">资、社会保险费、住房公积金、意外伤害险费、材料费、假日加班费、高温补贴、服装费、福利费、</w:t>
      </w:r>
      <w:r>
        <w:rPr>
          <w:rFonts w:hint="eastAsia" w:ascii="宋体" w:hAnsi="宋体"/>
          <w:sz w:val="24"/>
          <w:szCs w:val="24"/>
          <w:lang w:val="en-US" w:eastAsia="zh-CN"/>
        </w:rPr>
        <w:t xml:space="preserve">保安用具</w:t>
      </w:r>
      <w:r>
        <w:rPr>
          <w:rFonts w:hint="eastAsia" w:ascii="宋体" w:hAnsi="宋体"/>
          <w:sz w:val="24"/>
          <w:szCs w:val="24"/>
        </w:rPr>
        <w:t xml:space="preserve">费、现场管理费、税</w:t>
      </w:r>
      <w:r>
        <w:rPr>
          <w:rFonts w:hint="eastAsia" w:ascii="宋体" w:hAnsi="宋体"/>
          <w:sz w:val="24"/>
          <w:szCs w:val="24"/>
          <w:lang w:val="en-US" w:eastAsia="zh-CN"/>
        </w:rPr>
        <w:t xml:space="preserve">金</w:t>
      </w:r>
      <w:r>
        <w:rPr>
          <w:rFonts w:hint="eastAsia" w:ascii="宋体" w:hAnsi="宋体"/>
          <w:sz w:val="24"/>
          <w:szCs w:val="24"/>
        </w:rPr>
        <w:t xml:space="preserve">、利润、不可预见费及其它一切相关费用等所需的全部费用的价格体现，凡漏项或少计均视为优惠，甲方不另行增加费用。各类风险和政策性调整等风险已包括在投标报价中，最终结算时除合同约定调整外一律不予结算。合同期间如有政策性调整，甲、乙双方按相关政策文件执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4.2除本合同规定的应收费项目外，未经甲方同意，乙方不得收取其他任何费用。（应</w:t>
      </w:r>
      <w:r>
        <w:rPr>
          <w:rFonts w:hint="eastAsia" w:ascii="宋体" w:hAnsi="宋体"/>
          <w:sz w:val="24"/>
          <w:szCs w:val="24"/>
          <w:lang w:val="en-US" w:eastAsia="zh-CN"/>
        </w:rPr>
        <w:t xml:space="preserve">保安</w:t>
      </w:r>
      <w:r>
        <w:rPr>
          <w:rFonts w:hint="eastAsia" w:ascii="宋体" w:hAnsi="宋体"/>
          <w:sz w:val="24"/>
          <w:szCs w:val="24"/>
        </w:rPr>
        <w:t xml:space="preserve">使用单位的要求，向</w:t>
      </w:r>
      <w:r>
        <w:rPr>
          <w:rFonts w:hint="eastAsia" w:ascii="宋体" w:hAnsi="宋体"/>
          <w:sz w:val="24"/>
          <w:szCs w:val="24"/>
          <w:lang w:val="en-US" w:eastAsia="zh-CN"/>
        </w:rPr>
        <w:t xml:space="preserve">保安</w:t>
      </w:r>
      <w:r>
        <w:rPr>
          <w:rFonts w:hint="eastAsia" w:ascii="宋体" w:hAnsi="宋体"/>
          <w:sz w:val="24"/>
          <w:szCs w:val="24"/>
        </w:rPr>
        <w:t xml:space="preserve">使用人提供的特约有偿服务收费除外）</w:t>
      </w:r>
      <w:r/>
    </w:p>
    <w:p>
      <w:pPr>
        <w:contextualSpacing/>
        <w:ind w:firstLine="480"/>
        <w:keepLines w:val="0"/>
        <w:keepNext w:val="0"/>
        <w:pageBreakBefore w:val="0"/>
        <w:spacing w:line="480" w:lineRule="exact"/>
        <w:widowControl w:val="off"/>
        <w:rPr>
          <w:rFonts w:hint="default" w:ascii="宋体" w:hAnsi="宋体" w:eastAsiaTheme="minorEastAsia"/>
          <w:sz w:val="24"/>
          <w:szCs w:val="24"/>
          <w:lang w:val="en-US" w:eastAsia="zh-CN"/>
        </w:rPr>
      </w:pPr>
      <w:r>
        <w:rPr>
          <w:rFonts w:hint="eastAsia" w:ascii="宋体" w:hAnsi="宋体"/>
          <w:sz w:val="24"/>
          <w:szCs w:val="24"/>
        </w:rPr>
        <w:t xml:space="preserve">五.服务期限</w:t>
      </w:r>
      <w:r/>
    </w:p>
    <w:p>
      <w:pPr>
        <w:contextualSpacing/>
        <w:ind w:firstLine="480"/>
        <w:keepLines w:val="0"/>
        <w:keepNext w:val="0"/>
        <w:pageBreakBefore w:val="0"/>
        <w:spacing w:line="480" w:lineRule="exact"/>
        <w:widowControl w:val="off"/>
        <w:rPr>
          <w:rFonts w:hint="eastAsia" w:ascii="宋体" w:hAnsi="宋体" w:eastAsiaTheme="minorEastAsia" w:cstheme="minorBidi"/>
          <w:sz w:val="24"/>
          <w:szCs w:val="24"/>
          <w:lang w:val="en-US" w:eastAsia="zh-CN" w:bidi="ar-SA"/>
        </w:rPr>
      </w:pPr>
      <w:r>
        <w:rPr>
          <w:rFonts w:hint="eastAsia" w:ascii="宋体" w:hAnsi="宋体"/>
          <w:sz w:val="24"/>
          <w:szCs w:val="24"/>
        </w:rPr>
        <w:t xml:space="preserve">合同履行期限：</w:t>
      </w:r>
      <w:r>
        <w:rPr>
          <w:rFonts w:hint="eastAsia" w:ascii="宋体" w:hAnsi="宋体" w:eastAsiaTheme="minorEastAsia" w:cstheme="minorBidi"/>
          <w:sz w:val="24"/>
          <w:szCs w:val="24"/>
          <w:lang w:val="en-US" w:eastAsia="zh-CN" w:bidi="ar-SA"/>
        </w:rPr>
        <w:t xml:space="preserve">一年，</w:t>
      </w:r>
      <w:r>
        <w:rPr>
          <w:rFonts w:hint="eastAsia" w:ascii="宋体" w:hAnsi="宋体" w:cstheme="minorBidi"/>
          <w:sz w:val="24"/>
          <w:szCs w:val="24"/>
          <w:lang w:val="en-US" w:eastAsia="zh-CN" w:bidi="ar-SA"/>
        </w:rPr>
        <w:t xml:space="preserve">自</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年</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月</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日起至</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年</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月</w:t>
      </w:r>
      <w:r>
        <w:rPr>
          <w:rFonts w:hint="eastAsia" w:ascii="宋体" w:hAnsi="宋体" w:cstheme="minorBidi"/>
          <w:sz w:val="24"/>
          <w:szCs w:val="24"/>
          <w:u w:val="single"/>
          <w:lang w:val="en-US" w:eastAsia="zh-CN" w:bidi="ar-SA"/>
        </w:rPr>
        <w:t xml:space="preserve">  </w:t>
      </w:r>
      <w:r>
        <w:rPr>
          <w:rFonts w:hint="eastAsia" w:ascii="宋体" w:hAnsi="宋体" w:cstheme="minorBidi"/>
          <w:sz w:val="24"/>
          <w:szCs w:val="24"/>
          <w:lang w:val="en-US" w:eastAsia="zh-CN" w:bidi="ar-SA"/>
        </w:rPr>
        <w:t xml:space="preserve">日止。</w:t>
      </w:r>
      <w:r>
        <w:rPr>
          <w:rFonts w:hint="eastAsia" w:ascii="宋体" w:hAnsi="宋体" w:eastAsiaTheme="minorEastAsia" w:cstheme="minorBidi"/>
          <w:sz w:val="24"/>
          <w:szCs w:val="24"/>
          <w:lang w:val="en-US" w:eastAsia="zh-CN" w:bidi="ar-SA"/>
        </w:rPr>
        <w:t xml:space="preserve">上一年度经采购人综合考核合格后可续签下一年度合同，最多续签两次；每年度综合考核未达到考核要求，采购人可自行终止合同）。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六.履约保证金</w:t>
      </w:r>
      <w:r/>
    </w:p>
    <w:p>
      <w:pPr>
        <w:pStyle w:val="725"/>
        <w:ind w:firstLine="480"/>
        <w:jc w:val="both"/>
        <w:keepLines w:val="0"/>
        <w:keepNext w:val="0"/>
        <w:pageBreakBefore w:val="0"/>
        <w:spacing w:before="120" w:beforeAutospacing="0" w:after="120" w:afterAutospacing="0"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725"/>
        <w:ind w:firstLine="480"/>
        <w:jc w:val="both"/>
        <w:keepLines w:val="0"/>
        <w:keepNext w:val="0"/>
        <w:pageBreakBefore w:val="0"/>
        <w:spacing w:before="120" w:beforeAutospacing="0" w:after="120" w:afterAutospacing="0" w:line="48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（备注：合同金额的10%，采购人应当对AA评级及以上政府采购供应商（需提供信用管理部门备案的第三方信用报告）降低履约保证金缴纳比例，降低后的履约保证金为合同金额的5%）</w:t>
      </w:r>
      <w:r/>
    </w:p>
    <w:p>
      <w:pPr>
        <w:pStyle w:val="725"/>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25"/>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25"/>
        <w:ind w:firstLine="480"/>
        <w:jc w:val="both"/>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25"/>
        <w:ind w:firstLine="480"/>
        <w:jc w:val="both"/>
        <w:keepLines w:val="0"/>
        <w:keepNext w:val="0"/>
        <w:pageBreakBefore w:val="0"/>
        <w:spacing w:before="120" w:beforeAutospacing="0" w:after="12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contextualSpacing/>
        <w:ind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七.付款方式</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.1合同款项的支付方式及进度安排</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.1.1 预付款支付时间：合同签订后，采购人收到发票后10个工作日内，预付款支付比例：合同金额的</w:t>
      </w:r>
      <w:r>
        <w:rPr>
          <w:rFonts w:hint="eastAsia" w:ascii="宋体" w:hAnsi="宋体" w:cs="宋体"/>
          <w:color w:val="auto"/>
          <w:highlight w:val="none"/>
          <w:u w:val="single"/>
          <w:lang w:val="en-US" w:eastAsia="zh-CN"/>
        </w:rPr>
        <w:t xml:space="preserve">3</w:t>
      </w:r>
      <w:r>
        <w:rPr>
          <w:rFonts w:hint="eastAsia" w:ascii="宋体" w:hAnsi="宋体" w:eastAsia="宋体" w:cs="宋体"/>
          <w:color w:val="auto"/>
          <w:highlight w:val="none"/>
          <w:u w:val="single"/>
          <w:lang w:val="en-US" w:eastAsia="zh-CN"/>
        </w:rPr>
        <w:t xml:space="preserve">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在签订合同时，供应商明确表示无需预付款或者主动要求降低预付款比例的，采购人可不适用前述规定。）</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.1.2 尾款支付时</w:t>
      </w:r>
      <w:r>
        <w:rPr>
          <w:rFonts w:hint="eastAsia" w:ascii="宋体" w:hAnsi="宋体" w:eastAsia="宋体" w:cs="宋体"/>
          <w:color w:val="auto"/>
          <w:highlight w:val="none"/>
          <w:u w:val="single"/>
          <w:lang w:val="en-US" w:eastAsia="zh-CN"/>
        </w:rPr>
        <w:t xml:space="preserve">间：服务结束并验收合格,采购人收到发票后10个工作日内，服务费用实行每月考核，季度结算，在下一季度由甲方根据考核结果支付上一季度的服务费用。</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 xml:space="preserve">尾款支付比例：</w:t>
      </w:r>
      <w:r>
        <w:rPr>
          <w:rFonts w:hint="eastAsia" w:ascii="宋体" w:hAnsi="宋体" w:eastAsia="宋体" w:cs="宋体"/>
          <w:color w:val="auto"/>
          <w:sz w:val="24"/>
          <w:szCs w:val="24"/>
          <w:highlight w:val="none"/>
          <w:u w:val="single"/>
        </w:rPr>
        <w:t xml:space="preserve">每</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付款</w:t>
      </w:r>
      <w:r>
        <w:rPr>
          <w:rFonts w:hint="eastAsia" w:ascii="宋体" w:hAnsi="宋体" w:eastAsia="宋体" w:cs="宋体"/>
          <w:color w:val="auto"/>
          <w:sz w:val="24"/>
          <w:szCs w:val="24"/>
          <w:highlight w:val="none"/>
          <w:u w:val="single"/>
          <w:lang w:val="en-US" w:eastAsia="zh-CN"/>
        </w:rPr>
        <w:t xml:space="preserve">比例按年合同价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为基数（不足</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费用按</w:t>
      </w:r>
      <w:r>
        <w:rPr>
          <w:rFonts w:hint="eastAsia" w:ascii="宋体" w:hAnsi="宋体" w:eastAsia="宋体" w:cs="宋体"/>
          <w:color w:val="auto"/>
          <w:sz w:val="24"/>
          <w:szCs w:val="24"/>
          <w:highlight w:val="none"/>
          <w:u w:val="single"/>
          <w:lang w:val="en-US" w:eastAsia="zh-CN"/>
        </w:rPr>
        <w:t xml:space="preserve">年合同价</w:t>
      </w:r>
      <w:r>
        <w:rPr>
          <w:rFonts w:hint="eastAsia" w:ascii="宋体" w:hAnsi="宋体" w:eastAsia="宋体" w:cs="宋体"/>
          <w:color w:val="auto"/>
          <w:sz w:val="24"/>
          <w:szCs w:val="24"/>
          <w:highlight w:val="none"/>
          <w:u w:val="single"/>
        </w:rPr>
        <w:t xml:space="preserve">除以365日</w:t>
      </w:r>
      <w:r>
        <w:rPr>
          <w:rFonts w:hint="eastAsia" w:ascii="宋体" w:hAnsi="宋体" w:eastAsia="宋体" w:cs="宋体"/>
          <w:color w:val="auto"/>
          <w:sz w:val="24"/>
          <w:szCs w:val="24"/>
          <w:highlight w:val="none"/>
          <w:u w:val="single"/>
          <w:lang w:val="en-US" w:eastAsia="zh-CN"/>
        </w:rPr>
        <w:t xml:space="preserve">后按实计算，如遇人员数量调整的按照实际人员数量结算</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如有预付款则全额扣回，如有</w:t>
      </w:r>
      <w:r>
        <w:rPr>
          <w:rFonts w:hint="eastAsia" w:ascii="宋体" w:hAnsi="宋体" w:eastAsia="宋体" w:cs="宋体"/>
          <w:color w:val="auto"/>
          <w:sz w:val="24"/>
          <w:szCs w:val="24"/>
          <w:highlight w:val="none"/>
          <w:u w:val="single"/>
        </w:rPr>
        <w:t xml:space="preserve">甲方对乙方的处罚、违约金</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考核等扣款，则以实际扣除后的金额发放。</w:t>
      </w:r>
      <w:r/>
    </w:p>
    <w:p>
      <w:pPr>
        <w:pStyle w:val="753"/>
        <w:ind w:firstLine="482"/>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highlight w:val="none"/>
        </w:rPr>
      </w:pPr>
      <w:r>
        <w:rPr>
          <w:rFonts w:hint="eastAsia" w:ascii="宋体" w:hAnsi="宋体"/>
          <w:b w:val="0"/>
          <w:bCs w:val="0"/>
          <w:sz w:val="24"/>
          <w:szCs w:val="24"/>
        </w:rPr>
        <w:t xml:space="preserve">八.</w:t>
      </w:r>
      <w:r>
        <w:rPr>
          <w:rFonts w:hint="eastAsia" w:ascii="宋体" w:hAnsi="宋体" w:eastAsia="宋体" w:cs="宋体"/>
          <w:b w:val="0"/>
          <w:bCs w:val="0"/>
          <w:color w:val="auto"/>
          <w:highlight w:val="none"/>
        </w:rPr>
        <w:t xml:space="preserve">合同转包或分包</w:t>
      </w:r>
      <w:r/>
    </w:p>
    <w:p>
      <w:pPr>
        <w:contextualSpacing/>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.1乙方不得将合同标的转包给他人履行。</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.2乙方如有转包或未经甲方同意的分包行为，甲方有权解除合同。</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b w:val="0"/>
          <w:bCs w:val="0"/>
          <w:sz w:val="24"/>
          <w:szCs w:val="24"/>
        </w:rPr>
        <w:t xml:space="preserve">九、违约赔偿</w:t>
      </w:r>
      <w:r/>
    </w:p>
    <w:p>
      <w:pPr>
        <w:ind w:firstLine="468"/>
        <w:keepLines w:val="0"/>
        <w:keepNext w:val="0"/>
        <w:pageBreakBefore w:val="0"/>
        <w:spacing w:line="480" w:lineRule="exact"/>
        <w:widowControl w:val="off"/>
        <w:rPr>
          <w:rFonts w:hint="eastAsia" w:ascii="宋体" w:hAnsi="宋体" w:cs="Courier New"/>
          <w:b w:val="0"/>
          <w:bCs w:val="0"/>
          <w:color w:val="000000"/>
          <w:sz w:val="24"/>
          <w:szCs w:val="24"/>
        </w:rPr>
      </w:pPr>
      <w:r>
        <w:rPr>
          <w:rFonts w:hint="eastAsia" w:ascii="宋体" w:hAnsi="宋体"/>
          <w:b w:val="0"/>
          <w:bCs w:val="0"/>
          <w:sz w:val="24"/>
          <w:szCs w:val="24"/>
        </w:rPr>
        <w:t xml:space="preserve">9.1</w:t>
      </w:r>
      <w:r>
        <w:rPr>
          <w:rFonts w:hint="eastAsia" w:ascii="宋体" w:hAnsi="宋体" w:cs="Courier New"/>
          <w:b w:val="0"/>
          <w:bCs w:val="0"/>
          <w:color w:val="000000"/>
          <w:sz w:val="24"/>
          <w:szCs w:val="24"/>
        </w:rPr>
        <w:t xml:space="preserve">乙方不服从甲方管理，甲方有权终止合同，乙方所交的履约保证金作违约金不予退还。</w:t>
      </w:r>
      <w:r/>
    </w:p>
    <w:p>
      <w:pPr>
        <w:ind w:firstLine="468"/>
        <w:keepLines w:val="0"/>
        <w:keepNext w:val="0"/>
        <w:pageBreakBefore w:val="0"/>
        <w:spacing w:line="480" w:lineRule="exact"/>
        <w:widowControl w:val="off"/>
        <w:rPr>
          <w:rFonts w:hint="eastAsia" w:ascii="宋体" w:hAnsi="宋体" w:cs="Courier New"/>
          <w:b w:val="0"/>
          <w:bCs w:val="0"/>
          <w:color w:val="000000"/>
          <w:sz w:val="24"/>
          <w:szCs w:val="24"/>
        </w:rPr>
      </w:pPr>
      <w:r>
        <w:rPr>
          <w:rFonts w:hint="eastAsia" w:ascii="宋体" w:hAnsi="宋体" w:cs="Courier New"/>
          <w:b w:val="0"/>
          <w:bCs w:val="0"/>
          <w:color w:val="000000"/>
          <w:sz w:val="24"/>
          <w:szCs w:val="24"/>
        </w:rPr>
        <w:t xml:space="preserve">9.2乙方擅自转包和分包的，甲方有权终止合同。同时乙方交的履约保证金作合同违约金不予退还。</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cs="Courier New"/>
          <w:b w:val="0"/>
          <w:bCs w:val="0"/>
          <w:color w:val="000000"/>
          <w:sz w:val="24"/>
          <w:szCs w:val="24"/>
        </w:rPr>
        <w:t xml:space="preserve">9.3乙方在用工等方面如违反《中华人民共和国民法典》等相关规定，乙方承担由此造成的后果，甲方有权终止本合同。同时视乙方为违约，所交履约保证金作违约金不予退回。</w:t>
      </w:r>
      <w:r/>
    </w:p>
    <w:p>
      <w:pPr>
        <w:contextualSpacing/>
        <w:ind w:firstLine="480"/>
        <w:keepLines w:val="0"/>
        <w:keepNext w:val="0"/>
        <w:pageBreakBefore w:val="0"/>
        <w:spacing w:line="480" w:lineRule="exact"/>
        <w:widowControl w:val="off"/>
        <w:rPr>
          <w:rFonts w:hint="eastAsia" w:ascii="宋体" w:hAnsi="宋体"/>
          <w:b w:val="0"/>
          <w:bCs w:val="0"/>
          <w:sz w:val="24"/>
          <w:szCs w:val="24"/>
        </w:rPr>
      </w:pPr>
      <w:r>
        <w:rPr>
          <w:rFonts w:hint="eastAsia" w:ascii="宋体" w:hAnsi="宋体"/>
          <w:b w:val="0"/>
          <w:bCs w:val="0"/>
          <w:sz w:val="24"/>
          <w:szCs w:val="24"/>
        </w:rPr>
        <w:t xml:space="preserve">十.各方当事人的义务或协作事项及承担的责任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10.1甲方权利和义务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甲方权利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有权审定乙方制定的安保管理制度，并监督、检查制度实施情况；对保安员的工作与乙方共同进行监督、检查、管理和指导，对违规违纪的保安员有权进行批评和教育，有权要求乙方调换不适合的安保人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（2）在合同履行期间，如乙方中途退出或发生责任事故，给甲方带来不良影响的，或者因乙方工作不力，影响甲方正常工作秩序的，甲方有权终止本合同，并要求乙方给予经济赔偿。</w:t>
      </w:r>
      <w:r/>
    </w:p>
    <w:p>
      <w:pPr>
        <w:contextualSpacing/>
        <w:ind w:firstLine="480"/>
        <w:keepLines w:val="0"/>
        <w:keepNext w:val="0"/>
        <w:pageBreakBefore w:val="0"/>
        <w:spacing w:line="48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甲方有权</w:t>
      </w:r>
      <w:r>
        <w:rPr>
          <w:rFonts w:hint="eastAsia" w:ascii="宋体" w:hAnsi="宋体"/>
          <w:sz w:val="24"/>
          <w:szCs w:val="24"/>
          <w:highlight w:val="none"/>
          <w:lang w:eastAsia="zh-CN"/>
        </w:rPr>
        <w:t xml:space="preserve">根据学年度学生人数的变化，对学校安保服务人员数量进行适当增加和减少，人员</w:t>
      </w:r>
      <w:r>
        <w:rPr>
          <w:rFonts w:hint="eastAsia" w:ascii="宋体" w:hAnsi="宋体"/>
          <w:sz w:val="24"/>
          <w:szCs w:val="24"/>
          <w:highlight w:val="none"/>
          <w:lang w:val="en-US" w:eastAsia="zh-CN"/>
        </w:rPr>
        <w:t xml:space="preserve">中标单价</w:t>
      </w:r>
      <w:r>
        <w:rPr>
          <w:rFonts w:hint="eastAsia" w:ascii="宋体" w:hAnsi="宋体"/>
          <w:sz w:val="24"/>
          <w:szCs w:val="24"/>
          <w:highlight w:val="none"/>
          <w:lang w:eastAsia="zh-CN"/>
        </w:rPr>
        <w:t xml:space="preserve">服务费用不变</w:t>
      </w:r>
      <w:r>
        <w:rPr>
          <w:rFonts w:hint="eastAsia" w:ascii="宋体" w:hAnsi="宋体"/>
          <w:sz w:val="24"/>
          <w:szCs w:val="24"/>
          <w:highlight w:val="none"/>
          <w:lang w:val="en-US" w:eastAsia="zh-CN"/>
        </w:rPr>
        <w:t xml:space="preserve">。后期如有新增学校，将按标准匹配相应的安保服务人员，人员费用参照本合同同类人员执行。</w:t>
      </w:r>
      <w:r/>
    </w:p>
    <w:p>
      <w:pPr>
        <w:contextualSpacing/>
        <w:ind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）依据相关法律、法规规定享有的其他权利。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甲方义务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（1）甲方应为乙方派驻的保安人员提供值班室、办公桌椅、训练学习场所等必要的工作条件。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依据国务院《企事业单位内部治安保卫工作条例》等，甲方制订校园内部安全防范规章制度，明确乙方派驻的保安人员工作职责，并教育学校教职员工、学生幼儿配合和支持乙方保安人员的工作，尊重和保障保安员的合法权益。</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(3)甲方须按约定的时间和方式向乙方支付保安服务费。</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(4)甲方应配合乙方加强对保安人员的教育、管理。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(5)甲方有责任及时、认真研究解决乙方提出的安全问题，采取必要的改进和防范措施。</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(6)甲方协助调解保安员在执勤中与甲方人员及进入执勤区域的外来人员发生的争议。</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(7)甲方对乙方保安人员不得自行聘用，如果乙方保安人员提出辞职并得到批准，甲方在本合同期内不得聘用该人员。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(8)法律、法规规定的其他义务。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10.2乙方权利和义务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乙方权利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（1）按照国家和有关安保管理的技术标准、行业规范以及本服务合同进行管理，提供专业化的服务。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（2）按照本合同和有关规定向甲方收取安保服务费用。</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（3）根据甲方授权，制定必要的规章制度，并以有效方式督促辖区使用人遵守。</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（4）根据甲方授权，采取规劝、警告等措施制止使用人违反公众管理制度的行为。</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（5）乙方人员在工作期间有权向甲方提出工作意见或建议，对存在的安全隐患提出意见或建议，如果甲方没有针对乙方提出的合理意见或建议采取有效措施消除隐患，由此而造成的损失，乙方不负责任。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（6）依照法律、法规规定和本合同约定享有的其他权利。</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乙方义务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乙方对发生在执勤区域内的刑事案件、治安案件和灾害事故等，应及时处理并报告甲方和当盐城市公安机关，采取措施保护案件现场，协助公安机关侦查各类治安刑事案件，依法妥善处理责任范围内的突发事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（2）落实防火、防盗、防破坏等安全防范措施，发现责任区域内的安全隐患，及时报告甲方并协助予以处理。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（3）全面贯彻执行国家安保管理的法规、政策，全面遵守</w:t>
      </w:r>
      <w:r>
        <w:rPr>
          <w:rFonts w:hint="eastAsia" w:ascii="宋体" w:hAnsi="宋体"/>
          <w:sz w:val="24"/>
          <w:szCs w:val="24"/>
          <w:lang w:val="en-US" w:eastAsia="zh-CN"/>
        </w:rPr>
        <w:t xml:space="preserve">采购</w:t>
      </w:r>
      <w:r>
        <w:rPr>
          <w:rFonts w:hint="eastAsia" w:ascii="宋体" w:hAnsi="宋体"/>
          <w:sz w:val="24"/>
          <w:szCs w:val="24"/>
        </w:rPr>
        <w:t xml:space="preserve">文件的要求，执行投标文件的承诺，接受甲方的检查、考核和监督，接受安保管理行政主管部门等的监督和指导。</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（4）及时向甲方通告本区域内有关安保管理服务的重大事项，及时处理投诉，接受甲方的监督管理。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（5）制止本安保管理区域内违反有关治安等方面规章制度的行为，对违反法律法规规定的行为及时向甲方报告。</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6）做好本安保管理区域内的安全防范工作，发生安全事故时，在采取应急措施的同时，及时向学校和有关行政管理部门报告，保护好现场、协助做好救助工作；保安人员在维护本安保管理区域的公共秩序时，要履行职责，不得侵害公民的合法权益。</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（7）乙方的员工要遵纪守法，服从甲方的统一管理，乙方人员在工作期间给甲方造成的一切损失由乙方承担赔偿责任。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（8）本合同终止时，应当将安保管理用房和安保管理相关资料、物件、设施及时如数地移交给甲方，不得以任何理由拒绝或拖延。</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（9）乙方负责保安员的勤务指挥、人员调整和休假安排，保证岗位不缺人，并能为甲方提供24小时不间断安全保障服务。</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10）乙方负责支付保安员的工资福利费用，提供保安员执勤所需的符合公安等部门要求的制式服装及合格的保安装备（费用均由乙方承担）。乙方负责为安保人员发放工资及到人力资源和社会保障部门办理社会保险事宜，并与安保人员签订劳动合同。安保人员因公造成死亡或伤残时，全部由乙方负责处理，甲方不承担连带关系和责任。</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11）乙方负责保安员的思想教育、业务培训等日常管理和保安员违纪问题的处理。搞好治安执勤、治安巡逻，对发生在工作区域内的治安事件积极制止，发生刑事、治安案件、火灾等，应采取紧急措施，控制事态发展，保护好现场，迅速报警，若发现现行违法犯罪分子，应当场扭送就近公安机关处理，切实维护甲方正常的工作秩序。</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12）乙方保证所派保安员具备任职岗位职业资格，被派驻的所有安保人员，必须严格履行保安职责，严格执行学校的各项规章制度，服从学校的工作安排和管理。确保学校内部的安全保卫制度落到实处，确保师生和学校的人身、财产安全，认真履行安保人员的职责。</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（13）对于不服从管理、不称职且经教育不改者，或因过失造成甲方损失的，经甲方书面提出的，乙方应在甲方书面通知之日起7日内无条件调换不适合在甲方工作的保安员。</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（14）乙方人员派驻甲方执勤期间，工作上应认真负责，须严格执行甲乙双方的有关规章制度和工作要求，接受双方的领导，认真履行甲方赋予的工作任务，严格执行保安工作岗位职责。</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（15）开展经常性的安全检查，对发现不安全隐患应做好记录，及时向甲方反映，并在甲方的领导下做好安全防范工作。</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（16）乙方对因保安员失职失责造成甲方财产受到损失的要及时赔付；因乙方人员工作处置不当引起的矛盾由乙方负责协调，造成的损失由乙方承担。</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（17）乙方应定期举行安全应急模拟测试，并接受甲方的监督和指导，建立相应的台账。</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18）乙方必须按执勤人数配备以下防卫器材：防暴头盔（1顶/人）、防护盾牌（1副/人）、防刺背心（1套/人）、防割手套（1副/人）、橡胶警棍（1支/人）、强光电筒（1支/人）、自卫喷雾剂（1支/人）、安全钢叉2套。防卫器材必须是合格的符合国家技术标准的产品。以上装备和器材由乙方负责配备并妥善保养维护，费用均由乙方承担，与甲方无关，产权由乙方所有。</w:t>
      </w:r>
      <w:r/>
    </w:p>
    <w:p>
      <w:pPr>
        <w:contextualSpacing/>
        <w:ind w:firstLine="480"/>
        <w:keepLines w:val="0"/>
        <w:keepNext w:val="0"/>
        <w:pageBreakBefore w:val="0"/>
        <w:spacing w:line="480" w:lineRule="exact"/>
        <w:widowControl w:val="off"/>
        <w:rPr>
          <w:rFonts w:hint="eastAsia" w:ascii="宋体" w:hAnsi="宋体"/>
          <w:sz w:val="24"/>
          <w:szCs w:val="24"/>
          <w:lang w:val="en-US" w:eastAsia="zh-CN"/>
        </w:rPr>
      </w:pPr>
      <w:r>
        <w:rPr>
          <w:rFonts w:hint="eastAsia" w:ascii="宋体" w:hAnsi="宋体"/>
          <w:sz w:val="24"/>
          <w:szCs w:val="24"/>
        </w:rPr>
        <w:t xml:space="preserve">（19）</w:t>
      </w:r>
      <w:r>
        <w:rPr>
          <w:rFonts w:hint="eastAsia" w:ascii="宋体" w:hAnsi="宋体"/>
          <w:sz w:val="24"/>
          <w:szCs w:val="24"/>
          <w:lang w:val="en-US" w:eastAsia="zh-CN"/>
        </w:rPr>
        <w:t xml:space="preserve">服务期内，乙方自有人员及设备发生的一切安全事故责任由乙方自行承担并处理，与甲方无关。</w:t>
      </w:r>
      <w:r/>
    </w:p>
    <w:p>
      <w:pPr>
        <w:contextualSpacing/>
        <w:ind w:firstLine="480"/>
        <w:keepLines w:val="0"/>
        <w:keepNext w:val="0"/>
        <w:pageBreakBefore w:val="0"/>
        <w:spacing w:line="480" w:lineRule="exact"/>
        <w:widowControl w:val="off"/>
        <w:rPr>
          <w:rFonts w:hint="default" w:ascii="宋体" w:hAnsi="宋体"/>
          <w:sz w:val="24"/>
          <w:szCs w:val="24"/>
          <w:lang w:val="en-US" w:eastAsia="zh-CN"/>
        </w:rPr>
      </w:pPr>
      <w:r>
        <w:rPr>
          <w:rFonts w:hint="eastAsia" w:ascii="宋体" w:hAnsi="宋体"/>
          <w:sz w:val="24"/>
          <w:szCs w:val="24"/>
          <w:lang w:val="en-US" w:eastAsia="zh-CN"/>
        </w:rPr>
        <w:t xml:space="preserve">（20）乙方服务人员工作期间的食宿、交通等费用由乙方自理。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（21）乙方</w:t>
      </w:r>
      <w:r>
        <w:rPr>
          <w:rFonts w:hint="eastAsia" w:ascii="宋体" w:hAnsi="宋体"/>
          <w:sz w:val="24"/>
          <w:szCs w:val="24"/>
        </w:rPr>
        <w:t xml:space="preserve">法律、法规规定的其他义务。</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rPr>
        <w:t xml:space="preserve">十一.</w:t>
      </w:r>
      <w:r>
        <w:rPr>
          <w:rFonts w:hint="eastAsia" w:ascii="宋体" w:hAnsi="宋体"/>
          <w:sz w:val="24"/>
          <w:szCs w:val="24"/>
          <w:lang w:eastAsia="zh-CN"/>
        </w:rPr>
        <w:t xml:space="preserve">保安服务的主要职责</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1、门卫职责：</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24小时工作制，服从学校的管理及安排。原则上每天6:30时至18:30时实行门卫保安立岗制。</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（1）检查进入校区的校外人员，要问清楚进入校园的理由，并办理登记手续，经检验后准予进入；校内临时工和其他务工人员凭保卫处颁发的临时出入证进入校园。</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（2）检查出入校区的各种车辆，对校内车辆凭通行证从规定的校门和道路进入；施工车辆凭颁发的车辆出入证进出；校外车辆原则上不得进入校园。</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（3）检查出入校门的物资，校外物资送入校园，要认真登记检查，防止危险物品带入校园；校内物资、设备运出或搬出学校凭学校相关部门出具的出门证明，办理登记手续，经检验无误后放行。</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（4）负责校门周围、校门广场的道路交通管理及安全秩序，机动车和非机动车的停放管理确保校门区域出入畅通。</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（5）做好校门周围及校门广场区域的环境卫生，保持校门区域清洁。</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2、巡逻职责：</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（1）24小时工作制，要求着装整齐、进行巡逻并做好相关记录。</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（2）防止各类不利于校园治安秩序特别是盗窃、火灾、打架斗殴等事故和危害校园稳定事件的发生，一旦发现立即报告处置。</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（3）确保校园道路交通畅通，机动车和非机动车停放有序。</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（4）确保校园周边治安秩序稳定，积极做好防暴反恐工作。</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（5）学校大型活动及会务工作等安全保障；临时性的应急工作。</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（6）校园内发生重大安全事故的协助处理，突发灾害性事故的应急处置等。</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 3、其他</w:t>
      </w:r>
      <w:r/>
    </w:p>
    <w:p>
      <w:pPr>
        <w:contextualSpacing/>
        <w:ind w:firstLine="480"/>
        <w:keepLines w:val="0"/>
        <w:keepNext w:val="0"/>
        <w:pageBreakBefore w:val="0"/>
        <w:spacing w:line="480" w:lineRule="exact"/>
        <w:widowControl w:val="off"/>
        <w:rPr>
          <w:rFonts w:hint="eastAsia" w:ascii="宋体" w:hAnsi="宋体"/>
          <w:sz w:val="24"/>
          <w:szCs w:val="24"/>
          <w:lang w:eastAsia="zh-CN"/>
        </w:rPr>
      </w:pPr>
      <w:r>
        <w:rPr>
          <w:rFonts w:hint="eastAsia" w:ascii="宋体" w:hAnsi="宋体"/>
          <w:sz w:val="24"/>
          <w:szCs w:val="24"/>
          <w:lang w:eastAsia="zh-CN"/>
        </w:rPr>
        <w:t xml:space="preserve">乙方加强对派驻保安队员的法纪教育和业务学习训练，每月整建制集中理论学习不少于4小时，规范化执勤、消防灭火、防暴训练等不少于4小时，并列入保安队伍考核。</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十二.不可抗力事件处理</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.1在合同有效期内，任何一方因不可抗力事件导致不能履行合同，则合同履行期可延长，其延长期与不可抗力影响期相同。</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.2不可抗力事件发生后，应立即通知对方，并寄送有关权威机构出具的证明。</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.3不可抗力事件延续120天以上，双方应通过友好协商，确定是否继续履行合同。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十三.争议</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pStyle w:val="753"/>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sz w:val="24"/>
          <w:szCs w:val="24"/>
        </w:rPr>
        <w:t xml:space="preserve">十四.</w:t>
      </w:r>
      <w:r>
        <w:rPr>
          <w:rFonts w:hint="eastAsia" w:ascii="宋体" w:hAnsi="宋体" w:eastAsia="宋体" w:cs="宋体"/>
          <w:b/>
          <w:color w:val="auto"/>
          <w:highlight w:val="none"/>
        </w:rPr>
        <w:t xml:space="preserve">违约责任</w:t>
      </w:r>
      <w:r/>
    </w:p>
    <w:p>
      <w:pPr>
        <w:pStyle w:val="753"/>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none"/>
          <w:lang w:val="en-US" w:eastAsia="zh-CN"/>
        </w:rPr>
        <w:t xml:space="preserve">10%</w:t>
      </w:r>
      <w:r>
        <w:rPr>
          <w:rFonts w:hint="eastAsia" w:ascii="宋体" w:hAnsi="宋体" w:eastAsia="宋体" w:cs="宋体"/>
          <w:color w:val="auto"/>
          <w:highlight w:val="none"/>
        </w:rPr>
        <w:t xml:space="preserve">的违约金，如造成甲方损失超过违约金的，超出部分由乙方继续承担赔偿责任。 </w:t>
      </w:r>
      <w:r/>
    </w:p>
    <w:p>
      <w:pPr>
        <w:pStyle w:val="753"/>
        <w:ind w:firstLine="480"/>
        <w:jc w:val="both"/>
        <w:keepLines w:val="0"/>
        <w:keepNext w:val="0"/>
        <w:pageBreakBefore w:val="0"/>
        <w:spacing w:beforeAutospacing="0" w:afterAutospacing="0" w:line="480" w:lineRule="exact"/>
        <w:widowControl w:val="off"/>
        <w:rPr>
          <w:rFonts w:hint="eastAsia" w:ascii="宋体" w:hAnsi="宋体"/>
          <w:sz w:val="24"/>
          <w:szCs w:val="24"/>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乙方所提供服务的标准不符合合同规定及招标文件规定标准的，甲方有权拒绝接受服务，并可单方面解除合同。</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十五.其他</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.1本项目采购文件和乙方的投标文件中（以及投标时承诺）被甲方认可的部分为本合同的不可分割的组成部分，与本合同具有同样效力。</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.3乙方在服务过程中必须确保安全，如造成各种人身伤害、财产损失或其他事故，均由乙方负责处理和经济赔偿，甲方不承担任何责任。</w:t>
      </w:r>
      <w:r/>
    </w:p>
    <w:p>
      <w:pPr>
        <w:contextualSpacing/>
        <w:ind w:firstLine="480"/>
        <w:keepLines w:val="0"/>
        <w:keepNext w:val="0"/>
        <w:pageBreakBefore w:val="0"/>
        <w:spacing w:line="480" w:lineRule="exact"/>
        <w:widowControl w:val="off"/>
        <w:rPr>
          <w:rFonts w:hint="default" w:ascii="宋体" w:hAnsi="宋体"/>
          <w:sz w:val="24"/>
          <w:szCs w:val="24"/>
          <w:lang w:val="en-US" w:eastAsia="zh-CN"/>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.4</w:t>
      </w:r>
      <w:r>
        <w:rPr>
          <w:rFonts w:hint="eastAsia" w:ascii="宋体" w:hAnsi="宋体"/>
          <w:sz w:val="24"/>
          <w:szCs w:val="24"/>
          <w:lang w:val="en-US" w:eastAsia="zh-CN"/>
        </w:rPr>
        <w:t xml:space="preserve">本项目合同到期后，因审批或招投标等原因，甲方未能及时确定下一轮服务主体，各学校（园）的安保用工服务仍由乙方负责，服务标准和费用结算参照原合同执行，延期不超过三个月。</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lang w:val="en-US" w:eastAsia="zh-CN"/>
        </w:rPr>
        <w:t xml:space="preserve">15.5</w:t>
      </w:r>
      <w:r>
        <w:rPr>
          <w:rFonts w:hint="eastAsia" w:ascii="宋体" w:hAnsi="宋体"/>
          <w:sz w:val="24"/>
          <w:szCs w:val="24"/>
        </w:rPr>
        <w:t xml:space="preserve">本合同中的未尽事宜，采购文件中有规定的，按采购文件中的规定处理；没有规定的，双方可协商后进行补充，以书面形式签订补充协议，补充协议与本合同具同等效力。本合同之附件均为本合同不可分割的组成部分，与本合同具有同等的法律效力。</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6</w:t>
      </w:r>
      <w:r>
        <w:rPr>
          <w:rFonts w:hint="eastAsia" w:ascii="宋体" w:hAnsi="宋体"/>
          <w:sz w:val="24"/>
          <w:szCs w:val="24"/>
        </w:rPr>
        <w:t xml:space="preserve">合同修改：欲对合同条款进行任何改动，均须由甲、乙双方协商一致，并签署书面的合同修改书。若未协商一致并形成书面文件的，则继续履行本合同约定。</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合同签订日期：</w:t>
      </w:r>
      <w:r>
        <w:rPr>
          <w:rFonts w:hint="eastAsia" w:ascii="宋体" w:hAnsi="宋体"/>
          <w:sz w:val="24"/>
          <w:szCs w:val="24"/>
          <w:u w:val="single"/>
          <w:lang w:val="en-US" w:eastAsia="zh-CN"/>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日，合同签订地点：</w:t>
      </w:r>
      <w:r>
        <w:rPr>
          <w:rFonts w:hint="eastAsia" w:ascii="宋体" w:hAnsi="宋体"/>
          <w:sz w:val="24"/>
          <w:szCs w:val="24"/>
          <w:u w:val="single"/>
        </w:rPr>
        <w:t xml:space="preserve">                    </w:t>
      </w:r>
      <w:r>
        <w:rPr>
          <w:rFonts w:hint="eastAsia" w:ascii="宋体" w:hAnsi="宋体"/>
          <w:sz w:val="24"/>
          <w:szCs w:val="24"/>
        </w:rPr>
        <w:t xml:space="preserve">。</w:t>
      </w:r>
      <w:r/>
    </w:p>
    <w:p>
      <w:pPr>
        <w:contextualSpacing/>
        <w:ind w:firstLine="480"/>
        <w:keepLines w:val="0"/>
        <w:keepNext w:val="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本合同一式</w:t>
      </w:r>
      <w:r>
        <w:rPr>
          <w:rFonts w:hint="eastAsia" w:ascii="宋体" w:hAnsi="宋体"/>
          <w:sz w:val="24"/>
          <w:szCs w:val="24"/>
          <w:lang w:val="en-US" w:eastAsia="zh-CN"/>
        </w:rPr>
        <w:t xml:space="preserve">陆</w:t>
      </w:r>
      <w:r>
        <w:rPr>
          <w:rFonts w:hint="eastAsia" w:ascii="宋体" w:hAnsi="宋体"/>
          <w:sz w:val="24"/>
          <w:szCs w:val="24"/>
        </w:rPr>
        <w:t xml:space="preserve">份，以中文书写，甲、乙双方各执叁份，经甲、乙双方签字盖章后生效。</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 </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甲方（盖章）：                          乙方（盖章）：</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单位地址：                              单位地址：</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法定代表人（签章）：                    法定代表人（签章）：</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委托代理人（签字）：                    委托代理人（签字）：</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电    话：                              电    话：</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开户银行：                              开户银行：</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帐    号：                              帐    号：</w:t>
      </w:r>
      <w:r/>
    </w:p>
    <w:p>
      <w:pPr>
        <w:contextualSpacing/>
        <w:ind w:firstLine="240"/>
        <w:spacing w:line="340" w:lineRule="exact"/>
        <w:rPr>
          <w:rFonts w:hint="eastAsia" w:ascii="宋体" w:hAnsi="宋体"/>
          <w:sz w:val="24"/>
          <w:szCs w:val="24"/>
        </w:rPr>
      </w:pPr>
      <w:r>
        <w:rPr>
          <w:rFonts w:hint="eastAsia" w:ascii="宋体" w:hAnsi="宋体"/>
          <w:sz w:val="24"/>
          <w:szCs w:val="24"/>
        </w:rPr>
        <w:t xml:space="preserve">邮政编码：                              邮政编码：</w:t>
      </w:r>
      <w:r/>
    </w:p>
    <w:p>
      <w:pPr>
        <w:rPr>
          <w:rFonts w:hint="eastAsia" w:ascii="宋体" w:hAnsi="宋体"/>
          <w:sz w:val="24"/>
          <w:szCs w:val="24"/>
        </w:rPr>
      </w:pPr>
      <w:r>
        <w:rPr>
          <w:rFonts w:hint="eastAsia" w:ascii="宋体" w:hAnsi="宋体"/>
          <w:sz w:val="24"/>
          <w:szCs w:val="24"/>
        </w:rPr>
        <w:br w:type="page" w:clear="all"/>
      </w:r>
      <w:r/>
    </w:p>
    <w:p>
      <w:pPr>
        <w:ind w:left="0" w:right="0"/>
        <w:jc w:val="both"/>
        <w:keepLines w:val="0"/>
        <w:keepNext w:val="0"/>
        <w:spacing w:before="0" w:beforeAutospacing="0" w:after="0" w:afterAutospacing="0" w:line="288" w:lineRule="atLeast"/>
        <w:widowControl/>
        <w:rPr>
          <w:rFonts w:hint="eastAsia"/>
          <w:color w:val="000000"/>
          <w:sz w:val="28"/>
          <w:szCs w:val="28"/>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color w:val="000000"/>
          <w:sz w:val="28"/>
          <w:szCs w:val="28"/>
          <w:lang w:val="en-US" w:eastAsia="zh-CN"/>
        </w:rPr>
        <w:t xml:space="preserve">附件1：</w:t>
      </w:r>
      <w:r/>
    </w:p>
    <w:p>
      <w:pPr>
        <w:ind w:left="0" w:right="0"/>
        <w:jc w:val="center"/>
        <w:keepLines w:val="0"/>
        <w:keepNext w:val="0"/>
        <w:spacing w:before="0" w:beforeAutospacing="0" w:after="0" w:afterAutospacing="0" w:line="288" w:lineRule="atLeast"/>
        <w:widowControl/>
        <w:rPr>
          <w:color w:val="000000"/>
          <w:sz w:val="28"/>
          <w:szCs w:val="28"/>
        </w:rPr>
        <w:pBdr>
          <w:top w:val="none" w:color="auto" w:sz="0" w:space="0"/>
          <w:left w:val="none" w:color="auto" w:sz="0" w:space="0"/>
          <w:bottom w:val="none" w:color="auto" w:sz="0" w:space="0"/>
          <w:right w:val="none" w:color="auto" w:sz="0" w:space="0"/>
        </w:pBdr>
        <w:outlineLvl w:val="9"/>
        <w:suppressLineNumbers w:val="0"/>
      </w:pPr>
      <w:r>
        <w:rPr>
          <w:color w:val="000000"/>
          <w:sz w:val="28"/>
          <w:szCs w:val="28"/>
        </w:rPr>
        <w:t xml:space="preserve">2026 年盐南高新区区直学校（园）安保服务项目月度考核评分表</w:t>
      </w:r>
      <w:r/>
    </w:p>
    <w:tbl>
      <w:tblPr>
        <w:tblStyle w:val="712"/>
        <w:tblpPr w:horzAnchor="page" w:tblpX="945" w:vertAnchor="text" w:tblpY="172" w:leftFromText="180" w:topFromText="0" w:rightFromText="180" w:bottomFromText="0"/>
        <w:tblW w:w="5261"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24"/>
        <w:gridCol w:w="1565"/>
        <w:gridCol w:w="625"/>
        <w:gridCol w:w="5349"/>
        <w:gridCol w:w="717"/>
        <w:gridCol w:w="717"/>
        <w:gridCol w:w="860"/>
      </w:tblGrid>
      <w:tr>
        <w:trPr>
          <w:trHeight w:val="90"/>
          <w:tblHeader/>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序号</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考核项目</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分值</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评分细则</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自评分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考核分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rPr>
                <w:b/>
                <w:bCs/>
              </w:rPr>
              <w:suppressLineNumbers w:val="0"/>
            </w:pPr>
            <w:r>
              <w:rPr>
                <w:rFonts w:ascii="宋体" w:hAnsi="宋体" w:eastAsia="宋体" w:cs="宋体"/>
                <w:b/>
                <w:bCs/>
                <w:sz w:val="24"/>
                <w:szCs w:val="24"/>
                <w:lang w:val="en-US" w:eastAsia="zh-CN" w:bidi="ar"/>
              </w:rPr>
              <w:t xml:space="preserve">扣分原因</w:t>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人员管理规范</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人员配置到位</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足额到岗、持证上岗；缺岗 1 人次扣 2 分，无证 1 人扣 2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仪容仪表与在岗纪律</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7</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着装规范、无玩手机、脱岗睡岗；违规 1 次扣 1 分，脱岗睡岗 1 次扣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培训与台账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每月培训、记录完整；无培训扣 5 分，台账缺失扣 2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治安秩序管理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人员车辆出入登记</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严格核验、登记；漏登 1 人次扣 1 分，无核验放行扣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校园巡逻值守</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定时巡逻、全覆盖、台账完整；未巡逻 1 次扣 2 分，无记录扣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防盗防滋扰管控</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无外来滋扰、无盗窃；处置不力扣 3 分，发生盗窃本项 0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安全隐患排查</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20</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日常安全检查</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每日巡查消防、门窗、围墙、监控；无记录扣 2 分，隐患未上报扣 2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3.2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隐患上报与整改</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及时上报、闭环整改；隐瞒不报扣 5 分，造成风险本项 0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应急处置与演练</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18</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突发事件处置</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快速响应、规范使用器材；处置迟缓扣 4 分，处置不当本项 0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4.2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应急演练配合</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8</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按要求参与演练、资料完整；不配合扣 4 分，无资料扣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配合管理与满意度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12</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5.1</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服从学校管理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6</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服从调度、配合检查；拒不配合 1 次扣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5.2</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师生家长满意度</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6</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≥90% 得 6 分，80%-89% 得 3 分，＜80% 得 0 分；态度恶劣一次扣 3 分</w:t>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Mar>
              <w:left w:w="96" w:type="dxa"/>
              <w:top w:w="96" w:type="dxa"/>
              <w:right w:w="96" w:type="dxa"/>
              <w:bottom w:w="96" w:type="dxa"/>
            </w:tcMar>
            <w:tcW w:w="0" w:type="auto"/>
            <w:vAlign w:val="center"/>
            <w:textDirection w:val="lrTb"/>
            <w:noWrap w:val="false"/>
          </w:tcPr>
          <w:p>
            <w:pPr>
              <w:jc w:val="center"/>
              <w:rPr>
                <w:rFonts w:hint="eastAsia" w:ascii="宋体"/>
                <w:sz w:val="24"/>
                <w:szCs w:val="24"/>
              </w:rPr>
            </w:pPr>
            <w:r>
              <w:rPr>
                <w:rFonts w:hint="eastAsia" w:ascii="宋体"/>
                <w:sz w:val="24"/>
                <w:szCs w:val="24"/>
              </w:rPr>
            </w:r>
            <w:r/>
          </w:p>
        </w:tc>
      </w:tr>
      <w:tr>
        <w:trPr>
          <w:trHeight w:val="90"/>
        </w:trPr>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Style w:val="729"/>
                <w:rFonts w:ascii="宋体" w:hAnsi="宋体" w:eastAsia="宋体" w:cs="宋体"/>
                <w:sz w:val="24"/>
                <w:szCs w:val="24"/>
                <w:lang w:val="en-US" w:eastAsia="zh-CN" w:bidi="ar"/>
              </w:rPr>
              <w:t xml:space="preserve">总分</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Style w:val="729"/>
                <w:rFonts w:ascii="宋体" w:hAnsi="宋体" w:eastAsia="宋体" w:cs="宋体"/>
                <w:sz w:val="24"/>
                <w:szCs w:val="24"/>
                <w:lang w:val="en-US" w:eastAsia="zh-CN" w:bidi="ar"/>
              </w:rPr>
              <w:t xml:space="preserve">100</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w:t>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c>
          <w:tcPr>
            <w:shd w:val="clear" w:color="auto" w:fill="auto"/>
            <w:tcMar>
              <w:left w:w="96" w:type="dxa"/>
              <w:top w:w="96" w:type="dxa"/>
              <w:right w:w="96" w:type="dxa"/>
              <w:bottom w:w="96" w:type="dxa"/>
            </w:tcMar>
            <w:tcW w:w="0" w:type="auto"/>
            <w:vAlign w:val="center"/>
            <w:textDirection w:val="lrTb"/>
            <w:noWrap w:val="false"/>
          </w:tcPr>
          <w:p>
            <w:pPr>
              <w:jc w:val="center"/>
              <w:keepLines w:val="0"/>
              <w:keepNext w:val="0"/>
              <w:widowControl/>
              <w:suppressLineNumbers w:val="0"/>
            </w:pPr>
            <w:r/>
            <w:r/>
          </w:p>
        </w:tc>
      </w:tr>
    </w:tbl>
    <w:p>
      <w:pPr>
        <w:contextualSpacing/>
        <w:keepLines w:val="0"/>
        <w:keepNext w:val="0"/>
        <w:pageBreakBefore w:val="0"/>
        <w:spacing w:line="500" w:lineRule="exact"/>
        <w:widowControl w:val="off"/>
        <w:rPr>
          <w:rFonts w:hint="eastAsia" w:ascii="宋体" w:hAnsi="宋体"/>
          <w:b/>
          <w:bCs/>
          <w:sz w:val="24"/>
          <w:szCs w:val="24"/>
          <w:lang w:val="en-US" w:eastAsia="zh-CN"/>
        </w:rPr>
      </w:pPr>
      <w:r>
        <w:rPr>
          <w:rFonts w:hint="eastAsia" w:ascii="宋体" w:hAnsi="宋体"/>
          <w:b/>
          <w:bCs/>
          <w:sz w:val="24"/>
          <w:szCs w:val="24"/>
          <w:lang w:val="en-US" w:eastAsia="zh-CN"/>
        </w:rPr>
        <w:t xml:space="preserve">三、考核得分与付款比例</w:t>
      </w:r>
      <w:r/>
    </w:p>
    <w:p>
      <w:pPr>
        <w:contextualSpacing/>
        <w:ind w:firstLine="480"/>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以每季度考核平均得分与付款比例挂钩支付服务费用，季度考核平均得分=该季度3个月度考核得分之和/3。90 分及以上：按该季度服务费用100%支付；85～89.9 分：按该季度服务费用95%支付；80～84.9 分：按该季度服务费用90%支付；70～79.9 分：按该季度服务费用80%支付；60～69.9 分：按该季度服务费用70%支付；60 分以下：按该季度服务费用50%支付。</w:t>
      </w:r>
      <w:r/>
    </w:p>
    <w:p>
      <w:pPr>
        <w:contextualSpacing/>
        <w:ind w:firstLine="480"/>
        <w:keepLines w:val="0"/>
        <w:keepNext w:val="0"/>
        <w:pageBreakBefore w:val="0"/>
        <w:spacing w:line="500" w:lineRule="exact"/>
        <w:widowControl w:val="off"/>
        <w:rPr>
          <w:rFonts w:hint="default" w:ascii="宋体" w:hAnsi="宋体"/>
          <w:b w:val="0"/>
          <w:bCs w:val="0"/>
          <w:sz w:val="24"/>
          <w:szCs w:val="24"/>
          <w:lang w:val="en-US" w:eastAsia="zh-CN"/>
        </w:rPr>
      </w:pPr>
      <w:r>
        <w:rPr>
          <w:rFonts w:hint="eastAsia" w:ascii="宋体" w:hAnsi="宋体"/>
          <w:b w:val="0"/>
          <w:bCs w:val="0"/>
          <w:sz w:val="24"/>
          <w:szCs w:val="24"/>
          <w:lang w:val="en-US" w:eastAsia="zh-CN"/>
        </w:rPr>
        <w:t xml:space="preserve">注：单年度服务期内累计出现3次月度考核得分≤60分的，甲方有权单方面解除合同，履约保证金不予退还。</w:t>
      </w:r>
      <w:r/>
    </w:p>
    <w:p>
      <w:pPr>
        <w:contextualSpacing/>
        <w:keepLines w:val="0"/>
        <w:keepNext w:val="0"/>
        <w:pageBreakBefore w:val="0"/>
        <w:spacing w:line="500" w:lineRule="exact"/>
        <w:widowControl w:val="off"/>
        <w:rPr>
          <w:rFonts w:hint="eastAsia" w:ascii="宋体" w:hAnsi="宋体"/>
          <w:b/>
          <w:bCs/>
          <w:sz w:val="24"/>
          <w:szCs w:val="24"/>
          <w:lang w:val="en-US" w:eastAsia="zh-CN"/>
        </w:rPr>
      </w:pPr>
      <w:r>
        <w:rPr>
          <w:rFonts w:hint="eastAsia" w:ascii="宋体" w:hAnsi="宋体"/>
          <w:b/>
          <w:bCs/>
          <w:sz w:val="24"/>
          <w:szCs w:val="24"/>
          <w:lang w:val="en-US" w:eastAsia="zh-CN"/>
        </w:rPr>
        <w:t xml:space="preserve">四、一票否决项（出现任意一项，当月考核按 0 分计）</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1.酒后上岗、打骂师生、辱骂家长；</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2.因保安履职不到位发生外来人员强行闯入、学生走失、盗窃等责任事故；</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3.突发事件不作为、处置严重失误造成严重后果；</w:t>
      </w:r>
      <w:r/>
    </w:p>
    <w:p>
      <w:pPr>
        <w:contextualSpacing/>
        <w:keepLines w:val="0"/>
        <w:keepNext w:val="0"/>
        <w:pageBreakBefore w:val="0"/>
        <w:spacing w:line="50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4.伪造台账、隐瞒重大安全隐患；</w:t>
      </w:r>
      <w:r/>
    </w:p>
    <w:p>
      <w:pPr>
        <w:contextualSpacing/>
        <w:keepLines w:val="0"/>
        <w:keepNext w:val="0"/>
        <w:pageBreakBefore w:val="0"/>
        <w:spacing w:line="500" w:lineRule="exact"/>
        <w:widowControl w:val="off"/>
        <w:rPr>
          <w:rFonts w:hint="eastAsia" w:hAnsi="宋体"/>
          <w:b w:val="0"/>
          <w:bCs w:val="0"/>
          <w:sz w:val="24"/>
          <w:szCs w:val="24"/>
        </w:rPr>
      </w:pPr>
      <w:r>
        <w:rPr>
          <w:rFonts w:hint="eastAsia" w:ascii="宋体" w:hAnsi="宋体"/>
          <w:b w:val="0"/>
          <w:bCs w:val="0"/>
          <w:sz w:val="24"/>
          <w:szCs w:val="24"/>
          <w:lang w:val="en-US" w:eastAsia="zh-CN"/>
        </w:rPr>
        <w:t xml:space="preserve">5.安保人员存在违法犯罪行为被查实。</w:t>
      </w:r>
      <w:r/>
    </w:p>
    <w:p>
      <w:pPr>
        <w:rPr>
          <w:rFonts w:hint="eastAsia" w:ascii="仿宋" w:hAnsi="仿宋" w:eastAsia="仿宋"/>
          <w:b w:val="0"/>
          <w:bCs w:val="0"/>
        </w:rPr>
      </w:pPr>
      <w:r>
        <w:rPr>
          <w:rFonts w:hint="eastAsia" w:ascii="仿宋" w:hAnsi="仿宋" w:eastAsia="仿宋"/>
          <w:b w:val="0"/>
          <w:bCs w:val="0"/>
        </w:rPr>
        <w:br w:type="page" w:clear="all"/>
      </w:r>
      <w:r/>
    </w:p>
    <w:p>
      <w:pPr>
        <w:jc w:val="left"/>
        <w:widowControl/>
        <w:rPr>
          <w:rFonts w:ascii="宋体" w:hAnsi="宋体" w:cs="宋体"/>
          <w:b/>
          <w:bCs/>
          <w:sz w:val="20"/>
          <w:szCs w:val="20"/>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sz w:val="20"/>
          <w:szCs w:val="20"/>
        </w:rPr>
      </w:r>
      <w:r/>
    </w:p>
    <w:p>
      <w:pPr>
        <w:jc w:val="both"/>
        <w:spacing w:line="520" w:lineRule="exact"/>
        <w:rPr>
          <w:rFonts w:hint="eastAsia" w:ascii="宋体" w:hAnsi="宋体"/>
          <w:b/>
          <w:bCs/>
          <w:sz w:val="24"/>
          <w:szCs w:val="24"/>
          <w:lang w:val="en-US" w:eastAsia="zh-CN"/>
        </w:rPr>
      </w:pPr>
      <w:r>
        <w:rPr>
          <w:rFonts w:hint="eastAsia" w:ascii="宋体" w:hAnsi="宋体"/>
          <w:b/>
          <w:bCs/>
          <w:sz w:val="24"/>
          <w:szCs w:val="24"/>
          <w:lang w:val="en-US" w:eastAsia="zh-CN"/>
        </w:rPr>
        <w:t xml:space="preserve">附件2：</w:t>
      </w:r>
      <w:r/>
    </w:p>
    <w:p>
      <w:pPr>
        <w:jc w:val="center"/>
        <w:spacing w:line="520" w:lineRule="exact"/>
        <w:rPr>
          <w:rFonts w:hint="eastAsia" w:ascii="宋体" w:hAnsi="宋体"/>
          <w:sz w:val="36"/>
          <w:szCs w:val="36"/>
        </w:rPr>
      </w:pPr>
      <w:r>
        <w:rPr>
          <w:rFonts w:hint="eastAsia" w:ascii="宋体" w:hAnsi="宋体"/>
          <w:b/>
          <w:bCs/>
          <w:sz w:val="36"/>
          <w:szCs w:val="36"/>
        </w:rPr>
        <w:t xml:space="preserve">廉政合同</w:t>
      </w:r>
      <w:r/>
    </w:p>
    <w:p>
      <w:pPr>
        <w:spacing w:line="520" w:lineRule="exact"/>
        <w:rPr>
          <w:rFonts w:hint="eastAsia" w:ascii="宋体" w:hAnsi="宋体"/>
        </w:rPr>
      </w:pPr>
      <w:r>
        <w:rPr>
          <w:rFonts w:hint="eastAsia" w:ascii="宋体" w:hAnsi="宋体"/>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根据相关工程建设、廉政建设的规定，为做好工程建设中的党风廉政建设，保证工程建设高效优质，保证建设资金的安全和有效使用以及投资效益</w:t>
      </w:r>
      <w:r/>
    </w:p>
    <w:p>
      <w:pPr>
        <w:spacing w:line="40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(以下简称“甲方”)与</w:t>
      </w:r>
      <w:r>
        <w:rPr>
          <w:rFonts w:hint="eastAsia" w:ascii="宋体" w:hAnsi="宋体"/>
          <w:b/>
          <w:sz w:val="24"/>
          <w:szCs w:val="24"/>
          <w:u w:val="single"/>
        </w:rPr>
        <w:t xml:space="preserve">                  </w:t>
      </w:r>
      <w:r>
        <w:rPr>
          <w:rFonts w:hint="eastAsia" w:ascii="宋体" w:hAnsi="宋体"/>
        </w:rPr>
        <w:t xml:space="preserve">(</w:t>
      </w:r>
      <w:r>
        <w:rPr>
          <w:rFonts w:hint="eastAsia" w:ascii="宋体" w:hAnsi="宋体"/>
          <w:sz w:val="24"/>
          <w:szCs w:val="24"/>
        </w:rPr>
        <w:t xml:space="preserve">以下称“乙方”），特订立如下合同。</w:t>
      </w:r>
      <w:r/>
    </w:p>
    <w:p>
      <w:pPr>
        <w:numPr>
          <w:ilvl w:val="0"/>
          <w:numId w:val="2"/>
        </w:numPr>
        <w:ind w:left="0" w:firstLine="480"/>
        <w:spacing w:line="400" w:lineRule="exact"/>
        <w:rPr>
          <w:rFonts w:hint="eastAsia" w:ascii="宋体" w:hAnsi="宋体"/>
          <w:sz w:val="24"/>
          <w:szCs w:val="24"/>
        </w:rPr>
      </w:pPr>
      <w:r>
        <w:rPr>
          <w:rFonts w:hint="eastAsia" w:ascii="宋体" w:hAnsi="宋体"/>
          <w:sz w:val="24"/>
          <w:szCs w:val="24"/>
        </w:rPr>
        <w:t xml:space="preserve">  甲乙双方的权利和义务</w:t>
      </w:r>
      <w:r/>
    </w:p>
    <w:p>
      <w:pPr>
        <w:ind w:firstLine="480"/>
        <w:spacing w:line="400" w:lineRule="exact"/>
        <w:rPr>
          <w:rFonts w:hint="eastAsia" w:ascii="宋体" w:hAnsi="宋体"/>
          <w:sz w:val="24"/>
          <w:szCs w:val="24"/>
        </w:rPr>
      </w:pPr>
      <w:r>
        <w:rPr>
          <w:rFonts w:hint="eastAsia" w:ascii="宋体" w:hAnsi="宋体"/>
          <w:sz w:val="24"/>
          <w:szCs w:val="24"/>
        </w:rPr>
        <w:t xml:space="preserve">（一）严格遵守党和国家有关法律法规的有关规定。</w:t>
      </w:r>
      <w:r/>
    </w:p>
    <w:p>
      <w:pPr>
        <w:ind w:firstLine="480"/>
        <w:spacing w:line="400" w:lineRule="exact"/>
        <w:rPr>
          <w:rFonts w:hint="eastAsia" w:ascii="宋体" w:hAnsi="宋体"/>
          <w:sz w:val="24"/>
          <w:szCs w:val="24"/>
        </w:rPr>
      </w:pPr>
      <w:r>
        <w:rPr>
          <w:rFonts w:hint="eastAsia" w:ascii="宋体" w:hAnsi="宋体"/>
          <w:sz w:val="24"/>
          <w:szCs w:val="24"/>
        </w:rPr>
        <w:t xml:space="preserve">（二）严格执行合同文件，自觉按合同办事。</w:t>
      </w:r>
      <w:r/>
    </w:p>
    <w:p>
      <w:pPr>
        <w:pStyle w:val="720"/>
        <w:rPr>
          <w:rFonts w:hint="eastAsia" w:ascii="宋体" w:eastAsia="宋体"/>
        </w:rPr>
      </w:pPr>
      <w:r>
        <w:rPr>
          <w:rFonts w:hint="eastAsia" w:ascii="宋体" w:eastAsia="宋体"/>
        </w:rPr>
        <w:t xml:space="preserve">（三）双方的业务活动坚持公开、公正、诚信、透明的原则（除法律认定的商业秘密和合同文件另有规定之外），不得损害国家和集体的利益，违反工程建设管理规章制度。</w:t>
      </w:r>
      <w:r/>
    </w:p>
    <w:p>
      <w:pPr>
        <w:pStyle w:val="720"/>
        <w:rPr>
          <w:rFonts w:hint="eastAsia" w:ascii="宋体" w:eastAsia="宋体"/>
        </w:rPr>
      </w:pPr>
      <w:r>
        <w:rPr>
          <w:rFonts w:hint="eastAsia" w:ascii="宋体" w:eastAsia="宋体"/>
        </w:rPr>
        <w:t xml:space="preserve">（四）建立健全廉政制度，开展廉政教育，设立廉政告示牌，公布举报电话，监督并认真查处违法违纪行为。</w:t>
      </w:r>
      <w:r/>
    </w:p>
    <w:p>
      <w:pPr>
        <w:pStyle w:val="720"/>
        <w:rPr>
          <w:rFonts w:hint="eastAsia" w:ascii="宋体" w:eastAsia="宋体"/>
        </w:rPr>
      </w:pPr>
      <w:r>
        <w:rPr>
          <w:rFonts w:hint="eastAsia" w:ascii="宋体" w:eastAsia="宋体"/>
        </w:rPr>
        <w:t xml:space="preserve">（五）发现对方在业务活动中有违反廉政规定的行为，有及时提醒对方纠正的权利和义务。</w:t>
      </w:r>
      <w:r/>
    </w:p>
    <w:p>
      <w:pPr>
        <w:pStyle w:val="720"/>
        <w:rPr>
          <w:rFonts w:hint="eastAsia" w:ascii="宋体" w:eastAsia="宋体"/>
        </w:rPr>
      </w:pPr>
      <w:r>
        <w:rPr>
          <w:rFonts w:hint="eastAsia" w:ascii="宋体" w:eastAsia="宋体"/>
        </w:rPr>
        <w:t xml:space="preserve">（六）发现对方严重违反本合同义务条款的行为，有向其上级有关部门举报，建议给予处理并要求告知处理结果的权利。</w:t>
      </w:r>
      <w:r/>
    </w:p>
    <w:p>
      <w:pPr>
        <w:pStyle w:val="720"/>
        <w:rPr>
          <w:rFonts w:hint="eastAsia" w:ascii="宋体" w:eastAsia="宋体"/>
        </w:rPr>
      </w:pPr>
      <w:r>
        <w:rPr>
          <w:rFonts w:hint="eastAsia" w:ascii="宋体" w:eastAsia="宋体"/>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r/>
    </w:p>
    <w:p>
      <w:pPr>
        <w:pStyle w:val="720"/>
        <w:rPr>
          <w:rFonts w:hint="eastAsia" w:ascii="宋体" w:eastAsia="宋体"/>
        </w:rPr>
      </w:pPr>
      <w:r>
        <w:rPr>
          <w:rFonts w:hint="eastAsia" w:ascii="宋体" w:eastAsia="宋体"/>
        </w:rPr>
        <w:t xml:space="preserve">（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r/>
    </w:p>
    <w:p>
      <w:pPr>
        <w:pStyle w:val="720"/>
        <w:rPr>
          <w:rFonts w:hint="eastAsia" w:ascii="宋体" w:eastAsia="宋体"/>
        </w:rPr>
      </w:pPr>
      <w:r>
        <w:rPr>
          <w:rFonts w:hint="eastAsia" w:ascii="宋体" w:eastAsia="宋体"/>
        </w:rPr>
        <w:t xml:space="preserve">甲方的义务</w:t>
      </w:r>
      <w:r/>
    </w:p>
    <w:p>
      <w:pPr>
        <w:pStyle w:val="720"/>
        <w:rPr>
          <w:rFonts w:hint="eastAsia" w:ascii="宋体" w:eastAsia="宋体"/>
        </w:rPr>
      </w:pPr>
      <w:r>
        <w:rPr>
          <w:rFonts w:hint="eastAsia" w:ascii="宋体" w:eastAsia="宋体"/>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pStyle w:val="720"/>
        <w:rPr>
          <w:rFonts w:hint="eastAsia" w:ascii="宋体" w:eastAsia="宋体"/>
        </w:rPr>
      </w:pPr>
      <w:r>
        <w:rPr>
          <w:rFonts w:hint="eastAsia" w:ascii="宋体" w:eastAsia="宋体"/>
        </w:rPr>
        <w:t xml:space="preserve">（二）甲方工作人员不得参加乙方安排的宴请、健身、旅游及娱乐活动，不得接受乙方提供的通讯工具、交通工具和高档办公用品以及通信充值卡、加油卡等。</w:t>
      </w:r>
      <w:r/>
    </w:p>
    <w:p>
      <w:pPr>
        <w:pStyle w:val="720"/>
        <w:rPr>
          <w:rFonts w:hint="eastAsia" w:ascii="宋体" w:eastAsia="宋体"/>
        </w:rPr>
      </w:pPr>
      <w:r>
        <w:rPr>
          <w:rFonts w:hint="eastAsia" w:ascii="宋体" w:eastAsia="宋体"/>
        </w:rPr>
        <w:t xml:space="preserve">（三）甲方工作人员不得要求或者接受乙方为其汽车或住房装修、婚丧嫁娶活动、配偶子女的工作安排以及出国出境、旅游等提供方便等。</w:t>
      </w:r>
      <w:r/>
    </w:p>
    <w:p>
      <w:pPr>
        <w:pStyle w:val="720"/>
        <w:rPr>
          <w:rFonts w:hint="eastAsia" w:ascii="宋体" w:eastAsia="宋体"/>
        </w:rPr>
      </w:pPr>
      <w:r>
        <w:rPr>
          <w:rFonts w:hint="eastAsia" w:ascii="宋体" w:eastAsia="宋体"/>
        </w:rPr>
        <w:t xml:space="preserve">（四）甲方工作人员的配偶、子女不得从事与甲方工程有关的材料设备供应，工程分包、劳务等经济活动等。</w:t>
      </w:r>
      <w:r/>
    </w:p>
    <w:p>
      <w:pPr>
        <w:pStyle w:val="720"/>
        <w:rPr>
          <w:rFonts w:hint="eastAsia" w:ascii="宋体" w:eastAsia="宋体"/>
        </w:rPr>
      </w:pPr>
      <w:r>
        <w:rPr>
          <w:rFonts w:hint="eastAsia" w:ascii="宋体" w:eastAsia="宋体"/>
        </w:rPr>
        <w:t xml:space="preserve">（五）甲方及其工作人员不得以任何理由向乙方推荐分包单位，不得要求乙方购买合同规定外的材料和设备。</w:t>
      </w:r>
      <w:r/>
    </w:p>
    <w:p>
      <w:pPr>
        <w:pStyle w:val="720"/>
        <w:rPr>
          <w:rFonts w:hint="eastAsia" w:ascii="宋体" w:eastAsia="宋体"/>
        </w:rPr>
      </w:pPr>
      <w:r>
        <w:rPr>
          <w:rFonts w:hint="eastAsia" w:ascii="宋体" w:eastAsia="宋体"/>
        </w:rPr>
        <w:t xml:space="preserve">乙方义务</w:t>
      </w:r>
      <w:r/>
    </w:p>
    <w:p>
      <w:pPr>
        <w:pStyle w:val="720"/>
        <w:rPr>
          <w:rFonts w:hint="eastAsia" w:ascii="宋体" w:eastAsia="宋体"/>
        </w:rPr>
      </w:pPr>
      <w:r>
        <w:rPr>
          <w:rFonts w:hint="eastAsia" w:ascii="宋体" w:eastAsia="宋体"/>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pStyle w:val="720"/>
        <w:rPr>
          <w:rFonts w:hint="eastAsia" w:ascii="宋体" w:eastAsia="宋体"/>
        </w:rPr>
      </w:pPr>
      <w:r>
        <w:rPr>
          <w:rFonts w:hint="eastAsia" w:ascii="宋体" w:eastAsia="宋体"/>
        </w:rPr>
        <w:t xml:space="preserve">（二）乙方不得以任何理由安排上述人员参加宴请、健身、旅游及娱乐等活动。</w:t>
      </w:r>
      <w:r/>
    </w:p>
    <w:p>
      <w:pPr>
        <w:pStyle w:val="720"/>
        <w:rPr>
          <w:rFonts w:hint="eastAsia" w:ascii="宋体" w:eastAsia="宋体"/>
        </w:rPr>
      </w:pPr>
      <w:r>
        <w:rPr>
          <w:rFonts w:hint="eastAsia" w:ascii="宋体" w:eastAsia="宋体"/>
        </w:rPr>
        <w:t xml:space="preserve">（三）乙方不得为甲方单位和个人购置或提供通讯工具、交通工具和高档办公用品以及通信充值卡、加油卡等。</w:t>
      </w:r>
      <w:r/>
    </w:p>
    <w:p>
      <w:pPr>
        <w:pStyle w:val="720"/>
        <w:rPr>
          <w:rFonts w:hint="eastAsia" w:ascii="宋体" w:eastAsia="宋体"/>
        </w:rPr>
      </w:pPr>
      <w:r>
        <w:rPr>
          <w:rFonts w:hint="eastAsia" w:ascii="宋体" w:eastAsia="宋体"/>
        </w:rPr>
        <w:t xml:space="preserve">（四）乙方不得为上述人员提供汽车或住房等装修；不得为上述人员的婚丧嫁娶、配偶子女的工作安排以及出国出境、旅游等提供方便。</w:t>
      </w:r>
      <w:r/>
    </w:p>
    <w:p>
      <w:pPr>
        <w:numPr>
          <w:ilvl w:val="0"/>
          <w:numId w:val="2"/>
        </w:numPr>
        <w:ind w:left="0" w:firstLine="480"/>
        <w:spacing w:line="400" w:lineRule="exact"/>
        <w:rPr>
          <w:rFonts w:hint="eastAsia" w:ascii="宋体" w:hAnsi="宋体"/>
          <w:sz w:val="24"/>
          <w:szCs w:val="24"/>
        </w:rPr>
      </w:pPr>
      <w:r>
        <w:rPr>
          <w:rFonts w:hint="eastAsia" w:ascii="宋体" w:hAnsi="宋体"/>
          <w:sz w:val="24"/>
          <w:szCs w:val="24"/>
        </w:rPr>
        <w:t xml:space="preserve">  违约责任</w:t>
      </w:r>
      <w:r/>
    </w:p>
    <w:p>
      <w:pPr>
        <w:pStyle w:val="720"/>
        <w:rPr>
          <w:rFonts w:hint="eastAsia" w:ascii="宋体" w:eastAsia="宋体"/>
        </w:rPr>
      </w:pPr>
      <w:r>
        <w:rPr>
          <w:rFonts w:hint="eastAsia" w:ascii="宋体" w:eastAsia="宋体"/>
        </w:rPr>
        <w:t xml:space="preserve">（一）甲方及其工作人员违反本合同第一、二条，按管理权限，依据有关规定给予党纪、政纪或组织处理，涉嫌犯罪的，移交司法机关追究刑事责任；给乙方单位造成经济损失的，应予以赔偿。</w:t>
      </w:r>
      <w:r/>
    </w:p>
    <w:p>
      <w:pPr>
        <w:pStyle w:val="720"/>
        <w:rPr>
          <w:rFonts w:hint="eastAsia" w:ascii="宋体" w:eastAsia="宋体"/>
        </w:rPr>
      </w:pPr>
      <w:r>
        <w:rPr>
          <w:rFonts w:hint="eastAsia" w:ascii="宋体" w:eastAsia="宋体"/>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pStyle w:val="720"/>
        <w:numPr>
          <w:ilvl w:val="0"/>
          <w:numId w:val="2"/>
        </w:numPr>
        <w:ind w:left="0" w:firstLine="480"/>
        <w:rPr>
          <w:rFonts w:hint="eastAsia" w:ascii="宋体" w:eastAsia="宋体"/>
        </w:rPr>
      </w:pPr>
      <w:r>
        <w:rPr>
          <w:rFonts w:hint="eastAsia" w:ascii="宋体" w:eastAsia="宋体"/>
        </w:rPr>
        <w:t xml:space="preserve">  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pStyle w:val="720"/>
        <w:numPr>
          <w:ilvl w:val="0"/>
          <w:numId w:val="2"/>
        </w:numPr>
        <w:ind w:left="0" w:firstLine="480"/>
        <w:rPr>
          <w:rFonts w:hint="eastAsia" w:ascii="宋体" w:eastAsia="宋体"/>
        </w:rPr>
      </w:pPr>
      <w:r>
        <w:rPr>
          <w:rFonts w:hint="eastAsia" w:ascii="宋体" w:eastAsia="宋体"/>
        </w:rPr>
        <w:t xml:space="preserve">  本合同有效期为甲乙双方签署之日起至该工程项目竣工验收后为止。</w:t>
      </w:r>
      <w:r/>
    </w:p>
    <w:p>
      <w:pPr>
        <w:pStyle w:val="720"/>
        <w:numPr>
          <w:ilvl w:val="0"/>
          <w:numId w:val="2"/>
        </w:numPr>
        <w:ind w:left="0" w:firstLine="480"/>
        <w:rPr>
          <w:rFonts w:hint="eastAsia" w:ascii="宋体" w:eastAsia="宋体"/>
        </w:rPr>
      </w:pPr>
      <w:r>
        <w:rPr>
          <w:rFonts w:hint="eastAsia" w:ascii="宋体" w:eastAsia="宋体"/>
        </w:rPr>
        <w:t xml:space="preserve">  本合同作为                         工程施工合同的附件，合同份数与本主合同的约定相同，与施工合同具有同等的法律效力，由双方法定代表人或其授权的代理人签署与加盖公章后生效，全部工程竣工验收后失效。</w:t>
      </w:r>
      <w:r/>
    </w:p>
    <w:p>
      <w:pPr>
        <w:pStyle w:val="720"/>
        <w:ind w:left="560"/>
        <w:rPr>
          <w:rFonts w:hint="eastAsia" w:ascii="宋体" w:eastAsia="宋体"/>
        </w:rPr>
      </w:pPr>
      <w:r>
        <w:rPr>
          <w:rFonts w:hint="eastAsia" w:ascii="宋体" w:eastAsia="宋体"/>
        </w:rPr>
        <w:t xml:space="preserve"> </w:t>
      </w:r>
      <w:r/>
    </w:p>
    <w:p>
      <w:pPr>
        <w:pStyle w:val="720"/>
        <w:ind w:left="0" w:firstLine="0"/>
        <w:rPr>
          <w:rFonts w:hint="eastAsia" w:ascii="宋体" w:eastAsia="宋体"/>
        </w:rPr>
      </w:pPr>
      <w:r>
        <w:rPr>
          <w:rFonts w:hint="eastAsia" w:ascii="宋体" w:eastAsia="宋体"/>
        </w:rPr>
        <w:t xml:space="preserve">甲方单位：（盖章）                    乙方单位：（盖章）</w:t>
      </w:r>
      <w:r/>
    </w:p>
    <w:p>
      <w:pPr>
        <w:pStyle w:val="720"/>
        <w:ind w:left="357"/>
        <w:rPr>
          <w:rFonts w:hint="eastAsia" w:ascii="宋体" w:eastAsia="宋体"/>
          <w:lang w:eastAsia="zh-CN"/>
        </w:rPr>
      </w:pPr>
      <w:r>
        <w:rPr>
          <w:rFonts w:hint="eastAsia" w:ascii="宋体" w:eastAsia="宋体"/>
          <w:lang w:eastAsia="zh-CN"/>
        </w:rPr>
      </w:r>
      <w:r/>
    </w:p>
    <w:p>
      <w:pPr>
        <w:pStyle w:val="720"/>
        <w:ind w:left="0" w:firstLine="0"/>
        <w:rPr>
          <w:rFonts w:hint="eastAsia" w:ascii="宋体" w:eastAsia="宋体"/>
        </w:rPr>
      </w:pPr>
      <w:r>
        <w:rPr>
          <w:rFonts w:hint="eastAsia" w:ascii="宋体" w:eastAsia="宋体"/>
        </w:rPr>
        <w:t xml:space="preserve">法定代表人：（签名）                  法定代表人：（签名）</w:t>
      </w:r>
      <w:r/>
    </w:p>
    <w:p>
      <w:pPr>
        <w:pStyle w:val="720"/>
        <w:ind w:left="357"/>
        <w:rPr>
          <w:rFonts w:hint="eastAsia" w:ascii="宋体" w:eastAsia="宋体"/>
        </w:rPr>
      </w:pPr>
      <w:r>
        <w:rPr>
          <w:rFonts w:hint="eastAsia" w:ascii="宋体" w:eastAsia="宋体"/>
        </w:rPr>
        <w:t xml:space="preserve"> </w:t>
      </w:r>
      <w:r/>
    </w:p>
    <w:p>
      <w:pPr>
        <w:pStyle w:val="720"/>
        <w:ind w:left="0" w:firstLine="0"/>
        <w:rPr>
          <w:rFonts w:hint="eastAsia" w:ascii="宋体" w:eastAsia="宋体"/>
        </w:rPr>
      </w:pPr>
      <w:r>
        <w:rPr>
          <w:rFonts w:hint="eastAsia" w:ascii="宋体" w:eastAsia="宋体"/>
        </w:rPr>
        <w:t xml:space="preserve">或委托代理人：(签名)             或委托代理人：(签名)</w:t>
      </w:r>
      <w:r/>
    </w:p>
    <w:p>
      <w:pPr>
        <w:rPr>
          <w:rFonts w:ascii="宋体" w:hAnsi="宋体" w:cs="宋体"/>
          <w:b/>
          <w:sz w:val="36"/>
          <w:szCs w:val="36"/>
        </w:rPr>
      </w:pPr>
      <w:r>
        <w:rPr>
          <w:rFonts w:ascii="宋体" w:hAnsi="宋体" w:cs="宋体"/>
          <w:b/>
          <w:sz w:val="36"/>
          <w:szCs w:val="36"/>
        </w:rPr>
      </w:r>
      <w:r/>
    </w:p>
    <w:p>
      <w:pPr>
        <w:jc w:val="left"/>
        <w:spacing w:line="480" w:lineRule="auto"/>
        <w:widowControl/>
        <w:rPr>
          <w:rFonts w:hint="eastAsia" w:hAnsi="宋体"/>
          <w:b/>
          <w:color w:val="000000"/>
          <w:sz w:val="24"/>
          <w:szCs w:val="24"/>
        </w:rPr>
      </w:pPr>
      <w:r>
        <w:rPr>
          <w:rFonts w:hint="eastAsia" w:hAnsi="宋体"/>
          <w:b/>
          <w:color w:val="000000"/>
          <w:sz w:val="24"/>
          <w:szCs w:val="24"/>
        </w:rPr>
      </w:r>
      <w:r/>
    </w:p>
    <w:p>
      <w:pPr>
        <w:jc w:val="center"/>
        <w:rPr>
          <w:rFonts w:hint="eastAsia" w:asciiTheme="minorEastAsia" w:hAnsiTheme="minorEastAsia" w:eastAsiaTheme="minorEastAsia" w:cstheme="minorEastAsia"/>
          <w:b/>
          <w:bCs/>
          <w:color w:val="auto"/>
          <w:highlight w:val="none"/>
        </w:rPr>
        <w:outlineLvl w:val="0"/>
      </w:pPr>
      <w:r/>
      <w:bookmarkStart w:id="176" w:name="_Toc2967"/>
      <w:r>
        <w:rPr>
          <w:rFonts w:hint="eastAsia" w:asciiTheme="minorEastAsia" w:hAnsiTheme="minorEastAsia" w:eastAsiaTheme="minorEastAsia" w:cstheme="minorEastAsia"/>
          <w:b/>
          <w:bCs/>
          <w:color w:val="auto"/>
          <w:sz w:val="44"/>
          <w:szCs w:val="44"/>
          <w:highlight w:val="none"/>
        </w:rPr>
        <w:t xml:space="preserve">第</w:t>
      </w:r>
      <w:bookmarkEnd w:id="168"/>
      <w:r>
        <w:rPr>
          <w:rFonts w:hint="eastAsia" w:asciiTheme="minorEastAsia" w:hAnsiTheme="minorEastAsia" w:eastAsiaTheme="minorEastAsia" w:cstheme="minorEastAsia"/>
          <w:b/>
          <w:bCs/>
          <w:color w:val="auto"/>
          <w:sz w:val="44"/>
          <w:szCs w:val="44"/>
          <w:highlight w:val="none"/>
        </w:rPr>
        <w:t xml:space="preserve">四章 采购需求</w:t>
      </w:r>
      <w:bookmarkEnd w:id="169"/>
      <w:r/>
      <w:bookmarkEnd w:id="170"/>
      <w:r/>
      <w:bookmarkEnd w:id="171"/>
      <w:r/>
      <w:bookmarkEnd w:id="172"/>
      <w:r/>
      <w:bookmarkEnd w:id="173"/>
      <w:r/>
      <w:bookmarkEnd w:id="176"/>
      <w:r/>
      <w:r/>
    </w:p>
    <w:p>
      <w:pPr>
        <w:pStyle w:val="725"/>
        <w:jc w:val="both"/>
        <w:keepLines w:val="0"/>
        <w:keepNext w:val="0"/>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rPr>
      </w:pPr>
      <w:r/>
      <w:bookmarkStart w:id="177" w:name="_Toc49090575"/>
      <w:r/>
      <w:bookmarkStart w:id="178" w:name="_Toc26554093"/>
      <w:r>
        <w:rPr>
          <w:rFonts w:hint="eastAsia" w:asciiTheme="minorEastAsia" w:hAnsiTheme="minorEastAsia" w:eastAsiaTheme="minorEastAsia" w:cstheme="minorEastAsia"/>
          <w:color w:val="auto"/>
          <w:sz w:val="24"/>
          <w:szCs w:val="24"/>
          <w:highlight w:val="none"/>
        </w:rPr>
        <w:t xml:space="preserve">项目属性:服务类项目。</w:t>
      </w:r>
      <w:bookmarkEnd w:id="177"/>
      <w:r/>
      <w:bookmarkEnd w:id="178"/>
      <w:r/>
      <w:r/>
    </w:p>
    <w:p>
      <w:pPr>
        <w:ind w:firstLine="482"/>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一、项目概况</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.项目名称：</w:t>
      </w:r>
      <w:r>
        <w:rPr>
          <w:rFonts w:hint="eastAsia" w:asciiTheme="minorEastAsia" w:hAnsiTheme="minorEastAsia" w:cstheme="minorEastAsia"/>
          <w:color w:val="auto"/>
          <w:sz w:val="24"/>
          <w:szCs w:val="24"/>
          <w:highlight w:val="none"/>
          <w:lang w:val="en-US" w:eastAsia="zh-CN"/>
        </w:rPr>
        <w:t xml:space="preserve">2026年盐南高新区区直学校（园）安保服务项目</w:t>
      </w:r>
      <w:r/>
    </w:p>
    <w:p>
      <w:pPr>
        <w:ind w:firstLine="480"/>
        <w:spacing w:line="480" w:lineRule="exact"/>
        <w:rPr>
          <w:rFonts w:hint="eastAsia" w:ascii="宋体" w:hAnsi="宋体" w:cs="宋体"/>
          <w:color w:val="auto"/>
          <w:sz w:val="24"/>
          <w:highlight w:val="none"/>
          <w:lang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.采购需求：</w:t>
      </w:r>
      <w:r>
        <w:rPr>
          <w:rFonts w:hint="eastAsia" w:ascii="宋体" w:hAnsi="宋体"/>
          <w:sz w:val="24"/>
          <w:szCs w:val="24"/>
          <w:lang w:val="en-US" w:eastAsia="zh-CN"/>
        </w:rPr>
        <w:t xml:space="preserve">2026年盐南高新区区直学校（园）安保服务</w:t>
      </w:r>
      <w:r>
        <w:rPr>
          <w:rFonts w:hint="eastAsia" w:ascii="宋体" w:hAnsi="宋体"/>
          <w:sz w:val="24"/>
          <w:szCs w:val="24"/>
        </w:rPr>
        <w:t xml:space="preserve">，</w:t>
      </w:r>
      <w:r>
        <w:rPr>
          <w:rFonts w:hint="eastAsia" w:ascii="宋体" w:hAnsi="宋体"/>
          <w:sz w:val="24"/>
          <w:szCs w:val="24"/>
          <w:lang w:val="en-US" w:eastAsia="zh-CN"/>
        </w:rPr>
        <w:t xml:space="preserve">包含但不限于：治安服务（人员出入登记、防止偷盗、校园巡逻等）、安全检查（安全隐患排查、处置及上报）、应急处置（处置突发事件、开展应急演练）等，</w:t>
      </w:r>
      <w:r>
        <w:rPr>
          <w:rFonts w:hint="eastAsia" w:ascii="宋体" w:hAnsi="宋体"/>
          <w:sz w:val="24"/>
          <w:szCs w:val="24"/>
        </w:rPr>
        <w:t xml:space="preserve">具体人员安排服从采购人要求</w:t>
      </w:r>
      <w:r>
        <w:rPr>
          <w:rFonts w:hint="eastAsia" w:ascii="宋体" w:hAnsi="宋体"/>
          <w:color w:val="000000"/>
          <w:sz w:val="24"/>
          <w:highlight w:val="none"/>
        </w:rPr>
        <w:t xml:space="preserve">。</w:t>
      </w:r>
      <w:r/>
    </w:p>
    <w:p>
      <w:pPr>
        <w:pStyle w:val="753"/>
        <w:ind w:firstLine="480"/>
        <w:jc w:val="both"/>
        <w:pageBreakBefore w:val="0"/>
        <w:spacing w:beforeAutospacing="0" w:afterAutospacing="0" w:line="440" w:lineRule="exact"/>
        <w:rPr>
          <w:rFonts w:hint="eastAsia" w:ascii="宋体" w:hAnsi="宋体" w:eastAsiaTheme="minorEastAsia" w:cstheme="minorBidi"/>
          <w:sz w:val="24"/>
          <w:szCs w:val="24"/>
          <w:lang w:val="en-US" w:eastAsia="zh-CN" w:bidi="ar-SA"/>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.合同履行</w:t>
      </w:r>
      <w:r>
        <w:rPr>
          <w:rFonts w:hint="eastAsia" w:ascii="宋体" w:hAnsi="宋体" w:eastAsiaTheme="minorEastAsia" w:cstheme="minorBidi"/>
          <w:sz w:val="24"/>
          <w:szCs w:val="24"/>
          <w:lang w:val="en-US" w:eastAsia="zh-CN" w:bidi="ar-SA"/>
        </w:rPr>
        <w:t xml:space="preserve">期限：服务期一年，上一年度经采购人综合考核合格后可续签下一年度合同，最多续签两次；每年度综合考核未达到考核要求，采购人可自行终止合同）。</w:t>
      </w:r>
      <w:r/>
    </w:p>
    <w:p>
      <w:pPr>
        <w:pStyle w:val="72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lang w:val="en-US" w:eastAsia="zh-CN"/>
        </w:rPr>
        <w:t xml:space="preserve">接受联合体参与招标</w:t>
      </w:r>
      <w:r>
        <w:rPr>
          <w:rFonts w:hint="eastAsia" w:ascii="宋体" w:hAnsi="宋体" w:eastAsia="宋体" w:cs="宋体"/>
          <w:color w:val="auto"/>
          <w:sz w:val="24"/>
          <w:szCs w:val="24"/>
          <w:highlight w:val="none"/>
          <w:lang w:val="en-US" w:eastAsia="zh-CN"/>
        </w:rPr>
        <w:t xml:space="preserve">。</w:t>
      </w:r>
      <w:r/>
    </w:p>
    <w:p>
      <w:pPr>
        <w:ind w:firstLine="480"/>
        <w:spacing w:line="560" w:lineRule="exact"/>
        <w:widowControl/>
        <w:rPr>
          <w:rFonts w:ascii="宋体" w:hAnsi="宋体" w:eastAsia="宋体" w:cs="Times New Roman"/>
          <w:b w:val="0"/>
          <w:bCs w:val="0"/>
          <w:color w:val="auto"/>
          <w:sz w:val="24"/>
          <w:szCs w:val="20"/>
          <w:highlight w:val="none"/>
        </w:rPr>
      </w:pPr>
      <w:r>
        <w:rPr>
          <w:rFonts w:hint="eastAsia" w:asciiTheme="minorEastAsia" w:hAnsiTheme="minorEastAsia" w:eastAsiaTheme="minorEastAsia" w:cstheme="minorEastAsia"/>
          <w:b/>
          <w:bCs/>
          <w:color w:val="000000"/>
          <w:sz w:val="24"/>
          <w:szCs w:val="24"/>
          <w:lang w:val="en-US" w:eastAsia="zh-CN" w:bidi="ar"/>
        </w:rPr>
        <w:t xml:space="preserve">二、</w:t>
      </w:r>
      <w:r>
        <w:rPr>
          <w:rFonts w:hint="eastAsia" w:ascii="宋体" w:hAnsi="宋体" w:eastAsia="宋体" w:cs="Times New Roman"/>
          <w:b w:val="0"/>
          <w:bCs w:val="0"/>
          <w:color w:val="auto"/>
          <w:sz w:val="24"/>
          <w:szCs w:val="20"/>
          <w:highlight w:val="none"/>
        </w:rPr>
        <w:t xml:space="preserve">详细服务要求</w:t>
      </w:r>
      <w:r/>
    </w:p>
    <w:p>
      <w:pPr>
        <w:ind w:firstLine="482"/>
        <w:jc w:val="left"/>
        <w:spacing w:line="56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（一）人员配备</w:t>
      </w:r>
      <w:r>
        <w:rPr>
          <w:rFonts w:hint="eastAsia" w:ascii="宋体" w:hAnsi="宋体" w:eastAsia="宋体" w:cs="宋体"/>
          <w:b w:val="0"/>
          <w:bCs w:val="0"/>
          <w:color w:val="auto"/>
          <w:sz w:val="24"/>
          <w:szCs w:val="20"/>
          <w:highlight w:val="none"/>
          <w:lang w:val="en-US" w:eastAsia="zh-CN"/>
        </w:rPr>
        <w:t xml:space="preserve">一览表</w:t>
      </w:r>
      <w:r/>
    </w:p>
    <w:tbl>
      <w:tblPr>
        <w:tblStyle w:val="7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2"/>
        <w:gridCol w:w="5079"/>
        <w:gridCol w:w="3321"/>
      </w:tblGrid>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序号</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学校（园）</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保安人数（人）</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华东师范大学盐城高级中学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2</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华东师范大学盐城实验学校</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盐南高新区伍佑初级中学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盐城市学海路初级中学</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12</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5</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盐城市新河初级中学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5</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盐城市六合路初级中学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7</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盐南高新区伍佑小学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8</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盐城市新河实验小学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9</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盐城市日月路小学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10</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盐城市敬贤路实验小学</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6</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11</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盐城市希文小学</w:t>
            </w:r>
            <w:r/>
          </w:p>
        </w:tc>
        <w:tc>
          <w:tcPr>
            <w:tcW w:w="3321"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5</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12</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盐南高新区力行小学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13</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盐城市六合路小学</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4</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14</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盐南高新区伍佑幼儿园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15</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盐城市新河幼儿园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16</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盐南高新区鹏润幼儿园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17</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盐南高新区香苑西园幼儿园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3</w:t>
            </w:r>
            <w:r/>
          </w:p>
        </w:tc>
      </w:tr>
      <w:tr>
        <w:trPr/>
        <w:tc>
          <w:tcPr>
            <w:tcW w:w="1562" w:type="dxa"/>
            <w:vAlign w:val="center"/>
            <w:textDirection w:val="lrTb"/>
            <w:noWrap w:val="false"/>
          </w:tcPr>
          <w:p>
            <w:pPr>
              <w:jc w:val="center"/>
              <w:spacing w:line="360" w:lineRule="auto"/>
              <w:rPr>
                <w:rFonts w:hint="default"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18</w:t>
            </w:r>
            <w:r/>
          </w:p>
        </w:tc>
        <w:tc>
          <w:tcPr>
            <w:tcW w:w="5079"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vertAlign w:val="baseline"/>
              </w:rPr>
              <w:t xml:space="preserve">盐幼专附属幼儿园</w:t>
            </w:r>
            <w:r/>
          </w:p>
        </w:tc>
        <w:tc>
          <w:tcPr>
            <w:tcW w:w="332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2</w:t>
            </w:r>
            <w:r/>
          </w:p>
        </w:tc>
      </w:tr>
      <w:tr>
        <w:trPr/>
        <w:tc>
          <w:tcPr>
            <w:gridSpan w:val="2"/>
            <w:tcW w:w="6641" w:type="dxa"/>
            <w:vAlign w:val="center"/>
            <w:textDirection w:val="lrTb"/>
            <w:noWrap w:val="false"/>
          </w:tcPr>
          <w:p>
            <w:pPr>
              <w:jc w:val="center"/>
              <w:spacing w:line="360" w:lineRule="auto"/>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合计</w:t>
            </w:r>
            <w:r/>
          </w:p>
        </w:tc>
        <w:tc>
          <w:tcPr>
            <w:tcW w:w="3321" w:type="dxa"/>
            <w:vAlign w:val="center"/>
            <w:textDirection w:val="lrTb"/>
            <w:noWrap w:val="false"/>
          </w:tcPr>
          <w:p>
            <w:pPr>
              <w:jc w:val="center"/>
              <w:spacing w:line="360" w:lineRule="auto"/>
              <w:rPr>
                <w:rFonts w:hint="default" w:asciiTheme="minorEastAsia" w:hAnsiTheme="minorEastAsia" w:cstheme="minorEastAsia"/>
                <w:vertAlign w:val="baseline"/>
                <w:lang w:val="en-US" w:eastAsia="zh-CN"/>
              </w:rPr>
            </w:pPr>
            <w:r>
              <w:rPr>
                <w:rFonts w:hint="eastAsia" w:asciiTheme="minorEastAsia" w:hAnsiTheme="minorEastAsia" w:cstheme="minorEastAsia"/>
                <w:vertAlign w:val="baseline"/>
                <w:lang w:val="en-US" w:eastAsia="zh-CN"/>
              </w:rPr>
              <w:t xml:space="preserve">82</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（二）人员要求</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保安人员要求初中以上文化，具有保安员证</w:t>
      </w:r>
      <w:r>
        <w:rPr>
          <w:rFonts w:hint="eastAsia" w:ascii="宋体" w:hAnsi="宋体" w:cs="宋体"/>
          <w:color w:val="000000"/>
          <w:sz w:val="24"/>
          <w:szCs w:val="24"/>
          <w:lang w:val="en-US" w:eastAsia="zh-CN"/>
        </w:rPr>
        <w:t xml:space="preserve">书</w:t>
      </w:r>
      <w:r>
        <w:rPr>
          <w:rFonts w:hint="eastAsia" w:ascii="宋体" w:hAnsi="宋体" w:cs="宋体"/>
          <w:color w:val="000000"/>
          <w:sz w:val="24"/>
          <w:szCs w:val="24"/>
        </w:rPr>
        <w:t xml:space="preserve">、五官端正，身体健康，无传染病及精神病等重大疾病，无残疾，无明显标记，遵纪守法，品行良好，无违法犯罪记录。</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2、保安人员有吃苦耐劳的精神和高度的责任感，受过专门的岗前培训，熟知校方的管理规定，严格履行岗位职责，善于发现各类问题，具备一定的管理经验和处理突发事件能力。</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3、执勤时不吸烟、吃零食，不袖手、背手、插腰或将手插入口袋。</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4、执勤时穿着统一保安制服，佩戴统一标志，仪表端庄、大方，衣着整洁；接待时主动、热情、规范；迎送接待时，用语准确，称呼恰当，问候亲切，语气诚恳，耐心细致；使用文明用语，不应使用服务忌语。</w:t>
      </w:r>
      <w:r/>
    </w:p>
    <w:p>
      <w:pPr>
        <w:ind w:firstLine="422"/>
        <w:spacing w:line="360" w:lineRule="auto"/>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（三）岗位职责</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（1）门卫值班</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a.24小时工作制，服从学校的管理及安排。原则上每天早6:30时至18:30时实行门卫保安立岗制。</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b.检查进入校园的校外人员，要问清楚进入校园的理由，并办理登记手续，经检验后准予进入；校内临时工和其他务工人员凭学校颁发的临时出入证进入校园；严禁不法分子进入校园。</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c.检查出入校园的各种车辆，对校内车辆凭通行证进入；施工车辆凭颁发的车辆出入证进出；校外车辆原则上不得进入校园。</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d.检查出入校门的物资，校外物资送入校园，要认真登记检查，防止危险物品带入校园；校内物资、设备运出或搬出学校凭学校相关部门出具的出门证明，办理登记手续，经检验无误后放行。</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e.负责各校门周围、校门广场的道路交通管理及安全秩序，负责机动车和非机动车的停放管理，确保校门区域出入畅通。</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f.做好门卫室、校门周围及校门广场区域的环境卫生，保持校门区域清洁。</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（2）校园巡逻</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a.认真巡查学校各部位并做好记录,重点部位按学校要求的频次进行巡查。</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b.防止各类不利于校园治安秩序特别是盗窃、火灾、打架斗殴等事故和危害校园稳定事件的发生，一旦发现立即报告处置。</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c.确保校园道路交通畅通，机动车和非机动车停放有序。</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d.确保校园周边治安秩序稳定，积极做好防暴反恐工作。</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（3）其他项目</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a.学校大型活动及会务工作等安全保障；临时性的应急工作。</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b.校园内发生重大安全事故的协助处理，突发灾害性事故的应急处置等。</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c.发现异常情况要及时联系其他岗位保安员到现场查看、处置。遇到突发事件时报告警方与学校，必要时采取正当防卫，防止事态扩大，协助保护现场和证据。</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d.符合法律法规的其他要求。</w:t>
      </w:r>
      <w:r/>
    </w:p>
    <w:p>
      <w:pPr>
        <w:pStyle w:val="715"/>
        <w:ind w:firstLine="482"/>
        <w:spacing w:line="44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其他要求</w:t>
      </w:r>
      <w:r/>
    </w:p>
    <w:p>
      <w:pPr>
        <w:pStyle w:val="715"/>
        <w:ind w:firstLine="48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必须按各学校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幼儿园</w:t>
      </w:r>
      <w:r>
        <w:rPr>
          <w:rFonts w:hint="eastAsia" w:ascii="宋体" w:hAnsi="宋体" w:cs="宋体"/>
          <w:color w:val="000000"/>
          <w:sz w:val="24"/>
          <w:szCs w:val="24"/>
          <w:lang w:val="en-US" w:eastAsia="zh-CN"/>
        </w:rPr>
        <w:t xml:space="preserve">保安人员</w:t>
      </w:r>
      <w:r>
        <w:rPr>
          <w:rFonts w:hint="eastAsia" w:ascii="宋体" w:hAnsi="宋体" w:cs="宋体"/>
          <w:color w:val="000000"/>
          <w:sz w:val="24"/>
          <w:szCs w:val="24"/>
        </w:rPr>
        <w:t xml:space="preserve">配备以下防卫器材：防暴头盔（1顶/人）、防护盾牌（1副/人）、防刺背心（1套/人）、防割手套（1副/人）、橡胶警棍（1支/人）、强光电筒（1支/人）、自卫喷雾剂（1支/人）、安全钢叉2套。防卫器材必须是合格的符合国家技术标准的产品。以上装备和器材由</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负责配备并妥善保养维护，费用由</w:t>
      </w:r>
      <w:r>
        <w:rPr>
          <w:rFonts w:hint="eastAsia" w:ascii="宋体" w:hAnsi="宋体" w:cs="宋体"/>
          <w:color w:val="000000"/>
          <w:sz w:val="24"/>
          <w:szCs w:val="24"/>
          <w:lang w:val="en-US" w:eastAsia="zh-CN"/>
        </w:rPr>
        <w:t xml:space="preserve">投标人在报价中填报</w:t>
      </w:r>
      <w:r>
        <w:rPr>
          <w:rFonts w:hint="eastAsia" w:ascii="宋体" w:hAnsi="宋体" w:cs="宋体"/>
          <w:color w:val="000000"/>
          <w:sz w:val="24"/>
          <w:szCs w:val="24"/>
        </w:rPr>
        <w:t xml:space="preserve">，与采购方及所属学校无关，产权</w:t>
      </w:r>
      <w:r>
        <w:rPr>
          <w:rFonts w:hint="eastAsia" w:ascii="宋体" w:hAnsi="宋体" w:cs="宋体"/>
          <w:color w:val="000000"/>
          <w:sz w:val="24"/>
          <w:szCs w:val="24"/>
          <w:lang w:val="en-US" w:eastAsia="zh-CN"/>
        </w:rPr>
        <w:t xml:space="preserve">归投标人</w:t>
      </w:r>
      <w:r>
        <w:rPr>
          <w:rFonts w:hint="eastAsia" w:ascii="宋体" w:hAnsi="宋体" w:cs="宋体"/>
          <w:color w:val="000000"/>
          <w:sz w:val="24"/>
          <w:szCs w:val="24"/>
        </w:rPr>
        <w:t xml:space="preserve">所有。</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必须提供保安员执勤所需的符合公安等部门要求的制式服装，由</w:t>
      </w:r>
      <w:r>
        <w:rPr>
          <w:rFonts w:hint="eastAsia" w:ascii="宋体" w:hAnsi="宋体" w:cs="宋体"/>
          <w:color w:val="000000"/>
          <w:sz w:val="24"/>
          <w:szCs w:val="24"/>
          <w:lang w:val="en-US" w:eastAsia="zh-CN"/>
        </w:rPr>
        <w:t xml:space="preserve">投标人在报价中填报</w:t>
      </w:r>
      <w:r>
        <w:rPr>
          <w:rFonts w:hint="eastAsia" w:ascii="宋体" w:hAnsi="宋体" w:cs="宋体"/>
          <w:color w:val="000000"/>
          <w:sz w:val="24"/>
          <w:szCs w:val="24"/>
        </w:rPr>
        <w:t xml:space="preserve">，与采购方及所属学校、幼儿园无关。</w:t>
      </w:r>
      <w:r/>
    </w:p>
    <w:p>
      <w:pPr>
        <w:pStyle w:val="713"/>
        <w:rPr>
          <w:rFonts w:hint="default"/>
          <w:lang w:val="en-US" w:eastAsia="zh-CN"/>
        </w:rPr>
      </w:pPr>
      <w:r>
        <w:rPr>
          <w:rFonts w:hint="default"/>
          <w:lang w:val="en-US" w:eastAsia="zh-CN"/>
        </w:rPr>
      </w:r>
      <w:r/>
    </w:p>
    <w:p>
      <w:pPr>
        <w:pStyle w:val="725"/>
        <w:ind w:firstLine="480"/>
        <w:jc w:val="both"/>
        <w:pageBreakBefore w:val="0"/>
        <w:spacing w:beforeAutospacing="0" w:afterAutospacing="0" w:line="42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、付款方式</w:t>
      </w:r>
      <w:r/>
    </w:p>
    <w:p>
      <w:pPr>
        <w:pStyle w:val="753"/>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val="en-US" w:eastAsia="zh-CN"/>
        </w:rPr>
        <w:t xml:space="preserve">7</w:t>
      </w:r>
      <w:r>
        <w:rPr>
          <w:rFonts w:hint="eastAsia" w:ascii="宋体" w:hAnsi="宋体" w:eastAsia="宋体" w:cs="宋体"/>
          <w:color w:val="auto"/>
          <w:highlight w:val="none"/>
          <w:u w:val="none"/>
        </w:rPr>
        <w:t xml:space="preserve">.1.1 预付款支付时间：合同签订后，采购人收到发票后10个工作日内，预付款支付比例：合同金额的</w:t>
      </w:r>
      <w:r>
        <w:rPr>
          <w:rFonts w:hint="eastAsia" w:ascii="宋体" w:hAnsi="宋体" w:cs="宋体"/>
          <w:color w:val="auto"/>
          <w:highlight w:val="none"/>
          <w:u w:val="none"/>
          <w:lang w:val="en-US" w:eastAsia="zh-CN"/>
        </w:rPr>
        <w:t xml:space="preserve">3</w:t>
      </w:r>
      <w:r>
        <w:rPr>
          <w:rFonts w:hint="eastAsia" w:ascii="宋体" w:hAnsi="宋体" w:eastAsia="宋体" w:cs="宋体"/>
          <w:color w:val="auto"/>
          <w:highlight w:val="none"/>
          <w:u w:val="none"/>
          <w:lang w:val="en-US" w:eastAsia="zh-CN"/>
        </w:rPr>
        <w:t xml:space="preserve">0</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在签订合同时，供应商明确表示无需预付款或者主动要求降低预付款比例的，采购人可不适用前述规定。）</w:t>
      </w:r>
      <w:r/>
    </w:p>
    <w:p>
      <w:pPr>
        <w:pStyle w:val="753"/>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7</w:t>
      </w:r>
      <w:r>
        <w:rPr>
          <w:rFonts w:hint="eastAsia" w:ascii="宋体" w:hAnsi="宋体" w:eastAsia="宋体" w:cs="宋体"/>
          <w:color w:val="auto"/>
          <w:highlight w:val="none"/>
          <w:u w:val="none"/>
        </w:rPr>
        <w:t xml:space="preserve">.1.2 尾款支付时</w:t>
      </w:r>
      <w:r>
        <w:rPr>
          <w:rFonts w:hint="eastAsia" w:ascii="宋体" w:hAnsi="宋体" w:eastAsia="宋体" w:cs="宋体"/>
          <w:color w:val="auto"/>
          <w:highlight w:val="none"/>
          <w:u w:val="none"/>
          <w:lang w:val="en-US" w:eastAsia="zh-CN"/>
        </w:rPr>
        <w:t xml:space="preserve">间：服务结束并验收合格,采购人收到发票后10个工作日内，服务费用实行每月考核，季度结算，在下一季度由甲方根据考核结果支付上一季度的服务费用。</w:t>
      </w:r>
      <w:r/>
    </w:p>
    <w:p>
      <w:pPr>
        <w:pStyle w:val="753"/>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rPr>
        <w:t xml:space="preserve">尾款支付比例：</w:t>
      </w:r>
      <w:r>
        <w:rPr>
          <w:rFonts w:hint="eastAsia" w:ascii="宋体" w:hAnsi="宋体" w:eastAsia="宋体" w:cs="宋体"/>
          <w:color w:val="auto"/>
          <w:sz w:val="24"/>
          <w:szCs w:val="24"/>
          <w:highlight w:val="none"/>
          <w:u w:val="none"/>
        </w:rPr>
        <w:t xml:space="preserve">每</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rPr>
        <w:t xml:space="preserve">付款</w:t>
      </w:r>
      <w:r>
        <w:rPr>
          <w:rFonts w:hint="eastAsia" w:ascii="宋体" w:hAnsi="宋体" w:eastAsia="宋体" w:cs="宋体"/>
          <w:color w:val="auto"/>
          <w:sz w:val="24"/>
          <w:szCs w:val="24"/>
          <w:highlight w:val="none"/>
          <w:u w:val="none"/>
          <w:lang w:val="en-US" w:eastAsia="zh-CN"/>
        </w:rPr>
        <w:t xml:space="preserve">比例按年合同价</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为基数（不足</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rPr>
        <w:t xml:space="preserve">费用按</w:t>
      </w:r>
      <w:r>
        <w:rPr>
          <w:rFonts w:hint="eastAsia" w:ascii="宋体" w:hAnsi="宋体" w:eastAsia="宋体" w:cs="宋体"/>
          <w:color w:val="auto"/>
          <w:sz w:val="24"/>
          <w:szCs w:val="24"/>
          <w:highlight w:val="none"/>
          <w:u w:val="none"/>
          <w:lang w:val="en-US" w:eastAsia="zh-CN"/>
        </w:rPr>
        <w:t xml:space="preserve">年合同价</w:t>
      </w:r>
      <w:r>
        <w:rPr>
          <w:rFonts w:hint="eastAsia" w:ascii="宋体" w:hAnsi="宋体" w:eastAsia="宋体" w:cs="宋体"/>
          <w:color w:val="auto"/>
          <w:sz w:val="24"/>
          <w:szCs w:val="24"/>
          <w:highlight w:val="none"/>
          <w:u w:val="none"/>
        </w:rPr>
        <w:t xml:space="preserve">除以365日</w:t>
      </w:r>
      <w:r>
        <w:rPr>
          <w:rFonts w:hint="eastAsia" w:ascii="宋体" w:hAnsi="宋体" w:eastAsia="宋体" w:cs="宋体"/>
          <w:color w:val="auto"/>
          <w:sz w:val="24"/>
          <w:szCs w:val="24"/>
          <w:highlight w:val="none"/>
          <w:u w:val="none"/>
          <w:lang w:val="en-US" w:eastAsia="zh-CN"/>
        </w:rPr>
        <w:t xml:space="preserve">后按实计算，如遇人员数量调整的按照实际人员数量结算</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如有预付款则全额扣回，如有</w:t>
      </w:r>
      <w:r>
        <w:rPr>
          <w:rFonts w:hint="eastAsia" w:ascii="宋体" w:hAnsi="宋体" w:eastAsia="宋体" w:cs="宋体"/>
          <w:color w:val="auto"/>
          <w:sz w:val="24"/>
          <w:szCs w:val="24"/>
          <w:highlight w:val="none"/>
          <w:u w:val="none"/>
        </w:rPr>
        <w:t xml:space="preserve">甲方对乙方的处罚、违约金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考核等扣款，则以实际扣除后的金额发放。</w:t>
      </w:r>
      <w:r/>
    </w:p>
    <w:p>
      <w:pPr>
        <w:pStyle w:val="725"/>
        <w:ind w:firstLine="482"/>
        <w:jc w:val="both"/>
        <w:keepLines w:val="0"/>
        <w:keepNext w:val="0"/>
        <w:pageBreakBefore w:val="0"/>
        <w:spacing w:before="145" w:beforeAutospacing="0" w:after="145"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四、服务方案</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投标人应根据采购需求和本项目实际，制订相应的服务方案包括但不限于以下内容：</w:t>
      </w:r>
      <w:r/>
    </w:p>
    <w:p>
      <w:pPr>
        <w:pStyle w:val="725"/>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1.投标人根据本项目总体要求，提供科学合理的治安秩序服务方案，进行详细阐述，内容至少包括：①治安管理制度；②护学岗专项方案；③校园巡逻方案；④监控联动值守方案。</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2.投标人根据本项目总体要求，提供科学合理的项目组织结构、人员配备，进行详细阐述，内容至少包括：①项目团队组织架构；②项目团队职责分工。</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3.投标人根据本项目总体要求，提供科学合理的应急处置方案，进行详细阐述，内容至少包括：①防暴恐、外来人员持刀闯校处置方案；②偷盗处置措施。</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4.投标人根据本项目总体要求，提供科学合理的人员培训及演练方案，进行详细阐述，内容至少包括：①人员培训计划；②人员演练方案。</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5.投标人根据本项目总体要求，提供科学合理的台账管理与配合保障方案，进行详细阐述，内容至少包括：①全套标准化台账管理方案；②节假日、重大活动保障措施。</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五、企业业绩</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为了确保项目的顺利实施，投标人需具备丰富的经验，确保本项目的顺利实施，投标人自2023年1月1日以来（以合同签订时间为准）承担过类似保安服务项目的优先。</w:t>
      </w:r>
      <w:r/>
    </w:p>
    <w:p>
      <w:pPr>
        <w:ind w:firstLine="482"/>
        <w:spacing w:line="44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六、企业资信</w:t>
      </w:r>
      <w:r/>
    </w:p>
    <w:p>
      <w:pPr>
        <w:pStyle w:val="725"/>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1.为了择优选择中标人，确保服务质量，投标人具有有效期内的质量管理体系认证证书、职业健康安全管理体系认证证书的优先。</w:t>
      </w:r>
      <w:r/>
    </w:p>
    <w:p>
      <w:pPr>
        <w:pStyle w:val="725"/>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2.为了择优选择中标人，确保服务质量，投标人自2023年1月1日（以发证日期为准）以来获得行政部门奖项的优先。</w:t>
      </w:r>
      <w:r/>
    </w:p>
    <w:p>
      <w:pPr>
        <w:pStyle w:val="725"/>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3.为了择优选择中标人，确保人员素质优良，拟投入保安人员中具有保安职业技能等级中级（四级）、高级(三级)及以上证书(包括原依法取得仍在有效期内的相应等级证书)的优先。</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七、采购标的对应的中小企业划分标准所属行业一览表</w:t>
      </w:r>
      <w:r/>
    </w:p>
    <w:tbl>
      <w:tblPr>
        <w:tblStyle w:val="712"/>
        <w:tblW w:w="104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54"/>
        <w:gridCol w:w="5138"/>
        <w:gridCol w:w="3867"/>
      </w:tblGrid>
      <w:tr>
        <w:trPr>
          <w:jc w:val="cente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对应中小企业划分标准所属行业</w:t>
            </w:r>
            <w:r/>
          </w:p>
        </w:tc>
      </w:tr>
      <w:tr>
        <w:trPr>
          <w:jc w:val="center"/>
          <w:tblCellSpacing w:w="0" w:type="dxa"/>
          <w:trHeight w:val="582"/>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72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2026年盐南高新区区直学校（园）安保服务项目</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725"/>
              <w:jc w:val="center"/>
              <w:spacing w:beforeAutospacing="0" w:afterAutospacing="0" w:line="0" w:lineRule="atLeast"/>
              <w:rPr>
                <w:rFonts w:hint="default" w:asciiTheme="minorEastAsia" w:hAnsiTheme="minorEastAsia" w:cstheme="minorEastAsia"/>
                <w:b w:val="0"/>
                <w:bCs w:val="0"/>
                <w:i/>
                <w:iCs/>
                <w:color w:val="auto"/>
                <w:sz w:val="24"/>
                <w:szCs w:val="24"/>
                <w:highlight w:val="none"/>
                <w:u w:val="single"/>
                <w:shd w:val="clear" w:color="auto" w:fill="ffffff"/>
                <w:lang w:val="en-US" w:eastAsia="zh-CN"/>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租赁和商务服务业</w:t>
            </w:r>
            <w:r/>
          </w:p>
        </w:tc>
      </w:tr>
    </w:tbl>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bookmarkStart w:id="179" w:name="_Toc120614281"/>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725"/>
        <w:jc w:val="center"/>
        <w:keepNext/>
        <w:spacing w:beforeAutospacing="0" w:afterAutospacing="0"/>
        <w:rPr>
          <w:rFonts w:hint="eastAsia" w:asciiTheme="minorEastAsia" w:hAnsiTheme="minorEastAsia" w:eastAsiaTheme="minorEastAsia" w:cstheme="minorEastAsia"/>
          <w:color w:val="auto"/>
          <w:highlight w:val="none"/>
        </w:rPr>
        <w:outlineLvl w:val="0"/>
      </w:pPr>
      <w:r/>
      <w:bookmarkStart w:id="180" w:name="_Toc12595"/>
      <w:r>
        <w:rPr>
          <w:rFonts w:hint="eastAsia" w:asciiTheme="minorEastAsia" w:hAnsiTheme="minorEastAsia" w:eastAsiaTheme="minorEastAsia" w:cstheme="minorEastAsia"/>
          <w:color w:val="auto"/>
          <w:sz w:val="44"/>
          <w:szCs w:val="44"/>
          <w:highlight w:val="none"/>
        </w:rPr>
        <w:t xml:space="preserve">第五章  </w:t>
      </w:r>
      <w:r>
        <w:rPr>
          <w:rFonts w:hint="eastAsia" w:asciiTheme="minorEastAsia" w:hAnsiTheme="minorEastAsia" w:eastAsiaTheme="minorEastAsia" w:cstheme="minorEastAsia"/>
          <w:b/>
          <w:color w:val="auto"/>
          <w:sz w:val="44"/>
          <w:szCs w:val="44"/>
          <w:highlight w:val="none"/>
        </w:rPr>
        <w:t xml:space="preserve">评标方法与评标标准</w:t>
      </w:r>
      <w:bookmarkEnd w:id="180"/>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25"/>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（1）本项目专门面向中小企业采购，不再对小型和微型企业服务给予价格扣除。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本项目专门面向中小企业采购，不再对联合体给予价格扣除。</w:t>
      </w:r>
      <w:r>
        <w:rPr>
          <w:rFonts w:hint="eastAsia" w:ascii="宋体" w:hAnsi="宋体" w:eastAsia="宋体" w:cs="宋体"/>
          <w:color w:val="auto"/>
          <w:sz w:val="24"/>
          <w:szCs w:val="24"/>
          <w:highlight w:val="none"/>
          <w:lang w:eastAsia="zh-CN"/>
        </w:rPr>
        <w:t xml:space="preserve">）</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6、本项目专门面向中小企业采购，不再对联合体各方均为小型、微型企业（残疾人福利单位、监狱企业）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给予价格扣除。</w:t>
      </w:r>
      <w:r/>
    </w:p>
    <w:p>
      <w:pPr>
        <w:pStyle w:val="753"/>
        <w:ind w:firstLine="480"/>
        <w:spacing w:beforeAutospacing="0" w:afterAutospacing="0" w:line="400" w:lineRule="atLeas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7、采购本国产品的支持政策</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8、严格执行政府采购关于支</w:t>
      </w:r>
      <w:r>
        <w:rPr>
          <w:rFonts w:hint="eastAsia" w:ascii="宋体" w:hAnsi="宋体" w:eastAsia="宋体" w:cs="宋体"/>
          <w:color w:val="auto"/>
          <w:sz w:val="24"/>
          <w:szCs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auto"/>
          <w:sz w:val="24"/>
          <w:szCs w:val="24"/>
          <w:highlight w:val="none"/>
          <w:lang w:eastAsia="zh-CN"/>
        </w:rPr>
        <w:t xml:space="preserve">。</w:t>
      </w:r>
      <w:r/>
    </w:p>
    <w:p>
      <w:pPr>
        <w:pStyle w:val="725"/>
        <w:ind w:firstLine="482"/>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评标方法与评标标准</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本项目评分总分值为100分。</w:t>
      </w:r>
      <w:r/>
    </w:p>
    <w:tbl>
      <w:tblPr>
        <w:tblStyle w:val="712"/>
        <w:tblW w:w="53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209"/>
        <w:gridCol w:w="767"/>
        <w:gridCol w:w="7002"/>
      </w:tblGrid>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tcW w:w="1034"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评审项目</w:t>
            </w:r>
            <w:r/>
          </w:p>
        </w:tc>
        <w:tc>
          <w:tcPr>
            <w:tcW w:w="359"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分值</w:t>
            </w:r>
            <w:r/>
          </w:p>
        </w:tc>
        <w:tc>
          <w:tcPr>
            <w:tcW w:w="327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 分 细 则</w:t>
            </w:r>
            <w:r/>
          </w:p>
        </w:tc>
      </w:tr>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034"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投标报价</w:t>
            </w:r>
            <w:r/>
          </w:p>
        </w:tc>
        <w:tc>
          <w:tcPr>
            <w:tcW w:w="359" w:type="pct"/>
            <w:vAlign w:val="center"/>
            <w:textDirection w:val="lrTb"/>
            <w:noWrap w:val="false"/>
          </w:tcPr>
          <w:p>
            <w:pPr>
              <w:jc w:val="center"/>
              <w:spacing w:before="78" w:after="78" w:line="360" w:lineRule="exact"/>
              <w:rPr>
                <w:rFonts w:hint="default"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cstheme="minorEastAsia"/>
                <w:b w:val="0"/>
                <w:bCs w:val="0"/>
                <w:color w:val="auto"/>
                <w:szCs w:val="21"/>
                <w:highlight w:val="none"/>
                <w:lang w:val="en-US" w:eastAsia="zh-CN"/>
              </w:rPr>
              <w:t xml:space="preserve">50</w:t>
            </w:r>
            <w:r/>
          </w:p>
        </w:tc>
        <w:tc>
          <w:tcPr>
            <w:tcW w:w="3278" w:type="pct"/>
            <w:vAlign w:val="center"/>
            <w:textDirection w:val="lrTb"/>
            <w:noWrap w:val="false"/>
          </w:tcPr>
          <w:p>
            <w:pPr>
              <w:spacing w:before="78" w:after="78" w:line="360" w:lineRule="exact"/>
              <w:rPr>
                <w:rFonts w:hint="eastAsia"/>
                <w:lang w:eastAsia="zh-CN"/>
              </w:rPr>
            </w:pPr>
            <w:r>
              <w:rPr>
                <w:rFonts w:hint="eastAsia"/>
              </w:rPr>
              <w:t xml:space="preserve">评标基准价：满足招标文件要求且投标价格最低的投标报价为评标基准价，其价格分为</w:t>
            </w:r>
            <w:r>
              <w:rPr>
                <w:rFonts w:hint="eastAsia"/>
                <w:lang w:val="en-US" w:eastAsia="zh-CN"/>
              </w:rPr>
              <w:t xml:space="preserve">50</w:t>
            </w:r>
            <w:r>
              <w:rPr>
                <w:rFonts w:hint="eastAsia"/>
              </w:rPr>
              <w:t xml:space="preserve">分</w:t>
            </w:r>
            <w:r>
              <w:rPr>
                <w:rFonts w:hint="eastAsia"/>
                <w:lang w:eastAsia="zh-CN"/>
              </w:rPr>
              <w:t xml:space="preserve">。</w:t>
            </w:r>
            <w:r/>
          </w:p>
          <w:p>
            <w:pPr>
              <w:spacing w:before="78" w:after="78" w:line="360" w:lineRule="exact"/>
              <w:rPr>
                <w:rFonts w:hint="eastAsia"/>
              </w:rPr>
            </w:pPr>
            <w:r>
              <w:rPr>
                <w:rFonts w:hint="eastAsia"/>
              </w:rPr>
              <w:t xml:space="preserve">其他投标人的价格分统一按照下列公式计算（小数点后保留两位）：投标报价得分=评标基准价/投标报价×</w:t>
            </w:r>
            <w:r>
              <w:rPr>
                <w:rFonts w:hint="eastAsia"/>
                <w:lang w:val="en-US" w:eastAsia="zh-CN"/>
              </w:rPr>
              <w:t xml:space="preserve">50</w:t>
            </w:r>
            <w:r>
              <w:rPr>
                <w:rFonts w:hint="eastAsia"/>
              </w:rPr>
              <w:t xml:space="preserve">。</w:t>
            </w:r>
            <w:r/>
          </w:p>
        </w:tc>
      </w:tr>
      <w:tr>
        <w:trPr>
          <w:jc w:val="center"/>
          <w:trHeight w:val="90"/>
        </w:trPr>
        <w:tc>
          <w:tcPr>
            <w:tcW w:w="328"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w:t>
            </w:r>
            <w:r/>
          </w:p>
        </w:tc>
        <w:tc>
          <w:tcPr>
            <w:tcW w:w="1034"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企业业绩</w:t>
            </w:r>
            <w:r/>
          </w:p>
        </w:tc>
        <w:tc>
          <w:tcPr>
            <w:tcW w:w="359" w:type="pct"/>
            <w:vAlign w:val="center"/>
            <w:textDirection w:val="lrTb"/>
            <w:noWrap w:val="false"/>
          </w:tcPr>
          <w:p>
            <w:pPr>
              <w:jc w:val="center"/>
              <w:spacing w:line="360" w:lineRule="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4</w:t>
            </w:r>
            <w:r/>
          </w:p>
        </w:tc>
        <w:tc>
          <w:tcPr>
            <w:tcW w:w="3278" w:type="pct"/>
            <w:vAlign w:val="center"/>
            <w:textDirection w:val="lrTb"/>
            <w:noWrap w:val="false"/>
          </w:tcPr>
          <w:p>
            <w:pPr>
              <w:pStyle w:val="771"/>
              <w:numPr>
                <w:ilvl w:val="0"/>
                <w:numId w:val="0"/>
              </w:numP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投标人自2023年1月1日以来（以合同签订时间为准），承担过类似保安服务项目业绩的，每有一个得2分，最多得4分。</w:t>
            </w:r>
            <w:r/>
          </w:p>
          <w:p>
            <w:pPr>
              <w:pStyle w:val="771"/>
              <w:numPr>
                <w:ilvl w:val="0"/>
                <w:numId w:val="0"/>
              </w:numPr>
              <w:spacing w:line="360" w:lineRule="auto"/>
              <w:rPr>
                <w:rFonts w:hint="default" w:eastAsia="宋体" w:asciiTheme="minorEastAsia" w:hAnsi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注：以提供的合同原件</w:t>
            </w:r>
            <w:r>
              <w:rPr>
                <w:rFonts w:hint="eastAsia" w:asciiTheme="minorEastAsia" w:hAnsiTheme="minorEastAsia" w:cstheme="minorEastAsia"/>
                <w:b/>
                <w:bCs/>
                <w:color w:val="auto"/>
                <w:sz w:val="21"/>
                <w:szCs w:val="21"/>
                <w:highlight w:val="none"/>
                <w:lang w:val="en-US" w:eastAsia="zh-CN" w:bidi="ar-SA"/>
              </w:rPr>
              <w:t xml:space="preserve">彩色扫描件</w:t>
            </w:r>
            <w:r>
              <w:rPr>
                <w:rFonts w:hint="eastAsia" w:asciiTheme="minorEastAsia" w:hAnsiTheme="minorEastAsia" w:eastAsiaTheme="minorEastAsia" w:cstheme="minorEastAsia"/>
                <w:b/>
                <w:bCs/>
                <w:color w:val="auto"/>
                <w:sz w:val="21"/>
                <w:szCs w:val="21"/>
                <w:highlight w:val="none"/>
                <w:lang w:val="en-US" w:eastAsia="zh-CN" w:bidi="ar-SA"/>
              </w:rPr>
              <w:t xml:space="preserve">为准，未提供或内容不全、无法清晰辨别的不得分。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3</w:t>
            </w:r>
            <w:r/>
          </w:p>
        </w:tc>
        <w:tc>
          <w:tcPr>
            <w:tcW w:w="1034"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企业资信</w:t>
            </w:r>
            <w:r/>
          </w:p>
        </w:tc>
        <w:tc>
          <w:tcPr>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5</w:t>
            </w:r>
            <w:r/>
          </w:p>
        </w:tc>
        <w:tc>
          <w:tcPr>
            <w:tcW w:w="3278" w:type="pct"/>
            <w:vAlign w:val="center"/>
            <w:textDirection w:val="lrTb"/>
            <w:noWrap w:val="false"/>
          </w:tcPr>
          <w:p>
            <w:pPr>
              <w:numPr>
                <w:ilvl w:val="0"/>
                <w:numId w:val="0"/>
              </w:numPr>
              <w:jc w:val="left"/>
              <w:spacing w:before="78" w:after="78" w:line="24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1、投标人具有有效期内的质量管理体系认证证书、职业健康安全管理体系认证证书的，每有一个得1分，本项最高得2分。</w:t>
            </w:r>
            <w:r/>
          </w:p>
          <w:p>
            <w:pPr>
              <w:numPr>
                <w:ilvl w:val="0"/>
                <w:numId w:val="0"/>
              </w:numPr>
              <w:jc w:val="left"/>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注：投标时提供证书原件的扫描件，并提供中国认监委网站（</w:t>
            </w:r>
            <w:r>
              <w:rPr>
                <w:rFonts w:hint="eastAsia" w:ascii="宋体" w:hAnsi="宋体" w:eastAsia="宋体" w:cs="宋体"/>
                <w:color w:val="auto"/>
                <w:sz w:val="22"/>
                <w:szCs w:val="22"/>
                <w:highlight w:val="none"/>
                <w:lang w:val="en-US" w:eastAsia="zh-CN"/>
              </w:rPr>
              <w:fldChar w:fldCharType="begin"/>
            </w:r>
            <w:r>
              <w:rPr>
                <w:rFonts w:hint="eastAsia" w:ascii="宋体" w:hAnsi="宋体" w:eastAsia="宋体" w:cs="宋体"/>
                <w:color w:val="auto"/>
                <w:sz w:val="22"/>
                <w:szCs w:val="22"/>
                <w:highlight w:val="none"/>
                <w:lang w:val="en-US" w:eastAsia="zh-CN"/>
              </w:rPr>
              <w:instrText xml:space="preserve"> HYPERLINK "http://www.cnca.gov.cn/" </w:instrText>
            </w:r>
            <w:r>
              <w:rPr>
                <w:rFonts w:hint="eastAsia" w:ascii="宋体" w:hAnsi="宋体" w:eastAsia="宋体" w:cs="宋体"/>
                <w:color w:val="auto"/>
                <w:sz w:val="22"/>
                <w:szCs w:val="22"/>
                <w:highlight w:val="none"/>
                <w:lang w:val="en-US" w:eastAsia="zh-CN"/>
              </w:rPr>
              <w:fldChar w:fldCharType="separate"/>
            </w:r>
            <w:r>
              <w:rPr>
                <w:rFonts w:hint="eastAsia" w:ascii="宋体" w:hAnsi="宋体" w:eastAsia="宋体" w:cs="宋体"/>
                <w:color w:val="auto"/>
                <w:sz w:val="22"/>
                <w:szCs w:val="22"/>
                <w:highlight w:val="none"/>
                <w:lang w:val="en-US" w:eastAsia="zh-CN"/>
              </w:rPr>
              <w:t xml:space="preserve">http://www.cnca.gov.cn/</w:t>
            </w:r>
            <w:r>
              <w:rPr>
                <w:rFonts w:hint="eastAsia" w:ascii="宋体" w:hAnsi="宋体" w:eastAsia="宋体" w:cs="宋体"/>
                <w:color w:val="auto"/>
                <w:sz w:val="22"/>
                <w:szCs w:val="22"/>
                <w:highlight w:val="none"/>
                <w:lang w:val="en-US" w:eastAsia="zh-CN"/>
              </w:rPr>
              <w:fldChar w:fldCharType="end"/>
            </w:r>
            <w:r>
              <w:rPr>
                <w:rFonts w:hint="eastAsia" w:ascii="宋体" w:hAnsi="宋体" w:eastAsia="宋体" w:cs="宋体"/>
                <w:color w:val="auto"/>
                <w:sz w:val="22"/>
                <w:szCs w:val="22"/>
                <w:highlight w:val="none"/>
                <w:lang w:val="en-US" w:eastAsia="zh-CN"/>
              </w:rPr>
              <w:t xml:space="preserve">）查询截图，不提供或提供不全不得分。</w:t>
            </w:r>
            <w:r/>
          </w:p>
          <w:p>
            <w:pPr>
              <w:pStyle w:val="713"/>
              <w:rPr>
                <w:rFonts w:hint="default"/>
                <w:lang w:val="en-US" w:eastAsia="zh-CN"/>
              </w:rPr>
            </w:pPr>
            <w:r>
              <w:rPr>
                <w:rFonts w:hint="eastAsia"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投标人自2023年1月1日（以发证日期为准）以来获得县</w:t>
            </w:r>
            <w:r>
              <w:rPr>
                <w:rFonts w:hint="eastAsia" w:hAnsi="宋体" w:eastAsia="宋体" w:cs="宋体"/>
                <w:color w:val="auto"/>
                <w:sz w:val="22"/>
                <w:szCs w:val="22"/>
                <w:highlight w:val="none"/>
                <w:lang w:val="en-US" w:eastAsia="zh-CN"/>
              </w:rPr>
              <w:t xml:space="preserve">、区</w:t>
            </w:r>
            <w:r>
              <w:rPr>
                <w:rFonts w:hint="eastAsia" w:ascii="宋体" w:hAnsi="宋体" w:eastAsia="宋体" w:cs="宋体"/>
                <w:color w:val="auto"/>
                <w:sz w:val="22"/>
                <w:szCs w:val="22"/>
                <w:highlight w:val="none"/>
                <w:lang w:val="en-US" w:eastAsia="zh-CN"/>
              </w:rPr>
              <w:t xml:space="preserve">级行政部门奖项的得1分，获得市级及以上行政部门奖项的得2分。</w:t>
            </w:r>
            <w:r>
              <w:rPr>
                <w:rFonts w:hint="eastAsia" w:ascii="宋体" w:hAnsi="宋体" w:eastAsia="宋体" w:cs="宋体"/>
                <w:color w:val="auto"/>
                <w:sz w:val="22"/>
                <w:szCs w:val="22"/>
                <w:highlight w:val="none"/>
                <w:lang w:val="zh-CN" w:eastAsia="zh-CN"/>
              </w:rPr>
              <w:t xml:space="preserve">（此项以最高奖项计分，不累计计分，以提供的荣誉证书或奖状或获奖文件彩色扫描件为依据，否则不得分）。</w:t>
            </w:r>
            <w:r/>
          </w:p>
          <w:p>
            <w:pPr>
              <w:numPr>
                <w:ilvl w:val="0"/>
                <w:numId w:val="0"/>
              </w:numPr>
              <w:jc w:val="left"/>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拟投入的保安人员中具有保安职业技能等级中级（四级）证书(包括原依法取得仍在有效期内的相应等级证书)的提供1人得0.5分；具有保安职业技能等级高级(三级)及以上证书(包括原依法取得仍在有效期内的相应等级证书)的提供1人得1分，最高得1分。</w:t>
            </w:r>
            <w:r/>
          </w:p>
          <w:p>
            <w:pPr>
              <w:numPr>
                <w:ilvl w:val="0"/>
                <w:numId w:val="0"/>
              </w:numPr>
              <w:jc w:val="left"/>
              <w:spacing w:before="78" w:after="78" w:line="240" w:lineRule="auto"/>
              <w:rPr>
                <w:rFonts w:hint="default"/>
                <w:lang w:val="en-US" w:eastAsia="zh-CN"/>
              </w:rPr>
            </w:pPr>
            <w:r>
              <w:rPr>
                <w:rFonts w:hint="eastAsia" w:ascii="宋体" w:hAnsi="宋体" w:eastAsia="宋体" w:cs="宋体"/>
                <w:color w:val="auto"/>
                <w:sz w:val="22"/>
                <w:szCs w:val="22"/>
                <w:highlight w:val="none"/>
                <w:lang w:val="en-US" w:eastAsia="zh-CN"/>
              </w:rPr>
              <w:t xml:space="preserve">注：以上人员需提供证书原件扫描件及近3个月以来任意1个月在投标人单位的社保缴纳证明，未提供或提供不全的不得分。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4</w:t>
            </w:r>
            <w:r/>
          </w:p>
        </w:tc>
        <w:tc>
          <w:tcPr>
            <w:tcW w:w="1034"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Fonts w:hint="eastAsia" w:ascii="宋体" w:hAnsi="宋体" w:eastAsia="宋体" w:cs="宋体"/>
                <w:color w:val="auto"/>
                <w:sz w:val="22"/>
                <w:szCs w:val="18"/>
                <w:highlight w:val="none"/>
                <w:lang w:val="en-US" w:eastAsia="zh-CN"/>
              </w:rPr>
              <w:t xml:space="preserve">治安秩序服务方案</w:t>
            </w:r>
            <w:r/>
          </w:p>
        </w:tc>
        <w:tc>
          <w:tcPr>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9</w:t>
            </w:r>
            <w:r/>
          </w:p>
        </w:tc>
        <w:tc>
          <w:tcPr>
            <w:tcW w:w="3278" w:type="pct"/>
            <w:vAlign w:val="center"/>
            <w:textDirection w:val="lrTb"/>
            <w:noWrap w:val="false"/>
          </w:tcPr>
          <w:p>
            <w:pPr>
              <w:spacing w:before="78" w:after="78" w:line="360" w:lineRule="exact"/>
              <w:rPr>
                <w:rFonts w:hint="default"/>
                <w:lang w:val="en-US" w:eastAsia="zh-CN"/>
              </w:rPr>
            </w:pPr>
            <w:r>
              <w:rPr>
                <w:rStyle w:val="752"/>
                <w:rFonts w:hint="eastAsia" w:ascii="宋体" w:hAnsi="宋体" w:eastAsia="宋体" w:cs="宋体"/>
                <w:b w:val="0"/>
                <w:bCs w:val="0"/>
                <w:color w:val="000000"/>
                <w:sz w:val="21"/>
                <w:szCs w:val="21"/>
                <w:highlight w:val="none"/>
                <w:lang w:val="en-US" w:eastAsia="zh-CN" w:bidi="ar"/>
              </w:rPr>
              <w:t xml:space="preserve">评标委员会根据投标人提供的符合政策法规的整体设想及策划进行评审，</w:t>
            </w:r>
            <w:r>
              <w:rPr>
                <w:rFonts w:hint="eastAsia" w:asciiTheme="minorEastAsia" w:hAnsiTheme="minorEastAsia" w:cstheme="minorEastAsia"/>
                <w:color w:val="auto"/>
                <w:sz w:val="21"/>
                <w:szCs w:val="21"/>
                <w:highlight w:val="none"/>
                <w:lang w:val="en-US" w:eastAsia="zh-CN"/>
              </w:rPr>
              <w:t xml:space="preserve">内容至少包括：</w:t>
            </w:r>
            <w:r>
              <w:rPr>
                <w:rFonts w:hint="eastAsia" w:ascii="宋体" w:hAnsi="宋体" w:eastAsia="宋体" w:cs="宋体"/>
                <w:color w:val="auto"/>
                <w:sz w:val="22"/>
                <w:szCs w:val="18"/>
                <w:highlight w:val="none"/>
                <w:lang w:val="en-US" w:eastAsia="zh-CN"/>
              </w:rPr>
              <w:t xml:space="preserve">①治安管理制度；②护学岗专项方案；③校园巡逻方案；④监控联动值守方案</w:t>
            </w:r>
            <w:r>
              <w:rPr>
                <w:rFonts w:hint="eastAsia" w:asciiTheme="minorEastAsia" w:hAnsiTheme="minorEastAsia" w:cstheme="minorEastAsia"/>
                <w:color w:val="auto"/>
                <w:sz w:val="21"/>
                <w:szCs w:val="21"/>
                <w:highlight w:val="none"/>
                <w:lang w:val="en-US" w:eastAsia="zh-CN"/>
              </w:rPr>
              <w:t xml:space="preserve">，</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优于项目需求得9分，满足项目需求得7分，内容略有缺失、合理性及可行性有欠缺的得5分，不提供得0分。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5</w:t>
            </w:r>
            <w:r/>
          </w:p>
        </w:tc>
        <w:tc>
          <w:tcPr>
            <w:tcW w:w="1034"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cstheme="minorEastAsia"/>
                <w:color w:val="auto"/>
                <w:sz w:val="21"/>
                <w:szCs w:val="21"/>
                <w:highlight w:val="none"/>
                <w:lang w:val="en-US" w:eastAsia="zh-CN"/>
              </w:rPr>
              <w:t xml:space="preserve">组织</w:t>
            </w:r>
            <w:r>
              <w:rPr>
                <w:rFonts w:hint="eastAsia" w:asciiTheme="minorEastAsia" w:hAnsiTheme="minorEastAsia" w:eastAsiaTheme="minorEastAsia" w:cstheme="minorEastAsia"/>
                <w:color w:val="auto"/>
                <w:sz w:val="21"/>
                <w:szCs w:val="21"/>
                <w:highlight w:val="none"/>
                <w:lang w:val="en-US" w:eastAsia="zh-CN"/>
              </w:rPr>
              <w:t xml:space="preserve">结构</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人员</w:t>
            </w:r>
            <w:r>
              <w:rPr>
                <w:rFonts w:hint="eastAsia" w:asciiTheme="minorEastAsia" w:hAnsiTheme="minorEastAsia" w:cstheme="minorEastAsia"/>
                <w:color w:val="auto"/>
                <w:sz w:val="21"/>
                <w:szCs w:val="21"/>
                <w:highlight w:val="none"/>
                <w:lang w:val="en-US" w:eastAsia="zh-CN"/>
              </w:rPr>
              <w:t xml:space="preserve">配备</w:t>
            </w:r>
            <w:r/>
          </w:p>
        </w:tc>
        <w:tc>
          <w:tcPr>
            <w:shd w:val="clear" w:color="auto" w:fill="auto"/>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评标委员会根据投标人提供的项目组织结构、人员配备进行评审，内容至少包括：①项目团队组织架构；②项目团队职责分工，</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优于项目需求得8分，满足项目需求得6分，内容略有缺失、合理性及可行性有欠缺的得4分，不提供得0分。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6</w:t>
            </w:r>
            <w:r/>
          </w:p>
        </w:tc>
        <w:tc>
          <w:tcPr>
            <w:tcW w:w="1034"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应急处置方案</w:t>
            </w:r>
            <w:r/>
          </w:p>
        </w:tc>
        <w:tc>
          <w:tcPr>
            <w:shd w:val="clear" w:color="auto" w:fill="auto"/>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评标委员会根据投标人提供的应急处置方案进行评审，内容至少包括：①防暴恐、外来人员持</w:t>
            </w:r>
            <w:r>
              <w:rPr>
                <w:rFonts w:hint="eastAsia" w:ascii="宋体" w:hAnsi="宋体" w:eastAsia="宋体" w:cs="宋体"/>
                <w:color w:val="auto"/>
                <w:highlight w:val="none"/>
                <w:lang w:val="en-US" w:eastAsia="zh-CN"/>
              </w:rPr>
              <w:t xml:space="preserve">刀闯校处置方案；②偷盗处置措施；③斗殴行为处置措施，方案优于项目需求得8分，满足项目需求得6分，内容略有缺失、合理性及可行性有欠缺的得4分，不提供得0分。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7</w:t>
            </w:r>
            <w:r/>
          </w:p>
        </w:tc>
        <w:tc>
          <w:tcPr>
            <w:tcW w:w="1034" w:type="pct"/>
            <w:vAlign w:val="center"/>
            <w:textDirection w:val="lrTb"/>
            <w:noWrap w:val="false"/>
          </w:tcPr>
          <w:p>
            <w:pPr>
              <w:jc w:val="center"/>
              <w:spacing w:before="78" w:after="78" w:line="360" w:lineRule="exact"/>
              <w:rPr>
                <w:rFonts w:hint="default" w:ascii="宋体" w:hAnsi="宋体" w:cs="宋体"/>
                <w:sz w:val="22"/>
                <w:szCs w:val="22"/>
                <w:lang w:val="en-US" w:eastAsia="zh-CN"/>
              </w:rPr>
            </w:pPr>
            <w:r>
              <w:rPr>
                <w:rFonts w:hint="eastAsia" w:ascii="宋体" w:hAnsi="宋体" w:cs="宋体"/>
                <w:sz w:val="22"/>
                <w:szCs w:val="22"/>
                <w:lang w:val="en-US" w:eastAsia="zh-CN"/>
              </w:rPr>
              <w:t xml:space="preserve">人员培训及演练方案</w:t>
            </w:r>
            <w:r/>
          </w:p>
        </w:tc>
        <w:tc>
          <w:tcPr>
            <w:shd w:val="clear" w:color="auto" w:fill="auto"/>
            <w:tcW w:w="359" w:type="pct"/>
            <w:vAlign w:val="center"/>
            <w:textDirection w:val="lrTb"/>
            <w:noWrap w:val="false"/>
          </w:tcPr>
          <w:p>
            <w:pPr>
              <w:jc w:val="center"/>
              <w:spacing w:before="78" w:after="78" w:line="360" w:lineRule="exact"/>
              <w:rPr>
                <w:rStyle w:val="752"/>
                <w:rFonts w:hint="default" w:ascii="宋体" w:hAnsi="宋体" w:eastAsia="宋体" w:cs="宋体"/>
                <w:b w:val="0"/>
                <w:bCs w:val="0"/>
                <w:color w:val="000000"/>
                <w:sz w:val="21"/>
                <w:szCs w:val="21"/>
                <w:highlight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评标委员会根据投标人提供的人员培训及演练方案进行评审，内容至少包括：①人员培训计划；②人员演练方案，</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优于项目需求得8分，满足项目需求得6分，内容略有缺失、合理性及可行性有欠缺的得4分，不提供得0分。</w:t>
            </w:r>
            <w:r/>
          </w:p>
        </w:tc>
      </w:tr>
      <w:tr>
        <w:trPr>
          <w:jc w:val="center"/>
          <w:trHeight w:val="90"/>
        </w:trPr>
        <w:tc>
          <w:tcPr>
            <w:tcW w:w="328"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8 </w:t>
            </w:r>
            <w:r/>
          </w:p>
        </w:tc>
        <w:tc>
          <w:tcPr>
            <w:shd w:val="clear" w:color="auto" w:fill="auto"/>
            <w:tcW w:w="1034" w:type="pct"/>
            <w:vAlign w:val="center"/>
            <w:textDirection w:val="lrTb"/>
            <w:noWrap w:val="false"/>
          </w:tcPr>
          <w:p>
            <w:pPr>
              <w:jc w:val="center"/>
              <w:spacing w:before="78" w:after="78" w:line="36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台账管理与配合保障方案</w:t>
            </w:r>
            <w:r/>
          </w:p>
        </w:tc>
        <w:tc>
          <w:tcPr>
            <w:shd w:val="clear" w:color="auto" w:fill="auto"/>
            <w:tcW w:w="359" w:type="pct"/>
            <w:vAlign w:val="center"/>
            <w:textDirection w:val="lrTb"/>
            <w:noWrap w:val="false"/>
          </w:tcPr>
          <w:p>
            <w:pPr>
              <w:jc w:val="center"/>
              <w:spacing w:before="78" w:after="78" w:line="360" w:lineRule="exact"/>
              <w:rPr>
                <w:rFonts w:hint="default" w:ascii="宋体" w:hAnsi="宋体" w:eastAsia="宋体" w:cs="宋体"/>
                <w:b w:val="0"/>
                <w:bCs w:val="0"/>
                <w:color w:val="000000"/>
                <w:sz w:val="21"/>
                <w:szCs w:val="21"/>
                <w:highlight w:val="none"/>
                <w:u w:val="none"/>
                <w:lang w:val="en-US" w:eastAsia="zh-CN" w:bidi="ar"/>
              </w:rPr>
            </w:pPr>
            <w:r>
              <w:rPr>
                <w:rFonts w:hint="eastAsia" w:ascii="宋体" w:hAnsi="宋体" w:eastAsia="宋体" w:cs="宋体"/>
                <w:b w:val="0"/>
                <w:bCs w:val="0"/>
                <w:color w:val="000000"/>
                <w:sz w:val="21"/>
                <w:szCs w:val="21"/>
                <w:highlight w:val="none"/>
                <w:u w:val="none"/>
                <w:lang w:val="en-US" w:eastAsia="zh-CN" w:bidi="ar"/>
              </w:rPr>
              <w:t xml:space="preserve">8</w:t>
            </w:r>
            <w:r/>
          </w:p>
        </w:tc>
        <w:tc>
          <w:tcPr>
            <w:shd w:val="clear" w:color="auto" w:fill="auto"/>
            <w:tcW w:w="3278" w:type="pct"/>
            <w:vAlign w:val="center"/>
            <w:textDirection w:val="lrTb"/>
            <w:noWrap w:val="false"/>
          </w:tcPr>
          <w:p>
            <w:pPr>
              <w:spacing w:before="78" w:after="78" w:line="360" w:lineRule="exact"/>
              <w:rPr>
                <w:rFonts w:hint="eastAsia" w:ascii="宋体" w:hAnsi="宋体" w:eastAsia="宋体" w:cs="宋体"/>
                <w:b w:val="0"/>
                <w:bCs w:val="0"/>
                <w:color w:val="000000"/>
                <w:sz w:val="21"/>
                <w:szCs w:val="21"/>
                <w:highlight w:val="none"/>
                <w:u w:val="none"/>
                <w:lang w:val="en-US" w:eastAsia="zh-CN" w:bidi="ar"/>
              </w:rPr>
            </w:pPr>
            <w:r>
              <w:rPr>
                <w:rStyle w:val="752"/>
                <w:rFonts w:hint="eastAsia" w:ascii="宋体" w:hAnsi="宋体" w:eastAsia="宋体" w:cs="宋体"/>
                <w:b w:val="0"/>
                <w:bCs w:val="0"/>
                <w:color w:val="000000"/>
                <w:sz w:val="21"/>
                <w:szCs w:val="21"/>
                <w:highlight w:val="none"/>
                <w:lang w:val="en-US" w:eastAsia="zh-CN" w:bidi="ar"/>
              </w:rPr>
              <w:t xml:space="preserve">评标委员会根据投标人提供的适合本项目的台账管理与配合保障方案进行评审，</w:t>
            </w:r>
            <w:r>
              <w:rPr>
                <w:rFonts w:hint="eastAsia" w:ascii="宋体" w:hAnsi="宋体" w:eastAsia="宋体" w:cs="宋体"/>
                <w:color w:val="000000"/>
                <w:sz w:val="21"/>
                <w:szCs w:val="21"/>
                <w:lang w:val="en-US" w:eastAsia="zh-CN"/>
              </w:rPr>
              <w:t xml:space="preserve">内容至少包括：①全套标准化台账管理方案；②节假日、重大活动保障措施，</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优于项目需求得8分，满足项目需求得6分，内容略有缺失、合理性及可行性有欠缺的得4分，不提供得0分。</w:t>
            </w:r>
            <w:r/>
          </w:p>
        </w:tc>
      </w:tr>
    </w:tbl>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72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bookmarkEnd w:id="26"/>
      <w:bookmarkEnd w:id="49"/>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4"/>
      <w:bookmarkEnd w:id="179"/>
      <w:r/>
    </w:p>
    <w:p>
      <w:pPr>
        <w:pStyle w:val="753"/>
        <w:jc w:val="center"/>
        <w:keepNext/>
        <w:spacing w:beforeAutospacing="0" w:afterAutospacing="0"/>
        <w:rPr>
          <w:color w:val="000000"/>
          <w:highlight w:val="none"/>
        </w:rPr>
        <w:outlineLvl w:val="0"/>
      </w:pPr>
      <w:r/>
      <w:bookmarkStart w:id="181" w:name="_Toc4360"/>
      <w:r>
        <w:rPr>
          <w:rFonts w:hint="eastAsia" w:ascii="黑体" w:hAnsi="宋体" w:eastAsia="黑体" w:cs="黑体"/>
          <w:color w:val="000000"/>
          <w:sz w:val="44"/>
          <w:szCs w:val="44"/>
          <w:highlight w:val="none"/>
        </w:rPr>
        <w:t xml:space="preserve">第六章  投标文件格式</w:t>
      </w:r>
      <w:bookmarkEnd w:id="181"/>
      <w:r>
        <w:rPr>
          <w:rFonts w:hint="eastAsia" w:ascii="黑体" w:hAnsi="宋体" w:eastAsia="黑体" w:cs="黑体"/>
          <w:color w:val="000000"/>
          <w:sz w:val="44"/>
          <w:szCs w:val="44"/>
          <w:highlight w:val="none"/>
        </w:rPr>
        <w:t xml:space="preserve"> </w:t>
      </w:r>
      <w:r/>
    </w:p>
    <w:p>
      <w:pPr>
        <w:pStyle w:val="753"/>
        <w:jc w:val="center"/>
        <w:spacing w:beforeAutospacing="0" w:afterAutospacing="0"/>
        <w:rPr>
          <w:rFonts w:ascii="宋体" w:hAnsi="宋体" w:eastAsia="宋体" w:cs="宋体"/>
          <w:b/>
          <w:color w:val="000000"/>
          <w:sz w:val="72"/>
          <w:szCs w:val="72"/>
          <w:highlight w:val="none"/>
        </w:rPr>
      </w:pPr>
      <w:r/>
      <w:bookmarkStart w:id="182" w:name="_Toc26554094"/>
      <w:r/>
      <w:bookmarkEnd w:id="182"/>
      <w:r/>
      <w:bookmarkStart w:id="183" w:name="_Hlt26955039"/>
      <w:r/>
      <w:bookmarkEnd w:id="183"/>
      <w:r/>
      <w:bookmarkStart w:id="184" w:name="_Hlt26671244"/>
      <w:r/>
      <w:bookmarkEnd w:id="184"/>
      <w:r/>
      <w:r/>
    </w:p>
    <w:p>
      <w:pPr>
        <w:pStyle w:val="753"/>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753"/>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投  标  文  件</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项目名 称：</w:t>
      </w:r>
      <w:r>
        <w:rPr>
          <w:rFonts w:hint="eastAsia" w:ascii="宋体" w:hAnsi="宋体" w:eastAsia="宋体" w:cs="宋体"/>
          <w:b/>
          <w:color w:val="000000"/>
          <w:sz w:val="36"/>
          <w:szCs w:val="36"/>
          <w:highlight w:val="none"/>
          <w:u w:val="single"/>
        </w:rPr>
        <w:t xml:space="preserve">               </w:t>
      </w:r>
      <w:r/>
    </w:p>
    <w:p>
      <w:pPr>
        <w:pStyle w:val="753"/>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753"/>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753"/>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ascii="宋体" w:hAnsi="宋体" w:cs="宋体"/>
          <w:bCs/>
          <w:color w:val="000000"/>
          <w:sz w:val="24"/>
          <w:highlight w:val="none"/>
        </w:rPr>
      </w:pPr>
      <w:r>
        <w:rPr>
          <w:rFonts w:hint="eastAsia" w:ascii="宋体" w:hAnsi="宋体" w:cs="宋体"/>
          <w:b/>
          <w:color w:val="000000"/>
          <w:sz w:val="32"/>
          <w:szCs w:val="32"/>
          <w:highlight w:val="none"/>
        </w:rPr>
        <w:t xml:space="preserve">投标主要文件目录</w:t>
      </w:r>
      <w:r/>
    </w:p>
    <w:p>
      <w:pPr>
        <w:pStyle w:val="72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72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72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72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十一、关于符合本国产品标准的声明函</w:t>
      </w:r>
      <w:r/>
    </w:p>
    <w:p>
      <w:pPr>
        <w:pStyle w:val="725"/>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十二、投标报价明细表</w:t>
      </w:r>
      <w:r/>
    </w:p>
    <w:p>
      <w:pPr>
        <w:pStyle w:val="72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十三、</w:t>
      </w:r>
      <w:r>
        <w:rPr>
          <w:rFonts w:hint="eastAsia" w:ascii="宋体" w:hAnsi="宋体" w:eastAsia="宋体" w:cs="宋体"/>
          <w:i w:val="0"/>
          <w:iCs/>
          <w:color w:val="000000"/>
          <w:highlight w:val="none"/>
          <w:u w:val="none"/>
        </w:rPr>
        <w:t xml:space="preserve">技术要求响应及偏离表</w:t>
      </w:r>
      <w:r/>
    </w:p>
    <w:p>
      <w:pPr>
        <w:pStyle w:val="72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72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、技术方案、服务承诺、培训承诺等</w:t>
      </w:r>
      <w:r/>
    </w:p>
    <w:p>
      <w:pPr>
        <w:pStyle w:val="725"/>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753"/>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pStyle w:val="753"/>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753"/>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一、法人或者其他组织的营业执照等证明文件，自然人的身份证明</w:t>
      </w:r>
      <w:r/>
    </w:p>
    <w:p>
      <w:pPr>
        <w:pStyle w:val="753"/>
        <w:ind w:firstLine="480"/>
        <w:jc w:val="both"/>
        <w:spacing w:beforeAutospacing="0" w:afterAutospacing="0" w:line="0" w:lineRule="atLeast"/>
        <w:rPr>
          <w:iCs/>
          <w:color w:val="000000"/>
          <w:highlight w:val="none"/>
        </w:rPr>
      </w:pPr>
      <w:r>
        <w:rPr>
          <w:iCs/>
          <w:color w:val="000000"/>
          <w:highlight w:val="none"/>
        </w:rPr>
        <w:t xml:space="preserve"> </w:t>
      </w:r>
      <w:r/>
    </w:p>
    <w:p>
      <w:pPr>
        <w:pStyle w:val="753"/>
        <w:jc w:val="both"/>
        <w:spacing w:beforeAutospacing="0" w:afterAutospacing="0"/>
        <w:rPr>
          <w:rFonts w:eastAsia="黑体"/>
          <w:i/>
          <w:iCs w:val="0"/>
          <w:color w:val="000000"/>
          <w:highlight w:val="none"/>
        </w:rPr>
      </w:pPr>
      <w:r>
        <w:rPr>
          <w:rFonts w:hint="eastAsia" w:ascii="黑体" w:hAnsi="宋体" w:eastAsia="黑体" w:cs="黑体"/>
          <w:i/>
          <w:iCs w:val="0"/>
          <w:color w:val="000000"/>
          <w:sz w:val="32"/>
          <w:szCs w:val="32"/>
          <w:highlight w:val="none"/>
          <w:u w:val="single"/>
        </w:rPr>
        <w:t xml:space="preserve">二、上一年度的财务状况报表</w:t>
      </w:r>
      <w:r/>
    </w:p>
    <w:p>
      <w:pPr>
        <w:pStyle w:val="753"/>
        <w:jc w:val="both"/>
        <w:spacing w:beforeAutospacing="0" w:afterAutospacing="0"/>
        <w:rPr>
          <w:iCs/>
          <w:color w:val="000000"/>
          <w:highlight w:val="none"/>
        </w:rPr>
      </w:pPr>
      <w:r>
        <w:rPr>
          <w:rFonts w:hint="eastAsia" w:ascii="宋体" w:hAnsi="宋体" w:eastAsia="宋体" w:cs="宋体"/>
          <w:iCs/>
          <w:color w:val="000000"/>
          <w:highlight w:val="none"/>
        </w:rPr>
        <w:t xml:space="preserve">至少提供资产负债表、利润表、现金流量表，投标人成立不满一年无需提供</w:t>
      </w:r>
      <w:r>
        <w:rPr>
          <w:iCs/>
          <w:color w:val="000000"/>
          <w:highlight w:val="none"/>
        </w:rPr>
        <w:t xml:space="preserve"> </w:t>
      </w:r>
      <w:r/>
    </w:p>
    <w:p>
      <w:pPr>
        <w:pStyle w:val="753"/>
        <w:jc w:val="both"/>
        <w:spacing w:beforeAutospacing="0" w:afterAutospacing="0"/>
        <w:rPr>
          <w:iCs/>
          <w:color w:val="000000"/>
          <w:highlight w:val="none"/>
        </w:rPr>
      </w:pPr>
      <w:r>
        <w:rPr>
          <w:iCs/>
          <w:color w:val="000000"/>
          <w:highlight w:val="none"/>
        </w:rPr>
        <w:t xml:space="preserve"> </w:t>
      </w:r>
      <w:r/>
    </w:p>
    <w:p>
      <w:pPr>
        <w:pStyle w:val="753"/>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三、具备履行合同所必需的设备和专业技术能力的书面声明</w:t>
      </w:r>
      <w:r/>
    </w:p>
    <w:p>
      <w:pPr>
        <w:pStyle w:val="753"/>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53"/>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主要设备有：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753"/>
        <w:jc w:val="both"/>
        <w:spacing w:beforeAutospacing="0" w:afterAutospacing="0"/>
        <w:rPr>
          <w:rFonts w:ascii="宋体" w:hAnsi="宋体" w:eastAsia="宋体" w:cs="宋体"/>
          <w:iCs/>
          <w:color w:val="000000"/>
          <w:highlight w:val="none"/>
        </w:rPr>
      </w:pPr>
      <w:r>
        <w:rPr>
          <w:rFonts w:hint="eastAsia" w:ascii="宋体" w:hAnsi="宋体" w:eastAsia="宋体" w:cs="宋体"/>
          <w:iCs/>
          <w:color w:val="000000"/>
          <w:highlight w:val="none"/>
        </w:rPr>
        <w:t xml:space="preserve">主要专业技术能力有：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753"/>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四、依法缴纳税收和社会保障资金的相关材料</w:t>
      </w:r>
      <w:r/>
    </w:p>
    <w:p>
      <w:pPr>
        <w:pStyle w:val="753"/>
        <w:ind w:firstLine="480"/>
        <w:jc w:val="both"/>
        <w:spacing w:beforeAutospacing="0" w:afterAutospacing="0"/>
        <w:rPr>
          <w:iCs/>
          <w:color w:val="000000"/>
          <w:highlight w:val="none"/>
        </w:rPr>
      </w:pPr>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753"/>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五、参加政府采购活动前 3 年内在经营活动中没有重大违法记录的书面声明</w:t>
      </w:r>
      <w:r/>
    </w:p>
    <w:p>
      <w:pPr>
        <w:pStyle w:val="753"/>
        <w:jc w:val="both"/>
        <w:spacing w:beforeAutospacing="0" w:afterAutospacing="0" w:line="0" w:lineRule="atLeast"/>
        <w:rPr>
          <w:iCs/>
          <w:color w:val="000000"/>
          <w:highlight w:val="none"/>
        </w:rPr>
      </w:pPr>
      <w:r>
        <w:rPr>
          <w:rFonts w:hint="eastAsia" w:ascii="宋体" w:hAnsi="宋体" w:eastAsia="宋体" w:cs="宋体"/>
          <w:b/>
          <w:iCs/>
          <w:color w:val="000000"/>
          <w:sz w:val="44"/>
          <w:szCs w:val="44"/>
          <w:highlight w:val="none"/>
        </w:rPr>
        <w:t xml:space="preserve">       声  明</w:t>
      </w:r>
      <w:r/>
    </w:p>
    <w:p>
      <w:pPr>
        <w:pStyle w:val="753"/>
        <w:jc w:val="both"/>
        <w:spacing w:beforeAutospacing="0" w:afterAutospacing="0" w:line="0" w:lineRule="atLeast"/>
        <w:rPr>
          <w:iCs/>
          <w:color w:val="000000"/>
          <w:highlight w:val="none"/>
        </w:rPr>
      </w:pPr>
      <w:r>
        <w:rPr>
          <w:rFonts w:hint="eastAsia" w:ascii="宋体" w:hAnsi="宋体" w:eastAsia="宋体" w:cs="宋体"/>
          <w:b/>
          <w:iCs/>
          <w:color w:val="000000"/>
          <w:highlight w:val="none"/>
        </w:rPr>
        <w:t xml:space="preserve">    </w:t>
      </w:r>
      <w:r>
        <w:rPr>
          <w:rFonts w:hint="eastAsia" w:ascii="宋体" w:hAnsi="宋体" w:eastAsia="宋体" w:cs="宋体"/>
          <w:i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53"/>
        <w:jc w:val="both"/>
        <w:spacing w:beforeAutospacing="0" w:afterAutospacing="0"/>
        <w:rPr>
          <w:iCs/>
          <w:color w:val="000000"/>
          <w:highlight w:val="none"/>
        </w:rPr>
      </w:pPr>
      <w:r>
        <w:rPr>
          <w:iCs/>
          <w:color w:val="000000"/>
          <w:highlight w:val="none"/>
        </w:rPr>
        <w:t xml:space="preserve"> </w:t>
      </w:r>
      <w:r/>
    </w:p>
    <w:p>
      <w:pPr>
        <w:pStyle w:val="753"/>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六、特定资格要求的证明文件</w:t>
      </w:r>
      <w:r/>
    </w:p>
    <w:p>
      <w:pPr>
        <w:pStyle w:val="753"/>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    如果本项目申请人的特定资格要求中要求提供的，必须提供。</w:t>
      </w:r>
      <w:r/>
    </w:p>
    <w:p>
      <w:pPr>
        <w:pStyle w:val="753"/>
        <w:jc w:val="both"/>
        <w:spacing w:beforeAutospacing="0" w:afterAutospacing="0" w:line="0" w:lineRule="atLeast"/>
        <w:rPr>
          <w:iCs/>
          <w:color w:val="000000"/>
          <w:highlight w:val="none"/>
        </w:rPr>
      </w:pPr>
      <w:r>
        <w:rPr>
          <w:iCs/>
          <w:color w:val="000000"/>
          <w:highlight w:val="none"/>
        </w:rPr>
        <w:t xml:space="preserve"> </w:t>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color w:val="000000"/>
          <w:highlight w:val="none"/>
        </w:rPr>
      </w:pPr>
      <w:r>
        <w:rPr>
          <w:color w:val="000000"/>
          <w:highlight w:val="none"/>
        </w:rPr>
      </w:r>
      <w:r/>
    </w:p>
    <w:p>
      <w:pPr>
        <w:pStyle w:val="753"/>
        <w:jc w:val="both"/>
        <w:spacing w:beforeAutospacing="0" w:afterAutospacing="0"/>
        <w:rPr>
          <w:rFonts w:ascii="黑体" w:hAnsi="宋体" w:eastAsia="黑体" w:cs="黑体"/>
          <w:color w:val="000000"/>
          <w:sz w:val="32"/>
          <w:szCs w:val="32"/>
          <w:highlight w:val="none"/>
          <w:u w:val="single"/>
        </w:rPr>
      </w:pPr>
      <w:r>
        <w:rPr>
          <w:rFonts w:ascii="黑体" w:hAnsi="宋体" w:eastAsia="黑体" w:cs="黑体"/>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753"/>
        <w:jc w:val="center"/>
        <w:spacing w:beforeAutospacing="0" w:afterAutospacing="0"/>
        <w:rPr>
          <w:rFonts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t xml:space="preserve">七、法人授权书</w:t>
      </w:r>
      <w:r/>
    </w:p>
    <w:p>
      <w:pPr>
        <w:pStyle w:val="753"/>
        <w:ind w:firstLine="480"/>
        <w:jc w:val="both"/>
        <w:spacing w:beforeAutospacing="0" w:afterAutospacing="0"/>
        <w:tabs>
          <w:tab w:val="left" w:pos="360" w:leader="none"/>
        </w:tabs>
        <w:rPr>
          <w:iCs/>
          <w:color w:val="000000"/>
          <w:highlight w:val="none"/>
        </w:rPr>
      </w:pPr>
      <w:r>
        <w:rPr>
          <w:rFonts w:ascii="Times New Roman" w:hAnsi="Times New Roman"/>
          <w:iCs/>
          <w:color w:val="000000"/>
          <w:highlight w:val="none"/>
        </w:rPr>
        <w:t xml:space="preserve">本授权书声明：____________（投标人名称）授权________________（被授权人的姓名）为我方就JSZC-</w:t>
      </w:r>
      <w:r>
        <w:rPr>
          <w:rFonts w:hint="eastAsia" w:ascii="Times New Roman" w:hAnsi="Times New Roman"/>
          <w:iCs/>
          <w:color w:val="000000"/>
          <w:highlight w:val="none"/>
          <w:lang w:val="en-US" w:eastAsia="zh-CN"/>
        </w:rPr>
        <w:t xml:space="preserve"> </w:t>
      </w:r>
      <w:r>
        <w:rPr>
          <w:rFonts w:hint="eastAsia" w:ascii="Times New Roman" w:hAnsi="Times New Roman"/>
          <w:iCs/>
          <w:color w:val="000000"/>
          <w:highlight w:val="none"/>
          <w:u w:val="single"/>
          <w:lang w:val="en-US" w:eastAsia="zh-CN"/>
        </w:rPr>
        <w:t xml:space="preserve">           </w:t>
      </w:r>
      <w:r>
        <w:rPr>
          <w:rFonts w:ascii="Times New Roman" w:hAnsi="Times New Roman"/>
          <w:iCs/>
          <w:color w:val="000000"/>
          <w:highlight w:val="none"/>
        </w:rPr>
        <w:t xml:space="preserve">号项目采购活动的合法代理人，以本单位名义全权处理一切与该项目采购有关的事务。</w:t>
      </w:r>
      <w:r/>
    </w:p>
    <w:p>
      <w:pPr>
        <w:pStyle w:val="753"/>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本授权书于______年____月____日起生效，特此声明。</w:t>
      </w:r>
      <w:r/>
    </w:p>
    <w:p>
      <w:pPr>
        <w:pStyle w:val="753"/>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753"/>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753"/>
        <w:ind w:firstLine="120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753"/>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753"/>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日期：</w:t>
      </w:r>
      <w:bookmarkStart w:id="185" w:name="_格式3__银行出具的资信证明"/>
      <w:r/>
      <w:bookmarkStart w:id="186" w:name="_Hlt26671380"/>
      <w:r/>
      <w:bookmarkStart w:id="187" w:name="_Hlt26955070"/>
      <w:r>
        <w:rPr>
          <w:rFonts w:ascii="Times New Roman" w:hAnsi="Times New Roman"/>
          <w:color w:val="000000"/>
          <w:highlight w:val="none"/>
          <w:u w:val="single"/>
        </w:rPr>
        <w:t xml:space="preserve">                                         </w:t>
      </w:r>
      <w:r/>
    </w:p>
    <w:p>
      <w:pPr>
        <w:pStyle w:val="753"/>
        <w:ind w:firstLine="420"/>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line="0" w:lineRule="atLeast"/>
        <w:rPr>
          <w:color w:val="000000"/>
          <w:highlight w:val="none"/>
        </w:rPr>
      </w:pPr>
      <w:r>
        <w:rPr>
          <w:color w:val="000000"/>
          <w:highlight w:val="none"/>
        </w:rPr>
        <w:t xml:space="preserve"> </w:t>
      </w:r>
      <w:r/>
    </w:p>
    <w:p>
      <w:pPr>
        <w:pStyle w:val="753"/>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黑体" w:hAnsi="宋体" w:eastAsia="黑体" w:cs="黑体"/>
          <w:b/>
          <w:i w:val="0"/>
          <w:iCs w:val="0"/>
          <w:color w:val="000000"/>
          <w:sz w:val="32"/>
          <w:szCs w:val="32"/>
          <w:highlight w:val="none"/>
        </w:rPr>
        <w:t xml:space="preserve">八、投标函</w:t>
      </w:r>
      <w:r/>
    </w:p>
    <w:p>
      <w:pPr>
        <w:pStyle w:val="753"/>
        <w:spacing w:beforeAutospacing="0" w:afterAutospacing="0" w:line="0" w:lineRule="atLeast"/>
        <w:rPr>
          <w:rFonts w:eastAsia="宋体"/>
          <w:color w:val="000000"/>
          <w:highlight w:val="none"/>
        </w:rPr>
      </w:pPr>
      <w:r>
        <w:rPr>
          <w:rFonts w:hint="eastAsia" w:ascii="宋体" w:hAnsi="宋体" w:eastAsia="宋体" w:cs="宋体"/>
          <w:color w:val="000000"/>
          <w:highlight w:val="none"/>
        </w:rPr>
        <w:t xml:space="preserve">致： </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JSZ</w:t>
      </w:r>
      <w:r>
        <w:rPr>
          <w:rFonts w:hint="eastAsia" w:ascii="宋体" w:hAnsi="宋体" w:eastAsia="宋体" w:cs="宋体"/>
          <w:color w:val="000000"/>
          <w:highlight w:val="none"/>
          <w:u w:val="single"/>
          <w:lang w:val="en-US" w:eastAsia="zh-CN"/>
        </w:rPr>
        <w:t xml:space="preserve">C</w:t>
      </w:r>
      <w:r>
        <w:rPr>
          <w:rFonts w:hint="eastAsia" w:ascii="Times New Roman" w:hAnsi="Times New Roman"/>
          <w:iCs/>
          <w:color w:val="000000"/>
          <w:highlight w:val="none"/>
          <w:lang w:val="en-US" w:eastAsia="zh-CN"/>
        </w:rPr>
        <w:t xml:space="preserve"> </w:t>
      </w:r>
      <w:r>
        <w:rPr>
          <w:rFonts w:hint="eastAsia" w:ascii="Times New Roman" w:hAnsi="Times New Roman"/>
          <w:iCs/>
          <w:color w:val="000000"/>
          <w:highlight w:val="none"/>
          <w:u w:val="single"/>
          <w:lang w:val="en-US" w:eastAsia="zh-CN"/>
        </w:rPr>
        <w:t xml:space="preserve">           </w:t>
      </w:r>
      <w:r>
        <w:rPr>
          <w:rFonts w:ascii="Times New Roman" w:hAnsi="Times New Roman"/>
          <w:iCs/>
          <w:color w:val="000000"/>
          <w:highlight w:val="none"/>
        </w:rPr>
        <w:t xml:space="preserve">号</w:t>
      </w:r>
      <w:r>
        <w:rPr>
          <w:rFonts w:hint="eastAsia" w:ascii="宋体" w:hAnsi="宋体" w:eastAsia="宋体" w:cs="宋体"/>
          <w:color w:val="000000"/>
          <w:highlight w:val="none"/>
        </w:rPr>
        <w:t xml:space="preserve">招标文件，正式授权下述签字人______(姓名)代表我方______________（投标人的名称），全权处理本次项目投标的有关事宜。</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据此函，__________签字人兹宣布同意如下：</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5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7.与本投标有关的正式通讯地址为：</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地          址：</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邮          编：</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电          话：</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传          真：</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投标人开户行：</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账          号： </w:t>
      </w:r>
      <w:r/>
    </w:p>
    <w:p>
      <w:pPr>
        <w:pStyle w:val="75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日           期：________年____月____日</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t xml:space="preserve"> </w:t>
      </w:r>
      <w:r/>
    </w:p>
    <w:p>
      <w:pPr>
        <w:pStyle w:val="753"/>
        <w:ind w:firstLine="240"/>
        <w:jc w:val="center"/>
        <w:spacing w:beforeAutospacing="0" w:afterAutospacing="0" w:line="0" w:lineRule="atLeast"/>
        <w:rPr>
          <w:color w:val="000000"/>
          <w:highlight w:val="none"/>
        </w:rPr>
      </w:pPr>
      <w:r>
        <w:rPr>
          <w:color w:val="000000"/>
          <w:highlight w:val="none"/>
        </w:rPr>
      </w:r>
      <w:r/>
    </w:p>
    <w:p>
      <w:pPr>
        <w:pStyle w:val="753"/>
        <w:ind w:firstLine="240"/>
        <w:jc w:val="center"/>
        <w:spacing w:beforeAutospacing="0" w:afterAutospacing="0" w:line="0" w:lineRule="atLeast"/>
        <w:rPr>
          <w:color w:val="000000"/>
          <w:highlight w:val="none"/>
        </w:rPr>
      </w:pPr>
      <w:r>
        <w:rPr>
          <w:color w:val="000000"/>
          <w:highlight w:val="none"/>
        </w:rPr>
      </w:r>
      <w:r/>
    </w:p>
    <w:p>
      <w:pPr>
        <w:pStyle w:val="753"/>
        <w:ind w:firstLine="240"/>
        <w:jc w:val="center"/>
        <w:spacing w:beforeAutospacing="0" w:afterAutospacing="0" w:line="0" w:lineRule="atLeast"/>
        <w:rPr>
          <w:color w:val="000000"/>
          <w:highlight w:val="none"/>
        </w:rPr>
      </w:pPr>
      <w:r>
        <w:rPr>
          <w:color w:val="000000"/>
          <w:highlight w:val="none"/>
        </w:rPr>
      </w:r>
      <w:r/>
    </w:p>
    <w:p>
      <w:pPr>
        <w:pStyle w:val="753"/>
        <w:ind w:firstLine="240"/>
        <w:jc w:val="center"/>
        <w:spacing w:beforeAutospacing="0" w:afterAutospacing="0" w:line="0" w:lineRule="atLeast"/>
        <w:rPr>
          <w:color w:val="000000"/>
          <w:highlight w:val="none"/>
        </w:rPr>
      </w:pPr>
      <w:r>
        <w:rPr>
          <w:color w:val="000000"/>
          <w:highlight w:val="none"/>
        </w:rPr>
      </w:r>
      <w:r/>
    </w:p>
    <w:p>
      <w:pPr>
        <w:pStyle w:val="753"/>
        <w:ind w:firstLine="240"/>
        <w:jc w:val="center"/>
        <w:spacing w:beforeAutospacing="0" w:afterAutospacing="0" w:line="0" w:lineRule="atLeast"/>
        <w:rPr>
          <w:color w:val="000000"/>
          <w:highlight w:val="none"/>
        </w:rPr>
      </w:pPr>
      <w:r>
        <w:rPr>
          <w:color w:val="000000"/>
          <w:highlight w:val="none"/>
        </w:rPr>
      </w:r>
      <w:r/>
    </w:p>
    <w:p>
      <w:pPr>
        <w:pStyle w:val="753"/>
        <w:jc w:val="both"/>
        <w:spacing w:beforeAutospacing="0" w:afterAutospacing="0" w:line="0" w:lineRule="atLeas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numPr>
          <w:ilvl w:val="0"/>
          <w:numId w:val="3"/>
        </w:numPr>
        <w:jc w:val="center"/>
        <w:spacing w:line="85" w:lineRule="atLeast"/>
        <w:rPr>
          <w:rFonts w:ascii="宋体" w:hAnsi="宋体" w:eastAsia="宋体" w:cs="宋体"/>
          <w:b/>
          <w:i w:val="0"/>
          <w:iCs w:val="0"/>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32"/>
          <w:highlight w:val="none"/>
        </w:rPr>
        <w:t xml:space="preserve">中小企业声明函（服务）</w:t>
      </w:r>
      <w:r/>
    </w:p>
    <w:p>
      <w:pPr>
        <w:pStyle w:val="753"/>
        <w:jc w:val="center"/>
        <w:spacing w:beforeAutospacing="0" w:afterAutospacing="0" w:line="0" w:lineRule="atLeast"/>
        <w:rPr>
          <w:rFonts w:eastAsia="黑体"/>
          <w:color w:val="000000"/>
          <w:highlight w:val="none"/>
        </w:rPr>
      </w:pPr>
      <w:r>
        <w:rPr>
          <w:rFonts w:hint="eastAsia" w:ascii="黑体" w:hAnsi="宋体" w:eastAsia="黑体" w:cs="黑体"/>
          <w:b/>
          <w:color w:val="000000"/>
          <w:sz w:val="32"/>
          <w:szCs w:val="32"/>
          <w:highlight w:val="none"/>
        </w:rPr>
        <w:t xml:space="preserve"> </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盐城建信造价工程师事务所有限公司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25"/>
        <w:ind w:right="720"/>
        <w:jc w:val="both"/>
        <w:spacing w:beforeAutospacing="0" w:afterAutospacing="0" w:line="0" w:lineRule="atLeast"/>
        <w:rPr>
          <w:color w:val="auto"/>
          <w:highlight w:val="none"/>
        </w:rPr>
      </w:pPr>
      <w:r>
        <w:rPr>
          <w:color w:val="auto"/>
          <w:highlight w:val="none"/>
        </w:rPr>
        <w:t xml:space="preserve"> </w:t>
      </w:r>
      <w:r/>
    </w:p>
    <w:p>
      <w:pPr>
        <w:pStyle w:val="72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2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25"/>
        <w:ind w:firstLine="240"/>
        <w:jc w:val="both"/>
        <w:spacing w:beforeAutospacing="0" w:afterAutospacing="0" w:line="0" w:lineRule="atLeast"/>
        <w:rPr>
          <w:color w:val="auto"/>
          <w:highlight w:val="none"/>
        </w:rPr>
      </w:pPr>
      <w:r>
        <w:rPr>
          <w:color w:val="auto"/>
          <w:highlight w:val="none"/>
        </w:rPr>
        <w:t xml:space="preserve"> </w:t>
      </w:r>
      <w:r/>
    </w:p>
    <w:p>
      <w:pPr>
        <w:pStyle w:val="72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2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53"/>
        <w:jc w:val="center"/>
        <w:spacing w:beforeAutospacing="0" w:afterAutospacing="0" w:line="0" w:lineRule="atLeast"/>
        <w:rPr>
          <w:rFonts w:eastAsia="黑体"/>
          <w:color w:val="000000"/>
          <w:highlight w:val="none"/>
        </w:rPr>
      </w:pPr>
      <w:r>
        <w:rPr>
          <w:rFonts w:hint="eastAsia" w:asciiTheme="minorEastAsia" w:hAnsiTheme="minorEastAsia" w:cstheme="minorEastAsia"/>
          <w:b/>
          <w:color w:val="000000"/>
          <w:sz w:val="32"/>
          <w:szCs w:val="32"/>
        </w:rPr>
        <w:br w:type="page" w:clear="all"/>
      </w:r>
      <w:r>
        <w:rPr>
          <w:rFonts w:hint="eastAsia" w:ascii="黑体" w:hAnsi="宋体" w:eastAsia="黑体" w:cs="黑体"/>
          <w:b/>
          <w:color w:val="000000"/>
          <w:sz w:val="32"/>
          <w:szCs w:val="32"/>
          <w:highlight w:val="none"/>
        </w:rPr>
        <w:t xml:space="preserve">十、残疾人福利性单位声明函 </w:t>
      </w:r>
      <w:r/>
    </w:p>
    <w:p>
      <w:pPr>
        <w:pStyle w:val="72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72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25"/>
        <w:ind w:firstLine="480"/>
        <w:jc w:val="both"/>
        <w:spacing w:beforeAutospacing="0" w:afterAutospacing="0" w:line="0" w:lineRule="atLeast"/>
        <w:rPr>
          <w:highlight w:val="none"/>
        </w:rPr>
      </w:pPr>
      <w:r>
        <w:rPr>
          <w:highlight w:val="none"/>
        </w:rPr>
        <w:t xml:space="preserve"> </w:t>
      </w:r>
      <w:r/>
    </w:p>
    <w:p>
      <w:pPr>
        <w:pStyle w:val="72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72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725"/>
        <w:ind w:firstLine="624"/>
        <w:jc w:val="both"/>
        <w:spacing w:beforeAutospacing="0" w:afterAutospacing="0" w:line="0" w:lineRule="atLeast"/>
        <w:rPr>
          <w:highlight w:val="none"/>
        </w:rPr>
      </w:pPr>
      <w:r>
        <w:rPr>
          <w:highlight w:val="none"/>
        </w:rPr>
        <w:t xml:space="preserve"> </w:t>
      </w:r>
      <w:r/>
    </w:p>
    <w:p>
      <w:pPr>
        <w:pStyle w:val="72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72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t xml:space="preserve"> </w:t>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color w:val="000000"/>
          <w:highlight w:val="none"/>
        </w:rPr>
      </w:pPr>
      <w:r>
        <w:rPr>
          <w:color w:val="000000"/>
          <w:highlight w:val="none"/>
        </w:rPr>
      </w:r>
      <w:r/>
    </w:p>
    <w:p>
      <w:pPr>
        <w:pStyle w:val="753"/>
        <w:jc w:val="both"/>
        <w:spacing w:beforeAutospacing="0" w:afterAutospacing="0" w:line="0" w:lineRule="atLeast"/>
        <w:rPr>
          <w:color w:val="000000"/>
          <w:highlight w:val="none"/>
        </w:rPr>
      </w:pPr>
      <w:r>
        <w:rPr>
          <w:color w:val="000000"/>
          <w:highlight w:val="none"/>
        </w:rPr>
      </w:r>
      <w:r/>
    </w:p>
    <w:p>
      <w:pPr>
        <w:pStyle w:val="753"/>
        <w:jc w:val="both"/>
        <w:spacing w:beforeAutospacing="0" w:afterAutospacing="0" w:line="0" w:lineRule="atLeast"/>
        <w:rPr>
          <w:color w:val="000000"/>
          <w:highlight w:val="none"/>
        </w:rPr>
      </w:pPr>
      <w:r>
        <w:rPr>
          <w:color w:val="000000"/>
          <w:highlight w:val="none"/>
        </w:rPr>
      </w:r>
      <w:r/>
    </w:p>
    <w:p>
      <w:pPr>
        <w:pStyle w:val="75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i w:val="0"/>
          <w:iCs w:val="0"/>
          <w:color w:val="000000"/>
          <w:sz w:val="32"/>
          <w:szCs w:val="32"/>
          <w:highlight w:val="none"/>
        </w:rPr>
        <w:t xml:space="preserve">十一、</w:t>
      </w:r>
      <w:r>
        <w:rPr>
          <w:rFonts w:hint="eastAsia" w:ascii="黑体" w:hAnsi="宋体" w:eastAsia="黑体" w:cs="黑体"/>
          <w:b/>
          <w:color w:val="000000"/>
          <w:sz w:val="32"/>
          <w:szCs w:val="32"/>
        </w:rPr>
        <w:t xml:space="preserve">关于符合本国产品标准的声明函</w:t>
      </w:r>
      <w:r/>
    </w:p>
    <w:p>
      <w:pPr>
        <w:pStyle w:val="753"/>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p>
    <w:p>
      <w:pPr>
        <w:pStyle w:val="753"/>
        <w:ind w:left="0" w:firstLine="420"/>
        <w:jc w:val="both"/>
        <w:keepLines w:val="0"/>
        <w:keepNext w:val="0"/>
        <w:pageBreakBefore w:val="0"/>
        <w:spacing w:before="0" w:beforeAutospacing="0" w:after="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3"/>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p>
    <w:p>
      <w:pPr>
        <w:pStyle w:val="753"/>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p>
    <w:p>
      <w:pPr>
        <w:pStyle w:val="753"/>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p>
      <w:pPr>
        <w:pStyle w:val="753"/>
        <w:ind w:left="0" w:right="480" w:firstLine="37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p>
    <w:p>
      <w:pPr>
        <w:pStyle w:val="753"/>
        <w:jc w:val="center"/>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__________________</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p>
    <w:p>
      <w:pPr>
        <w:pStyle w:val="75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p>
    <w:p>
      <w:pPr>
        <w:ind w:left="0" w:right="0" w:firstLine="0"/>
        <w:jc w:val="both"/>
        <w:keepLines w:val="0"/>
        <w:keepNext w:val="0"/>
        <w:pageBreakBefore w:val="0"/>
        <w:spacing w:before="30" w:after="3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6.用横线划除的地方无需填写。</w:t>
      </w:r>
      <w:r/>
    </w:p>
    <w:p>
      <w:pPr>
        <w:ind w:left="0" w:right="0" w:firstLine="0"/>
        <w:jc w:val="both"/>
        <w:keepLines w:val="0"/>
        <w:keepNext w:val="0"/>
        <w:pageBreakBefore w:val="0"/>
        <w:spacing w:before="0" w:after="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备注：</w:t>
      </w:r>
      <w:r>
        <w:rPr>
          <w:rFonts w:ascii="宋体" w:hAnsi="宋体" w:eastAsia="宋体" w:cs="宋体"/>
          <w:b w:val="0"/>
          <w:bCs w:val="0"/>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hAnsi="宋体" w:eastAsia="宋体" w:cs="宋体"/>
          <w:b w:val="0"/>
          <w:bCs w:val="0"/>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58"/>
        <w:numPr>
          <w:ilvl w:val="0"/>
          <w:numId w:val="0"/>
        </w:numPr>
        <w:jc w:val="center"/>
        <w:spacing w:line="360" w:lineRule="auto"/>
        <w:rPr>
          <w:rFonts w:hint="eastAsia" w:ascii="宋体" w:hAnsi="宋体" w:eastAsia="宋体" w:cs="宋体"/>
          <w:b/>
          <w:color w:val="auto"/>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宋体" w:hAnsi="宋体" w:eastAsia="宋体" w:cs="宋体"/>
          <w:b/>
          <w:color w:val="auto"/>
          <w:sz w:val="32"/>
          <w:szCs w:val="32"/>
          <w:highlight w:val="none"/>
        </w:rPr>
        <w:t xml:space="preserve">投标分项报价表</w:t>
      </w:r>
      <w:r/>
    </w:p>
    <w:tbl>
      <w:tblPr>
        <w:tblStyle w:val="712"/>
        <w:tblW w:w="997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1120"/>
        <w:gridCol w:w="733"/>
        <w:gridCol w:w="879"/>
        <w:gridCol w:w="909"/>
        <w:gridCol w:w="883"/>
        <w:gridCol w:w="1131"/>
        <w:gridCol w:w="1132"/>
        <w:gridCol w:w="2754"/>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需求人数（人）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预算金额</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时间（月）</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（元/年/人）</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90"/>
        </w:trPr>
        <w:tc>
          <w:tcPr>
            <w:gridSpan w:val="9"/>
            <w:shd w:val="clear" w:color="auto" w:fill="auto"/>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①人员费用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执行苏人社规〔2025〕3号《省人力资源社会保障厅关于调整全省最低工资标准的通知》，人员工资不得低于2430元/人/月，否则作无效标书处理。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执行苏人社发〔2025〕33号《省人力资源社会保障厅 省财政厅 省医疗保障局 省税务局关于发布2025年度社会保险有关基数的通知》（企业部分缴费基数为4952元，养老16%、医疗8%、工伤0.7%、生育0.9%、失业0.5%），投标人须按不得低于1292.47元/人每月填报，否则作无效标书处理。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所有人员住房公积金单位缴纳部分须按不低于114元/人/月填报，否则作无效标书处理。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每年法定国假加班天数为13天，各投标人须按不低于4357.25元/人/每年填报，否则作无效标书处理。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休息日加班费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每年休息日加班天数为52天，各投标人须按不低于11619.31元/人/每年填报，否则作无效标书处理。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夏季高温费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各投标人须按不低于1200元/人/年填报，否则作无效标书处理。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职工福利费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各投标人须按不低于1000元/人/年填报，否则作无效标书处理。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各投标人须按不低于500元/人/年填报，否则作无效标书处理。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保安器具及装备费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bottom"/>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各投标人须按不低于1000元/人/年填报，否则作无效标书处理。（投标人需为所有保安人员配备包括但不限于：防暴头盔、防护盾牌、防刺背心、防割手套、橡胶警棍、强光电筒、自卫喷雾剂、安全钢叉等）</w:t>
            </w:r>
            <w:r/>
          </w:p>
        </w:tc>
      </w:tr>
      <w:tr>
        <w:trPr>
          <w:trHeight w:val="553"/>
        </w:trPr>
        <w:tc>
          <w:tcPr>
            <w:gridSpan w:val="3"/>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（1+2+3+...+9）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企业管理费及利润</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①*管理费及利润率，投标人结合自身及市场行情，自行报价。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税金</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（①+②）*国家规定税率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各投标人填报的税率统一按照6.72%计算。</w:t>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8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（①+②+③）</w:t>
            </w:r>
            <w:r/>
          </w:p>
        </w:tc>
      </w:tr>
      <w:tr>
        <w:trPr>
          <w:trHeight w:val="90"/>
        </w:trPr>
        <w:tc>
          <w:tcPr>
            <w:gridSpan w:val="9"/>
            <w:shd w:val="clear" w:color="auto" w:fill="auto"/>
            <w:tcBorders>
              <w:top w:val="none" w:color="000000" w:sz="4" w:space="0"/>
              <w:left w:val="none" w:color="000000" w:sz="4" w:space="0"/>
              <w:bottom w:val="none" w:color="000000" w:sz="4" w:space="0"/>
              <w:right w:val="none" w:color="000000" w:sz="4" w:space="0"/>
            </w:tcBorders>
            <w:tcW w:w="9978"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注：投标报价包括但不限于服务单位完成本项目发生的所有费用，合同履行期内人工工资上涨风险、政策性调整风险等一切费用及市场变化和政策性文件调整而引起的风险因素及可预见的所有费用。</w:t>
            </w:r>
            <w:r/>
          </w:p>
        </w:tc>
      </w:tr>
    </w:tbl>
    <w:p>
      <w:pPr>
        <w:jc w:val="righ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25"/>
        <w:ind w:right="1560" w:firstLine="624"/>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725"/>
        <w:ind w:right="1560" w:firstLine="480"/>
        <w:jc w:val="right"/>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br w:type="page" w:clear="all"/>
      </w:r>
      <w:r/>
    </w:p>
    <w:p>
      <w:pPr>
        <w:pStyle w:val="753"/>
        <w:jc w:val="center"/>
        <w:spacing w:beforeAutospacing="0" w:afterAutospacing="0"/>
        <w:rPr>
          <w:rFonts w:hint="eastAsia" w:eastAsia="黑体"/>
          <w:i w:val="0"/>
          <w:iCs w:val="0"/>
          <w:color w:val="000000"/>
          <w:highlight w:val="none"/>
          <w:lang w:eastAsia="zh-CN"/>
        </w:rPr>
      </w:pPr>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技术要求响应及偏离表</w:t>
      </w:r>
      <w:r/>
    </w:p>
    <w:p>
      <w:pPr>
        <w:pStyle w:val="753"/>
        <w:jc w:val="center"/>
        <w:spacing w:beforeAutospacing="0" w:afterAutospacing="0"/>
        <w:rPr>
          <w:color w:val="000000"/>
          <w:highlight w:val="none"/>
        </w:rPr>
      </w:pPr>
      <w:r>
        <w:rPr>
          <w:color w:val="000000"/>
          <w:highlight w:val="none"/>
        </w:rPr>
      </w:r>
      <w:r/>
    </w:p>
    <w:p>
      <w:pPr>
        <w:pStyle w:val="753"/>
        <w:jc w:val="center"/>
        <w:spacing w:beforeAutospacing="0" w:afterAutospacing="0"/>
        <w:rPr>
          <w:rFonts w:ascii="黑体" w:hAnsi="宋体" w:eastAsia="黑体" w:cs="黑体"/>
          <w:b/>
          <w:bCs/>
          <w:color w:val="000000"/>
          <w:sz w:val="32"/>
          <w:szCs w:val="32"/>
          <w:highlight w:val="none"/>
        </w:rPr>
      </w:pPr>
      <w:r>
        <w:rPr>
          <w:color w:val="000000"/>
          <w:highlight w:val="none"/>
        </w:rPr>
        <w:t xml:space="preserve"> </w:t>
      </w:r>
      <w:r/>
    </w:p>
    <w:tbl>
      <w:tblPr>
        <w:tblStyle w:val="712"/>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bl>
    <w:p>
      <w:pPr>
        <w:pStyle w:val="753"/>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numPr>
          <w:ilvl w:val="0"/>
          <w:numId w:val="0"/>
        </w:numPr>
        <w:ind w:left="0" w:right="0"/>
        <w:jc w:val="center"/>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lang w:val="en-US" w:eastAsia="zh-CN" w:bidi="ar"/>
        </w:rPr>
        <w:t xml:space="preserve">十四、</w:t>
      </w:r>
      <w:r>
        <w:rPr>
          <w:rFonts w:hint="eastAsia" w:ascii="黑体" w:hAnsi="宋体" w:eastAsia="黑体" w:cs="黑体"/>
          <w:b/>
          <w:i/>
          <w:iCs/>
          <w:color w:val="000000"/>
          <w:sz w:val="32"/>
          <w:szCs w:val="32"/>
          <w:highlight w:val="none"/>
        </w:rPr>
        <w:t xml:space="preserve">商务要求响应及偏离表 </w:t>
      </w:r>
      <w:r/>
    </w:p>
    <w:p>
      <w:pPr>
        <w:pStyle w:val="753"/>
        <w:numPr>
          <w:ilvl w:val="0"/>
          <w:numId w:val="0"/>
        </w:numPr>
        <w:ind w:right="0"/>
        <w:jc w:val="both"/>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highlight w:val="none"/>
        </w:rPr>
      </w:r>
      <w:r/>
    </w:p>
    <w:tbl>
      <w:tblPr>
        <w:tblStyle w:val="712"/>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bookmarkStart w:id="188" w:name="_Hlt26609391"/>
            <w:r/>
            <w:bookmarkStart w:id="189" w:name="_Hlt26671343"/>
            <w:r/>
            <w:bookmarkStart w:id="190" w:name="_Hlt26782999"/>
            <w:r/>
            <w:bookmarkStart w:id="191" w:name="_Hlt26955056"/>
            <w:r/>
            <w:bookmarkStart w:id="192" w:name="_Hlt26955064"/>
            <w:r/>
            <w:bookmarkStart w:id="193" w:name="_Hlt26580838"/>
            <w:r/>
            <w:bookmarkStart w:id="194" w:name="_Hlt26671372"/>
            <w:r/>
            <w:bookmarkStart w:id="195" w:name="_Hlt24879081"/>
            <w:r>
              <w:rPr>
                <w:rFonts w:hint="eastAsia" w:ascii="宋体" w:hAnsi="宋体" w:eastAsia="宋体" w:cs="宋体"/>
                <w:color w:val="000000"/>
                <w:highlight w:val="none"/>
              </w:rPr>
              <w:t xml:space="preserve">序号</w:t>
            </w:r>
            <w:bookmarkEnd w:id="188"/>
            <w:r/>
            <w:bookmarkEnd w:id="189"/>
            <w:r/>
            <w:bookmarkEnd w:id="190"/>
            <w:r/>
            <w:bookmarkEnd w:id="191"/>
            <w:r/>
            <w:bookmarkEnd w:id="192"/>
            <w:r/>
            <w:bookmarkEnd w:id="193"/>
            <w:r/>
            <w:bookmarkEnd w:id="194"/>
            <w:r/>
            <w:bookmarkEnd w:id="19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753"/>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3"/>
              <w:jc w:val="center"/>
              <w:spacing w:beforeAutospacing="0" w:afterAutospacing="0"/>
              <w:rPr>
                <w:color w:val="000000"/>
                <w:highlight w:val="none"/>
              </w:rPr>
            </w:pPr>
            <w:r>
              <w:rPr>
                <w:color w:val="000000"/>
                <w:highlight w:val="none"/>
              </w:rPr>
              <w:t xml:space="preserve"> </w:t>
            </w:r>
            <w:r/>
          </w:p>
        </w:tc>
      </w:tr>
    </w:tbl>
    <w:p>
      <w:pPr>
        <w:pStyle w:val="753"/>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753"/>
        <w:jc w:val="both"/>
        <w:spacing w:beforeAutospacing="0" w:afterAutospacing="0" w:line="480" w:lineRule="auto"/>
        <w:rPr>
          <w:color w:val="000000"/>
          <w:highlight w:val="none"/>
        </w:rPr>
      </w:pPr>
      <w:r>
        <w:rPr>
          <w:color w:val="000000"/>
          <w:highlight w:val="none"/>
        </w:rPr>
        <w:t xml:space="preserve"> </w:t>
      </w:r>
      <w:r/>
    </w:p>
    <w:p>
      <w:pPr>
        <w:pStyle w:val="753"/>
        <w:jc w:val="both"/>
        <w:spacing w:beforeAutospacing="0" w:afterAutospacing="0" w:line="480" w:lineRule="auto"/>
        <w:rPr>
          <w:color w:val="000000"/>
          <w:highlight w:val="none"/>
        </w:rPr>
      </w:pPr>
      <w:r>
        <w:rPr>
          <w:color w:val="000000"/>
          <w:highlight w:val="none"/>
        </w:rPr>
        <w:t xml:space="preserve"> </w:t>
      </w:r>
      <w:r/>
    </w:p>
    <w:p>
      <w:pPr>
        <w:pStyle w:val="753"/>
        <w:jc w:val="center"/>
        <w:spacing w:beforeAutospacing="0" w:afterAutospacing="0"/>
        <w:rPr>
          <w:color w:val="000000"/>
          <w:highlight w:val="none"/>
        </w:rPr>
      </w:pPr>
      <w:r/>
      <w:bookmarkStart w:id="196" w:name="_Toc462564146"/>
      <w:r/>
      <w:bookmarkStart w:id="197" w:name="_Hlt26609389"/>
      <w:r/>
      <w:bookmarkStart w:id="198" w:name="_格式2__法定代表人授权书"/>
      <w:r/>
      <w:bookmarkStart w:id="199" w:name="_Hlt26671374"/>
      <w:r/>
      <w:bookmarkStart w:id="200" w:name="_Hlt26955066"/>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t xml:space="preserve"> </w:t>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color w:val="000000"/>
          <w:highlight w:val="none"/>
        </w:rPr>
      </w:pPr>
      <w:r>
        <w:rPr>
          <w:color w:val="000000"/>
          <w:highlight w:val="none"/>
        </w:rPr>
      </w:r>
      <w:r/>
    </w:p>
    <w:p>
      <w:pPr>
        <w:pStyle w:val="753"/>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753"/>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753"/>
        <w:jc w:val="center"/>
        <w:spacing w:beforeAutospacing="0" w:afterAutospacing="0"/>
        <w:rPr>
          <w:rFonts w:hint="eastAsia" w:ascii="宋体" w:hAnsi="宋体" w:eastAsia="宋体" w:cs="宋体"/>
          <w:color w:val="auto"/>
          <w:highlight w:val="none"/>
        </w:rPr>
      </w:pPr>
      <w:r>
        <w:rPr>
          <w:rFonts w:hint="eastAsia" w:ascii="黑体" w:hAnsi="宋体" w:eastAsia="黑体" w:cs="黑体"/>
          <w:b/>
          <w:i/>
          <w:iCs w:val="0"/>
          <w:color w:val="000000"/>
          <w:sz w:val="32"/>
          <w:szCs w:val="32"/>
          <w:highlight w:val="none"/>
        </w:rPr>
        <w:t xml:space="preserve">十</w:t>
      </w:r>
      <w:r>
        <w:rPr>
          <w:rFonts w:hint="eastAsia" w:ascii="黑体" w:hAnsi="宋体" w:eastAsia="黑体" w:cs="黑体"/>
          <w:b/>
          <w:i/>
          <w:iCs w:val="0"/>
          <w:color w:val="000000"/>
          <w:sz w:val="32"/>
          <w:szCs w:val="32"/>
          <w:highlight w:val="none"/>
          <w:lang w:val="en-US" w:eastAsia="zh-CN"/>
        </w:rPr>
        <w:t xml:space="preserve">五</w:t>
      </w:r>
      <w:r>
        <w:rPr>
          <w:rFonts w:hint="eastAsia" w:ascii="黑体" w:hAnsi="宋体" w:eastAsia="黑体" w:cs="黑体"/>
          <w:b/>
          <w:i/>
          <w:iCs w:val="0"/>
          <w:color w:val="000000"/>
          <w:sz w:val="32"/>
          <w:szCs w:val="32"/>
          <w:highlight w:val="none"/>
        </w:rPr>
        <w:t xml:space="preserve">、</w:t>
      </w:r>
      <w:r>
        <w:rPr>
          <w:rFonts w:hint="eastAsia" w:ascii="宋体" w:hAnsi="宋体" w:eastAsia="宋体" w:cs="宋体"/>
          <w:b/>
          <w:i/>
          <w:color w:val="auto"/>
          <w:sz w:val="32"/>
          <w:szCs w:val="32"/>
          <w:highlight w:val="none"/>
          <w:u w:val="single"/>
        </w:rPr>
        <w:t xml:space="preserve">开标一览表</w:t>
      </w:r>
      <w:r/>
    </w:p>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           </w:t>
      </w:r>
      <w:r/>
    </w:p>
    <w:tbl>
      <w:tblPr>
        <w:tblStyle w:val="712"/>
        <w:tblW w:w="820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53"/>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w:t>
            </w:r>
            <w:r/>
          </w:p>
        </w:tc>
      </w:tr>
    </w:tbl>
    <w:p>
      <w:pPr>
        <w:pStyle w:val="75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5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53"/>
        <w:jc w:val="center"/>
        <w:spacing w:beforeAutospacing="0" w:afterAutospacing="0"/>
        <w:rPr>
          <w:iCs/>
          <w:color w:val="000000"/>
          <w:highlight w:val="none"/>
        </w:rPr>
      </w:pPr>
      <w:r>
        <w:rPr>
          <w:iCs/>
          <w:color w:val="000000"/>
          <w:highlight w:val="none"/>
        </w:rPr>
      </w:r>
      <w:r/>
    </w:p>
    <w:p>
      <w:pPr>
        <w:jc w:val="center"/>
        <w:spacing w:before="50" w:after="50"/>
        <w:widowControl/>
        <w:rPr>
          <w:color w:val="000000"/>
          <w:highlight w:val="none"/>
        </w:rPr>
      </w:pPr>
      <w:r>
        <w:rPr>
          <w:color w:val="000000"/>
          <w:highlight w:val="none"/>
        </w:rPr>
        <w:tab/>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pStyle w:val="75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75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75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75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hint="eastAsia" w:ascii="宋体" w:hAnsi="宋体" w:eastAsia="宋体" w:cs="宋体"/>
          <w:b/>
          <w:bCs w:val="0"/>
          <w:i/>
          <w:iCs/>
          <w:color w:val="000000"/>
          <w:sz w:val="32"/>
          <w:szCs w:val="32"/>
          <w:highlight w:val="none"/>
          <w:lang w:val="en-US" w:eastAsia="zh-CN" w:bidi="ar-SA"/>
        </w:rPr>
      </w:pPr>
      <w:r>
        <w:rPr>
          <w:rFonts w:hint="eastAsia" w:ascii="宋体" w:hAnsi="宋体" w:eastAsia="宋体" w:cs="宋体"/>
          <w:b/>
          <w:bCs w:val="0"/>
          <w:i/>
          <w:iCs/>
          <w:color w:val="000000"/>
          <w:sz w:val="32"/>
          <w:szCs w:val="32"/>
          <w:highlight w:val="none"/>
          <w:lang w:val="en-US" w:eastAsia="zh-CN" w:bidi="ar-SA"/>
        </w:rPr>
      </w:r>
      <w:r/>
    </w:p>
    <w:p>
      <w:pPr>
        <w:ind w:firstLine="480"/>
        <w:jc w:val="center"/>
        <w:keepLines w:val="0"/>
        <w:keepNext w:val="0"/>
        <w:pageBreakBefore w:val="0"/>
        <w:spacing w:before="50" w:after="50" w:line="480" w:lineRule="exact"/>
        <w:widowControl/>
        <w:rPr>
          <w:rFonts w:ascii="宋体" w:hAnsi="宋体" w:eastAsia="宋体" w:cs="宋体"/>
          <w:b/>
          <w:bCs w:val="0"/>
          <w:i/>
          <w:iCs/>
          <w:color w:val="000000"/>
          <w:sz w:val="32"/>
          <w:szCs w:val="32"/>
          <w:highlight w:val="none"/>
        </w:rPr>
      </w:pPr>
      <w:r>
        <w:rPr>
          <w:rFonts w:hint="eastAsia" w:ascii="宋体" w:hAnsi="宋体" w:eastAsia="宋体" w:cs="宋体"/>
          <w:b/>
          <w:bCs w:val="0"/>
          <w:i/>
          <w:iCs/>
          <w:color w:val="000000"/>
          <w:sz w:val="32"/>
          <w:szCs w:val="32"/>
          <w:highlight w:val="none"/>
          <w:lang w:val="en-US" w:eastAsia="zh-CN" w:bidi="ar-SA"/>
        </w:rPr>
        <w:t xml:space="preserve">十六、</w:t>
      </w:r>
      <w:bookmarkEnd w:id="185"/>
      <w:r/>
      <w:bookmarkEnd w:id="186"/>
      <w:r/>
      <w:bookmarkEnd w:id="187"/>
      <w:r/>
      <w:bookmarkEnd w:id="196"/>
      <w:r/>
      <w:bookmarkEnd w:id="197"/>
      <w:r/>
      <w:bookmarkEnd w:id="198"/>
      <w:r/>
      <w:bookmarkEnd w:id="199"/>
      <w:r/>
      <w:bookmarkEnd w:id="200"/>
      <w:r>
        <w:rPr>
          <w:rFonts w:hint="eastAsia" w:ascii="宋体" w:hAnsi="宋体" w:eastAsia="宋体" w:cs="宋体"/>
          <w:b/>
          <w:bCs w:val="0"/>
          <w:i/>
          <w:iCs/>
          <w:color w:val="000000"/>
          <w:sz w:val="32"/>
          <w:szCs w:val="32"/>
          <w:highlight w:val="none"/>
        </w:rPr>
        <w:t xml:space="preserve">技术方案、服务承诺、</w:t>
      </w:r>
      <w:r>
        <w:rPr>
          <w:rFonts w:hint="eastAsia" w:ascii="宋体" w:hAnsi="宋体" w:eastAsia="宋体" w:cs="宋体"/>
          <w:b/>
          <w:bCs w:val="0"/>
          <w:i/>
          <w:iCs/>
          <w:color w:val="000000"/>
          <w:sz w:val="32"/>
          <w:szCs w:val="32"/>
          <w:highlight w:val="none"/>
          <w:lang w:val="en-US" w:eastAsia="zh-CN"/>
        </w:rPr>
        <w:t xml:space="preserve">质量</w:t>
      </w:r>
      <w:r>
        <w:rPr>
          <w:rFonts w:hint="eastAsia" w:ascii="宋体" w:hAnsi="宋体" w:eastAsia="宋体" w:cs="宋体"/>
          <w:b/>
          <w:bCs w:val="0"/>
          <w:i/>
          <w:iCs/>
          <w:color w:val="000000"/>
          <w:sz w:val="32"/>
          <w:szCs w:val="32"/>
          <w:highlight w:val="none"/>
        </w:rPr>
        <w:t xml:space="preserve">承诺等</w:t>
      </w:r>
      <w:r/>
    </w:p>
    <w:p>
      <w:pPr>
        <w:rPr>
          <w:rFonts w:hint="eastAsia" w:ascii="宋体" w:hAnsi="宋体" w:eastAsia="宋体" w:cs="宋体"/>
          <w:b/>
          <w:bCs/>
          <w:i/>
          <w:iCs/>
          <w:color w:val="000000"/>
          <w:sz w:val="32"/>
          <w:szCs w:val="32"/>
          <w:highlight w:val="none"/>
        </w:rPr>
      </w:pPr>
      <w:r>
        <w:rPr>
          <w:rFonts w:hint="eastAsia" w:ascii="宋体" w:hAnsi="宋体" w:eastAsia="宋体" w:cs="宋体"/>
          <w:b/>
          <w:bCs/>
          <w:i/>
          <w:iCs/>
          <w:color w:val="000000"/>
          <w:sz w:val="32"/>
          <w:szCs w:val="32"/>
          <w:highlight w:val="none"/>
        </w:rPr>
        <w:br w:type="page" w:clear="all"/>
      </w:r>
      <w:r/>
    </w:p>
    <w:p>
      <w:pPr>
        <w:jc w:val="center"/>
        <w:spacing w:line="499" w:lineRule="atLeast"/>
        <w:widowControl/>
        <w:rPr>
          <w:rFonts w:ascii="宋体" w:hAnsi="宋体" w:eastAsia="宋体" w:cs="宋体"/>
          <w:color w:val="000000"/>
          <w:sz w:val="24"/>
          <w:highlight w:val="none"/>
        </w:rPr>
      </w:pPr>
      <w:r>
        <w:rPr>
          <w:rFonts w:hint="eastAsia" w:ascii="宋体" w:hAnsi="宋体" w:eastAsia="宋体" w:cs="宋体"/>
          <w:b/>
          <w:bCs/>
          <w:i/>
          <w:iCs/>
          <w:color w:val="000000"/>
          <w:sz w:val="32"/>
          <w:szCs w:val="32"/>
          <w:highlight w:val="none"/>
          <w:lang w:val="en-US" w:eastAsia="zh-CN"/>
        </w:rPr>
        <w:t xml:space="preserve">十七、</w:t>
      </w:r>
      <w:r>
        <w:rPr>
          <w:rFonts w:hint="eastAsia" w:ascii="宋体" w:hAnsi="宋体" w:eastAsia="宋体" w:cs="宋体"/>
          <w:b/>
          <w:bCs/>
          <w:i/>
          <w:iCs/>
          <w:color w:val="000000"/>
          <w:sz w:val="32"/>
          <w:szCs w:val="32"/>
          <w:highlight w:val="none"/>
        </w:rPr>
        <w:t xml:space="preserve">盐城市政府采购事前信用承诺书</w:t>
      </w:r>
      <w:r/>
    </w:p>
    <w:p>
      <w:pPr>
        <w:ind w:firstLine="48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ind w:left="0"/>
        <w:jc w:val="left"/>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年月日</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75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53"/>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53"/>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75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5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75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75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53"/>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3"/>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1"/>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4" w:lineRule="auto"/>
      <w:rPr>
        <w:rFonts w:hint="eastAsia" w:ascii="楷体" w:hAnsi="楷体" w:eastAsia="楷体" w:cs="楷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page">
                <wp:posOffset>848995</wp:posOffset>
              </wp:positionH>
              <wp:positionV relativeFrom="page">
                <wp:posOffset>751205</wp:posOffset>
              </wp:positionV>
              <wp:extent cx="5721985" cy="8890"/>
              <wp:effectExtent l="0" t="0" r="0" b="0"/>
              <wp:wrapNone/>
              <wp:docPr id="1" name="IM 53" descr="IM 53"/>
              <wp:cNvGraphicFramePr/>
              <a:graphic xmlns:a="http://schemas.openxmlformats.org/drawingml/2006/main">
                <a:graphicData uri="http://schemas.openxmlformats.org/drawingml/2006/picture">
                  <pic:pic xmlns:pic="http://schemas.openxmlformats.org/drawingml/2006/picture">
                    <pic:nvPicPr>
                      <pic:cNvPr id="3" name="IM 53" descr="IM 53"/>
                      <pic:cNvPicPr/>
                      <pic:nvPr/>
                    </pic:nvPicPr>
                    <pic:blipFill>
                      <a:blip r:embed="rId1"/>
                      <a:stretch/>
                    </pic:blipFill>
                    <pic:spPr bwMode="auto">
                      <a:xfrm>
                        <a:off x="0" y="0"/>
                        <a:ext cx="5721984" cy="91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page;margin-left:66.8pt;mso-position-horizontal:absolute;mso-position-vertical-relative:page;margin-top:59.1pt;mso-position-vertical:absolute;width:450.5pt;height:0.7pt;mso-wrap-distance-left:0.0pt;mso-wrap-distance-top:0.0pt;mso-wrap-distance-right:0.0pt;mso-wrap-distance-bottom:0.0pt;" stroked="false">
              <v:path textboxrect="0,0,0,0"/>
              <v:imagedata r:id="rId1" o:title=""/>
            </v:shape>
          </w:pict>
        </mc:Fallback>
      </mc:AlternateContent>
    </w:r>
    <w:r>
      <w:rPr>
        <w:rFonts w:ascii="楷体" w:hAnsi="楷体" w:eastAsia="楷体" w:cs="楷体"/>
        <w:spacing w:val="-1"/>
        <w:sz w:val="24"/>
      </w:rPr>
      <w:t xml:space="preserve">盐南高新区政府采购招标文件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685" w:hanging="1125"/>
        <w:tabs>
          <w:tab w:val="left" w:pos="1685" w:leader="none"/>
        </w:tabs>
      </w:pPr>
      <w:rPr>
        <w:rFonts w:hint="eastAsia" w:ascii="宋体" w:hAnsi="宋体" w:eastAsia="宋体"/>
      </w:rPr>
    </w:lvl>
    <w:lvl w:ilvl="1">
      <w:start w:val="1"/>
      <w:numFmt w:val="japaneseCounting"/>
      <w:isLgl w:val="false"/>
      <w:suff w:val="tab"/>
      <w:lvlText w:val="（%2）"/>
      <w:lvlJc w:val="left"/>
      <w:pPr>
        <w:ind w:left="1700" w:hanging="720"/>
        <w:tabs>
          <w:tab w:val="left" w:pos="1700" w:leader="none"/>
        </w:tabs>
      </w:pPr>
      <w:rPr>
        <w:rFonts w:hint="eastAsia" w:ascii="宋体" w:hAnsi="宋体" w:eastAsia="宋体"/>
      </w:rPr>
    </w:lvl>
    <w:lvl w:ilvl="2">
      <w:start w:val="1"/>
      <w:numFmt w:val="lowerRoman"/>
      <w:isLgl w:val="false"/>
      <w:suff w:val="tab"/>
      <w:lvlText w:val="%3."/>
      <w:lvlJc w:val="right"/>
      <w:pPr>
        <w:ind w:left="1820" w:hanging="420"/>
        <w:tabs>
          <w:tab w:val="left" w:pos="1820" w:leader="none"/>
        </w:tabs>
      </w:pPr>
      <w:rPr>
        <w:rFonts w:hint="default" w:ascii="Times New Roman" w:hAnsi="Times New Roman" w:cs="Times New Roman"/>
      </w:rPr>
    </w:lvl>
    <w:lvl w:ilvl="3">
      <w:start w:val="1"/>
      <w:numFmt w:val="decimal"/>
      <w:isLgl w:val="false"/>
      <w:suff w:val="tab"/>
      <w:lvlText w:val="%4."/>
      <w:lvlJc w:val="left"/>
      <w:pPr>
        <w:ind w:left="2240" w:hanging="420"/>
        <w:tabs>
          <w:tab w:val="left" w:pos="2240" w:leader="none"/>
        </w:tabs>
      </w:pPr>
      <w:rPr>
        <w:rFonts w:hint="default" w:ascii="Times New Roman" w:hAnsi="Times New Roman" w:cs="Times New Roman"/>
      </w:rPr>
    </w:lvl>
    <w:lvl w:ilvl="4">
      <w:start w:val="1"/>
      <w:numFmt w:val="lowerLetter"/>
      <w:isLgl w:val="false"/>
      <w:suff w:val="tab"/>
      <w:lvlText w:val="%5)"/>
      <w:lvlJc w:val="left"/>
      <w:pPr>
        <w:ind w:left="2660" w:hanging="420"/>
        <w:tabs>
          <w:tab w:val="left" w:pos="2660" w:leader="none"/>
        </w:tabs>
      </w:pPr>
      <w:rPr>
        <w:rFonts w:hint="default" w:ascii="Times New Roman" w:hAnsi="Times New Roman" w:cs="Times New Roman"/>
      </w:rPr>
    </w:lvl>
    <w:lvl w:ilvl="5">
      <w:start w:val="1"/>
      <w:numFmt w:val="lowerRoman"/>
      <w:isLgl w:val="false"/>
      <w:suff w:val="tab"/>
      <w:lvlText w:val="%6."/>
      <w:lvlJc w:val="right"/>
      <w:pPr>
        <w:ind w:left="3080" w:hanging="420"/>
        <w:tabs>
          <w:tab w:val="left" w:pos="3080" w:leader="none"/>
        </w:tabs>
      </w:pPr>
      <w:rPr>
        <w:rFonts w:hint="default" w:ascii="Times New Roman" w:hAnsi="Times New Roman" w:cs="Times New Roman"/>
      </w:rPr>
    </w:lvl>
    <w:lvl w:ilvl="6">
      <w:start w:val="1"/>
      <w:numFmt w:val="decimal"/>
      <w:isLgl w:val="false"/>
      <w:suff w:val="tab"/>
      <w:lvlText w:val="%7."/>
      <w:lvlJc w:val="left"/>
      <w:pPr>
        <w:ind w:left="3500" w:hanging="420"/>
        <w:tabs>
          <w:tab w:val="left" w:pos="3500" w:leader="none"/>
        </w:tabs>
      </w:pPr>
      <w:rPr>
        <w:rFonts w:hint="default" w:ascii="Times New Roman" w:hAnsi="Times New Roman" w:cs="Times New Roman"/>
      </w:rPr>
    </w:lvl>
    <w:lvl w:ilvl="7">
      <w:start w:val="1"/>
      <w:numFmt w:val="lowerLetter"/>
      <w:isLgl w:val="false"/>
      <w:suff w:val="tab"/>
      <w:lvlText w:val="%8)"/>
      <w:lvlJc w:val="left"/>
      <w:pPr>
        <w:ind w:left="3920" w:hanging="420"/>
        <w:tabs>
          <w:tab w:val="left" w:pos="3920" w:leader="none"/>
        </w:tabs>
      </w:pPr>
      <w:rPr>
        <w:rFonts w:hint="default" w:ascii="Times New Roman" w:hAnsi="Times New Roman" w:cs="Times New Roman"/>
      </w:rPr>
    </w:lvl>
    <w:lvl w:ilvl="8">
      <w:start w:val="1"/>
      <w:numFmt w:val="lowerRoman"/>
      <w:isLgl w:val="false"/>
      <w:suff w:val="tab"/>
      <w:lvlText w:val="%9."/>
      <w:lvlJc w:val="right"/>
      <w:pPr>
        <w:ind w:left="4340" w:hanging="420"/>
        <w:tabs>
          <w:tab w:val="left" w:pos="4340" w:leader="none"/>
        </w:tabs>
      </w:pPr>
      <w:rPr>
        <w:rFonts w:hint="default" w:ascii="Times New Roman" w:hAnsi="Times New Roman" w:cs="Times New Roman"/>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1"/>
    <w:link w:val="707"/>
    <w:uiPriority w:val="9"/>
    <w:rPr>
      <w:rFonts w:ascii="Arial" w:hAnsi="Arial" w:eastAsia="Arial" w:cs="Arial"/>
      <w:sz w:val="40"/>
      <w:szCs w:val="40"/>
    </w:rPr>
  </w:style>
  <w:style w:type="character" w:styleId="15">
    <w:name w:val="Heading 2 Char"/>
    <w:basedOn w:val="711"/>
    <w:link w:val="708"/>
    <w:uiPriority w:val="9"/>
    <w:rPr>
      <w:rFonts w:ascii="Arial" w:hAnsi="Arial" w:eastAsia="Arial" w:cs="Arial"/>
      <w:sz w:val="34"/>
    </w:rPr>
  </w:style>
  <w:style w:type="character" w:styleId="17">
    <w:name w:val="Heading 3 Char"/>
    <w:basedOn w:val="711"/>
    <w:link w:val="709"/>
    <w:uiPriority w:val="9"/>
    <w:rPr>
      <w:rFonts w:ascii="Arial" w:hAnsi="Arial" w:eastAsia="Arial" w:cs="Arial"/>
      <w:sz w:val="30"/>
      <w:szCs w:val="30"/>
    </w:rPr>
  </w:style>
  <w:style w:type="character" w:styleId="19">
    <w:name w:val="Heading 4 Char"/>
    <w:basedOn w:val="711"/>
    <w:link w:val="710"/>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1"/>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1"/>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1"/>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1"/>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1"/>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711"/>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711"/>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1"/>
    <w:link w:val="722"/>
    <w:uiPriority w:val="99"/>
  </w:style>
  <w:style w:type="character" w:styleId="44">
    <w:name w:val="Footer Char"/>
    <w:basedOn w:val="711"/>
    <w:link w:val="721"/>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721"/>
    <w:uiPriority w:val="99"/>
  </w:style>
  <w:style w:type="table" w:styleId="48">
    <w:name w:val="Table Grid Light"/>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1"/>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1"/>
    <w:uiPriority w:val="99"/>
    <w:semiHidden/>
    <w:unhideWhenUsed/>
    <w:rPr>
      <w:vertAlign w:val="superscript"/>
    </w:r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13"/>
    <w:link w:val="76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7">
    <w:name w:val="Heading 1"/>
    <w:basedOn w:val="706"/>
    <w:next w:val="706"/>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708">
    <w:name w:val="Heading 2"/>
    <w:basedOn w:val="706"/>
    <w:next w:val="70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09">
    <w:name w:val="Heading 3"/>
    <w:basedOn w:val="706"/>
    <w:next w:val="706"/>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710">
    <w:name w:val="Heading 4"/>
    <w:basedOn w:val="706"/>
    <w:next w:val="706"/>
    <w:uiPriority w:val="0"/>
    <w:qFormat/>
    <w:pPr>
      <w:keepLines/>
      <w:keepNext/>
      <w:spacing w:before="280" w:after="290" w:line="376" w:lineRule="auto"/>
      <w:outlineLvl w:val="3"/>
    </w:pPr>
    <w:rPr>
      <w:rFonts w:ascii="Arial" w:hAnsi="Arial" w:eastAsia="黑体" w:cs="Times New Roman"/>
      <w:b/>
      <w:bCs/>
      <w:sz w:val="28"/>
      <w:szCs w:val="28"/>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Default"/>
    <w:basedOn w:val="706"/>
    <w:uiPriority w:val="0"/>
    <w:semiHidden/>
    <w:qFormat/>
    <w:pPr>
      <w:jc w:val="left"/>
    </w:pPr>
    <w:rPr>
      <w:rFonts w:ascii="宋体" w:hAnsi="Calibri" w:cs="宋体"/>
      <w:color w:val="000000"/>
      <w:sz w:val="24"/>
    </w:rPr>
  </w:style>
  <w:style w:type="paragraph" w:styleId="714">
    <w:name w:val="Normal Indent"/>
    <w:basedOn w:val="706"/>
    <w:next w:val="706"/>
    <w:uiPriority w:val="0"/>
    <w:qFormat/>
    <w:pPr>
      <w:ind w:firstLine="420"/>
    </w:pPr>
    <w:rPr>
      <w:rFonts w:ascii="Times New Roman" w:hAnsi="Times New Roman" w:eastAsia="宋体" w:cs="Times New Roman"/>
      <w:sz w:val="20"/>
      <w:szCs w:val="20"/>
    </w:rPr>
  </w:style>
  <w:style w:type="paragraph" w:styleId="715">
    <w:name w:val="annotation text"/>
    <w:basedOn w:val="706"/>
    <w:uiPriority w:val="0"/>
    <w:qFormat/>
    <w:pPr>
      <w:jc w:val="left"/>
    </w:pPr>
  </w:style>
  <w:style w:type="paragraph" w:styleId="716">
    <w:name w:val="Body Text"/>
    <w:basedOn w:val="706"/>
    <w:uiPriority w:val="0"/>
    <w:qFormat/>
    <w:rPr>
      <w:rFonts w:ascii="楷体_GB2312" w:hAnsi="Arial" w:eastAsia="楷体_GB2312"/>
      <w:sz w:val="28"/>
      <w:szCs w:val="28"/>
    </w:rPr>
  </w:style>
  <w:style w:type="paragraph" w:styleId="717">
    <w:name w:val="Body Text Indent"/>
    <w:basedOn w:val="706"/>
    <w:next w:val="718"/>
    <w:uiPriority w:val="0"/>
    <w:qFormat/>
    <w:pPr>
      <w:ind w:left="420"/>
      <w:spacing w:after="120"/>
    </w:pPr>
    <w:rPr>
      <w:rFonts w:ascii="Times New Roman" w:hAnsi="Times New Roman" w:eastAsia="宋体" w:cs="Times New Roman"/>
    </w:rPr>
  </w:style>
  <w:style w:type="paragraph" w:styleId="718">
    <w:name w:val="envelope return"/>
    <w:basedOn w:val="706"/>
    <w:uiPriority w:val="0"/>
    <w:qFormat/>
    <w:rPr>
      <w:rFonts w:ascii="Arial" w:hAnsi="Arial" w:eastAsia="宋体" w:cs="Times New Roman"/>
    </w:rPr>
  </w:style>
  <w:style w:type="paragraph" w:styleId="719">
    <w:name w:val="Plain Text"/>
    <w:basedOn w:val="706"/>
    <w:uiPriority w:val="99"/>
    <w:qFormat/>
    <w:rPr>
      <w:rFonts w:ascii="宋体" w:hAnsi="Courier New" w:cs="Courier New"/>
    </w:rPr>
  </w:style>
  <w:style w:type="paragraph" w:styleId="720">
    <w:name w:val="Body Text Indent 2"/>
    <w:basedOn w:val="706"/>
    <w:uiPriority w:val="0"/>
    <w:qFormat/>
    <w:pPr>
      <w:ind w:left="-1" w:firstLine="480"/>
      <w:spacing w:line="400" w:lineRule="exact"/>
    </w:pPr>
    <w:rPr>
      <w:rFonts w:ascii="楷体_GB2312" w:eastAsia="楷体_GB2312"/>
      <w:sz w:val="24"/>
    </w:rPr>
  </w:style>
  <w:style w:type="paragraph" w:styleId="721">
    <w:name w:val="Footer"/>
    <w:basedOn w:val="706"/>
    <w:link w:val="742"/>
    <w:uiPriority w:val="0"/>
    <w:qFormat/>
    <w:pPr>
      <w:jc w:val="left"/>
      <w:tabs>
        <w:tab w:val="center" w:pos="4153" w:leader="none"/>
        <w:tab w:val="right" w:pos="8306" w:leader="none"/>
      </w:tabs>
    </w:pPr>
    <w:rPr>
      <w:sz w:val="18"/>
      <w:szCs w:val="18"/>
    </w:rPr>
  </w:style>
  <w:style w:type="paragraph" w:styleId="722">
    <w:name w:val="Header"/>
    <w:basedOn w:val="706"/>
    <w:link w:val="741"/>
    <w:uiPriority w:val="0"/>
    <w:qFormat/>
    <w:pPr>
      <w:jc w:val="center"/>
      <w:tabs>
        <w:tab w:val="center" w:pos="4153" w:leader="none"/>
        <w:tab w:val="right" w:pos="8306" w:leader="none"/>
      </w:tabs>
      <w:pBdr>
        <w:bottom w:val="single" w:color="auto" w:sz="6" w:space="1"/>
      </w:pBdr>
    </w:pPr>
    <w:rPr>
      <w:sz w:val="18"/>
      <w:szCs w:val="18"/>
    </w:rPr>
  </w:style>
  <w:style w:type="paragraph" w:styleId="723">
    <w:name w:val="toc 1"/>
    <w:basedOn w:val="706"/>
    <w:next w:val="706"/>
    <w:uiPriority w:val="0"/>
    <w:qFormat/>
  </w:style>
  <w:style w:type="paragraph" w:styleId="724">
    <w:name w:val="toc 6"/>
    <w:basedOn w:val="706"/>
    <w:next w:val="706"/>
    <w:uiPriority w:val="0"/>
    <w:qFormat/>
    <w:pPr>
      <w:ind w:left="2100"/>
    </w:pPr>
    <w:rPr>
      <w:rFonts w:ascii="Calibri" w:hAnsi="Calibri"/>
      <w:szCs w:val="24"/>
    </w:rPr>
  </w:style>
  <w:style w:type="paragraph" w:styleId="725">
    <w:name w:val="Normal (Web)"/>
    <w:basedOn w:val="706"/>
    <w:uiPriority w:val="0"/>
    <w:qFormat/>
    <w:pPr>
      <w:jc w:val="left"/>
      <w:spacing w:beforeAutospacing="1" w:afterAutospacing="1"/>
    </w:pPr>
    <w:rPr>
      <w:rFonts w:cs="Times New Roman"/>
      <w:sz w:val="24"/>
    </w:rPr>
  </w:style>
  <w:style w:type="paragraph" w:styleId="726">
    <w:name w:val="Body Text First Indent"/>
    <w:basedOn w:val="716"/>
    <w:uiPriority w:val="0"/>
    <w:qFormat/>
    <w:pPr>
      <w:ind w:firstLine="200"/>
      <w:spacing w:line="360" w:lineRule="auto"/>
    </w:pPr>
    <w:rPr>
      <w:rFonts w:ascii="仿宋_GB2312" w:eastAsia="仿宋_GB2312"/>
      <w:sz w:val="30"/>
      <w:szCs w:val="30"/>
    </w:rPr>
  </w:style>
  <w:style w:type="paragraph" w:styleId="727">
    <w:name w:val="Body Text First Indent 2"/>
    <w:basedOn w:val="717"/>
    <w:next w:val="726"/>
    <w:uiPriority w:val="0"/>
    <w:qFormat/>
    <w:pPr>
      <w:ind w:firstLine="420"/>
    </w:pPr>
    <w:rPr>
      <w:rFonts w:ascii="Times New Roman" w:hAnsi="Times New Roman" w:eastAsia="宋体" w:cs="Times New Roman"/>
    </w:rPr>
  </w:style>
  <w:style w:type="table" w:styleId="728">
    <w:name w:val="Table Grid"/>
    <w:basedOn w:val="7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basedOn w:val="711"/>
    <w:uiPriority w:val="0"/>
    <w:qFormat/>
    <w:rPr>
      <w:b/>
    </w:rPr>
  </w:style>
  <w:style w:type="character" w:styleId="730">
    <w:name w:val="Emphasis"/>
    <w:basedOn w:val="711"/>
    <w:uiPriority w:val="0"/>
    <w:qFormat/>
    <w:rPr>
      <w:i/>
    </w:rPr>
  </w:style>
  <w:style w:type="paragraph" w:styleId="731" w:customStyle="1">
    <w:name w:val="段"/>
    <w:next w:val="73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32" w:customStyle="1">
    <w:name w:val="正文 A"/>
    <w:next w:val="731"/>
    <w:uiPriority w:val="0"/>
    <w:qFormat/>
    <w:pPr>
      <w:jc w:val="both"/>
      <w:widowControl w:val="off"/>
    </w:pPr>
    <w:rPr>
      <w:rFonts w:ascii="Calibri" w:hAnsi="Calibri" w:eastAsia="Calibri" w:cs="Calibri"/>
      <w:color w:val="000000"/>
      <w:sz w:val="21"/>
      <w:szCs w:val="21"/>
      <w:lang w:val="en-US" w:eastAsia="zh-CN" w:bidi="ar-SA"/>
    </w:rPr>
  </w:style>
  <w:style w:type="paragraph" w:styleId="733" w:customStyle="1">
    <w:name w:val="正文文本11"/>
    <w:basedOn w:val="706"/>
    <w:next w:val="734"/>
    <w:uiPriority w:val="0"/>
    <w:qFormat/>
    <w:rPr>
      <w:rFonts w:ascii="楷体_GB2312" w:hAnsi="Arial" w:eastAsia="楷体_GB2312"/>
      <w:sz w:val="28"/>
      <w:szCs w:val="28"/>
    </w:rPr>
  </w:style>
  <w:style w:type="paragraph" w:styleId="734" w:customStyle="1">
    <w:name w:val="正文文本 211"/>
    <w:basedOn w:val="706"/>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735" w:customStyle="1">
    <w:name w:val="正文首行缩进 21"/>
    <w:basedOn w:val="736"/>
    <w:uiPriority w:val="99"/>
    <w:qFormat/>
    <w:pPr>
      <w:ind w:firstLine="420"/>
      <w:spacing w:line="360" w:lineRule="auto"/>
    </w:pPr>
    <w:rPr>
      <w:rFonts w:ascii="宋体" w:hAnsi="宋体" w:eastAsia="宋体"/>
      <w:sz w:val="21"/>
      <w:szCs w:val="20"/>
    </w:rPr>
  </w:style>
  <w:style w:type="paragraph" w:styleId="736" w:customStyle="1">
    <w:name w:val="正文文本缩进1"/>
    <w:basedOn w:val="706"/>
    <w:uiPriority w:val="99"/>
    <w:qFormat/>
    <w:pPr>
      <w:ind w:firstLine="645"/>
    </w:pPr>
    <w:rPr>
      <w:rFonts w:ascii="楷体_GB2312" w:eastAsia="楷体_GB2312"/>
      <w:sz w:val="32"/>
      <w:szCs w:val="32"/>
    </w:rPr>
  </w:style>
  <w:style w:type="paragraph" w:styleId="737" w:customStyle="1">
    <w:name w:val="样式 标题 3 + (中文) 黑体 小四 非加粗 段前: 7.8 磅 段后: 0 磅 行距: 固定值 20 磅_0"/>
    <w:basedOn w:val="738"/>
    <w:uiPriority w:val="0"/>
    <w:qFormat/>
    <w:pPr>
      <w:spacing w:before="0" w:after="0" w:line="400" w:lineRule="exact"/>
    </w:pPr>
    <w:rPr>
      <w:rFonts w:ascii="Times New Roman" w:hAnsi="Times New Roman" w:eastAsia="黑体" w:cs="宋体"/>
      <w:b w:val="0"/>
      <w:bCs w:val="0"/>
      <w:sz w:val="21"/>
      <w:szCs w:val="20"/>
    </w:rPr>
  </w:style>
  <w:style w:type="paragraph" w:styleId="738" w:customStyle="1">
    <w:name w:val="标题 3_0"/>
    <w:basedOn w:val="739"/>
    <w:next w:val="740"/>
    <w:uiPriority w:val="0"/>
    <w:qFormat/>
    <w:pPr>
      <w:keepLines/>
      <w:keepNext/>
      <w:spacing w:before="260" w:after="260" w:line="416" w:lineRule="auto"/>
      <w:outlineLvl w:val="2"/>
    </w:pPr>
    <w:rPr>
      <w:rFonts w:ascii="Calibri" w:hAnsi="Calibri" w:eastAsia="宋体"/>
      <w:b/>
      <w:bCs/>
      <w:sz w:val="32"/>
      <w:szCs w:val="32"/>
    </w:rPr>
  </w:style>
  <w:style w:type="paragraph" w:styleId="739" w:customStyle="1">
    <w:name w:val="正文_0"/>
    <w:next w:val="727"/>
    <w:uiPriority w:val="0"/>
    <w:qFormat/>
    <w:pPr>
      <w:jc w:val="both"/>
      <w:widowControl w:val="off"/>
    </w:pPr>
    <w:rPr>
      <w:rFonts w:hint="default" w:ascii="Calibri" w:hAnsi="Calibri" w:eastAsia="仿宋_GB2312" w:cs="Times New Roman"/>
      <w:sz w:val="21"/>
      <w:szCs w:val="22"/>
      <w:lang w:val="en-US" w:eastAsia="zh-CN" w:bidi="ar-SA"/>
    </w:rPr>
  </w:style>
  <w:style w:type="paragraph" w:styleId="740" w:customStyle="1">
    <w:name w:val="正文_1"/>
    <w:next w:val="727"/>
    <w:uiPriority w:val="0"/>
    <w:qFormat/>
    <w:pPr>
      <w:jc w:val="both"/>
      <w:widowControl w:val="off"/>
    </w:pPr>
    <w:rPr>
      <w:rFonts w:hint="default" w:ascii="Calibri" w:hAnsi="Calibri" w:eastAsia="仿宋_GB2312" w:cs="Times New Roman"/>
      <w:sz w:val="21"/>
      <w:szCs w:val="22"/>
      <w:lang w:val="en-US" w:eastAsia="zh-CN" w:bidi="ar-SA"/>
    </w:rPr>
  </w:style>
  <w:style w:type="character" w:styleId="741" w:customStyle="1">
    <w:name w:val="页眉 Char"/>
    <w:basedOn w:val="711"/>
    <w:link w:val="722"/>
    <w:uiPriority w:val="0"/>
    <w:qFormat/>
    <w:rPr>
      <w:rFonts w:asciiTheme="minorHAnsi" w:hAnsiTheme="minorHAnsi" w:eastAsiaTheme="minorEastAsia" w:cstheme="minorBidi"/>
      <w:sz w:val="18"/>
      <w:szCs w:val="18"/>
    </w:rPr>
  </w:style>
  <w:style w:type="character" w:styleId="742" w:customStyle="1">
    <w:name w:val="页脚 Char"/>
    <w:basedOn w:val="711"/>
    <w:link w:val="721"/>
    <w:uiPriority w:val="0"/>
    <w:qFormat/>
    <w:rPr>
      <w:rFonts w:asciiTheme="minorHAnsi" w:hAnsiTheme="minorHAnsi" w:eastAsiaTheme="minorEastAsia" w:cstheme="minorBidi"/>
      <w:sz w:val="18"/>
      <w:szCs w:val="18"/>
    </w:rPr>
  </w:style>
  <w:style w:type="paragraph" w:styleId="743" w:customStyle="1">
    <w:name w:val="普通正文"/>
    <w:basedOn w:val="706"/>
    <w:uiPriority w:val="0"/>
    <w:qFormat/>
    <w:pPr>
      <w:ind w:firstLine="480"/>
      <w:jc w:val="left"/>
      <w:spacing w:before="120" w:after="120" w:line="360" w:lineRule="auto"/>
    </w:pPr>
    <w:rPr>
      <w:rFonts w:ascii="Arial" w:hAnsi="Arial" w:eastAsia="宋体" w:cs="Times New Roman"/>
      <w:sz w:val="24"/>
      <w:szCs w:val="24"/>
    </w:rPr>
  </w:style>
  <w:style w:type="character" w:styleId="744" w:customStyle="1">
    <w:name w:val="无"/>
    <w:uiPriority w:val="0"/>
    <w:qFormat/>
  </w:style>
  <w:style w:type="paragraph" w:styleId="745" w:customStyle="1">
    <w:name w:val="首行缩进"/>
    <w:basedOn w:val="706"/>
    <w:uiPriority w:val="0"/>
    <w:qFormat/>
    <w:pPr>
      <w:ind w:firstLine="480"/>
      <w:spacing w:line="360" w:lineRule="auto"/>
    </w:pPr>
    <w:rPr>
      <w:rFonts w:ascii="宋体" w:hAnsi="宋体" w:cs="宋体"/>
      <w:sz w:val="24"/>
    </w:rPr>
  </w:style>
  <w:style w:type="character" w:styleId="746" w:customStyle="1">
    <w:name w:val="font21"/>
    <w:basedOn w:val="747"/>
    <w:link w:val="706"/>
    <w:uiPriority w:val="0"/>
    <w:qFormat/>
    <w:rPr>
      <w:rFonts w:hint="eastAsia" w:ascii="宋体" w:hAnsi="宋体" w:eastAsia="宋体" w:cs="宋体"/>
      <w:b/>
      <w:bCs/>
      <w:color w:val="000000"/>
      <w:sz w:val="21"/>
      <w:szCs w:val="21"/>
      <w:u w:val="none"/>
    </w:rPr>
  </w:style>
  <w:style w:type="character" w:styleId="747" w:customStyle="1">
    <w:name w:val="默认段落字体1"/>
    <w:link w:val="706"/>
    <w:uiPriority w:val="1"/>
    <w:unhideWhenUsed/>
    <w:qFormat/>
  </w:style>
  <w:style w:type="character" w:styleId="748" w:customStyle="1">
    <w:name w:val="font31"/>
    <w:basedOn w:val="711"/>
    <w:uiPriority w:val="0"/>
    <w:qFormat/>
    <w:rPr>
      <w:rFonts w:hint="eastAsia" w:ascii="宋体" w:hAnsi="宋体" w:eastAsia="宋体" w:cs="宋体"/>
      <w:color w:val="000000"/>
      <w:sz w:val="21"/>
      <w:szCs w:val="21"/>
      <w:u w:val="none"/>
    </w:rPr>
  </w:style>
  <w:style w:type="paragraph" w:styleId="749" w:customStyle="1">
    <w:name w:val="WPSOffice手动目录 1"/>
    <w:uiPriority w:val="0"/>
    <w:qFormat/>
    <w:rPr>
      <w:rFonts w:ascii="Times New Roman" w:hAnsi="Times New Roman" w:eastAsia="宋体" w:cs="Times New Roman"/>
      <w:sz w:val="20"/>
      <w:szCs w:val="20"/>
    </w:rPr>
  </w:style>
  <w:style w:type="character" w:styleId="750" w:customStyle="1">
    <w:name w:val="font11"/>
    <w:basedOn w:val="747"/>
    <w:link w:val="706"/>
    <w:uiPriority w:val="0"/>
    <w:qFormat/>
    <w:rPr>
      <w:rFonts w:hint="eastAsia" w:ascii="宋体" w:hAnsi="宋体" w:eastAsia="宋体" w:cs="宋体"/>
      <w:b/>
      <w:bCs/>
      <w:color w:val="000000"/>
      <w:sz w:val="22"/>
      <w:szCs w:val="22"/>
      <w:u w:val="none"/>
    </w:rPr>
  </w:style>
  <w:style w:type="character" w:styleId="751" w:customStyle="1">
    <w:name w:val="font71"/>
    <w:basedOn w:val="711"/>
    <w:uiPriority w:val="0"/>
    <w:qFormat/>
    <w:rPr>
      <w:rFonts w:hint="default" w:ascii="Times New Roman" w:hAnsi="Times New Roman" w:cs="Times New Roman"/>
      <w:b/>
      <w:bCs/>
      <w:color w:val="000000"/>
      <w:sz w:val="22"/>
      <w:szCs w:val="22"/>
      <w:u w:val="none"/>
    </w:rPr>
  </w:style>
  <w:style w:type="character" w:styleId="752" w:customStyle="1">
    <w:name w:val="font61"/>
    <w:basedOn w:val="747"/>
    <w:link w:val="706"/>
    <w:uiPriority w:val="0"/>
    <w:qFormat/>
    <w:rPr>
      <w:rFonts w:hint="default" w:ascii="Times New Roman" w:hAnsi="Times New Roman" w:cs="Times New Roman"/>
      <w:b/>
      <w:bCs/>
      <w:color w:val="000000"/>
      <w:sz w:val="22"/>
      <w:szCs w:val="22"/>
      <w:u w:val="none"/>
    </w:rPr>
  </w:style>
  <w:style w:type="paragraph" w:styleId="753" w:customStyle="1">
    <w:name w:val="普通(网站)1"/>
    <w:basedOn w:val="706"/>
    <w:uiPriority w:val="0"/>
    <w:qFormat/>
    <w:pPr>
      <w:ind w:left="0" w:right="0"/>
      <w:jc w:val="left"/>
      <w:spacing w:before="100" w:beforeAutospacing="1" w:after="100" w:afterAutospacing="1"/>
    </w:pPr>
    <w:rPr>
      <w:sz w:val="24"/>
      <w:lang w:val="en-US" w:eastAsia="zh-CN" w:bidi="ar"/>
    </w:rPr>
  </w:style>
  <w:style w:type="paragraph" w:styleId="754" w:customStyle="1">
    <w:name w:val="正文首行缩进 211"/>
    <w:basedOn w:val="755"/>
    <w:next w:val="706"/>
    <w:uiPriority w:val="99"/>
    <w:qFormat/>
    <w:pPr>
      <w:ind w:firstLine="420"/>
      <w:spacing w:line="360" w:lineRule="auto"/>
    </w:pPr>
    <w:rPr>
      <w:rFonts w:ascii="宋体" w:hAnsi="宋体" w:eastAsia="宋体"/>
      <w:sz w:val="21"/>
      <w:szCs w:val="20"/>
    </w:rPr>
  </w:style>
  <w:style w:type="paragraph" w:styleId="755" w:customStyle="1">
    <w:name w:val="正文文本缩进11"/>
    <w:basedOn w:val="706"/>
    <w:next w:val="756"/>
    <w:uiPriority w:val="99"/>
    <w:qFormat/>
    <w:pPr>
      <w:ind w:firstLine="645"/>
    </w:pPr>
    <w:rPr>
      <w:rFonts w:ascii="楷体_GB2312" w:eastAsia="楷体_GB2312"/>
      <w:sz w:val="32"/>
      <w:szCs w:val="32"/>
    </w:rPr>
  </w:style>
  <w:style w:type="paragraph" w:styleId="756" w:customStyle="1">
    <w:name w:val="寄信人地址1"/>
    <w:basedOn w:val="706"/>
    <w:uiPriority w:val="0"/>
    <w:qFormat/>
    <w:rPr>
      <w:rFonts w:ascii="Arial" w:hAnsi="Arial"/>
    </w:rPr>
  </w:style>
  <w:style w:type="paragraph" w:styleId="757" w:customStyle="1">
    <w:name w:val="正文首行缩进1"/>
    <w:basedOn w:val="706"/>
    <w:uiPriority w:val="0"/>
    <w:qFormat/>
    <w:pPr>
      <w:ind w:firstLine="200"/>
      <w:spacing w:line="360" w:lineRule="auto"/>
    </w:pPr>
    <w:rPr>
      <w:rFonts w:ascii="仿宋_GB2312" w:eastAsia="仿宋_GB2312"/>
      <w:sz w:val="30"/>
      <w:szCs w:val="30"/>
    </w:rPr>
  </w:style>
  <w:style w:type="paragraph" w:styleId="758" w:customStyle="1">
    <w:name w:val="纯文本1"/>
    <w:basedOn w:val="706"/>
    <w:uiPriority w:val="0"/>
    <w:qFormat/>
    <w:rPr>
      <w:rFonts w:hint="eastAsia" w:ascii="宋体" w:hAnsi="Courier New"/>
      <w:szCs w:val="20"/>
    </w:rPr>
  </w:style>
  <w:style w:type="character" w:styleId="759" w:customStyle="1">
    <w:name w:val="NormalCharacter1"/>
    <w:link w:val="706"/>
    <w:uiPriority w:val="0"/>
    <w:semiHidden/>
    <w:qFormat/>
    <w:rPr>
      <w:rFonts w:asciiTheme="minorHAnsi" w:hAnsiTheme="minorHAnsi" w:eastAsiaTheme="minorEastAsia" w:cstheme="minorBidi"/>
      <w:sz w:val="21"/>
      <w:szCs w:val="24"/>
      <w:lang w:val="en-US" w:eastAsia="zh-CN" w:bidi="ar-SA"/>
    </w:rPr>
  </w:style>
  <w:style w:type="paragraph" w:styleId="760" w:customStyle="1">
    <w:name w:val="列出段落"/>
    <w:basedOn w:val="706"/>
    <w:uiPriority w:val="34"/>
    <w:qFormat/>
    <w:pPr>
      <w:ind w:firstLine="420"/>
      <w:jc w:val="left"/>
      <w:spacing w:after="200"/>
      <w:widowControl/>
    </w:pPr>
    <w:rPr>
      <w:rFonts w:ascii="Tahoma" w:hAnsi="Tahoma" w:eastAsia="微软雅黑" w:cs="Times New Roman"/>
      <w:sz w:val="22"/>
      <w:szCs w:val="22"/>
    </w:rPr>
  </w:style>
  <w:style w:type="paragraph" w:styleId="761" w:customStyle="1">
    <w:name w:val="列出段落2"/>
    <w:basedOn w:val="706"/>
    <w:uiPriority w:val="0"/>
    <w:qFormat/>
    <w:pPr>
      <w:ind w:firstLine="420"/>
    </w:pPr>
    <w:rPr>
      <w:szCs w:val="22"/>
    </w:rPr>
  </w:style>
  <w:style w:type="character" w:styleId="762" w:customStyle="1">
    <w:name w:val="font41"/>
    <w:basedOn w:val="747"/>
    <w:link w:val="706"/>
    <w:uiPriority w:val="0"/>
    <w:qFormat/>
    <w:rPr>
      <w:rFonts w:hint="eastAsia" w:ascii="宋体" w:hAnsi="宋体" w:eastAsia="宋体" w:cs="宋体"/>
      <w:b/>
      <w:bCs/>
      <w:color w:val="000000"/>
      <w:sz w:val="36"/>
      <w:szCs w:val="36"/>
      <w:u w:val="single"/>
    </w:rPr>
  </w:style>
  <w:style w:type="paragraph" w:styleId="763" w:customStyle="1">
    <w:name w:val="正文文本缩进 21"/>
    <w:basedOn w:val="706"/>
    <w:uiPriority w:val="0"/>
    <w:qFormat/>
    <w:pPr>
      <w:ind w:left="-1" w:firstLine="480"/>
      <w:spacing w:line="400" w:lineRule="exact"/>
    </w:pPr>
    <w:rPr>
      <w:rFonts w:ascii="楷体_GB2312" w:eastAsia="楷体_GB2312"/>
      <w:sz w:val="24"/>
    </w:rPr>
  </w:style>
  <w:style w:type="paragraph" w:styleId="764" w:customStyle="1">
    <w:name w:val="标题 11"/>
    <w:basedOn w:val="706"/>
    <w:next w:val="706"/>
    <w:uiPriority w:val="0"/>
    <w:qFormat/>
    <w:pPr>
      <w:keepNext/>
      <w:outlineLvl w:val="0"/>
    </w:pPr>
    <w:rPr>
      <w:rFonts w:ascii="楷体_GB2312" w:eastAsia="楷体_GB2312"/>
      <w:sz w:val="28"/>
      <w:szCs w:val="20"/>
    </w:rPr>
  </w:style>
  <w:style w:type="paragraph" w:styleId="765" w:customStyle="1">
    <w:name w:val="列出段落3"/>
    <w:basedOn w:val="706"/>
    <w:uiPriority w:val="0"/>
    <w:qFormat/>
    <w:pPr>
      <w:ind w:firstLine="420"/>
    </w:pPr>
    <w:rPr>
      <w:rFonts w:ascii="Calibri" w:hAnsi="Calibri" w:cs="Calibri"/>
    </w:rPr>
  </w:style>
  <w:style w:type="table" w:styleId="766" w:customStyle="1">
    <w:name w:val="网格型1"/>
    <w:basedOn w:val="767"/>
    <w:uiPriority w:val="59"/>
    <w:qFormat/>
    <w:tblPr/>
  </w:style>
  <w:style w:type="table" w:styleId="767" w:customStyle="1">
    <w:name w:val="普通表格1"/>
    <w:uiPriority w:val="99"/>
    <w:unhideWhenUsed/>
    <w:qFormat/>
    <w:tblPr/>
  </w:style>
  <w:style w:type="character" w:styleId="768" w:customStyle="1">
    <w:name w:val="font51"/>
    <w:basedOn w:val="711"/>
    <w:uiPriority w:val="0"/>
    <w:qFormat/>
    <w:rPr>
      <w:rFonts w:hint="eastAsia" w:ascii="宋体" w:hAnsi="宋体" w:eastAsia="宋体" w:cs="宋体"/>
      <w:color w:val="ff0000"/>
      <w:sz w:val="22"/>
      <w:szCs w:val="22"/>
      <w:u w:val="none"/>
    </w:rPr>
  </w:style>
  <w:style w:type="character" w:styleId="769" w:customStyle="1">
    <w:name w:val="font81"/>
    <w:basedOn w:val="711"/>
    <w:uiPriority w:val="0"/>
    <w:qFormat/>
    <w:rPr>
      <w:rFonts w:hint="default" w:ascii="Times New Roman" w:hAnsi="Times New Roman" w:cs="Times New Roman"/>
      <w:color w:val="000000"/>
      <w:sz w:val="20"/>
      <w:szCs w:val="20"/>
      <w:u w:val="none"/>
    </w:rPr>
  </w:style>
  <w:style w:type="character" w:styleId="770" w:customStyle="1">
    <w:name w:val="font91"/>
    <w:basedOn w:val="711"/>
    <w:uiPriority w:val="0"/>
    <w:qFormat/>
    <w:rPr>
      <w:rFonts w:hint="eastAsia" w:ascii="宋体" w:hAnsi="宋体" w:eastAsia="宋体" w:cs="宋体"/>
      <w:color w:val="000000"/>
      <w:sz w:val="24"/>
      <w:szCs w:val="24"/>
      <w:u w:val="none"/>
    </w:rPr>
  </w:style>
  <w:style w:type="paragraph" w:styleId="771" w:customStyle="1">
    <w:name w:val="Table Text"/>
    <w:basedOn w:val="706"/>
    <w:uiPriority w:val="0"/>
    <w:semiHidden/>
    <w:qFormat/>
    <w:rPr>
      <w:rFonts w:ascii="宋体" w:hAnsi="宋体" w:eastAsia="宋体" w:cs="宋体"/>
      <w:sz w:val="24"/>
      <w:szCs w:val="24"/>
    </w:rPr>
  </w:style>
  <w:style w:type="paragraph" w:styleId="772" w:customStyle="1">
    <w:name w:val="页脚1"/>
    <w:basedOn w:val="706"/>
    <w:uiPriority w:val="0"/>
    <w:qFormat/>
    <w:pPr>
      <w:jc w:val="left"/>
      <w:tabs>
        <w:tab w:val="center" w:pos="4153" w:leader="none"/>
        <w:tab w:val="right" w:pos="8306" w:leader="none"/>
      </w:tabs>
    </w:pPr>
    <w:rPr>
      <w:rFonts w:ascii="Times New Roman" w:hAnsi="Times New Roman" w:eastAsia="宋体" w:cs="Times New Roman"/>
      <w:sz w:val="18"/>
      <w:szCs w:val="18"/>
    </w:rPr>
  </w:style>
  <w:style w:type="numbering" w:styleId="10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陆一增</dc:creator>
  <cp:lastModifiedBy>徐瑞</cp:lastModifiedBy>
  <cp:revision>273</cp:revision>
  <dcterms:created xsi:type="dcterms:W3CDTF">2014-10-29T12:08:00Z</dcterms:created>
  <dcterms:modified xsi:type="dcterms:W3CDTF">2026-07-02T09:01:19Z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F9CB375ECB844E0BBA43E97990E8CB79_13</vt:lpwstr>
  </property>
  <property fmtid="{D5CDD505-2E9C-101B-9397-08002B2CF9AE}" pid="4" name="KSOTemplateDocerSaveRecord">
    <vt:lpwstr>eyJoZGlkIjoiOTYyNjM1MmY1NjgzNDI5OTljNzE2MGVjNTYzNTZjNDMiLCJ1c2VySWQiOiIzMTE1NzU5NDgifQ==</vt:lpwstr>
  </property>
</Properties>
</file>