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5"/>
        <w:spacing w:before="120" w:beforeAutospacing="0" w:after="120" w:afterAutospacing="0" w:line="360" w:lineRule="auto"/>
        <w:rPr>
          <w:color w:val="auto"/>
        </w:rPr>
      </w:pPr>
      <w:r>
        <w:rPr>
          <w:color w:val="auto"/>
        </w:rPr>
        <w:t xml:space="preserve"> </w:t>
      </w:r>
      <w:r/>
    </w:p>
    <w:p>
      <w:pPr>
        <w:pStyle w:val="665"/>
        <w:jc w:val="center"/>
        <w:spacing w:before="120" w:beforeAutospacing="0" w:after="120" w:afterAutospacing="0" w:line="360" w:lineRule="auto"/>
        <w:rPr>
          <w:color w:val="auto"/>
        </w:rPr>
      </w:pPr>
      <w:r>
        <w:rPr>
          <w:rFonts w:ascii="Arial" w:hAnsi="Arial" w:cs="Arial"/>
          <w:b/>
          <w:color w:val="auto"/>
          <w:sz w:val="84"/>
          <w:szCs w:val="84"/>
        </w:rPr>
        <w:t xml:space="preserve">招 标 文 件</w:t>
      </w:r>
      <w:r/>
    </w:p>
    <w:p>
      <w:pPr>
        <w:pStyle w:val="665"/>
        <w:ind w:hanging="284"/>
        <w:spacing w:before="120" w:beforeAutospacing="0" w:after="120" w:afterAutospacing="0" w:line="360" w:lineRule="auto"/>
        <w:rPr>
          <w:rFonts w:ascii="Arial" w:hAnsi="Arial" w:cs="Arial"/>
          <w:b/>
          <w:color w:val="auto"/>
          <w:sz w:val="32"/>
          <w:szCs w:val="32"/>
        </w:rPr>
      </w:pPr>
      <w:r>
        <w:rPr>
          <w:rFonts w:ascii="Arial" w:hAnsi="Arial" w:cs="Arial"/>
          <w:b/>
          <w:color w:val="auto"/>
          <w:sz w:val="32"/>
          <w:szCs w:val="32"/>
        </w:rPr>
      </w:r>
      <w:r/>
    </w:p>
    <w:p>
      <w:pPr>
        <w:pStyle w:val="665"/>
        <w:ind w:left="2244" w:right="745" w:hanging="1606"/>
        <w:spacing w:before="120" w:beforeAutospacing="0" w:after="120" w:afterAutospacing="0" w:line="360" w:lineRule="auto"/>
        <w:rPr>
          <w:color w:val="auto"/>
        </w:rPr>
      </w:pPr>
      <w:r>
        <w:rPr>
          <w:rFonts w:ascii="Arial" w:hAnsi="Arial" w:cs="Arial"/>
          <w:b/>
          <w:color w:val="auto"/>
          <w:sz w:val="32"/>
          <w:szCs w:val="32"/>
        </w:rPr>
        <w:t xml:space="preserve">项目名称：</w:t>
      </w:r>
      <w:r>
        <w:rPr>
          <w:rFonts w:hint="eastAsia" w:ascii="Arial" w:hAnsi="Arial" w:cs="Arial"/>
          <w:b/>
          <w:color w:val="auto"/>
          <w:sz w:val="32"/>
          <w:szCs w:val="32"/>
        </w:rPr>
        <w:t xml:space="preserve">江苏省盐城技师学院数字媒体、人工智能产业学院建设项目</w:t>
      </w:r>
      <w:r/>
    </w:p>
    <w:p>
      <w:pPr>
        <w:pStyle w:val="665"/>
        <w:ind w:firstLine="709"/>
        <w:jc w:val="both"/>
        <w:spacing w:before="120" w:beforeAutospacing="0" w:after="120" w:afterAutospacing="0" w:line="360" w:lineRule="auto"/>
        <w:rPr>
          <w:color w:val="auto"/>
        </w:rPr>
      </w:pPr>
      <w:r>
        <w:rPr>
          <w:rFonts w:ascii="Arial" w:hAnsi="Arial" w:cs="Arial"/>
          <w:b/>
          <w:color w:val="auto"/>
          <w:sz w:val="32"/>
          <w:szCs w:val="32"/>
        </w:rPr>
        <w:t xml:space="preserve">项目编号：JSZC-320900-ZBZA-G2026-0003</w:t>
      </w:r>
      <w:r/>
    </w:p>
    <w:p>
      <w:pPr>
        <w:pStyle w:val="665"/>
        <w:spacing w:beforeAutospacing="0" w:afterAutospacing="0" w:line="360" w:lineRule="auto"/>
        <w:rPr>
          <w:color w:val="auto"/>
        </w:rPr>
      </w:pPr>
      <w:r>
        <w:rPr>
          <w:color w:val="auto"/>
        </w:rPr>
        <w:t xml:space="preserve"> </w:t>
      </w:r>
      <w:r/>
    </w:p>
    <w:p>
      <w:pPr>
        <w:pStyle w:val="665"/>
        <w:spacing w:beforeAutospacing="0" w:afterAutospacing="0" w:line="360" w:lineRule="auto"/>
        <w:rPr>
          <w:color w:val="auto"/>
        </w:rPr>
      </w:pPr>
      <w:r>
        <w:rPr>
          <w:color w:val="auto"/>
        </w:rPr>
        <w:t xml:space="preserve"> </w:t>
      </w:r>
      <w:r/>
    </w:p>
    <w:p>
      <w:pPr>
        <w:pStyle w:val="665"/>
        <w:spacing w:beforeAutospacing="0" w:afterAutospacing="0" w:line="360" w:lineRule="auto"/>
        <w:rPr>
          <w:color w:val="auto"/>
        </w:rPr>
      </w:pPr>
      <w:r>
        <w:rPr>
          <w:color w:val="auto"/>
        </w:rPr>
        <w:t xml:space="preserve"> </w:t>
      </w:r>
      <w:r/>
    </w:p>
    <w:p>
      <w:pPr>
        <w:pStyle w:val="665"/>
        <w:spacing w:beforeAutospacing="0" w:afterAutospacing="0" w:line="360" w:lineRule="auto"/>
        <w:rPr>
          <w:color w:val="auto"/>
        </w:rPr>
      </w:pPr>
      <w:r>
        <w:rPr>
          <w:color w:val="auto"/>
        </w:rPr>
      </w:r>
      <w:r/>
    </w:p>
    <w:p>
      <w:pPr>
        <w:pStyle w:val="665"/>
        <w:spacing w:beforeAutospacing="0" w:afterAutospacing="0" w:line="360" w:lineRule="auto"/>
        <w:rPr>
          <w:color w:val="auto"/>
        </w:rPr>
      </w:pPr>
      <w:r>
        <w:rPr>
          <w:color w:val="auto"/>
        </w:rPr>
      </w:r>
      <w:r/>
    </w:p>
    <w:p>
      <w:pPr>
        <w:pStyle w:val="665"/>
        <w:spacing w:beforeAutospacing="0" w:afterAutospacing="0" w:line="360" w:lineRule="auto"/>
        <w:rPr>
          <w:color w:val="auto"/>
        </w:rPr>
      </w:pPr>
      <w:r>
        <w:rPr>
          <w:color w:val="auto"/>
        </w:rPr>
      </w:r>
      <w:r/>
    </w:p>
    <w:p>
      <w:pPr>
        <w:pStyle w:val="665"/>
        <w:spacing w:beforeAutospacing="0" w:afterAutospacing="0" w:line="360" w:lineRule="auto"/>
        <w:rPr>
          <w:color w:val="auto"/>
        </w:rPr>
      </w:pPr>
      <w:r>
        <w:rPr>
          <w:color w:val="auto"/>
        </w:rPr>
      </w:r>
      <w:r/>
    </w:p>
    <w:p>
      <w:pPr>
        <w:pStyle w:val="665"/>
        <w:spacing w:beforeAutospacing="0" w:afterAutospacing="0" w:line="360" w:lineRule="auto"/>
        <w:rPr>
          <w:color w:val="auto"/>
        </w:rPr>
      </w:pPr>
      <w:r>
        <w:rPr>
          <w:color w:val="auto"/>
        </w:rPr>
      </w:r>
      <w:r/>
    </w:p>
    <w:p>
      <w:pPr>
        <w:pStyle w:val="665"/>
        <w:spacing w:beforeAutospacing="0" w:afterAutospacing="0" w:line="360" w:lineRule="auto"/>
        <w:rPr>
          <w:color w:val="auto"/>
        </w:rPr>
      </w:pPr>
      <w:r>
        <w:rPr>
          <w:color w:val="auto"/>
        </w:rPr>
      </w:r>
      <w:r/>
    </w:p>
    <w:p>
      <w:pPr>
        <w:pStyle w:val="665"/>
        <w:spacing w:beforeAutospacing="0" w:afterAutospacing="0" w:line="360" w:lineRule="auto"/>
        <w:rPr>
          <w:color w:val="auto"/>
        </w:rPr>
      </w:pPr>
      <w:r>
        <w:rPr>
          <w:color w:val="auto"/>
        </w:rPr>
      </w:r>
      <w:r/>
    </w:p>
    <w:p>
      <w:pPr>
        <w:pStyle w:val="665"/>
        <w:spacing w:beforeAutospacing="0" w:afterAutospacing="0" w:line="360" w:lineRule="auto"/>
        <w:rPr>
          <w:color w:val="auto"/>
        </w:rPr>
      </w:pPr>
      <w:r>
        <w:rPr>
          <w:color w:val="auto"/>
        </w:rPr>
        <w:t xml:space="preserve"> </w:t>
      </w:r>
      <w:r/>
    </w:p>
    <w:p>
      <w:pPr>
        <w:pStyle w:val="665"/>
        <w:spacing w:beforeAutospacing="0" w:afterAutospacing="0" w:line="360" w:lineRule="auto"/>
        <w:rPr>
          <w:color w:val="auto"/>
        </w:rPr>
      </w:pPr>
      <w:r>
        <w:rPr>
          <w:color w:val="auto"/>
        </w:rPr>
        <w:t xml:space="preserve"> </w:t>
      </w:r>
      <w:r/>
    </w:p>
    <w:p>
      <w:pPr>
        <w:pStyle w:val="665"/>
        <w:spacing w:beforeAutospacing="0" w:afterAutospacing="0" w:line="360" w:lineRule="auto"/>
        <w:rPr>
          <w:color w:val="auto"/>
        </w:rPr>
      </w:pPr>
      <w:r>
        <w:rPr>
          <w:color w:val="auto"/>
        </w:rPr>
        <w:t xml:space="preserve"> </w:t>
      </w:r>
      <w:r/>
    </w:p>
    <w:p>
      <w:pPr>
        <w:pStyle w:val="665"/>
        <w:spacing w:beforeAutospacing="0" w:afterAutospacing="0" w:line="360" w:lineRule="auto"/>
        <w:rPr>
          <w:color w:val="auto"/>
        </w:rPr>
      </w:pPr>
      <w:r>
        <w:rPr>
          <w:color w:val="auto"/>
        </w:rPr>
        <w:t xml:space="preserve"> </w:t>
      </w:r>
      <w:r/>
    </w:p>
    <w:p>
      <w:pPr>
        <w:pStyle w:val="665"/>
        <w:jc w:val="center"/>
        <w:spacing w:before="120" w:beforeAutospacing="0" w:after="120" w:afterAutospacing="0" w:line="360" w:lineRule="auto"/>
        <w:rPr>
          <w:rFonts w:ascii="Arial" w:hAnsi="Arial" w:cs="Arial"/>
          <w:b/>
          <w:color w:val="auto"/>
          <w:sz w:val="32"/>
          <w:szCs w:val="32"/>
        </w:rPr>
      </w:pPr>
      <w:r>
        <w:rPr>
          <w:rFonts w:hint="eastAsia" w:ascii="Arial" w:hAnsi="Arial" w:cs="Arial"/>
          <w:b/>
          <w:color w:val="auto"/>
          <w:sz w:val="32"/>
          <w:szCs w:val="32"/>
        </w:rPr>
        <w:t xml:space="preserve">江苏省盐城技师学院</w:t>
      </w:r>
      <w:r/>
    </w:p>
    <w:p>
      <w:pPr>
        <w:pStyle w:val="665"/>
        <w:jc w:val="center"/>
        <w:spacing w:before="120" w:beforeAutospacing="0" w:after="120" w:afterAutospacing="0" w:line="360" w:lineRule="auto"/>
        <w:rPr>
          <w:color w:val="auto"/>
        </w:rPr>
      </w:pPr>
      <w:r>
        <w:rPr>
          <w:rFonts w:ascii="Arial" w:hAnsi="Arial" w:cs="Arial"/>
          <w:b/>
          <w:color w:val="auto"/>
          <w:sz w:val="32"/>
          <w:szCs w:val="32"/>
        </w:rPr>
        <w:t xml:space="preserve">2026年9月</w:t>
      </w:r>
      <w:r/>
    </w:p>
    <w:p>
      <w:pPr>
        <w:pStyle w:val="665"/>
        <w:jc w:val="center"/>
        <w:spacing w:before="120" w:beforeAutospacing="0" w:after="120" w:afterAutospacing="0" w:line="360" w:lineRule="auto"/>
        <w:rPr>
          <w:color w:val="auto"/>
        </w:rPr>
      </w:pPr>
      <w:r>
        <w:rPr>
          <w:color w:val="auto"/>
        </w:rPr>
        <w:t xml:space="preserve"> </w:t>
      </w:r>
      <w:r>
        <w:rPr>
          <w:rFonts w:ascii="Times New Roman" w:hAnsi="Times New Roman"/>
          <w:color w:val="auto"/>
          <w:sz w:val="21"/>
          <w:szCs w:val="21"/>
        </w:rPr>
        <w:br w:type="page" w:clear="all"/>
      </w:r>
      <w:r/>
    </w:p>
    <w:p>
      <w:pPr>
        <w:pStyle w:val="665"/>
        <w:jc w:val="both"/>
        <w:spacing w:beforeAutospacing="0" w:afterAutospacing="0"/>
        <w:rPr>
          <w:color w:val="auto"/>
        </w:rPr>
      </w:pPr>
      <w:r>
        <w:rPr>
          <w:color w:val="auto"/>
        </w:rPr>
      </w:r>
      <w:r/>
    </w:p>
    <w:sdt>
      <w:sdtPr>
        <w15:appearance w15:val="boundingBox"/>
        <w:id w:val="-593088384"/>
        <w:docPartObj>
          <w:docPartGallery w:val="Table of Contents"/>
          <w:docPartUnique w:val="true"/>
        </w:docPartObj>
        <w:rPr>
          <w:rFonts w:ascii="黑体" w:hAnsi="黑体" w:eastAsia="黑体" w:cstheme="minorBidi"/>
          <w:color w:val="auto"/>
          <w:sz w:val="44"/>
          <w:szCs w:val="44"/>
          <w:lang w:val="zh-CN"/>
        </w:rPr>
      </w:sdtPr>
      <w:sdtContent>
        <w:p>
          <w:pPr>
            <w:pStyle w:val="832"/>
            <w:jc w:val="center"/>
            <w:rPr>
              <w:rFonts w:ascii="黑体" w:hAnsi="黑体" w:eastAsia="黑体"/>
              <w:color w:val="auto"/>
              <w:sz w:val="44"/>
              <w:szCs w:val="44"/>
              <w:lang w:val="zh-CN"/>
            </w:rPr>
          </w:pPr>
          <w:r>
            <w:rPr>
              <w:rFonts w:hint="eastAsia" w:ascii="黑体" w:hAnsi="黑体" w:eastAsia="黑体"/>
              <w:color w:val="auto"/>
              <w:sz w:val="44"/>
              <w:szCs w:val="44"/>
              <w:lang w:val="zh-CN"/>
            </w:rPr>
            <w:t xml:space="preserve">总 </w:t>
          </w:r>
          <w:r>
            <w:rPr>
              <w:rFonts w:ascii="黑体" w:hAnsi="黑体" w:eastAsia="黑体"/>
              <w:color w:val="auto"/>
              <w:sz w:val="44"/>
              <w:szCs w:val="44"/>
              <w:lang w:val="zh-CN"/>
            </w:rPr>
            <w:t xml:space="preserve">目</w:t>
          </w:r>
          <w:r>
            <w:rPr>
              <w:rFonts w:hint="eastAsia" w:ascii="黑体" w:hAnsi="黑体" w:eastAsia="黑体"/>
              <w:color w:val="auto"/>
              <w:sz w:val="44"/>
              <w:szCs w:val="44"/>
              <w:lang w:val="zh-CN"/>
            </w:rPr>
            <w:t xml:space="preserve"> </w:t>
          </w:r>
          <w:r>
            <w:rPr>
              <w:rFonts w:ascii="黑体" w:hAnsi="黑体" w:eastAsia="黑体"/>
              <w:color w:val="auto"/>
              <w:sz w:val="44"/>
              <w:szCs w:val="44"/>
              <w:lang w:val="zh-CN"/>
            </w:rPr>
            <w:t xml:space="preserve">录</w:t>
          </w:r>
          <w:r>
            <w:rPr>
              <w:rFonts w:hint="eastAsia" w:ascii="黑体" w:hAnsi="黑体" w:eastAsia="黑体"/>
              <w:color w:val="auto"/>
              <w:sz w:val="44"/>
              <w:szCs w:val="44"/>
              <w:lang w:val="zh-CN"/>
            </w:rPr>
            <w:t xml:space="preserve"> </w:t>
          </w:r>
          <w:r/>
        </w:p>
        <w:p>
          <w:pPr>
            <w:pStyle w:val="657"/>
            <w:tabs>
              <w:tab w:val="right" w:pos="8296" w:leader="dot"/>
            </w:tabs>
            <w:rPr>
              <w:rFonts w:ascii="黑体" w:hAnsi="黑体" w:eastAsia="黑体" w:cstheme="minorBidi"/>
              <w:color w:val="auto"/>
              <w:sz w:val="32"/>
              <w:szCs w:val="32"/>
            </w:rPr>
          </w:pPr>
          <w:r>
            <w:rPr>
              <w:rFonts w:ascii="黑体" w:hAnsi="黑体" w:eastAsia="黑体"/>
              <w:color w:val="auto"/>
              <w:sz w:val="32"/>
              <w:szCs w:val="32"/>
            </w:rPr>
            <w:fldChar w:fldCharType="begin"/>
          </w:r>
          <w:r>
            <w:rPr>
              <w:rFonts w:ascii="黑体" w:hAnsi="黑体" w:eastAsia="黑体"/>
              <w:color w:val="auto"/>
              <w:sz w:val="32"/>
              <w:szCs w:val="32"/>
            </w:rPr>
            <w:instrText xml:space="preserve"> TOC \o "1-3" \h \z \u </w:instrText>
          </w:r>
          <w:r>
            <w:rPr>
              <w:rFonts w:ascii="黑体" w:hAnsi="黑体" w:eastAsia="黑体"/>
              <w:color w:val="auto"/>
              <w:sz w:val="32"/>
              <w:szCs w:val="32"/>
            </w:rPr>
            <w:fldChar w:fldCharType="separate"/>
          </w:r>
          <w:r>
            <w:rPr>
              <w:color w:val="auto"/>
            </w:rPr>
            <w:fldChar w:fldCharType="begin"/>
          </w:r>
          <w:r>
            <w:rPr>
              <w:color w:val="auto"/>
            </w:rPr>
            <w:instrText xml:space="preserve"> HYPERLINK \l "_Toc234256913" </w:instrText>
          </w:r>
          <w:r>
            <w:rPr>
              <w:color w:val="auto"/>
            </w:rPr>
            <w:fldChar w:fldCharType="separate"/>
          </w:r>
          <w:r>
            <w:rPr>
              <w:rStyle w:val="673"/>
              <w:rFonts w:ascii="黑体" w:hAnsi="黑体" w:eastAsia="黑体"/>
              <w:color w:val="auto"/>
              <w:sz w:val="32"/>
              <w:szCs w:val="32"/>
            </w:rPr>
            <w:t xml:space="preserve">第一章</w:t>
          </w:r>
          <w:r>
            <w:rPr>
              <w:rStyle w:val="673"/>
              <w:rFonts w:ascii="Calibri" w:hAnsi="Calibri" w:eastAsia="黑体" w:cs="Calibri"/>
              <w:color w:val="auto"/>
              <w:sz w:val="32"/>
              <w:szCs w:val="32"/>
            </w:rPr>
            <w:t xml:space="preserve"> </w:t>
          </w:r>
          <w:r>
            <w:rPr>
              <w:rStyle w:val="673"/>
              <w:rFonts w:ascii="黑体" w:hAnsi="黑体" w:eastAsia="黑体"/>
              <w:color w:val="auto"/>
              <w:sz w:val="32"/>
              <w:szCs w:val="32"/>
            </w:rPr>
            <w:t xml:space="preserve">招标公告</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_Toc234256913 \h </w:instrText>
          </w:r>
          <w:r>
            <w:rPr>
              <w:rFonts w:ascii="黑体" w:hAnsi="黑体" w:eastAsia="黑体"/>
              <w:color w:val="auto"/>
              <w:sz w:val="32"/>
              <w:szCs w:val="32"/>
            </w:rPr>
            <w:fldChar w:fldCharType="separate"/>
          </w:r>
          <w:r>
            <w:rPr>
              <w:rFonts w:ascii="黑体" w:hAnsi="黑体" w:eastAsia="黑体"/>
              <w:color w:val="auto"/>
              <w:sz w:val="32"/>
              <w:szCs w:val="32"/>
            </w:rPr>
            <w:t xml:space="preserve">3</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657"/>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"_Toc234256914" </w:instrText>
          </w:r>
          <w:r>
            <w:rPr>
              <w:color w:val="auto"/>
            </w:rPr>
            <w:fldChar w:fldCharType="separate"/>
          </w:r>
          <w:r>
            <w:rPr>
              <w:rStyle w:val="673"/>
              <w:rFonts w:ascii="黑体" w:hAnsi="黑体" w:eastAsia="黑体"/>
              <w:color w:val="auto"/>
              <w:sz w:val="32"/>
              <w:szCs w:val="32"/>
            </w:rPr>
            <w:t xml:space="preserve">第二章</w:t>
          </w:r>
          <w:r>
            <w:rPr>
              <w:rStyle w:val="673"/>
              <w:rFonts w:ascii="Calibri" w:hAnsi="Calibri" w:eastAsia="黑体" w:cs="Calibri"/>
              <w:color w:val="auto"/>
              <w:sz w:val="32"/>
              <w:szCs w:val="32"/>
            </w:rPr>
            <w:t xml:space="preserve"> </w:t>
          </w:r>
          <w:r>
            <w:rPr>
              <w:rStyle w:val="673"/>
              <w:rFonts w:ascii="黑体" w:hAnsi="黑体" w:eastAsia="黑体"/>
              <w:color w:val="auto"/>
              <w:sz w:val="32"/>
              <w:szCs w:val="32"/>
            </w:rPr>
            <w:t xml:space="preserve"> 投标人须知</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_Toc234256914 \h </w:instrText>
          </w:r>
          <w:r>
            <w:rPr>
              <w:rFonts w:ascii="黑体" w:hAnsi="黑体" w:eastAsia="黑体"/>
              <w:color w:val="auto"/>
              <w:sz w:val="32"/>
              <w:szCs w:val="32"/>
            </w:rPr>
            <w:fldChar w:fldCharType="separate"/>
          </w:r>
          <w:r>
            <w:rPr>
              <w:rFonts w:ascii="黑体" w:hAnsi="黑体" w:eastAsia="黑体"/>
              <w:color w:val="auto"/>
              <w:sz w:val="32"/>
              <w:szCs w:val="32"/>
            </w:rPr>
            <w:t xml:space="preserve">7</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657"/>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"_Toc234256915" </w:instrText>
          </w:r>
          <w:r>
            <w:rPr>
              <w:color w:val="auto"/>
            </w:rPr>
            <w:fldChar w:fldCharType="separate"/>
          </w:r>
          <w:r>
            <w:rPr>
              <w:rStyle w:val="673"/>
              <w:rFonts w:ascii="黑体" w:hAnsi="黑体" w:eastAsia="黑体"/>
              <w:color w:val="auto"/>
              <w:sz w:val="32"/>
              <w:szCs w:val="32"/>
            </w:rPr>
            <w:t xml:space="preserve">第三章  合同条款</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_Toc234256915 \h </w:instrText>
          </w:r>
          <w:r>
            <w:rPr>
              <w:rFonts w:ascii="黑体" w:hAnsi="黑体" w:eastAsia="黑体"/>
              <w:color w:val="auto"/>
              <w:sz w:val="32"/>
              <w:szCs w:val="32"/>
            </w:rPr>
            <w:fldChar w:fldCharType="separate"/>
          </w:r>
          <w:r>
            <w:rPr>
              <w:rFonts w:ascii="黑体" w:hAnsi="黑体" w:eastAsia="黑体"/>
              <w:color w:val="auto"/>
              <w:sz w:val="32"/>
              <w:szCs w:val="32"/>
            </w:rPr>
            <w:t xml:space="preserve">24</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657"/>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"_Toc234256916" </w:instrText>
          </w:r>
          <w:r>
            <w:rPr>
              <w:color w:val="auto"/>
            </w:rPr>
            <w:fldChar w:fldCharType="separate"/>
          </w:r>
          <w:r>
            <w:rPr>
              <w:rStyle w:val="673"/>
              <w:rFonts w:ascii="黑体" w:hAnsi="黑体" w:eastAsia="黑体"/>
              <w:color w:val="auto"/>
              <w:sz w:val="32"/>
              <w:szCs w:val="32"/>
            </w:rPr>
            <w:t xml:space="preserve">第四章 采购需求</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_Toc234256916 \h </w:instrText>
          </w:r>
          <w:r>
            <w:rPr>
              <w:rFonts w:ascii="黑体" w:hAnsi="黑体" w:eastAsia="黑体"/>
              <w:color w:val="auto"/>
              <w:sz w:val="32"/>
              <w:szCs w:val="32"/>
            </w:rPr>
            <w:fldChar w:fldCharType="separate"/>
          </w:r>
          <w:r>
            <w:rPr>
              <w:rFonts w:ascii="黑体" w:hAnsi="黑体" w:eastAsia="黑体"/>
              <w:color w:val="auto"/>
              <w:sz w:val="32"/>
              <w:szCs w:val="32"/>
            </w:rPr>
            <w:t xml:space="preserve">30</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657"/>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"_Toc234256917" </w:instrText>
          </w:r>
          <w:r>
            <w:rPr>
              <w:color w:val="auto"/>
            </w:rPr>
            <w:fldChar w:fldCharType="separate"/>
          </w:r>
          <w:r>
            <w:rPr>
              <w:rStyle w:val="673"/>
              <w:rFonts w:ascii="黑体" w:hAnsi="黑体" w:eastAsia="黑体"/>
              <w:color w:val="auto"/>
              <w:sz w:val="32"/>
              <w:szCs w:val="32"/>
            </w:rPr>
            <w:t xml:space="preserve">第五章</w:t>
          </w:r>
          <w:r>
            <w:rPr>
              <w:rStyle w:val="673"/>
              <w:rFonts w:ascii="Calibri" w:hAnsi="Calibri" w:eastAsia="黑体" w:cs="Calibri"/>
              <w:color w:val="auto"/>
              <w:sz w:val="32"/>
              <w:szCs w:val="32"/>
            </w:rPr>
            <w:t xml:space="preserve"> </w:t>
          </w:r>
          <w:r>
            <w:rPr>
              <w:rStyle w:val="673"/>
              <w:rFonts w:ascii="黑体" w:hAnsi="黑体" w:eastAsia="黑体"/>
              <w:color w:val="auto"/>
              <w:sz w:val="32"/>
              <w:szCs w:val="32"/>
            </w:rPr>
            <w:t xml:space="preserve"> 评标方法与评标标准</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_Toc234256917 \h </w:instrText>
          </w:r>
          <w:r>
            <w:rPr>
              <w:rFonts w:ascii="黑体" w:hAnsi="黑体" w:eastAsia="黑体"/>
              <w:color w:val="auto"/>
              <w:sz w:val="32"/>
              <w:szCs w:val="32"/>
            </w:rPr>
            <w:fldChar w:fldCharType="separate"/>
          </w:r>
          <w:r>
            <w:rPr>
              <w:rFonts w:ascii="黑体" w:hAnsi="黑体" w:eastAsia="黑体"/>
              <w:color w:val="auto"/>
              <w:sz w:val="32"/>
              <w:szCs w:val="32"/>
            </w:rPr>
            <w:t xml:space="preserve">94</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pStyle w:val="657"/>
            <w:tabs>
              <w:tab w:val="right" w:pos="8296" w:leader="dot"/>
            </w:tabs>
            <w:rPr>
              <w:rFonts w:ascii="黑体" w:hAnsi="黑体" w:eastAsia="黑体" w:cstheme="minorBidi"/>
              <w:color w:val="auto"/>
              <w:sz w:val="32"/>
              <w:szCs w:val="32"/>
            </w:rPr>
          </w:pPr>
          <w:r>
            <w:rPr>
              <w:color w:val="auto"/>
            </w:rPr>
            <w:fldChar w:fldCharType="begin"/>
          </w:r>
          <w:r>
            <w:rPr>
              <w:color w:val="auto"/>
            </w:rPr>
            <w:instrText xml:space="preserve"> HYPERLINK \l "_Toc234256918" </w:instrText>
          </w:r>
          <w:r>
            <w:rPr>
              <w:color w:val="auto"/>
            </w:rPr>
            <w:fldChar w:fldCharType="separate"/>
          </w:r>
          <w:r>
            <w:rPr>
              <w:rStyle w:val="673"/>
              <w:rFonts w:ascii="黑体" w:hAnsi="黑体" w:eastAsia="黑体"/>
              <w:color w:val="auto"/>
              <w:sz w:val="32"/>
              <w:szCs w:val="32"/>
            </w:rPr>
            <w:t xml:space="preserve">第六章</w:t>
          </w:r>
          <w:r>
            <w:rPr>
              <w:rStyle w:val="673"/>
              <w:rFonts w:ascii="Calibri" w:hAnsi="Calibri" w:eastAsia="黑体" w:cs="Calibri"/>
              <w:color w:val="auto"/>
              <w:sz w:val="32"/>
              <w:szCs w:val="32"/>
            </w:rPr>
            <w:t xml:space="preserve"> </w:t>
          </w:r>
          <w:r>
            <w:rPr>
              <w:rStyle w:val="673"/>
              <w:rFonts w:ascii="黑体" w:hAnsi="黑体" w:eastAsia="黑体"/>
              <w:color w:val="auto"/>
              <w:sz w:val="32"/>
              <w:szCs w:val="32"/>
            </w:rPr>
            <w:t xml:space="preserve"> 投标文件格式</w:t>
          </w:r>
          <w:r>
            <w:rPr>
              <w:rFonts w:ascii="黑体" w:hAnsi="黑体" w:eastAsia="黑体"/>
              <w:color w:val="auto"/>
              <w:sz w:val="32"/>
              <w:szCs w:val="32"/>
            </w:rPr>
            <w:tab/>
          </w:r>
          <w:r>
            <w:rPr>
              <w:rFonts w:ascii="黑体" w:hAnsi="黑体" w:eastAsia="黑体"/>
              <w:color w:val="auto"/>
              <w:sz w:val="32"/>
              <w:szCs w:val="32"/>
            </w:rPr>
            <w:fldChar w:fldCharType="begin"/>
          </w:r>
          <w:r>
            <w:rPr>
              <w:rFonts w:ascii="黑体" w:hAnsi="黑体" w:eastAsia="黑体"/>
              <w:color w:val="auto"/>
              <w:sz w:val="32"/>
              <w:szCs w:val="32"/>
            </w:rPr>
            <w:instrText xml:space="preserve"> PAGEREF _Toc234256918 \h </w:instrText>
          </w:r>
          <w:r>
            <w:rPr>
              <w:rFonts w:ascii="黑体" w:hAnsi="黑体" w:eastAsia="黑体"/>
              <w:color w:val="auto"/>
              <w:sz w:val="32"/>
              <w:szCs w:val="32"/>
            </w:rPr>
            <w:fldChar w:fldCharType="separate"/>
          </w:r>
          <w:r>
            <w:rPr>
              <w:rFonts w:ascii="黑体" w:hAnsi="黑体" w:eastAsia="黑体"/>
              <w:color w:val="auto"/>
              <w:sz w:val="32"/>
              <w:szCs w:val="32"/>
            </w:rPr>
            <w:t xml:space="preserve">100</w:t>
          </w:r>
          <w:r>
            <w:rPr>
              <w:rFonts w:ascii="黑体" w:hAnsi="黑体" w:eastAsia="黑体"/>
              <w:color w:val="auto"/>
              <w:sz w:val="32"/>
              <w:szCs w:val="32"/>
            </w:rPr>
            <w:fldChar w:fldCharType="end"/>
          </w:r>
          <w:r>
            <w:rPr>
              <w:rFonts w:ascii="黑体" w:hAnsi="黑体" w:eastAsia="黑体"/>
              <w:color w:val="auto"/>
              <w:sz w:val="32"/>
              <w:szCs w:val="32"/>
            </w:rPr>
            <w:fldChar w:fldCharType="end"/>
          </w:r>
          <w:r/>
        </w:p>
        <w:p>
          <w:pPr>
            <w:rPr>
              <w:rFonts w:ascii="黑体" w:hAnsi="黑体" w:eastAsia="黑体"/>
              <w:color w:val="auto"/>
              <w:sz w:val="32"/>
              <w:szCs w:val="32"/>
            </w:rPr>
          </w:pPr>
          <w:r>
            <w:rPr>
              <w:rFonts w:ascii="黑体" w:hAnsi="黑体" w:eastAsia="黑体"/>
              <w:b/>
              <w:bCs/>
              <w:color w:val="auto"/>
              <w:sz w:val="32"/>
              <w:szCs w:val="32"/>
              <w:lang w:val="zh-CN"/>
            </w:rPr>
            <w:fldChar w:fldCharType="end"/>
          </w:r>
          <w:r/>
        </w:p>
      </w:sdtContent>
    </w:sdt>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833"/>
        <w:rPr>
          <w:color w:val="auto"/>
        </w:rPr>
      </w:pPr>
      <w:r/>
      <w:bookmarkStart w:id="0" w:name="_Toc234256913"/>
      <w:r/>
      <w:bookmarkStart w:id="1" w:name="_Toc28359086"/>
      <w:r>
        <w:rPr>
          <w:rFonts w:hint="eastAsia"/>
          <w:color w:val="auto"/>
        </w:rPr>
        <w:t xml:space="preserve">第一章 招标公告</w:t>
      </w:r>
      <w:bookmarkEnd w:id="0"/>
      <w:r/>
      <w:r/>
    </w:p>
    <w:p>
      <w:pPr>
        <w:pStyle w:val="665"/>
        <w:ind w:firstLine="480"/>
        <w:jc w:val="both"/>
        <w:spacing w:beforeAutospacing="0" w:afterAutospacing="0" w:line="360" w:lineRule="auto"/>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rPr>
        <w:t xml:space="preserve">项目概况</w:t>
      </w:r>
      <w:r/>
    </w:p>
    <w:p>
      <w:pPr>
        <w:pStyle w:val="665"/>
        <w:ind w:firstLine="480"/>
        <w:jc w:val="both"/>
        <w:spacing w:beforeAutospacing="0" w:afterAutospacing="0" w:line="360" w:lineRule="auto"/>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rPr>
        <w:t xml:space="preserve">江苏省盐城技师学院数字媒体、人工智能产业学院建设项目 </w:t>
      </w:r>
      <w:r>
        <w:rPr>
          <w:rFonts w:hint="eastAsia" w:ascii="宋体" w:hAnsi="宋体" w:eastAsia="宋体" w:cs="宋体"/>
          <w:color w:val="auto"/>
        </w:rPr>
        <w:t xml:space="preserve">招标项目的潜在投标人应在</w:t>
      </w:r>
      <w:r>
        <w:rPr>
          <w:rFonts w:hint="eastAsia" w:ascii="宋体" w:hAnsi="宋体" w:eastAsia="宋体" w:cs="宋体"/>
          <w:color w:val="auto"/>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rPr>
        <w:t xml:space="preserve">，并于</w:t>
      </w:r>
      <w:r>
        <w:rPr>
          <w:rFonts w:hint="eastAsia" w:ascii="宋体" w:hAnsi="宋体" w:eastAsia="宋体" w:cs="宋体"/>
          <w:color w:val="auto"/>
          <w:u w:val="single"/>
        </w:rPr>
        <w:t xml:space="preserve"> 2026年</w:t>
      </w:r>
      <w:r>
        <w:rPr>
          <w:rFonts w:hint="eastAsia" w:ascii="宋体" w:hAnsi="宋体" w:eastAsia="宋体" w:cs="宋体"/>
          <w:color w:val="auto"/>
          <w:u w:val="single"/>
          <w:lang w:val="en-US" w:eastAsia="zh-CN"/>
        </w:rPr>
        <w:t xml:space="preserve">10</w:t>
      </w:r>
      <w:r>
        <w:rPr>
          <w:rFonts w:hint="eastAsia" w:ascii="宋体" w:hAnsi="宋体" w:eastAsia="宋体" w:cs="宋体"/>
          <w:color w:val="auto"/>
          <w:u w:val="single"/>
        </w:rPr>
        <w:t xml:space="preserve">月</w:t>
      </w:r>
      <w:r>
        <w:rPr>
          <w:rFonts w:hint="eastAsia" w:ascii="宋体" w:hAnsi="宋体" w:eastAsia="宋体" w:cs="宋体"/>
          <w:color w:val="auto"/>
          <w:u w:val="single"/>
          <w:lang w:val="en-US" w:eastAsia="zh-CN"/>
        </w:rPr>
        <w:t xml:space="preserve">9</w:t>
      </w:r>
      <w:r>
        <w:rPr>
          <w:rFonts w:hint="eastAsia" w:ascii="宋体" w:hAnsi="宋体" w:eastAsia="宋体" w:cs="宋体"/>
          <w:color w:val="auto"/>
          <w:u w:val="single"/>
        </w:rPr>
        <w:t xml:space="preserve">日9点30分（</w:t>
      </w:r>
      <w:r>
        <w:rPr>
          <w:rFonts w:hint="eastAsia" w:ascii="宋体" w:hAnsi="宋体" w:eastAsia="宋体" w:cs="宋体"/>
          <w:color w:val="auto"/>
        </w:rPr>
        <w:t xml:space="preserve">北京时间）前递交投标文件。</w:t>
      </w:r>
      <w:r/>
    </w:p>
    <w:p>
      <w:pPr>
        <w:pStyle w:val="665"/>
        <w:ind w:firstLine="498"/>
        <w:jc w:val="both"/>
        <w:keepLines/>
        <w:keepNext/>
        <w:spacing w:beforeAutospacing="0" w:afterAutospacing="0" w:line="360" w:lineRule="auto"/>
        <w:rPr>
          <w:rFonts w:ascii="宋体" w:hAnsi="宋体" w:eastAsia="宋体" w:cs="宋体"/>
          <w:color w:val="auto"/>
        </w:rPr>
      </w:pPr>
      <w:r/>
      <w:bookmarkStart w:id="2" w:name="_Toc28359002"/>
      <w:r/>
      <w:bookmarkStart w:id="3" w:name="_Toc35393790"/>
      <w:r/>
      <w:bookmarkStart w:id="4" w:name="_Toc28359079"/>
      <w:r/>
      <w:bookmarkStart w:id="5" w:name="_Toc35393621"/>
      <w:r/>
      <w:bookmarkStart w:id="6" w:name="_Hlk24379207"/>
      <w:r/>
      <w:bookmarkStart w:id="7" w:name="_Toc38985263"/>
      <w:r>
        <w:rPr>
          <w:rFonts w:hint="eastAsia" w:ascii="宋体" w:hAnsi="宋体" w:eastAsia="宋体" w:cs="宋体"/>
          <w:b/>
          <w:color w:val="auto"/>
        </w:rPr>
        <w:t xml:space="preserve">一、项目基本情况</w:t>
      </w:r>
      <w:bookmarkEnd w:id="2"/>
      <w:r/>
      <w:bookmarkEnd w:id="3"/>
      <w:r/>
      <w:bookmarkEnd w:id="4"/>
      <w:r/>
      <w:bookmarkEnd w:id="5"/>
      <w:r/>
      <w:bookmarkEnd w:id="6"/>
      <w:r/>
      <w:bookmarkEnd w:id="7"/>
      <w:r/>
      <w:r/>
    </w:p>
    <w:p>
      <w:pPr>
        <w:pStyle w:val="665"/>
        <w:ind w:firstLine="480"/>
        <w:jc w:val="both"/>
        <w:spacing w:beforeAutospacing="0" w:afterAutospacing="0" w:line="360" w:lineRule="auto"/>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1.项目编号：</w:t>
      </w:r>
      <w:r>
        <w:rPr>
          <w:rFonts w:ascii="宋体" w:hAnsi="宋体" w:eastAsia="宋体" w:cs="宋体"/>
          <w:color w:val="auto"/>
          <w:shd w:val="clear" w:color="auto" w:fill="ffffff"/>
        </w:rPr>
        <w:t xml:space="preserve">JSZC-320900-ZBZA-G2026-0003</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2.项目名称：江苏省盐城技师学院数字媒体、人工智能产业学院建设项目</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shd w:val="clear" w:color="auto" w:fill="ffffff"/>
        </w:rPr>
        <w:t xml:space="preserve">3.采购方式：公开招标 </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4.预算金额：515.97万元</w:t>
      </w:r>
      <w:r/>
    </w:p>
    <w:p>
      <w:pPr>
        <w:pStyle w:val="665"/>
        <w:ind w:firstLine="480"/>
        <w:jc w:val="both"/>
        <w:spacing w:beforeAutospacing="0" w:afterAutospacing="0" w:line="360" w:lineRule="auto"/>
        <w:rPr>
          <w:rFonts w:ascii="宋体" w:hAnsi="宋体" w:eastAsia="宋体" w:cs="宋体"/>
          <w:color w:val="auto"/>
          <w:shd w:val="clear" w:color="ffffff" w:fill="d9d9d9"/>
        </w:rPr>
      </w:pPr>
      <w:r>
        <w:rPr>
          <w:rFonts w:hint="eastAsia" w:ascii="宋体" w:hAnsi="宋体" w:eastAsia="宋体" w:cs="宋体"/>
          <w:color w:val="auto"/>
          <w:shd w:val="clear" w:color="auto" w:fill="ffffff"/>
        </w:rPr>
        <w:t xml:space="preserve">5.最高限价（如有）：</w:t>
      </w:r>
      <w:r>
        <w:rPr>
          <w:rFonts w:ascii="宋体" w:hAnsi="宋体" w:eastAsia="宋体" w:cs="宋体"/>
          <w:color w:val="auto"/>
          <w:shd w:val="clear" w:color="auto" w:fill="ffffff"/>
        </w:rPr>
        <w:t xml:space="preserve">504.6761万元</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6.采购需求（简介）：江苏省盐城技师学院数字媒体、人工智能产业学院建设项目，详见本招标文件第四章采购需求。</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7.合同履行期限：必须在合同签订后60个日历天内完成到货、安装、调试工作并交付使用，中标价包括安装调试过程中产生的一切费用。</w:t>
      </w:r>
      <w:r/>
    </w:p>
    <w:p>
      <w:pPr>
        <w:pStyle w:val="665"/>
        <w:ind w:firstLine="480"/>
        <w:jc w:val="both"/>
        <w:spacing w:beforeAutospacing="0" w:afterAutospacing="0" w:line="360" w:lineRule="auto"/>
        <w:rPr>
          <w:rFonts w:ascii="宋体" w:hAnsi="宋体" w:eastAsia="宋体" w:cs="宋体"/>
          <w:color w:val="auto"/>
          <w:shd w:val="clear" w:color="auto" w:fill="ffff00"/>
        </w:rPr>
      </w:pPr>
      <w:r>
        <w:rPr>
          <w:rFonts w:hint="eastAsia" w:ascii="宋体" w:hAnsi="宋体" w:eastAsia="宋体" w:cs="宋体"/>
          <w:color w:val="auto"/>
          <w:shd w:val="clear" w:color="auto" w:fill="ffffff"/>
        </w:rPr>
        <w:t xml:space="preserve">8.本项目（</w:t>
      </w:r>
      <w:r>
        <w:rPr>
          <w:rFonts w:hint="eastAsia" w:ascii="宋体" w:hAnsi="宋体" w:eastAsia="宋体" w:cs="宋体"/>
          <w:i/>
          <w:iCs/>
          <w:color w:val="auto"/>
          <w:shd w:val="clear" w:color="auto" w:fill="ffffff"/>
        </w:rPr>
        <w:t xml:space="preserve">是/否</w:t>
      </w:r>
      <w:r>
        <w:rPr>
          <w:rFonts w:hint="eastAsia" w:ascii="宋体" w:hAnsi="宋体" w:eastAsia="宋体" w:cs="宋体"/>
          <w:color w:val="auto"/>
          <w:shd w:val="clear" w:color="auto" w:fill="ffffff"/>
        </w:rPr>
        <w:t xml:space="preserve">）接受联合体</w:t>
      </w:r>
      <w:r>
        <w:rPr>
          <w:rFonts w:hint="eastAsia" w:ascii="宋体" w:hAnsi="宋体" w:eastAsia="宋体" w:cs="宋体"/>
          <w:color w:val="auto"/>
        </w:rPr>
        <w:t xml:space="preserve">：否。</w:t>
      </w:r>
      <w:r/>
    </w:p>
    <w:p>
      <w:pPr>
        <w:pStyle w:val="665"/>
        <w:ind w:firstLine="498"/>
        <w:jc w:val="both"/>
        <w:keepLines/>
        <w:keepNext/>
        <w:spacing w:beforeAutospacing="0" w:afterAutospacing="0" w:line="360" w:lineRule="auto"/>
        <w:rPr>
          <w:rFonts w:ascii="宋体" w:hAnsi="宋体" w:eastAsia="宋体" w:cs="宋体"/>
          <w:color w:val="auto"/>
        </w:rPr>
      </w:pPr>
      <w:r/>
      <w:bookmarkStart w:id="8" w:name="_Toc28359080"/>
      <w:r/>
      <w:bookmarkStart w:id="9" w:name="_Toc28359003"/>
      <w:r/>
      <w:bookmarkStart w:id="10" w:name="_Toc35393622"/>
      <w:r/>
      <w:bookmarkStart w:id="11" w:name="_Toc35393791"/>
      <w:r/>
      <w:bookmarkStart w:id="12" w:name="_Toc38985264"/>
      <w:r>
        <w:rPr>
          <w:rFonts w:hint="eastAsia" w:ascii="宋体" w:hAnsi="宋体" w:eastAsia="宋体" w:cs="宋体"/>
          <w:b/>
          <w:color w:val="auto"/>
        </w:rPr>
        <w:t xml:space="preserve">二、申请人的资格要求：</w:t>
      </w:r>
      <w:bookmarkEnd w:id="8"/>
      <w:r/>
      <w:bookmarkEnd w:id="9"/>
      <w:r/>
      <w:bookmarkEnd w:id="10"/>
      <w:r/>
      <w:bookmarkEnd w:id="11"/>
      <w:r/>
      <w:bookmarkEnd w:id="12"/>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（一）满足《中华人民共和国政府采购法》第二十二条规定，并提供下列材料：</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1.法人或者其他组织的营业执照等证明文件，自然人的身份证明。</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2.上一年度的财务状况报告（成立不满一年不需提供）。</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3.具备履行合同所必需的设备和专业技术能力的书面声明。</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5.参加政府采购活动前3年内在经营活动中没有重大违法记录的书面声明。</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6.法律、行政法规规定的其他条件。</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8.单位负责人为同一人或者存在直接控股、管理关系的不同供应商，不得参加同一合同项下的政府采购活动。</w:t>
      </w:r>
      <w:r/>
    </w:p>
    <w:p>
      <w:pPr>
        <w:pStyle w:val="665"/>
        <w:ind w:firstLine="480"/>
        <w:jc w:val="both"/>
        <w:spacing w:beforeAutospacing="0" w:afterAutospacing="0" w:line="360" w:lineRule="auto"/>
        <w:rPr>
          <w:rFonts w:ascii="宋体" w:hAnsi="宋体" w:eastAsia="宋体" w:cs="宋体"/>
          <w:color w:val="auto"/>
          <w:highlight w:val="yellow"/>
        </w:rPr>
      </w:pPr>
      <w:r>
        <w:rPr>
          <w:rFonts w:hint="eastAsia" w:ascii="宋体" w:hAnsi="宋体" w:eastAsia="宋体" w:cs="宋体"/>
          <w:color w:val="auto"/>
        </w:rPr>
        <w:t xml:space="preserve">（二）落实政府采购政策需满足的资格要求：无。</w:t>
      </w:r>
      <w:r/>
    </w:p>
    <w:p>
      <w:pPr>
        <w:pStyle w:val="665"/>
        <w:ind w:firstLine="560"/>
        <w:jc w:val="both"/>
        <w:spacing w:beforeAutospacing="0" w:afterAutospacing="0" w:line="360" w:lineRule="auto"/>
        <w:shd w:val="clear" w:color="auto" w:fill="ffffff"/>
        <w:widowControl/>
        <w:rPr>
          <w:rFonts w:ascii="宋体" w:hAnsi="宋体" w:eastAsia="宋体" w:cs="宋体"/>
          <w:color w:val="auto"/>
        </w:rPr>
      </w:pPr>
      <w:r>
        <w:rPr>
          <w:rFonts w:hint="eastAsia" w:ascii="宋体" w:hAnsi="宋体" w:eastAsia="宋体" w:cs="宋体"/>
          <w:color w:val="auto"/>
        </w:rPr>
        <w:t xml:space="preserve">（三）本项目的特定资格要求：</w:t>
      </w:r>
      <w:r>
        <w:rPr>
          <w:rFonts w:hint="eastAsia" w:ascii="宋体" w:hAnsi="宋体" w:eastAsia="宋体" w:cs="宋体"/>
          <w:i/>
          <w:iCs/>
          <w:color w:val="auto"/>
          <w:u w:val="single"/>
        </w:rPr>
        <w:t xml:space="preserve">无。</w:t>
      </w:r>
      <w:r/>
    </w:p>
    <w:p>
      <w:pPr>
        <w:pStyle w:val="665"/>
        <w:ind w:firstLine="498"/>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三、获取招标文件</w:t>
      </w:r>
      <w:r/>
    </w:p>
    <w:p>
      <w:pPr>
        <w:pStyle w:val="665"/>
        <w:ind w:firstLine="540"/>
        <w:jc w:val="both"/>
        <w:spacing w:beforeAutospacing="0" w:afterAutospacing="0" w:line="360" w:lineRule="auto"/>
        <w:shd w:val="clear" w:color="auto" w:fill="ffffff"/>
        <w:widowControl/>
        <w:rPr>
          <w:rFonts w:ascii="宋体" w:hAnsi="宋体" w:eastAsia="宋体" w:cs="宋体"/>
          <w:color w:val="auto"/>
        </w:rPr>
      </w:pPr>
      <w:r/>
      <w:bookmarkStart w:id="13" w:name="_Toc35393624"/>
      <w:r/>
      <w:bookmarkStart w:id="14" w:name="_Toc28359005"/>
      <w:r/>
      <w:bookmarkStart w:id="15" w:name="_Toc38985266"/>
      <w:r/>
      <w:bookmarkStart w:id="16" w:name="_Toc28359082"/>
      <w:r/>
      <w:bookmarkStart w:id="17" w:name="_Toc35393793"/>
      <w:r>
        <w:rPr>
          <w:rFonts w:hint="eastAsia" w:ascii="宋体" w:hAnsi="宋体" w:eastAsia="宋体" w:cs="宋体"/>
          <w:color w:val="auto"/>
        </w:rPr>
        <w:t xml:space="preserve">1.时间：</w:t>
      </w:r>
      <w:bookmarkEnd w:id="13"/>
      <w:r/>
      <w:bookmarkEnd w:id="14"/>
      <w:r/>
      <w:bookmarkEnd w:id="15"/>
      <w:r/>
      <w:bookmarkEnd w:id="16"/>
      <w:r/>
      <w:bookmarkEnd w:id="17"/>
      <w:r>
        <w:rPr>
          <w:rFonts w:hint="eastAsia" w:ascii="宋体" w:hAnsi="宋体" w:eastAsia="宋体" w:cs="宋体"/>
          <w:color w:val="auto"/>
        </w:rPr>
        <w:t xml:space="preserve">自招标文件公告发布之日起5个工作日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2.地点：“苏采云”系统内免费下载（投标人必须在苏采云系统中获取采购文件，方能参与政府采购项目）；</w:t>
      </w:r>
      <w:r/>
    </w:p>
    <w:p>
      <w:pPr>
        <w:pStyle w:val="665"/>
        <w:ind w:firstLine="540"/>
        <w:jc w:val="both"/>
        <w:spacing w:beforeAutospacing="0" w:afterAutospacing="0" w:line="360" w:lineRule="auto"/>
        <w:shd w:val="clear" w:color="auto" w:fill="ffffff"/>
        <w:widowControl/>
        <w:rPr>
          <w:rFonts w:ascii="宋体" w:hAnsi="宋体" w:eastAsia="宋体" w:cs="宋体"/>
          <w:color w:val="auto"/>
        </w:rPr>
      </w:pPr>
      <w:r>
        <w:rPr>
          <w:rFonts w:hint="eastAsia" w:ascii="宋体" w:hAnsi="宋体" w:eastAsia="宋体" w:cs="宋体"/>
          <w:color w:val="auto"/>
        </w:rPr>
        <w:t xml:space="preserve">3.方式：本项目采用网上注册登记方式。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4.售价：0元</w:t>
      </w:r>
      <w:r/>
    </w:p>
    <w:p>
      <w:pPr>
        <w:pStyle w:val="665"/>
        <w:ind w:firstLine="498"/>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四、提交投标文件截止时间、开标时间和地点</w:t>
      </w:r>
      <w:r/>
    </w:p>
    <w:p>
      <w:pPr>
        <w:pStyle w:val="665"/>
        <w:ind w:firstLine="540"/>
        <w:jc w:val="both"/>
        <w:spacing w:beforeAutospacing="0" w:afterAutospacing="0" w:line="360" w:lineRule="auto"/>
        <w:shd w:val="clear" w:color="auto" w:fill="ffffff"/>
        <w:widowControl/>
        <w:rPr>
          <w:rFonts w:ascii="宋体" w:hAnsi="宋体" w:eastAsia="宋体" w:cs="宋体"/>
          <w:color w:val="auto"/>
        </w:rPr>
      </w:pPr>
      <w:r>
        <w:rPr>
          <w:rFonts w:hint="eastAsia" w:ascii="宋体" w:hAnsi="宋体" w:eastAsia="宋体" w:cs="宋体"/>
          <w:color w:val="auto"/>
        </w:rPr>
        <w:t xml:space="preserve">1.时间：</w:t>
      </w:r>
      <w:r>
        <w:rPr>
          <w:rFonts w:hint="eastAsia" w:ascii="宋体" w:hAnsi="宋体" w:eastAsia="宋体" w:cs="宋体"/>
          <w:color w:val="0000ff"/>
          <w:u w:val="single"/>
        </w:rPr>
        <w:t xml:space="preserve">2026年</w:t>
      </w:r>
      <w:r>
        <w:rPr>
          <w:rFonts w:hint="eastAsia" w:ascii="宋体" w:hAnsi="宋体" w:eastAsia="宋体" w:cs="宋体"/>
          <w:color w:val="0000ff"/>
          <w:u w:val="single"/>
          <w:lang w:val="en-US" w:eastAsia="zh-CN"/>
        </w:rPr>
        <w:t xml:space="preserve">10</w:t>
      </w:r>
      <w:r>
        <w:rPr>
          <w:rFonts w:hint="eastAsia" w:ascii="宋体" w:hAnsi="宋体" w:eastAsia="宋体" w:cs="宋体"/>
          <w:color w:val="0000ff"/>
          <w:u w:val="single"/>
        </w:rPr>
        <w:t xml:space="preserve">月</w:t>
      </w:r>
      <w:r>
        <w:rPr>
          <w:rFonts w:hint="eastAsia" w:ascii="宋体" w:hAnsi="宋体" w:eastAsia="宋体" w:cs="宋体"/>
          <w:color w:val="0000ff"/>
          <w:u w:val="single"/>
          <w:lang w:val="en-US" w:eastAsia="zh-CN"/>
        </w:rPr>
        <w:t xml:space="preserve">9</w:t>
      </w:r>
      <w:r>
        <w:rPr>
          <w:rFonts w:hint="eastAsia" w:ascii="宋体" w:hAnsi="宋体" w:eastAsia="宋体" w:cs="宋体"/>
          <w:color w:val="0000ff"/>
          <w:u w:val="single"/>
        </w:rPr>
        <w:t xml:space="preserve">日9：30</w:t>
      </w:r>
      <w:r>
        <w:rPr>
          <w:rFonts w:hint="eastAsia" w:ascii="宋体" w:hAnsi="宋体" w:eastAsia="宋体" w:cs="宋体"/>
          <w:color w:val="auto"/>
        </w:rPr>
        <w:t xml:space="preserve">（北京时间）。</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2.地点：苏采云“不见面”开标大厅 。</w:t>
      </w:r>
      <w:r/>
    </w:p>
    <w:p>
      <w:pPr>
        <w:pStyle w:val="665"/>
        <w:ind w:firstLine="498"/>
        <w:jc w:val="both"/>
        <w:keepLines/>
        <w:keepNext/>
        <w:spacing w:beforeAutospacing="0" w:afterAutospacing="0" w:line="360" w:lineRule="auto"/>
        <w:rPr>
          <w:rFonts w:ascii="宋体" w:hAnsi="宋体" w:eastAsia="宋体" w:cs="宋体"/>
          <w:color w:val="auto"/>
        </w:rPr>
      </w:pPr>
      <w:r/>
      <w:bookmarkStart w:id="18" w:name="_Toc28359007"/>
      <w:r/>
      <w:bookmarkStart w:id="19" w:name="_Toc38985267"/>
      <w:r/>
      <w:bookmarkStart w:id="20" w:name="_Toc35393625"/>
      <w:r/>
      <w:bookmarkStart w:id="21" w:name="_Toc35393794"/>
      <w:r/>
      <w:bookmarkStart w:id="22" w:name="_Toc28359084"/>
      <w:r>
        <w:rPr>
          <w:rFonts w:hint="eastAsia" w:ascii="宋体" w:hAnsi="宋体" w:eastAsia="宋体" w:cs="宋体"/>
          <w:b/>
          <w:color w:val="auto"/>
        </w:rPr>
        <w:t xml:space="preserve">五、公告期限</w:t>
      </w:r>
      <w:bookmarkEnd w:id="18"/>
      <w:r/>
      <w:bookmarkEnd w:id="19"/>
      <w:r/>
      <w:bookmarkEnd w:id="20"/>
      <w:r/>
      <w:bookmarkEnd w:id="21"/>
      <w:r/>
      <w:bookmarkEnd w:id="22"/>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bookmarkStart w:id="23" w:name="_Toc38985268"/>
      <w:r/>
      <w:bookmarkStart w:id="24" w:name="_Toc35393626"/>
      <w:r/>
      <w:bookmarkStart w:id="25" w:name="_Toc35393795"/>
      <w:r>
        <w:rPr>
          <w:rFonts w:hint="eastAsia" w:ascii="宋体" w:hAnsi="宋体" w:eastAsia="宋体" w:cs="宋体"/>
          <w:color w:val="auto"/>
          <w:shd w:val="clear" w:color="auto" w:fill="ffffff"/>
        </w:rPr>
        <w:t xml:space="preserve">自本公告发布之日起5个工作日。</w:t>
      </w:r>
      <w:bookmarkEnd w:id="23"/>
      <w:r/>
      <w:bookmarkEnd w:id="24"/>
      <w:r/>
      <w:bookmarkEnd w:id="25"/>
      <w:r/>
      <w:r/>
    </w:p>
    <w:p>
      <w:pPr>
        <w:pStyle w:val="665"/>
        <w:ind w:firstLine="498"/>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六、其他补充事宜</w:t>
      </w:r>
      <w:r/>
    </w:p>
    <w:p>
      <w:pPr>
        <w:ind w:firstLine="480"/>
        <w:jc w:val="left"/>
        <w:spacing w:line="360" w:lineRule="auto"/>
        <w:widowControl/>
        <w:rPr>
          <w:rFonts w:ascii="宋体" w:hAnsi="宋体" w:eastAsia="宋体" w:cs="宋体"/>
          <w:color w:val="auto"/>
          <w:sz w:val="24"/>
        </w:rPr>
      </w:pPr>
      <w:r/>
      <w:bookmarkStart w:id="26" w:name="_Toc28359018"/>
      <w:r>
        <w:rPr>
          <w:rFonts w:hint="eastAsia" w:ascii="宋体" w:hAnsi="宋体" w:eastAsia="宋体" w:cs="宋体"/>
          <w:color w:val="auto"/>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领取CA和办理电子签章（</w:t>
      </w:r>
      <w:r>
        <w:rPr>
          <w:rFonts w:hint="eastAsia" w:ascii="宋体" w:hAnsi="宋体" w:eastAsia="宋体" w:cs="宋体"/>
          <w:b/>
          <w:bCs/>
          <w:color w:val="auto"/>
          <w:sz w:val="24"/>
        </w:rPr>
        <w:t xml:space="preserve">请至盐城市府西路1号盐城市公共资源交易中心四楼大厅10号，11号窗口办理</w:t>
      </w:r>
      <w:r>
        <w:rPr>
          <w:rFonts w:hint="eastAsia" w:ascii="宋体" w:hAnsi="宋体" w:eastAsia="宋体" w:cs="宋体"/>
          <w:color w:val="auto"/>
          <w:sz w:val="24"/>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 潜在供应商访问电子招标响应交易平台的网络地址和方法：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2.2 潜在投标人访问“苏采云”系统方法：江苏省政府采购网首页-“苏采云”链接。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2.3 采购文件（后缀名为“.kedt”）、供应商操作手册及政府采购客户端 工具可通过“苏采云”系统相应链接进行下载。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2.4 采购代理机构将数据电文形式的采购文件加载至“苏采云”系统，供潜在供应商下载或者查阅。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如潜在投标人未按上述要求操作，将自行承担所产生的风险。</w:t>
      </w:r>
      <w:r/>
    </w:p>
    <w:p>
      <w:pPr>
        <w:ind w:firstLine="480"/>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3.有关本次招标的事项若存在变动或修改，敬请及时关注采购人在“中国政府采购网”、“江苏政府采购网”、“盐城市政府采购网”发布的更正公告。</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rPr>
        <w:t xml:space="preserve">4.本次招标不收取投标保证金，不收取质量保证金。</w:t>
      </w:r>
      <w:r/>
    </w:p>
    <w:p>
      <w:pPr>
        <w:pStyle w:val="665"/>
        <w:ind w:firstLine="498"/>
        <w:jc w:val="both"/>
        <w:keepLines/>
        <w:keepNext/>
        <w:spacing w:beforeAutospacing="0" w:afterAutospacing="0" w:line="360" w:lineRule="auto"/>
        <w:rPr>
          <w:rFonts w:ascii="宋体" w:hAnsi="宋体" w:eastAsia="宋体" w:cs="宋体"/>
          <w:b/>
          <w:color w:val="auto"/>
        </w:rPr>
      </w:pPr>
      <w:r>
        <w:rPr>
          <w:rFonts w:hint="eastAsia" w:ascii="宋体" w:hAnsi="宋体" w:eastAsia="宋体" w:cs="宋体"/>
          <w:b/>
          <w:color w:val="auto"/>
        </w:rPr>
        <w:t xml:space="preserve">七、对本次招标提出询问，请按以下方式联系。</w:t>
      </w:r>
      <w:bookmarkEnd w:id="26"/>
      <w:r/>
      <w:r/>
    </w:p>
    <w:p>
      <w:pPr>
        <w:pStyle w:val="665"/>
        <w:ind w:firstLine="60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1.采购人信息</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名 称：江苏省盐城技师学院</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地址：盐城市盐都区海洋路29号</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联系人：王老师</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w:t>
      </w:r>
      <w:r>
        <w:rPr>
          <w:rFonts w:ascii="宋体" w:hAnsi="宋体" w:eastAsia="宋体" w:cs="宋体"/>
          <w:color w:val="auto"/>
          <w:shd w:val="clear" w:color="auto" w:fill="ffffff"/>
        </w:rPr>
        <w:t xml:space="preserve">13056150848</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2.采购代理机构信息</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名 称：指北针项目管理（江苏）有限公司</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地 址：盐城经济技术开发区新都东路31号涌鑫经贸中心1幢2024室</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联系人：王工</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联系方式：1</w:t>
      </w:r>
      <w:r>
        <w:rPr>
          <w:rFonts w:ascii="宋体" w:hAnsi="宋体" w:eastAsia="宋体" w:cs="宋体"/>
          <w:color w:val="auto"/>
          <w:shd w:val="clear" w:color="auto" w:fill="ffffff"/>
        </w:rPr>
        <w:t xml:space="preserve">5961975866</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bookmarkStart w:id="27" w:name="_Toc28359021"/>
      <w:r>
        <w:rPr>
          <w:rFonts w:hint="eastAsia" w:ascii="宋体" w:hAnsi="宋体" w:eastAsia="宋体" w:cs="宋体"/>
          <w:color w:val="auto"/>
          <w:shd w:val="clear" w:color="auto" w:fill="ffffff"/>
        </w:rPr>
        <w:t xml:space="preserve">3.</w:t>
      </w:r>
      <w:bookmarkEnd w:id="27"/>
      <w:r>
        <w:rPr>
          <w:rFonts w:hint="eastAsia" w:ascii="宋体" w:hAnsi="宋体" w:eastAsia="宋体" w:cs="宋体"/>
          <w:color w:val="auto"/>
          <w:shd w:val="clear" w:color="auto" w:fill="ffffff"/>
        </w:rPr>
        <w:t xml:space="preserve">项目联系方式</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项目联系人：王老师</w:t>
      </w:r>
      <w:r/>
    </w:p>
    <w:p>
      <w:pPr>
        <w:pStyle w:val="665"/>
        <w:ind w:firstLine="560"/>
        <w:jc w:val="both"/>
        <w:spacing w:beforeAutospacing="0" w:afterAutospacing="0" w:line="360" w:lineRule="auto"/>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电　　 话：</w:t>
      </w:r>
      <w:r>
        <w:rPr>
          <w:rFonts w:ascii="宋体" w:hAnsi="宋体" w:eastAsia="宋体" w:cs="宋体"/>
          <w:color w:val="auto"/>
          <w:shd w:val="clear" w:color="auto" w:fill="ffffff"/>
        </w:rPr>
        <w:t xml:space="preserve">13056150848</w:t>
      </w:r>
      <w:r/>
    </w:p>
    <w:p>
      <w:pPr>
        <w:rPr>
          <w:rFonts w:ascii="宋体" w:hAnsi="宋体" w:eastAsia="宋体" w:cs="宋体"/>
          <w:color w:val="auto"/>
          <w:sz w:val="24"/>
        </w:rPr>
      </w:pPr>
      <w:r>
        <w:rPr>
          <w:rFonts w:hint="eastAsia" w:ascii="宋体" w:hAnsi="宋体" w:eastAsia="宋体" w:cs="宋体"/>
          <w:color w:val="auto"/>
          <w:sz w:val="24"/>
        </w:rPr>
        <w:t xml:space="preserve"> </w:t>
      </w:r>
      <w:r/>
    </w:p>
    <w:p>
      <w:pPr>
        <w:rPr>
          <w:rFonts w:ascii="宋体" w:hAnsi="宋体" w:eastAsia="宋体" w:cs="宋体"/>
          <w:b/>
          <w:color w:val="auto"/>
          <w:sz w:val="24"/>
        </w:rPr>
      </w:pPr>
      <w:r>
        <w:rPr>
          <w:rFonts w:hint="eastAsia" w:ascii="宋体" w:hAnsi="宋体" w:eastAsia="宋体" w:cs="宋体"/>
          <w:color w:val="auto"/>
          <w:sz w:val="24"/>
        </w:rPr>
        <w:br w:type="page" w:clear="all"/>
      </w:r>
      <w:bookmarkStart w:id="28" w:name="_Toc120614211"/>
      <w:r/>
      <w:r/>
    </w:p>
    <w:p>
      <w:pPr>
        <w:pStyle w:val="833"/>
        <w:rPr>
          <w:color w:val="auto"/>
        </w:rPr>
      </w:pPr>
      <w:r/>
      <w:bookmarkStart w:id="29" w:name="_Toc234256914"/>
      <w:r>
        <w:rPr>
          <w:rFonts w:hint="eastAsia"/>
          <w:color w:val="auto"/>
        </w:rPr>
        <w:t xml:space="preserve">第二章  </w:t>
      </w:r>
      <w:bookmarkEnd w:id="28"/>
      <w:r/>
      <w:bookmarkStart w:id="30" w:name="_Toc16938518"/>
      <w:r/>
      <w:bookmarkStart w:id="31" w:name="_Toc20823274"/>
      <w:r/>
      <w:bookmarkStart w:id="32" w:name="_Toc120614213"/>
      <w:r/>
      <w:bookmarkStart w:id="33" w:name="_Toc513029202"/>
      <w:r>
        <w:rPr>
          <w:rFonts w:hint="eastAsia"/>
          <w:color w:val="auto"/>
        </w:rPr>
        <w:t xml:space="preserve">投标人须知</w:t>
      </w:r>
      <w:bookmarkEnd w:id="29"/>
      <w:r/>
      <w:bookmarkEnd w:id="30"/>
      <w:r/>
      <w:bookmarkEnd w:id="31"/>
      <w:r/>
      <w:bookmarkEnd w:id="32"/>
      <w:r/>
      <w:bookmarkEnd w:id="33"/>
      <w:r/>
      <w:r/>
    </w:p>
    <w:p>
      <w:pPr>
        <w:pStyle w:val="665"/>
        <w:ind w:firstLine="498"/>
        <w:jc w:val="both"/>
        <w:keepLines/>
        <w:keepNext/>
        <w:spacing w:beforeAutospacing="0" w:afterAutospacing="0" w:line="360" w:lineRule="auto"/>
        <w:rPr>
          <w:rFonts w:ascii="宋体" w:hAnsi="宋体" w:eastAsia="宋体" w:cs="宋体"/>
          <w:color w:val="auto"/>
        </w:rPr>
      </w:pPr>
      <w:r/>
      <w:bookmarkStart w:id="34" w:name="_Toc20823275"/>
      <w:r/>
      <w:bookmarkStart w:id="35" w:name="_Toc120614214"/>
      <w:r/>
      <w:bookmarkStart w:id="36" w:name="_Toc513029203"/>
      <w:r/>
      <w:bookmarkStart w:id="37" w:name="_Toc16938519"/>
      <w:r>
        <w:rPr>
          <w:rFonts w:hint="eastAsia" w:ascii="宋体" w:hAnsi="宋体" w:eastAsia="宋体" w:cs="宋体"/>
          <w:b/>
          <w:color w:val="auto"/>
        </w:rPr>
        <w:t xml:space="preserve">一、总则</w:t>
      </w:r>
      <w:bookmarkEnd w:id="34"/>
      <w:r/>
      <w:bookmarkEnd w:id="35"/>
      <w:r/>
      <w:bookmarkEnd w:id="36"/>
      <w:r/>
      <w:bookmarkEnd w:id="37"/>
      <w:r/>
      <w:r/>
    </w:p>
    <w:p>
      <w:pPr>
        <w:pStyle w:val="665"/>
        <w:ind w:firstLine="420"/>
        <w:jc w:val="both"/>
        <w:keepLines/>
        <w:keepNext/>
        <w:spacing w:beforeAutospacing="0" w:afterAutospacing="0" w:line="360" w:lineRule="auto"/>
        <w:rPr>
          <w:rFonts w:ascii="宋体" w:hAnsi="宋体" w:eastAsia="宋体" w:cs="宋体"/>
          <w:color w:val="auto"/>
        </w:rPr>
      </w:pPr>
      <w:r/>
      <w:bookmarkStart w:id="38" w:name="_Toc20823276"/>
      <w:r/>
      <w:bookmarkStart w:id="39" w:name="_Toc458694821"/>
      <w:r/>
      <w:bookmarkStart w:id="40" w:name="_Toc513029204"/>
      <w:r/>
      <w:bookmarkStart w:id="41" w:name="_Toc16938520"/>
      <w:r/>
      <w:bookmarkStart w:id="42" w:name="_Hlt16619475"/>
      <w:r>
        <w:rPr>
          <w:rFonts w:hint="eastAsia" w:ascii="宋体" w:hAnsi="宋体" w:eastAsia="宋体" w:cs="宋体"/>
          <w:color w:val="auto"/>
        </w:rPr>
        <w:t xml:space="preserve">1</w:t>
      </w:r>
      <w:bookmarkEnd w:id="38"/>
      <w:r>
        <w:rPr>
          <w:rFonts w:hint="eastAsia" w:ascii="宋体" w:hAnsi="宋体" w:eastAsia="宋体" w:cs="宋体"/>
          <w:color w:val="auto"/>
        </w:rPr>
        <w:t xml:space="preserve">、招标方式</w:t>
      </w:r>
      <w:bookmarkEnd w:id="39"/>
      <w:r/>
      <w:bookmarkEnd w:id="40"/>
      <w:r/>
      <w:bookmarkEnd w:id="41"/>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1.1 本次招标采取公开招标方式，本招标文件仅适用于招标公告中所述项目。</w:t>
      </w:r>
      <w:r/>
    </w:p>
    <w:p>
      <w:pPr>
        <w:pStyle w:val="665"/>
        <w:ind w:firstLine="420"/>
        <w:jc w:val="both"/>
        <w:keepLines/>
        <w:keepNext/>
        <w:spacing w:beforeAutospacing="0" w:afterAutospacing="0" w:line="360" w:lineRule="auto"/>
        <w:rPr>
          <w:rFonts w:ascii="宋体" w:hAnsi="宋体" w:eastAsia="宋体" w:cs="宋体"/>
          <w:color w:val="auto"/>
        </w:rPr>
      </w:pPr>
      <w:r/>
      <w:bookmarkStart w:id="43" w:name="_Toc20823277"/>
      <w:r/>
      <w:bookmarkStart w:id="44" w:name="_Toc513029205"/>
      <w:r/>
      <w:bookmarkStart w:id="45" w:name="_Toc16938521"/>
      <w:r>
        <w:rPr>
          <w:rFonts w:hint="eastAsia" w:ascii="宋体" w:hAnsi="宋体" w:eastAsia="宋体" w:cs="宋体"/>
          <w:color w:val="auto"/>
        </w:rPr>
        <w:t xml:space="preserve">2、合格的投标人</w:t>
      </w:r>
      <w:bookmarkEnd w:id="43"/>
      <w:r/>
      <w:bookmarkEnd w:id="44"/>
      <w:r/>
      <w:bookmarkEnd w:id="45"/>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2.1满足招标公告中供应商的资格要求的规定。</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 满足本文件实质性要求和条件的规定。</w:t>
      </w:r>
      <w:r/>
    </w:p>
    <w:p>
      <w:pPr>
        <w:ind w:firstLine="420"/>
        <w:spacing w:line="360" w:lineRule="auto"/>
        <w:rPr>
          <w:rFonts w:ascii="宋体" w:hAnsi="宋体" w:eastAsia="宋体" w:cs="方正魏碑_GBK"/>
          <w:color w:val="auto"/>
          <w:sz w:val="24"/>
          <w:szCs w:val="21"/>
        </w:rPr>
      </w:pPr>
      <w:r/>
      <w:bookmarkStart w:id="46" w:name="_Toc513029206"/>
      <w:r/>
      <w:bookmarkStart w:id="47" w:name="_Toc20823278"/>
      <w:r/>
      <w:bookmarkStart w:id="48" w:name="_Toc16938522"/>
      <w:r>
        <w:rPr>
          <w:rFonts w:hint="eastAsia" w:ascii="宋体" w:hAnsi="宋体" w:eastAsia="宋体" w:cs="方正魏碑_GBK"/>
          <w:color w:val="auto"/>
          <w:sz w:val="24"/>
          <w:szCs w:val="21"/>
        </w:rPr>
        <w:t xml:space="preserve">3、适用法律</w:t>
      </w:r>
      <w:bookmarkEnd w:id="46"/>
      <w:r/>
      <w:bookmarkEnd w:id="47"/>
      <w:r/>
      <w:bookmarkEnd w:id="48"/>
      <w:r>
        <w:rPr>
          <w:rFonts w:hint="eastAsia" w:ascii="宋体" w:hAnsi="宋体" w:eastAsia="宋体" w:cs="方正魏碑_GBK"/>
          <w:color w:val="auto"/>
          <w:sz w:val="24"/>
          <w:szCs w:val="21"/>
        </w:rPr>
        <w:t xml:space="preserve">和标准</w:t>
      </w:r>
      <w:r/>
    </w:p>
    <w:p>
      <w:pPr>
        <w:pStyle w:val="665"/>
        <w:ind w:firstLine="4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 本次招标及由此产生的合同受中华人民共和国有关的法律法规制约和保护。</w:t>
      </w:r>
      <w:r/>
    </w:p>
    <w:p>
      <w:pPr>
        <w:ind w:firstLine="420"/>
        <w:spacing w:line="360" w:lineRule="auto"/>
        <w:rPr>
          <w:rFonts w:ascii="宋体" w:hAnsi="宋体" w:eastAsia="宋体" w:cs="宋体"/>
          <w:color w:val="auto"/>
          <w:sz w:val="24"/>
        </w:rPr>
      </w:pPr>
      <w:r>
        <w:rPr>
          <w:rFonts w:hint="eastAsia" w:ascii="宋体" w:hAnsi="宋体" w:eastAsia="宋体" w:cs="方正魏碑_GBK"/>
          <w:color w:val="auto"/>
          <w:sz w:val="24"/>
          <w:szCs w:val="21"/>
        </w:rPr>
        <w:t xml:space="preserve">3.2 在本项目政府采购活动过程中，如果所执行的标准有更新的，按照最新标准执行。</w:t>
      </w:r>
      <w:r/>
    </w:p>
    <w:p>
      <w:pPr>
        <w:pStyle w:val="665"/>
        <w:ind w:firstLine="420"/>
        <w:jc w:val="both"/>
        <w:keepLines/>
        <w:keepNext/>
        <w:spacing w:beforeAutospacing="0" w:afterAutospacing="0" w:line="360" w:lineRule="auto"/>
        <w:rPr>
          <w:rFonts w:ascii="宋体" w:hAnsi="宋体" w:eastAsia="宋体" w:cs="宋体"/>
          <w:color w:val="auto"/>
        </w:rPr>
      </w:pPr>
      <w:r/>
      <w:bookmarkStart w:id="49" w:name="_Toc462564067"/>
      <w:r/>
      <w:bookmarkStart w:id="50" w:name="_Toc16938523"/>
      <w:r/>
      <w:bookmarkStart w:id="51" w:name="_Toc513029207"/>
      <w:r/>
      <w:bookmarkStart w:id="52" w:name="_Toc20823279"/>
      <w:r>
        <w:rPr>
          <w:rFonts w:hint="eastAsia" w:ascii="宋体" w:hAnsi="宋体" w:eastAsia="宋体" w:cs="宋体"/>
          <w:color w:val="auto"/>
        </w:rPr>
        <w:t xml:space="preserve">4、投标费用</w:t>
      </w:r>
      <w:bookmarkEnd w:id="49"/>
      <w:r/>
      <w:bookmarkEnd w:id="50"/>
      <w:r/>
      <w:bookmarkEnd w:id="51"/>
      <w:r/>
      <w:bookmarkEnd w:id="52"/>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4.1 投标人应自行承担所有与参加投标有关的费用，无论投标过程中的做法和结果如何，指北针项目管理（江苏）有限公司（以下简称代理机构）在任何情况下均无义务和责任承担这些费用。</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4.2本项目招标代理服务费按《关于印发江苏省政府采购代理服务收费指导意见》(苏政采协[2024]20号）收费标准45%计取；项目结束后，由采购人支付给代理机构,</w:t>
      </w:r>
      <w:r>
        <w:rPr>
          <w:rFonts w:hint="eastAsia" w:ascii="宋体" w:hAnsi="宋体" w:eastAsia="宋体" w:cs="宋体"/>
          <w:b/>
          <w:bCs/>
          <w:color w:val="auto"/>
        </w:rPr>
        <w:t xml:space="preserve">投标人无需考虑该项费用。</w:t>
      </w:r>
      <w:r/>
    </w:p>
    <w:p>
      <w:pPr>
        <w:pStyle w:val="665"/>
        <w:ind w:firstLine="602"/>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5、</w:t>
      </w:r>
      <w:r>
        <w:rPr>
          <w:rFonts w:hint="eastAsia" w:ascii="宋体" w:hAnsi="宋体" w:eastAsia="宋体" w:cs="宋体"/>
          <w:color w:val="auto"/>
        </w:rPr>
        <w:t xml:space="preserve">招标文件的约束力</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5.1 投标人一旦参加本项目采购活动，即被认为接受了本招标文件的规定和约束。</w:t>
      </w:r>
      <w:r/>
    </w:p>
    <w:p>
      <w:pPr>
        <w:pStyle w:val="665"/>
        <w:ind w:firstLine="321"/>
        <w:jc w:val="both"/>
        <w:keepLines/>
        <w:keepNext/>
        <w:spacing w:beforeAutospacing="0" w:afterAutospacing="0" w:line="360" w:lineRule="auto"/>
        <w:rPr>
          <w:rFonts w:ascii="宋体" w:hAnsi="宋体" w:eastAsia="宋体" w:cs="宋体"/>
          <w:color w:val="auto"/>
        </w:rPr>
      </w:pPr>
      <w:r/>
      <w:bookmarkStart w:id="53" w:name="_Toc120614215"/>
      <w:r/>
      <w:bookmarkStart w:id="54" w:name="_Toc16938525"/>
      <w:r/>
      <w:bookmarkStart w:id="55" w:name="_Toc20823281"/>
      <w:r/>
      <w:bookmarkStart w:id="56" w:name="_Toc513029209"/>
      <w:r>
        <w:rPr>
          <w:rFonts w:hint="eastAsia" w:ascii="宋体" w:hAnsi="宋体" w:eastAsia="宋体" w:cs="宋体"/>
          <w:b/>
          <w:color w:val="auto"/>
        </w:rPr>
        <w:t xml:space="preserve">二、招标文件</w:t>
      </w:r>
      <w:bookmarkEnd w:id="53"/>
      <w:r/>
      <w:bookmarkEnd w:id="54"/>
      <w:r/>
      <w:bookmarkEnd w:id="55"/>
      <w:r/>
      <w:bookmarkEnd w:id="56"/>
      <w:r/>
      <w:r/>
    </w:p>
    <w:p>
      <w:pPr>
        <w:pStyle w:val="665"/>
        <w:ind w:firstLine="420"/>
        <w:jc w:val="both"/>
        <w:keepLines/>
        <w:keepNext/>
        <w:spacing w:beforeAutospacing="0" w:afterAutospacing="0" w:line="360" w:lineRule="auto"/>
        <w:rPr>
          <w:rFonts w:ascii="宋体" w:hAnsi="宋体" w:eastAsia="宋体" w:cs="宋体"/>
          <w:color w:val="auto"/>
        </w:rPr>
      </w:pPr>
      <w:r/>
      <w:bookmarkStart w:id="57" w:name="_Toc16938526"/>
      <w:r/>
      <w:bookmarkStart w:id="58" w:name="_Toc20823282"/>
      <w:r/>
      <w:bookmarkStart w:id="59" w:name="_Toc513029210"/>
      <w:r>
        <w:rPr>
          <w:rFonts w:hint="eastAsia" w:ascii="宋体" w:hAnsi="宋体" w:eastAsia="宋体" w:cs="宋体"/>
          <w:color w:val="auto"/>
        </w:rPr>
        <w:t xml:space="preserve">6、招标文件构成</w:t>
      </w:r>
      <w:bookmarkEnd w:id="57"/>
      <w:r/>
      <w:bookmarkEnd w:id="58"/>
      <w:r/>
      <w:bookmarkEnd w:id="59"/>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6.1 招标文件由以下部分组成：</w:t>
      </w:r>
      <w:r/>
    </w:p>
    <w:p>
      <w:pPr>
        <w:pStyle w:val="665"/>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（1）招标公告</w:t>
      </w:r>
      <w:r/>
    </w:p>
    <w:p>
      <w:pPr>
        <w:pStyle w:val="665"/>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（2）投标人须知</w:t>
      </w:r>
      <w:r/>
    </w:p>
    <w:p>
      <w:pPr>
        <w:pStyle w:val="665"/>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（3）合同文本</w:t>
      </w:r>
      <w:r/>
    </w:p>
    <w:p>
      <w:pPr>
        <w:pStyle w:val="665"/>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（4）采购需求</w:t>
      </w:r>
      <w:r/>
    </w:p>
    <w:p>
      <w:pPr>
        <w:pStyle w:val="665"/>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（5）评标方法与评标标准</w:t>
      </w:r>
      <w:r/>
    </w:p>
    <w:p>
      <w:pPr>
        <w:pStyle w:val="665"/>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（6）投标文件格式</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请仔细检查招标文件是否齐全，如有缺漏请立即与代理机构联系解决。</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5"/>
        <w:ind w:firstLine="560"/>
        <w:jc w:val="both"/>
        <w:keepLines/>
        <w:keepNext/>
        <w:spacing w:beforeAutospacing="0" w:afterAutospacing="0" w:line="360" w:lineRule="auto"/>
        <w:rPr>
          <w:rFonts w:ascii="宋体" w:hAnsi="宋体" w:eastAsia="宋体" w:cs="宋体"/>
          <w:color w:val="auto"/>
        </w:rPr>
      </w:pPr>
      <w:r/>
      <w:bookmarkStart w:id="60" w:name="_Toc16938527"/>
      <w:r/>
      <w:bookmarkStart w:id="61" w:name="_Toc20823283"/>
      <w:r/>
      <w:bookmarkStart w:id="62" w:name="_Toc513029211"/>
      <w:r/>
      <w:bookmarkStart w:id="63" w:name="_Toc462564070"/>
      <w:r>
        <w:rPr>
          <w:rFonts w:hint="eastAsia" w:ascii="宋体" w:hAnsi="宋体" w:eastAsia="宋体" w:cs="宋体"/>
          <w:color w:val="auto"/>
        </w:rPr>
        <w:t xml:space="preserve">7、招标文件的澄清</w:t>
      </w:r>
      <w:bookmarkEnd w:id="60"/>
      <w:r/>
      <w:bookmarkEnd w:id="61"/>
      <w:r/>
      <w:bookmarkEnd w:id="62"/>
      <w:r/>
      <w:bookmarkEnd w:id="63"/>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7.1 任何要求对招标文件进行澄清的投标人，应在投标截止期</w:t>
      </w:r>
      <w:r>
        <w:rPr>
          <w:rFonts w:hint="eastAsia" w:ascii="宋体" w:hAnsi="宋体" w:eastAsia="宋体" w:cs="宋体"/>
          <w:b/>
          <w:color w:val="auto"/>
        </w:rPr>
        <w:t xml:space="preserve">十日</w:t>
      </w:r>
      <w:r>
        <w:rPr>
          <w:rFonts w:hint="eastAsia" w:ascii="宋体" w:hAnsi="宋体" w:eastAsia="宋体" w:cs="宋体"/>
          <w:color w:val="auto"/>
        </w:rPr>
        <w:t xml:space="preserve">前按招标公告中的通讯地址，以书面形式通知代理机构。</w:t>
      </w:r>
      <w:r/>
    </w:p>
    <w:p>
      <w:pPr>
        <w:pStyle w:val="665"/>
        <w:ind w:firstLine="560"/>
        <w:jc w:val="both"/>
        <w:keepLines/>
        <w:keepNext/>
        <w:spacing w:beforeAutospacing="0" w:afterAutospacing="0" w:line="360" w:lineRule="auto"/>
        <w:rPr>
          <w:rFonts w:ascii="宋体" w:hAnsi="宋体" w:eastAsia="宋体" w:cs="宋体"/>
          <w:color w:val="auto"/>
        </w:rPr>
      </w:pPr>
      <w:r/>
      <w:bookmarkStart w:id="64" w:name="_Toc513029212"/>
      <w:r/>
      <w:bookmarkStart w:id="65" w:name="_Toc16938528"/>
      <w:r/>
      <w:bookmarkStart w:id="66" w:name="_Toc20823284"/>
      <w:r/>
      <w:bookmarkStart w:id="67" w:name="_Toc462564071"/>
      <w:r>
        <w:rPr>
          <w:rFonts w:hint="eastAsia" w:ascii="宋体" w:hAnsi="宋体" w:eastAsia="宋体" w:cs="宋体"/>
          <w:color w:val="auto"/>
        </w:rPr>
        <w:t xml:space="preserve">8、招标文件的修改</w:t>
      </w:r>
      <w:bookmarkEnd w:id="64"/>
      <w:r/>
      <w:bookmarkEnd w:id="65"/>
      <w:r/>
      <w:bookmarkEnd w:id="66"/>
      <w:r/>
      <w:bookmarkEnd w:id="67"/>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8.1 在投标截止时间前，代理机构可以对招标文件进行修改。</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8.2 代理机构有权按照法定的要求推迟投标截止日期和开标日期。</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8.3 招标文件的修改将在中国政府采购网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江苏政府采购网、盐城市政府采购网公布，补充文件将作为招标文件的组成部分，并对投标人具有约束力。</w:t>
      </w:r>
      <w:r/>
    </w:p>
    <w:p>
      <w:pPr>
        <w:pStyle w:val="665"/>
        <w:ind w:firstLine="482"/>
        <w:jc w:val="both"/>
        <w:keepLines/>
        <w:keepNext/>
        <w:spacing w:beforeAutospacing="0" w:afterAutospacing="0" w:line="360" w:lineRule="auto"/>
        <w:rPr>
          <w:rFonts w:ascii="宋体" w:hAnsi="宋体" w:eastAsia="宋体" w:cs="宋体"/>
          <w:color w:val="auto"/>
        </w:rPr>
      </w:pPr>
      <w:r/>
      <w:bookmarkStart w:id="68" w:name="_Toc513029213"/>
      <w:r/>
      <w:bookmarkStart w:id="69" w:name="_Toc16938529"/>
      <w:r/>
      <w:bookmarkStart w:id="70" w:name="_Toc462564072"/>
      <w:r/>
      <w:bookmarkStart w:id="71" w:name="_Toc20823285"/>
      <w:r/>
      <w:bookmarkStart w:id="72" w:name="_Toc120614216"/>
      <w:r>
        <w:rPr>
          <w:rFonts w:hint="eastAsia" w:ascii="宋体" w:hAnsi="宋体" w:eastAsia="宋体" w:cs="宋体"/>
          <w:b/>
          <w:color w:val="auto"/>
        </w:rPr>
        <w:t xml:space="preserve">三、投标文件的编制</w:t>
      </w:r>
      <w:bookmarkEnd w:id="68"/>
      <w:r/>
      <w:bookmarkEnd w:id="69"/>
      <w:r/>
      <w:bookmarkEnd w:id="70"/>
      <w:r/>
      <w:bookmarkEnd w:id="71"/>
      <w:r/>
      <w:bookmarkEnd w:id="72"/>
      <w:r/>
      <w:r/>
    </w:p>
    <w:p>
      <w:pPr>
        <w:pStyle w:val="665"/>
        <w:ind w:firstLine="560"/>
        <w:jc w:val="both"/>
        <w:keepLines/>
        <w:keepNext/>
        <w:spacing w:beforeAutospacing="0" w:afterAutospacing="0" w:line="360" w:lineRule="auto"/>
        <w:rPr>
          <w:rFonts w:ascii="宋体" w:hAnsi="宋体" w:eastAsia="宋体" w:cs="宋体"/>
          <w:color w:val="auto"/>
        </w:rPr>
      </w:pPr>
      <w:r/>
      <w:bookmarkStart w:id="73" w:name="_Toc16938530"/>
      <w:r/>
      <w:bookmarkStart w:id="74" w:name="_Toc513029214"/>
      <w:r/>
      <w:bookmarkStart w:id="75" w:name="_Toc462564073"/>
      <w:r/>
      <w:bookmarkStart w:id="76" w:name="_Toc20823286"/>
      <w:r>
        <w:rPr>
          <w:rFonts w:hint="eastAsia" w:ascii="宋体" w:hAnsi="宋体" w:eastAsia="宋体" w:cs="宋体"/>
          <w:color w:val="auto"/>
        </w:rPr>
        <w:t xml:space="preserve">9、投标文件的语言及度量衡单位</w:t>
      </w:r>
      <w:bookmarkEnd w:id="73"/>
      <w:r/>
      <w:bookmarkEnd w:id="74"/>
      <w:r/>
      <w:bookmarkEnd w:id="75"/>
      <w:r/>
      <w:bookmarkEnd w:id="76"/>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9.1 投标人提交的投标文件以及投标人与代理机构就有关投标的所有来往通知、函件和文件均应使用</w:t>
      </w:r>
      <w:r>
        <w:rPr>
          <w:rFonts w:hint="eastAsia" w:ascii="宋体" w:hAnsi="宋体" w:eastAsia="宋体" w:cs="宋体"/>
          <w:b/>
          <w:color w:val="auto"/>
        </w:rPr>
        <w:t xml:space="preserve">简体中文</w:t>
      </w:r>
      <w:r>
        <w:rPr>
          <w:rFonts w:hint="eastAsia" w:ascii="宋体" w:hAnsi="宋体" w:eastAsia="宋体" w:cs="宋体"/>
          <w:color w:val="auto"/>
        </w:rPr>
        <w:t xml:space="preserve">。</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9.2 除技术性能另有规定外，投标文件所使用的度量衡单位，均须采用国家法定计量单位。</w:t>
      </w:r>
      <w:r/>
    </w:p>
    <w:p>
      <w:pPr>
        <w:pStyle w:val="665"/>
        <w:ind w:firstLine="420"/>
        <w:jc w:val="both"/>
        <w:keepLines/>
        <w:keepNext/>
        <w:spacing w:beforeAutospacing="0" w:afterAutospacing="0" w:line="360" w:lineRule="auto"/>
        <w:rPr>
          <w:rFonts w:ascii="宋体" w:hAnsi="宋体" w:eastAsia="宋体" w:cs="宋体"/>
          <w:color w:val="auto"/>
        </w:rPr>
      </w:pPr>
      <w:r/>
      <w:bookmarkStart w:id="77" w:name="_Toc462564074"/>
      <w:r/>
      <w:bookmarkStart w:id="78" w:name="_Toc513029215"/>
      <w:r/>
      <w:bookmarkStart w:id="79" w:name="_Toc20823287"/>
      <w:r/>
      <w:bookmarkStart w:id="80" w:name="_Toc16938531"/>
      <w:r>
        <w:rPr>
          <w:rFonts w:hint="eastAsia" w:ascii="宋体" w:hAnsi="宋体" w:eastAsia="宋体" w:cs="宋体"/>
          <w:color w:val="auto"/>
        </w:rPr>
        <w:t xml:space="preserve">10、投标文件构成</w:t>
      </w:r>
      <w:bookmarkEnd w:id="77"/>
      <w:r/>
      <w:bookmarkEnd w:id="78"/>
      <w:r/>
      <w:bookmarkEnd w:id="79"/>
      <w:r/>
      <w:bookmarkEnd w:id="80"/>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10.1 投标人编写的投标文件应包括资格证明文件、符合性证明文件、投标分项报价表、技术要求响应及偏离表、商务要求响应及偏离表、其他证明文件、投标函、开标一览表等部分。</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10.2 如标书制作工具中格式和内容与</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发布的招标文件不一致，请以中国政府采购网”“江苏政府采购网”“盐城市政府采购网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发布的招标文件为准。</w:t>
      </w:r>
      <w:r/>
    </w:p>
    <w:p>
      <w:pPr>
        <w:pStyle w:val="665"/>
        <w:ind w:firstLine="420"/>
        <w:jc w:val="both"/>
        <w:keepLines/>
        <w:keepNext/>
        <w:spacing w:beforeAutospacing="0" w:afterAutospacing="0" w:line="360" w:lineRule="auto"/>
        <w:rPr>
          <w:rFonts w:ascii="宋体" w:hAnsi="宋体" w:eastAsia="宋体" w:cs="宋体"/>
          <w:color w:val="auto"/>
        </w:rPr>
      </w:pPr>
      <w:r/>
      <w:bookmarkStart w:id="81" w:name="_Toc49090507"/>
      <w:r/>
      <w:bookmarkStart w:id="82" w:name="_Toc14577355"/>
      <w:r/>
      <w:bookmarkStart w:id="83" w:name="_Toc49090508"/>
      <w:r/>
      <w:bookmarkStart w:id="84" w:name="_Toc14577357"/>
      <w:r/>
      <w:bookmarkStart w:id="85" w:name="_Toc513029216"/>
      <w:r/>
      <w:bookmarkStart w:id="86" w:name="_Toc49090509"/>
      <w:r/>
      <w:bookmarkStart w:id="87" w:name="_Toc513029219"/>
      <w:r/>
      <w:bookmarkStart w:id="88" w:name="_Toc14577354"/>
      <w:r/>
      <w:bookmarkStart w:id="89" w:name="_Hlt26668975"/>
      <w:r/>
      <w:bookmarkStart w:id="90" w:name="_Hlt26954838"/>
      <w:r/>
      <w:bookmarkStart w:id="91" w:name="_Hlt26670360"/>
      <w:r>
        <w:rPr>
          <w:rFonts w:hint="eastAsia" w:ascii="宋体" w:hAnsi="宋体" w:eastAsia="宋体" w:cs="宋体"/>
          <w:color w:val="auto"/>
        </w:rPr>
        <w:t xml:space="preserve">11、证明投标人及投标标的符合招标文件规定的文件</w:t>
      </w:r>
      <w:bookmarkEnd w:id="81"/>
      <w:r/>
      <w:bookmarkEnd w:id="82"/>
      <w:r/>
      <w:bookmarkEnd w:id="83"/>
      <w:r/>
      <w:bookmarkEnd w:id="84"/>
      <w:r/>
      <w:bookmarkEnd w:id="85"/>
      <w:r/>
      <w:bookmarkEnd w:id="86"/>
      <w:r/>
      <w:bookmarkEnd w:id="87"/>
      <w:r/>
      <w:bookmarkEnd w:id="88"/>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    11.1 投标人应按照招标文件要求提交证明文件，证明其及投标标的符合招标文件规定。</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11.2招标文件对证明文件无明确形式要求的，证明文件可以以文字资料、图纸和数据等形式提交。</w:t>
      </w:r>
      <w:r/>
    </w:p>
    <w:p>
      <w:pPr>
        <w:pStyle w:val="665"/>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12、投标分项报价表</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12.1 投标人应按照招标文件规定格式填报投标分项报价表。</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12.2投标货币。投标文件中的单价和总价无特殊规定的采用人民币报价，以元为单位标注。招标文件中另有规定的按规定执行。</w:t>
      </w:r>
      <w:r/>
    </w:p>
    <w:p>
      <w:pPr>
        <w:pStyle w:val="665"/>
        <w:ind w:firstLine="420"/>
        <w:jc w:val="both"/>
        <w:keepLines/>
        <w:keepNext/>
        <w:spacing w:beforeAutospacing="0" w:afterAutospacing="0" w:line="360" w:lineRule="auto"/>
        <w:rPr>
          <w:rFonts w:ascii="宋体" w:hAnsi="宋体" w:eastAsia="宋体" w:cs="宋体"/>
          <w:color w:val="auto"/>
        </w:rPr>
      </w:pPr>
      <w:r/>
      <w:bookmarkStart w:id="92" w:name="_Hlt26670486"/>
      <w:r/>
      <w:bookmarkStart w:id="93" w:name="_Hlt26954731"/>
      <w:r/>
      <w:bookmarkStart w:id="94" w:name="_Hlt26670482"/>
      <w:r/>
      <w:bookmarkStart w:id="95" w:name="_Hlt26954846"/>
      <w:r/>
      <w:bookmarkStart w:id="96" w:name="_Hlt26954848"/>
      <w:r>
        <w:rPr>
          <w:rFonts w:hint="eastAsia" w:ascii="宋体" w:hAnsi="宋体" w:eastAsia="宋体" w:cs="宋体"/>
          <w:color w:val="auto"/>
        </w:rPr>
        <w:t xml:space="preserve">13、技术要求响应及偏离表、商务要求响应及偏离表</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13.1 投标人需对招标文件中的技术要求与商务要求逐项作出响应或偏离，并说明原因。</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13.2 投标人可在投标文件中提供认为需要的其他技术文件或说明。</w:t>
      </w:r>
      <w:r/>
    </w:p>
    <w:p>
      <w:pPr>
        <w:pStyle w:val="665"/>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14、服务承诺、培训计划、人员安排及其他</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14.1 投标人需根据招标文件要求提供有关售后服务的管理制度，售后服务机构的分布情况，售后服务人员的数量、素质、技术水平及售后服务的反应能力等。</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14.2 投标人需根据招标文件要求提供培训计划。</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14.3  投标人需根据招标文件要求提供所投标的的主要组成部分、功能设计、实现思路及关键技术等。</w:t>
      </w:r>
      <w:r/>
    </w:p>
    <w:p>
      <w:pPr>
        <w:pStyle w:val="665"/>
        <w:ind w:firstLine="420"/>
        <w:jc w:val="both"/>
        <w:keepLines/>
        <w:keepNext/>
        <w:spacing w:beforeAutospacing="0" w:afterAutospacing="0" w:line="360" w:lineRule="auto"/>
        <w:rPr>
          <w:rFonts w:ascii="宋体" w:hAnsi="宋体" w:eastAsia="宋体" w:cs="宋体"/>
          <w:color w:val="auto"/>
        </w:rPr>
      </w:pPr>
      <w:r/>
      <w:bookmarkStart w:id="97" w:name="_Toc49090510"/>
      <w:r/>
      <w:bookmarkStart w:id="98" w:name="_Toc14577359"/>
      <w:r>
        <w:rPr>
          <w:rFonts w:hint="eastAsia" w:ascii="宋体" w:hAnsi="宋体" w:eastAsia="宋体" w:cs="宋体"/>
          <w:color w:val="auto"/>
        </w:rPr>
        <w:t xml:space="preserve">15、投标函和开标一览表</w:t>
      </w:r>
      <w:bookmarkEnd w:id="97"/>
      <w:r/>
      <w:bookmarkEnd w:id="98"/>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15.1 投标人应按照招标文件中提供的格式完整、正确填写投标函、开标一览表。</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15.2 对于采用货币报价的项目，开标一览表中的投标总报价应与投标分项报价表中的投标总报价一致，如不一致，不作为无效投标处理，但评标时按开标一览表中价格为准。</w:t>
      </w:r>
      <w:r/>
    </w:p>
    <w:p>
      <w:pPr>
        <w:pStyle w:val="665"/>
        <w:ind w:firstLine="420"/>
        <w:jc w:val="both"/>
        <w:keepLines/>
        <w:keepNext/>
        <w:spacing w:beforeAutospacing="0" w:afterAutospacing="0" w:line="360" w:lineRule="auto"/>
        <w:rPr>
          <w:rFonts w:ascii="宋体" w:hAnsi="宋体" w:eastAsia="宋体" w:cs="宋体"/>
          <w:color w:val="auto"/>
        </w:rPr>
      </w:pPr>
      <w:r/>
      <w:bookmarkStart w:id="99" w:name="_Toc14577360"/>
      <w:r/>
      <w:bookmarkStart w:id="100" w:name="_Toc49090511"/>
      <w:r>
        <w:rPr>
          <w:rFonts w:hint="eastAsia" w:ascii="宋体" w:hAnsi="宋体" w:eastAsia="宋体" w:cs="宋体"/>
          <w:color w:val="auto"/>
        </w:rPr>
        <w:t xml:space="preserve">16、投标有效期</w:t>
      </w:r>
      <w:bookmarkEnd w:id="99"/>
      <w:r/>
      <w:bookmarkEnd w:id="100"/>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16.1投标有效期为代理机构规定的开标之日后</w:t>
      </w:r>
      <w:r>
        <w:rPr>
          <w:rFonts w:hint="eastAsia" w:ascii="宋体" w:hAnsi="宋体" w:eastAsia="宋体" w:cs="宋体"/>
          <w:b/>
          <w:color w:val="auto"/>
          <w:u w:val="single"/>
        </w:rPr>
        <w:t xml:space="preserve">九十（90）天</w:t>
      </w:r>
      <w:r>
        <w:rPr>
          <w:rFonts w:hint="eastAsia" w:ascii="宋体" w:hAnsi="宋体" w:eastAsia="宋体" w:cs="宋体"/>
          <w:color w:val="auto"/>
        </w:rPr>
        <w:t xml:space="preserve">。投标有效期比规定短的将被视为未实质性响应招标文件而予以拒绝。</w:t>
      </w:r>
      <w:r/>
    </w:p>
    <w:p>
      <w:pPr>
        <w:pStyle w:val="665"/>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17、投标有效期的延长</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665"/>
        <w:jc w:val="both"/>
        <w:keepLines/>
        <w:keepNext/>
        <w:spacing w:beforeAutospacing="0" w:afterAutospacing="0" w:line="360" w:lineRule="auto"/>
        <w:rPr>
          <w:rFonts w:ascii="宋体" w:hAnsi="宋体" w:eastAsia="宋体" w:cs="宋体"/>
          <w:color w:val="auto"/>
        </w:rPr>
      </w:pPr>
      <w:r/>
      <w:bookmarkStart w:id="101" w:name="_Toc20823296"/>
      <w:r/>
      <w:bookmarkStart w:id="102" w:name="_Toc16938540"/>
      <w:r/>
      <w:bookmarkStart w:id="103" w:name="_Toc120614217"/>
      <w:r/>
      <w:bookmarkStart w:id="104" w:name="_Toc513029224"/>
      <w:r/>
      <w:bookmarkStart w:id="105" w:name="_Hlt26954739"/>
      <w:r/>
      <w:bookmarkStart w:id="106" w:name="_Hlt26954852"/>
      <w:r>
        <w:rPr>
          <w:rFonts w:hint="eastAsia" w:ascii="宋体" w:hAnsi="宋体" w:eastAsia="宋体" w:cs="宋体"/>
          <w:b/>
          <w:color w:val="auto"/>
        </w:rPr>
        <w:t xml:space="preserve">四、投标文件的递交</w:t>
      </w:r>
      <w:bookmarkEnd w:id="101"/>
      <w:r/>
      <w:bookmarkEnd w:id="102"/>
      <w:r/>
      <w:bookmarkEnd w:id="103"/>
      <w:r/>
      <w:bookmarkEnd w:id="104"/>
      <w:r/>
      <w:r/>
    </w:p>
    <w:p>
      <w:pPr>
        <w:pStyle w:val="665"/>
        <w:ind w:firstLine="420"/>
        <w:jc w:val="both"/>
        <w:keepLines/>
        <w:keepNext/>
        <w:spacing w:beforeAutospacing="0" w:afterAutospacing="0" w:line="360" w:lineRule="auto"/>
        <w:rPr>
          <w:rFonts w:ascii="宋体" w:hAnsi="宋体" w:eastAsia="宋体" w:cs="宋体"/>
          <w:color w:val="auto"/>
        </w:rPr>
      </w:pPr>
      <w:r/>
      <w:bookmarkStart w:id="107" w:name="_Toc20823297"/>
      <w:r/>
      <w:bookmarkStart w:id="108" w:name="_Toc16938541"/>
      <w:r/>
      <w:bookmarkStart w:id="109" w:name="_Toc513029225"/>
      <w:r/>
      <w:bookmarkStart w:id="110" w:name="_Toc462564084"/>
      <w:r>
        <w:rPr>
          <w:rFonts w:hint="eastAsia" w:ascii="宋体" w:hAnsi="宋体" w:eastAsia="宋体" w:cs="宋体"/>
          <w:color w:val="auto"/>
        </w:rPr>
        <w:t xml:space="preserve">18、电子投标文件</w:t>
      </w:r>
      <w:bookmarkEnd w:id="107"/>
      <w:r/>
      <w:bookmarkEnd w:id="108"/>
      <w:r/>
      <w:bookmarkEnd w:id="109"/>
      <w:r/>
      <w:bookmarkEnd w:id="110"/>
      <w:r>
        <w:rPr>
          <w:rFonts w:hint="eastAsia" w:ascii="宋体" w:hAnsi="宋体" w:eastAsia="宋体" w:cs="宋体"/>
          <w:color w:val="auto"/>
        </w:rPr>
        <w:t xml:space="preserve">的递交</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18.1投标人应当按照《操作手册》规定，在投标截止时间前制作并上传电子投标</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文件。</w:t>
      </w:r>
      <w:bookmarkStart w:id="111" w:name="_Toc20823298"/>
      <w:r/>
      <w:bookmarkEnd w:id="111"/>
      <w:r/>
      <w:bookmarkStart w:id="112" w:name="_Toc16938542"/>
      <w:r/>
      <w:bookmarkEnd w:id="112"/>
      <w:r/>
      <w:bookmarkStart w:id="113" w:name="_Toc513029226"/>
      <w:r/>
      <w:r/>
    </w:p>
    <w:p>
      <w:pPr>
        <w:pStyle w:val="665"/>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19、投标截止日期</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i/>
          <w:color w:val="auto"/>
          <w:u w:val="single"/>
        </w:rPr>
        <w:t xml:space="preserve">19.1 投标人上传电子投标文件的时间不得迟于招标公告中规定的投标截止时间。</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投标人应充分考虑到网络环境、网络带宽等风险因素，如因投标人自身原因造成的电子投标文件上传不成功的按照本招标文件第二章第27.1.2条规定做无效投标处理。</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19.2 代理机构可以按照规定，通过修改招标文件酌情延长投标截止日期，在此情况下，投标人的所有权利和义务以及投标人受制的截止日期均应以延长后新的截止日期为准。</w:t>
      </w:r>
      <w:r/>
    </w:p>
    <w:p>
      <w:pPr>
        <w:pStyle w:val="665"/>
        <w:ind w:firstLine="420"/>
        <w:jc w:val="both"/>
        <w:keepLines/>
        <w:keepNext/>
        <w:spacing w:beforeAutospacing="0" w:afterAutospacing="0" w:line="360" w:lineRule="auto"/>
        <w:rPr>
          <w:rFonts w:ascii="宋体" w:hAnsi="宋体" w:eastAsia="宋体" w:cs="宋体"/>
          <w:color w:val="auto"/>
        </w:rPr>
      </w:pPr>
      <w:r/>
      <w:bookmarkStart w:id="114" w:name="_Toc16938543"/>
      <w:r/>
      <w:bookmarkStart w:id="115" w:name="_Toc513029227"/>
      <w:r/>
      <w:bookmarkStart w:id="116" w:name="_Toc20823299"/>
      <w:r>
        <w:rPr>
          <w:rFonts w:hint="eastAsia" w:ascii="宋体" w:hAnsi="宋体" w:eastAsia="宋体" w:cs="宋体"/>
          <w:color w:val="auto"/>
        </w:rPr>
        <w:t xml:space="preserve">20、投标文件</w:t>
      </w:r>
      <w:bookmarkEnd w:id="114"/>
      <w:r/>
      <w:bookmarkEnd w:id="115"/>
      <w:r/>
      <w:bookmarkEnd w:id="116"/>
      <w:r>
        <w:rPr>
          <w:rFonts w:hint="eastAsia" w:ascii="宋体" w:hAnsi="宋体" w:eastAsia="宋体" w:cs="宋体"/>
          <w:color w:val="auto"/>
        </w:rPr>
        <w:t xml:space="preserve">的拒收</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20.1 代理机构拒绝接收在其规定的投标截止时间后上传的任何投标文件。</w:t>
      </w:r>
      <w:r/>
    </w:p>
    <w:p>
      <w:pPr>
        <w:pStyle w:val="665"/>
        <w:ind w:firstLine="420"/>
        <w:jc w:val="both"/>
        <w:keepLines/>
        <w:keepNext/>
        <w:spacing w:beforeAutospacing="0" w:afterAutospacing="0" w:line="360" w:lineRule="auto"/>
        <w:rPr>
          <w:rFonts w:ascii="宋体" w:hAnsi="宋体" w:eastAsia="宋体" w:cs="宋体"/>
          <w:color w:val="auto"/>
        </w:rPr>
      </w:pPr>
      <w:r/>
      <w:bookmarkStart w:id="117" w:name="_Toc16938544"/>
      <w:r/>
      <w:bookmarkStart w:id="118" w:name="_Toc513029228"/>
      <w:r/>
      <w:bookmarkStart w:id="119" w:name="_Toc20823300"/>
      <w:r>
        <w:rPr>
          <w:rFonts w:hint="eastAsia" w:ascii="宋体" w:hAnsi="宋体" w:eastAsia="宋体" w:cs="宋体"/>
          <w:color w:val="auto"/>
        </w:rPr>
        <w:t xml:space="preserve">21、投标文件的撤回和修改</w:t>
      </w:r>
      <w:bookmarkEnd w:id="117"/>
      <w:r/>
      <w:bookmarkEnd w:id="118"/>
      <w:r/>
      <w:bookmarkEnd w:id="119"/>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 投标文件的撤回</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21.1.1 电子投标文件的撤回</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投标人可在投标截止时间前，撤回其电子投标文件，具体操作方法见《操作手册》。</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21.1.2 投标人撤回电子投标文件，则认为其不再参与本项目投标活动。</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 投标文件的修改</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21.2.1投标人可在投标截止时间前，对其电子投标文件进行修改，具体操作方法见《操作手册》。</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21.2.2 在投标截止时间之后，投标人不得对其电子投标文件作任何修改。</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21.3 在投标截止时间至招标文件中规定的投标有效期满之间的这段时间内，投标人不得撤回其投标。</w:t>
      </w:r>
      <w:r/>
    </w:p>
    <w:p>
      <w:pPr>
        <w:pStyle w:val="665"/>
        <w:ind w:firstLine="482"/>
        <w:jc w:val="both"/>
        <w:keepLines/>
        <w:keepNext/>
        <w:spacing w:beforeAutospacing="0" w:afterAutospacing="0" w:line="360" w:lineRule="auto"/>
        <w:rPr>
          <w:rFonts w:ascii="宋体" w:hAnsi="宋体" w:eastAsia="宋体" w:cs="宋体"/>
          <w:color w:val="auto"/>
        </w:rPr>
      </w:pPr>
      <w:r/>
      <w:bookmarkStart w:id="120" w:name="_Toc20823301"/>
      <w:r/>
      <w:bookmarkStart w:id="121" w:name="_Toc513029229"/>
      <w:r/>
      <w:bookmarkStart w:id="122" w:name="_Toc120614218"/>
      <w:r/>
      <w:bookmarkStart w:id="123" w:name="_Toc16938545"/>
      <w:r>
        <w:rPr>
          <w:rFonts w:hint="eastAsia" w:ascii="宋体" w:hAnsi="宋体" w:eastAsia="宋体" w:cs="宋体"/>
          <w:b/>
          <w:color w:val="auto"/>
        </w:rPr>
        <w:t xml:space="preserve">五、开标与评标</w:t>
      </w:r>
      <w:bookmarkEnd w:id="120"/>
      <w:r/>
      <w:bookmarkEnd w:id="121"/>
      <w:r/>
      <w:bookmarkEnd w:id="122"/>
      <w:r/>
      <w:bookmarkEnd w:id="123"/>
      <w:r/>
      <w:r/>
    </w:p>
    <w:p>
      <w:pPr>
        <w:pStyle w:val="665"/>
        <w:ind w:firstLine="420"/>
        <w:jc w:val="both"/>
        <w:keepLines/>
        <w:keepNext/>
        <w:spacing w:beforeAutospacing="0" w:afterAutospacing="0" w:line="360" w:lineRule="auto"/>
        <w:rPr>
          <w:rFonts w:ascii="宋体" w:hAnsi="宋体" w:eastAsia="宋体" w:cs="宋体"/>
          <w:color w:val="auto"/>
        </w:rPr>
      </w:pPr>
      <w:r/>
      <w:bookmarkStart w:id="124" w:name="_Toc20823302"/>
      <w:r/>
      <w:bookmarkStart w:id="125" w:name="_Toc513029230"/>
      <w:r/>
      <w:bookmarkStart w:id="126" w:name="_Toc16938546"/>
      <w:r>
        <w:rPr>
          <w:rFonts w:hint="eastAsia" w:ascii="宋体" w:hAnsi="宋体" w:eastAsia="宋体" w:cs="宋体"/>
          <w:color w:val="auto"/>
        </w:rPr>
        <w:t xml:space="preserve">22、开标</w:t>
      </w:r>
      <w:bookmarkEnd w:id="124"/>
      <w:r/>
      <w:bookmarkEnd w:id="125"/>
      <w:r/>
      <w:bookmarkEnd w:id="126"/>
      <w:r/>
      <w:r/>
    </w:p>
    <w:p>
      <w:pPr>
        <w:pStyle w:val="665"/>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22.1 代理机构将在招标公告中规定的时间和地点组织公开开标。投标人应当按照《操作手册》规定，参加开标活动和在苏采云系统规定的时间内对投标文件进行解密。</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22.2开标仪式由代理机构组织。苏采云系统将自动对项目进行开标，并宣布各投标人名称和投标价格。</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22.3投标人在开标过程中涉及到的投标文件解密、开标结果确认等工作，应按照《操作手册》规定执行。</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22.4投标人如果对开标过程和开标记录有疑义，应当根据《操作手册》规定提出，如 苏采云系统中《开标记录表》宣布后5分钟内未提出的，视同认可开标结果。</w:t>
      </w:r>
      <w:r/>
    </w:p>
    <w:p>
      <w:pPr>
        <w:pStyle w:val="665"/>
        <w:ind w:firstLine="420"/>
        <w:jc w:val="both"/>
        <w:keepLines/>
        <w:keepNext/>
        <w:spacing w:beforeAutospacing="0" w:afterAutospacing="0" w:line="360" w:lineRule="auto"/>
        <w:rPr>
          <w:rFonts w:ascii="宋体" w:hAnsi="宋体" w:eastAsia="宋体" w:cs="宋体"/>
          <w:color w:val="auto"/>
        </w:rPr>
      </w:pPr>
      <w:r/>
      <w:bookmarkStart w:id="127" w:name="_Toc513029231"/>
      <w:r/>
      <w:bookmarkStart w:id="128" w:name="_Toc20823303"/>
      <w:r/>
      <w:bookmarkStart w:id="129" w:name="_Toc16938547"/>
      <w:r>
        <w:rPr>
          <w:rFonts w:hint="eastAsia" w:ascii="宋体" w:hAnsi="宋体" w:eastAsia="宋体" w:cs="宋体"/>
          <w:color w:val="auto"/>
        </w:rPr>
        <w:t xml:space="preserve">23、评标委员会</w:t>
      </w:r>
      <w:bookmarkEnd w:id="127"/>
      <w:r/>
      <w:bookmarkEnd w:id="128"/>
      <w:r/>
      <w:bookmarkEnd w:id="129"/>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23.1</w:t>
      </w:r>
      <w:r>
        <w:rPr>
          <w:rFonts w:hint="eastAsia" w:ascii="宋体" w:hAnsi="宋体" w:eastAsia="宋体" w:cs="宋体"/>
          <w:b/>
          <w:color w:val="auto"/>
        </w:rPr>
        <w:t xml:space="preserve"> </w:t>
      </w:r>
      <w:r>
        <w:rPr>
          <w:rFonts w:hint="eastAsia" w:ascii="宋体" w:hAnsi="宋体" w:eastAsia="宋体" w:cs="宋体"/>
          <w:color w:val="auto"/>
        </w:rPr>
        <w:t xml:space="preserve">开标后，代理机构将立即组织评标委员会（以下简称评委会）进行评标。</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23.2 评委会由采购人代表和有关技术、经济等方面的专家组成，且人员构成符合政府采购有关规定。</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23.3评委会独立工作，负责评审所有投标文件并确定中标候选人。</w:t>
      </w:r>
      <w:r/>
    </w:p>
    <w:p>
      <w:pPr>
        <w:pStyle w:val="665"/>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24．评标过程的保密与公正</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24.1凡是与审查、澄清、评价和比较投标的有关资料以及授标建议等，采购人、评委、代理机构均不得向投标人或与评标无关的其他人员透露。</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24.2在评标过程中，投标人不得以任何行为影响评标过程，否则其投标文件将被作为无效投标文件。</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24.3 代理机构和评标委员会不向未中标的投标人解释未中标原因，也不公布评标过程中的相关细节。</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665"/>
        <w:ind w:firstLine="420"/>
        <w:jc w:val="both"/>
        <w:keepLines/>
        <w:keepNext/>
        <w:spacing w:beforeAutospacing="0" w:afterAutospacing="0" w:line="360" w:lineRule="auto"/>
        <w:rPr>
          <w:rFonts w:ascii="宋体" w:hAnsi="宋体" w:eastAsia="宋体" w:cs="宋体"/>
          <w:color w:val="auto"/>
        </w:rPr>
      </w:pPr>
      <w:r/>
      <w:bookmarkStart w:id="130" w:name="_Toc513029232"/>
      <w:r/>
      <w:bookmarkStart w:id="131" w:name="_Toc20823304"/>
      <w:r/>
      <w:bookmarkStart w:id="132" w:name="_Toc16938548"/>
      <w:r>
        <w:rPr>
          <w:rFonts w:hint="eastAsia" w:ascii="宋体" w:hAnsi="宋体" w:eastAsia="宋体" w:cs="宋体"/>
          <w:color w:val="auto"/>
        </w:rPr>
        <w:t xml:space="preserve">25．投标文件的澄清</w:t>
      </w:r>
      <w:bookmarkEnd w:id="130"/>
      <w:r/>
      <w:bookmarkEnd w:id="131"/>
      <w:r/>
      <w:bookmarkEnd w:id="132"/>
      <w:r/>
      <w:r/>
    </w:p>
    <w:p>
      <w:pPr>
        <w:pStyle w:val="665"/>
        <w:ind w:firstLine="480"/>
        <w:jc w:val="both"/>
        <w:spacing w:beforeAutospacing="0" w:afterAutospacing="0" w:line="360" w:lineRule="auto"/>
        <w:rPr>
          <w:rFonts w:ascii="宋体" w:hAnsi="宋体" w:eastAsia="宋体" w:cs="宋体"/>
          <w:color w:val="auto"/>
        </w:rPr>
      </w:pPr>
      <w:r/>
      <w:bookmarkStart w:id="133" w:name="_Toc513029233"/>
      <w:r/>
      <w:bookmarkStart w:id="134" w:name="_Toc20823305"/>
      <w:r/>
      <w:bookmarkStart w:id="135" w:name="_Toc16938549"/>
      <w:r>
        <w:rPr>
          <w:rFonts w:hint="eastAsia" w:ascii="宋体" w:hAnsi="宋体" w:eastAsia="宋体" w:cs="宋体"/>
          <w:color w:val="auto"/>
        </w:rPr>
        <w:t xml:space="preserve">25.1评标期间，评委会对投标文件中含义不明确、同类问题表述不一致或者有明显文字和计算错误的内容 ，有权要求投标人作出必要的澄清、说明或者补正。</w:t>
      </w:r>
      <w:bookmarkEnd w:id="133"/>
      <w:r/>
      <w:bookmarkEnd w:id="134"/>
      <w:r/>
      <w:bookmarkEnd w:id="135"/>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评标委员会并非对每个投标人都做澄清要求。</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25.3 接到评委会澄清、说明和补正要求的投标人如未按规定作出澄清、说明和补正，其风险由投标人自行承担。</w:t>
      </w:r>
      <w:r/>
    </w:p>
    <w:p>
      <w:pPr>
        <w:pStyle w:val="665"/>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26、对投标文件的初审</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26.1投标文件初审分为资格审查和符合性审查。</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26.1.1 资格审查：依据法律法规和招标文件的规定，由采购人对投标文件中的资格证明文件进行审查。资格审查的结论，采购人以书面形式向评委会进行反馈。</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采购人在进行资格性审查的同时，将在“信用中国”网站（www.creditchina.gov.cn）查询投标人的信用记录，以确定投标人是否具备投标资格,查询结果留存并归档。</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26.1.2 符合性审查：依据招标文件的规定，由评委会从投标文件的有效性、完整性和对招标文件的响应程度进行审查，以确定是否对招标文件的实质性要求作出响应。</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26.3如果投标文件实质上没有响应招标文件的要求，评委会将予以拒绝，投标人不得通过修改或撤销不符合要求的偏离或保留而使其投标成为实质性响应的投标。</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26.4评委会将对确定为实质性响应的投标进行进一步审核，看其是否有计算上或累加上的算术错误，修正错误的原则如下：</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65"/>
        <w:ind w:firstLine="480"/>
        <w:jc w:val="both"/>
        <w:spacing w:beforeAutospacing="0" w:afterAutospacing="0" w:line="360" w:lineRule="auto"/>
        <w:rPr>
          <w:rFonts w:ascii="宋体" w:hAnsi="宋体" w:eastAsia="宋体" w:cs="宋体"/>
          <w:color w:val="auto"/>
        </w:rPr>
      </w:pPr>
      <w:r/>
      <w:bookmarkStart w:id="136" w:name="_Toc16938550"/>
      <w:r/>
      <w:bookmarkStart w:id="137" w:name="_Toc513029234"/>
      <w:r/>
      <w:bookmarkStart w:id="138" w:name="_Toc20823306"/>
      <w:r>
        <w:rPr>
          <w:rFonts w:hint="eastAsia" w:ascii="宋体" w:hAnsi="宋体" w:eastAsia="宋体" w:cs="宋体"/>
          <w:color w:va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6"/>
      <w:r/>
      <w:bookmarkEnd w:id="137"/>
      <w:r/>
      <w:bookmarkEnd w:id="138"/>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65"/>
        <w:ind w:firstLine="4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非单一产品采购项目，招标文件中将载明其中的核心产品。多家投标人提供的核心产品品牌相同的，按前两款规定处理。</w:t>
      </w:r>
      <w:r/>
    </w:p>
    <w:p>
      <w:pPr>
        <w:pStyle w:val="665"/>
        <w:ind w:firstLine="42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26.7投标人在开、评标全过程中应保持通信畅通，及时登录苏采云系统查阅、答复相关信息，并安排专人与代理机构及评标委员会联系。</w:t>
      </w:r>
      <w:r/>
    </w:p>
    <w:p>
      <w:pPr>
        <w:pStyle w:val="665"/>
        <w:ind w:firstLine="42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27、无效投标条款和废标条款</w:t>
      </w:r>
      <w:r/>
    </w:p>
    <w:p>
      <w:pPr>
        <w:pStyle w:val="665"/>
        <w:jc w:val="both"/>
        <w:spacing w:beforeAutospacing="0" w:afterAutospacing="0" w:line="360" w:lineRule="auto"/>
        <w:rPr>
          <w:rFonts w:ascii="宋体" w:hAnsi="宋体" w:eastAsia="宋体" w:cs="宋体"/>
          <w:color w:val="auto"/>
        </w:rPr>
      </w:pPr>
      <w:r/>
      <w:bookmarkStart w:id="139" w:name="_Toc20823307"/>
      <w:r/>
      <w:bookmarkStart w:id="140" w:name="_Toc16938551"/>
      <w:r/>
      <w:bookmarkStart w:id="141" w:name="_Toc513029235"/>
      <w:r>
        <w:rPr>
          <w:rFonts w:hint="eastAsia" w:ascii="宋体" w:hAnsi="宋体" w:eastAsia="宋体" w:cs="宋体"/>
          <w:color w:val="auto"/>
        </w:rPr>
        <w:t xml:space="preserve">27.1无效投标条款</w:t>
      </w:r>
      <w:bookmarkEnd w:id="139"/>
      <w:r/>
      <w:bookmarkEnd w:id="140"/>
      <w:r/>
      <w:bookmarkEnd w:id="141"/>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 投标人在苏采云系统规定的时间内未成功解密电子投标文件的。</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27.1.2 投标人未按照招标文件要求上传电子投标文件的。</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27.1.3同一投标人提交两个（含两个）以上不同的投标报价的。</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27.1.4投标人不具备招标文件中规定资格要求的。</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27.1.5投标人的报价超过了采购预算或最高限价的。</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27.1.6未通过符合性审查的。</w:t>
      </w:r>
      <w:r/>
    </w:p>
    <w:p>
      <w:pPr>
        <w:pStyle w:val="665"/>
        <w:ind w:firstLine="36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27.1.7不符合招标文件中规定的实质性要求和条件的（</w:t>
      </w:r>
      <w:r>
        <w:rPr>
          <w:rFonts w:hint="eastAsia" w:ascii="宋体" w:hAnsi="宋体" w:eastAsia="宋体" w:cs="宋体"/>
          <w:i/>
          <w:color w:val="auto"/>
          <w:u w:val="single"/>
        </w:rPr>
        <w:t xml:space="preserve">本招标文件中斜体且有下划线部分为实质性要求和条件）。</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27.1.9投标文件含有采购人不能接受的附加条件的。</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27.1.10投标人不能证明其报价合理性的，评标委员会应当将其作为无效投标处理。</w:t>
      </w:r>
      <w:r/>
    </w:p>
    <w:p>
      <w:pPr>
        <w:pStyle w:val="665"/>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（一）评审过程中出现下列情形之一的，评标委员会应当启动异常低价投标审查程序：</w:t>
      </w:r>
      <w:r/>
    </w:p>
    <w:p>
      <w:pPr>
        <w:pStyle w:val="665"/>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1.投标（响应）报价低于全部通过符合性审查供应商投标（响应）报价平均值50%的，即投标（响应）报价&lt;全部通过符合性审查供应商投标（响应）报价平均值×50%；</w:t>
      </w:r>
      <w:r/>
    </w:p>
    <w:p>
      <w:pPr>
        <w:pStyle w:val="665"/>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2.投标（响应）报价低于通过符合性审查的次低报价供应商投标（响应）报价50%的，即投标（响应）报价&lt;通过符合性审查的次低报价供应商投标（响应）报价×50%；</w:t>
      </w:r>
      <w:r/>
    </w:p>
    <w:p>
      <w:pPr>
        <w:pStyle w:val="665"/>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3.投标（响应）报价低于采购项目最高限价45%的，即投标（响应）报价&lt;采购项目最高限价×45%；</w:t>
      </w:r>
      <w:r/>
    </w:p>
    <w:p>
      <w:pPr>
        <w:pStyle w:val="665"/>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4.评审委员会基于专业判断，认为供应商报价过低，有可能影响产品质量或者不能诚信履约的其他情形。</w:t>
      </w:r>
      <w:r/>
    </w:p>
    <w:p>
      <w:pPr>
        <w:pStyle w:val="665"/>
        <w:ind w:firstLine="480"/>
        <w:jc w:val="both"/>
        <w:spacing w:beforeAutospacing="0" w:afterAutospacing="0" w:line="360" w:lineRule="auto"/>
        <w:rPr>
          <w:rFonts w:ascii="宋体" w:hAnsi="宋体" w:eastAsia="宋体" w:cs="宋体"/>
          <w:b/>
          <w:bCs/>
          <w:color w:val="auto"/>
          <w:u w:val="single"/>
        </w:rPr>
      </w:pPr>
      <w:r>
        <w:rPr>
          <w:rFonts w:hint="eastAsia" w:ascii="宋体" w:hAnsi="宋体" w:eastAsia="宋体" w:cs="宋体"/>
          <w:b/>
          <w:bCs/>
          <w:color w:val="auto"/>
          <w:u w:val="single"/>
        </w:rPr>
        <w:t xml:space="preserve">提醒：采购人可以结合具体项目实际情况，提高上述第1项至第3项中启动异常低价投标（响应）审查的数值标准，但是最高不得超过65%。</w:t>
      </w:r>
      <w:r/>
    </w:p>
    <w:p>
      <w:pPr>
        <w:pStyle w:val="665"/>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相关法律法规对供应商报价有规定的，从其规定。</w:t>
      </w:r>
      <w:r/>
    </w:p>
    <w:p>
      <w:pPr>
        <w:pStyle w:val="665"/>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65"/>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65"/>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65"/>
        <w:ind w:firstLine="480"/>
        <w:jc w:val="both"/>
        <w:spacing w:beforeAutospacing="0" w:afterAutospacing="0" w:line="360" w:lineRule="auto"/>
        <w:rPr>
          <w:rFonts w:ascii="宋体" w:hAnsi="宋体" w:eastAsia="宋体" w:cs="宋体"/>
          <w:b/>
          <w:bCs/>
          <w:color w:val="auto"/>
        </w:rPr>
      </w:pPr>
      <w:r>
        <w:rPr>
          <w:rFonts w:hint="eastAsia" w:ascii="宋体" w:hAnsi="宋体" w:eastAsia="宋体" w:cs="宋体"/>
          <w:b/>
          <w:bCs/>
          <w:color w:va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27.1.12 投标文件未按照招标文件要求加盖CA电子公章的。</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27.1.13其他法律、法规及本招标文件规定的属无效投标的情形。</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27.2废标条款</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27.2.1符合专业条件的供应商或者对招标文件作实质响应的供应商不足三家的。27.2.2出现影响采购公正的违法、违规行为的。</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27.2.3因重大变故，采购任务取消的。</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27.2.4评标委员会认定招标文件存在歧义、重大缺陷导致评审工作无法进行。</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27.2.5 因苏采云系统故障原因造成开标不成功的。</w:t>
      </w:r>
      <w:r/>
    </w:p>
    <w:p>
      <w:pPr>
        <w:pStyle w:val="665"/>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27.3 投标截止时间结束后参加投标的供应商不足三家的处理：</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27.3.1如出现投标截止时间结束后参加投标的供应商或者在评标期间对招标文件做出实质响应的供应商不足三家情况，按政府采购相关规定执行。</w:t>
      </w:r>
      <w:r/>
    </w:p>
    <w:p>
      <w:pPr>
        <w:pStyle w:val="665"/>
        <w:ind w:firstLine="482"/>
        <w:jc w:val="both"/>
        <w:keepLines/>
        <w:keepNext/>
        <w:spacing w:beforeAutospacing="0" w:afterAutospacing="0" w:line="360" w:lineRule="auto"/>
        <w:rPr>
          <w:rFonts w:ascii="宋体" w:hAnsi="宋体" w:eastAsia="宋体" w:cs="宋体"/>
          <w:color w:val="auto"/>
        </w:rPr>
      </w:pPr>
      <w:r/>
      <w:bookmarkStart w:id="142" w:name="_Toc120614219"/>
      <w:r>
        <w:rPr>
          <w:rFonts w:hint="eastAsia" w:ascii="宋体" w:hAnsi="宋体" w:eastAsia="宋体" w:cs="宋体"/>
          <w:b/>
          <w:color w:val="auto"/>
        </w:rPr>
        <w:t xml:space="preserve">六、定标</w:t>
      </w:r>
      <w:bookmarkEnd w:id="142"/>
      <w:r/>
      <w:r/>
    </w:p>
    <w:p>
      <w:pPr>
        <w:pStyle w:val="665"/>
        <w:ind w:firstLine="600"/>
        <w:jc w:val="both"/>
        <w:keepLines/>
        <w:keepNext/>
        <w:spacing w:beforeAutospacing="0" w:afterAutospacing="0" w:line="360" w:lineRule="auto"/>
        <w:rPr>
          <w:rFonts w:ascii="宋体" w:hAnsi="宋体" w:eastAsia="宋体" w:cs="宋体"/>
          <w:color w:val="auto"/>
        </w:rPr>
      </w:pPr>
      <w:r/>
      <w:bookmarkStart w:id="143" w:name="_Toc20823310"/>
      <w:r/>
      <w:bookmarkStart w:id="144" w:name="_Toc16938554"/>
      <w:r/>
      <w:bookmarkStart w:id="145" w:name="_Toc513029238"/>
      <w:r>
        <w:rPr>
          <w:rFonts w:hint="eastAsia" w:ascii="宋体" w:hAnsi="宋体" w:eastAsia="宋体" w:cs="宋体"/>
          <w:color w:val="auto"/>
        </w:rPr>
        <w:t xml:space="preserve">28、</w:t>
      </w:r>
      <w:bookmarkEnd w:id="143"/>
      <w:r>
        <w:rPr>
          <w:rFonts w:hint="eastAsia" w:ascii="宋体" w:hAnsi="宋体" w:eastAsia="宋体" w:cs="宋体"/>
          <w:color w:val="auto"/>
        </w:rPr>
        <w:t xml:space="preserve">确定</w:t>
      </w:r>
      <w:bookmarkEnd w:id="144"/>
      <w:r/>
      <w:bookmarkEnd w:id="145"/>
      <w:r>
        <w:rPr>
          <w:rFonts w:hint="eastAsia" w:ascii="宋体" w:hAnsi="宋体" w:eastAsia="宋体" w:cs="宋体"/>
          <w:color w:val="auto"/>
        </w:rPr>
        <w:t xml:space="preserve">中标单位</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28.1中标候选人的选取原则和数量见招标文件第五章规定。 </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28.2 采购人应根据评委会推荐的中标候选人确定中标人。</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28.3 代理机构将在中国政府采购网”“江苏政府采购网”“盐城市政府采购网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发布中标公告，公告期限为1个工作日。</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  若有充分证据证明，中标人出现下列情况之一的，一经查实，将被取消中标资格：</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28.4.1提供虚假材料谋取中标的。</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28.4.2向采购人、代理机构行贿或者提供其他不正当利益的。</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28.4.3属于本文件规定的无效条件，但在评标过程中又未被评委会发现的。</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28.4.4与采购人或者其他供应商恶意串通的。</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28.4.5采取不正当手段诋毁、排挤其他供应商的。</w:t>
      </w:r>
      <w:r/>
    </w:p>
    <w:p>
      <w:pPr>
        <w:pStyle w:val="665"/>
        <w:ind w:firstLine="480"/>
        <w:jc w:val="both"/>
        <w:spacing w:beforeAutospacing="0" w:afterAutospacing="0" w:line="360" w:lineRule="auto"/>
        <w:rPr>
          <w:rFonts w:ascii="宋体" w:hAnsi="宋体" w:eastAsia="宋体" w:cs="宋体"/>
          <w:color w:val="auto"/>
        </w:rPr>
      </w:pPr>
      <w:r/>
      <w:bookmarkStart w:id="146" w:name="_Toc200451960"/>
      <w:r>
        <w:rPr>
          <w:rFonts w:hint="eastAsia" w:ascii="宋体" w:hAnsi="宋体" w:eastAsia="宋体" w:cs="宋体"/>
          <w:color w:val="auto"/>
        </w:rPr>
        <w:t xml:space="preserve">28.5. 有下列情形之一的，视为投标人串通投标，投标无效：</w:t>
      </w:r>
      <w:bookmarkEnd w:id="146"/>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28.5.1不同投标人的投标文件由同一单位或者个人编制；</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28.5.2不同投标人委托同一单位或者个人办理投标事宜；</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28.5.3 不同投标人的投标文件载明的项目管理成员或者联系人员为同一人；</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28.5.4不同投标人的投标文件异常一致或者投标报价呈规律性差异；</w:t>
      </w:r>
      <w:r/>
    </w:p>
    <w:p>
      <w:pPr>
        <w:pStyle w:val="665"/>
        <w:ind w:firstLine="60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29、质疑处理</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29.1 提出质疑的供应商应当是参与所质疑项目采购活动的供应商。潜在供应商依法获取其可质疑的采购文件的，可以对采购文件提出质疑。</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29.2.1对可以质疑的采购文件提出质疑的，为收到采购文件之日或者采购文件公告期限届满之日；</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29.2.2对采购过程提出质疑的，为各采购程序环节结束之日；</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29.2.3对中标或者成交结果提出质疑的，为中标或者成交结果公告期限届满之日。</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采购人及采购代理机构只接收以纸质原件形式送达的质疑,采购人和采购代理机构不接受未填写快递运单的快件。质疑接收部门联系地址:详见采购公告，联系电话: 详见采购公告。</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 以下情形的质疑不予受理</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29.5.1 内容不符合《政府采购质疑和投诉办法》第十二条规定的质疑。</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29.5.2 超出政府采购法定期限的质疑。</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29.5.3 以传真、电子邮件等方式递交的非原件形式的质疑。</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29.5.4 未参加投标活动的供应商或在投标活动中自身权益未受到损害的供应商所提出的质疑。</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29.5.5供应商组成联合体参加投标，联合体中任何一方或多方未按要求签字、盖章、加盖公章的质疑。</w:t>
      </w:r>
      <w:r/>
    </w:p>
    <w:p>
      <w:pPr>
        <w:pStyle w:val="665"/>
        <w:ind w:firstLine="468"/>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665"/>
        <w:ind w:firstLine="60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30、中标通知书</w:t>
      </w:r>
      <w:r/>
    </w:p>
    <w:p>
      <w:pPr>
        <w:pStyle w:val="665"/>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30.l</w:t>
      </w:r>
      <w:r>
        <w:rPr>
          <w:rFonts w:hint="eastAsia" w:ascii="宋体" w:hAnsi="宋体" w:eastAsia="宋体" w:cs="宋体"/>
          <w:b/>
          <w:color w:val="auto"/>
        </w:rPr>
        <w:t xml:space="preserve"> </w:t>
      </w:r>
      <w:r>
        <w:rPr>
          <w:rFonts w:hint="eastAsia" w:ascii="宋体" w:hAnsi="宋体" w:eastAsia="宋体" w:cs="宋体"/>
          <w:color w:val="auto"/>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5"/>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65"/>
        <w:jc w:val="both"/>
        <w:keepLines/>
        <w:keepNext/>
        <w:spacing w:beforeAutospacing="0" w:afterAutospacing="0" w:line="360" w:lineRule="auto"/>
        <w:rPr>
          <w:rFonts w:ascii="宋体" w:hAnsi="宋体" w:eastAsia="宋体" w:cs="宋体"/>
          <w:color w:val="auto"/>
        </w:rPr>
      </w:pPr>
      <w:r/>
      <w:bookmarkStart w:id="147" w:name="_Toc16938552"/>
      <w:r/>
      <w:bookmarkStart w:id="148" w:name="_Toc513029236"/>
      <w:r/>
      <w:bookmarkStart w:id="149" w:name="_Toc120614220"/>
      <w:r/>
      <w:bookmarkStart w:id="150" w:name="_Toc20823308"/>
      <w:r>
        <w:rPr>
          <w:rFonts w:hint="eastAsia" w:ascii="宋体" w:hAnsi="宋体" w:eastAsia="宋体" w:cs="宋体"/>
          <w:b/>
          <w:color w:val="auto"/>
        </w:rPr>
        <w:t xml:space="preserve">七、授予合同</w:t>
      </w:r>
      <w:bookmarkEnd w:id="147"/>
      <w:r/>
      <w:bookmarkEnd w:id="148"/>
      <w:r/>
      <w:bookmarkEnd w:id="149"/>
      <w:r/>
      <w:bookmarkEnd w:id="150"/>
      <w:r/>
      <w:r/>
    </w:p>
    <w:p>
      <w:pPr>
        <w:pStyle w:val="665"/>
        <w:ind w:firstLine="600"/>
        <w:jc w:val="both"/>
        <w:keepLines/>
        <w:keepNext/>
        <w:spacing w:beforeAutospacing="0" w:afterAutospacing="0" w:line="360" w:lineRule="auto"/>
        <w:rPr>
          <w:rFonts w:ascii="宋体" w:hAnsi="宋体" w:eastAsia="宋体" w:cs="宋体"/>
          <w:color w:val="auto"/>
        </w:rPr>
      </w:pPr>
      <w:r/>
      <w:bookmarkStart w:id="151" w:name="_Toc20823309"/>
      <w:r/>
      <w:bookmarkStart w:id="152" w:name="_Toc16938553"/>
      <w:r/>
      <w:bookmarkStart w:id="153" w:name="_Toc513029237"/>
      <w:r>
        <w:rPr>
          <w:rFonts w:hint="eastAsia" w:ascii="宋体" w:hAnsi="宋体" w:eastAsia="宋体" w:cs="宋体"/>
          <w:color w:val="auto"/>
        </w:rPr>
        <w:t xml:space="preserve">31. 签订合同</w:t>
      </w:r>
      <w:bookmarkEnd w:id="151"/>
      <w:r/>
      <w:bookmarkEnd w:id="152"/>
      <w:r/>
      <w:bookmarkEnd w:id="153"/>
      <w:r/>
      <w:r/>
    </w:p>
    <w:p>
      <w:pPr>
        <w:pStyle w:val="665"/>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31.l中标人应当在中标通知书发出之日起三十日内，按照招标文件确定的事项与采购人签订政府采购合同。</w:t>
      </w:r>
      <w:r/>
    </w:p>
    <w:p>
      <w:pPr>
        <w:pStyle w:val="665"/>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31.2招标文件、中标人的投标文件及招标过程中有关澄清、承诺文件均应作为合同附件。</w:t>
      </w:r>
      <w:r/>
    </w:p>
    <w:p>
      <w:pPr>
        <w:pStyle w:val="665"/>
        <w:ind w:firstLine="60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31.3 签订合同后，</w:t>
      </w:r>
      <w:r>
        <w:rPr>
          <w:rFonts w:hint="eastAsia" w:ascii="宋体" w:hAnsi="宋体" w:eastAsia="宋体" w:cs="宋体"/>
          <w:i/>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665"/>
        <w:ind w:firstLine="60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32、货物（包含与货物相关的服务）的追加</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33.政府采购政策功能落实</w:t>
      </w:r>
      <w:r/>
    </w:p>
    <w:p>
      <w:pPr>
        <w:pStyle w:val="665"/>
        <w:ind w:firstLine="480"/>
        <w:jc w:val="both"/>
        <w:keepLines/>
        <w:keepNext/>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33.1政府采购线上合同信用融资政策</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33.2进口产品</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33.3中小企业、监狱企业及残疾人福利性单位</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33.3.1中小企业定义：</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中小企业</w:t>
      </w:r>
      <w:r>
        <w:rPr>
          <w:rFonts w:hint="eastAsia" w:ascii="宋体" w:hAnsi="宋体" w:eastAsia="宋体" w:cs="宋体"/>
          <w:color w:val="auto"/>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33.3.2供应商提供的货物、工程或者服务符合下列情形的，享受中小企业扶持政策：</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33.3.2.1在货物采购项目中，货物由中小企业制造，即货物由中小企业生产且使用该中小企业商号或者注册商标；</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33.3.2.2在工程采购项目中，工程由中小企业承建，即工程施工单位为中小企业；</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33.3.2.3在服务采购项目中，服务由中小企业承接，即提供服务的人员为中小企业依照《中华人民共和国劳动合同法》订立劳动合同的从业人员。</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33.3.3在货物采购项目中，供应商提供的货物既有中小企业制造货物，也有大型企业制造货物的，不享受中小企业扶持政策。</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33.3.4以联合体形式参加政府采购活动，联合体各方均为中小企业的，联合体视同中小企业。其中，联合体各方均为小微企业的，联合体视同小微企业。</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33.3.6残疾人福利单位定义：享受政府采购支持政策的残疾人福利性单位应当同时满足以下条件：</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33.3.6.1安置的残疾人占本单位在职职工人数的比例不低于25%（含25%），并且安置的残疾人人数不少于10 人（含10 人）；</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33.3.6.2依法与安置的每位残疾人签订了一年以上（含一年）的劳动合同或服务协议；</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33.3.6.3为安置的每位残疾人按月足额缴纳了基本养老保险、基本医疗保险、失业保险、工伤保险和生育保险等社会保险费；</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33.3.6.4通过银行等金融机构向安置的每位残疾人，按月支付了不低于单位所在区县适用的经省级人民政府批准的月最低工资标准的工资；</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33.3.6.5提供本单位制造的货物、承担的工程或者服务（以下简称产品），或者提供其他残疾人福利性单位制造的货物（不包括使用非残疾人福利性单位注册商标的货物）；</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33.3.7本项目是否专门面向中小企业预留采购份额见第一章《招标公告》。</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33.3.8采购标的对应的中小企业划分标准所属行业见第四章《采购需求》。</w:t>
      </w:r>
      <w:r/>
    </w:p>
    <w:p>
      <w:pPr>
        <w:pStyle w:val="665"/>
        <w:ind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33.4政府采购节能产品、环境标志产品</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rPr>
        <w:t xml:space="preserve">如属政府强制采购产品未提供认证证书的或认证证书提供不全的将视为未实质性响应采购要求</w:t>
      </w:r>
      <w:r>
        <w:rPr>
          <w:rFonts w:hint="eastAsia" w:ascii="宋体" w:hAnsi="宋体" w:eastAsia="宋体" w:cs="宋体"/>
          <w:i/>
          <w:color w:val="auto"/>
          <w:sz w:val="24"/>
        </w:rPr>
        <w:t xml:space="preserve">。</w:t>
      </w:r>
      <w:r>
        <w:rPr>
          <w:rFonts w:hint="eastAsia" w:ascii="宋体" w:hAnsi="宋体" w:eastAsia="宋体" w:cs="宋体"/>
          <w:color w:val="auto"/>
          <w:sz w:val="24"/>
        </w:rPr>
        <w:t xml:space="preserve">其他条件相同情况下，应当优先采购节能产品、环境标志产品。</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33.5绿色包装</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33.6政府采购创新产品</w:t>
      </w:r>
      <w:r/>
    </w:p>
    <w:p>
      <w:pPr>
        <w:ind w:firstLine="478"/>
        <w:spacing w:line="360" w:lineRule="auto"/>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33.7绿色数据中心政策 </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33.8实施本国产品标准及相关政策</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33.9履约保证金政策</w:t>
      </w:r>
      <w:r/>
    </w:p>
    <w:p>
      <w:pPr>
        <w:pStyle w:val="829"/>
        <w:ind w:left="0" w:firstLine="560"/>
        <w:spacing w:after="0" w:line="360" w:lineRule="auto"/>
        <w:rPr>
          <w:rFonts w:ascii="宋体" w:hAnsi="宋体" w:eastAsia="宋体" w:cs="宋体"/>
          <w:color w:val="auto"/>
          <w:sz w:val="24"/>
        </w:rPr>
      </w:pPr>
      <w:r>
        <w:rPr>
          <w:rFonts w:hint="eastAsia" w:ascii="宋体" w:hAnsi="宋体" w:eastAsia="宋体" w:cs="宋体"/>
          <w:color w:val="auto"/>
          <w:sz w:val="24"/>
        </w:rPr>
        <w:t xml:space="preserve">确需收取履约保证金的，履约保证金的缴纳形式：</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cs="宋体"/>
          <w:b/>
          <w:bCs/>
          <w:color w:val="auto"/>
          <w:sz w:val="24"/>
        </w:rPr>
        <w:t xml:space="preserve">降低履约保证金缴纳比例为</w:t>
      </w:r>
      <w:r>
        <w:rPr>
          <w:rFonts w:hint="eastAsia" w:ascii="宋体" w:hAnsi="宋体" w:cs="宋体"/>
          <w:b/>
          <w:bCs/>
          <w:color w:val="auto"/>
          <w:sz w:val="24"/>
          <w:u w:val="single"/>
        </w:rPr>
        <w:t xml:space="preserve">5%</w:t>
      </w:r>
      <w:r>
        <w:rPr>
          <w:rFonts w:hint="eastAsia" w:ascii="宋体" w:hAnsi="宋体" w:eastAsia="宋体" w:cs="宋体"/>
          <w:color w:val="auto"/>
          <w:sz w:val="24"/>
        </w:rPr>
        <w:t xml:space="preserve">。</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34. 预付款制度</w:t>
      </w:r>
      <w:r/>
    </w:p>
    <w:p>
      <w:pPr>
        <w:ind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本项目落实预付款制度，预付款比例为_</w:t>
      </w:r>
      <w:r>
        <w:rPr>
          <w:rFonts w:ascii="宋体" w:hAnsi="宋体" w:eastAsia="宋体" w:cs="宋体"/>
          <w:color w:val="auto"/>
          <w:sz w:val="24"/>
          <w:u w:val="single"/>
        </w:rPr>
        <w:t xml:space="preserve">30</w:t>
      </w:r>
      <w:r>
        <w:rPr>
          <w:rFonts w:hint="eastAsia" w:ascii="宋体" w:hAnsi="宋体" w:eastAsia="宋体" w:cs="宋体"/>
          <w:color w:val="auto"/>
          <w:sz w:val="24"/>
        </w:rPr>
        <w:t xml:space="preserve">_%（原则上不低于合同金额的30%）。在签订合同时，中标、成交供应商明确书面表示无需预付款或者主动要求降低预付款比例的，采购人可就预付款比例作相应调整。</w:t>
      </w:r>
      <w:r/>
    </w:p>
    <w:p>
      <w:pPr>
        <w:pStyle w:val="829"/>
        <w:ind w:left="0" w:firstLine="560"/>
        <w:spacing w:after="0" w:line="520" w:lineRule="exact"/>
        <w:rPr>
          <w:rFonts w:ascii="宋体" w:hAnsi="宋体" w:eastAsia="宋体" w:cs="宋体"/>
          <w:color w:val="auto"/>
          <w:sz w:val="24"/>
        </w:rPr>
      </w:pPr>
      <w:r>
        <w:rPr>
          <w:rFonts w:ascii="宋体" w:hAnsi="宋体" w:eastAsia="宋体" w:cs="宋体"/>
          <w:color w:val="auto"/>
          <w:sz w:val="24"/>
        </w:rPr>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line="0" w:lineRule="atLeast"/>
        <w:rPr>
          <w:color w:val="auto"/>
        </w:rPr>
      </w:pPr>
      <w:r>
        <w:rPr>
          <w:color w:val="auto"/>
        </w:rPr>
        <w:t xml:space="preserve"> </w:t>
      </w:r>
      <w:r/>
    </w:p>
    <w:p>
      <w:pPr>
        <w:pStyle w:val="665"/>
        <w:jc w:val="both"/>
        <w:spacing w:beforeAutospacing="0" w:afterAutospacing="0" w:line="0" w:lineRule="atLeast"/>
        <w:rPr>
          <w:color w:val="auto"/>
        </w:rPr>
      </w:pPr>
      <w:r>
        <w:rPr>
          <w:color w:val="auto"/>
        </w:rPr>
        <w:t xml:space="preserve"> </w:t>
      </w:r>
      <w:r/>
    </w:p>
    <w:p>
      <w:pPr>
        <w:pStyle w:val="665"/>
        <w:jc w:val="both"/>
        <w:spacing w:beforeAutospacing="0" w:afterAutospacing="0" w:line="0" w:lineRule="atLeast"/>
        <w:rPr>
          <w:color w:val="auto"/>
        </w:rPr>
      </w:pPr>
      <w:r>
        <w:rPr>
          <w:color w:val="auto"/>
        </w:rPr>
        <w:t xml:space="preserve"> </w:t>
      </w:r>
      <w:r/>
    </w:p>
    <w:p>
      <w:pPr>
        <w:jc w:val="center"/>
        <w:spacing w:line="360" w:lineRule="auto"/>
        <w:widowControl/>
        <w:rPr>
          <w:color w:val="auto"/>
          <w:sz w:val="36"/>
          <w:szCs w:val="44"/>
        </w:rPr>
      </w:pPr>
      <w:r>
        <w:rPr>
          <w:color w:val="auto"/>
          <w:sz w:val="36"/>
          <w:szCs w:val="44"/>
        </w:rPr>
        <w:t xml:space="preserve"> </w:t>
      </w:r>
      <w:bookmarkStart w:id="154" w:name="_Toc479757211"/>
      <w:r/>
      <w:bookmarkStart w:id="155" w:name="_Toc20823346"/>
      <w:r/>
      <w:bookmarkStart w:id="156" w:name="_Toc462564139"/>
      <w:r/>
      <w:bookmarkStart w:id="157" w:name="_Toc16938590"/>
      <w:r/>
      <w:bookmarkStart w:id="158" w:name="_Hlt16619350"/>
      <w:r/>
      <w:bookmarkStart w:id="159" w:name="_Toc120614244"/>
      <w:r/>
      <w:bookmarkStart w:id="160" w:name="_Hlt16619369"/>
      <w:r/>
      <w:r/>
    </w:p>
    <w:p>
      <w:pPr>
        <w:rPr>
          <w:color w:val="auto"/>
          <w:sz w:val="36"/>
          <w:szCs w:val="44"/>
        </w:rPr>
      </w:pPr>
      <w:r>
        <w:rPr>
          <w:color w:val="auto"/>
          <w:sz w:val="36"/>
          <w:szCs w:val="44"/>
        </w:rPr>
        <w:br w:type="page" w:clear="all"/>
      </w:r>
      <w:r/>
    </w:p>
    <w:p>
      <w:pPr>
        <w:pStyle w:val="833"/>
        <w:rPr>
          <w:color w:val="auto"/>
        </w:rPr>
      </w:pPr>
      <w:r/>
      <w:bookmarkStart w:id="161" w:name="_Toc234256915"/>
      <w:r>
        <w:rPr>
          <w:rFonts w:hint="eastAsia"/>
          <w:color w:val="auto"/>
        </w:rPr>
        <w:t xml:space="preserve">第三章  合同条款</w:t>
      </w:r>
      <w:bookmarkEnd w:id="161"/>
      <w:r/>
      <w:r/>
    </w:p>
    <w:p>
      <w:pPr>
        <w:rPr>
          <w:rFonts w:ascii="宋体" w:hAnsi="宋体" w:cs="宋体"/>
          <w:color w:val="auto"/>
        </w:rPr>
      </w:pPr>
      <w:r/>
      <w:bookmarkStart w:id="162" w:name="EB6d2006462e294de090c16e672cecc3bd"/>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以下为成交后签定本项目合同的通用条款，成交供应商不得提出实质性的修改，关于专用条款将由采购人与成交供应商结合本项目具体情况协商后签订。</w:t>
      </w:r>
      <w:r/>
    </w:p>
    <w:p>
      <w:pPr>
        <w:ind w:firstLine="602"/>
        <w:jc w:val="center"/>
        <w:spacing w:line="500" w:lineRule="exact"/>
        <w:rPr>
          <w:rFonts w:ascii="宋体" w:hAnsi="宋体" w:eastAsia="宋体" w:cs="Times New Roman"/>
          <w:b/>
          <w:bCs/>
          <w:color w:val="auto"/>
          <w:sz w:val="30"/>
          <w:szCs w:val="20"/>
        </w:rPr>
        <w:outlineLvl w:val="0"/>
      </w:pPr>
      <w:r>
        <w:rPr>
          <w:rFonts w:hint="eastAsia" w:ascii="宋体" w:hAnsi="宋体" w:eastAsia="宋体" w:cs="Times New Roman"/>
          <w:b/>
          <w:color w:val="auto"/>
          <w:sz w:val="30"/>
          <w:szCs w:val="21"/>
        </w:rPr>
        <w:t xml:space="preserve">政府采购合同</w:t>
      </w:r>
      <w:r/>
    </w:p>
    <w:p>
      <w:pPr>
        <w:ind w:firstLine="480"/>
        <w:spacing w:line="500" w:lineRule="exact"/>
        <w:rPr>
          <w:rFonts w:ascii="宋体" w:hAnsi="Times New Roman" w:eastAsia="宋体" w:cs="Times New Roman"/>
          <w:bCs/>
          <w:color w:val="auto"/>
          <w:sz w:val="24"/>
        </w:rPr>
      </w:pPr>
      <w:r>
        <w:rPr>
          <w:rFonts w:hint="eastAsia" w:ascii="宋体" w:hAnsi="宋体" w:eastAsia="宋体" w:cs="Times New Roman"/>
          <w:bCs/>
          <w:color w:val="auto"/>
          <w:sz w:val="24"/>
          <w:szCs w:val="21"/>
        </w:rPr>
        <w:t xml:space="preserve">项目编号：</w:t>
      </w:r>
      <w:r>
        <w:rPr>
          <w:rFonts w:ascii="宋体" w:hAnsi="宋体" w:eastAsia="宋体" w:cs="Times New Roman"/>
          <w:bCs/>
          <w:color w:val="auto"/>
          <w:sz w:val="24"/>
          <w:szCs w:val="21"/>
        </w:rPr>
        <w:t xml:space="preserve"> </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项目名称：江苏省盐城技师学院数字媒体、人工智能产业学院建设项目    </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甲方：（</w:t>
      </w:r>
      <w:r>
        <w:rPr>
          <w:rFonts w:hint="eastAsia" w:ascii="宋体" w:hAnsi="宋体" w:eastAsia="宋体" w:cs="宋体"/>
          <w:bCs/>
          <w:color w:val="auto"/>
          <w:sz w:val="24"/>
        </w:rPr>
        <w:t xml:space="preserve">委托方</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u w:val="single"/>
        </w:rPr>
        <w:t xml:space="preserve">                  </w:t>
      </w:r>
      <w:r/>
    </w:p>
    <w:p>
      <w:pPr>
        <w:ind w:firstLine="480"/>
        <w:spacing w:line="500" w:lineRule="exact"/>
        <w:rPr>
          <w:rFonts w:ascii="宋体" w:hAnsi="宋体" w:eastAsia="宋体" w:cs="Times New Roman"/>
          <w:bCs/>
          <w:color w:val="auto"/>
          <w:sz w:val="24"/>
          <w:szCs w:val="21"/>
          <w:u w:val="single"/>
        </w:rPr>
      </w:pPr>
      <w:r>
        <w:rPr>
          <w:rFonts w:hint="eastAsia" w:ascii="宋体" w:hAnsi="宋体" w:eastAsia="宋体" w:cs="Times New Roman"/>
          <w:bCs/>
          <w:color w:val="auto"/>
          <w:sz w:val="24"/>
          <w:szCs w:val="21"/>
        </w:rPr>
        <w:t xml:space="preserve">乙方：（</w:t>
      </w:r>
      <w:r>
        <w:rPr>
          <w:rFonts w:hint="eastAsia" w:ascii="宋体" w:hAnsi="宋体" w:eastAsia="宋体" w:cs="宋体"/>
          <w:bCs/>
          <w:color w:val="auto"/>
          <w:sz w:val="24"/>
        </w:rPr>
        <w:t xml:space="preserve">承接方</w:t>
      </w:r>
      <w:r>
        <w:rPr>
          <w:rFonts w:hint="eastAsia" w:ascii="宋体" w:hAnsi="宋体" w:eastAsia="宋体" w:cs="Times New Roman"/>
          <w:bCs/>
          <w:color w:val="auto"/>
          <w:sz w:val="24"/>
          <w:szCs w:val="21"/>
        </w:rPr>
        <w:t xml:space="preserve">）</w:t>
      </w:r>
      <w:r>
        <w:rPr>
          <w:rFonts w:hint="eastAsia" w:ascii="宋体" w:hAnsi="宋体" w:eastAsia="宋体" w:cs="Times New Roman"/>
          <w:bCs/>
          <w:color w:val="auto"/>
          <w:sz w:val="24"/>
          <w:szCs w:val="21"/>
          <w:u w:val="single"/>
        </w:rPr>
        <w:t xml:space="preserve">                  </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甲乙双方根据</w:t>
      </w:r>
      <w:r>
        <w:rPr>
          <w:rFonts w:hint="eastAsia" w:ascii="宋体" w:hAnsi="宋体" w:eastAsia="宋体" w:cs="宋体"/>
          <w:color w:val="auto"/>
          <w:sz w:val="24"/>
          <w:u w:val="single"/>
        </w:rPr>
        <w:t xml:space="preserve">江苏省盐城技师学院数字媒体、人工智能产业学院建设项目</w:t>
      </w:r>
      <w:r>
        <w:rPr>
          <w:rFonts w:hint="eastAsia" w:ascii="宋体" w:hAnsi="宋体" w:eastAsia="宋体" w:cs="Times New Roman"/>
          <w:bCs/>
          <w:color w:val="auto"/>
          <w:sz w:val="24"/>
          <w:szCs w:val="21"/>
        </w:rPr>
        <w:t xml:space="preserve">公开招标的结果，签署本合同。</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一、采购标的</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1.1货物名称：</w:t>
      </w:r>
      <w:r>
        <w:rPr>
          <w:rFonts w:hint="eastAsia" w:ascii="宋体" w:hAnsi="宋体" w:eastAsia="宋体" w:cs="Times New Roman"/>
          <w:bCs/>
          <w:color w:val="auto"/>
          <w:sz w:val="24"/>
          <w:szCs w:val="21"/>
        </w:rPr>
        <w:t xml:space="preserve">江苏省盐城技师学院数字媒体、人工智能产业学院建设项目</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1.2型号规格：详按</w:t>
      </w:r>
      <w:r>
        <w:rPr>
          <w:rFonts w:hint="eastAsia" w:ascii="宋体" w:hAnsi="宋体" w:eastAsia="宋体" w:cs="Times New Roman"/>
          <w:bCs/>
          <w:color w:val="auto"/>
          <w:sz w:val="24"/>
          <w:szCs w:val="21"/>
        </w:rPr>
        <w:t xml:space="preserve">招标文件</w:t>
      </w:r>
      <w:r>
        <w:rPr>
          <w:rFonts w:ascii="宋体" w:hAnsi="宋体" w:eastAsia="宋体" w:cs="Times New Roman"/>
          <w:bCs/>
          <w:color w:val="auto"/>
          <w:sz w:val="24"/>
          <w:szCs w:val="21"/>
        </w:rPr>
        <w:t xml:space="preserve">要求</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1.3数量（单位）：详按</w:t>
      </w:r>
      <w:r>
        <w:rPr>
          <w:rFonts w:hint="eastAsia" w:ascii="宋体" w:hAnsi="宋体" w:eastAsia="宋体" w:cs="Times New Roman"/>
          <w:bCs/>
          <w:color w:val="auto"/>
          <w:sz w:val="24"/>
          <w:szCs w:val="21"/>
        </w:rPr>
        <w:t xml:space="preserve">招标文件</w:t>
      </w:r>
      <w:r>
        <w:rPr>
          <w:rFonts w:ascii="宋体" w:hAnsi="宋体" w:eastAsia="宋体" w:cs="Times New Roman"/>
          <w:bCs/>
          <w:color w:val="auto"/>
          <w:sz w:val="24"/>
          <w:szCs w:val="21"/>
        </w:rPr>
        <w:t xml:space="preserve">要求</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二、合同金额</w:t>
      </w:r>
      <w:r/>
    </w:p>
    <w:p>
      <w:pPr>
        <w:ind w:firstLine="480"/>
        <w:spacing w:line="500" w:lineRule="exact"/>
        <w:rPr>
          <w:rFonts w:ascii="宋体" w:hAnsi="宋体" w:eastAsia="宋体" w:cs="Times New Roman"/>
          <w:color w:val="auto"/>
          <w:sz w:val="24"/>
          <w:szCs w:val="21"/>
        </w:rPr>
      </w:pPr>
      <w:r>
        <w:rPr>
          <w:rFonts w:hint="eastAsia" w:ascii="宋体" w:hAnsi="宋体" w:eastAsia="宋体" w:cs="Times New Roman"/>
          <w:bCs/>
          <w:color w:val="auto"/>
          <w:sz w:val="24"/>
          <w:szCs w:val="21"/>
        </w:rPr>
        <w:t xml:space="preserve">本合同金额为（大写）：________元（_______________元）人民币或其他币种。</w:t>
      </w:r>
      <w:r/>
    </w:p>
    <w:p>
      <w:pPr>
        <w:ind w:firstLine="480"/>
        <w:spacing w:line="500" w:lineRule="exact"/>
        <w:rPr>
          <w:rFonts w:ascii="宋体" w:hAnsi="宋体" w:eastAsia="宋体" w:cs="Times New Roman"/>
          <w:color w:val="auto"/>
          <w:sz w:val="24"/>
          <w:szCs w:val="21"/>
        </w:rPr>
      </w:pPr>
      <w:r>
        <w:rPr>
          <w:rFonts w:hint="eastAsia" w:ascii="宋体" w:hAnsi="宋体" w:eastAsia="宋体" w:cs="Times New Roman"/>
          <w:color w:val="auto"/>
          <w:sz w:val="24"/>
          <w:szCs w:val="21"/>
        </w:rPr>
        <w:t xml:space="preserve">本合同价款包含所有乙方提供合同约定服务的报酬及乙方提供合同中服务所支出的必要费用，甲方在上述合同价款之外不再向乙方支付其他任何费用。</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三、技术资料</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3.1乙方应按招标文件规定的时间向甲方提供有关技术资料。</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p>
    <w:p>
      <w:pPr>
        <w:ind w:firstLine="482"/>
        <w:spacing w:line="500" w:lineRule="exact"/>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四、知识产权</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乙方应保证甲方在使用、接受本合同货物或其任何一部分时不受第三方提出侵犯其专利权、版权、商标权和工业设计权等知识产权的起诉。一旦出现侵权，由乙方负全部责任。</w:t>
      </w:r>
      <w:r/>
    </w:p>
    <w:p>
      <w:pPr>
        <w:ind w:firstLine="482"/>
        <w:spacing w:line="500" w:lineRule="exact"/>
        <w:rPr>
          <w:rFonts w:ascii="宋体" w:hAnsi="宋体" w:eastAsia="宋体" w:cs="Times New Roman"/>
          <w:b/>
          <w:color w:val="auto"/>
          <w:sz w:val="24"/>
          <w:szCs w:val="21"/>
        </w:rPr>
      </w:pPr>
      <w:r>
        <w:rPr>
          <w:rFonts w:ascii="宋体" w:hAnsi="宋体" w:eastAsia="宋体" w:cs="Times New Roman"/>
          <w:b/>
          <w:color w:val="auto"/>
          <w:sz w:val="24"/>
          <w:szCs w:val="21"/>
        </w:rPr>
        <w:t xml:space="preserve">五、产权担保</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乙方保证所交付的货物的所有权完全属于乙方且无任何抵押、查封等产权瑕疵。</w:t>
      </w:r>
      <w:r/>
    </w:p>
    <w:p>
      <w:pPr>
        <w:ind w:firstLine="482"/>
        <w:spacing w:line="500" w:lineRule="exact"/>
        <w:rPr>
          <w:rFonts w:ascii="宋体" w:hAnsi="宋体" w:eastAsia="宋体" w:cs="Times New Roman"/>
          <w:b/>
          <w:color w:val="auto"/>
          <w:sz w:val="24"/>
          <w:szCs w:val="21"/>
          <w:lang w:val="zh-CN"/>
        </w:rPr>
      </w:pPr>
      <w:r>
        <w:rPr>
          <w:rFonts w:hint="eastAsia" w:ascii="宋体" w:hAnsi="宋体" w:eastAsia="宋体" w:cs="Times New Roman"/>
          <w:b/>
          <w:color w:val="auto"/>
          <w:sz w:val="24"/>
          <w:szCs w:val="21"/>
          <w:lang w:val="zh-CN"/>
        </w:rPr>
        <w:t xml:space="preserve">六、履约保证金</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6.1乙方交纳人民币_________元作为本合同的履约保证金。</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（备注：</w:t>
      </w:r>
      <w:bookmarkStart w:id="163" w:name="OLE_LINK3"/>
      <w:r>
        <w:rPr>
          <w:rFonts w:hint="eastAsia" w:ascii="宋体" w:hAnsi="宋体" w:eastAsia="宋体" w:cs="Times New Roman"/>
          <w:bCs/>
          <w:color w:val="auto"/>
          <w:sz w:val="24"/>
          <w:szCs w:val="21"/>
          <w:lang w:val="zh-CN"/>
        </w:rPr>
        <w:t xml:space="preserve">履约保证金为</w:t>
      </w:r>
      <w:r>
        <w:rPr>
          <w:rFonts w:hint="eastAsia" w:ascii="宋体" w:hAnsi="宋体" w:eastAsia="宋体" w:cs="Times New Roman"/>
          <w:bCs/>
          <w:color w:val="auto"/>
          <w:sz w:val="24"/>
          <w:szCs w:val="21"/>
        </w:rPr>
        <w:t xml:space="preserve">合同金额的10%，采购人应当对AA评级及以上政府采购供应商（需提供信用管理部门备案的第三方信用报告）降低5%履约保证金缴纳比例。</w:t>
      </w:r>
      <w:bookmarkEnd w:id="163"/>
      <w:r>
        <w:rPr>
          <w:rFonts w:hint="eastAsia" w:ascii="宋体" w:hAnsi="宋体" w:eastAsia="宋体" w:cs="Times New Roman"/>
          <w:bCs/>
          <w:color w:val="auto"/>
          <w:sz w:val="24"/>
          <w:szCs w:val="21"/>
        </w:rPr>
        <w:t xml:space="preserve">）</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2确需收取履约保证金的，</w:t>
      </w:r>
      <w:r>
        <w:rPr>
          <w:rFonts w:hint="eastAsia" w:ascii="宋体" w:hAnsi="宋体" w:eastAsia="宋体" w:cs="Times New Roman"/>
          <w:bCs/>
          <w:color w:val="auto"/>
          <w:sz w:val="24"/>
          <w:szCs w:val="21"/>
          <w:lang w:val="zh-CN"/>
        </w:rPr>
        <w:t xml:space="preserve">履约保证金的缴纳形式：</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rPr>
        <w:t xml:space="preserve">6.2.1</w:t>
      </w:r>
      <w:r>
        <w:rPr>
          <w:rFonts w:hint="eastAsia" w:ascii="宋体" w:hAnsi="宋体" w:eastAsia="宋体" w:cs="Times New Roman"/>
          <w:bCs/>
          <w:color w:val="auto"/>
          <w:sz w:val="24"/>
          <w:szCs w:val="21"/>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6.2.2 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3</w:t>
      </w:r>
      <w:r>
        <w:rPr>
          <w:rFonts w:hint="eastAsia" w:ascii="宋体" w:hAnsi="宋体" w:eastAsia="宋体" w:cs="Times New Roman"/>
          <w:bCs/>
          <w:color w:val="auto"/>
          <w:sz w:val="24"/>
          <w:szCs w:val="21"/>
          <w:lang w:val="zh-CN"/>
        </w:rPr>
        <w:t xml:space="preserve">合同履行结束后，甲方应及时退还交纳的履约保证金。</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履约保证金的退还：</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.1方式：无息退还至投标人缴纳履约保证金的账户。如为保函，在到期时自行失效。</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.2时间：验收合格且采购人收到发票后30日内。</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.3条件：按合同要求全部履约完成并经采购人验收合格，且采购人收到中标人出具的发票。</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.4不予退还情形：</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除不可抗力情况外，投标人出现下列情形之一的，其履约保证金，招标人将视情节决定不予退还或部分不予退还。</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（1）中标人无正当理由拒绝签订合同的，或者在签订合同时向采购人提出附加条件或者更改合同实质性内容要求的；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（2）中标人不履行与采购人订立的合同的；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（3）中标人所供货物或服务不符合招标文件规定要求的；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（4）中标人采取欺骗、弄虚作假方式投标的或与其它投标人串通投标的；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（5）中标人将合同内容转包、违法分包的；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（6）中标人故意捏造事实或伪造证明材料，进行虚假恶意投诉或反映的。</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6.</w:t>
      </w:r>
      <w:r>
        <w:rPr>
          <w:rFonts w:hint="eastAsia" w:ascii="宋体" w:hAnsi="宋体" w:eastAsia="宋体" w:cs="Times New Roman"/>
          <w:bCs/>
          <w:color w:val="auto"/>
          <w:sz w:val="24"/>
          <w:szCs w:val="21"/>
        </w:rPr>
        <w:t xml:space="preserve">4</w:t>
      </w:r>
      <w:r>
        <w:rPr>
          <w:rFonts w:hint="eastAsia" w:ascii="宋体" w:hAnsi="宋体" w:eastAsia="宋体" w:cs="Times New Roman"/>
          <w:bCs/>
          <w:color w:val="auto"/>
          <w:sz w:val="24"/>
          <w:szCs w:val="21"/>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rPr>
        <w:t xml:space="preserve">七、</w:t>
      </w:r>
      <w:r>
        <w:rPr>
          <w:rFonts w:ascii="宋体" w:hAnsi="宋体" w:eastAsia="宋体" w:cs="Times New Roman"/>
          <w:b/>
          <w:color w:val="auto"/>
          <w:sz w:val="24"/>
          <w:szCs w:val="21"/>
          <w:lang w:val="zh-CN"/>
        </w:rPr>
        <w:t xml:space="preserve">转包或分包</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7.1本合同范围的货物，应由乙方直接供应，不得转让他人供应；</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7.2 除非得到甲方的书面同意，乙方不得部分分包给他人供应。</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7.3如有转让和未经甲方同意的分包行为，甲方有权给予终止合同。</w:t>
      </w:r>
      <w:r/>
    </w:p>
    <w:p>
      <w:pPr>
        <w:ind w:firstLine="482"/>
        <w:spacing w:line="500" w:lineRule="exact"/>
        <w:rPr>
          <w:rFonts w:ascii="Times New Roman" w:hAnsi="Times New Roman" w:eastAsia="宋体" w:cs="Times New Roman"/>
          <w:color w:val="auto"/>
          <w:szCs w:val="21"/>
        </w:rPr>
      </w:pPr>
      <w:r>
        <w:rPr>
          <w:rFonts w:ascii="宋体" w:hAnsi="宋体" w:eastAsia="宋体" w:cs="Times New Roman"/>
          <w:b/>
          <w:color w:val="auto"/>
          <w:sz w:val="24"/>
          <w:szCs w:val="21"/>
          <w:lang w:val="zh-CN"/>
        </w:rPr>
        <w:t xml:space="preserve">八、</w:t>
      </w:r>
      <w:r>
        <w:rPr>
          <w:rFonts w:hint="eastAsia" w:ascii="宋体" w:hAnsi="宋体" w:eastAsia="宋体" w:cs="Times New Roman"/>
          <w:b/>
          <w:color w:val="auto"/>
          <w:sz w:val="24"/>
          <w:szCs w:val="21"/>
        </w:rPr>
        <w:t xml:space="preserve">合同款</w:t>
      </w:r>
      <w:r>
        <w:rPr>
          <w:rFonts w:ascii="宋体" w:hAnsi="宋体" w:eastAsia="宋体" w:cs="Times New Roman"/>
          <w:b/>
          <w:color w:val="auto"/>
          <w:sz w:val="24"/>
          <w:szCs w:val="21"/>
          <w:lang w:val="zh-CN"/>
        </w:rPr>
        <w:t xml:space="preserve">支付</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rPr>
        <w:t xml:space="preserve">8</w:t>
      </w:r>
      <w:r>
        <w:rPr>
          <w:rFonts w:hint="eastAsia" w:ascii="宋体" w:hAnsi="宋体" w:eastAsia="宋体" w:cs="Times New Roman"/>
          <w:bCs/>
          <w:color w:val="auto"/>
          <w:sz w:val="24"/>
          <w:szCs w:val="21"/>
        </w:rPr>
        <w:t xml:space="preserve">.1</w:t>
      </w:r>
      <w:r>
        <w:rPr>
          <w:rFonts w:hint="eastAsia" w:ascii="宋体" w:hAnsi="宋体" w:eastAsia="宋体" w:cs="Times New Roman"/>
          <w:bCs/>
          <w:color w:val="auto"/>
          <w:sz w:val="24"/>
          <w:szCs w:val="21"/>
          <w:lang w:val="zh-CN"/>
        </w:rPr>
        <w:t xml:space="preserve">合同款项的支付方式及进度安排：</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rPr>
        <w:t xml:space="preserve">8</w:t>
      </w:r>
      <w:r>
        <w:rPr>
          <w:rFonts w:hint="eastAsia" w:ascii="宋体" w:hAnsi="宋体" w:eastAsia="宋体" w:cs="Times New Roman"/>
          <w:bCs/>
          <w:color w:val="auto"/>
          <w:sz w:val="24"/>
          <w:szCs w:val="21"/>
        </w:rPr>
        <w:t xml:space="preserve">.1.1</w:t>
      </w:r>
      <w:r>
        <w:rPr>
          <w:rFonts w:hint="eastAsia" w:ascii="宋体" w:hAnsi="宋体" w:eastAsia="宋体" w:cs="Times New Roman"/>
          <w:bCs/>
          <w:color w:val="auto"/>
          <w:sz w:val="24"/>
          <w:szCs w:val="21"/>
          <w:lang w:val="zh-CN"/>
        </w:rPr>
        <w:t xml:space="preserve">预付款支付时间：自合同签订生效之日起，收到乙方发票10个工作日内，预付款支付比例：</w:t>
      </w:r>
      <w:r>
        <w:rPr>
          <w:rFonts w:hint="eastAsia" w:ascii="宋体" w:hAnsi="宋体" w:eastAsia="宋体" w:cs="Times New Roman"/>
          <w:bCs/>
          <w:color w:val="auto"/>
          <w:sz w:val="24"/>
          <w:szCs w:val="21"/>
          <w:u w:val="single"/>
          <w:lang w:val="zh-CN"/>
        </w:rPr>
        <w:t xml:space="preserve">合同金额的30%</w:t>
      </w:r>
      <w:r>
        <w:rPr>
          <w:rFonts w:hint="eastAsia" w:ascii="宋体" w:hAnsi="宋体" w:eastAsia="宋体" w:cs="Times New Roman"/>
          <w:bCs/>
          <w:color w:val="auto"/>
          <w:sz w:val="24"/>
          <w:szCs w:val="21"/>
          <w:lang w:val="zh-CN"/>
        </w:rPr>
        <w:t xml:space="preserve">。（</w:t>
      </w:r>
      <w:r>
        <w:rPr>
          <w:rFonts w:hint="eastAsia" w:ascii="宋体" w:hAnsi="宋体" w:eastAsia="宋体" w:cs="宋体"/>
          <w:color w:val="auto"/>
          <w:sz w:val="24"/>
        </w:rPr>
        <w:t xml:space="preserve">在签订合同时，供应商明确表示无需预付款或者主动要求降低预付款比例的，采购人可不适用前述规定</w:t>
      </w:r>
      <w:r>
        <w:rPr>
          <w:rFonts w:hint="eastAsia" w:ascii="宋体" w:hAnsi="宋体" w:eastAsia="宋体" w:cs="Times New Roman"/>
          <w:bCs/>
          <w:color w:val="auto"/>
          <w:sz w:val="24"/>
          <w:szCs w:val="21"/>
          <w:lang w:val="zh-CN"/>
        </w:rPr>
        <w:t xml:space="preserve">）</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rPr>
        <w:t xml:space="preserve">8</w:t>
      </w:r>
      <w:r>
        <w:rPr>
          <w:rFonts w:hint="eastAsia" w:ascii="宋体" w:hAnsi="宋体" w:eastAsia="宋体" w:cs="Times New Roman"/>
          <w:bCs/>
          <w:color w:val="auto"/>
          <w:sz w:val="24"/>
          <w:szCs w:val="21"/>
        </w:rPr>
        <w:t xml:space="preserve">.1.2</w:t>
      </w:r>
      <w:r>
        <w:rPr>
          <w:rFonts w:hint="eastAsia" w:ascii="宋体" w:hAnsi="宋体" w:eastAsia="宋体" w:cs="Times New Roman"/>
          <w:bCs/>
          <w:color w:val="auto"/>
          <w:sz w:val="24"/>
          <w:szCs w:val="21"/>
          <w:lang w:val="zh-CN"/>
        </w:rPr>
        <w:t xml:space="preserve">尾款支付时间：产品验收通过,采购人收到发票后10个工作日内，尾款支付比例：</w:t>
      </w:r>
      <w:r>
        <w:rPr>
          <w:rFonts w:hint="eastAsia" w:ascii="宋体" w:hAnsi="宋体" w:eastAsia="宋体" w:cs="Times New Roman"/>
          <w:bCs/>
          <w:color w:val="auto"/>
          <w:sz w:val="24"/>
          <w:szCs w:val="21"/>
          <w:u w:val="single"/>
          <w:lang w:val="zh-CN"/>
        </w:rPr>
        <w:t xml:space="preserve">合同金额的70%</w:t>
      </w:r>
      <w:r>
        <w:rPr>
          <w:rFonts w:hint="eastAsia" w:ascii="宋体" w:hAnsi="宋体" w:eastAsia="宋体" w:cs="Times New Roman"/>
          <w:bCs/>
          <w:color w:val="auto"/>
          <w:sz w:val="24"/>
          <w:szCs w:val="21"/>
          <w:lang w:val="zh-CN"/>
        </w:rPr>
        <w:t xml:space="preserve">。</w:t>
      </w:r>
      <w:r/>
    </w:p>
    <w:p>
      <w:pPr>
        <w:ind w:firstLine="482"/>
        <w:spacing w:line="500" w:lineRule="exact"/>
        <w:rPr>
          <w:rFonts w:ascii="宋体" w:hAnsi="宋体" w:eastAsia="宋体" w:cs="Times New Roman"/>
          <w:b/>
          <w:color w:val="auto"/>
          <w:sz w:val="24"/>
          <w:szCs w:val="21"/>
          <w:lang w:val="zh-CN"/>
        </w:rPr>
      </w:pPr>
      <w:r>
        <w:rPr>
          <w:rFonts w:hint="eastAsia" w:ascii="宋体" w:hAnsi="宋体" w:eastAsia="宋体" w:cs="Times New Roman"/>
          <w:b/>
          <w:color w:val="auto"/>
          <w:sz w:val="24"/>
          <w:szCs w:val="21"/>
        </w:rPr>
        <w:t xml:space="preserve">九</w:t>
      </w:r>
      <w:r>
        <w:rPr>
          <w:rFonts w:ascii="宋体" w:hAnsi="宋体" w:eastAsia="宋体" w:cs="Times New Roman"/>
          <w:b/>
          <w:color w:val="auto"/>
          <w:sz w:val="24"/>
          <w:szCs w:val="21"/>
        </w:rPr>
        <w:t xml:space="preserve">、</w:t>
      </w:r>
      <w:r>
        <w:rPr>
          <w:rFonts w:ascii="宋体" w:hAnsi="宋体" w:eastAsia="宋体" w:cs="Times New Roman"/>
          <w:b/>
          <w:color w:val="auto"/>
          <w:sz w:val="24"/>
          <w:szCs w:val="21"/>
          <w:lang w:val="zh-CN"/>
        </w:rPr>
        <w:t xml:space="preserve">税费</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t xml:space="preserve">本合同执行中相关的一切税费均由乙方负担。</w:t>
      </w:r>
      <w:r/>
    </w:p>
    <w:p>
      <w:pPr>
        <w:ind w:firstLine="482"/>
        <w:spacing w:line="500" w:lineRule="exact"/>
        <w:rPr>
          <w:rFonts w:ascii="宋体" w:hAnsi="宋体" w:eastAsia="宋体" w:cs="Times New Roman"/>
          <w:b/>
          <w:color w:val="auto"/>
          <w:sz w:val="24"/>
          <w:szCs w:val="21"/>
        </w:rPr>
      </w:pPr>
      <w:r>
        <w:rPr>
          <w:rFonts w:ascii="宋体" w:hAnsi="宋体" w:eastAsia="宋体" w:cs="Times New Roman"/>
          <w:b/>
          <w:color w:val="auto"/>
          <w:sz w:val="24"/>
          <w:szCs w:val="21"/>
        </w:rPr>
        <w:t xml:space="preserve">十、质量保证及售后服务</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.1乙方应按招标文件规定的货物性能、技术要求、质量标准向甲方提供未经使用的全新产品。</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.2乙方提供的货物在质保期内因货物本身的质量问题发生故障，乙方应负责免费更换。对达不到技术要求者，根据实际情况，经双方协商，可按以下办法处理：</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w:t>
      </w:r>
      <w:r>
        <w:rPr>
          <w:rFonts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）更换：由乙方承担所发生的全部费用。</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w:t>
      </w:r>
      <w:r>
        <w:rPr>
          <w:rFonts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）贬值处理：由甲乙双方合议定价。</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w:t>
      </w:r>
      <w:r>
        <w:rPr>
          <w:rFonts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）退货处理：乙方应退还甲方支付的合同款，同时应承担该货物的直接费用（运输、保险、检验、货款利息及银行手续费等）。</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.3如在使用过程中发生质量问题，乙方在接到甲方通知后在</w:t>
      </w:r>
      <w:r>
        <w:rPr>
          <w:rFonts w:hint="eastAsia" w:ascii="宋体" w:hAnsi="宋体" w:eastAsia="宋体" w:cs="Times New Roman"/>
          <w:bCs/>
          <w:color w:val="auto"/>
          <w:sz w:val="24"/>
          <w:szCs w:val="21"/>
        </w:rPr>
        <w:t xml:space="preserve">24</w:t>
      </w:r>
      <w:r>
        <w:rPr>
          <w:rFonts w:ascii="宋体" w:hAnsi="宋体" w:eastAsia="宋体" w:cs="Times New Roman"/>
          <w:bCs/>
          <w:color w:val="auto"/>
          <w:sz w:val="24"/>
          <w:szCs w:val="21"/>
          <w:lang w:val="zh-CN"/>
        </w:rPr>
        <w:t xml:space="preserve">小时内到达甲方现场。</w:t>
      </w:r>
      <w:r/>
    </w:p>
    <w:p>
      <w:pPr>
        <w:ind w:firstLine="480"/>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.4在质保期内，乙方应对货物出现的质量及安全问题负责处理解决并承担一切费</w:t>
      </w:r>
      <w:r>
        <w:rPr>
          <w:rFonts w:hint="eastAsia" w:ascii="宋体" w:hAnsi="宋体" w:eastAsia="宋体" w:cs="Times New Roman"/>
          <w:bCs/>
          <w:color w:val="auto"/>
          <w:sz w:val="24"/>
          <w:szCs w:val="21"/>
        </w:rPr>
        <w:t xml:space="preserve">用。</w:t>
      </w:r>
      <w:r/>
    </w:p>
    <w:p>
      <w:pPr>
        <w:ind w:firstLine="480"/>
        <w:spacing w:line="500" w:lineRule="exact"/>
        <w:rPr>
          <w:rFonts w:ascii="Times New Roman" w:hAnsi="Times New Roman" w:eastAsia="宋体" w:cs="Times New Roman"/>
          <w:color w:val="auto"/>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0</w:t>
      </w:r>
      <w:r>
        <w:rPr>
          <w:rFonts w:ascii="宋体" w:hAnsi="宋体" w:eastAsia="宋体" w:cs="Times New Roman"/>
          <w:bCs/>
          <w:color w:val="auto"/>
          <w:sz w:val="24"/>
          <w:szCs w:val="21"/>
          <w:lang w:val="zh-CN"/>
        </w:rPr>
        <w:t xml:space="preserve">.5</w:t>
      </w:r>
      <w:r>
        <w:rPr>
          <w:rFonts w:hint="eastAsia" w:ascii="宋体" w:hAnsi="宋体" w:eastAsia="宋体" w:cs="Times New Roman"/>
          <w:bCs/>
          <w:color w:val="auto"/>
          <w:sz w:val="24"/>
          <w:szCs w:val="21"/>
          <w:lang w:val="zh-CN"/>
        </w:rPr>
        <w:t xml:space="preserve">上述的货物免费保修期为</w:t>
      </w:r>
      <w:r>
        <w:rPr>
          <w:rFonts w:hint="eastAsia" w:ascii="宋体" w:hAnsi="宋体" w:eastAsia="宋体" w:cs="Times New Roman"/>
          <w:bCs/>
          <w:color w:val="auto"/>
          <w:sz w:val="24"/>
          <w:szCs w:val="21"/>
          <w:u w:val="single"/>
        </w:rPr>
        <w:t xml:space="preserve"> 3 </w:t>
      </w:r>
      <w:r>
        <w:rPr>
          <w:rFonts w:hint="eastAsia" w:ascii="宋体" w:hAnsi="宋体" w:eastAsia="宋体" w:cs="Times New Roman"/>
          <w:bCs/>
          <w:color w:val="auto"/>
          <w:sz w:val="24"/>
          <w:szCs w:val="21"/>
          <w:lang w:val="zh-CN"/>
        </w:rPr>
        <w:t xml:space="preserve">年，因人为因素出现的故障不在免费保修范围内。超过保修期的机器设备，终生维修，维修时只收部件成本费。</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一</w:t>
      </w:r>
      <w:r>
        <w:rPr>
          <w:rFonts w:ascii="宋体" w:hAnsi="宋体" w:eastAsia="宋体" w:cs="Times New Roman"/>
          <w:b/>
          <w:color w:val="auto"/>
          <w:sz w:val="24"/>
          <w:szCs w:val="21"/>
          <w:lang w:val="zh-CN"/>
        </w:rPr>
        <w:t xml:space="preserve">、调试和验收</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一）、验收</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.2乙方交货前应对产品作出全面检查和对验收文件进行整理，并列出清单，作为甲方收货验收和使用的技术条件依据，检验的结果应随货物交甲方。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.3对技术复杂的货物，甲方可请国家认可的专业检测机构参与初步验收及最终验收，并由其出具质量检测报告。</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.4验收时乙方必须在现场，验收完毕后作出验收结果报告；</w:t>
      </w:r>
      <w:r>
        <w:rPr>
          <w:rFonts w:hint="eastAsia" w:ascii="宋体" w:hAnsi="宋体" w:eastAsia="宋体" w:cs="Times New Roman"/>
          <w:bCs/>
          <w:color w:val="auto"/>
          <w:sz w:val="24"/>
          <w:szCs w:val="21"/>
          <w:lang w:val="zh-CN"/>
        </w:rPr>
        <w:t xml:space="preserve">采购人有权从供应商所送货物中任意抽出不同型号的产品送采购人所在地的质检部门检验，如果检验合格，检验费由采购人负担；如果检验不合格，则检验费由供应商负担</w:t>
      </w:r>
      <w:r>
        <w:rPr>
          <w:rFonts w:ascii="宋体" w:hAnsi="宋体" w:eastAsia="宋体" w:cs="Times New Roman"/>
          <w:bCs/>
          <w:color w:val="auto"/>
          <w:sz w:val="24"/>
          <w:szCs w:val="21"/>
          <w:lang w:val="zh-CN"/>
        </w:rPr>
        <w:t xml:space="preserve">。</w:t>
      </w:r>
      <w:r/>
    </w:p>
    <w:p>
      <w:pPr>
        <w:ind w:firstLine="480"/>
        <w:spacing w:line="500" w:lineRule="exact"/>
        <w:rPr>
          <w:rFonts w:ascii="宋体" w:hAnsi="宋体" w:eastAsia="宋体" w:cs="Times New Roman"/>
          <w:bCs/>
          <w:color w:val="auto"/>
          <w:sz w:val="24"/>
          <w:szCs w:val="21"/>
          <w:lang w:val="zh-CN"/>
        </w:rPr>
      </w:pPr>
      <w:r>
        <w:rPr>
          <w:rFonts w:hint="eastAsia" w:ascii="宋体" w:hAnsi="宋体" w:eastAsia="宋体" w:cs="Times New Roman"/>
          <w:bCs/>
          <w:color w:val="auto"/>
          <w:sz w:val="24"/>
          <w:szCs w:val="21"/>
          <w:lang w:val="zh-CN"/>
        </w:rPr>
        <w:t xml:space="preserve">二）、调试</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1</w:t>
      </w:r>
      <w:r>
        <w:rPr>
          <w:rFonts w:ascii="宋体" w:hAnsi="宋体" w:eastAsia="宋体" w:cs="Times New Roman"/>
          <w:bCs/>
          <w:color w:val="auto"/>
          <w:sz w:val="24"/>
          <w:szCs w:val="21"/>
          <w:lang w:val="zh-CN"/>
        </w:rPr>
        <w:t xml:space="preserve">.5甲方对乙方提供的货物在使用前进行调试时，乙方需负责安装并培训甲方的使用操作人员，并协助甲方一起调试，直到符合技术要求，甲方才做最终验收。</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二</w:t>
      </w:r>
      <w:r>
        <w:rPr>
          <w:rFonts w:ascii="宋体" w:hAnsi="宋体" w:eastAsia="宋体" w:cs="Times New Roman"/>
          <w:b/>
          <w:color w:val="auto"/>
          <w:sz w:val="24"/>
          <w:szCs w:val="21"/>
          <w:lang w:val="zh-CN"/>
        </w:rPr>
        <w:t xml:space="preserve">、货物包装、发运及运输</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.1乙方应在货物发运前对其进行满足运输距离、防潮、防震、防锈和防破损装卸等要求包装，以保证货物安全运达甲方指定地点。</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.2使用说明书、质量检验证明书、随配附件和工具以及清单一并附于货物内。</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.3乙方在货物发运手续办理完毕后24小时内或货到甲方48小时前通知甲方，以准备接货。</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.4货物在交付甲方前发生的风险均由乙方负责。</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2</w:t>
      </w:r>
      <w:r>
        <w:rPr>
          <w:rFonts w:ascii="宋体" w:hAnsi="宋体" w:eastAsia="宋体" w:cs="Times New Roman"/>
          <w:bCs/>
          <w:color w:val="auto"/>
          <w:sz w:val="24"/>
          <w:szCs w:val="21"/>
          <w:lang w:val="zh-CN"/>
        </w:rPr>
        <w:t xml:space="preserve">.5货物在规定的交付期限内由乙方送达甲方指定的地点视为交付，乙方同时需通知甲方货物已送达。</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三</w:t>
      </w:r>
      <w:r>
        <w:rPr>
          <w:rFonts w:ascii="宋体" w:hAnsi="宋体" w:eastAsia="宋体" w:cs="Times New Roman"/>
          <w:b/>
          <w:color w:val="auto"/>
          <w:sz w:val="24"/>
          <w:szCs w:val="21"/>
          <w:lang w:val="zh-CN"/>
        </w:rPr>
        <w:t xml:space="preserve">、违约责任</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.1甲方无正当理由拒收货物的，甲方向乙方偿付拒收货款总值的百分之五违约金。</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.2甲方无故逾期验收和办理货款支付手续的，甲方应按逾期付款总额每日万分之五向乙方支付违约金。</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.3乙方逾期交付货物的，乙方应按逾期交货总额每日</w:t>
      </w:r>
      <w:r>
        <w:rPr>
          <w:rFonts w:hint="eastAsia" w:ascii="宋体" w:hAnsi="宋体" w:eastAsia="宋体" w:cs="Times New Roman"/>
          <w:bCs/>
          <w:color w:val="auto"/>
          <w:sz w:val="24"/>
          <w:szCs w:val="21"/>
          <w:lang w:val="zh-CN"/>
        </w:rPr>
        <w:t xml:space="preserve">万分之五</w:t>
      </w:r>
      <w:r>
        <w:rPr>
          <w:rFonts w:ascii="宋体" w:hAnsi="宋体" w:eastAsia="宋体" w:cs="Times New Roman"/>
          <w:bCs/>
          <w:color w:val="auto"/>
          <w:sz w:val="24"/>
          <w:szCs w:val="21"/>
          <w:lang w:val="zh-CN"/>
        </w:rPr>
        <w:t xml:space="preserve">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3</w:t>
      </w:r>
      <w:r>
        <w:rPr>
          <w:rFonts w:ascii="宋体" w:hAnsi="宋体" w:eastAsia="宋体" w:cs="Times New Roman"/>
          <w:bCs/>
          <w:color w:val="auto"/>
          <w:sz w:val="24"/>
          <w:szCs w:val="21"/>
          <w:lang w:val="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四</w:t>
      </w:r>
      <w:r>
        <w:rPr>
          <w:rFonts w:ascii="宋体" w:hAnsi="宋体" w:eastAsia="宋体" w:cs="Times New Roman"/>
          <w:b/>
          <w:color w:val="auto"/>
          <w:sz w:val="24"/>
          <w:szCs w:val="21"/>
          <w:lang w:val="zh-CN"/>
        </w:rPr>
        <w:t xml:space="preserve">、不可抗力事件处理</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4</w:t>
      </w:r>
      <w:r>
        <w:rPr>
          <w:rFonts w:ascii="宋体" w:hAnsi="宋体" w:eastAsia="宋体" w:cs="Times New Roman"/>
          <w:bCs/>
          <w:color w:val="auto"/>
          <w:sz w:val="24"/>
          <w:szCs w:val="21"/>
          <w:lang w:val="zh-CN"/>
        </w:rPr>
        <w:t xml:space="preserve">.1在合同有效期内，任何一方因不可抗力事件导致不能履行合同，则合同履行期可延长，其延长期与不可抗力影响期相同。</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4</w:t>
      </w:r>
      <w:r>
        <w:rPr>
          <w:rFonts w:ascii="宋体" w:hAnsi="宋体" w:eastAsia="宋体" w:cs="Times New Roman"/>
          <w:bCs/>
          <w:color w:val="auto"/>
          <w:sz w:val="24"/>
          <w:szCs w:val="21"/>
          <w:lang w:val="zh-CN"/>
        </w:rPr>
        <w:t xml:space="preserve">.2不可抗力事件发生后，应立即通知对方，并寄送有关权威机构出具的证明。</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4</w:t>
      </w:r>
      <w:r>
        <w:rPr>
          <w:rFonts w:ascii="宋体" w:hAnsi="宋体" w:eastAsia="宋体" w:cs="Times New Roman"/>
          <w:bCs/>
          <w:color w:val="auto"/>
          <w:sz w:val="24"/>
          <w:szCs w:val="21"/>
          <w:lang w:val="zh-CN"/>
        </w:rPr>
        <w:t xml:space="preserve">.3不可抗力事件延续120天以上，双方应通过友好协商，确定是否继续履行合同。</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五</w:t>
      </w:r>
      <w:r>
        <w:rPr>
          <w:rFonts w:ascii="宋体" w:hAnsi="宋体" w:eastAsia="宋体" w:cs="Times New Roman"/>
          <w:b/>
          <w:color w:val="auto"/>
          <w:sz w:val="24"/>
          <w:szCs w:val="21"/>
          <w:lang w:val="zh-CN"/>
        </w:rPr>
        <w:t xml:space="preserve">、诉讼</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双方在执行合同中所发生的一切争议，应通过协商解决。如协商不成，可向合同签订地法院起诉，合同签订地在此约定为盐城市。</w:t>
      </w:r>
      <w:r/>
    </w:p>
    <w:p>
      <w:pPr>
        <w:ind w:firstLine="482"/>
        <w:spacing w:line="500" w:lineRule="exact"/>
        <w:rPr>
          <w:rFonts w:ascii="宋体" w:hAnsi="宋体" w:eastAsia="宋体" w:cs="Times New Roman"/>
          <w:b/>
          <w:color w:val="auto"/>
          <w:sz w:val="24"/>
          <w:szCs w:val="21"/>
          <w:lang w:val="zh-CN"/>
        </w:rPr>
      </w:pPr>
      <w:r>
        <w:rPr>
          <w:rFonts w:ascii="宋体" w:hAnsi="宋体" w:eastAsia="宋体" w:cs="Times New Roman"/>
          <w:b/>
          <w:color w:val="auto"/>
          <w:sz w:val="24"/>
          <w:szCs w:val="21"/>
          <w:lang w:val="zh-CN"/>
        </w:rPr>
        <w:t xml:space="preserve">十</w:t>
      </w:r>
      <w:r>
        <w:rPr>
          <w:rFonts w:hint="eastAsia" w:ascii="宋体" w:hAnsi="宋体" w:eastAsia="宋体" w:cs="Times New Roman"/>
          <w:b/>
          <w:color w:val="auto"/>
          <w:sz w:val="24"/>
          <w:szCs w:val="21"/>
        </w:rPr>
        <w:t xml:space="preserve">六</w:t>
      </w:r>
      <w:r>
        <w:rPr>
          <w:rFonts w:ascii="宋体" w:hAnsi="宋体" w:eastAsia="宋体" w:cs="Times New Roman"/>
          <w:b/>
          <w:color w:val="auto"/>
          <w:sz w:val="24"/>
          <w:szCs w:val="21"/>
          <w:lang w:val="zh-CN"/>
        </w:rPr>
        <w:t xml:space="preserve">、合同生效及其它</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6</w:t>
      </w:r>
      <w:r>
        <w:rPr>
          <w:rFonts w:ascii="宋体" w:hAnsi="宋体" w:eastAsia="宋体" w:cs="Times New Roman"/>
          <w:bCs/>
          <w:color w:val="auto"/>
          <w:sz w:val="24"/>
          <w:szCs w:val="21"/>
          <w:lang w:val="zh-CN"/>
        </w:rPr>
        <w:t xml:space="preserve">.1合同经双方法定代表人或授权委托代表人签字并加盖单位公章后生效。</w:t>
      </w:r>
      <w:r/>
    </w:p>
    <w:p>
      <w:pPr>
        <w:ind w:firstLine="480"/>
        <w:spacing w:line="500" w:lineRule="exact"/>
        <w:rPr>
          <w:rFonts w:ascii="宋体" w:hAnsi="宋体" w:eastAsia="宋体" w:cs="Times New Roman"/>
          <w:bCs/>
          <w:color w:val="auto"/>
          <w:sz w:val="24"/>
          <w:szCs w:val="21"/>
          <w:lang w:val="zh-CN"/>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6</w:t>
      </w:r>
      <w:r>
        <w:rPr>
          <w:rFonts w:ascii="宋体" w:hAnsi="宋体" w:eastAsia="宋体" w:cs="Times New Roman"/>
          <w:bCs/>
          <w:color w:val="auto"/>
          <w:sz w:val="24"/>
          <w:szCs w:val="21"/>
          <w:lang w:val="zh-CN"/>
        </w:rPr>
        <w:t xml:space="preserve">.2本合同未尽事宜，遵照</w:t>
      </w:r>
      <w:r>
        <w:rPr>
          <w:rFonts w:ascii="宋体" w:hAnsi="宋体" w:eastAsia="宋体" w:cs="Times New Roman"/>
          <w:color w:val="auto"/>
          <w:sz w:val="24"/>
          <w:szCs w:val="21"/>
        </w:rPr>
        <w:t xml:space="preserve">《中华人民共和国民法典》</w:t>
      </w:r>
      <w:r>
        <w:rPr>
          <w:rFonts w:ascii="宋体" w:hAnsi="宋体" w:eastAsia="宋体" w:cs="Times New Roman"/>
          <w:bCs/>
          <w:color w:val="auto"/>
          <w:sz w:val="24"/>
          <w:szCs w:val="21"/>
          <w:lang w:val="zh-CN"/>
        </w:rPr>
        <w:t xml:space="preserve">有关条文执行。</w:t>
      </w:r>
      <w:r/>
    </w:p>
    <w:p>
      <w:pPr>
        <w:ind w:firstLine="480"/>
        <w:spacing w:line="500" w:lineRule="exact"/>
        <w:rPr>
          <w:rFonts w:ascii="Times New Roman" w:hAnsi="宋体" w:eastAsia="宋体" w:cs="Times New Roman"/>
          <w:color w:val="auto"/>
          <w:sz w:val="24"/>
        </w:rPr>
      </w:pPr>
      <w:r>
        <w:rPr>
          <w:rFonts w:ascii="宋体" w:hAnsi="宋体" w:eastAsia="宋体" w:cs="Times New Roman"/>
          <w:bCs/>
          <w:color w:val="auto"/>
          <w:sz w:val="24"/>
          <w:szCs w:val="21"/>
          <w:lang w:val="zh-CN"/>
        </w:rPr>
        <w:t xml:space="preserve">1</w:t>
      </w:r>
      <w:r>
        <w:rPr>
          <w:rFonts w:hint="eastAsia" w:ascii="宋体" w:hAnsi="宋体" w:eastAsia="宋体" w:cs="Times New Roman"/>
          <w:bCs/>
          <w:color w:val="auto"/>
          <w:sz w:val="24"/>
          <w:szCs w:val="21"/>
        </w:rPr>
        <w:t xml:space="preserve">6</w:t>
      </w:r>
      <w:r>
        <w:rPr>
          <w:rFonts w:ascii="宋体" w:hAnsi="宋体" w:eastAsia="宋体" w:cs="Times New Roman"/>
          <w:bCs/>
          <w:color w:val="auto"/>
          <w:sz w:val="24"/>
          <w:szCs w:val="21"/>
          <w:lang w:val="zh-CN"/>
        </w:rPr>
        <w:t xml:space="preserve">.3本合同正本一式</w:t>
      </w:r>
      <w:r>
        <w:rPr>
          <w:rFonts w:hint="eastAsia" w:ascii="宋体" w:hAnsi="宋体" w:eastAsia="宋体" w:cs="Times New Roman"/>
          <w:bCs/>
          <w:color w:val="auto"/>
          <w:sz w:val="24"/>
          <w:szCs w:val="21"/>
        </w:rPr>
        <w:t xml:space="preserve">二</w:t>
      </w:r>
      <w:r>
        <w:rPr>
          <w:rFonts w:ascii="宋体" w:hAnsi="宋体" w:eastAsia="宋体" w:cs="Times New Roman"/>
          <w:bCs/>
          <w:color w:val="auto"/>
          <w:sz w:val="24"/>
          <w:szCs w:val="21"/>
          <w:lang w:val="zh-CN"/>
        </w:rPr>
        <w:t xml:space="preserve">份，具有同等法律效力，甲方、乙方各执</w:t>
      </w:r>
      <w:r>
        <w:rPr>
          <w:rFonts w:hint="eastAsia" w:ascii="宋体" w:hAnsi="宋体" w:eastAsia="宋体" w:cs="Times New Roman"/>
          <w:bCs/>
          <w:color w:val="auto"/>
          <w:sz w:val="24"/>
          <w:szCs w:val="21"/>
        </w:rPr>
        <w:t xml:space="preserve">一</w:t>
      </w:r>
      <w:r>
        <w:rPr>
          <w:rFonts w:ascii="宋体" w:hAnsi="宋体" w:eastAsia="宋体" w:cs="Times New Roman"/>
          <w:bCs/>
          <w:color w:val="auto"/>
          <w:sz w:val="24"/>
          <w:szCs w:val="21"/>
          <w:lang w:val="zh-CN"/>
        </w:rPr>
        <w:t xml:space="preserve">份。</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甲 方：                                 乙 方：</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地 址：                                 地 址：</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法定代表人或授权代表：                  法定代表人或授权代表：</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电 话：                                 电 话：</w:t>
      </w:r>
      <w:r/>
    </w:p>
    <w:p>
      <w:pPr>
        <w:ind w:firstLine="480"/>
        <w:spacing w:line="500" w:lineRule="exact"/>
        <w:rPr>
          <w:rFonts w:ascii="宋体" w:hAnsi="宋体" w:eastAsia="宋体" w:cs="Times New Roman"/>
          <w:color w:val="auto"/>
          <w:sz w:val="24"/>
        </w:rPr>
      </w:pPr>
      <w:r>
        <w:rPr>
          <w:rFonts w:ascii="宋体" w:hAnsi="宋体" w:eastAsia="宋体" w:cs="Times New Roman"/>
          <w:color w:val="auto"/>
          <w:sz w:val="24"/>
        </w:rPr>
        <w:t xml:space="preserve">日 期：      年  月  日</w:t>
      </w:r>
      <w:bookmarkEnd w:id="162"/>
      <w:r/>
    </w:p>
    <w:p>
      <w:pPr>
        <w:rPr>
          <w:rFonts w:ascii="宋体" w:hAnsi="宋体" w:cs="宋体"/>
          <w:color w:val="auto"/>
        </w:rPr>
      </w:pPr>
      <w:r>
        <w:rPr>
          <w:rFonts w:ascii="宋体" w:hAnsi="宋体" w:cs="宋体"/>
          <w:color w:val="auto"/>
        </w:rPr>
      </w:r>
      <w:r/>
    </w:p>
    <w:p>
      <w:pPr>
        <w:jc w:val="center"/>
        <w:rPr>
          <w:rFonts w:ascii="宋体" w:hAnsi="宋体" w:cs="宋体"/>
          <w:b/>
          <w:bCs/>
          <w:color w:val="auto"/>
          <w:spacing w:val="-20"/>
          <w:sz w:val="48"/>
          <w:szCs w:val="48"/>
        </w:rPr>
      </w:pPr>
      <w:r/>
      <w:bookmarkStart w:id="164" w:name="_Toc3995"/>
      <w:r/>
      <w:bookmarkEnd w:id="164"/>
      <w:r/>
      <w:r/>
    </w:p>
    <w:p>
      <w:pPr>
        <w:pStyle w:val="665"/>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665"/>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665"/>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665"/>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665"/>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665"/>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665"/>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665"/>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665"/>
        <w:jc w:val="center"/>
        <w:spacing w:before="120" w:beforeAutospacing="0" w:after="120" w:afterAutospacing="0" w:line="0" w:lineRule="atLeast"/>
        <w:rPr>
          <w:rFonts w:ascii="黑体" w:hAnsi="宋体" w:eastAsia="黑体" w:cs="黑体"/>
          <w:color w:val="auto"/>
          <w:sz w:val="44"/>
          <w:szCs w:val="44"/>
        </w:rPr>
      </w:pPr>
      <w:r>
        <w:rPr>
          <w:rFonts w:ascii="黑体" w:hAnsi="宋体" w:eastAsia="黑体" w:cs="黑体"/>
          <w:color w:val="auto"/>
          <w:sz w:val="44"/>
          <w:szCs w:val="44"/>
        </w:rPr>
      </w:r>
      <w:r/>
    </w:p>
    <w:p>
      <w:pPr>
        <w:pStyle w:val="833"/>
        <w:rPr>
          <w:color w:val="auto"/>
        </w:rPr>
      </w:pPr>
      <w:r>
        <w:rPr>
          <w:rFonts w:hint="eastAsia"/>
          <w:color w:val="auto"/>
        </w:rPr>
        <w:t xml:space="preserve"> </w:t>
      </w:r>
      <w:bookmarkStart w:id="165" w:name="_Toc234256916"/>
      <w:r>
        <w:rPr>
          <w:rFonts w:hint="eastAsia"/>
          <w:color w:val="auto"/>
        </w:rPr>
        <w:t xml:space="preserve">第</w:t>
      </w:r>
      <w:bookmarkEnd w:id="154"/>
      <w:r>
        <w:rPr>
          <w:rFonts w:hint="eastAsia"/>
          <w:color w:val="auto"/>
        </w:rPr>
        <w:t xml:space="preserve">四章 采购需求</w:t>
      </w:r>
      <w:bookmarkEnd w:id="155"/>
      <w:r/>
      <w:bookmarkEnd w:id="156"/>
      <w:r/>
      <w:bookmarkEnd w:id="157"/>
      <w:r/>
      <w:bookmarkEnd w:id="158"/>
      <w:r/>
      <w:bookmarkEnd w:id="159"/>
      <w:r/>
      <w:bookmarkEnd w:id="165"/>
      <w:r/>
      <w:r/>
    </w:p>
    <w:p>
      <w:pPr>
        <w:pStyle w:val="665"/>
        <w:jc w:val="both"/>
        <w:spacing w:beforeAutospacing="0" w:afterAutospacing="0" w:line="360" w:lineRule="auto"/>
        <w:rPr>
          <w:rFonts w:ascii="宋体" w:hAnsi="宋体" w:eastAsia="宋体" w:cs="宋体"/>
          <w:color w:val="auto"/>
        </w:rPr>
      </w:pPr>
      <w:r/>
      <w:bookmarkStart w:id="166" w:name="_Toc49090575"/>
      <w:r/>
      <w:bookmarkStart w:id="167" w:name="_Toc26554093"/>
      <w:r>
        <w:rPr>
          <w:rFonts w:hint="eastAsia" w:ascii="宋体" w:hAnsi="宋体" w:eastAsia="宋体" w:cs="宋体"/>
          <w:color w:val="auto"/>
        </w:rPr>
        <w:t xml:space="preserve">项目属性:货物类项目。</w:t>
      </w:r>
      <w:bookmarkEnd w:id="166"/>
      <w:r/>
      <w:bookmarkEnd w:id="167"/>
      <w:r/>
      <w:r/>
    </w:p>
    <w:p>
      <w:pPr>
        <w:pStyle w:val="665"/>
        <w:jc w:val="both"/>
        <w:spacing w:beforeAutospacing="0" w:afterAutospacing="0" w:line="360" w:lineRule="auto"/>
        <w:rPr>
          <w:rFonts w:ascii="宋体" w:hAnsi="宋体" w:eastAsia="宋体"/>
          <w:b/>
          <w:color w:val="auto"/>
          <w:szCs w:val="21"/>
        </w:rPr>
      </w:pPr>
      <w:r>
        <w:rPr>
          <w:rFonts w:hint="eastAsia" w:ascii="宋体" w:hAnsi="宋体" w:eastAsia="宋体"/>
          <w:b/>
          <w:color w:val="auto"/>
          <w:szCs w:val="21"/>
          <w:lang w:val="zh-CN"/>
        </w:rPr>
        <w:t xml:space="preserve">一、</w:t>
      </w:r>
      <w:r>
        <w:rPr>
          <w:rFonts w:hint="eastAsia" w:ascii="宋体" w:hAnsi="宋体" w:eastAsia="宋体"/>
          <w:b/>
          <w:color w:val="auto"/>
          <w:szCs w:val="21"/>
        </w:rPr>
        <w:t xml:space="preserve">项目概况</w:t>
      </w:r>
      <w:r/>
    </w:p>
    <w:p>
      <w:pPr>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1.项目名称：江苏省盐城技师学院数字媒体、人工智能产业学院建设项目</w:t>
      </w:r>
      <w:r/>
    </w:p>
    <w:p>
      <w:pPr>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2.预算金额及最高限价：504.6761万元</w:t>
      </w:r>
      <w:r/>
    </w:p>
    <w:p>
      <w:pPr>
        <w:spacing w:line="360" w:lineRule="auto"/>
        <w:rPr>
          <w:rFonts w:ascii="宋体" w:hAnsi="宋体" w:eastAsia="宋体" w:cs="宋体"/>
          <w:bCs/>
          <w:color w:val="auto"/>
          <w:sz w:val="24"/>
          <w:szCs w:val="21"/>
        </w:rPr>
      </w:pPr>
      <w:r>
        <w:rPr>
          <w:rFonts w:hint="eastAsia" w:ascii="宋体" w:hAnsi="宋体" w:eastAsia="宋体" w:cs="Times New Roman"/>
          <w:bCs/>
          <w:color w:val="auto"/>
          <w:sz w:val="24"/>
          <w:szCs w:val="21"/>
        </w:rPr>
        <w:t xml:space="preserve">3.采购内容</w:t>
      </w:r>
      <w:r>
        <w:rPr>
          <w:rFonts w:hint="eastAsia" w:ascii="宋体" w:hAnsi="宋体" w:eastAsia="宋体" w:cs="宋体"/>
          <w:bCs/>
          <w:color w:val="auto"/>
          <w:sz w:val="24"/>
          <w:szCs w:val="21"/>
        </w:rPr>
        <w:t xml:space="preserve">：江苏省盐城技师学院数字媒体、人工智能产业学院建设项目</w:t>
      </w:r>
      <w:r>
        <w:rPr>
          <w:rFonts w:hint="eastAsia" w:ascii="宋体" w:hAnsi="宋体" w:eastAsia="宋体" w:cs="宋体"/>
          <w:color w:val="auto"/>
          <w:sz w:val="24"/>
        </w:rPr>
        <w:t xml:space="preserve">。</w:t>
      </w:r>
      <w:r/>
    </w:p>
    <w:p>
      <w:pPr>
        <w:pStyle w:val="665"/>
        <w:jc w:val="both"/>
        <w:spacing w:beforeAutospacing="0" w:afterAutospacing="0" w:line="360" w:lineRule="auto"/>
        <w:rPr>
          <w:rFonts w:ascii="宋体" w:hAnsi="宋体" w:eastAsia="宋体" w:cs="宋体"/>
          <w:bCs/>
          <w:color w:val="auto"/>
        </w:rPr>
      </w:pPr>
      <w:r>
        <w:rPr>
          <w:rFonts w:hint="eastAsia" w:ascii="宋体" w:hAnsi="宋体" w:eastAsia="宋体" w:cs="宋体"/>
          <w:bCs/>
          <w:color w:val="auto"/>
          <w:szCs w:val="21"/>
        </w:rPr>
        <w:t xml:space="preserve">4.</w:t>
      </w:r>
      <w:r>
        <w:rPr>
          <w:rFonts w:hint="eastAsia" w:ascii="宋体" w:hAnsi="宋体" w:eastAsia="宋体" w:cs="宋体"/>
          <w:color w:val="auto"/>
          <w:lang w:bidi="ar"/>
        </w:rPr>
        <w:t xml:space="preserve">必须在合同签订后60个日历天内完成到货、安装、调试工作并交付使用，中标价包括安装调试过程中产生的一切费用</w:t>
      </w:r>
      <w:r>
        <w:rPr>
          <w:rFonts w:hint="eastAsia" w:ascii="宋体" w:hAnsi="宋体" w:eastAsia="宋体" w:cs="宋体"/>
          <w:bCs/>
          <w:color w:val="auto"/>
        </w:rPr>
        <w:t xml:space="preserve">。</w:t>
      </w:r>
      <w:r/>
    </w:p>
    <w:p>
      <w:pPr>
        <w:pStyle w:val="665"/>
        <w:jc w:val="both"/>
        <w:spacing w:beforeAutospacing="0" w:afterAutospacing="0" w:line="360" w:lineRule="auto"/>
        <w:rPr>
          <w:rFonts w:ascii="宋体" w:hAnsi="宋体" w:eastAsia="宋体" w:cs="宋体"/>
          <w:bCs/>
          <w:color w:val="auto"/>
        </w:rPr>
      </w:pPr>
      <w:r>
        <w:rPr>
          <w:rFonts w:hint="eastAsia" w:ascii="宋体" w:hAnsi="宋体" w:eastAsia="宋体" w:cs="宋体"/>
          <w:bCs/>
          <w:color w:val="auto"/>
        </w:rPr>
        <w:t xml:space="preserve">5.核心产品：虚拟制片UNREAL背景资源平台、3D惯性动作捕捉设备、智能机器人。</w:t>
      </w:r>
      <w:r/>
    </w:p>
    <w:p>
      <w:pPr>
        <w:pStyle w:val="665"/>
        <w:jc w:val="both"/>
        <w:spacing w:beforeAutospacing="0" w:afterAutospacing="0" w:line="360" w:lineRule="auto"/>
        <w:rPr>
          <w:rFonts w:ascii="宋体" w:hAnsi="宋体" w:eastAsia="宋体" w:cs="宋体"/>
          <w:bCs/>
          <w:color w:val="auto"/>
        </w:rPr>
      </w:pPr>
      <w:r>
        <w:rPr>
          <w:rFonts w:ascii="宋体" w:hAnsi="宋体" w:eastAsia="宋体" w:cs="宋体"/>
          <w:bCs/>
          <w:color w:val="auto"/>
        </w:rPr>
      </w:r>
      <w:r/>
    </w:p>
    <w:p>
      <w:pPr>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lang w:val="zh-CN"/>
        </w:rPr>
        <w:t xml:space="preserve">二、</w:t>
      </w:r>
      <w:r>
        <w:rPr>
          <w:rFonts w:hint="eastAsia" w:ascii="宋体" w:hAnsi="宋体" w:eastAsia="宋体" w:cs="Times New Roman"/>
          <w:b/>
          <w:color w:val="auto"/>
          <w:sz w:val="24"/>
          <w:szCs w:val="21"/>
        </w:rPr>
        <w:t xml:space="preserve">项目</w:t>
      </w:r>
      <w:r>
        <w:rPr>
          <w:rFonts w:ascii="宋体" w:hAnsi="宋体" w:eastAsia="宋体" w:cs="Times New Roman"/>
          <w:b/>
          <w:color w:val="auto"/>
          <w:sz w:val="24"/>
          <w:szCs w:val="21"/>
        </w:rPr>
        <w:t xml:space="preserve">明细表</w:t>
      </w:r>
      <w:r/>
    </w:p>
    <w:p>
      <w:pPr>
        <w:pStyle w:val="665"/>
        <w:numPr>
          <w:ilvl w:val="0"/>
          <w:numId w:val="1"/>
        </w:numPr>
        <w:jc w:val="both"/>
        <w:spacing w:beforeAutospacing="0" w:afterAutospacing="0" w:line="0" w:lineRule="atLeast"/>
        <w:rPr>
          <w:rFonts w:ascii="宋体" w:hAnsi="宋体" w:eastAsia="宋体"/>
          <w:b/>
          <w:color w:val="auto"/>
          <w:szCs w:val="21"/>
        </w:rPr>
      </w:pPr>
      <w:r>
        <w:rPr>
          <w:rFonts w:hint="eastAsia" w:ascii="宋体" w:hAnsi="宋体" w:eastAsia="宋体"/>
          <w:b/>
          <w:color w:val="auto"/>
          <w:szCs w:val="21"/>
        </w:rPr>
        <w:t xml:space="preserve">数字媒体</w:t>
      </w:r>
      <w:r/>
    </w:p>
    <w:tbl>
      <w:tblPr>
        <w:tblStyle w:val="642"/>
        <w:tblW w:w="4876" w:type="pct"/>
        <w:jc w:val="center"/>
        <w:tblLayout w:type="fixed"/>
        <w:tblCellMar>
          <w:left w:w="64" w:type="dxa"/>
          <w:top w:w="32" w:type="dxa"/>
          <w:right w:w="64" w:type="dxa"/>
          <w:bottom w:w="32" w:type="dxa"/>
        </w:tblCellMar>
        <w:tblLook w:val="04A0" w:firstRow="1" w:lastRow="0" w:firstColumn="1" w:lastColumn="0" w:noHBand="0" w:noVBand="1"/>
      </w:tblPr>
      <w:tblGrid>
        <w:gridCol w:w="534"/>
        <w:gridCol w:w="467"/>
        <w:gridCol w:w="535"/>
        <w:gridCol w:w="5591"/>
        <w:gridCol w:w="461"/>
        <w:gridCol w:w="637"/>
      </w:tblGrid>
      <w:tr>
        <w:trPr>
          <w:jc w:val="center"/>
        </w:trPr>
        <w:tc>
          <w:tcPr>
            <w:shd w:val="clear" w:color="auto" w:fill="auto"/>
            <w:tcBorders>
              <w:top w:val="single" w:color="000000" w:sz="4" w:space="0"/>
              <w:left w:val="single" w:color="000000" w:sz="4" w:space="0"/>
              <w:bottom w:val="single" w:color="auto" w:sz="4" w:space="0"/>
              <w:right w:val="single" w:color="auto" w:sz="4" w:space="0"/>
            </w:tcBorders>
            <w:tcW w:w="324" w:type="pct"/>
            <w:vAlign w:val="center"/>
            <w:textDirection w:val="lrTb"/>
            <w:noWrap/>
          </w:tcPr>
          <w:p>
            <w:pPr>
              <w:jc w:val="center"/>
              <w:rPr>
                <w:rFonts w:ascii="微软雅黑" w:hAnsi="微软雅黑" w:eastAsia="微软雅黑" w:cs="微软雅黑"/>
                <w:b/>
                <w:color w:val="auto"/>
                <w:sz w:val="16"/>
                <w:szCs w:val="16"/>
              </w:rPr>
            </w:pPr>
            <w:r>
              <w:rPr>
                <w:rFonts w:hint="eastAsia" w:ascii="微软雅黑" w:hAnsi="微软雅黑" w:eastAsia="微软雅黑" w:cs="微软雅黑"/>
                <w:b/>
                <w:color w:val="auto"/>
                <w:sz w:val="16"/>
                <w:szCs w:val="16"/>
                <w:lang w:bidi="ar"/>
              </w:rPr>
              <w:t xml:space="preserve">实训室</w:t>
            </w:r>
            <w:r/>
          </w:p>
        </w:tc>
        <w:tc>
          <w:tcPr>
            <w:shd w:val="clear" w:color="auto" w:fill="auto"/>
            <w:tcBorders>
              <w:top w:val="single" w:color="auto" w:sz="4" w:space="0"/>
              <w:left w:val="single" w:color="auto" w:sz="4" w:space="0"/>
              <w:bottom w:val="single" w:color="000000" w:sz="4" w:space="0"/>
              <w:right w:val="single" w:color="000000" w:sz="4" w:space="0"/>
            </w:tcBorders>
            <w:tcW w:w="284" w:type="pct"/>
            <w:vAlign w:val="center"/>
            <w:textDirection w:val="lrTb"/>
            <w:noWrap/>
          </w:tcPr>
          <w:p>
            <w:pPr>
              <w:jc w:val="center"/>
              <w:rPr>
                <w:rFonts w:ascii="微软雅黑" w:hAnsi="微软雅黑" w:eastAsia="微软雅黑" w:cs="微软雅黑"/>
                <w:b/>
                <w:color w:val="auto"/>
                <w:sz w:val="16"/>
                <w:szCs w:val="16"/>
              </w:rPr>
            </w:pPr>
            <w:r>
              <w:rPr>
                <w:rFonts w:hint="eastAsia" w:ascii="微软雅黑" w:hAnsi="微软雅黑" w:eastAsia="微软雅黑" w:cs="微软雅黑"/>
                <w:b/>
                <w:color w:val="auto"/>
                <w:sz w:val="16"/>
                <w:szCs w:val="16"/>
                <w:lang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325" w:type="pct"/>
            <w:vAlign w:val="center"/>
            <w:textDirection w:val="lrTb"/>
            <w:noWrap/>
          </w:tcPr>
          <w:p>
            <w:pPr>
              <w:jc w:val="center"/>
              <w:rPr>
                <w:rFonts w:ascii="微软雅黑" w:hAnsi="微软雅黑" w:eastAsia="微软雅黑" w:cs="微软雅黑"/>
                <w:b/>
                <w:color w:val="auto"/>
                <w:sz w:val="16"/>
                <w:szCs w:val="16"/>
              </w:rPr>
            </w:pPr>
            <w:r>
              <w:rPr>
                <w:rFonts w:hint="eastAsia" w:ascii="微软雅黑" w:hAnsi="微软雅黑" w:eastAsia="微软雅黑" w:cs="微软雅黑"/>
                <w:b/>
                <w:color w:val="auto"/>
                <w:sz w:val="16"/>
                <w:szCs w:val="16"/>
                <w:lang w:bidi="ar"/>
              </w:rPr>
              <w:t xml:space="preserve">设备名称</w:t>
            </w:r>
            <w:r/>
          </w:p>
        </w:tc>
        <w:tc>
          <w:tcPr>
            <w:shd w:val="clear" w:color="auto" w:fill="auto"/>
            <w:tcBorders>
              <w:top w:val="single" w:color="auto" w:sz="4" w:space="0"/>
              <w:left w:val="single" w:color="000000" w:sz="4" w:space="0"/>
              <w:bottom w:val="single" w:color="000000" w:sz="4" w:space="0"/>
              <w:right w:val="single" w:color="auto" w:sz="4" w:space="0"/>
            </w:tcBorders>
            <w:tcW w:w="3398" w:type="pct"/>
            <w:vAlign w:val="center"/>
            <w:textDirection w:val="lrTb"/>
            <w:noWrap w:val="false"/>
          </w:tcPr>
          <w:p>
            <w:pPr>
              <w:jc w:val="center"/>
              <w:rPr>
                <w:rFonts w:ascii="微软雅黑" w:hAnsi="微软雅黑" w:eastAsia="微软雅黑" w:cs="微软雅黑"/>
                <w:b/>
                <w:bCs/>
                <w:color w:val="auto"/>
                <w:sz w:val="16"/>
                <w:szCs w:val="16"/>
              </w:rPr>
            </w:pPr>
            <w:r>
              <w:rPr>
                <w:rFonts w:hint="eastAsia" w:ascii="微软雅黑" w:hAnsi="微软雅黑" w:eastAsia="微软雅黑" w:cs="微软雅黑"/>
                <w:b/>
                <w:bCs/>
                <w:color w:val="auto"/>
                <w:sz w:val="16"/>
                <w:szCs w:val="16"/>
                <w:lang w:bidi="ar"/>
              </w:rPr>
              <w:t xml:space="preserve">技术参数</w:t>
            </w:r>
            <w:r/>
          </w:p>
        </w:tc>
        <w:tc>
          <w:tcPr>
            <w:shd w:val="clear" w:color="auto" w:fill="auto"/>
            <w:tcBorders>
              <w:top w:val="single" w:color="000000" w:sz="4" w:space="0"/>
              <w:left w:val="single" w:color="auto" w:sz="4" w:space="0"/>
              <w:bottom w:val="single" w:color="000000" w:sz="4" w:space="0"/>
              <w:right w:val="single" w:color="000000" w:sz="4" w:space="0"/>
            </w:tcBorders>
            <w:tcW w:w="280" w:type="pct"/>
            <w:vAlign w:val="center"/>
            <w:textDirection w:val="lrTb"/>
            <w:noWrap w:val="false"/>
          </w:tcPr>
          <w:p>
            <w:pPr>
              <w:jc w:val="center"/>
              <w:rPr>
                <w:rFonts w:ascii="微软雅黑" w:hAnsi="微软雅黑" w:eastAsia="微软雅黑" w:cs="微软雅黑"/>
                <w:b/>
                <w:bCs/>
                <w:color w:val="auto"/>
                <w:sz w:val="16"/>
                <w:szCs w:val="16"/>
              </w:rPr>
            </w:pPr>
            <w:r>
              <w:rPr>
                <w:rFonts w:hint="eastAsia" w:ascii="微软雅黑" w:hAnsi="微软雅黑" w:eastAsia="微软雅黑" w:cs="微软雅黑"/>
                <w:b/>
                <w:bCs/>
                <w:color w:val="auto"/>
                <w:sz w:val="16"/>
                <w:szCs w:val="16"/>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ascii="微软雅黑" w:hAnsi="微软雅黑" w:eastAsia="微软雅黑" w:cs="微软雅黑"/>
                <w:b/>
                <w:bCs/>
                <w:color w:val="auto"/>
                <w:sz w:val="16"/>
                <w:szCs w:val="16"/>
              </w:rPr>
            </w:pPr>
            <w:r>
              <w:rPr>
                <w:rFonts w:hint="eastAsia" w:ascii="微软雅黑" w:hAnsi="微软雅黑" w:eastAsia="微软雅黑" w:cs="微软雅黑"/>
                <w:b/>
                <w:bCs/>
                <w:color w:val="auto"/>
                <w:sz w:val="16"/>
                <w:szCs w:val="16"/>
                <w:lang w:bidi="ar"/>
              </w:rPr>
              <w:t xml:space="preserve">数量</w:t>
            </w:r>
            <w:r/>
          </w:p>
        </w:tc>
      </w:tr>
      <w:tr>
        <w:trPr>
          <w:jc w:val="center"/>
          <w:trHeight w:val="312"/>
        </w:trPr>
        <w:tc>
          <w:tcPr>
            <w:shd w:val="clear" w:color="auto" w:fill="auto"/>
            <w:tcBorders>
              <w:top w:val="single" w:color="auto"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数字音频录编实训室（2间）1005</w:t>
            </w:r>
            <w:r/>
          </w:p>
        </w:tc>
        <w:tc>
          <w:tcPr>
            <w:shd w:val="clear" w:color="auto" w:fill="auto"/>
            <w:tcBorders>
              <w:top w:val="single" w:color="000000" w:sz="4" w:space="0"/>
              <w:left w:val="single" w:color="auto" w:sz="4" w:space="0"/>
              <w:right w:val="single" w:color="000000" w:sz="4" w:space="0"/>
            </w:tcBorders>
            <w:tcW w:w="284" w:type="pct"/>
            <w:vAlign w:val="center"/>
            <w:vMerge w:val="restart"/>
            <w:textDirection w:val="lrTb"/>
            <w:noWrap/>
          </w:tcPr>
          <w:p>
            <w:pPr>
              <w:jc w:val="center"/>
              <w:rPr>
                <w:color w:val="auto"/>
              </w:rPr>
            </w:pPr>
            <w:r>
              <w:rPr>
                <w:rFonts w:hint="eastAsia" w:ascii="微软雅黑" w:hAnsi="微软雅黑" w:eastAsia="微软雅黑" w:cs="微软雅黑"/>
                <w:color w:val="auto"/>
                <w:sz w:val="16"/>
                <w:szCs w:val="16"/>
                <w:lang w:bidi="ar"/>
              </w:rPr>
              <w:t xml:space="preserve">1</w:t>
            </w:r>
            <w:r/>
          </w:p>
        </w:tc>
        <w:tc>
          <w:tcPr>
            <w:shd w:val="clear" w:color="auto" w:fill="auto"/>
            <w:tcBorders>
              <w:top w:val="single" w:color="000000"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音频控制设备</w:t>
            </w:r>
            <w:r/>
          </w:p>
        </w:tc>
        <w:tc>
          <w:tcPr>
            <w:shd w:val="clear" w:color="auto" w:fill="auto"/>
            <w:tcBorders>
              <w:top w:val="single" w:color="000000" w:sz="4" w:space="0"/>
              <w:left w:val="single" w:color="000000" w:sz="4" w:space="0"/>
              <w:bottom w:val="single" w:color="000000"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一、控制台面</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1.输入通道≥10路（含话筒、线路及乐器输入）；</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2.内置多轨录音功能，支持SD卡直接录音，采样率 ≥24bit/48kHz；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3.100mm推子≥8个，支持通道电平精确调节；</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4.内置DSP效果器，含混响、延时、合唱等效果；</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5.配备全金属外壳，坚固耐用，适合专业使用；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6.内置USB音频接口，支持与DAW录音软件联机使用；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7.支持MIDI同步及传输，含MIDI输入/输出接口；</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8.内置监听控制功能及独立耳机输出；</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9.配备倒带轮（Transport Control），可控制播放/录音；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10.支持扩展使用，可与其他设备级联；</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11.内置蓝牙功能，可接收无线音频信号。</w:t>
            </w:r>
            <w:r/>
          </w:p>
        </w:tc>
        <w:tc>
          <w:tcPr>
            <w:shd w:val="clear" w:color="auto" w:fill="auto"/>
            <w:tcBorders>
              <w:top w:val="single" w:color="000000" w:sz="4" w:space="0"/>
              <w:left w:val="single" w:color="auto" w:sz="4" w:space="0"/>
              <w:bottom w:val="single" w:color="000000"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000000" w:sz="4" w:space="0"/>
              <w:left w:val="none" w:color="000000" w:sz="4" w:space="0"/>
              <w:bottom w:val="single" w:color="000000"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二、专业输入处理设备</w:t>
            </w:r>
            <w:r/>
          </w:p>
          <w:p>
            <w:pPr>
              <w:jc w:val="left"/>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1.双通道 USB 音频接口；</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2.支持不低于 24-bit / 192 kHz 高解析度 AD/DA 转换；</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3.内置不少于2 路话筒/线路/乐器输入，采用经典变压器平衡话放；</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4.每通道具备独立增益控制，增益范围≥ 60 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5.配备 48V 幻象电源、Pad 衰减、相位反转等功能；</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6.内置 不少于2 路平衡线路输出、不少于1 路高功率耳机输出；</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7.配置USB 3.0 接口，支持低延迟音频传输，兼容 Mac 与 Windows 系统；</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8.全金属外壳设计，坚固耐用，适合专业录音棚与移动录音；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9.支持 MIDI I/O 接口，用于外部设备同步与控制；</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10.可直接连接 DAW 软件，实现高品质录音与回放。</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三、音频工作站配套软件</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1.音频轨道：≥2048；</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 乐器轨道：≥512；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MIDI 轨道：≥1024；</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辅助轨道/路由文件夹：≥1024/1024；</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 VCA 轨道：≥128；</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6.主轨道：≥512；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7.视频轨道：≥64；</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 同时录制输入：≥256 (Core Audio、ASIO)、192 (HDX Hybrid Engine、HDX Classic)、64 (HD Native)；</w:t>
            </w:r>
            <w:r/>
          </w:p>
          <w:p>
            <w:pPr>
              <w:jc w:val="left"/>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9.多通道混音：支持立体声、环绕声、Dolby Atmos、高保真立体声音响；</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四、音频处理监看电视设备</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w:t>
            </w:r>
            <w:r>
              <w:rPr>
                <w:rFonts w:hint="eastAsia" w:ascii="微软雅黑" w:hAnsi="微软雅黑" w:eastAsia="微软雅黑" w:cs="微软雅黑"/>
                <w:color w:val="auto"/>
                <w:sz w:val="16"/>
                <w:szCs w:val="16"/>
                <w:lang w:bidi="ar"/>
              </w:rPr>
              <w:t xml:space="preserve">运行内存</w:t>
            </w:r>
            <w:r>
              <w:rPr>
                <w:rFonts w:ascii="微软雅黑" w:hAnsi="微软雅黑" w:eastAsia="微软雅黑" w:cs="微软雅黑"/>
                <w:color w:val="auto"/>
                <w:sz w:val="16"/>
                <w:szCs w:val="16"/>
                <w:lang w:bidi="ar"/>
              </w:rPr>
              <w:t xml:space="preserve">/RAM</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4GB</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2.</w:t>
            </w:r>
            <w:r>
              <w:rPr>
                <w:rFonts w:hint="eastAsia" w:ascii="微软雅黑" w:hAnsi="微软雅黑" w:eastAsia="微软雅黑" w:cs="微软雅黑"/>
                <w:color w:val="auto"/>
                <w:sz w:val="16"/>
                <w:szCs w:val="16"/>
                <w:lang w:bidi="ar"/>
              </w:rPr>
              <w:t xml:space="preserve">发声单元个数：≥</w:t>
            </w:r>
            <w:r>
              <w:rPr>
                <w:rFonts w:ascii="微软雅黑" w:hAnsi="微软雅黑" w:eastAsia="微软雅黑" w:cs="微软雅黑"/>
                <w:color w:val="auto"/>
                <w:sz w:val="16"/>
                <w:szCs w:val="16"/>
                <w:lang w:bidi="ar"/>
              </w:rPr>
              <w:t xml:space="preserve">2</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3.</w:t>
            </w:r>
            <w:r>
              <w:rPr>
                <w:rFonts w:hint="eastAsia" w:ascii="微软雅黑" w:hAnsi="微软雅黑" w:eastAsia="微软雅黑" w:cs="微软雅黑"/>
                <w:color w:val="auto"/>
                <w:sz w:val="16"/>
                <w:szCs w:val="16"/>
                <w:lang w:bidi="ar"/>
              </w:rPr>
              <w:t xml:space="preserve">存储内存：≥</w:t>
            </w:r>
            <w:r>
              <w:rPr>
                <w:rFonts w:ascii="微软雅黑" w:hAnsi="微软雅黑" w:eastAsia="微软雅黑" w:cs="微软雅黑"/>
                <w:color w:val="auto"/>
                <w:sz w:val="16"/>
                <w:szCs w:val="16"/>
                <w:lang w:bidi="ar"/>
              </w:rPr>
              <w:t xml:space="preserve">64GB</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4.</w:t>
            </w:r>
            <w:r>
              <w:rPr>
                <w:rFonts w:hint="eastAsia" w:ascii="微软雅黑" w:hAnsi="微软雅黑" w:eastAsia="微软雅黑" w:cs="微软雅黑"/>
                <w:color w:val="auto"/>
                <w:sz w:val="16"/>
                <w:szCs w:val="16"/>
                <w:lang w:bidi="ar"/>
              </w:rPr>
              <w:t xml:space="preserve">色域标准：</w:t>
            </w:r>
            <w:r>
              <w:rPr>
                <w:rFonts w:ascii="微软雅黑" w:hAnsi="微软雅黑" w:eastAsia="微软雅黑" w:cs="微软雅黑"/>
                <w:color w:val="auto"/>
                <w:sz w:val="16"/>
                <w:szCs w:val="16"/>
                <w:lang w:bidi="ar"/>
              </w:rPr>
              <w:t xml:space="preserve">DCI-P3</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5.</w:t>
            </w:r>
            <w:r>
              <w:rPr>
                <w:rFonts w:hint="eastAsia" w:ascii="微软雅黑" w:hAnsi="微软雅黑" w:eastAsia="微软雅黑" w:cs="微软雅黑"/>
                <w:color w:val="auto"/>
                <w:sz w:val="16"/>
                <w:szCs w:val="16"/>
                <w:lang w:bidi="ar"/>
              </w:rPr>
              <w:t xml:space="preserve">屏幕尺寸：</w:t>
            </w:r>
            <w:r>
              <w:rPr>
                <w:rFonts w:ascii="微软雅黑" w:hAnsi="微软雅黑" w:eastAsia="微软雅黑" w:cs="微软雅黑"/>
                <w:color w:val="auto"/>
                <w:sz w:val="16"/>
                <w:szCs w:val="16"/>
                <w:lang w:bidi="ar"/>
              </w:rPr>
              <w:t xml:space="preserve">70-77</w:t>
            </w:r>
            <w:r>
              <w:rPr>
                <w:rFonts w:hint="eastAsia" w:ascii="微软雅黑" w:hAnsi="微软雅黑" w:eastAsia="微软雅黑" w:cs="微软雅黑"/>
                <w:color w:val="auto"/>
                <w:sz w:val="16"/>
                <w:szCs w:val="16"/>
                <w:lang w:bidi="ar"/>
              </w:rPr>
              <w:t xml:space="preserve">英寸</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6.</w:t>
            </w:r>
            <w:r>
              <w:rPr>
                <w:rFonts w:hint="eastAsia" w:ascii="微软雅黑" w:hAnsi="微软雅黑" w:eastAsia="微软雅黑" w:cs="微软雅黑"/>
                <w:color w:val="auto"/>
                <w:sz w:val="16"/>
                <w:szCs w:val="16"/>
                <w:lang w:bidi="ar"/>
              </w:rPr>
              <w:t xml:space="preserve">屏幕分辨率：超高清</w:t>
            </w:r>
            <w:r>
              <w:rPr>
                <w:rFonts w:ascii="微软雅黑" w:hAnsi="微软雅黑" w:eastAsia="微软雅黑" w:cs="微软雅黑"/>
                <w:color w:val="auto"/>
                <w:sz w:val="16"/>
                <w:szCs w:val="16"/>
                <w:lang w:bidi="ar"/>
              </w:rPr>
              <w:t xml:space="preserve">4K</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7.</w:t>
            </w:r>
            <w:r>
              <w:rPr>
                <w:rFonts w:hint="eastAsia" w:ascii="微软雅黑" w:hAnsi="微软雅黑" w:eastAsia="微软雅黑" w:cs="微软雅黑"/>
                <w:color w:val="auto"/>
                <w:sz w:val="16"/>
                <w:szCs w:val="16"/>
                <w:lang w:bidi="ar"/>
              </w:rPr>
              <w:t xml:space="preserve">背光方式：直下式</w:t>
            </w:r>
            <w:r>
              <w:rPr>
                <w:rFonts w:ascii="微软雅黑" w:hAnsi="微软雅黑" w:eastAsia="微软雅黑" w:cs="微软雅黑"/>
                <w:color w:val="auto"/>
                <w:sz w:val="16"/>
                <w:szCs w:val="16"/>
                <w:lang w:bidi="ar"/>
              </w:rPr>
              <w:t xml:space="preserve">/DLED</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8.</w:t>
            </w:r>
            <w:r>
              <w:rPr>
                <w:rFonts w:hint="eastAsia" w:ascii="微软雅黑" w:hAnsi="微软雅黑" w:eastAsia="微软雅黑" w:cs="微软雅黑"/>
                <w:color w:val="auto"/>
                <w:sz w:val="16"/>
                <w:szCs w:val="16"/>
                <w:lang w:bidi="ar"/>
              </w:rPr>
              <w:t xml:space="preserve">能效等级：相当于或优于一级能效</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9.CPU架构：相当或优于四核， 频率≥1.5GHz </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10.</w:t>
            </w:r>
            <w:r>
              <w:rPr>
                <w:rFonts w:hint="eastAsia" w:ascii="微软雅黑" w:hAnsi="微软雅黑" w:eastAsia="微软雅黑" w:cs="微软雅黑"/>
                <w:color w:val="auto"/>
                <w:sz w:val="16"/>
                <w:szCs w:val="16"/>
                <w:lang w:bidi="ar"/>
              </w:rPr>
              <w:t xml:space="preserve">刷新率：≥</w:t>
            </w:r>
            <w:r>
              <w:rPr>
                <w:rFonts w:ascii="微软雅黑" w:hAnsi="微软雅黑" w:eastAsia="微软雅黑" w:cs="微软雅黑"/>
                <w:color w:val="auto"/>
                <w:sz w:val="16"/>
                <w:szCs w:val="16"/>
                <w:lang w:bidi="ar"/>
              </w:rPr>
              <w:t xml:space="preserve">288Hz</w:t>
            </w:r>
            <w:r/>
          </w:p>
          <w:p>
            <w:pPr>
              <w:jc w:val="left"/>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11.WIFI</w:t>
            </w:r>
            <w:r>
              <w:rPr>
                <w:rFonts w:hint="eastAsia" w:ascii="微软雅黑" w:hAnsi="微软雅黑" w:eastAsia="微软雅黑" w:cs="微软雅黑"/>
                <w:color w:val="auto"/>
                <w:sz w:val="16"/>
                <w:szCs w:val="16"/>
                <w:lang w:bidi="ar"/>
              </w:rPr>
              <w:t xml:space="preserve">频段：</w:t>
            </w:r>
            <w:r>
              <w:rPr>
                <w:rFonts w:ascii="微软雅黑" w:hAnsi="微软雅黑" w:eastAsia="微软雅黑" w:cs="微软雅黑"/>
                <w:color w:val="auto"/>
                <w:sz w:val="16"/>
                <w:szCs w:val="16"/>
                <w:lang w:bidi="ar"/>
              </w:rPr>
              <w:t xml:space="preserve">2.4G&amp;5G</w:t>
            </w:r>
            <w:r/>
          </w:p>
          <w:p>
            <w:pPr>
              <w:jc w:val="left"/>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t xml:space="preserve">12.</w:t>
            </w:r>
            <w:r>
              <w:rPr>
                <w:rFonts w:hint="eastAsia" w:ascii="微软雅黑" w:hAnsi="微软雅黑" w:eastAsia="微软雅黑" w:cs="微软雅黑"/>
                <w:color w:val="auto"/>
                <w:sz w:val="16"/>
                <w:szCs w:val="16"/>
                <w:lang w:bidi="ar"/>
              </w:rPr>
              <w:t xml:space="preserve">电动遥控升降移动支架</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五、智能摄像设备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1.传感器：≥800万像素CMOS；</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2.分辨率：≥4K超清；</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3.网络：双频Wi-Fi 6（2.4GHz/5GHz）；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4.接口：Type-C供电（5V/2A），无数据接口；</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5.音频：双向语音通话（内置麦克风+扬声器）；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6.电源输入：5V/2A USB适配器；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7.功耗：≤5W；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w:t>
            </w:r>
            <w:r/>
          </w:p>
        </w:tc>
      </w:tr>
      <w:tr>
        <w:trPr>
          <w:jc w:val="center"/>
          <w:trHeight w:val="1187"/>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六、音频插件套装</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1.音频插件≥32个；</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2.模拟VCF滤波器≥30种；</w:t>
            </w:r>
            <w:r/>
          </w:p>
          <w:p>
            <w:pPr>
              <w:jc w:val="left"/>
              <w:widowControl/>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3.支持平台：电脑、手机等系统；</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2</w:t>
            </w:r>
            <w:r/>
          </w:p>
        </w:tc>
      </w:tr>
      <w:tr>
        <w:trPr>
          <w:jc w:val="center"/>
          <w:trHeight w:val="68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2</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音频输出设备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numPr>
                <w:ilvl w:val="0"/>
                <w:numId w:val="2"/>
              </w:num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监听音箱 </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1.音箱类型:二分频;有源音响;</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2.功放类别:D 类功率放大器;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3.功率:高频≥40W;低频≥60W;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4.高音单元：≥1英寸；</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5.低音单元：≥8英寸；</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6.频率响应(-10 dB):不低于37Hz - 25kHz;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7.频率范围(±3 dB): 不低于45Hz - 21kHz;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8.最大声压级:≥117dB;</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9.总谐波失真:≤2.5% (90dB SPL @1m);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372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二、超低音音箱 </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1.工作类型：有源；</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2.功放等级：D类功率放大器;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3.功率: ≥1000W；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4.低音单元：≥2 x 6.5 英寸高冲程低音扬声器；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5.频率响应(-10 dB）：不低于27Hz - 200Hz；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6.频率范围(±3 dB）：不低于31.5Hz - 180Hz；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7.最大声压级：≥120dB；</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8.系统谐波失真：≤2% (90dB SPL @1m)；</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包含音箱支架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1.高度可自由调节（可升高度820mm-1165mm）；</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2.升降柱体与套管柱体采用分离式设计；</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3.顶盘为可角度型托盘角度1-15度之间；</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207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三、录音师监听耳机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1.工作室参考级开放式动圈耳机；</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2.磁铁类型：钕；</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3.传感器类型：动圈；≥50mm；</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4.频率响应：不低于5Hz - 22kHz；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5.阻抗：≥32欧姆-适用于所有设备；</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6.耳罩尺寸：≥95mm（外径）；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72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四、监听耳机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封闭式监听耳机：</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1.频率响应：不低于20 Hz - 20 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2.阻抗：≥38 Ω；</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3.灵敏度：≥107 dB SPL/mW；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4.最大输入功率：≤500 mW；</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5.驱动单元：≥40 mm 动圈驱动；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6.耳罩类型：封闭式；</w:t>
            </w:r>
            <w:r>
              <w:rPr>
                <w:rFonts w:hint="eastAsia" w:ascii="微软雅黑" w:hAnsi="微软雅黑" w:eastAsia="微软雅黑" w:cs="微软雅黑"/>
                <w:color w:val="auto"/>
                <w:sz w:val="16"/>
                <w:szCs w:val="16"/>
                <w:highlight w:val="yellow"/>
                <w:lang w:bidi="ar"/>
              </w:rPr>
              <w:br/>
            </w:r>
            <w:r>
              <w:rPr>
                <w:rFonts w:hint="eastAsia" w:ascii="微软雅黑" w:hAnsi="微软雅黑" w:eastAsia="微软雅黑" w:cs="微软雅黑"/>
                <w:color w:val="auto"/>
                <w:sz w:val="16"/>
                <w:szCs w:val="16"/>
                <w:lang w:bidi="ar"/>
              </w:rPr>
              <w:t xml:space="preserve">7.线缆长度：≥2 m 直线缆；</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8.插头类型：3.5 mm 插头，带 6.3 mm 转接头；</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五、耳机放大器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1.提供不少于8路独立高功率立体声功放，每路均配备8位数字LED输出表；</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2.可实时监测信号电平；</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3.支持通过MAIN 1/MAIN 2开关快速切换两路主输入信号，满足多音源监听；</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4.主频部分配置五段LED输出表及独立电平调节旋钮，精准控制输入信号强度；</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5.后面板设置1/4英寸输出端、输入端及XLR平衡输入接口，兼容多种设备连接；</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包含耳机放大器定制安装架</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1.匹配耳机放大器；</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2.支架尺寸范围：70 - 76mm 毫米；</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8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3</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音频录入设备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一、话筒放大器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1.单通道话放模块；</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2.采用全离散 Class-A 电路设计，具备高保真放大特性；</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3.增益范围：≥ 70 dB，适用于各种话筒；</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 配备不少于3段 EQ 语音滤波（Air / Punch / Warm），可快速调音；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5.输入阻抗可切换，适配动圈、电容及带状话筒；</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6.内置 不低于15 dB Pad衰减；</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7.输出设有独立 Trim 控制，保证最佳电平匹配；</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8.机壳采用全金属屏蔽设计，抗干扰性能强；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59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二、话筒放大器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1.单通道电子管话放模块；</w:t>
            </w:r>
            <w:r>
              <w:rPr>
                <w:rFonts w:hint="eastAsia" w:ascii="微软雅黑" w:hAnsi="微软雅黑" w:eastAsia="微软雅黑" w:cs="微软雅黑"/>
                <w:color w:val="auto"/>
                <w:sz w:val="16"/>
                <w:szCs w:val="16"/>
                <w:highlight w:val="yellow"/>
                <w:lang w:bidi="ar"/>
              </w:rPr>
              <w:br/>
            </w:r>
            <w:r>
              <w:rPr>
                <w:rFonts w:hint="eastAsia" w:ascii="微软雅黑" w:hAnsi="微软雅黑" w:eastAsia="微软雅黑" w:cs="微软雅黑"/>
                <w:color w:val="auto"/>
                <w:sz w:val="16"/>
                <w:szCs w:val="16"/>
                <w:lang w:bidi="ar"/>
              </w:rPr>
              <w:t xml:space="preserve">2.内置 12AX7 真空管放大电路，提供温暖、顺滑的声音特性；</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3.增益范围≥ 55 dB，适合多种麦克风使用；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4.配备输入阻抗切换，支持动圈、电容及履带话筒；</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5.内置不少于15 dB Pad衰减、反相开关及 48V 幻象电源；</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6.输出设有独立 Trim 电平调节，优化后级匹配；</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7.前面板配有峰值 LED 电平指示，便于监测；</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8.全金属机壳，具备屏蔽设计，降低噪声干扰；</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48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三、母带压缩处理器 </w:t>
            </w:r>
            <w:r>
              <w:rPr>
                <w:rFonts w:hint="eastAsia" w:ascii="微软雅黑" w:hAnsi="微软雅黑" w:eastAsia="微软雅黑" w:cs="微软雅黑"/>
                <w:color w:val="auto"/>
                <w:sz w:val="16"/>
                <w:szCs w:val="16"/>
                <w:highlight w:val="yellow"/>
                <w:lang w:bidi="ar"/>
              </w:rPr>
              <w:br/>
            </w:r>
            <w:r>
              <w:rPr>
                <w:rFonts w:hint="eastAsia" w:ascii="微软雅黑" w:hAnsi="微软雅黑" w:eastAsia="微软雅黑" w:cs="微软雅黑"/>
                <w:color w:val="auto"/>
                <w:sz w:val="16"/>
                <w:szCs w:val="16"/>
                <w:lang w:bidi="ar"/>
              </w:rPr>
              <w:t xml:space="preserve">1.VCA立体声压缩器 1台；</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2.频率响应优于：不低于20Hz - 20kHz(0.1dB);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3.THD + N：≤0.008%(1kHz，0dBu)（WET); ≤0.004%(1kHz，0dBu)（Dry)；</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4.最大增益：≥24dB;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5.通过USB 集成管理;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6.完全数字控制和独立的模拟电路;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四、母带均衡处理器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1.双通道参量均衡器 1台；</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2.频率响应:不低于10Hz - 150kHz(-2dB);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3.总谐波失真:≤0.003%(1kHz，0dBu); ≤0.15%(1kHz，0dBu);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4.最大信号电平:≥+24dBu;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5.通过USB 集成管理;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6.完全数字控制和独立的模拟电路;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五、机架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1.插槽数量: ≥ 11 个插槽；</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2.技术支持: ISP（独立插槽电源）技术；</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3.内置功能: 立体声链路开关；</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4.电源要求:不低于5A 的功率；</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0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六、ADDA 转换器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1.输入ADC；</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2.频率响应：不低于20Hz-20kHz，+/- 0.1dB；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3.THD+N:≥-108 dB (0.0004%)；</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4.动态范围：≥116dB；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5.输出DAC；</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6.频率响应：不低于20Hz-20kHz，+/- 0.1dB；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7.THD+N:≥-105 dB (0.0005%)；</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8.动态范围：≥115dB；</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9.输入电平：+4 dBu/-10 dBV；</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10.最大输入电平：≥+20 dBu；</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11.允许数字控制和独立的模拟电路控制；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4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numPr>
                <w:ilvl w:val="0"/>
                <w:numId w:val="3"/>
              </w:num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多功能电容话筒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1.频率响应：不低于20Hz – 20KHz;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2.最大声压级：≥128 dB ( 1% THD at 1kHz); 140dB (-12dB 1% THD at 1kHz);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3.灵敏度：≥15mV/Pa (± 1dB)1kHz;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4.等效噪声级：≤21dB ( IEC 179-A);</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5.指向类型：心形；</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557"/>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八、大振膜电子管话筒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1.麦克风类型: 电子管；</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2.指向形: 不少于9种指向选择；</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3.灵敏度 :≥-35dBV；</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4.频响范围：不低于20Hz-20kHz；</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5.声压级：≥ 144dB SPL；</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6.配备带金属锁扣木质便携箱; 配备大型减震架，带有航空级悬挂环；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九、大振膜 FET 电容话筒 </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1.大振膜 FET 电容话筒，振膜厚度≤34mm/3µm；</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2.≥3 种可选极性指向模式：心形、8 字形、全向；</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3.配备大型减震架，带有航空级悬挂环；</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4.配备便携箱；</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5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十、有源动圈话筒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1.指向形:心形；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2.频率响应：≥20Hz-20kHz；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3.等效噪声:≤3.8dB /A-加权；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4.灵敏度: ≥12mV/Pa；</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5.最大声压级:≥132dB；</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bottom w:val="none" w:color="000000" w:sz="4" w:space="0"/>
              <w:right w:val="single" w:color="auto" w:sz="4" w:space="0"/>
            </w:tcBorders>
            <w:tcW w:w="324" w:type="pct"/>
            <w:vAlign w:val="center"/>
            <w:vMerge w:val="continue"/>
            <w:textDirection w:val="lrTb"/>
            <w:noWrap/>
          </w:tcPr>
          <w:p>
            <w:pP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十一、话筒防喷罩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1.材料：高密度海绵；</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2.适用话筒：圆头话筒；</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3.直径≥3cm；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p>
        </w:tc>
      </w:tr>
      <w:tr>
        <w:trPr>
          <w:jc w:val="center"/>
          <w:trHeight w:val="1332"/>
        </w:trPr>
        <w:tc>
          <w:tcPr>
            <w:shd w:val="clear" w:color="auto" w:fill="auto"/>
            <w:tcBorders>
              <w:top w:val="none" w:color="000000"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十二、话筒防潮箱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1.话筒防潮箱，≥50L；</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2.显示方式:微电脑LED温湿度显示器；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3.湿度显示范围:≥1%RH-99%RH；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4.输入电压:5V直流电输入(无安全隐患)；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5.箱体材质:优质冷轧钢板≥1毫米；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6.除湿范围:≥25%RH-70%RH；</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十三、话筒落地支架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1.横杆长度:≥70cm；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2.适用范围:24-45mm麦克风；</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3.高度范围:97cm-182cm；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16</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4</w:t>
            </w:r>
            <w:r/>
          </w:p>
        </w:tc>
        <w:tc>
          <w:tcPr>
            <w:shd w:val="clear" w:color="auto" w:fill="auto"/>
            <w:tcBorders>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音频线材及隔音附件</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一、空气净化器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1.额定功率：≥130W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2.额定电压：220V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3.支持语音控制；</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4.运行模式：自动模式、睡眠模式；</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rPr>
                <w:rFonts w:ascii="微软雅黑" w:hAnsi="微软雅黑" w:eastAsia="微软雅黑" w:cs="微软雅黑"/>
                <w:color w:val="auto"/>
                <w:sz w:val="16"/>
                <w:szCs w:val="16"/>
                <w:lang w:bidi="ar"/>
              </w:rPr>
              <w:t xml:space="preserve">能效等级</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二级能效</w:t>
            </w:r>
            <w:r>
              <w:rPr>
                <w:rFonts w:hint="eastAsia" w:ascii="微软雅黑" w:hAnsi="微软雅黑" w:eastAsia="微软雅黑" w:cs="微软雅黑"/>
                <w:color w:val="auto"/>
                <w:sz w:val="16"/>
                <w:szCs w:val="16"/>
                <w:lang w:bidi="ar"/>
              </w:rPr>
              <w:t xml:space="preserve">及以上；</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6.适用面积：≥60㎡；</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二、视频线材</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1.AV线类型：一分三转接线莲花头；</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2.AV线长度≥10米；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3.HDMI数字高清线长度≥10米；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4.屏蔽类型：双屏蔽；</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5.满足视频信号输出；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91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三、音频线材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 音响功放连接线类型：二对二双莲花头rca信号线；</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2.音响功放连接线长度≥20米；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3.HDMI转DVI连接线长度≥20米；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4.Type-C转3.5mm音频转接线长度≥20米；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5.满足视频信号输出；</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6.线材导体:精炼无氧铜；</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36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四、时序电源 </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1.通道数量:≥10路；</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2.辅助通道数量: ≥2路；</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3.通道额定电流: ≥13A；</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4.通道最大电流: ≥30A；</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5.通道总功率: ≥3500W；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5</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音频工作台套件</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一、录音棚控制桌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1.桌面尺寸：长度≥2.4米 宽度：1米  高度0.8米；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2.键盘抽屉: 长≥1.4米，宽≥0.35米，高≥0.15米；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3.材质：冷轧钢板、板材；</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4.冷轧钢板厚度：≥1.5毫米；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5.桌面板材厚度：≥2.5cm；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二、滑轮式人体工程学座椅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适配教学实训机房日常办公、长时间上机作业场景，整体采用人体工学结构设计，带移动滑轮结构，各项结构及配件参数满足以下全部要求：</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1.头部支撑组件：配置宽幅曲面3D结构头枕，可贴合人体头颈曲线完成头部支撑；</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2.座椅椅背：一体式固定椅背结构，椅背角度不可调节；</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3.腰部支撑组件：配置复合弹性骶骨支撑腰枕，可针对性支撑人体腰骶部位；</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4.座椅扶手：配置四向可调式多功能扶手；扶手水平旋转角度不大于360°，扶手向上翻转角度不大于90°；</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5.座椅坐垫：采用全网状透气一体式坐垫结构；</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6.座椅底盘：配备机械式旋钮控制底盘，可手动调节座椅后仰回弹阻尼力度；</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7.座椅后仰功能：支持三档后仰角度锁定，座椅最大后仰角度不大于135°；</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8.座椅网布面料：接触面采用波浪密纹高强度透气网布材质，耐磨透气、抗形变；</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张</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7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三、房间声学吸声板套装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1.吸音板核心材料为高密度玻璃纤维（密度 ≈ 6 lb/ft³ 或 96 kg/m³）；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2.面板厚度：≥50 mm（2 英寸），具有优异的宽频吸音特性；</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3.表面包裹透声聚酯织物，耐用且美观；</w:t>
            </w:r>
            <w:r/>
          </w:p>
          <w:p>
            <w:pPr>
              <w:jc w:val="left"/>
              <w:rPr>
                <w:rFonts w:ascii="微软雅黑" w:hAnsi="微软雅黑" w:eastAsia="微软雅黑" w:cs="微软雅黑"/>
                <w:color w:val="auto"/>
                <w:sz w:val="16"/>
                <w:szCs w:val="16"/>
                <w:highlight w:val="yellow"/>
                <w:lang w:bidi="ar"/>
              </w:rPr>
            </w:pPr>
            <w:r>
              <w:rPr>
                <w:rFonts w:hint="eastAsia" w:ascii="微软雅黑" w:hAnsi="微软雅黑" w:eastAsia="微软雅黑" w:cs="微软雅黑"/>
                <w:color w:val="auto"/>
                <w:sz w:val="16"/>
                <w:szCs w:val="16"/>
                <w:lang w:bidi="ar"/>
              </w:rPr>
              <w:t xml:space="preserve">4.提供三种面板类型，合计不少于44 块吸音板：</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 块 Broadband Panels（24″ × 48″ × 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2)≥16 块 Control Columns（12″ × 48″ × 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≥24 块 Scatter Blocks（12″ × 12″ × 1″）；</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5.标配安装硬件，包括≥56 个 Surface Impalers 和≥16 个 Corner Impalers，以及墙面锚定件与紧固螺丝；</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6.模块化设计，支持灵活布置，可快速安装与调整；</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7.吸音系数优异，覆盖广频段（125 Hz–20 kHz），优化房间声学性能；</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8.通过 ASTM E84 / CAN/ULC-S102 等国际防火安全认证；</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9.适用于专业录音棚、播音室、家庭影院、控制室等环境；</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635"/>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bottom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6</w:t>
            </w:r>
            <w:r/>
          </w:p>
        </w:tc>
        <w:tc>
          <w:tcPr>
            <w:shd w:val="clear" w:color="auto" w:fill="auto"/>
            <w:tcBorders>
              <w:top w:val="single" w:color="auto" w:sz="4" w:space="0"/>
              <w:left w:val="single" w:color="000000" w:sz="4" w:space="0"/>
              <w:bottom w:val="single" w:color="auto"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隔音静音舱</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一、隔音静音舱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1.尺寸规格：外部尺寸≥6m（长）×2.4m（宽）×2.7m（高），内部有效使用面积≥3.5㎡，适合中小型会议场景。舱体采用模块化设计，通过钢结构框架与双层钢化玻璃组合，既保证结构强度又兼顾透光性；</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2.隔音性能：采用多层复合隔音材料，包括≥12mm 隔音棉、阻尼隔音板及密封胶条，可实现≥45-50dB 的隔音效果（实验室数据），能有效隔绝外界日常办公噪音（如键盘声、交谈声），舱内背景噪＜30dB；</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3.通风系统：配备主动式新风系统，每小时换气量达≥80m³；</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4.电力与智能控制：内置 220V， 电源插座≥4 个、USB 接口≥2 个及 LED 照明系统，支持手机 APP 远程控制舱内温度（18-28℃可调）、灯光亮度及换气频率。舱门配备智能锁，可通过指纹、密码或刷卡解锁；</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5.框架钢材厚度：≥1.5mm；</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6.玻璃类型 夹胶隔音玻璃；</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7.双层真空玻璃厚度：≥6mm+6mm ；</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8.玻璃透光率：≥ 75%；</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p>
        </w:tc>
      </w:tr>
      <w:tr>
        <w:trPr>
          <w:jc w:val="center"/>
          <w:trHeight w:val="2151"/>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7</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实训室监控设备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一、门窗传感器2</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1.门窗开关状态监测（磁感应，间距≤18mm有效）；</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2.光照强弱判断（新增光敏传感器，支持明暗两档检测）；</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3.支持智能联动；</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4.OTA升级（支持固件远程更新）；</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5.超时未关提醒（可设置10秒至5分钟）；</w:t>
            </w:r>
            <w:r>
              <w:rPr>
                <w:rFonts w:hint="eastAsia" w:ascii="微软雅黑" w:hAnsi="微软雅黑" w:eastAsia="微软雅黑" w:cs="微软雅黑"/>
                <w:color w:val="auto"/>
                <w:sz w:val="16"/>
                <w:szCs w:val="16"/>
                <w:lang w:bidi="ar"/>
              </w:rPr>
              <w:br/>
            </w:r>
            <w:r>
              <w:rPr>
                <w:rFonts w:hint="eastAsia" w:ascii="微软雅黑" w:hAnsi="微软雅黑" w:eastAsia="微软雅黑" w:cs="微软雅黑"/>
                <w:color w:val="auto"/>
                <w:sz w:val="16"/>
                <w:szCs w:val="16"/>
                <w:lang w:bidi="ar"/>
              </w:rPr>
              <w:t xml:space="preserve">6.通信方式： 蓝牙5.1（需搭配蓝牙网关实现远程控制）；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w:t>
            </w:r>
            <w:r/>
          </w:p>
        </w:tc>
      </w:tr>
      <w:tr>
        <w:trPr>
          <w:jc w:val="center"/>
          <w:trHeight w:val="1332"/>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二、人在传感器1</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1.传感器类型：24GHz毫米波雷达 + PIR红外传感器（双模检测）；</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2.检测范围：动态感知：≥6米（人体移动）静态感知：≥4米（静止状态）；</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3.检测角度：130°广角覆盖；</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p>
        </w:tc>
      </w:tr>
      <w:tr>
        <w:trPr>
          <w:jc w:val="center"/>
          <w:trHeight w:val="1332"/>
        </w:trPr>
        <w:tc>
          <w:tcPr>
            <w:shd w:val="clear" w:color="auto" w:fill="auto"/>
            <w:tcBorders>
              <w:top w:val="none" w:color="000000" w:sz="4" w:space="0"/>
              <w:left w:val="single" w:color="000000" w:sz="4" w:space="0"/>
              <w:bottom w:val="non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三、人在传感器2</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1.动态追踪：≥7米（移动目标）；</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2.静态侦测：≥4米（静止人体）；</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3.检测角度：≥110°广角覆盖；</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4.分区能力：支持最多12个独立分区（最小0.5m×0.5m），无交叉干扰；</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5.多目标追踪：可同时追踪不少于3个人体目标；</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6.供电方式：USB-C；</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p>
        </w:tc>
      </w:tr>
      <w:tr>
        <w:trPr>
          <w:jc w:val="center"/>
          <w:trHeight w:val="905"/>
        </w:trPr>
        <w:tc>
          <w:tcPr>
            <w:shd w:val="clear" w:color="auto" w:fill="auto"/>
            <w:tcBorders>
              <w:top w:val="single" w:color="auto"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数字绘画实训室（1002）</w:t>
            </w:r>
            <w:r/>
          </w:p>
        </w:tc>
        <w:tc>
          <w:tcPr>
            <w:shd w:val="clear" w:color="auto" w:fill="auto"/>
            <w:tcBorders>
              <w:top w:val="single" w:color="auto" w:sz="4" w:space="0"/>
              <w:left w:val="single" w:color="auto" w:sz="4" w:space="0"/>
              <w:bottom w:val="none" w:color="000000"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8</w:t>
            </w:r>
            <w:r/>
          </w:p>
        </w:tc>
        <w:tc>
          <w:tcPr>
            <w:shd w:val="clear" w:color="auto" w:fill="auto"/>
            <w:tcBorders>
              <w:top w:val="single" w:color="auto" w:sz="4" w:space="0"/>
              <w:left w:val="single" w:color="000000" w:sz="4" w:space="0"/>
              <w:bottom w:val="non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数字绘画实训包</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实训包6套，每套包含数字绘画输入设备不少于6套，每套不少于11片手绘输入设备；实训平台课程不少于9门、实训资源36套。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一、数字绘画输入设备参数：</w:t>
            </w:r>
            <w:r/>
          </w:p>
          <w:p>
            <w:pPr>
              <w:widowControl/>
              <w:rPr>
                <w:rFonts w:ascii="微软雅黑" w:hAnsi="微软雅黑" w:eastAsia="微软雅黑" w:cs="微软雅黑"/>
                <w:strike/>
                <w:color w:val="auto"/>
                <w:sz w:val="16"/>
                <w:szCs w:val="16"/>
                <w:highlight w:val="yellow"/>
                <w:lang w:bidi="ar"/>
              </w:rPr>
            </w:pPr>
            <w:r>
              <w:rPr>
                <w:rFonts w:hint="eastAsia" w:ascii="微软雅黑" w:hAnsi="微软雅黑" w:eastAsia="微软雅黑" w:cs="微软雅黑"/>
                <w:color w:val="auto"/>
                <w:sz w:val="16"/>
                <w:szCs w:val="16"/>
                <w:lang w:bidi="ar"/>
              </w:rPr>
              <w:t xml:space="preserve">1.感应区域：≥260 x 140 毫米；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2.压感笔技术：有物理橡皮擦和系绳孔；</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3.具备高达 32K 压感灵敏8度的采样性能以 8,192 级压感输出；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4.跟笔报点率：≥300 rps（次/秒）；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5.侧锋倾：支持 ±60°倾斜感应及侧锋笔刷效果2 ；倾斜后笔尖及坐标位置始终保持精准；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6.快捷键：五向分布的快捷键及机械拨盘 2 组；位于数位板顶部位置两侧方便非利手配合键盘操作或惯用手单手操作；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7.快捷键功能：支持各种自定义功能包括感应区域的切换显示映射、调整笔刷大小、开启精准模式、启用径向菜单和网格菜单、自定义按键组合等；</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8.支持蓝牙 5.3 低功耗或 USB 有线连接方式；共具备不少于 3 个连接频道（2 x 蓝牙、1 x 有线），可方便切换不同设备提高效率；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9.每套数位板不少于10片、压感笔不少于11支；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二、数字绘画在线课程及实训平台：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1.实训平台功能参数：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该平台须具备以下基础功能模块：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[学生档案功能]建立学生职业档案，包含学生完成项目情况及作业，平台包含课程相关数字资源；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[移动学习功能]能随时随地观看教学视频，支持电脑、IPAD、手机等移动平台学习；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分析功能]具有大数据分析功能，能有效掌握学生学习情况；如平台用户总数、讲师总数、课程总数（包含线上、线下课程）、培训总数（包含培训项目和线下课程开班）、考试总数（包含专项考试、培训项目、线下课程开班中的线上考试）、活动总数。学习趋势图：展示登录人数、学习人数、线上学习时长的统计图表，支持查看本周，上周，本月，上月时间维度。排行榜：可以查看个人和部门学习时长的排行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[资源管理功能]可对教学视频，项目要求文档，教学文件，项目文件等资源进行管理，形成数字文件与教学资源；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[教学功能]可对学生进行学习行为管理和对学生学习结果给出评估报告和建议。针对学生学习过程、任务完成度、理论考试分数、实训作业完成度、学生考勤等方面进行评估；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2.平台技术参数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[终端支持]前端必须自适应主流移动平台客户端；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[大数据系统]必须提供后期的大数据分析；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[运维支持]提供云平台支撑，方便后期拓展维护；</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3.平台详细功能需包含：</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1)平台前台功能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①首页具备基本的展示和顶部导航功能；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②具有[学习中心]和[手机端]，可随时通过点击进入手机端登录平台；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③学生账号注册等相关功能；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④个人主页和信息维护等设置；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2)教学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①教师端：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[创建课程]、[试卷批阅]展示相关课程开放期间的所有试卷批阅情况。[作业批改]展示相关课程开放期间的所有作业；</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②学生端：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我的课程]，[我的考试]具备小组讨论功能，能够展示我加入的小组，我发起的话题，我回复的话题以及我收藏的话题，并可点击对相关内容进行操作；[我的考试]展示我参与的考试，包括未批阅/已批阅/未交卷。通过教学成绩评估系统进行成绩反馈；</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3)录播专区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①在学课程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课程基本信息]显示课程的分类，课程名称，教学计划名称，课程二维码。[课程目录]展示课程的目录列表，显示课程下各个学习任务的标题、类型、状态。直播活动会提示直播状态。[讨论区]展示该课程的讨论内容（问题和话题）。[资料区]展示该课程下的所有资料，供学生下载。[学生动态]可显示该课程学生的学习课程情况，包括开始学习，加入课程，收藏课程等操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②课程学习界面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标题区]展示该学习任务在课程中的位置，例如第一章第一节。[学习区]显示主要的学习区域，展示课件（视频音频播放，图文浏览等）。[目录]展示章/节/任务，并显示任务的学习状态。[问答]展示该学习任务下的问题列表，也可在此进行提问，并且提问时可以上传云附件。[笔记]在此可以撰写自己的上课笔记，并可选择是否分享给学友，若选择分享则该笔记会展示在课程详细页的笔记区。[作业反馈、预约反馈]在此可以给学生上传的作业进行反馈、预约反馈和打分；</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③[游戏美术、影视动画类反馈机制]在此可以给学生上传的游戏美术、影视动画类作品进行反馈、预约反馈和打分；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4)课程管理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①创建课程：[在教课程列表]可对所有课程进行统一管理；[创建课程]可新创建课程，选择创建何种类型的课程；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②管理课程：[发布课程]未发布的课程的管理页，会有[发布课程]按钮，点击可将课程发布到平台前台，使得学生可看到该课程。[预览课程]可以预览课程，检查以确认课程的显示效果；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③课程资源：[课程文件]可批量上传/删除课件或资料；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④题目管理：[创建题目]，[题目搜索]可对题型，题目从属作为筛选条件，以关键词进行搜索，选择出最终结果。[题目操作]可进行预览，编辑和删除操作；</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该课程管理产品须具有中华人民共和国计算机软件著作权登记证书（提供证书复印件并加盖供应商公章）；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4.平台后台管理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1)管理中心面板</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[公告]可查看官方最新的消息，包括升级信息和其他的信息会在此处发布；[数据统计]查看当前在线/登录人数；详细列表中查看今日/昨日和历史的数据；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2)教务管理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[添加新学生]后台手动添加新学生，需填写的字段有邮箱地址，学生名，密码，确认密码以及学生权限[批量导入]支持从 Excel 文件导入学生信息，按照实例说明文件进行导入操作；导入前需要设置：遇到系统已存在的学生，忽略跳过或者覆盖更新；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[修改学生头像]超级管理员可以修改学生头像，可用于上传头像的图片格式为 JPG、GIF 或 PNG 格式。[修改密码]超级管理员可通过修改密码为指定学生重置密码；</w:t>
            </w:r>
            <w:r/>
          </w:p>
          <w:p>
            <w:pPr>
              <w:widowControl/>
              <w:rPr>
                <w:rFonts w:ascii="微软雅黑" w:hAnsi="微软雅黑" w:eastAsia="微软雅黑" w:cs="微软雅黑"/>
                <w:color w:val="auto"/>
                <w:sz w:val="16"/>
                <w:szCs w:val="16"/>
                <w:lang w:bidi="ar"/>
              </w:rPr>
            </w:pPr>
            <w:r>
              <w:rPr>
                <w:rFonts w:hint="eastAsia" w:ascii="宋体" w:hAnsi="宋体" w:eastAsia="宋体" w:cs="宋体"/>
                <w:color w:val="auto"/>
                <w:szCs w:val="21"/>
              </w:rPr>
              <w:t xml:space="preserve">★</w:t>
            </w:r>
            <w:r>
              <w:rPr>
                <w:rFonts w:hint="eastAsia" w:ascii="微软雅黑" w:hAnsi="微软雅黑" w:eastAsia="微软雅黑" w:cs="微软雅黑"/>
                <w:color w:val="auto"/>
                <w:sz w:val="16"/>
                <w:szCs w:val="16"/>
                <w:lang w:bidi="ar"/>
              </w:rPr>
              <w:t xml:space="preserve">该产品须具有中华人民共和国计算机软件著作权登记证书（提供证书复印件并加盖供应商公章）；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3)数据统计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据统计查询]可指定时间段（本月/上月/近三月），或指定起止时间观察某一指定数据类型的走势和明细。[数据统计——趋势]通过折线图进行数据分析，用于分析网站的具体运维情况[数据统计——明细]以列表的形式，展示详细数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三、配套实训课程及资源参数：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1.开发不少于8门线上视频课程，分辨率 不低于1080P；</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w:t>
            </w:r>
            <w:r>
              <w:rPr>
                <w:rFonts w:hint="eastAsia" w:ascii="微软雅黑" w:hAnsi="微软雅黑" w:eastAsia="微软雅黑" w:cs="微软雅黑"/>
                <w:color w:val="auto"/>
                <w:sz w:val="16"/>
                <w:szCs w:val="16"/>
                <w:lang w:bidi="ar"/>
              </w:rPr>
              <w:t xml:space="preserve">AIGC基础课程不少于1.5小时；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2)</w:t>
            </w:r>
            <w:r>
              <w:rPr>
                <w:rFonts w:hint="eastAsia" w:ascii="微软雅黑" w:hAnsi="微软雅黑" w:eastAsia="微软雅黑" w:cs="微软雅黑"/>
                <w:color w:val="auto"/>
                <w:sz w:val="16"/>
                <w:szCs w:val="16"/>
                <w:lang w:bidi="ar"/>
              </w:rPr>
              <w:t xml:space="preserve">StableDiffusion综合应用课程不少于12小时；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3)</w:t>
            </w:r>
            <w:r>
              <w:rPr>
                <w:rFonts w:hint="eastAsia" w:ascii="微软雅黑" w:hAnsi="微软雅黑" w:eastAsia="微软雅黑" w:cs="微软雅黑"/>
                <w:color w:val="auto"/>
                <w:sz w:val="16"/>
                <w:szCs w:val="16"/>
                <w:lang w:bidi="ar"/>
              </w:rPr>
              <w:t xml:space="preserve">AI生成图像课程不少于2.5小时；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4)</w:t>
            </w:r>
            <w:r>
              <w:rPr>
                <w:rFonts w:hint="eastAsia" w:ascii="微软雅黑" w:hAnsi="微软雅黑" w:eastAsia="微软雅黑" w:cs="微软雅黑"/>
                <w:color w:val="auto"/>
                <w:sz w:val="16"/>
                <w:szCs w:val="16"/>
                <w:lang w:bidi="ar"/>
              </w:rPr>
              <w:t xml:space="preserve">AI生成视频课程不少于3小时；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5)</w:t>
            </w:r>
            <w:r>
              <w:rPr>
                <w:rFonts w:hint="eastAsia" w:ascii="微软雅黑" w:hAnsi="微软雅黑" w:eastAsia="微软雅黑" w:cs="微软雅黑"/>
                <w:color w:val="auto"/>
                <w:sz w:val="16"/>
                <w:szCs w:val="16"/>
                <w:lang w:bidi="ar"/>
              </w:rPr>
              <w:t xml:space="preserve">数字绘画软件基础课程不少于3小时；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6)</w:t>
            </w:r>
            <w:r>
              <w:rPr>
                <w:rFonts w:hint="eastAsia" w:ascii="微软雅黑" w:hAnsi="微软雅黑" w:eastAsia="微软雅黑" w:cs="微软雅黑"/>
                <w:color w:val="auto"/>
                <w:sz w:val="16"/>
                <w:szCs w:val="16"/>
                <w:lang w:bidi="ar"/>
              </w:rPr>
              <w:t xml:space="preserve">Zbrush3D数字雕刻课程不少于6小时；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7)</w:t>
            </w:r>
            <w:r>
              <w:rPr>
                <w:rFonts w:hint="eastAsia" w:ascii="微软雅黑" w:hAnsi="微软雅黑" w:eastAsia="微软雅黑" w:cs="微软雅黑"/>
                <w:color w:val="auto"/>
                <w:sz w:val="16"/>
                <w:szCs w:val="16"/>
                <w:lang w:bidi="ar"/>
              </w:rPr>
              <w:t xml:space="preserve">角色设计基础课程不少于2小时；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8)</w:t>
            </w:r>
            <w:r>
              <w:rPr>
                <w:rFonts w:hint="eastAsia" w:ascii="微软雅黑" w:hAnsi="微软雅黑" w:eastAsia="微软雅黑" w:cs="微软雅黑"/>
                <w:color w:val="auto"/>
                <w:sz w:val="16"/>
                <w:szCs w:val="16"/>
                <w:lang w:bidi="ar"/>
              </w:rPr>
              <w:t xml:space="preserve">场景绘画课程不少于 5小时；</w:t>
            </w:r>
            <w:r/>
          </w:p>
          <w:p>
            <w:pPr>
              <w:ind w:left="425" w:hanging="425"/>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9)</w:t>
            </w:r>
            <w:r>
              <w:rPr>
                <w:rFonts w:hint="eastAsia" w:ascii="微软雅黑" w:hAnsi="微软雅黑" w:eastAsia="微软雅黑" w:cs="微软雅黑"/>
                <w:color w:val="auto"/>
                <w:sz w:val="16"/>
                <w:szCs w:val="16"/>
                <w:lang w:bidi="ar"/>
              </w:rPr>
              <w:t xml:space="preserve">PBR次世代角色课程不少于5小时；（演示不少于2课时，每课时不少于30分钟。）</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2.配套数字绘画实训资源工程文件：总数量不少于36套，每门课程不少于4套；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w:t>
            </w:r>
            <w:r/>
          </w:p>
        </w:tc>
      </w:tr>
      <w:tr>
        <w:trPr>
          <w:jc w:val="center"/>
          <w:trHeight w:val="30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bottom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9</w:t>
            </w:r>
            <w:r/>
          </w:p>
        </w:tc>
        <w:tc>
          <w:tcPr>
            <w:shd w:val="clear" w:color="auto" w:fill="auto"/>
            <w:tcBorders>
              <w:top w:val="single" w:color="auto" w:sz="4" w:space="0"/>
              <w:left w:val="single" w:color="000000" w:sz="4" w:space="0"/>
              <w:bottom w:val="single" w:color="auto"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AI图视频本地部署算力服务器算力卡</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总线接口标准：支持 PCI-E 5.0；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显存规格：等效频率相当于或优于48GHz，显存容量不低于 16GB，显存位宽不低于 256bit；</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输出接口：具备 HDMI 接口、DP 视频输出接口；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供电接口：采用 12VHPWR 供电接口；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散热配置：搭载散热风扇数量不少于 3 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配套供电要求：整机配置电源额定功率不低于 800W；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设备用途：适用于 AI 图像、视频本地部署推理、算力加速。</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张</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20</w:t>
            </w:r>
            <w:r/>
          </w:p>
        </w:tc>
      </w:tr>
      <w:tr>
        <w:trPr>
          <w:jc w:val="center"/>
          <w:trHeight w:val="406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10</w:t>
            </w:r>
            <w:r/>
          </w:p>
        </w:tc>
        <w:tc>
          <w:tcPr>
            <w:shd w:val="clear" w:color="auto" w:fill="auto"/>
            <w:tcBorders>
              <w:left w:val="singl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数字绘画图形图像输出设备</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大幅面数字字图形图像输出设备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1.打印尺寸：≥1.5米；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2.颜色：CMYK 4色；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3.墨水兼容：水性/弱溶剂/热升华等；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4.水性材料：PP背胶/灯片/相纸/可移背胶/写真布；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5.油性材料：车贴/灯布/单孔透/刀刮布/旗织布；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6.印花材料：热转印纸/纯棉；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7.特种材料：墙纸/油画布/宣纸/网格布；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8.打印精度：≥1440 dpi；</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9.喷头清洗：自动；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10.加热方式：前/后；</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11.烘干方式：风扇；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12.自动收料系统：有；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13.平台吸风调节：有；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14.打印接口：网线；</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p>
        </w:tc>
      </w:tr>
      <w:tr>
        <w:trPr>
          <w:jc w:val="center"/>
          <w:trHeight w:val="441"/>
        </w:trPr>
        <w:tc>
          <w:tcPr>
            <w:shd w:val="clear" w:color="auto" w:fill="auto"/>
            <w:tcBorders>
              <w:top w:val="single" w:color="auto" w:sz="4" w:space="0"/>
              <w:left w:val="single" w:color="000000" w:sz="4" w:space="0"/>
              <w:right w:val="single" w:color="auto" w:sz="4" w:space="0"/>
            </w:tcBorders>
            <w:tcW w:w="32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lang w:bidi="ar"/>
              </w:rPr>
              <w:t xml:space="preserve">虚拟制片实验室1003</w:t>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t xml:space="preserve">1</w:t>
            </w:r>
            <w:r>
              <w:rPr>
                <w:rFonts w:hint="eastAsia" w:ascii="微软雅黑" w:hAnsi="微软雅黑" w:eastAsia="微软雅黑" w:cs="微软雅黑"/>
                <w:color w:val="auto"/>
                <w:sz w:val="16"/>
                <w:szCs w:val="16"/>
              </w:rPr>
              <w:t xml:space="preserve">1</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影像采集输入系统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一、AI自动跟踪4K摄像机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1.采用尺寸不小于1英寸、像素不小于9MP 超高清 CMOS 传感器；（提供能体现该参数的厂家彩页资料并加盖投标人公章）；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2.变焦功能：支持不少于20倍光学变倍；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3.支持多种输出接口：RJ45(LAN), HDMI, 12G-SDI, 3G-SDI,USB Type-C，SFP+接口；支持同步锁相G/L IN接口；（提供能体现该参数的厂家彩页资料并加盖投标人公章）；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4.支持通过RJ45(LAN)、12G-SDI、HDMI和SFP+接口可同时输出分辨率不小于3840×2160 P60视频信号；</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5.支持信号输出格式：12G-SDI：≥3840×2160 P60，SFP+：≥3840×2160 P60，HDMI：≥3840×2160 P60；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6.支持NDI /NDI|HX：主码流: ≥3840×2160P15~60；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7.具备技术PDAF相位对焦，实现≥4K60超高清画质与精准追焦；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8.搭配≥四档可变ND滤镜，该滤镜支持精确调控光线透射率，覆盖≥1.6%、6.3%、25%及100%四个档位。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9.具备同步锁相功能，支持其在复杂的广播级视频制作和直播设置中与其他摄像机实现精确的视频同步；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10.音频输入功能：支持3.5mm音频输入和平衡式Mini XLR音频输入，XLR输入支持48V幻象电源；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11支持摄像机追踪数据输出，兼容FreeD或等效开放追踪协议（如UE LiveLink、ARKit/ARCore位姿数据等），能够探索动态拍摄角度和视角，实现现实视频和虚拟平台无缝融合；</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12.内置AI自动跟踪功能，无需任何第三方软件或设备辅助，支持在WebUI上一键开启，搭配遥控器即可实现跟踪目标；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13.自带 MicroSD 卡插槽，可用于固件更新及本地录制。允许直接录制视频到摄像机上，在网络中断时仍可按照设置进行视频录制，支持访问录制视频文件，无需依赖远程服务器访问；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14.支持协议：NDI|HX,SRT, HTTP, RTSP, RTMP, ONVIF, VISCA over IP(TCP&amp;UDP), VISCA, PELCO P/D；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15.支持POE++供电，一条网线可以解决供电、视频、控制等所有功能，同时提供高性能的视频编码；</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16.支持菜单中设置IP地址，码流分辨率和码流大小；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17.自带Tally指示灯，可以通过指示灯的状态显示直播的开启或关闭；</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18.可手动或定时录制≥3840×2160 60帧/秒（视频传输率最高120Mbps）MP4文件；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19.跟踪功能打开时，具备人脸和运动轨迹分析能力，被跟踪人员在多人环境下，始终能够实现锁定目标准确跟踪；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20.支持多样构图模式与细节调整，目标位置可选择呈现在中心位置或左右位置；支持目标比例多种方式可选，可调整人体比例，并可实现全身位显示跟踪；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21.可设置目标丢失时间，目标离开限定区域后超过限定丢失时间，摄像机自动回到中心位置；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22.具备倍率锁定、俯仰锁定功能，以避免演讲者在临界区域时可能导致俯仰和变倍来回移动的问题；</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23.支持跟踪目标选定，可通过左右按键切换跟踪目标；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24.具备双白板区域设置功能，演讲者在白板区域小范围移动，不会触发云台跟踪，保证云台跟踪的舒适性；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25.支持12G SDI与3G SDI同时输出一个全景画面和一个特写画面；</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1</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二、4K超高清专业输入设备1</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 搭载三片 1/2 英寸背照式 CMOS 图像传感器；支持 4K 50P/60P 录制，具备 12G-SDI 4K 视频信号输出；内置无级可变 ND 滤镜，调节范围 1/4ND 至 1/128ND；配备不低于 17 倍光学变焦镜头，具备人脸检测自动对焦功能。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 配备双高速存储介质插槽，内置 2.4GHz、5GHz 双频段 WiFi 与近场通信功能，支持 12G-SDI 高速传输，设置双多功能通用热靴。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出厂标配：机身镜头一体化主机、镜头遮光罩、寻像器眼罩、配套锂电池、电源适配器 / 充电器、电源线、USB 数据线、肩带、产品保修资料。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额外配套供货：铝合金防护箱 1 个；128GB、读取速度≥200MB/s 高速存储介质 2 张；大容量备用电池 2 块；适配读卡器 2 个；专业机头麦克风 1 个；摄像三脚架 1 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三、4K超高清专业输入设备2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1.传感器：搭载 1.0 英寸背照式 CMOS 图像传感器，具备优异降噪能力，弱光成像效果优异；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2.拍摄性能：支持 4K（3840×2160）超高清分辨率拍摄，画面成像细腻清晰；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3.镜头配置：配备专业摄像镜头，具备光学变焦能力，适配多场景拍摄作业；</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4.录制规格：支持多种主流专业视频录制格式，素材后期兼容性强、画质存储质量高；</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5.设备特性：配备丰富外设拓展接口，支持手持、肩扛拍摄，操作便捷、适配场景广泛；</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6.配套设备：含专业铝箱 1 个、128GB/200MB/s 及以上高速存储介质 2 张、大容量备用电池 2 块、高速读卡器 2 个、专业机头麦克风 1 个、专业三脚架 1 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四、专业影像采集设备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1.图像传感器：采用全画幅图像传感器；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2.有效像素不低于 2400 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3.对焦系统：相位检测对焦点数量不少于 700 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4.取景器：搭载高规格 OLED 电子取景器；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5.连拍能力：高速连拍模式最高连拍速度≥120 张 / 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6.静态图像：支持 3:2 全画幅输出，支持无压缩 RAW 原始图像格式存储；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7.视频编码：支持 H.264、H.265（HEVC）主流专业视频编码格式；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8.视频录制：支持 4K（3840×2160）、4:2:0、10bit 色深高码率视频录制；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9.实时对焦：具备每秒≥120 次 AF/AE 高速检测运算能力；</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10.高帧率功能：支持传感器原生无裁切 4K 120p 高帧率视频拍摄；</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11.无线功能：内置无线网络模块，支持 FTP 文件传输、智能手机无线连接、电脑远程操控拍摄。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五、数字运动输入设备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1.设备功能：支持直播推流、语音控制、延时摄影、循环录像、视频直播；具备裸机防水、电子防抖、触屏操作功能；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2.视频规格：支持 4K/2.7K/1080P 多分辨率、多档位高帧率录制，包含 4K 120P、1080P 240P 等全规格拍摄模式；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3.分辨率：最高拍摄分辨率≥4K；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4.防护性能：裸机防水深度≥20 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5.成像配置：主镜头像素≥4000 万，支持广角拍摄，搭载电子防抖系统；</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6.续航配置：续航时长≥240 分钟，电池支持可拆卸更换；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7.机身材质：采用高强度工程塑料；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8.存储规格：视频输出为 MP4 通用格式，支持 TF（MicroSD）存储卡存储；</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474"/>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六、影视图传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1.视频输入接口:HDMI 1.4b及以上 +SDI(支持3G及以上)；</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2.视频输出接口:HDMI 1.4b及以上 +SDI(支持3G及以上)；</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3.监听接口:3.5mm耳机孔；</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4.升级接口:USB Type-C(支持USB 2.0 OTG及以上)SD卡槽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5.屏幕尺寸:≥7寸触摸屏（内嵌）；</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6.屏幕分辨率:≥1920x1200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7.工作频率:5.1~5.8GHz;2.412~2.484GHZ；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8.发射功率:≤23dBm；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9.接收灵敏度:≤-80dBm；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10.显示延时:≤50ms；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11.传输延时:≤60ms；</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1</w:t>
            </w:r>
            <w:r/>
          </w:p>
        </w:tc>
      </w:tr>
      <w:tr>
        <w:trPr>
          <w:jc w:val="center"/>
          <w:trHeight w:val="2483"/>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七、稳定器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1.配件接口：支持NATO 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2.1/4”-20 安装孔；</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3.容量：≥3000 毫安时；</w:t>
            </w:r>
            <w:r/>
          </w:p>
          <w:p>
            <w:pPr>
              <w:widowControl/>
              <w:rPr>
                <w:rFonts w:ascii="微软雅黑" w:hAnsi="微软雅黑" w:eastAsia="微软雅黑" w:cs="微软雅黑"/>
                <w:strike/>
                <w:color w:val="auto"/>
                <w:sz w:val="16"/>
                <w:szCs w:val="16"/>
                <w:lang w:bidi="ar"/>
              </w:rPr>
            </w:pPr>
            <w:r>
              <w:rPr>
                <w:rFonts w:hint="eastAsia" w:ascii="微软雅黑" w:hAnsi="微软雅黑" w:eastAsia="微软雅黑" w:cs="微软雅黑"/>
                <w:color w:val="auto"/>
                <w:sz w:val="16"/>
                <w:szCs w:val="16"/>
                <w:lang w:bidi="ar"/>
              </w:rPr>
              <w:t xml:space="preserve">4.待机时长：≥10 小时；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5.AI跟拍：带AI跟拍；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6.云台类型：三轴云台；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7.适用机型：单反、微单、手机；</w:t>
            </w:r>
            <w:r/>
          </w:p>
          <w:p>
            <w:pPr>
              <w:widowControl/>
              <w:rPr>
                <w:rFonts w:ascii="微软雅黑" w:hAnsi="微软雅黑" w:eastAsia="微软雅黑" w:cs="微软雅黑"/>
                <w:color w:val="auto"/>
                <w:sz w:val="16"/>
                <w:szCs w:val="16"/>
                <w:highlight w:val="yellow"/>
                <w:lang w:bidi="ar"/>
              </w:rPr>
            </w:pPr>
            <w:r>
              <w:rPr>
                <w:rFonts w:hint="eastAsia" w:ascii="微软雅黑" w:hAnsi="微软雅黑" w:eastAsia="微软雅黑" w:cs="微软雅黑"/>
                <w:color w:val="auto"/>
                <w:sz w:val="16"/>
                <w:szCs w:val="16"/>
                <w:lang w:bidi="ar"/>
              </w:rPr>
              <w:t xml:space="preserve">8.彩色LCD触摸屏：≥1.4英寸（内嵌）；</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1</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12</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bookmarkStart w:id="168" w:name="_Hlk237699117"/>
            <w:r>
              <w:rPr>
                <w:rFonts w:hint="eastAsia" w:ascii="微软雅黑" w:hAnsi="微软雅黑" w:eastAsia="微软雅黑" w:cs="微软雅黑"/>
                <w:color w:val="auto"/>
                <w:sz w:val="16"/>
                <w:szCs w:val="16"/>
                <w:lang w:bidi="ar"/>
              </w:rPr>
              <w:t xml:space="preserve">虚拟拍摄核心控制系统</w:t>
            </w:r>
            <w:bookmarkEnd w:id="168"/>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一、摄像机控制盘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1.支持多种协议，NDI、VISCA over IP、VISCA TCP、ONVIF、PELCO P/D；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2.提供≥128个预置位并可通过数字键区进行设置、调用和清除；</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3.支持≥7台摄像机的菊花链控制；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4.支持四维操纵杆控制器，可对摄像机的全方位旋转和镜头变倍进行流畅控制；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5.具有自动跟踪功能，支持开关及设置功能；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6.OLED屏幕：≥3英寸（内嵌）；</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7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二、4K现场导控台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1.一体式设计支持≥4K &amp; HD移动演播室；</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2.视频格式支持 Input: ≥3840x2160p；</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3.Output: ≥3840x2160p；</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4.视频内部处理SDI支持: 4:2:2 10-bit；HDMI支持: YUV 4:2:2 10-bit, RGB: 4:4:4 8/10-bit，或等效视频处理能力；</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5.支持输入交叉设置（XPT）；</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6.视频输入接口支持≥8 x 12G-SDI和≥4 x HDMI并向下兼容3G和HD格式；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7.视频输出支持≥4 x 12G-SDI和4 x HDMI并每个输出均能单独设置 Multiview, PGM, PVW, PGM+DSK, Clean PGM, Clean PVW, Input 1-12；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8.支持音频输入≥4 x Analogue XLR与音频输出≥2 x Analogue XLR，支持音频轨数≥Input 4 channels, Output 4 channels；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9.音频延迟支持不低于Up to 16 fields or 8 frames per channel；</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10.支持不少于视频4组key键抠像，≥2组下游键字幕，≥2个画中画功能，内置≥两组logo，可实现静态或动态logo显示；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11.配备≥5" Touchscreen Display功能，菜单功能可通过在屏幕上触控设置；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12.内置液晶监视器≥17寸 分辨率：≥3840*2160 dot，能监看到各路输入输出信号以及PGM信号；</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13.内置4K高清编码器，实现H.265和H.264的编码录制，RTMP/RTSP等推流功能，并且单独设置推流及录制的码率从512Kbps~15Mbps可设置；</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3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三、4k虚拟拍摄系统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1.XR新媒体数据计算服务器性能要求：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（1）服务器主核心性能指标：        </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中央处理核心数：≥24核；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线程数量：≥32线程；</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内存：≥32GB；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SATA 3.0固态硬盘：≥256GB；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机械硬盘：≥4TB；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图形处理核心主频：≥2520MHz；</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图形加速专用显存：≥24GB；</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处理器基础主频：≥3.0GHz；</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处理器最大睿频：≥3.8GHz；显卡位宽：≥384bit；</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整机散热模式：风冷散热；</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网卡配置：双千兆以太网卡；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（2）服务器机体技术规格指标：</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液晶屏面板尺寸：≥13寸；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液晶面部分辨率：≥1920*1080像素；</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扩展槽：≥7个全高扩展槽；</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硬盘拓展：≥3个3.5寸；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机架式液晶显示器尺寸：≥17寸；</w:t>
            </w:r>
            <w:r/>
          </w:p>
          <w:p>
            <w:pPr>
              <w:ind w:left="420"/>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机架式液晶显示器分辨率：≥1920x1080；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2.虚拟角色演播系统配套软件性能要求：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支持动态接入动捕数据实现虚拟角色与演员动作同步，包含面部、身体、手指动作，具备实时编辑3D场景功能，支持对物体的坐标、旋转、大小进行实时动态编辑；支持虚拟数字人、虚拟场景的自定义导入功能；支持接入摄像机轨道追踪系统(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（2）支持面部表情捕捉，演员与虚拟数字人面部表情实时同步；支持自动匹配，一键式技术，自动跟踪识别，眼球运动捕捉等肌肉运动并生成表情动画；</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（3）支持一键切换AR增强现实效果，实现虚拟数字人与真实世界的实时融合；</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（4）支持背景画面设置及一键切换，包括本地图片视频、纯色背景、数字化3D场景等；支持对虚拟场景内的光效实时调整，包括光照方向、强度、色温等属性(提供功能截图加盖公章)；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自定义编辑光照方案，可动态添加点光源、射灯等不同灯光类型；支持自定义视角方案编辑，包含对方案进行增加、删除、修改等操作，可针对不同场景、不同方案自定义机位并记录保存，实现快速一键切换效果(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3.动作批量化处理插件性能要求：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（1）支持批量处理角色动作和模型，支持自动为非标准</w:t>
            </w:r>
            <w:r>
              <w:rPr>
                <w:rFonts w:hint="eastAsia" w:ascii="微软雅黑" w:hAnsi="微软雅黑" w:eastAsia="微软雅黑" w:cs="微软雅黑"/>
                <w:color w:val="auto"/>
                <w:sz w:val="16"/>
                <w:szCs w:val="16"/>
                <w:lang w:bidi="ar"/>
              </w:rPr>
              <w:t xml:space="preserve">bip骨骼开启Bone ON。支持导出单个max档的多个模型、贴图、动作数据，支持批量导出多个max档的所有数据；自动查找模型贴图并对贴图进行标准化命名；（2）导出子骨骼动画时支持自动断开链接、自动归零到世界中心，批量化导出时实时显示导出进度和日志、系统记录导出导出路径及导出状态、支持实时预览不同的动作序列、自动把bip动作数据匹配到角色的每一根骨骼；并实现自动加载关键帧、批量化把多个原始max文件中的角色动作导出；存为标准bip动作数据、批量化把蒙好皮的角色，据已有bip动作数据自动识别骨骼并与角色匹配；</w:t>
            </w:r>
            <w:r/>
          </w:p>
          <w:p>
            <w:pPr>
              <w:widowControl/>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4.AR开发编辑平台软件性能要求：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（1）平台整体功能指标：系统电脑，手机，IPad端，教师可以在学校或家里进行云端备课，教师直接调用客户端就可以使用简易实用编辑工具，分学科海量资源库</w:t>
            </w:r>
            <w:r>
              <w:rPr>
                <w:rFonts w:hint="eastAsia"/>
                <w:color w:val="auto"/>
              </w:rPr>
              <w:t xml:space="preserve">、</w:t>
            </w:r>
            <w:r>
              <w:rPr>
                <w:rFonts w:hint="eastAsia" w:ascii="微软雅黑" w:hAnsi="微软雅黑" w:eastAsia="微软雅黑" w:cs="微软雅黑"/>
                <w:color w:val="auto"/>
                <w:sz w:val="16"/>
                <w:szCs w:val="16"/>
                <w:lang w:bidi="ar"/>
              </w:rPr>
              <w:t xml:space="preserve">自主制作AR教学应用 、支持教学资源分类存储，资源支持含3D，视频，图片等、支持云资源检索和预览、课前制作AR(提供功能截图加盖公章)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a.添加课本底图或直接调用摄像头拍照，作为AR识别图。支持直接调用展示各科资源，可直接插入图片、视频、透明视频、3D、链接、文字等功能；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b. 插入内容后可以对AR展示内容进行移动，旋转，缩放，删除等； 课件保存后，支持通过分享课件二维码到教师手机微信或QQ上；</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c.教学随时调用系统自带的学科，相关AR知识点课件，上课直接使用，同时支持课中教学；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（2）系统模块化功能指标：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系统采用多层架构，后台管理采用B/S架构，AR客户端采用C/S架构、支持目前通用的各类操作系统环境，包括windows server,Linux, Unix等主流操作系统。Web应用服务器支持主流中间件产品，如Nginx, Tomcat等；数据库支持SQL server、MySQL、系统交互界面友好，支持中英文界面、菜单及文档、支持在线账号认证。可与其他系统进行认证互通、提供共享AR资源库，提供平台用户使用便捷性，支持对资源进行检索；</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a. 系统提供多级管理后台:一级后台面向系统管理员，负责管理（增/删/改）所有共享AR资源、作品集、用户账号；二级后台面向大众用户，负责管理（增/删/改）个人AR资源、作品集及作品；</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b. 提供完善的资源管理功能，根据资源类型进行灵活的存储，包含图片库、视频库、模型库等，可自定义资源类别、子类别，至少支持三级类别。系统提供基于WEBGL的AR应用在线可视化编辑系统，能快速进行AR场景的编辑，AR作品的发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c. 支持多种主流浏览器的访问、支持对AR资源进行移动、缩放、旋转操作。支持添加多个AR资源，支持“Android/IOS，APP应用包”活跃人数的统计；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（3）支持AR应用的一键部署：支持ARKit、ARCore AR技术、提供Android、IOS版本AR客户端，支持主流机型安装与使用、支持云/本地混合识别，实现图像目标识别与追踪、提供完整的SDK，包括IOS、Android、PC版本(提供功能截图加盖公章)；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5.数字角色动作资源系统性能要求：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（1）资源库包含1000种人物常用动作可供下载、鼠标悬停窗口播放对应动作效果、可直接将动作应用于角色预览，支持720度全方位视角查看、动作库自带分类，如战斗、冒险、运动、舞蹈、日常等；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（2）显示界面显示信息包括：动作持续时长、帧率、数据类型等、主流的动作文件，可应用于3DMax、Maya、MotionBuilder、Unity3D、UnrealEngine4等主流3D软件及开发引擎使用；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6.数字场景实时交互平台性能要求：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（1）平台内置若干虚拟角色和场景以供选择、可任意切换虚拟角色及场景、支持自定义角色模型导入(提供功能截图加盖公章)；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（2）支持Realtime实时光照，呈现实时的光影效果、支持自定义制定环境光颜色、支持区域灯光开关控制、支持VR模式沉浸式体验(提供功能截图加盖公章)；</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78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四、虚拟演播室软件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1.场景广场：场景广场包含场景推荐、场景库2个模块，用户可以在场景广场中浏览、下载自己想要的场景进行使用，详细说明如下：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场景推荐：系统支持以海报自动轮播的方式进行场景推荐展示，同时支持一键下载功能，用户可以通过简单的一键操作立即下载他们感兴趣的场景。断点续传：系统支持断点续存功能，若在下载过程中发生中断，用户下次再次点击下载时可以从中断处继续下载，而无需重新开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场景库：系统自带场景库，涵盖发布会、教育、电商、自然、卡通、娱乐、党建、艺术等不同领域，以满足用户在多种场景下的创作需求。场景预览：系统支持场景预览功能，每个场景都包含预览图，为用户提供了直观的场景外观和风格信息，用户能够在场景选择过程中更加直观和明晰，确保他们下载的场景符合他们的期望和创作方向。一键下载：系统支持场景一键下载，用户可快速下载部署使用，无需从零开始创建，节省了时间和创作成本。分类筛选：系统支持单个或多个场景分类进行筛选，以便快速找出符合他们创作方向或项目要求的场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收藏场景：系统提供了场景收藏功能，用户可以方便地收藏自己喜欢的场景，以便随时查找和使用，详细说明如下：个性化收藏：系统支持一键收藏场景功能，使用户能够轻松地将当前浏览或使用的场景添加到他们的收藏夹中。快速访问：支持快速访问功能，收藏场景页提供一个快速访问的入口，使用户能够直接在该界面直接访问使用收藏的场景，无需再返回浏览场景库。信息同步：系统支持收藏场景信息同步功能，使用户在不同设备上都能够访问和管理他们收藏的场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我的场景："我的场景"功能为用户提供了高度定制化的场景管理选项，实时编辑：系统支持自定义编辑场景，用户可以在虚拟场景中实时编辑播放多媒体素材；素材类型支持：系统支持添加、修改、删除视频、图片、文字、PPT等元素；实时预览：用户在编辑过程中可能能够实时预览场景的呈现效果，确保编辑的元素能够达到期望的效果。数据保存：系统支持场景自定义保存，用户可以根据自己的创意和需求，在系统中创建和编辑自定义场景，并通过一键操作将这些场景保存为数据文件，方便在后续的创作中快速加载和使用（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画面源输入输出：任意数量的输入源支持：系统在电脑性能充足的情况下提供任意数量的输入源支持，系统支持动态添加或删除输入源，无论是视频采集卡，还是窗口捕获输入，系统都能够适应并管理多个输入源。采集卡输入：系统兼容多种视频采集卡，如用户可以直接通过这些采集卡接入外部设备，如摄像头</w:t>
            </w:r>
            <w:r>
              <w:rPr>
                <w:rFonts w:hint="eastAsia" w:ascii="微软雅黑" w:hAnsi="微软雅黑" w:eastAsia="微软雅黑" w:cs="微软雅黑"/>
                <w:color w:val="auto"/>
                <w:sz w:val="16"/>
                <w:szCs w:val="16"/>
                <w:lang w:bidi="ar"/>
              </w:rPr>
              <w:t xml:space="preserve">、录像机等，实现高质量视频输入。窗口捕获输入：系统支持窗口捕获，用户可以选择捕获屏幕上的特定窗口或应用程序，将其作为输入源，方便进行软件操作或演示的录制。输入源切换：在系统中方便地切换和管理不同的输入源，以满足不同的制作需求。用户可选类型：窗口捕获；分辨率：支持1920*1080、2048*1080、3840*2160等多种不同分辨率；接口：支持采集卡接口的输入；标准：支持Progressive、Interlaced双模式；帧率：支持根据所接入的专业视频采集设备自动识别并实时获取输入帧率，提供可配置的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5.输出模式：系统提供多种输出模式，以满足用户在不同场景下的需求，其中包括显示器输出和兼容主流专业级采集卡输出。显示器输出：系统支持将虚拟</w:t>
            </w:r>
            <w:r>
              <w:rPr>
                <w:rFonts w:hint="eastAsia" w:ascii="微软雅黑" w:hAnsi="微软雅黑" w:eastAsia="微软雅黑" w:cs="微软雅黑"/>
                <w:color w:val="auto"/>
                <w:sz w:val="16"/>
                <w:szCs w:val="16"/>
                <w:lang w:bidi="ar"/>
              </w:rPr>
              <w:t xml:space="preserve">场景内容通过HDMI、DP接口直接输出到显示器上，使用户能够实时预览虚拟场景的效果。采集卡输出：系统兼容主流专业级视频采集卡，用户可以选择将虚拟场景输出到这些采集卡上，以便进行高质量的视频采集。输出参数属性：分辨率：支持1920*1080、2048*1080、3840*2160等多种不同分辨率；帧率：支持自动识别并配置输入视频的帧率，提供可配置的参数；标准：支持Progressive、Interlaced双模式；输出类型：Fill；连接目标：SingleLink；参考信号：External、FreeRun。</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虚拟机位设置：虚拟机位：系统内置了多种机位选项，包括近景机位、中景机位、远景机位、左机位、右机位、人物特写机位、PPT展示机位。机位切换功能：系统分别支持“闪切”、“缓动”两种模式的机位切换方式，不同机位之间实现动态无缝切换，提高场景呈现的视觉吸引力和表现力。特写机位展现：系统支持人物特写机位，使用户能够更详细地展现虚拟场景中的人物，增加场景的情感表</w:t>
            </w:r>
            <w:r>
              <w:rPr>
                <w:rFonts w:hint="eastAsia" w:ascii="微软雅黑" w:hAnsi="微软雅黑" w:eastAsia="微软雅黑" w:cs="微软雅黑"/>
                <w:color w:val="auto"/>
                <w:sz w:val="16"/>
                <w:szCs w:val="16"/>
                <w:lang w:bidi="ar"/>
              </w:rPr>
              <w:t xml:space="preserve">达和互动性。PPT展示机位：系统提供专门的PPT展示机位，用户可以在虚拟场景中灵活展示PPT内容，支持不同格式的文本内容，包含但不限于Word、PDF、PPTX等格式；运镜方式：系统提供专业级的影视摄像机运镜效果，包括推拉运镜、摇头运镜、左、右环绕运镜等；机位编辑：系统内嵌机位编辑功能，允许用户自定义虚拟场景中不同机位的位置和状态。机位控制状态菜单面板：系统提供直观的机位控制状态菜单面板，包括下降、上升、前进、后退、左移、右移、旋转等操作进行机位位置设定，支持一键复位功能，使用户可以轻松操作和调整机位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抠像功能：人物面片设置：系统提供了人物面片设置功能，允许用户对虚拟场景中的人物面片进行高度自定义设定。输入源选择：支持多输入源选择，以满足不同创作需求；画面镜像翻转：系统支持人物画面的镜像翻转，以改变人物朝向适应不同场景。旋转调整：支持对人物面片进行顺时针和逆时针旋转，以调整面片在虚拟场景中的方向。位置调整：支持人物画面缩放、支持在多个方向上对人物画面进行实时调整，包括左右、前后、上下，使用户能够精确控制人物在场景中的位置。复位：支持参数设置一键复位使其恢复为默认值；</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抠像设置：系统支持实时抠像，使用户能够在虚拟场景中准确地选择和提取人物或物体，实</w:t>
            </w:r>
            <w:r>
              <w:rPr>
                <w:rFonts w:hint="eastAsia" w:ascii="微软雅黑" w:hAnsi="微软雅黑" w:eastAsia="微软雅黑" w:cs="微软雅黑"/>
                <w:color w:val="auto"/>
                <w:sz w:val="16"/>
                <w:szCs w:val="16"/>
                <w:lang w:bidi="ar"/>
              </w:rPr>
              <w:t xml:space="preserve">现虚拟合成效果。抠像颜色：系统支持多种取色方式，包括但不限于：取色笔取色、R、G、B、A数值输入、H、S、V数值输入，系统还支持Color Wheel和Color Spectrum两种不同的抠像颜色选择模式；透明阈值可调范围：-5~5；透明偏移可调范围：-5~5；红权重可调范围：-5~5；蓝权重可调范围：0~1；黑色截断可调范围：0~5；白色截断可调范围：0~5；KernalSize可调范围：-5~5；Samples可调范围：0~100；DebAlpha可调范围：0~1；溢色：可选激活、支持一键复位；Met</w:t>
            </w:r>
            <w:r>
              <w:rPr>
                <w:rFonts w:hint="eastAsia" w:ascii="微软雅黑" w:hAnsi="微软雅黑" w:eastAsia="微软雅黑" w:cs="微软雅黑"/>
                <w:color w:val="auto"/>
                <w:sz w:val="16"/>
                <w:szCs w:val="16"/>
                <w:lang w:bidi="ar"/>
              </w:rPr>
              <w:t xml:space="preserve">hod可调范围:0~1；Amount可调范围:0~1；HueRange可调范围:-5~5；颜色校正：可选激活、支持一键复位；对比度可调范围:-10~10；饱和度可调范围:-10~10；色相偏移可调范围:-10~10；明亮度可调范围:-10~10；支持高光调整、中间调、暗部调整；画面裁切：系统支持画面裁切，使用户能够调整抠像元素的画面范围，以适应不同的显示或设计需求。裁切参数包含：左裁切可调范围0~1；右裁切可调范围0~1；上裁切可调范围0~1；下裁切可调范围0~1；支持一键复位（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8.场景画布：场景画布：系统支持自定义编辑</w:t>
            </w:r>
            <w:r>
              <w:rPr>
                <w:rFonts w:hint="eastAsia" w:ascii="微软雅黑" w:hAnsi="微软雅黑" w:eastAsia="微软雅黑" w:cs="微软雅黑"/>
                <w:color w:val="auto"/>
                <w:sz w:val="16"/>
                <w:szCs w:val="16"/>
                <w:lang w:bidi="ar"/>
              </w:rPr>
              <w:t xml:space="preserve">画布的功能，用户可以根据需要自定义画布的尺寸和位置，以适应不同的创作需求。画布编辑：系统支持用户从画布素材库动态添加或删除场景画布，素材库包含多种不同比例画布，包括但不限于16:9、9:16、1:1、4:1；展示素材类型：系统支持展示多种素材类型，包括但不限于图片、视频等多媒体素材；素材管理：系统支持单个画布上显示数十个素材，用户可以通过素材面板方便地管理和控制播放、展示这些素材。实时预览和切换：系统提供实时预览功能，用户可以在素材面板上看到素材的缩略图，实时切换和预览素材内容（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9.3D文字添加：3D文字添加：系统支持用户在虚拟场景中添加3D文字元素，以增添场景的立体感和创意。文字位置设定：系统支持用户对文字进行多方位的设定，包括前后、左右、上下位置、旋转角度、大小缩放等；文字动画：系统提供文字动画功能，用户可以为文字元素添加各种动画效果；实时预览：系统支持实时预览功能，用户可以在编辑过程中即时查看文字位置设定和动画效果，以满足创作需求（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PPT素材：PPT素材导入：系统支持用户自定义PPT素材导入，允许用户将自己的PPT演示文稿无缝集成到虚拟场景中。格式支持：系统支持多种文本类型，包含但不限于Word、PDF、PPTX、PPTM等格式,以满足不同用户的文件格式需求。PPT控制：系统支持对PPT素材进行控制展示，包括翻页、播放、停止等功能，以保持对PPT内容的灵活管理（提供产品功能截图加盖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个人中心：用户可查看自己的账号及账号使用期限，支持提醒用户距离账户到期时间，支持用户在个人中心修改密码，提高账户安全性，支持用户账户一键退出功能，用户可安全地退出当前账户，确保账户信息不被他人使用；</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5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五、虚拟制片UNREAL背景资源平台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1.硬件配置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（1）中央处理核心数：≥20核；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（2）线程数量：≥28线程；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（3）内存：≥32GB；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（4）固态硬盘：≥1TB；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（5）图像处理核心频率：≥2520MHz；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（6）图像处理显存：≥8G；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（7）实时光线追踪：支持；</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2.配套资源集成平台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（1）平台功能配置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【独立域名设置】可允许用户进行个性域名设置；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【自定义平台LOGO】可允许用户进行LOGO图案个性定制和上传；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【实训人员档案功能】建立实训人员职业档案，包含学生完成项目情况及作业，平台包含教材相关数字资源；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【移动学习功能】能通过扫教材上二维码及时观看教学视频，必须支持电脑、IPAD、手机等移动平台学习；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分析功能】具有大数据分析功能，能有效掌握学生学习情况；如平台用户总数、讲师总数、课程总数（包含线上、线下课程）、培训总数（包含培训项目和线下课程开班）、考试总数（包含专项考试、培训项目、线下课程开班中的线上考试）、活动总数。绿色的数字为本年新增数。学习趋势图：展示登录人数、学习人数、线上学习时长的统计图表，支持查看本周，上周，本月，上月时间维度。排行榜：可以查看个人和部门学习时长的排行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【资源管理功能】可对教学视频，项目要求文档，教学文件，项目文件等资源进行管理，形成数字文件与教学资源；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【教学功能】可对实训人员进行学习行为管理和对学生学习结果评估做针对性个体教学；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（2）平台技术参数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【防盗链技术】数字身份识别防盗系统，防止平台课程被翻录和盗版；</w:t>
            </w:r>
            <w:r/>
          </w:p>
          <w:p>
            <w:pPr>
              <w:widowControl/>
              <w:rPr>
                <w:rFonts w:ascii="微软雅黑" w:hAnsi="微软雅黑" w:eastAsia="微软雅黑" w:cs="微软雅黑"/>
                <w:color w:val="auto"/>
                <w:sz w:val="16"/>
                <w:szCs w:val="16"/>
                <w:lang w:bidi="ar"/>
              </w:rPr>
            </w:pPr>
            <w:r/>
            <w:bookmarkStart w:id="169" w:name="_Hlk237699110"/>
            <w:r>
              <w:rPr>
                <w:rFonts w:hint="eastAsia" w:ascii="仿宋" w:hAnsi="仿宋" w:eastAsia="仿宋" w:cs="仿宋"/>
                <w:color w:val="auto"/>
                <w:szCs w:val="21"/>
              </w:rPr>
              <w:t xml:space="preserve">●</w:t>
            </w:r>
            <w:r>
              <w:rPr>
                <w:rFonts w:hint="eastAsia" w:ascii="微软雅黑" w:hAnsi="微软雅黑" w:eastAsia="微软雅黑" w:cs="微软雅黑"/>
                <w:color w:val="auto"/>
                <w:sz w:val="16"/>
                <w:szCs w:val="16"/>
                <w:lang w:bidi="ar"/>
              </w:rPr>
              <w:t xml:space="preserve">【云指纹】视频云指纹系统有效防止平台课程被翻录和盗版且可跟踪；</w:t>
            </w:r>
            <w:r>
              <w:rPr>
                <w:rFonts w:hint="eastAsia" w:ascii="微软雅黑" w:hAnsi="微软雅黑" w:eastAsia="微软雅黑" w:cs="微软雅黑"/>
                <w:color w:val="auto"/>
                <w:sz w:val="16"/>
                <w:szCs w:val="16"/>
                <w:highlight w:val="yellow"/>
                <w:lang w:bidi="ar"/>
              </w:rPr>
              <w:t xml:space="preserve">【提供视频演示】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【软件著作权】该平台具有中华人民共和国计算机软件著作权登记证书（提供证书复印件并加盖供应商公章）；</w:t>
            </w:r>
            <w:bookmarkEnd w:id="169"/>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【访问IP防护】允许用户设置黑、白IP名单，针对恶意攻击IP地址进行管控；</w:t>
            </w:r>
            <w:r/>
          </w:p>
          <w:p>
            <w:pPr>
              <w:widowControl/>
              <w:rPr>
                <w:rFonts w:ascii="微软雅黑" w:hAnsi="微软雅黑" w:eastAsia="微软雅黑" w:cs="微软雅黑"/>
                <w:color w:val="auto"/>
                <w:sz w:val="16"/>
                <w:szCs w:val="16"/>
                <w:lang w:bidi="ar"/>
              </w:rPr>
            </w:pPr>
            <w:r/>
            <w:bookmarkStart w:id="170" w:name="_Hlk237699131"/>
            <w:r>
              <w:rPr>
                <w:rFonts w:hint="eastAsia" w:ascii="仿宋" w:hAnsi="仿宋" w:eastAsia="仿宋" w:cs="仿宋"/>
                <w:color w:val="auto"/>
                <w:szCs w:val="21"/>
              </w:rPr>
              <w:t xml:space="preserve">●</w:t>
            </w:r>
            <w:r>
              <w:rPr>
                <w:rFonts w:hint="eastAsia" w:ascii="微软雅黑" w:hAnsi="微软雅黑" w:eastAsia="微软雅黑" w:cs="微软雅黑"/>
                <w:color w:val="auto"/>
                <w:sz w:val="16"/>
                <w:szCs w:val="16"/>
                <w:lang w:bidi="ar"/>
              </w:rPr>
              <w:t xml:space="preserve">【敏感词防护】允许用户设置屏蔽或禁止敏感关键词，并可以查看屏蔽记录；</w:t>
            </w:r>
            <w:r>
              <w:rPr>
                <w:rFonts w:hint="eastAsia" w:ascii="微软雅黑" w:hAnsi="微软雅黑" w:eastAsia="微软雅黑" w:cs="微软雅黑"/>
                <w:color w:val="auto"/>
                <w:sz w:val="16"/>
                <w:szCs w:val="16"/>
                <w:highlight w:val="yellow"/>
                <w:lang w:bidi="ar"/>
              </w:rPr>
              <w:t xml:space="preserve">【提供视频演示】</w:t>
            </w:r>
            <w:bookmarkEnd w:id="170"/>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【刷帖防护】允许用户设置同一平台学生，5分钟内最多发帖次数（包含回复数）；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【终端支持】前端必须自适应主流移动平台客户端；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【大数据系统】必须提供后期的大数据分析；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【运维支持】提供云平台支撑，方便后期拓展维护；</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【软件著作权】平台须具有中华人民共和国软件著作权（提供证书复印件并加盖供应商公章）；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3.配套背景素材资源需包含以下资源：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（1）古代角色素材包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古代角色2个：男性和女性角色各1个，角色需要进行骨骼肌肉绑定、表情控制，及可以适配全套动作库，同时每个角色包含三套不同的服饰和发</w:t>
            </w:r>
            <w:r>
              <w:rPr>
                <w:rFonts w:hint="eastAsia" w:ascii="微软雅黑" w:hAnsi="微软雅黑" w:eastAsia="微软雅黑" w:cs="微软雅黑"/>
                <w:color w:val="auto"/>
                <w:sz w:val="16"/>
                <w:szCs w:val="16"/>
                <w:lang w:bidi="ar"/>
              </w:rPr>
              <w:t xml:space="preserve">型。需同时提供完整Maya、Zbrush、Substance Painter和虚幻等源文件。该角色按照PBR次世代游戏美术流程制作，基于虚幻引擎PBR次世代高精度古代角色资源，该角色包含工程源文件，并按照PBR流程制作，包含低低精度模型，面数在5万以内、高精度模型为ZBrush制作，贴图需要包含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（2）现代角色素材包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现代角色2个：男性和女性角色各1个，角色需要进行骨骼肌肉绑定、表情控制，以及可以适配全套动作库，同时每个角色包含三套不同的服饰和发型</w:t>
            </w:r>
            <w:r>
              <w:rPr>
                <w:rFonts w:hint="eastAsia" w:ascii="微软雅黑" w:hAnsi="微软雅黑" w:eastAsia="微软雅黑" w:cs="微软雅黑"/>
                <w:color w:val="auto"/>
                <w:sz w:val="16"/>
                <w:szCs w:val="16"/>
                <w:lang w:bidi="ar"/>
              </w:rPr>
              <w:t xml:space="preserve">。需同时提供完整Maya、Zbrush、Substance Painter和虚幻等源文件。该角色按照PBR次世代游戏美术流程制作，基于虚幻引擎PBR次世代高精度古代角色资源，该角色包含工程源文件，并按照PBR流程制作，包含低低精度模型，面数在5万以内、高精度模型为ZBrush制作，贴图需要包含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（3）古代场景素材包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古代场景2个：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室内外场景各一套，包含不同季节环境和灯光气候系统。室内包含常用古代生活起居家具和古代装饰等道具内容。室外</w:t>
            </w:r>
            <w:r>
              <w:rPr>
                <w:rFonts w:hint="eastAsia" w:ascii="微软雅黑" w:hAnsi="微软雅黑" w:eastAsia="微软雅黑" w:cs="微软雅黑"/>
                <w:color w:val="auto"/>
                <w:sz w:val="16"/>
                <w:szCs w:val="16"/>
                <w:lang w:bidi="ar"/>
              </w:rPr>
              <w:t xml:space="preserve">包含古代建筑（五种以上不同类型）古代建筑和相应的古代装饰材料等内容。需同时提供完整Maya、Zbrush、Substance Painter和虚幻等源文件。定制资源：基于虚幻引擎PBR次世代高精度古代场景资源，需要包含工程源文件，按照PBR流程制作，需要包含低精度、高精度模型，贴图需要包含色彩和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（4）现代场景素材包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现代场景2个：室内外场景各一套，包含不同季节环境和灯光气候系统，室内包含常用古代生活起居家具和古代装饰等道具内容。室外场景包含（五种以上不同类型）现代建筑和相应的现代装饰材</w:t>
            </w:r>
            <w:r>
              <w:rPr>
                <w:rFonts w:hint="eastAsia" w:ascii="微软雅黑" w:hAnsi="微软雅黑" w:eastAsia="微软雅黑" w:cs="微软雅黑"/>
                <w:color w:val="auto"/>
                <w:sz w:val="15"/>
                <w:szCs w:val="15"/>
                <w:lang w:bidi="ar"/>
              </w:rPr>
              <w:t xml:space="preserve">料等内容。需同时提供完整Maya、Zbrush、Substance Painter和虚幻等源文件。</w:t>
            </w:r>
            <w:r>
              <w:rPr>
                <w:rFonts w:hint="eastAsia" w:ascii="微软雅黑" w:hAnsi="微软雅黑" w:eastAsia="微软雅黑" w:cs="微软雅黑"/>
                <w:color w:val="auto"/>
                <w:sz w:val="16"/>
                <w:szCs w:val="16"/>
                <w:lang w:bidi="ar"/>
              </w:rPr>
              <w:t xml:space="preserve">定制资源：基于虚幻引擎PBR次世代高精度现代场景资源，需要包含工程源文件，按照PBR流程制作，需要包含低精度、高精度模型，贴图需要包含色彩和反射率贴图（Albedo）、法线贴图（Normal）、金属度贴图（Metallic）、粗糙度贴图（Roughness）、环境光遮蔽贴图（AO，全拼Ambient Occlusion）等。贴图大小不低于2048PIX；</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六、三脚架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1.俯仰摇摄:≥-75</w:t>
            </w:r>
            <w:r>
              <w:rPr>
                <w:rFonts w:hint="eastAsia" w:ascii="微软雅黑" w:hAnsi="微软雅黑" w:eastAsia="微软雅黑" w:cs="微软雅黑"/>
                <w:color w:val="auto"/>
                <w:sz w:val="16"/>
                <w:szCs w:val="16"/>
                <w:vertAlign w:val="superscript"/>
                <w:lang w:bidi="ar"/>
              </w:rPr>
              <w:t xml:space="preserve">o</w:t>
            </w:r>
            <w:r>
              <w:rPr>
                <w:rFonts w:hint="eastAsia" w:ascii="微软雅黑" w:hAnsi="微软雅黑" w:eastAsia="微软雅黑" w:cs="微软雅黑"/>
                <w:color w:val="auto"/>
                <w:sz w:val="16"/>
                <w:szCs w:val="16"/>
                <w:lang w:bidi="ar"/>
              </w:rPr>
              <w:t xml:space="preserve"> ≤ +90</w:t>
            </w:r>
            <w:r>
              <w:rPr>
                <w:rFonts w:hint="eastAsia" w:ascii="微软雅黑" w:hAnsi="微软雅黑" w:eastAsia="微软雅黑" w:cs="微软雅黑"/>
                <w:color w:val="auto"/>
                <w:sz w:val="16"/>
                <w:szCs w:val="16"/>
                <w:vertAlign w:val="superscript"/>
                <w:lang w:bidi="ar"/>
              </w:rPr>
              <w:t xml:space="preserve">o</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2.水平摇摄: ≤360</w:t>
            </w:r>
            <w:r>
              <w:rPr>
                <w:rFonts w:hint="eastAsia" w:ascii="微软雅黑" w:hAnsi="微软雅黑" w:eastAsia="微软雅黑" w:cs="微软雅黑"/>
                <w:color w:val="auto"/>
                <w:sz w:val="16"/>
                <w:szCs w:val="16"/>
                <w:vertAlign w:val="superscript"/>
                <w:lang w:bidi="ar"/>
              </w:rPr>
              <w:t xml:space="preserve">o</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3.工作高度: 810-1670mm；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4.云台类型:液压云台；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5.材质:铝合金；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6.脚架节数≥3节；</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7.管径：不小于16mm；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1332"/>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七、无线领夹话筒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1.振荡器类型：晶体控制锁相环合成器；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2.接收类型：空间分集；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3.天线类型：1/4 波长线；</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4.频率响应：23Hz 至 18kHz（典型）；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5.信噪比：≥96dB（最大误差，A 加权）；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6.失真 (T.H.D)：0.9% 或更低（-60dBV，1kHz 输入）；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7.音频延迟： ≤0.35 毫秒；</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八、专业播音话筒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1.单指向、16mm直径镀金Mylar膜片纯电容音质；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2.48V幻象供电，镀金卡侬输出；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3.频率范围：20—20000 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4.灵敏度：-30dB(20mV/Pa)；</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5.指向形：超心型；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6.拾音角度：≥120°；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7.最大声压级：≥138dB；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8.阻抗：≥150Ω；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9.信噪比：≥78d；</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62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九、调音台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1.≥12路输入通道，≥6路话筒输入，≥2路立体声线路输入，≥1组USB声卡输入，≥1路USB接口(移动U盘)输入或选择4路话筒输入，≥4组立体声线路输入，≥1组USB声卡输入，≥1路USB接口输入;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2.具有≥2路主输出通道、≥4路编组输出、≥4路AUX SEND辅助输出、≥1组立体声CTRL ROOM监听输出、≥1路耳机监听输出、≥1个USB声卡IN/OUT接口、≥1个U盘录/播音接口、≥1个FOOT SW开关接口;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3.麦克风输入通道配置超低噪音的MIC前级和+48V幻象电源。120Hz低切滤波器;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4.输入通道具有HI-Z高阻抗输入（1~2通道）、增益控制（1~6通道）、压缩器（1~4通道）、3段参量均衡器(1~4输入通道支持中频扫频），输入通道均配置4个AUX旋钮、声像平衡、PFL信号监听、ON功能;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5.采用60mm高精度电平衰减推子;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6.通道配置GR1/2、GR3/4、L/R总线分配按钮;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7.内置可调参数的数字效果器：≥24个；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8.支持USB/蓝牙媒体播放器，带数码显示屏，支持U盘播放、蓝牙播放；</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9.配置USB声卡接口支持电脑录播音功能;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10.总谐波失真：≤0.004%;</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11.频率响应：20Hz-20kHz（±1dB）;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12.额定增益：0dB（±0.5dB）;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13.信噪比：≥112dB；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14.最大输入电平：≥20dBu；</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15.最大输出电平：≥20dBu；</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9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十、监听音箱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1.系统类型：有源监听音箱；</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2.频率响应：40Hz-20kHz；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3.额定功率(定阻)：≥70W/4Ω；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4.采用不小于5.2寸振膜低音或等效性能；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5.高频：采用不小于1寸振膜高音或等效性能；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6.输入插座：具备XLR(卡侬)和RCA；</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1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十一、提词器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1.该系统需支持Liunx嵌入式系统或Windows 主流系统，整套系统采用一体化手拧螺丝结构，安装快捷，操作简单，控制方便，分光效果可达97%以上，提词器屏幕内置提词主机，满足U盘、PC和纸质播音文件三种采集读稿方式；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2.采用2mm专业无色分光镜，分光比2:8，表面多层介质镀膜（硬膜），无光损，适配各类高标清镜头，广视角设计，提示器文稿显示清晰，无虚影，拍摄不穿帮；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3.主机配置：</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1.中央处理核心数：≥10核；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2.处理器线程：≥16线程；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3.主频≥3.7GHz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4.内存：≥16G；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5.SSD硬盘：≥1TB；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6.独立显存：≥8G；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7.主频：≥4.7GHz；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8.屏幕尺寸：≥22寸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9.亮度：≥400cd/㎡；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10.点距： ≤0.2767mm；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11.屏幕刷新率：≥60Hz；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12.屏幕分辨率：≥1920*1080；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13.接口类型：支持HDMI 或VGA；</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14.响应时间范围：2ms-4ms；</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3367"/>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十二、演播室线材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1.超高清视频线不少于20米；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2.超高清视频线屏蔽类型：双屏蔽；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3.超高清视频线芯：镀锡铜；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4.音频线不少于20米；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5.音频线屏蔽类型：双屏蔽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6.NEUTRIK卡龙头不少于10个；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7.HDMI高清视频线不少于520米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8.6类网线不少于1箱；</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9.电源线不少于20米；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10.信号控制线不少于20米；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11.接插件等不少于10套；</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2411"/>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十三、反送监看电视设备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1.屏幕尺寸不小于75英寸；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2.屏幕分辨率:超高清不少于4K；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3.刷屏率：≥144Hz；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4.色域标准：≥BT.709；</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5.色域值：≥130%；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6.亮度：优于300-400尼特；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7.接口：不少于2个HDMI、不少于2个USB、AV等接口；</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4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十四、操作台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1.定制控制操作台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（1）桌面长度：≥2.4米；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（2）桌面深度：≥1米；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（3）桌面高度：≥0.7米；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（4）材质：冷轧钢板、板材；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（5）板材厚度：≥2.5cm；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（6）板材颜色：木纹或白色；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2.控制室座椅≥2个</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（1）颜色：曜黑云白；</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（2）头枕：宽幅3D头枕；</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（3）椅背：不可调节；</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（4）腰枕：复合弹弓骶枕；</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（5）扶手：4D扶手 前后旋转：≤360度、≤90翻转；</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（6）座垫：全网座垫；</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（7）底盘：旋钮底盘可调节后仰弹力；</w:t>
            </w:r>
            <w:r/>
          </w:p>
          <w:p>
            <w:pPr>
              <w:jc w:val="left"/>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（8）后仰：三档≤135°；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（9）网布：波浪密楞网布；</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0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十五、数字角色形象资产管理系统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1.平台内置不少于200个虚拟角色和场景以供选择；</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2.可任意切换虚拟角色及场景；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3.支持自定义角色模型导入；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4.支持Realtime实时光照，呈现实时的光影效果；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5.支持自定义制定环境光颜色；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6.支持区域灯光开关控制；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7.支持VR模式沉浸式体验；</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十六、虚拟VR平台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1.屏幕尺寸：≥55英寸；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显示单元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1.显示尺寸：≥43英寸；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2.显示比例：16：9；</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感知识别单元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1.感知尺寸：≥43英寸；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2.边框类型：超薄结构；</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3.触控点位：≥3点；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4.内存:≥16G；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5.硬盘:≥500GB；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6.机体材料:冷轧钢板全金属机体；</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7.散热结构:环流气体散热；</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8.机体表面：喷塑处理——防划伤，防震，防磕碰；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9.机体防护：防静电，防干扰，防尘；</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10.内部工艺：防锈处理；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11.正面防水：IP65级正面防水；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12.至少包含党建、数字展厅、特色主题展馆、中国史系列展馆等相关案例；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可满足党课学习、成果展示、视频通讯、远程协助能需要，实现自主学习、党会党建、政务关注、支部生活、信息共享等功能，规范基层党组织学习、生活制度，提高基层党员干部的党建知识、理论水平和综合素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14.（1）基于虚拟仿真技术（3D Max，Maya，Subtance，ZBrush，Unity3D，C#，Mono，</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DirectX11）、客户端开发技术（C/C++，Protobuf，GRPC，DirectShow，opencv，Websocket，.Net Framework）等技术开发的“智慧党建”平台，数字内容丰富、场景逼真、还原度高、交互操作简单。</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bottom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13</w:t>
            </w:r>
            <w:r/>
          </w:p>
        </w:tc>
        <w:tc>
          <w:tcPr>
            <w:shd w:val="clear" w:color="auto" w:fill="auto"/>
            <w:tcBorders>
              <w:top w:val="single" w:color="auto" w:sz="4" w:space="0"/>
              <w:left w:val="single" w:color="000000" w:sz="4" w:space="0"/>
              <w:bottom w:val="single" w:color="auto"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bookmarkStart w:id="171" w:name="_Hlk237699146"/>
            <w:r>
              <w:rPr>
                <w:rFonts w:hint="eastAsia" w:ascii="微软雅黑" w:hAnsi="微软雅黑" w:eastAsia="微软雅黑" w:cs="微软雅黑"/>
                <w:color w:val="auto"/>
                <w:sz w:val="16"/>
                <w:szCs w:val="16"/>
                <w:lang w:bidi="ar"/>
              </w:rPr>
              <w:t xml:space="preserve">3D惯性动作捕捉设备</w:t>
            </w:r>
            <w:bookmarkEnd w:id="171"/>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一、惯性传感器：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1.传感器数量：≥28个；</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2.陀螺仪：±2000dps；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3.加速计：±8g；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4.最小分辨率：不高于0.02°；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5.静态姿态精度：≥Roll 1°/Pitch 1°/Yaw 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6.工作电压：DC3.7V；</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7.工作时长：≥5Hours；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8.数据计算帧率：≥600Hz；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9.数据输出帧率：≥60Hz；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二、数据收发器：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1.接口类型：Type-C；</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2.工作频段：2400MHz~2483MHz；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3传输距离：≥6M；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三、配套软件参数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1.多样性切换捕捉模式：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（1）1全身模式：≥17个传感器；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（2）全身+手套模式：≥27个传感器；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（3）上半身模式：≥11个传感器；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（4）下半身模式：≥7个传感器；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（5）单臂模式：≥3个传感器；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（6）手套模式：≥12个传感器；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2配套3D角色动画虚拟仿真教学系统；</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需包含配套3D角色动画虚拟仿真教学系统，符合动画运动规律的虚拟仿真项目。需提供单机可执行文件，以及能够在主流网页浏览器运行的网页版本，并提交所有项目源文件。功能需求如下：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（1）提供一组角色，体现不同个性特征的走路运动库；</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bookmarkStart w:id="172" w:name="_Hlk237699162"/>
            <w:r>
              <w:rPr>
                <w:rFonts w:hint="eastAsia" w:ascii="仿宋" w:hAnsi="仿宋" w:eastAsia="仿宋" w:cs="黑体"/>
                <w:color w:val="auto"/>
                <w:szCs w:val="21"/>
              </w:rPr>
              <w:t xml:space="preserve">●</w:t>
            </w:r>
            <w:r>
              <w:rPr>
                <w:rFonts w:hint="eastAsia" w:ascii="微软雅黑" w:hAnsi="微软雅黑" w:eastAsia="微软雅黑" w:cs="微软雅黑"/>
                <w:color w:val="auto"/>
                <w:sz w:val="16"/>
                <w:szCs w:val="16"/>
                <w:lang w:bidi="ar"/>
              </w:rPr>
              <w:t xml:space="preserve">能够实现不同角色之间走路的对比观察，由用户任意调整观察角度和动画速度，进行实时对比；</w:t>
            </w:r>
            <w:r>
              <w:rPr>
                <w:rFonts w:hint="eastAsia" w:ascii="微软雅黑" w:hAnsi="微软雅黑" w:eastAsia="微软雅黑" w:cs="微软雅黑"/>
                <w:color w:val="auto"/>
                <w:sz w:val="16"/>
                <w:szCs w:val="16"/>
                <w:highlight w:val="yellow"/>
                <w:lang w:bidi="ar"/>
              </w:rPr>
              <w:t xml:space="preserve">【提供视频演示】</w:t>
            </w:r>
            <w:bookmarkEnd w:id="172"/>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（3）配套走路习题一套，以便检验用户学习效果；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bookmarkStart w:id="173" w:name="_Hlk237699168"/>
            <w:r>
              <w:rPr>
                <w:rFonts w:hint="eastAsia" w:ascii="仿宋" w:hAnsi="仿宋" w:eastAsia="仿宋" w:cs="黑体"/>
                <w:color w:val="auto"/>
                <w:szCs w:val="21"/>
              </w:rPr>
              <w:t xml:space="preserve">●</w:t>
            </w:r>
            <w:r>
              <w:rPr>
                <w:rFonts w:hint="eastAsia" w:ascii="微软雅黑" w:hAnsi="微软雅黑" w:eastAsia="微软雅黑" w:cs="微软雅黑"/>
                <w:color w:val="auto"/>
                <w:sz w:val="16"/>
                <w:szCs w:val="16"/>
                <w:lang w:bidi="ar"/>
              </w:rPr>
              <w:t xml:space="preserve">功能模块需要包含：主页模块、基础演示模块、对比演示模块、细节演示模块、练习模块等；</w:t>
            </w:r>
            <w:r>
              <w:rPr>
                <w:rFonts w:hint="eastAsia" w:ascii="微软雅黑" w:hAnsi="微软雅黑" w:eastAsia="微软雅黑" w:cs="微软雅黑"/>
                <w:color w:val="auto"/>
                <w:sz w:val="16"/>
                <w:szCs w:val="16"/>
                <w:highlight w:val="yellow"/>
                <w:lang w:bidi="ar"/>
              </w:rPr>
              <w:t xml:space="preserve">【提供视频演示】</w:t>
            </w:r>
            <w:bookmarkEnd w:id="173"/>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（5）须基于Unity技术引擎开发；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w:t>
            </w:r>
            <w:bookmarkStart w:id="174" w:name="_Hlk237699173"/>
            <w:r>
              <w:rPr>
                <w:rFonts w:hint="eastAsia" w:ascii="仿宋" w:hAnsi="仿宋" w:eastAsia="仿宋" w:cs="黑体"/>
                <w:color w:val="auto"/>
                <w:szCs w:val="21"/>
              </w:rPr>
              <w:t xml:space="preserve">●</w:t>
            </w:r>
            <w:r>
              <w:rPr>
                <w:rFonts w:hint="eastAsia" w:ascii="微软雅黑" w:hAnsi="微软雅黑" w:eastAsia="微软雅黑" w:cs="微软雅黑"/>
                <w:color w:val="auto"/>
                <w:sz w:val="16"/>
                <w:szCs w:val="16"/>
                <w:lang w:bidi="ar"/>
              </w:rPr>
              <w:t xml:space="preserve">须角色动画必须为3D方式制作；</w:t>
            </w:r>
            <w:r>
              <w:rPr>
                <w:rFonts w:hint="eastAsia" w:ascii="微软雅黑" w:hAnsi="微软雅黑" w:eastAsia="微软雅黑" w:cs="微软雅黑"/>
                <w:color w:val="auto"/>
                <w:sz w:val="16"/>
                <w:szCs w:val="16"/>
                <w:highlight w:val="yellow"/>
                <w:lang w:bidi="ar"/>
              </w:rPr>
              <w:t xml:space="preserve">【提供视频演示】</w:t>
            </w:r>
            <w:bookmarkEnd w:id="174"/>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（7）须允许扩展更多类型3D角色动作演示；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14</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人像辅助灯光系统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一、补光灯套装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1.电池容量:≥6000毫安锂电池；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2.摄影灯架高度：≥1.2米；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3.摄影灯架数量：1台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4.灯珠数量：≥110颗LED灯珠；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5.色温范围：3300K-5600K；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6.亮度调节范围：10%—100%；</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7.显色指数：≥95；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8.最大功率：≥12W；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二、彩光补光灯棒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1.灯体数量：1套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2.挡光板数量：1 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3.电池手柄数量：1套；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4.USB-C电源线数量：1套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5.便携包数量：4套；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6.光源功率：≥100W；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7.光源类型：RGB；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8.色温：2500 - 8500K；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9.亮度：≥ 1500Lux；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10.模式：支持 CCT、HSI、RGB 三种模式；</w:t>
            </w:r>
            <w:r/>
          </w:p>
          <w:p>
            <w:pPr>
              <w:pStyle w:val="646"/>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11.续航时间：≥4.5小时</w:t>
            </w:r>
            <w:r/>
          </w:p>
          <w:p>
            <w:pPr>
              <w:pStyle w:val="646"/>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12.内置锂电池：≥2200mAh</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三、便携手持拍照补光豆腐灯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1.LED6R灯体数量：1；</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2.柔光罩数量：1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3.Type-C电源线数量：1；</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4.桌面三脚架数量：1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5.光源类型：LED；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6.光源功率：≥38W；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7.色温：3000K—6000K；</w:t>
            </w:r>
            <w:r/>
          </w:p>
          <w:p>
            <w:pPr>
              <w:pStyle w:val="646"/>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8.功率≥6W；</w:t>
            </w:r>
            <w:r/>
          </w:p>
          <w:p>
            <w:pPr>
              <w:pStyle w:val="646"/>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9.内置锂电池：≥1800mAh；</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四、环形补光灯 4套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1.LR150灯体数量：≥1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2.手机支架数量：≥1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3.电源适配器数量：≥1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4.2.2米灯架数量：≥1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5.光源类型：LED；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6.光源功率：≥38W；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7.色温：3000K—6000K；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8.显色指数：≥90,亮度；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9.调节范围：1%-100%；</w:t>
            </w:r>
            <w:r/>
          </w:p>
          <w:p>
            <w:pPr>
              <w:pStyle w:val="646"/>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10.功率≥10W；</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五、聚光筒 2套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1.兼容灯具：Bowens卡口LED灯；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2.镜头配置：标配85mm光学投影镜头（EF卡口）；</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3.旋转设计：360°可旋转镜筒，无需拆卸即可调整投影角度；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4.材质：金属机身+多孔散热结构；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2</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六、柔光球 4台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1.类型：球形柔光箱（灯笼型）；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2.直径：≥85cm；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3.材质：高密度柔光布+金属撑杆；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4.卡口类型：标准保荣卡口（兼容Godox SL/M/LA/SZ系列灯具）；</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5.适用光源：LED常亮灯、闪光灯；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6.功率：≥300W；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7.柔光效果：360°均匀散射，适合人像、静物拍摄；</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4</w:t>
            </w:r>
            <w:r/>
          </w:p>
        </w:tc>
      </w:tr>
      <w:tr>
        <w:trPr>
          <w:jc w:val="center"/>
          <w:trHeight w:val="479"/>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七、双色温LED平板补光灯 2套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1.配置清单</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（1）LED50R补光灯数量：不少于1枚；</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（2）灯架高度：≥2米；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（3）电池容量≥6000mAh；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2.基本参数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（1）灯珠配置：RGBWW 五色混光（红、绿、蓝、白、暖白），功率：小于等于63W，色温范围：2500K~10000K（CCT模式）；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（2）显色指数：CRI ≥96，TLCI ≥96，调光范围：0%~100%无级调节，光效模式：CCT/HSI/RGB/GEL/FX（14种动态光效）；</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微软雅黑" w:hAnsi="微软雅黑" w:eastAsia="微软雅黑" w:cs="微软雅黑"/>
                <w:color w:val="auto"/>
                <w:sz w:val="16"/>
                <w:szCs w:val="16"/>
                <w:lang w:bidi="ar"/>
              </w:rPr>
            </w:pPr>
            <w:r>
              <w:rPr>
                <w:rFonts w:hint="eastAsia" w:ascii="宋体" w:hAnsi="宋体" w:eastAsia="宋体" w:cs="宋体"/>
                <w:color w:val="auto"/>
                <w:sz w:val="20"/>
                <w:szCs w:val="20"/>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15</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虚拟拍摄灯光系统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一、灯具固定轨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1.材料：工字型，选用优质铝合金型材材质；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2.施工工艺：熔铸、挤压、镀钛等工艺加工；</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3.轨道承重≥300KG；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4..材料规格≥60*80*4MM；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二、恒力吊杆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1.吊杆主体材料：铝合金材料；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2.恒力弹簧材料：特制铝合金弹簧钢[经特殊处理，经久耐用，抗腐蚀；</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3.吊挂重量≥10kg；</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三、LED平板灯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1.灯光通道数量不低于2通道；</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2.具有光效高，显色性好，显色指数：≥95；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3.灯珠数量≥672颗，色温范围：3200K-5600K；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4.灯具配置数码管显示屏；</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盏</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12</w:t>
            </w:r>
            <w:r/>
          </w:p>
        </w:tc>
      </w:tr>
      <w:tr>
        <w:trPr>
          <w:jc w:val="center"/>
          <w:trHeight w:val="34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四、LED聚光灯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1.具有光效高，显色性好，显色指数≥95，标准色温5600K;</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2.内置2.4G遥控接收装置，配合WiFi-2.4G控制盒；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3.支持DMX调光控制，配置数码管显示屏，可显示地址码和亮度；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4.功率（W）≥100W；</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5.亮度调节:无级调光；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6.调焦范围：10°-55°；</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盏</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4</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五、调光台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1.功率≥12W；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2.控制推杆≥24个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3.可存储程序≥16个程序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4.内置全中文LCD显示屏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5.程序步数≥ 99步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6.手动提灯功能: 有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7.数字键: 1-16，用于选择走灯程序、选择电脑灯；</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8.BANK/SCENES: 可编程程序，具备场景控制功能；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9.暗场功能: 黑场键可实现所有通道输出零，达到黑场效果；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10.渐变调节: 调节两步程序之间的渐变时间；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11.速度调节: 调节程序播放时每一步的停留时间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12.声控功能: 在播放程序时，可以通过声控键控制程序的运行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13.工作环境: 适合在无腐蚀性、可燃气体、可自然通风的场所使用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14.信号增强: 超强信号输出，4路光电隔离信号同步输出，每路采用独立的电源供电，具有很高的抗干扰能力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15.信号控制; 支持标准的DMX512信号，有一组标准的DMX512信号输入，1路信号直通输出，4路光电隔离输出；</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六、灯具电缆线≥30米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1.国标3x4平方 RVV护线软套；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2.护套采用聚氯乙烯材料；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3.环保安全抗冻防水耐拉、专用电源接头；</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30</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七、控制线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1.规格：国标3x0.5+1平方，带屏蔽RVV护线软套；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2.护套材料：聚氯乙烯；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30</w:t>
            </w:r>
            <w:r/>
          </w:p>
        </w:tc>
      </w:tr>
      <w:tr>
        <w:trPr>
          <w:jc w:val="center"/>
          <w:trHeight w:val="28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八、保险链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1.φ4包胶钢丝绳；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2.钢制保险扣；</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16</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九、灯号牌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1.材质：PVC材质；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2.工艺：雕刻工艺；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3.尺寸：不小于105×150mm矩形；</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16</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十、灯钩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1.材料采用高强度铝合金；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2.可包裹管径：≥30-55mm；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3.承重≥40KG；</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4.适合吊挂LED聚光灯，平板灯，成像灯，Par灯；</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16</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十一、1.5mm²电源线≥100米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1.规格：国标ZRRVV3×1.5mm²；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2.材质：阻燃聚氯乙烯绝缘及黑色护套软电线，无氧铜丝；</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3.导体长期允许工作温度≤70℃；</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100</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十二、2.5mm²电源线≥100米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1.规格：国标ZRRVV3×2.5mm²；</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2.材质：阻燃聚氯乙烯绝缘及黑色护套软电线，无氧铜丝；</w:t>
            </w:r>
            <w:r/>
          </w:p>
          <w:p>
            <w:pPr>
              <w:widowControl/>
              <w:rPr>
                <w:rFonts w:ascii="微软雅黑" w:hAnsi="微软雅黑" w:eastAsia="微软雅黑" w:cs="微软雅黑"/>
                <w:b/>
                <w:bCs/>
                <w:color w:val="auto"/>
                <w:sz w:val="16"/>
                <w:szCs w:val="16"/>
                <w:lang w:bidi="ar"/>
              </w:rPr>
            </w:pPr>
            <w:r>
              <w:rPr>
                <w:rFonts w:hint="eastAsia" w:ascii="微软雅黑" w:hAnsi="微软雅黑" w:eastAsia="微软雅黑" w:cs="微软雅黑"/>
                <w:color w:val="auto"/>
                <w:sz w:val="16"/>
                <w:szCs w:val="16"/>
                <w:lang w:bidi="ar"/>
              </w:rPr>
              <w:t xml:space="preserve">3.导体长期允许工作温度≤70℃；</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100</w:t>
            </w:r>
            <w:r/>
          </w:p>
        </w:tc>
      </w:tr>
      <w:tr>
        <w:trPr>
          <w:jc w:val="center"/>
          <w:trHeight w:val="44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十三、信号接插件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1.规格：五芯XLR；</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2.特性：DMX512信号传输专用；</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30</w:t>
            </w:r>
            <w:r/>
          </w:p>
        </w:tc>
      </w:tr>
      <w:tr>
        <w:trPr>
          <w:jc w:val="center"/>
          <w:trHeight w:val="47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十四 、灯栅层吊架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1.功能需求：专用摄影桁架；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2.满足无影墙天花覆盖；</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3.满足摄影灯架设备，灯栅层吊架；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项</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十五、分线盒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1.1分4电源信号分线盒；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2.材料：PC；</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3.尺寸：长度：≥8cm,宽度：≥4.5cm 高度：≥3.2cm；</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个</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3</w:t>
            </w:r>
            <w:r/>
          </w:p>
        </w:tc>
      </w:tr>
      <w:tr>
        <w:trPr>
          <w:jc w:val="center"/>
          <w:trHeight w:val="806"/>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十六、灯光电缆桥架</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1.尺寸：高度≥1.5cm 宽度≥10cm；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2.长度：≥20米；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3.材质：铝合金；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rPr>
                <w:rFonts w:ascii="微软雅黑" w:hAnsi="微软雅黑" w:eastAsia="微软雅黑" w:cs="微软雅黑"/>
                <w:color w:val="auto"/>
                <w:sz w:val="16"/>
                <w:szCs w:val="16"/>
                <w:lang w:bidi="ar"/>
              </w:rPr>
              <w:t xml:space="preserve">.</w:t>
            </w:r>
            <w:r>
              <w:rPr>
                <w:rFonts w:hint="eastAsia" w:ascii="微软雅黑" w:hAnsi="微软雅黑" w:eastAsia="微软雅黑" w:cs="微软雅黑"/>
                <w:color w:val="auto"/>
                <w:sz w:val="16"/>
                <w:szCs w:val="16"/>
                <w:lang w:bidi="ar"/>
              </w:rPr>
              <w:t xml:space="preserve">桥架</w:t>
            </w:r>
            <w:r>
              <w:rPr>
                <w:rFonts w:ascii="微软雅黑" w:hAnsi="微软雅黑" w:eastAsia="微软雅黑" w:cs="微软雅黑"/>
                <w:color w:val="auto"/>
                <w:sz w:val="16"/>
                <w:szCs w:val="16"/>
                <w:lang w:bidi="ar"/>
              </w:rPr>
              <w:t xml:space="preserve">标准件</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10套；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rPr>
                <w:rFonts w:ascii="微软雅黑" w:hAnsi="微软雅黑" w:eastAsia="微软雅黑" w:cs="微软雅黑"/>
                <w:color w:val="auto"/>
                <w:sz w:val="16"/>
                <w:szCs w:val="16"/>
                <w:lang w:bidi="ar"/>
              </w:rPr>
              <w:t xml:space="preserve">.</w:t>
            </w:r>
            <w:r>
              <w:rPr>
                <w:rFonts w:hint="eastAsia" w:ascii="微软雅黑" w:hAnsi="微软雅黑" w:eastAsia="微软雅黑" w:cs="微软雅黑"/>
                <w:color w:val="auto"/>
                <w:sz w:val="16"/>
                <w:szCs w:val="16"/>
                <w:lang w:bidi="ar"/>
              </w:rPr>
              <w:t xml:space="preserve">桥架</w:t>
            </w:r>
            <w:r>
              <w:rPr>
                <w:rFonts w:ascii="微软雅黑" w:hAnsi="微软雅黑" w:eastAsia="微软雅黑" w:cs="微软雅黑"/>
                <w:color w:val="auto"/>
                <w:sz w:val="16"/>
                <w:szCs w:val="16"/>
                <w:lang w:bidi="ar"/>
              </w:rPr>
              <w:t xml:space="preserve">五金件</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10套；</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w:t>
            </w:r>
            <w:r>
              <w:rPr>
                <w:rFonts w:ascii="微软雅黑" w:hAnsi="微软雅黑" w:eastAsia="微软雅黑" w:cs="微软雅黑"/>
                <w:color w:val="auto"/>
                <w:sz w:val="16"/>
                <w:szCs w:val="16"/>
                <w:lang w:bidi="ar"/>
              </w:rPr>
              <w:t xml:space="preserve">.</w:t>
            </w:r>
            <w:r>
              <w:rPr>
                <w:rFonts w:hint="eastAsia" w:ascii="微软雅黑" w:hAnsi="微软雅黑" w:eastAsia="微软雅黑" w:cs="微软雅黑"/>
                <w:color w:val="auto"/>
                <w:sz w:val="16"/>
                <w:szCs w:val="16"/>
                <w:lang w:bidi="ar"/>
              </w:rPr>
              <w:t xml:space="preserve">桥架</w:t>
            </w:r>
            <w:r>
              <w:rPr>
                <w:rFonts w:ascii="微软雅黑" w:hAnsi="微软雅黑" w:eastAsia="微软雅黑" w:cs="微软雅黑"/>
                <w:color w:val="auto"/>
                <w:sz w:val="16"/>
                <w:szCs w:val="16"/>
                <w:lang w:bidi="ar"/>
              </w:rPr>
              <w:t xml:space="preserve">捆扎件</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10套；</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米</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20</w:t>
            </w:r>
            <w:r/>
          </w:p>
        </w:tc>
      </w:tr>
      <w:tr>
        <w:trPr>
          <w:jc w:val="center"/>
          <w:trHeight w:val="64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16</w:t>
            </w:r>
            <w:r/>
          </w:p>
        </w:tc>
        <w:tc>
          <w:tcPr>
            <w:shd w:val="clear" w:color="auto" w:fill="auto"/>
            <w:tcBorders>
              <w:top w:val="single" w:color="auto" w:sz="4" w:space="0"/>
              <w:left w:val="singl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抠像绿箱系统集成</w:t>
            </w:r>
            <w:r/>
          </w:p>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一、定制抠像绿箱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1.高度：≥2.6米；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2.宽度：≥6米；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3.深度：≥4米；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4.绿箱制作:制作U型；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5.核心材料：木质或混合材质；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6.结构材料：木质、轻钢龙骨、基层木工板；</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7.表面材质：专业抠像漆；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8.地面材质：抠像地板胶；</w:t>
            </w:r>
            <w:r/>
          </w:p>
          <w:p>
            <w:pPr>
              <w:widowControl/>
              <w:rPr>
                <w:rFonts w:ascii="微软雅黑" w:hAnsi="微软雅黑" w:eastAsia="微软雅黑" w:cs="微软雅黑"/>
                <w:color w:val="auto"/>
                <w:sz w:val="16"/>
                <w:szCs w:val="16"/>
                <w:highlight w:val="cyan"/>
                <w:lang w:bidi="ar"/>
              </w:rPr>
            </w:pPr>
            <w:r>
              <w:rPr>
                <w:rFonts w:hint="eastAsia" w:ascii="微软雅黑" w:hAnsi="微软雅黑" w:eastAsia="微软雅黑" w:cs="微软雅黑"/>
                <w:color w:val="auto"/>
                <w:sz w:val="16"/>
                <w:szCs w:val="16"/>
                <w:lang w:bidi="ar"/>
              </w:rPr>
              <w:t xml:space="preserve">9..确保绿箱弯角处弧度需要精准的测量和制作，保证匀整无直角；</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2818"/>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17</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数媒交互数字人</w:t>
            </w:r>
            <w:r/>
          </w:p>
        </w:tc>
        <w:tc>
          <w:tcPr>
            <w:shd w:val="clear" w:color="auto" w:fill="auto"/>
            <w:tcBorders>
              <w:top w:val="single" w:color="auto" w:sz="4" w:space="0"/>
              <w:left w:val="single" w:color="000000"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一、数媒交互式数字人立式输出设备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1.输出设备尺寸：≥65英寸；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2.触摸类型：红外触控；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3.亮度：≥350cd/m2；</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4.处理器：≥八核, 2.4GHz)；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5.分辨率：≥3840*2160(UHD)；</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6.显示区域(mm)：≥1428.5x803.5(65英寸)；</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7.触摸点数：≥20点红外触控；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8.系统：现行通用操作系统；</w:t>
            </w:r>
            <w:r/>
          </w:p>
          <w:p>
            <w:pPr>
              <w:widowControl/>
              <w:rPr>
                <w:rFonts w:ascii="微软雅黑" w:hAnsi="微软雅黑" w:eastAsia="微软雅黑" w:cs="微软雅黑"/>
                <w:color w:val="auto"/>
                <w:sz w:val="16"/>
                <w:szCs w:val="16"/>
                <w:highlight w:val="yellow"/>
                <w:lang w:bidi="ar"/>
              </w:rPr>
            </w:pPr>
            <w:r>
              <w:rPr>
                <w:rFonts w:hint="eastAsia" w:ascii="微软雅黑" w:hAnsi="微软雅黑" w:eastAsia="微软雅黑" w:cs="微软雅黑"/>
                <w:color w:val="auto"/>
                <w:sz w:val="16"/>
                <w:szCs w:val="16"/>
                <w:lang w:bidi="ar"/>
              </w:rPr>
              <w:t xml:space="preserve">9.内存：≥4G；</w:t>
            </w:r>
            <w:r/>
          </w:p>
        </w:tc>
        <w:tc>
          <w:tcPr>
            <w:shd w:val="clear" w:color="auto" w:fill="auto"/>
            <w:tcBorders>
              <w:top w:val="single" w:color="auto" w:sz="4" w:space="0"/>
              <w:left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64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bottom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bottom w:val="single" w:color="auto"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二、数媒交互式数字人集成数字人 1套，需包含以下内容：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(一)数字人美术资源：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1.根据校方要求定制影视级别高精度AI 3D实时交互数字人原型设计，需符合学校需求定位；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1）数字人需以学生为原型；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2）数字人可以进行实时语音交互；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3）数字人可根据院校知识库进行回答问题后介绍学院和专业情况；</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角色面部五官要有较强的辨识度，美术风格属于写实风格；</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2.根据设计方案进行3D角色写实头部模型制作具体要求如下：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 数字人需进行写实头部材质制作、眼球模型与材质制作；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 数字人需制作舌头模型与材质制作、牙齿牙龈模型与材质制作；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 数字人需包含眼部表情、嘴部特殊表情；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 </w:t>
            </w:r>
            <w:r>
              <w:rPr>
                <w:rFonts w:hint="eastAsia" w:asciiTheme="minorEastAsia" w:hAnsiTheme="minorEastAsia" w:cstheme="minorEastAsia"/>
                <w:color w:val="auto"/>
                <w:sz w:val="24"/>
              </w:rPr>
              <w:t xml:space="preserve">★</w:t>
            </w:r>
            <w:r>
              <w:rPr>
                <w:rFonts w:hint="eastAsia" w:ascii="微软雅黑" w:hAnsi="微软雅黑" w:eastAsia="微软雅黑" w:cs="微软雅黑"/>
                <w:color w:val="auto"/>
                <w:sz w:val="16"/>
                <w:szCs w:val="16"/>
                <w:lang w:bidi="ar"/>
              </w:rPr>
              <w:t xml:space="preserve">数字人毛发需按照Xgen 方式制作。衣服布料系统及布料动力学系统需符合</w:t>
            </w:r>
            <w:r>
              <w:rPr>
                <w:rFonts w:ascii="微软雅黑" w:hAnsi="微软雅黑" w:eastAsia="微软雅黑" w:cs="微软雅黑"/>
                <w:color w:val="auto"/>
                <w:sz w:val="16"/>
                <w:szCs w:val="16"/>
                <w:lang w:bidi="ar"/>
              </w:rPr>
              <w:t xml:space="preserve">U</w:t>
            </w:r>
            <w:r>
              <w:rPr>
                <w:rFonts w:hint="eastAsia" w:ascii="微软雅黑" w:hAnsi="微软雅黑" w:eastAsia="微软雅黑" w:cs="微软雅黑"/>
                <w:color w:val="auto"/>
                <w:sz w:val="16"/>
                <w:szCs w:val="16"/>
                <w:lang w:bidi="ar"/>
              </w:rPr>
              <w:t xml:space="preserve">nreal</w:t>
            </w:r>
            <w:r>
              <w:rPr>
                <w:rFonts w:ascii="微软雅黑" w:hAnsi="微软雅黑" w:eastAsia="微软雅黑" w:cs="微软雅黑"/>
                <w:color w:val="auto"/>
                <w:sz w:val="16"/>
                <w:szCs w:val="16"/>
                <w:lang w:bidi="ar"/>
              </w:rPr>
              <w:t xml:space="preserve"> engine</w:t>
            </w:r>
            <w:r>
              <w:rPr>
                <w:rFonts w:hint="eastAsia" w:ascii="微软雅黑" w:hAnsi="微软雅黑" w:eastAsia="微软雅黑" w:cs="微软雅黑"/>
                <w:color w:val="auto"/>
                <w:sz w:val="16"/>
                <w:szCs w:val="16"/>
                <w:lang w:bidi="ar"/>
              </w:rPr>
              <w:t xml:space="preserve"> 动力学需求；</w:t>
            </w:r>
            <w:r>
              <w:rPr>
                <w:rFonts w:hint="eastAsia" w:ascii="微软雅黑" w:hAnsi="微软雅黑" w:eastAsia="微软雅黑" w:cs="微软雅黑"/>
                <w:color w:val="auto"/>
                <w:sz w:val="16"/>
                <w:szCs w:val="16"/>
                <w:highlight w:val="yellow"/>
                <w:lang w:bidi="ar"/>
              </w:rPr>
              <w:t xml:space="preserve">【提供系统页面截图</w:t>
            </w:r>
            <w:r>
              <w:rPr>
                <w:rFonts w:hint="eastAsia" w:ascii="微软雅黑" w:hAnsi="微软雅黑" w:eastAsia="微软雅黑" w:cs="微软雅黑"/>
                <w:color w:val="auto"/>
                <w:sz w:val="16"/>
                <w:szCs w:val="16"/>
                <w:highlight w:val="yellow"/>
                <w:lang w:val="zh-CN" w:bidi="ar"/>
              </w:rPr>
              <w:t xml:space="preserve">并加盖供应商公章</w:t>
            </w:r>
            <w:r>
              <w:rPr>
                <w:rFonts w:hint="eastAsia" w:ascii="微软雅黑" w:hAnsi="微软雅黑" w:eastAsia="微软雅黑" w:cs="微软雅黑"/>
                <w:color w:val="auto"/>
                <w:sz w:val="16"/>
                <w:szCs w:val="16"/>
                <w:highlight w:val="yellow"/>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5）高精度建模三角面数12万±10%，四边面布线符合Metahuman标准 ，需保留角色ZBrush雕刻+拓扑模型源文件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6）眼球独立建模（含虹膜纹理分层），支持动态焦距调整；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7）材质系统 4K PBR材质（Diffuse/Normal/Specular三通道）Substance Painter制作+UE5材质实例 ；</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8）角色模型需要符合Unreal eng</w:t>
            </w:r>
            <w:r>
              <w:rPr>
                <w:rFonts w:ascii="微软雅黑" w:hAnsi="微软雅黑" w:eastAsia="微软雅黑" w:cs="微软雅黑"/>
                <w:color w:val="auto"/>
                <w:sz w:val="16"/>
                <w:szCs w:val="16"/>
                <w:lang w:bidi="ar"/>
              </w:rPr>
              <w:t xml:space="preserve">ine</w:t>
            </w:r>
            <w:r>
              <w:rPr>
                <w:rFonts w:hint="eastAsia" w:ascii="微软雅黑" w:hAnsi="微软雅黑" w:eastAsia="微软雅黑" w:cs="微软雅黑"/>
                <w:color w:val="auto"/>
                <w:sz w:val="16"/>
                <w:szCs w:val="16"/>
                <w:lang w:bidi="ar"/>
              </w:rPr>
              <w:t xml:space="preserve"> 5渲染管线和Metahuman骨骼表情系统；</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(二)数字人面部语音与表情</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1）根据校方要求定制影视级别高精度AI 3D实时交互数字人面部表情及嘴型系统制作，需要包含（1套）含全身绑定和面部捕捉系统，数字人嘴型动作智能合成的底层逻辑类似，均建立在输入文本到输出音频与输出视觉信息的关联映射。性格和情绪化模拟：神态和微表情数量支持不少于30种；</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3D 驱动方式支持以下三种方式：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2）语音自动识别规格：语音特征提取器：特征提取器有梅尔倒谱系数（Mel-Frequency Cepstral Coefficients，MFCC）和滤波器组（Filter Banks）。时间步长控制：用来控制语音信号在时间轴上的划分大小；</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w:t>
            </w:r>
            <w:r>
              <w:rPr>
                <w:rFonts w:hint="eastAsia" w:asciiTheme="minorEastAsia" w:hAnsiTheme="minorEastAsia" w:cstheme="minorEastAsia"/>
                <w:color w:val="auto"/>
                <w:sz w:val="24"/>
              </w:rPr>
              <w:t xml:space="preserve">★</w:t>
            </w:r>
            <w:r>
              <w:rPr>
                <w:rFonts w:hint="eastAsia" w:ascii="微软雅黑" w:hAnsi="微软雅黑" w:eastAsia="微软雅黑" w:cs="微软雅黑"/>
                <w:color w:val="auto"/>
                <w:sz w:val="16"/>
                <w:szCs w:val="16"/>
                <w:lang w:bidi="ar"/>
              </w:rPr>
              <w:t xml:space="preserve">面部表情捕捉系统规格：Streamer 表情视频采集、用于采集脸部表演视频；支持 24、25、30、60 等不同帧率视频采集、支持时码输入、音频录制，支持动捕设备同步触发。将数据同步给角色模型，完成动画制作；</w:t>
            </w:r>
            <w:r>
              <w:rPr>
                <w:rFonts w:hint="eastAsia" w:ascii="微软雅黑" w:hAnsi="微软雅黑" w:eastAsia="微软雅黑" w:cs="微软雅黑"/>
                <w:color w:val="auto"/>
                <w:sz w:val="16"/>
                <w:szCs w:val="16"/>
                <w:highlight w:val="yellow"/>
                <w:lang w:bidi="ar"/>
              </w:rPr>
              <w:t xml:space="preserve">【提供系统页面截图</w:t>
            </w:r>
            <w:r>
              <w:rPr>
                <w:rFonts w:hint="eastAsia" w:ascii="微软雅黑" w:hAnsi="微软雅黑" w:eastAsia="微软雅黑" w:cs="微软雅黑"/>
                <w:color w:val="auto"/>
                <w:sz w:val="16"/>
                <w:szCs w:val="16"/>
                <w:highlight w:val="yellow"/>
                <w:lang w:val="zh-CN" w:bidi="ar"/>
              </w:rPr>
              <w:t xml:space="preserve">并加盖供应商公章</w:t>
            </w:r>
            <w:r>
              <w:rPr>
                <w:rFonts w:hint="eastAsia" w:ascii="微软雅黑" w:hAnsi="微软雅黑" w:eastAsia="微软雅黑" w:cs="微软雅黑"/>
                <w:color w:val="auto"/>
                <w:sz w:val="16"/>
                <w:szCs w:val="16"/>
                <w:highlight w:val="yellow"/>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(三)AI 3D数字人动作：</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1.数字人需要构建动作库，收集、整理和分类动作资源，方便后续调用；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2.数字人动作需要随机切换蓝图制作，增加动作多样性；</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3.数字人动作指定需切换蓝图制作，满足特定需求布料</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4.数字人需实现真实衣物碰撞效果，使衣物真实摆动；</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(四)数字人配套背景资源：</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背景场景2套：室内外场景各一套，包含不同季节环境和灯光气候系统，定制资源：基于虚幻引擎PBR次世代高精度现代场景资源，需要包含工程源文件，按照PBR流程制作，需要包含低精度、高精度模型，贴图需要包含色彩和反射率贴图（Albedo）、法线贴图（Normal）、金属度贴图（Metallic）、粗糙度贴图（Roughness）、环境光遮蔽贴图（AO，全拼Ambient Occlusion）等。贴图大小不低于2048PIX，；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(五)AI 3D数字人后台开发及知识库建设：</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1.数字人后台可接入语音识别技术实现语音交互；</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2.数字人后台可设置指定语句唤醒数字人；</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3.数字人后台可更换语音合成技术，实现文字到语音转换，为数字人赋予声音；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4.数字人后台可接入不同的网络大模型，利用其能力增强数字人智能；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5.数字人后台可接入离线大模型，丰富大模型系统，可实现全离线流程；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6.数字人后台可创建本地数字人知识库构建，存储和管理相关的知识文件，构建数字人基本思维功能框架，实现随问随答的基本交互逻辑；</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（六）AI 3D数字人配套课程：</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1.需提供以上数字人开发过程录制课程，内容为AI 3D数字人应用开发，从数字人美术制作道开始环境搭建到数字人AI人工智能互动环节完成，打造院校IP代言人案例制作。不少于60课时课程录制视频，视频不小于1080P，格式为MP4该课程需向院校方提供相应的数字人训练及开发过程教材，数字人从开始到完成过程制作，培训服务；</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2.课程内容：数字人在虚幻引擎中开发和制作流程，打造虚拟偶像及案例分析。通过学习，学生在作业中交付一套满足使用需求的高精度3D数字人模型；</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套</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64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top w:val="single" w:color="auto" w:sz="4" w:space="0"/>
              <w:left w:val="single" w:color="auto" w:sz="4" w:space="0"/>
              <w:right w:val="single" w:color="000000" w:sz="4" w:space="0"/>
            </w:tcBorders>
            <w:tcW w:w="284" w:type="pct"/>
            <w:vAlign w:val="center"/>
            <w:vMerge w:val="restart"/>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18</w:t>
            </w:r>
            <w:r/>
          </w:p>
        </w:tc>
        <w:tc>
          <w:tcPr>
            <w:shd w:val="clear" w:color="auto" w:fill="auto"/>
            <w:tcBorders>
              <w:top w:val="single" w:color="auto" w:sz="4" w:space="0"/>
              <w:left w:val="single" w:color="000000" w:sz="4" w:space="0"/>
              <w:right w:val="single" w:color="000000" w:sz="4" w:space="0"/>
            </w:tcBorders>
            <w:tcW w:w="325" w:type="pct"/>
            <w:vAlign w:val="center"/>
            <w:vMerge w:val="restart"/>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数字文创周边3D打印系统</w:t>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一、光固化3D输出设备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1.控制面板：≥10英寸电容触摸屏（机器自带）；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2.切片软件：Chitu Box；</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3.光源：COB+菲镜（波长385nm)；</w:t>
            </w:r>
            <w:r/>
          </w:p>
          <w:p>
            <w:pPr>
              <w:widowControl/>
              <w:rPr>
                <w:rFonts w:ascii="宋体" w:hAnsi="宋体" w:eastAsia="宋体" w:cs="宋体"/>
                <w:color w:val="auto"/>
                <w:sz w:val="24"/>
              </w:rPr>
            </w:pPr>
            <w:r>
              <w:rPr>
                <w:rFonts w:hint="eastAsia" w:ascii="微软雅黑" w:hAnsi="微软雅黑" w:eastAsia="微软雅黑" w:cs="微软雅黑"/>
                <w:color w:val="auto"/>
                <w:sz w:val="16"/>
                <w:szCs w:val="16"/>
                <w:lang w:bidi="ar"/>
              </w:rPr>
              <w:t xml:space="preserve">4.层厚：</w:t>
            </w:r>
            <w:r>
              <w:rPr>
                <w:rFonts w:hint="eastAsia" w:ascii="微软雅黑" w:hAnsi="微软雅黑" w:eastAsia="微软雅黑" w:cs="微软雅黑"/>
                <w:color w:val="auto"/>
                <w:sz w:val="15"/>
                <w:szCs w:val="15"/>
                <w:lang w:bidi="ar"/>
              </w:rPr>
              <w:t xml:space="preserve">20-250</w:t>
            </w:r>
            <w:r>
              <w:rPr>
                <w:rFonts w:hint="eastAsia" w:ascii="宋体" w:hAnsi="宋体" w:eastAsia="宋体" w:cs="宋体"/>
                <w:color w:val="auto"/>
                <w:sz w:val="15"/>
                <w:szCs w:val="15"/>
              </w:rPr>
              <w:t xml:space="preserve">μm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5.打印速度（MAX）：≥150mm/h；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6.支持自动调频、自动加料功能</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7.打印范围：不低于230mm*144mm*350mm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8.提供切片软件使用授权；</w:t>
            </w:r>
            <w:r/>
          </w:p>
          <w:p>
            <w:pPr>
              <w:widowControl/>
              <w:rPr>
                <w:rFonts w:ascii="微软雅黑" w:hAnsi="微软雅黑" w:cs="微软雅黑"/>
                <w:color w:val="auto"/>
                <w:sz w:val="16"/>
                <w:szCs w:val="16"/>
                <w:lang w:bidi="ar"/>
              </w:rPr>
            </w:pPr>
            <w:r>
              <w:rPr>
                <w:rFonts w:hint="eastAsia" w:ascii="微软雅黑" w:hAnsi="微软雅黑" w:eastAsia="微软雅黑" w:cs="微软雅黑"/>
                <w:color w:val="auto"/>
                <w:sz w:val="16"/>
                <w:szCs w:val="16"/>
                <w:lang w:bidi="ar"/>
              </w:rPr>
              <w:t xml:space="preserve">9.打印材料：保护漆：≥100瓶、稀释剂：≥20瓶、调色漆：≥100瓶、水性调色漆：100瓶、不同颜色漆：200瓶；</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90"/>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二、FDM#D 输出设备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1.喷头数量：≥2喷头；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2.打印精度：0.05mm；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3.层厚度：0.05 ~0.4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4.打印尺寸：≥300x330x600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5.喷嘴类型：高强喷嘴；</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6.喷头移动速度高达：≥500 mm/s；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7.喷头温度范围：75℃-300℃；</w:t>
            </w:r>
            <w:r/>
          </w:p>
          <w:p>
            <w:pPr>
              <w:jc w:val="left"/>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8.支持耗材类型：PLA/ABS/HIPS/ASA/PETG/COPA/PLA-CF/PETG-CF /PAHT-CF /PAHT-GF /PET-CF /PET-GF/PA12-CF/PA-CF/PA-GF/NexPA-CF25；</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9.输入/输出文件类型：输入:3MF/STL/0BJ/FPP/BMP/PNG/JPG/JPEG输出:GX/G/Gcode；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10.兼容的操作系统：Windows 7/8/10/11;Mac OS支持10.9及以上版本；</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11.支持2种以上的切片软件，并提供使用授权；</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12.智能触控液晶屏：≥7英寸（机器自带）；</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2</w:t>
            </w:r>
            <w:r/>
          </w:p>
        </w:tc>
      </w:tr>
      <w:tr>
        <w:trPr>
          <w:jc w:val="center"/>
          <w:trHeight w:val="455"/>
        </w:trPr>
        <w:tc>
          <w:tcPr>
            <w:shd w:val="clear" w:color="auto" w:fill="auto"/>
            <w:tcBorders>
              <w:left w:val="single" w:color="000000" w:sz="4" w:space="0"/>
              <w:right w:val="single" w:color="auto" w:sz="4" w:space="0"/>
            </w:tcBorders>
            <w:tcW w:w="32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vMerge w:val="continue"/>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000000" w:sz="4" w:space="0"/>
              <w:right w:val="single" w:color="000000" w:sz="4" w:space="0"/>
            </w:tcBorders>
            <w:tcW w:w="325" w:type="pct"/>
            <w:vAlign w:val="center"/>
            <w:vMerge w:val="continue"/>
            <w:textDirection w:val="lrTb"/>
            <w:noWrap w:val="false"/>
          </w:tcPr>
          <w:p>
            <w:pPr>
              <w:jc w:val="center"/>
              <w:rPr>
                <w:rFonts w:ascii="微软雅黑" w:hAnsi="微软雅黑" w:eastAsia="微软雅黑" w:cs="微软雅黑"/>
                <w:color w:val="auto"/>
                <w:sz w:val="16"/>
                <w:szCs w:val="16"/>
                <w:lang w:bidi="ar"/>
              </w:rPr>
            </w:pPr>
            <w:r>
              <w:rPr>
                <w:rFonts w:ascii="微软雅黑" w:hAnsi="微软雅黑" w:eastAsia="微软雅黑" w:cs="微软雅黑"/>
                <w:color w:val="auto"/>
                <w:sz w:val="16"/>
                <w:szCs w:val="16"/>
                <w:lang w:bidi="ar"/>
              </w:rPr>
            </w:r>
            <w:r/>
          </w:p>
        </w:tc>
        <w:tc>
          <w:tcPr>
            <w:shd w:val="clear" w:color="auto" w:fill="auto"/>
            <w:tcBorders>
              <w:top w:val="single" w:color="auto" w:sz="4" w:space="0"/>
              <w:left w:val="single" w:color="000000" w:sz="4" w:space="0"/>
              <w:bottom w:val="single" w:color="auto" w:sz="4" w:space="0"/>
              <w:right w:val="single" w:color="auto" w:sz="4" w:space="0"/>
            </w:tcBorders>
            <w:tcW w:w="3398"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三、高精度手持三维测量设备</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1.单帧捕捉范围：28x53 @100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2.单帧捕捉范围：975x775 @1000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3.工作距离：100-1000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4.最小扫描尺寸：10x10x10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5.最大扫描尺寸：≥4000x4000x4000 mm；</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6.扫描帧率：≥15fps；</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7.陀螺仪：有；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8.显示屏：≥6 英寸 2k AMOLED 触摸屏（机器自带）；</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9.CPU：≥2.4 GHz；</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10.存储：≥256 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11.光源：一级红外光；</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12.电池容量：≥5000mAh；</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13.内存：≥16GB；</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14.RGB 相机分辨率：≥4800 万像素；</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15.支持3D打印；</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16.接口类型：USB Type-C；</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17.Wi-Fi类型：不低于Wi-Fi 6标准；</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18.操作系统：现行通用操作系统；</w:t>
            </w:r>
            <w:r/>
          </w:p>
        </w:tc>
        <w:tc>
          <w:tcPr>
            <w:shd w:val="clear" w:color="auto" w:fill="auto"/>
            <w:tcBorders>
              <w:top w:val="single" w:color="auto" w:sz="4" w:space="0"/>
              <w:left w:val="single" w:color="auto" w:sz="4" w:space="0"/>
              <w:bottom w:val="single" w:color="auto" w:sz="4" w:space="0"/>
              <w:right w:val="single" w:color="000000" w:sz="4" w:space="0"/>
            </w:tcBorders>
            <w:tcW w:w="280"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台</w:t>
            </w:r>
            <w:r/>
          </w:p>
        </w:tc>
        <w:tc>
          <w:tcPr>
            <w:shd w:val="clear" w:color="auto" w:fill="auto"/>
            <w:tcBorders>
              <w:top w:val="single" w:color="auto" w:sz="4" w:space="0"/>
              <w:left w:val="none" w:color="000000" w:sz="4" w:space="0"/>
              <w:bottom w:val="single" w:color="auto" w:sz="4" w:space="0"/>
              <w:right w:val="single" w:color="000000" w:sz="4" w:space="0"/>
            </w:tcBorders>
            <w:tcW w:w="387" w:type="pct"/>
            <w:vAlign w:val="center"/>
            <w:textDirection w:val="lrTb"/>
            <w:noWrap/>
          </w:tcPr>
          <w:p>
            <w:pPr>
              <w:jc w:val="center"/>
              <w:widowControl/>
              <w:rPr>
                <w:rFonts w:ascii="宋体" w:hAnsi="宋体" w:eastAsia="宋体" w:cs="宋体"/>
                <w:color w:val="auto"/>
                <w:sz w:val="20"/>
                <w:szCs w:val="20"/>
                <w:lang w:bidi="ar"/>
              </w:rPr>
            </w:pPr>
            <w:r>
              <w:rPr>
                <w:rFonts w:hint="eastAsia" w:ascii="宋体" w:hAnsi="宋体" w:eastAsia="宋体" w:cs="宋体"/>
                <w:color w:val="auto"/>
                <w:sz w:val="20"/>
                <w:szCs w:val="20"/>
                <w:lang w:bidi="ar"/>
              </w:rPr>
              <w:t xml:space="preserve">1</w:t>
            </w:r>
            <w:r/>
          </w:p>
        </w:tc>
      </w:tr>
      <w:tr>
        <w:trPr>
          <w:jc w:val="center"/>
          <w:trHeight w:val="5779" w:hRule="exact"/>
        </w:trPr>
        <w:tc>
          <w:tcPr>
            <w:shd w:val="clear" w:color="auto" w:fill="auto"/>
            <w:tcBorders>
              <w:left w:val="single" w:color="000000" w:sz="4" w:space="0"/>
              <w:right w:val="single" w:color="auto" w:sz="4" w:space="0"/>
            </w:tcBorders>
            <w:tcW w:w="324" w:type="pct"/>
            <w:vAlign w:val="center"/>
            <w:textDirection w:val="lrTb"/>
            <w:noWrap/>
          </w:tcPr>
          <w:p>
            <w:pPr>
              <w:jc w:val="center"/>
              <w:rPr>
                <w:rFonts w:ascii="微软雅黑" w:hAnsi="微软雅黑" w:eastAsia="微软雅黑" w:cs="微软雅黑"/>
                <w:color w:val="auto"/>
                <w:sz w:val="16"/>
                <w:szCs w:val="16"/>
              </w:rPr>
            </w:pPr>
            <w:r>
              <w:rPr>
                <w:rFonts w:ascii="微软雅黑" w:hAnsi="微软雅黑" w:eastAsia="微软雅黑" w:cs="微软雅黑"/>
                <w:color w:val="auto"/>
                <w:sz w:val="16"/>
                <w:szCs w:val="16"/>
              </w:rPr>
            </w:r>
            <w:r/>
          </w:p>
        </w:tc>
        <w:tc>
          <w:tcPr>
            <w:shd w:val="clear" w:color="auto" w:fill="auto"/>
            <w:tcBorders>
              <w:left w:val="single" w:color="auto" w:sz="4" w:space="0"/>
              <w:right w:val="single" w:color="000000" w:sz="4" w:space="0"/>
            </w:tcBorders>
            <w:tcW w:w="284" w:type="pct"/>
            <w:vAlign w:val="center"/>
            <w:textDirection w:val="lrTb"/>
            <w:noWrap/>
          </w:tcPr>
          <w:p>
            <w:pPr>
              <w:jc w:val="center"/>
              <w:rPr>
                <w:rFonts w:ascii="微软雅黑" w:hAnsi="微软雅黑" w:eastAsia="微软雅黑" w:cs="微软雅黑"/>
                <w:color w:val="auto"/>
                <w:sz w:val="16"/>
                <w:szCs w:val="16"/>
              </w:rPr>
            </w:pPr>
            <w:r>
              <w:rPr>
                <w:rFonts w:hint="eastAsia" w:ascii="微软雅黑" w:hAnsi="微软雅黑" w:eastAsia="微软雅黑" w:cs="微软雅黑"/>
                <w:color w:val="auto"/>
                <w:sz w:val="16"/>
                <w:szCs w:val="16"/>
              </w:rPr>
              <w:t xml:space="preserve">19</w:t>
            </w:r>
            <w:r/>
          </w:p>
        </w:tc>
        <w:tc>
          <w:tcPr>
            <w:shd w:val="clear" w:color="auto" w:fill="auto"/>
            <w:tcBorders>
              <w:left w:val="single" w:color="000000" w:sz="4" w:space="0"/>
              <w:right w:val="single" w:color="000000" w:sz="4" w:space="0"/>
            </w:tcBorders>
            <w:tcW w:w="325" w:type="pct"/>
            <w:vAlign w:val="center"/>
            <w:textDirection w:val="lrTb"/>
            <w:noWrap w:val="false"/>
          </w:tcPr>
          <w:p>
            <w:pPr>
              <w:jc w:val="center"/>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实训室施工</w:t>
            </w:r>
            <w:r/>
          </w:p>
        </w:tc>
        <w:tc>
          <w:tcPr>
            <w:gridSpan w:val="3"/>
            <w:shd w:val="clear" w:color="auto" w:fill="auto"/>
            <w:tcBorders>
              <w:top w:val="single" w:color="auto" w:sz="4" w:space="0"/>
              <w:left w:val="single" w:color="000000" w:sz="4" w:space="0"/>
              <w:right w:val="single" w:color="000000" w:sz="4" w:space="0"/>
            </w:tcBorders>
            <w:tcW w:w="4065" w:type="pct"/>
            <w:vAlign w:val="center"/>
            <w:textDirection w:val="lrTb"/>
            <w:noWrap w:val="false"/>
          </w:tcPr>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一、数字音频录编实训室施工项目、需包含以下内容：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1.轻质隔声墙体 20平方米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墙面减振器</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120x50x60mm（间距600x600mm）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75轻钢龙骨(间距600x600mm)、内填隔音棉</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50mm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w:t>
            </w:r>
            <w:r>
              <w:rPr>
                <w:rFonts w:ascii="微软雅黑" w:hAnsi="微软雅黑" w:eastAsia="微软雅黑" w:cs="微软雅黑"/>
                <w:color w:val="auto"/>
                <w:sz w:val="16"/>
                <w:szCs w:val="16"/>
                <w:lang w:bidi="ar"/>
              </w:rPr>
              <w:t xml:space="preserve">隔声板</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12mm隔声板（腻子填缝）</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w:t>
            </w:r>
            <w:r>
              <w:rPr>
                <w:rFonts w:ascii="微软雅黑" w:hAnsi="微软雅黑" w:eastAsia="微软雅黑" w:cs="微软雅黑"/>
                <w:color w:val="auto"/>
                <w:sz w:val="16"/>
                <w:szCs w:val="16"/>
                <w:lang w:bidi="ar"/>
              </w:rPr>
              <w:t xml:space="preserve">基层板</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12mm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w:t>
            </w:r>
            <w:r>
              <w:rPr>
                <w:rFonts w:ascii="微软雅黑" w:hAnsi="微软雅黑" w:eastAsia="微软雅黑" w:cs="微软雅黑"/>
                <w:color w:val="auto"/>
                <w:sz w:val="16"/>
                <w:szCs w:val="16"/>
                <w:lang w:bidi="ar"/>
              </w:rPr>
              <w:t xml:space="preserve">隔声板</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9mm（腻子填缝）</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2.墙面吸声软包 20平方米</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50木龙骨(间距</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600x600mm)、内填吸音棉</w:t>
            </w:r>
            <w:r>
              <w:rPr>
                <w:rFonts w:hint="eastAsia" w:ascii="微软雅黑" w:hAnsi="微软雅黑" w:eastAsia="微软雅黑" w:cs="微软雅黑"/>
                <w:color w:val="auto"/>
                <w:sz w:val="16"/>
                <w:szCs w:val="16"/>
                <w:lang w:bidi="ar"/>
              </w:rPr>
              <w:t xml:space="preserve">尺寸：≥</w:t>
            </w:r>
            <w:r>
              <w:rPr>
                <w:rFonts w:ascii="微软雅黑" w:hAnsi="微软雅黑" w:eastAsia="微软雅黑" w:cs="微软雅黑"/>
                <w:color w:val="auto"/>
                <w:sz w:val="16"/>
                <w:szCs w:val="16"/>
                <w:lang w:bidi="ar"/>
              </w:rPr>
              <w:t xml:space="preserve">100mm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透声布</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3.弱电工程 1项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门禁</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监控</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（3）</w:t>
            </w:r>
            <w:r>
              <w:rPr>
                <w:rFonts w:ascii="微软雅黑" w:hAnsi="微软雅黑" w:eastAsia="微软雅黑" w:cs="微软雅黑"/>
                <w:color w:val="auto"/>
                <w:sz w:val="16"/>
                <w:szCs w:val="16"/>
                <w:lang w:bidi="ar"/>
              </w:rPr>
              <w:t xml:space="preserve">网络等</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4.音频相关弱电管道及线材 1项</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镀锌金属管、规格</w:t>
            </w:r>
            <w:r>
              <w:rPr>
                <w:rFonts w:hint="eastAsia" w:ascii="微软雅黑" w:hAnsi="微软雅黑" w:eastAsia="微软雅黑" w:cs="微软雅黑"/>
                <w:color w:val="auto"/>
                <w:sz w:val="16"/>
                <w:szCs w:val="16"/>
                <w:lang w:bidi="ar"/>
              </w:rPr>
              <w:t xml:space="preserve">：≥</w:t>
            </w:r>
            <w:r>
              <w:rPr>
                <w:rFonts w:ascii="微软雅黑" w:hAnsi="微软雅黑" w:eastAsia="微软雅黑" w:cs="微软雅黑"/>
                <w:color w:val="auto"/>
                <w:sz w:val="16"/>
                <w:szCs w:val="16"/>
                <w:lang w:bidi="ar"/>
              </w:rPr>
              <w:t xml:space="preserve">30mm、50mm</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（2）</w:t>
            </w:r>
            <w:r>
              <w:rPr>
                <w:rFonts w:ascii="微软雅黑" w:hAnsi="微软雅黑" w:eastAsia="微软雅黑" w:cs="微软雅黑"/>
                <w:color w:val="auto"/>
                <w:sz w:val="16"/>
                <w:szCs w:val="16"/>
                <w:lang w:bidi="ar"/>
              </w:rPr>
              <w:t xml:space="preserve">音频线、喇叭线、网线、HDMI线等</w:t>
            </w:r>
            <w:r>
              <w:rPr>
                <w:rFonts w:hint="eastAsia" w:ascii="微软雅黑" w:hAnsi="微软雅黑" w:eastAsia="微软雅黑" w:cs="微软雅黑"/>
                <w:color w:val="auto"/>
                <w:sz w:val="16"/>
                <w:szCs w:val="16"/>
                <w:lang w:bidi="ar"/>
              </w:rPr>
              <w:t xml:space="preserve">；</w:t>
            </w:r>
            <w:r/>
          </w:p>
          <w:p>
            <w:pPr>
              <w:widowControl/>
              <w:rPr>
                <w:rFonts w:ascii="微软雅黑" w:hAnsi="微软雅黑" w:eastAsia="微软雅黑" w:cs="微软雅黑"/>
                <w:color w:val="auto"/>
                <w:sz w:val="16"/>
                <w:szCs w:val="16"/>
                <w:lang w:bidi="ar"/>
              </w:rPr>
            </w:pPr>
            <w:r>
              <w:rPr>
                <w:rFonts w:hint="eastAsia" w:ascii="微软雅黑" w:hAnsi="微软雅黑" w:eastAsia="微软雅黑" w:cs="微软雅黑"/>
                <w:color w:val="auto"/>
                <w:sz w:val="16"/>
                <w:szCs w:val="16"/>
                <w:lang w:bidi="ar"/>
              </w:rPr>
              <w:t xml:space="preserve">5.音频相关弱电设计 1项</w:t>
            </w:r>
            <w:r/>
          </w:p>
          <w:p>
            <w:pPr>
              <w:widowControl/>
              <w:rPr>
                <w:rFonts w:ascii="微软雅黑" w:hAnsi="微软雅黑" w:eastAsia="微软雅黑" w:cs="微软雅黑"/>
                <w:color w:val="auto"/>
                <w:sz w:val="20"/>
                <w:szCs w:val="20"/>
                <w:lang w:bidi="ar"/>
              </w:rPr>
            </w:pPr>
            <w:r>
              <w:rPr>
                <w:rFonts w:hint="eastAsia" w:ascii="微软雅黑" w:hAnsi="微软雅黑" w:eastAsia="微软雅黑" w:cs="微软雅黑"/>
                <w:color w:val="auto"/>
                <w:sz w:val="16"/>
                <w:szCs w:val="16"/>
                <w:lang w:bidi="ar"/>
              </w:rPr>
              <w:t xml:space="preserve">（1）</w:t>
            </w:r>
            <w:r>
              <w:rPr>
                <w:rFonts w:ascii="微软雅黑" w:hAnsi="微软雅黑" w:eastAsia="微软雅黑" w:cs="微软雅黑"/>
                <w:color w:val="auto"/>
                <w:sz w:val="16"/>
                <w:szCs w:val="16"/>
                <w:lang w:bidi="ar"/>
              </w:rPr>
              <w:t xml:space="preserve">音频弱电管线图纸，系统图纸</w:t>
            </w:r>
            <w:r>
              <w:rPr>
                <w:rFonts w:hint="eastAsia" w:ascii="微软雅黑" w:hAnsi="微软雅黑" w:eastAsia="微软雅黑" w:cs="微软雅黑"/>
                <w:color w:val="auto"/>
                <w:sz w:val="16"/>
                <w:szCs w:val="16"/>
                <w:lang w:bidi="ar"/>
              </w:rPr>
              <w:t xml:space="preserve">；</w:t>
            </w:r>
            <w:r/>
          </w:p>
        </w:tc>
      </w:tr>
    </w:tbl>
    <w:p>
      <w:pPr>
        <w:pStyle w:val="665"/>
        <w:jc w:val="both"/>
        <w:spacing w:beforeAutospacing="0" w:afterAutospacing="0" w:line="0" w:lineRule="atLeast"/>
        <w:rPr>
          <w:rFonts w:ascii="宋体" w:hAnsi="宋体" w:eastAsia="宋体"/>
          <w:b/>
          <w:color w:val="auto"/>
          <w:szCs w:val="21"/>
        </w:rPr>
      </w:pPr>
      <w:r>
        <w:rPr>
          <w:rFonts w:ascii="宋体" w:hAnsi="宋体" w:eastAsia="宋体"/>
          <w:b/>
          <w:color w:val="auto"/>
          <w:szCs w:val="21"/>
        </w:rPr>
      </w:r>
      <w:r/>
    </w:p>
    <w:p>
      <w:pPr>
        <w:pStyle w:val="665"/>
        <w:jc w:val="both"/>
        <w:spacing w:beforeAutospacing="0" w:afterAutospacing="0" w:line="0" w:lineRule="atLeast"/>
        <w:rPr>
          <w:rFonts w:ascii="宋体" w:hAnsi="宋体" w:eastAsia="宋体"/>
          <w:bCs/>
          <w:color w:val="auto"/>
          <w:szCs w:val="21"/>
        </w:rPr>
      </w:pPr>
      <w:r>
        <w:rPr>
          <w:rFonts w:ascii="宋体" w:hAnsi="宋体" w:eastAsia="宋体" w:cs="宋体"/>
          <w:b/>
          <w:color w:val="auto"/>
        </w:rPr>
        <w:t xml:space="preserve">(</w:t>
      </w:r>
      <w:r>
        <w:rPr>
          <w:rFonts w:hint="eastAsia" w:ascii="宋体" w:hAnsi="宋体" w:eastAsia="宋体" w:cs="宋体"/>
          <w:b/>
          <w:color w:val="auto"/>
        </w:rPr>
        <w:t xml:space="preserve">二</w:t>
      </w:r>
      <w:r>
        <w:rPr>
          <w:rFonts w:ascii="宋体" w:hAnsi="宋体" w:eastAsia="宋体" w:cs="宋体"/>
          <w:b/>
          <w:color w:val="auto"/>
        </w:rPr>
        <w:t xml:space="preserve">)</w:t>
      </w:r>
      <w:r>
        <w:rPr>
          <w:rFonts w:hint="eastAsia" w:ascii="宋体" w:hAnsi="宋体" w:eastAsia="宋体"/>
          <w:b/>
          <w:color w:val="auto"/>
          <w:szCs w:val="21"/>
        </w:rPr>
        <w:t xml:space="preserve"> </w:t>
      </w:r>
      <w:r>
        <w:rPr>
          <w:rFonts w:hint="eastAsia" w:ascii="宋体" w:hAnsi="宋体" w:eastAsia="宋体"/>
          <w:bCs/>
          <w:color w:val="auto"/>
          <w:szCs w:val="21"/>
        </w:rPr>
        <w:t xml:space="preserve">人工智能</w:t>
      </w:r>
      <w:r/>
    </w:p>
    <w:tbl>
      <w:tblPr>
        <w:tblStyle w:val="64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1362"/>
        <w:gridCol w:w="4755"/>
        <w:gridCol w:w="754"/>
        <w:gridCol w:w="901"/>
      </w:tblGrid>
      <w:tr>
        <w:trPr>
          <w:jc w:val="center"/>
          <w:trHeight w:val="175"/>
        </w:trPr>
        <w:tc>
          <w:tcPr>
            <w:tcW w:w="434" w:type="pct"/>
            <w:vAlign w:val="center"/>
            <w:textDirection w:val="lrTb"/>
            <w:noWrap w:val="false"/>
          </w:tcPr>
          <w:p>
            <w:pPr>
              <w:jc w:val="center"/>
              <w:widowControl/>
              <w:rPr>
                <w:rFonts w:ascii="宋体" w:hAnsi="宋体" w:eastAsia="宋体" w:cs="宋体"/>
                <w:b/>
                <w:bCs/>
                <w:color w:val="auto"/>
                <w:sz w:val="24"/>
              </w:rPr>
            </w:pPr>
            <w:r/>
            <w:bookmarkStart w:id="175" w:name="OLE_LINK78"/>
            <w:r/>
            <w:bookmarkStart w:id="176" w:name="OLE_LINK77"/>
            <w:r>
              <w:rPr>
                <w:rFonts w:hint="eastAsia" w:ascii="宋体" w:hAnsi="宋体" w:eastAsia="宋体" w:cs="宋体"/>
                <w:b/>
                <w:bCs/>
                <w:color w:val="auto"/>
                <w:sz w:val="24"/>
                <w:lang w:bidi="ar"/>
              </w:rPr>
              <w:t xml:space="preserve">序号</w:t>
            </w:r>
            <w:r/>
          </w:p>
        </w:tc>
        <w:tc>
          <w:tcPr>
            <w:tcW w:w="800"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设备名称</w:t>
            </w:r>
            <w:r/>
          </w:p>
        </w:tc>
        <w:tc>
          <w:tcPr>
            <w:tcW w:w="2792"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技术参数</w:t>
            </w:r>
            <w:r/>
          </w:p>
        </w:tc>
        <w:tc>
          <w:tcPr>
            <w:tcW w:w="443"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单位</w:t>
            </w:r>
            <w:r/>
          </w:p>
        </w:tc>
        <w:tc>
          <w:tcPr>
            <w:tcW w:w="529" w:type="pct"/>
            <w:vAlign w:val="center"/>
            <w:textDirection w:val="lrTb"/>
            <w:noWrap w:val="false"/>
          </w:tcPr>
          <w:p>
            <w:pPr>
              <w:jc w:val="center"/>
              <w:widowControl/>
              <w:rPr>
                <w:rFonts w:ascii="宋体" w:hAnsi="宋体" w:eastAsia="宋体" w:cs="宋体"/>
                <w:b/>
                <w:bCs/>
                <w:color w:val="auto"/>
                <w:sz w:val="24"/>
              </w:rPr>
            </w:pPr>
            <w:r>
              <w:rPr>
                <w:rFonts w:hint="eastAsia" w:ascii="宋体" w:hAnsi="宋体" w:eastAsia="宋体" w:cs="宋体"/>
                <w:b/>
                <w:bCs/>
                <w:color w:val="auto"/>
                <w:sz w:val="24"/>
                <w:lang w:bidi="ar"/>
              </w:rPr>
              <w:t xml:space="preserve">数量</w:t>
            </w:r>
            <w:r/>
          </w:p>
        </w:tc>
      </w:tr>
      <w:tr>
        <w:trPr>
          <w:jc w:val="center"/>
          <w:trHeight w:val="6137"/>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智能仿生灵巧手 </w:t>
            </w:r>
            <w:r/>
          </w:p>
        </w:tc>
        <w:tc>
          <w:tcPr>
            <w:tcW w:w="2792" w:type="pct"/>
            <w:vAlign w:val="center"/>
            <w:textDirection w:val="lrTb"/>
            <w:noWrap w:val="false"/>
          </w:tcPr>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1、控制接口：具备 RS485或CANFD 通讯接口</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2、自由度：≥6</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3、关节数量：≥11 个</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4、工作电压：直流 24V～60V</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5、静态工作电流：≤180mA@24V</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6、最大工作电流：≥5A@24V</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7、指尖重复定位精度：≤±0.2mm</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8、拇指指尖抓握力：≥15N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9、四指指尖抓握力：≥10N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10、抓握力采集分辨率：≤0.1N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11、拇指侧摆活动范围：70°～170°</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12、拇指侧摆运动速度：≥150°/s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13、拇指弯曲运动速度：≥60°/s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14、四指弯曲运动速度：≥110°/s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15、单路触觉传感器量程：≥30N</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16、触觉传感器测量精度：优于 5% FS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17、触觉传感器配置数量：不少于 6 路</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18、手掌完整闭合动作时间：≤0.8s</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19、提供配套SDK、通讯协议文档，支持用户二次开发</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0"/>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智能机器人</w:t>
            </w:r>
            <w:r/>
          </w:p>
        </w:tc>
        <w:tc>
          <w:tcPr>
            <w:tcW w:w="2792" w:type="pct"/>
            <w:vAlign w:val="center"/>
            <w:textDirection w:val="lrTb"/>
            <w:noWrap w:val="false"/>
          </w:tcPr>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1、机身站立高度：≥110cm；</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2、整机自由度：≥24；</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3、单腿自由度：≥6；</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4、单手臂自由度：≥5；</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5、腰部自由度：≥2；</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6、头部自由度：≥1；</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7、腰关节摆动能力：俯仰≥±120°，横滚≥±25°；</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8、胯关节摆动能力：偏航≥±140°，横滚≥-50°～+90°；</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9、关节位置传感：具备关节位置检测反馈功能；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10、散热方案：具备主动散热功能；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11、供电方式：可充电锂电池供电；</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12、板载基础算力核心数量：≥8核（或同等算力水平）；</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13、机载麦克风阵列：≥2路；</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14、无线通讯：支持Wi-Fi 5及以上、蓝牙5.0及以上；</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15、算力扩展：支持外部算力扩展；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16、电池结构：支持电池更换；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17、系统维护：支持远程OTA升级；</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18、开发权限：开放控制协议及SDK，支持二次开发；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19、动作资源：支持动作文件导入、存储与调用；</w:t>
            </w:r>
            <w:r/>
          </w:p>
          <w:p>
            <w:pPr>
              <w:jc w:val="left"/>
              <w:widowControl/>
              <w:rPr>
                <w:rFonts w:ascii="宋体" w:hAnsi="宋体" w:eastAsia="宋体" w:cs="宋体"/>
                <w:color w:val="auto"/>
                <w:szCs w:val="21"/>
              </w:rPr>
            </w:pPr>
            <w:r>
              <w:rPr>
                <w:rFonts w:hint="eastAsia" w:ascii="宋体" w:hAnsi="宋体" w:eastAsia="宋体" w:cs="宋体"/>
                <w:color w:val="auto"/>
                <w:szCs w:val="21"/>
                <w:lang w:bidi="ar"/>
              </w:rPr>
              <w:t xml:space="preserve">20、整机质保期限：≥6个月；</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90"/>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w:t>
            </w:r>
            <w:r/>
          </w:p>
        </w:tc>
        <w:tc>
          <w:tcPr>
            <w:tcW w:w="800" w:type="pct"/>
            <w:vAlign w:val="center"/>
            <w:textDirection w:val="lrTb"/>
            <w:noWrap/>
          </w:tcPr>
          <w:p>
            <w:pPr>
              <w:jc w:val="center"/>
              <w:widowControl/>
              <w:rPr>
                <w:rFonts w:ascii="宋体" w:hAnsi="宋体" w:eastAsia="宋体" w:cs="宋体"/>
                <w:color w:val="auto"/>
                <w:sz w:val="24"/>
              </w:rPr>
            </w:pPr>
            <w:r/>
            <w:bookmarkStart w:id="177" w:name="_Hlk237699207"/>
            <w:r>
              <w:rPr>
                <w:rFonts w:hint="eastAsia" w:ascii="宋体" w:hAnsi="宋体" w:eastAsia="宋体" w:cs="宋体"/>
                <w:color w:val="auto"/>
                <w:sz w:val="24"/>
              </w:rPr>
              <w:t xml:space="preserve">人工智能硬件</w:t>
            </w:r>
            <w:r/>
          </w:p>
          <w:p>
            <w:pPr>
              <w:jc w:val="center"/>
              <w:widowControl/>
              <w:rPr>
                <w:rFonts w:ascii="宋体" w:hAnsi="宋体" w:eastAsia="宋体" w:cs="宋体"/>
                <w:color w:val="auto"/>
                <w:sz w:val="24"/>
              </w:rPr>
            </w:pPr>
            <w:r>
              <w:rPr>
                <w:rFonts w:hint="eastAsia" w:ascii="宋体" w:hAnsi="宋体" w:eastAsia="宋体" w:cs="宋体"/>
                <w:color w:val="auto"/>
                <w:sz w:val="24"/>
              </w:rPr>
              <w:t xml:space="preserve">实训平台</w:t>
            </w:r>
            <w:bookmarkEnd w:id="177"/>
            <w:r/>
            <w:r/>
          </w:p>
        </w:tc>
        <w:tc>
          <w:tcPr>
            <w:tcW w:w="2792" w:type="pct"/>
            <w:vAlign w:val="center"/>
            <w:textDirection w:val="lrTb"/>
            <w:noWrap w:val="false"/>
          </w:tcPr>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1.平台基础功能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1.1.系统管理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1.1.1.专业管理：对院校内部专业信息进行统一管理，包括：专业名称、专业代码、备注等信息。可进行搜索、查看、新增、编辑、删除操作。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1.1.2.班级管理：对院校内部班级信息进行统一管理，包括：班级名称、所属专业、备注等信息。可进行搜索、筛选、查看、新增、编辑、删除操作。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1.1.3.教师管理：对院校内部教师信息进行统一管理，包括：教师姓名、教师账号、所属角色、所属班级、教师工号、教师性别、手机号码、电子邮箱等信息。可进行搜索、筛选、查看、新增、编辑、删除、批量删除、导入教师、重置密码操作。其中导入功能支持数据校验，将导入的数据可视化并告知用户存在问题的行和列及问题描述，并支持一键移除问题数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1.1.4.★学生管理：对院校内部学生信息进行统一管理，包括：学生姓名、学生账号、所属班级、学号、性别、手机号码、电子邮箱等信息。可进行搜索、筛选、查看、新增、编辑、删除、批量删除、导入学生、重置密码操作。其中导入功能支持数据校验，将导入的数据可视化并告知用户存在问题的行和列及问题描述，并支持一键移除问题数据</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1.1.5.设备类型管理：对平台内实训设备的类型信息进行统一管理，包括：设备类型名称、换行符、回退键等信息。可进行搜索、新增、编辑、删除操作。</w:t>
            </w:r>
            <w:r/>
          </w:p>
          <w:p>
            <w:pPr>
              <w:jc w:val="left"/>
              <w:widowControl/>
              <w:rPr>
                <w:rFonts w:ascii="宋体" w:hAnsi="宋体" w:eastAsia="宋体" w:cs="宋体"/>
                <w:color w:val="auto"/>
                <w:szCs w:val="21"/>
                <w:lang w:bidi="ar"/>
              </w:rPr>
            </w:pPr>
            <w:r/>
            <w:bookmarkStart w:id="178" w:name="_Hlk237699334"/>
            <w:r>
              <w:rPr>
                <w:rFonts w:hint="eastAsia" w:ascii="宋体" w:hAnsi="宋体" w:eastAsia="宋体" w:cs="宋体"/>
                <w:color w:val="auto"/>
                <w:szCs w:val="21"/>
                <w:lang w:bidi="ar"/>
              </w:rPr>
              <w:t xml:space="preserve">1.1.6.</w:t>
            </w:r>
            <w:bookmarkEnd w:id="178"/>
            <w:r/>
            <w:bookmarkStart w:id="179" w:name="_Hlk237699229"/>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机柜管理：支持通过网络协议，</w:t>
            </w:r>
            <w:r>
              <w:rPr>
                <w:rFonts w:hint="eastAsia" w:ascii="宋体" w:hAnsi="宋体" w:eastAsia="宋体" w:cs="宋体"/>
                <w:color w:val="auto"/>
                <w:szCs w:val="21"/>
                <w:lang w:bidi="ar"/>
              </w:rPr>
              <w:t xml:space="preserve">对实训室机柜中的串口控制器进行管理，从而达到对机柜中的实训设备相联动，将各类实训设备（如路由器、交换机、防火墙、上网行为管理、网页防火墙等实训设备）进行统一的管理和控制，进行远程连接和调试。其中机柜信息包括：机柜名称、机柜IP、跳板机IP、跳板机用户名、跳板机密码等信息，可进行搜索、新增、编辑、删除、批量测试连接、回收机柜、设备管理操作；机柜内设备信息包括：设备名称、设备类型、串口端口号、串口连接类型、Web端口号、Web连接类型、用户名、密码等信息，可进行搜索、新增设备、设备应用、调试机柜、编辑、删除操作</w:t>
            </w:r>
            <w:r>
              <w:rPr>
                <w:rFonts w:hint="eastAsia" w:ascii="宋体" w:hAnsi="宋体" w:eastAsia="宋体" w:cs="宋体"/>
                <w:b/>
                <w:bCs/>
                <w:color w:val="auto"/>
                <w:szCs w:val="21"/>
                <w:lang w:bidi="ar"/>
              </w:rPr>
              <w:t xml:space="preserve">【提供视频演示】</w:t>
            </w:r>
            <w:r>
              <w:rPr>
                <w:rFonts w:hint="eastAsia" w:ascii="宋体" w:hAnsi="宋体" w:eastAsia="宋体" w:cs="宋体"/>
                <w:color w:val="auto"/>
                <w:szCs w:val="21"/>
                <w:lang w:bidi="ar"/>
              </w:rPr>
              <w:t xml:space="preserve">。</w:t>
            </w:r>
            <w:bookmarkEnd w:id="179"/>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1.2.设备管理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1.2.1.★设备信息：对平台所在的服务器信息进行查看，包括CPU信息、内存信息、网卡信息。其中CPU信息包含核心总数、逻辑核心总数、每颗CPU的型号、每颗CPU的核心数、每颗CPU的逻辑核心数；内存信息包含内存总大小、每根内存条的类型、每根内存条的主频、每根内存条的大小；网卡信息包含每块网卡的名称、每块网卡的Mac地址、每块网卡的速率、每块网卡的ipv4地址、每块网卡的子网掩码、每块网卡的ipv6地址</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1.2.2.设备配置：对平台所在的服务器的系统时间和系统网络进行配置。其中系统网络配置包含IP地址、子网掩码、网关。</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1.2.3.许可证管理：对平台所搭载的许可证信息进行统一管理，包括：设备特征码、产品授权码、资源列表。可进行许可证的批量上传、使用指导手册的下载。其中资源列表包括资源名称、授权码、资源数量等信息。</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1.3.集群管理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1.3.1.★集群信息：对平台的集群节点信息进行统一查看，包括：节点地址、启用状态、健康状态、CPU使用率、内存使用率、硬盘使用率、虚拟机数量、虚拟机总数、账号数量、账号总数。可进行搜索操作。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1.3.2.★集群配置：对平台的集群节点信息进行统一管理，包括：节点地址、虚拟化内存、账号数量、虚拟机数量等信息。可进行搜索、新增节点、编辑、删除、启用虚拟化、禁用虚拟化等功能。</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1.3.3.★虚拟机信息：对平台内的虚拟机信息进行统一管理，包括：UUID、IP地址、检测状态、内存，可支持搜索、连接、重启、销毁操作。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1.4.首页</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1.4.1.学生首页：显示今日表现的学习数量和练习数量，学习总览的学习数量、练习数量和活跃天数，我的课堂快捷跳转，班级学习排行榜。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1.4.2.教师首页：显示今日表现的活跃学生和达标学生数量，总体表现的达标学生数量、管理班级数、管理学生数，我的课堂快捷跳转，学生学习排行榜。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1.4.3.管理员首页：显示今日表现的活跃班级和活跃学生数量，总体情况的达标学生、管理班级数、管理学生数，课堂统计的总课堂数、进行中课堂数，班级达标排行，教师动态。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1.5.个人中心</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1.5.1.包含个人信息的修改及重置密码操作。其中个人信息的修改包括姓名、工号、邮箱、手机、性别。</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1.6.课堂中心</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1.6.1.在任意课程资源激活后显示使用</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1.6.2.课堂列表：对教师开设的课堂进行统一管理，包括：课堂名称、开始及结束时间、课堂状态、理论讲解数量、案例讲解数量、理论练习数量、案例实操数量，可进行按课堂名称搜索、开设课堂、一键开课、管理课堂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1.6.3.开设课堂：包括填写基础信息、添加学生及选择课程，其中基础信息包括课堂名称、开放时间，添加学生时支持以专业或班级为维度复选学生，选择课程时支持显示每门课程中理论讲解、理论练习、案例讲解、案例实操的数量。</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1.6.4.课堂内容：以大章、小节、资源三层目录的形式展示该课堂所涵盖的具体内容，具有单独的课堂导航板块并支持点击定位至对应的内容。在此处可进行理论讲解和案例讲解类资源的学习、理论练习类资源的答题、案例实操类资源的实训操作。其中理论讲解和案例讲解类资源在学习的过程中支持资源的分屏展示。理论练习支持自动评分功能，在答题</w:t>
            </w:r>
            <w:r>
              <w:rPr>
                <w:rFonts w:hint="eastAsia" w:ascii="宋体" w:hAnsi="宋体" w:eastAsia="宋体" w:cs="宋体"/>
                <w:color w:val="auto"/>
                <w:szCs w:val="21"/>
                <w:lang w:bidi="ar"/>
              </w:rPr>
              <w:t xml:space="preserve">结束后一键提交系统会按照答案进行自动评分，自动评分结束后可进一步查看评分详情，评分详情包括：得分、开始时间、结束时间、练习次数、平均分、最高得分及具体的作答情况。案例实操支持自动评分及保存环境功能，在实训结束后选择销毁评分后系统会按照评分表进行自动评分，自动评分过程会以进度条的形式展现，自动评分结束后可进一步查看得分、开始时间、结束时间、练习次数、平均分、最高得分、本次得分详情、本次排错指导、尝试评分记录、历史评分记录，在实训过程中选择保存退出操作后平台会保存当前环境，下一次进入该案例实操可以继续进行作答。</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1.6.5.★课堂统计：显示总体达标情况面板、资源和学生双维度的数据统计面板。其中总体达标情况面板内容包括：总体达标情况、理论讲解达标情况、理论练习达标情况、案例讲解达标情况、案例实操达标情况、剩余时长。资源维度数据统计以课程资源树的形式展示每个资源的学习人数、达标人数及达标比例，支持导出资源维度学习记录，并可进一步查看资源的学生学习详情，学生学习详情包括学生姓名、所属班级、状态。学生维度数据统计展示了学生的总体情况的学习比例和达标比例、理论讲解的学习比例和达标比例、案例讲解的学习比例和</w:t>
            </w:r>
            <w:r>
              <w:rPr>
                <w:rFonts w:hint="eastAsia" w:ascii="宋体" w:hAnsi="宋体" w:eastAsia="宋体" w:cs="宋体"/>
                <w:color w:val="auto"/>
                <w:szCs w:val="21"/>
                <w:lang w:bidi="ar"/>
              </w:rPr>
              <w:t xml:space="preserve">达标比例、案例实操的学习比例和达标比例、理论练习的学习比例和达标比例、活跃天数，支持按大章筛选及导出学生维度学习记录，并可进一步查看学生的详情，详情内容包括学生针对该课堂的达标情况、成绩单、案例实操历史记录、理论练习历史记录，其中达标情况显示了理论讲解、理论练习、案例讲解、案例实操的达标数值，成绩单显示了每个资源的已学习和已达标状态，案例实操历史记录可查看历史记录详情（详情包括答题详情、总计、评分细节、排错指导、评分记录等信息），理论练习历史记录可查看历史记录详情（详情包括答题详情、总计、题目的作答情况）。</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1.6.6.学生管理：对该课堂涉及的学生进行统一管理，以表格形式展示学生信息（包括姓名、所属班级、所属专业），按需添加学生或删除学生（添加学生时支持以专业或班级为维度复选学生，删除学生支持批量删除），支持输入关键字进行模糊查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1.6.7.课堂设置：对课堂的基础信息进行修改，包括课堂名称、开放时间，提供删除课堂功能。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1.6.8.★实操监控：对学生的案例实操实操虚拟机进行实时监控及远程控制，随时查看学生的实训操作。包括学生姓名、所属班级、实训章节、实训资源，支持搜索、连接、重启操作。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1.6.9.小组管理：在“信息安全产品配置“课程资源下支持对课堂下小组进行统一管理，包括：小组名称、组内学生等信息，可进行搜索、新增、删除等操作。</w:t>
            </w:r>
            <w:r/>
          </w:p>
          <w:p>
            <w:pPr>
              <w:jc w:val="left"/>
              <w:widowControl/>
              <w:rPr>
                <w:rFonts w:ascii="宋体" w:hAnsi="宋体" w:eastAsia="宋体" w:cs="宋体"/>
                <w:color w:val="auto"/>
                <w:szCs w:val="21"/>
                <w:lang w:bidi="ar"/>
              </w:rPr>
            </w:pPr>
            <w:r/>
            <w:bookmarkStart w:id="180" w:name="_Hlk237699325"/>
            <w:r>
              <w:rPr>
                <w:rFonts w:hint="eastAsia" w:ascii="宋体" w:hAnsi="宋体" w:eastAsia="宋体" w:cs="宋体"/>
                <w:color w:val="auto"/>
                <w:szCs w:val="21"/>
                <w:lang w:bidi="ar"/>
              </w:rPr>
              <w:t xml:space="preserve">1.6.10.</w:t>
            </w:r>
            <w:bookmarkEnd w:id="180"/>
            <w:r/>
            <w:bookmarkStart w:id="181" w:name="_Hlk237699241"/>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分配机柜：在“信息安全产品配置“课程资源下支持对课堂下小组所使用的机柜进行统一管理，包括：机柜名称、机柜IP、跳板机IP、使用组名称、使用题目名称等信息，可进行搜索、批量测试链接、分配机柜、取消分配、回收机柜等操作。使用此功能前需在“机柜管理”功能中添加数据。</w:t>
            </w:r>
            <w:r>
              <w:rPr>
                <w:rFonts w:hint="eastAsia" w:ascii="宋体" w:hAnsi="宋体" w:eastAsia="宋体" w:cs="宋体"/>
                <w:b/>
                <w:bCs/>
                <w:color w:val="auto"/>
                <w:szCs w:val="21"/>
                <w:lang w:bidi="ar"/>
              </w:rPr>
              <w:t xml:space="preserve">【提供视频演示】</w:t>
            </w:r>
            <w:bookmarkEnd w:id="181"/>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1.7.我的课堂</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1.7.1.在任意课程资源激活后显示使用</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1.7.2.课堂列表：显示分配给学生的课堂信息，信息包括：课堂名称、总时长、理论讲解数量、案例讲解数量、理论练习数量、案例实操数量，支持开始学习操作。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1.7.3.课堂内容：以大章、小节、资源三层目录的形式展示该课堂所涵盖的课程内容，具有单独的课堂导航板块并支持点击定位至对应的内容，可查看每个大章的学习进度，可进行理论讲解和案例讲解类资源的学习、理论练习类资源的答题、案例实操类资源的实训操作。其中理论讲解和案例讲解类资源在学习的过程中支持资源的分屏展示。理论练习支持自动评分功能，在答题</w:t>
            </w:r>
            <w:r>
              <w:rPr>
                <w:rFonts w:hint="eastAsia" w:ascii="宋体" w:hAnsi="宋体" w:eastAsia="宋体" w:cs="宋体"/>
                <w:color w:val="auto"/>
                <w:szCs w:val="21"/>
                <w:lang w:bidi="ar"/>
              </w:rPr>
              <w:t xml:space="preserve">结束后一键提交系统会按照答案进行自动评分，自动评分结束后可进一步查看评分详情，评分详情包括：得分、开始时间、结束时间、练习次数、平均分、最高得分及具体的作答情况。案例实操支持自动评分及保存环境功能，在实训结束后选择销毁评分后系统会按照评分表进行自动评分，自动评分过程会以进度条的形式展现，自动评分结束后可进一步查看得分、开始时间、结束时间、练习次数、平均分、最高得分、本次得分详情、本次排错指导、尝试评分记录、历史评分记录，在实训过程中选择保存退出操作后平台会保存当前环境，下一次进入该案例实操可以继续进行作答。</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1.7.4.课堂统计：包括总体达标面板、成绩单、案例实操历史记录、理论练习历史记录。总体达标面板展示了该课堂的总体达标情况、理论讲解达标情况、案例讲解达标情况、案例实操达标情况、理论练习达标情况、活跃天数；成绩单展示了学生在本课堂中每个资源的学习情况及达标情况；案例实操历史记录可查看历史记录详情（详情包括答题详情、总计、评分细节、排错指导、评分记录等信息）；理论练习历史记录可查看历史记录详情（详情包括答题详情、总计、题目的作答情况）。</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1.8.资源概览</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1.8.1.课程汇总：以板块的形式展示平台内搭载的课程，包括课程名称、课程类型、总时长、理论讲解数量、理论练习数量、案例讲解数量、案例实操数量，支持按课程名称进行搜索、查看详情操作。使用查看详情操作可看到课程下的资源目录，具有单独的课程导航板块并支持点击定位至对应的内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1.8.2.专业核心课：以板块的形式展示平台内搭载的系列课程，包括系列课程的名称、系列课程的介绍，支持查看详情操作；通过查看详情操作可查看该系列下的课程详情，包括课程名称、课程类型、总时长、理论讲解数量、理论练习数量、案例讲解数量、案例实操数量，用查看详情操作可看到课程下的资源目录，具有单独的课程导航板块并支持点击定位至对应的内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1.8.3.开放式资源库：以板块的形式展示开放资源库功能下所添加的课程，包括课程名称、总时长、理论讲解数量、理论练习数量、案例讲解数量、案例实操数量，用查看详情操作可看到课程下的资源目录，具有单独的课程导航板块并支持点击定位至对应的内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1.9.技能图谱</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1.9.1.学生</w:t>
            </w:r>
            <w:r>
              <w:rPr>
                <w:rFonts w:hint="eastAsia" w:ascii="宋体" w:hAnsi="宋体" w:eastAsia="宋体" w:cs="宋体"/>
                <w:color w:val="auto"/>
                <w:szCs w:val="21"/>
                <w:lang w:bidi="ar"/>
              </w:rPr>
              <w:t xml:space="preserve">端技能图谱：技能图谱的元素有综合技能评分、完整目标、当前目标、实际掌握、提升空间等元素，图表方面包含技能能力轮廓雷达图、技能详细对比柱状图、数字技能画像的思维导图以及关系图。其中技能能力轮廓雷达图支持查看技能对比总览；技能详细对比柱状图支持查看各技能的具体数值；数字技能画像的思维导图支持放大、缩小、拖动以及用颜色区分技能节点的未学习、学习中、已学习三种状态，点击技能节点可查看该技能下所关联的实训资源；数字画像的关系图支持放大、缩小、拖动并可按技能大类进行分类筛选，点击技能节点可查看该技能下所关联的实训资源。</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教师端技能图谱：对学生下各专业技能图谱进行统一的查看，支持按所属班</w:t>
            </w:r>
            <w:r>
              <w:rPr>
                <w:rFonts w:hint="eastAsia" w:ascii="宋体" w:hAnsi="宋体" w:eastAsia="宋体" w:cs="宋体"/>
                <w:color w:val="auto"/>
                <w:szCs w:val="21"/>
                <w:lang w:bidi="ar"/>
              </w:rPr>
              <w:t xml:space="preserve">级搜索学生。技能图谱的元素有综合技能评分、完整目标、当前目标、实际掌握、提升空间等元素，图表方面包含技能能力轮廓雷达图、技能详细对比柱状图、数字技能画像的思维导图以及关系图。其中技能能力轮廓雷达图支持查看技能对比总览；技能详细对比柱状图支持查看各技能的具体数值；数字技能画像的思维导图支持放大、缩小、拖动以及用颜色区分技能节点的未学习、学习中、已学习三种状态，点击技能节点可查看该技能下所关联的实训资源；数字画像的关系图支持放大、缩小、拖动并可按技能大类进行分类筛选，点击技能节点可查看该技能下所关联的实训资源。</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2.理实一体化考试模块系统</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2.1.理论题库管理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2.1.1.支持通过题库名称来进行题库的搜索；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2.1.2.支持以列表形式显示题库名称、题目数量、题库类型、创建时间；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2.1.3.支持对题库名称进行新增或编辑；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2.1.4.支持题库的分页显示、删除；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2.1.5.支持查看题库下题目；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2.1.6.支持通过题干内容、题目类型来进行题库下题目的搜索；</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2.1.7.支持以列表形式显示题干内容、题目类型、题目分值、选项内容、是否正确；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2.1.8.支持对题干内容、题目类型、题目分值、题目解析、题目选项进行新增或编辑；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2.1.9.支持题库下题目的分页显示、删除；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2.1.10.支持导入题库下题目，提供导入模板的下载，在导入过程中支持数据校验：将导入的数据可视化并告知用户存在的问题的行和列以及问题描述，并支持一键移除问题数据。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2.2.试卷管理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2.2.1.支持以列表形式显示试卷名称、试卷总分、考试使用量、题目数量、单选题数量、多选题数量、判断题数量、实操题数量、创建时间；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2.2.2.支持对试卷名称进行新增或编辑；</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2.2.3.支持试卷的分页显示、删除、批量删除；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2.2.4.支持管理试卷下的题目；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2.2.5.支持以列表形式显示题目、分值，提供题目类型筛选；</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2.2.6.支持批量删除题目；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2.2.7.支持批量添加题目并且在添加的过程中提供所属题库、题目类型、题目名称的搜索功能。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2.3.考试管理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2.3.1.支持通过考试状态及考试名称搜索考试；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2.3.2.支持以列表形式显示考试名称、试卷名称、开始时间、结束时间、考试时长、考试人数；</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2.3.3.支持对考试名称、考试试卷、起止时间、考试学生进行新增；</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2.3.4.支持考试的分页显示、删除；</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2.3.5.支持考试在未开始的状态下对考试名称、考试试卷、起止时间进行编辑以及对学生进行调整，其中学生的信息包括：姓名、所属班级、性别、手机号码、电子邮箱，提供批量移除学生及添加学生功能；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2.3.6.支持成绩管理，以列表形式显示考试名称、班级名称、考试状态、考试得分、试卷总分、考试用时、单选题得分、多选题得分、判断题得分、实操题得分，提供按考生姓名搜索的功能。提供查看试卷功能，其中试卷详情包括题目的作答情况、考试得分、试卷总分、开始时间、结束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2.3.7.支持考试监控，以列表形式显示考生名称、班级名称、考试状态、考试进度。提供按考生姓名搜索及定时刷新的功能；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2.3.8.★支持统计分析，整体分为数据总览、分数各段比例、各题型正确率三大板块。其中数据总览包含了应考人数、实到人数、缺考人数、最高得分、最低得分、平均得分；分数各段比例以图表的方式展示了缺考、60以下、60-80、80-100各分数段的比例；各题型正确率以图表的方式展示了单选题、多选题、判断题、实操题各题型的正确率；整体支持导出数据功能，导出的文件内包括数据总览、分数各段比例、各题型正确率三大内容；</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2.3.9.支持单题分析，以列表形式显示题目内容、题目类型、作答人数、未作答人数、正确人数、正确率，支持按题目类型搜索以及导出功能；</w:t>
            </w:r>
            <w:r/>
          </w:p>
          <w:p>
            <w:pPr>
              <w:jc w:val="left"/>
              <w:widowControl/>
              <w:rPr>
                <w:rFonts w:ascii="宋体" w:hAnsi="宋体" w:eastAsia="宋体" w:cs="宋体"/>
                <w:color w:val="auto"/>
                <w:szCs w:val="21"/>
                <w:lang w:bidi="ar"/>
              </w:rPr>
            </w:pPr>
            <w:r/>
            <w:bookmarkStart w:id="182" w:name="_Hlk237699315"/>
            <w:r>
              <w:rPr>
                <w:rFonts w:hint="eastAsia" w:ascii="宋体" w:hAnsi="宋体" w:eastAsia="宋体" w:cs="宋体"/>
                <w:color w:val="auto"/>
                <w:szCs w:val="21"/>
                <w:lang w:bidi="ar"/>
              </w:rPr>
              <w:t xml:space="preserve">2.3.10.</w:t>
            </w:r>
            <w:bookmarkEnd w:id="182"/>
            <w:r/>
            <w:bookmarkStart w:id="183" w:name="_Hlk237699283"/>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支持部署环境，以列表的形式显示学生姓名、班级名称、学生性别、手机号码、电子邮箱、部署情况、测评项目名称、部署状态、部署消息。提供一键部署、批量部署、自动刷新功能，可按学生测评项目进行虚拟化环境的查看及重启。</w:t>
            </w:r>
            <w:r>
              <w:rPr>
                <w:rFonts w:hint="eastAsia" w:ascii="宋体" w:hAnsi="宋体" w:eastAsia="宋体" w:cs="宋体"/>
                <w:b/>
                <w:bCs/>
                <w:color w:val="auto"/>
                <w:szCs w:val="21"/>
                <w:lang w:bidi="ar"/>
              </w:rPr>
              <w:t xml:space="preserve">【提供视频演示】</w:t>
            </w:r>
            <w:bookmarkEnd w:id="183"/>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2.4.我的考试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2.4.1.支持显示考试名称、考试开始时间、考试结束时间、考试状态；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2.4.2.支持考试作答，作答界面包含剩余时间的倒计时、题目的题号索引、各类题目的作答板块，其中题目的题号索引可点击跳转至对应的题目。实操题提供独立的答题页面，页面包含答题资源板块，支持连接并控制虚拟化环境。在倒计时结束后平台将自动提交试卷进入评分环节，考试支持自动评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2.5.考试动态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2.5.1.支持以列表形式显示考试名称、考试状态、开始时间、结束时间、考试得分、试卷总分；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2.5.2.★支持通过考试名称进行考试动态的查询以及自动刷新表格；</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支持考试回顾，针对完成评分的考试动态可进行考试回顾，内容包含考试名称、学生名称、考试得分、试卷总分、开始时间、结束时间、理论题的作答情况及错题的答案查看、实操题的评分表查看、题目的题号索引，其中题目的题号索引支持点击跳转至对应的题目。</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3.开放式资源库模块系统</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3.1.开放式资源库管理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3.1.1.支持以列表形式显示课程名称、课程描述、课程状态、理论讲解数量、理论练习数量、案例讲解数量、案例实操数量、总课时；</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3.1.2.支持通过课程名称、发布状态搜索课程；</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3.1.3.支持对课程名称、课程描述进行新增、修改；</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3.1.4.支持课程的分页显示、删除课程、编辑课程、发布课程、取消发布；</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3.1.5.支持对课程的目录进行管理，包含大章、小节、资源三层架构，其中大章包含名称信息，小节包含名称、课时信息，资源包含理论讲解（包含名称、耗时、资源列表等信息，其中资源列表包含资源名称等信息，支持对资源进行上传、重命名、删除、置顶等操作）、理论练习（包含名称、耗时、资源列表等信息，其中资源列表包含选项内容、是否正确、</w:t>
            </w:r>
            <w:r>
              <w:rPr>
                <w:rFonts w:hint="eastAsia" w:ascii="宋体" w:hAnsi="宋体" w:eastAsia="宋体" w:cs="宋体"/>
                <w:color w:val="auto"/>
                <w:szCs w:val="21"/>
                <w:lang w:bidi="ar"/>
              </w:rPr>
              <w:t xml:space="preserve">题干、类型、分值等信息，支持对资源逐条新增、批量上传、批量删除、编辑、删除等操作）、案例讲解（包含名称、耗时、资源列表等信息，其中资源列表包含资源名称等信息，支持对资源进行上传、重命名、删除、置顶等操作）、案例实操（包含名称、耗时、选择拓扑、选择启动节点、环境信息预览、资源列表等信息，其中资源列表包含资源名称等信息，支持对资源进行上传、重命名、删除、置顶等操作）四种类型的信息。支持添加大章、添加小节、添加资源、删除大章、删除小节、删除资源操作。添加资源支持导入课程资源，可选择其他课程的资源进行批量一键导入；</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3.1.6.支持课程预览，对已添加的含大章、小节、资源进行目录结构的预览，其中理论讲解、案例讲解类资源可进行学习，理论练习类资源可进行作答及自动评分，案例实操类资源支持预览及虚拟化环境在线操作；</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对于已发布的课程可在“资源概览”功能中进行查看，可在“课堂中心”功能中进行开设课堂。</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4.岗位训练营模块系统</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4.1.岗位测评</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4.1.1.支持显示岗位名称、岗位介绍。对于未测评过的岗位支持显示测评规定时长，对于测评过的岗位支持显示测评开始时间、测评结束时间、得分；</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4.1.2.支持测评作答，提供独立的作答页面，页面包括题目列表、剩余时间的倒计时、题目的题号索引，其中题目的题号索引支持点击跳转到对应的题目，实操题提供独立的答题页面（页面包含答题资源板块，支持连接并控制虚拟化环境），题目的倒计时结束后会自动提交测评进入评分环节，测评支持自动评分；</w:t>
            </w:r>
            <w:r/>
          </w:p>
          <w:p>
            <w:pPr>
              <w:jc w:val="left"/>
              <w:widowControl/>
              <w:rPr>
                <w:rFonts w:ascii="宋体" w:hAnsi="宋体" w:eastAsia="宋体" w:cs="宋体"/>
                <w:color w:val="auto"/>
                <w:szCs w:val="21"/>
                <w:lang w:bidi="ar"/>
              </w:rPr>
            </w:pPr>
            <w:r/>
            <w:bookmarkStart w:id="184" w:name="_Hlk237699307"/>
            <w:r>
              <w:rPr>
                <w:rFonts w:hint="eastAsia" w:ascii="宋体" w:hAnsi="宋体" w:eastAsia="宋体" w:cs="宋体"/>
                <w:color w:val="auto"/>
                <w:szCs w:val="21"/>
                <w:lang w:bidi="ar"/>
              </w:rPr>
              <w:t xml:space="preserve">4.1.3.</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对于测评过的岗位支持查看岗位报告，岗位报告包含综合技能评分、技能分析雷达图、详细技能评估列表，其中详细技能评估列表包含了技能、子技能、具体能力、评估结果。</w:t>
            </w:r>
            <w:r>
              <w:rPr>
                <w:rFonts w:hint="eastAsia" w:ascii="宋体" w:hAnsi="宋体" w:eastAsia="宋体" w:cs="宋体"/>
                <w:b/>
                <w:bCs/>
                <w:color w:val="auto"/>
                <w:szCs w:val="21"/>
                <w:lang w:bidi="ar"/>
              </w:rPr>
              <w:t xml:space="preserve">【提供视频演示】</w:t>
            </w:r>
            <w:bookmarkEnd w:id="184"/>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4.2.测评历史</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4.2.1.支持以列表形式显示测评岗位、测评状态、开始时间、结束时间、测评得分，提供自动刷新表格功能；</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4.2.2.对于已完成状态的测评历史支持查看测评记录，测评记录包含测评得分、开始时间、结束时间、各个题目的正确情况、实操题目的评分表、题目的题号索引，其中题目的题号索引支持点击跳转到对应的题目。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4.3.岗位报告</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4.3.1.支持以列表形式显示测评岗位、学生姓名、所属班级、报告得分、取得报告时间；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4.3.2.支持通过学生姓名搜索岗位报告；</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4.3.3.★支持查看报告，报告包含综合技能评分、技能分析雷达图、详细技能评估列表，其中详细技能评估列表包含了技能、子技能、具体能力、评估结果。</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4.4.测评记录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4.4.1.支持以列表形式显示测评岗位、学生姓名、所属班级、测评得分、开始时间、结束时间；</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4.4.2.支持通过学生姓名搜索测评记录；</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4.4.3.查看测评记录，记录包含测评得分、开始时间、结束时间、各个题目的正确情况、实操题目的评分表、题目的题号索引，其中题目的题号索引支持点击跳转到对应的题目。</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4.5.测评监控</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4.5.1.支持监控正在岗位测评的学生虚拟化环境。以列表形式显示了学生姓名、所属班级、测评岗位、开始时间、虚拟机名称、开机状态；</w:t>
            </w:r>
            <w:r/>
          </w:p>
          <w:p>
            <w:pPr>
              <w:jc w:val="left"/>
              <w:widowControl/>
              <w:rPr>
                <w:rFonts w:ascii="宋体" w:hAnsi="宋体" w:eastAsia="宋体" w:cs="宋体"/>
                <w:color w:val="auto"/>
                <w:szCs w:val="21"/>
                <w:lang w:bidi="ar"/>
              </w:rPr>
            </w:pPr>
            <w:r>
              <w:rPr>
                <w:rFonts w:hint="eastAsia" w:ascii="宋体" w:hAnsi="宋体" w:eastAsia="宋体" w:cs="宋体"/>
                <w:color w:val="auto"/>
                <w:szCs w:val="21"/>
                <w:lang w:bidi="ar"/>
              </w:rPr>
              <w:t xml:space="preserve">支持对学生的虚拟化环境进行重启、连接操作。</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1</w:t>
            </w:r>
            <w:r/>
          </w:p>
        </w:tc>
      </w:tr>
      <w:tr>
        <w:trPr>
          <w:jc w:val="center"/>
          <w:trHeight w:val="90"/>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4</w:t>
            </w:r>
            <w:r/>
          </w:p>
        </w:tc>
        <w:tc>
          <w:tcPr>
            <w:tcW w:w="800" w:type="pct"/>
            <w:vAlign w:val="center"/>
            <w:textDirection w:val="lrTb"/>
            <w:noWrap/>
          </w:tcPr>
          <w:p>
            <w:pPr>
              <w:jc w:val="left"/>
              <w:widowControl/>
              <w:rPr>
                <w:rFonts w:ascii="宋体" w:hAnsi="宋体" w:eastAsia="宋体" w:cs="宋体"/>
                <w:color w:val="auto"/>
                <w:sz w:val="24"/>
                <w:lang w:bidi="ar"/>
              </w:rPr>
            </w:pPr>
            <w:r/>
            <w:bookmarkStart w:id="185" w:name="_Hlk237699406"/>
            <w:r>
              <w:rPr>
                <w:rFonts w:hint="eastAsia" w:ascii="宋体" w:hAnsi="宋体" w:eastAsia="宋体" w:cs="宋体"/>
                <w:color w:val="auto"/>
                <w:sz w:val="24"/>
                <w:lang w:bidi="ar"/>
              </w:rPr>
              <w:t xml:space="preserve">人工智能机器人实训平台</w:t>
            </w:r>
            <w:bookmarkEnd w:id="185"/>
            <w:r/>
            <w:r/>
          </w:p>
        </w:tc>
        <w:tc>
          <w:tcPr>
            <w:tcW w:w="2792" w:type="pct"/>
            <w:vAlign w:val="center"/>
            <w:textDirection w:val="lrTb"/>
            <w:noWrap w:val="false"/>
          </w:tcPr>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1.机器人虚拟矩阵实验室</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1.1.镜像管理：对平台内镜像文件进行统一管理。</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1.1.1.支持通过镜像名称、是否预置两个条件来进行镜像的搜索；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1.1.2.支持以列表形式显示镜像ID、镜像名称、文件名、是否预置、创建时间；</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1.1.3.支持新增镜像且上传的镜像文件大小不得超过30GB且文件格式必须为.iso；</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1.1.4.支持对镜像的镜像名称进行编辑，支持分页显示、删除操作。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1.2.磁盘管理：对虚拟机磁盘进行统一管理。（提供系统页面截图）</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1.2.1.支持通过磁盘名称、是否预置进行搜索；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1.2.2.支持以列表形式显示磁盘ID、磁盘名称、文件名、是否预置、创建时间、备注；</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1.2.3.支持新增磁盘文件且上传的磁盘文件大小不得超过50GB且文件格式必须为.qcow2；</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1.2.4.支持对磁盘文件的磁盘名称进行编辑，支持分页显示、删除操作。</w:t>
            </w:r>
            <w:r/>
          </w:p>
          <w:p>
            <w:pPr>
              <w:jc w:val="left"/>
              <w:rPr>
                <w:rFonts w:ascii="宋体" w:hAnsi="宋体" w:eastAsia="宋体" w:cs="宋体"/>
                <w:color w:val="auto"/>
                <w:szCs w:val="21"/>
                <w:lang w:bidi="ar"/>
              </w:rPr>
            </w:pPr>
            <w:r/>
            <w:bookmarkStart w:id="186" w:name="_Hlk237699433"/>
            <w:r>
              <w:rPr>
                <w:rFonts w:hint="eastAsia" w:ascii="宋体" w:hAnsi="宋体" w:eastAsia="宋体" w:cs="宋体"/>
                <w:color w:val="auto"/>
                <w:szCs w:val="21"/>
                <w:lang w:bidi="ar"/>
              </w:rPr>
              <w:t xml:space="preserve">1.3.</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拓扑图管理：对平台内拓扑图进行统一管理。</w:t>
            </w:r>
            <w:r>
              <w:rPr>
                <w:rFonts w:hint="eastAsia" w:ascii="宋体" w:hAnsi="宋体" w:eastAsia="宋体" w:cs="宋体"/>
                <w:b/>
                <w:bCs/>
                <w:color w:val="auto"/>
                <w:szCs w:val="21"/>
                <w:lang w:bidi="ar"/>
              </w:rPr>
              <w:t xml:space="preserve">【提供视频演示】</w:t>
            </w:r>
            <w:bookmarkEnd w:id="186"/>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1.3.1.支持通过拓扑名称、所属功能来进行拓扑图的搜索；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1.3.2.支持以列表形式显示拓扑名称、所属功能、节点数量、绑定的对象数量、创建时间、备注；</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1.3.3.支持对拓扑名称、所属名称、备注来进行新增或编辑；</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1.3.4.支持通过图形化界面进行拓扑绘制，用户可通过点击、拖拽和表单填写操作向拓扑图中添加虚拟机节点及网络连线。虚拟机节点类型包含PC、服务器、路由器、交换机、防火墙、IPS、WAF等，虚拟机节点支持初始化安装或现有节点引用两种创建模式，其中初始化安装可对节点名称、节点备注、环境信息配置（IP地址、</w:t>
            </w:r>
            <w:r>
              <w:rPr>
                <w:rFonts w:hint="eastAsia" w:ascii="宋体" w:hAnsi="宋体" w:eastAsia="宋体" w:cs="宋体"/>
                <w:color w:val="auto"/>
                <w:szCs w:val="21"/>
                <w:lang w:bidi="ar"/>
              </w:rPr>
              <w:t xml:space="preserve">用户名、密码）、基础配置（CPU核心数、内存大小、连接方式、网卡数量、网卡类型、显卡类型、系统类型、启动菜单）、硬盘配置（硬盘大小、驱动类型、磁盘文件，支持添加/删除数据盘）、光驱配置（驱动类型、挂载镜像，支持添加/删除光驱）等信息进行调整，现有节点引用可跨拓扑图选择虚拟机节点进行创建。图形化界面支持缩小、放大操作，可便捷查看节点列表，提供分组及文字组件用于完善拓扑图的绘制，可对拓扑图中的虚拟机节点进行更换图标和预览及下载XML操作，其中预览及下载XML操作中支持XML文件内容的在线预览并可下载XML文件；</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1.3.5.支持在图形化界面上进行拓扑调试，图形化界面支持缩小、放大操作且可便捷查看节点列表，可对虚拟机节点进行开机、关机、访问远程连接操作；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1.3.6.支持拓扑图的分页显示、删除、复制操作。</w:t>
            </w:r>
            <w:r/>
          </w:p>
          <w:p>
            <w:pPr>
              <w:jc w:val="left"/>
              <w:rPr>
                <w:rFonts w:ascii="宋体" w:hAnsi="宋体" w:eastAsia="宋体" w:cs="宋体"/>
                <w:color w:val="auto"/>
                <w:szCs w:val="21"/>
                <w:lang w:bidi="ar"/>
              </w:rPr>
            </w:pPr>
            <w:r/>
            <w:bookmarkStart w:id="187" w:name="_Hlk237699446"/>
            <w:r>
              <w:rPr>
                <w:rFonts w:hint="eastAsia" w:ascii="宋体" w:hAnsi="宋体" w:eastAsia="宋体" w:cs="宋体"/>
                <w:color w:val="auto"/>
                <w:szCs w:val="21"/>
                <w:lang w:bidi="ar"/>
              </w:rPr>
              <w:t xml:space="preserve">1.4.</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虚拟仿真实验：对平台内的实验进行统一管理。</w:t>
            </w:r>
            <w:r>
              <w:rPr>
                <w:rFonts w:hint="eastAsia" w:ascii="宋体" w:hAnsi="宋体" w:eastAsia="宋体" w:cs="宋体"/>
                <w:b/>
                <w:bCs/>
                <w:color w:val="auto"/>
                <w:szCs w:val="21"/>
                <w:lang w:bidi="ar"/>
              </w:rPr>
              <w:t xml:space="preserve">【提供视频演示】</w:t>
            </w:r>
            <w:bookmarkEnd w:id="187"/>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1.4.1.支持通过实验名称、是否发布、是否自有三个条件来进行实验的搜索；</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1.4.2.支持以列表形式显示实验名称、是否发布、拓扑名称、资源数量、创建人、创建时间、备注；</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1.4.3.支持对实验名称、拓扑图、备注进行新增或编辑；</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1.4.4.支持对实验内资源进行管理，以列表形式显示资源名称、排序，支持上传、编辑、删除操作；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1.4.5.支持实验的分页显示、删除实验、取消发布、复制实验操作；</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1.4.6.支持选择用户进行发布实验，收到实验的用户可以自由作答并且支持保存为自己的实验；</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1.4.7.支持实验作答，具备资源列表、拓扑图图形化界面两大元素，其中资源列表中的资源可点击进行预览或打开小窗口进行预览，小窗口预览支持拖拽和缩放；拓扑图图形化界面支持缩小、放大操作，可便捷查看节点列表，拓扑图的虚拟机节点可手动进行开机/关机，虚拟机节点在开机的状态下支持远程连接操作。实验作答支持保存环境功能，使用保存并退出功能即可保存当时的实验环境，下一次进入实验时可恢复实验环境继续进行作答；</w:t>
            </w:r>
            <w:r/>
          </w:p>
          <w:p>
            <w:pPr>
              <w:jc w:val="left"/>
              <w:rPr>
                <w:rFonts w:ascii="宋体" w:hAnsi="宋体" w:eastAsia="宋体" w:cs="宋体"/>
                <w:color w:val="auto"/>
                <w:szCs w:val="21"/>
                <w:lang w:bidi="ar"/>
              </w:rPr>
            </w:pPr>
            <w:r/>
            <w:bookmarkStart w:id="188" w:name="_Hlk237699469"/>
            <w:r>
              <w:rPr>
                <w:rFonts w:hint="eastAsia" w:ascii="宋体" w:hAnsi="宋体" w:eastAsia="宋体" w:cs="宋体"/>
                <w:color w:val="auto"/>
                <w:szCs w:val="21"/>
                <w:lang w:bidi="ar"/>
              </w:rPr>
              <w:t xml:space="preserve">1.4.8.</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平台须满足同时不少于40人在线进行产品配置相关实验，在实验中每人能够操作的虚拟化设备不少于5台。平台整体须满足同时在线使用的虚拟化设备数量不少于250台。</w:t>
            </w:r>
            <w:r>
              <w:rPr>
                <w:rFonts w:hint="eastAsia" w:ascii="宋体" w:hAnsi="宋体" w:eastAsia="宋体" w:cs="宋体"/>
                <w:b/>
                <w:bCs/>
                <w:color w:val="auto"/>
                <w:szCs w:val="21"/>
                <w:lang w:bidi="ar"/>
              </w:rPr>
              <w:t xml:space="preserve">【提供视频演示】</w:t>
            </w:r>
            <w:bookmarkEnd w:id="188"/>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w:t>
            </w:r>
            <w:r/>
          </w:p>
        </w:tc>
      </w:tr>
      <w:tr>
        <w:trPr>
          <w:jc w:val="center"/>
          <w:trHeight w:val="345"/>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5</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人工智能可编程机器人</w:t>
            </w:r>
            <w:r/>
          </w:p>
        </w:tc>
        <w:tc>
          <w:tcPr>
            <w:tcW w:w="2792" w:type="pct"/>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1、支持人工智能教学的开源机器人载体。</w:t>
            </w:r>
            <w:r/>
          </w:p>
          <w:p>
            <w:pPr>
              <w:rPr>
                <w:rFonts w:ascii="宋体" w:hAnsi="宋体" w:eastAsia="宋体" w:cs="宋体"/>
                <w:color w:val="auto"/>
                <w:szCs w:val="21"/>
              </w:rPr>
            </w:pPr>
            <w:r>
              <w:rPr>
                <w:rFonts w:hint="eastAsia" w:ascii="宋体" w:hAnsi="宋体" w:eastAsia="宋体" w:cs="宋体"/>
                <w:color w:val="auto"/>
                <w:szCs w:val="21"/>
              </w:rPr>
              <w:t xml:space="preserve">2、机器人具有人形外观，双手双足，可灵活模拟人类肢体动作，内置伺服控制系统、传感反馈系统及直流驱动系统。含有≥17个高速带离合舵机。</w:t>
            </w:r>
            <w:r/>
          </w:p>
          <w:p>
            <w:pPr>
              <w:rPr>
                <w:rFonts w:ascii="宋体" w:hAnsi="宋体" w:eastAsia="宋体" w:cs="宋体"/>
                <w:color w:val="auto"/>
                <w:szCs w:val="21"/>
              </w:rPr>
            </w:pPr>
            <w:r>
              <w:rPr>
                <w:rFonts w:hint="eastAsia" w:ascii="宋体" w:hAnsi="宋体" w:eastAsia="宋体" w:cs="宋体"/>
                <w:color w:val="auto"/>
                <w:szCs w:val="21"/>
              </w:rPr>
              <w:t xml:space="preserve">3、★接上连接线后，调用机器人本体系统中的图形化编程工具，可实现控制机器人的运动能力，主要可实现动作包含且不限于行走、举手，鞠躬、下蹲等。</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4、具备视觉、语音、动作互动等基本功能。提供语音交互、语义识别、物体识别、人脸识别等智能技术的学习。</w:t>
            </w:r>
            <w:r/>
          </w:p>
          <w:p>
            <w:pPr>
              <w:rPr>
                <w:rFonts w:ascii="宋体" w:hAnsi="宋体" w:eastAsia="宋体" w:cs="宋体"/>
                <w:color w:val="auto"/>
                <w:szCs w:val="21"/>
              </w:rPr>
            </w:pPr>
            <w:r>
              <w:rPr>
                <w:rFonts w:hint="eastAsia" w:ascii="宋体" w:hAnsi="宋体" w:eastAsia="宋体" w:cs="宋体"/>
                <w:color w:val="auto"/>
                <w:szCs w:val="21"/>
              </w:rPr>
              <w:t xml:space="preserve">5、★具有相应的编程软件支持，可支持基于Linux的开源软件架构，可兼容Raspberry Pi的开源软件模块。可支持图形化编程、Python、Java、C/C++等多种编程语言学习及应用开发。</w:t>
            </w:r>
            <w:r>
              <w:rPr>
                <w:rFonts w:hint="eastAsia" w:ascii="宋体" w:hAnsi="宋体" w:eastAsia="宋体" w:cs="宋体"/>
                <w:b/>
                <w:bCs/>
                <w:color w:val="auto"/>
                <w:szCs w:val="21"/>
                <w:lang w:bidi="ar"/>
              </w:rPr>
              <w:t xml:space="preserve">【</w:t>
            </w:r>
            <w:r>
              <w:rPr>
                <w:rFonts w:hint="eastAsia" w:ascii="宋体" w:hAnsi="宋体" w:eastAsia="宋体" w:cs="宋体"/>
                <w:b/>
                <w:bCs/>
                <w:color w:val="auto"/>
                <w:szCs w:val="21"/>
              </w:rPr>
              <w:t xml:space="preserve">提供产品彩页或者说明书或者线上开发手册截图作为证明文件</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6、材质为铝合金外壳，PC+ABS材质。</w:t>
            </w:r>
            <w:r/>
          </w:p>
          <w:p>
            <w:pPr>
              <w:rPr>
                <w:rFonts w:ascii="宋体" w:hAnsi="宋体" w:eastAsia="宋体" w:cs="宋体"/>
                <w:color w:val="auto"/>
                <w:szCs w:val="21"/>
              </w:rPr>
            </w:pPr>
            <w:r>
              <w:rPr>
                <w:rFonts w:hint="eastAsia" w:ascii="宋体" w:hAnsi="宋体" w:eastAsia="宋体" w:cs="宋体"/>
                <w:color w:val="auto"/>
                <w:szCs w:val="21"/>
              </w:rPr>
              <w:t xml:space="preserve">7、在无阻断开阔空间下有效拾音距离大于等于1米；支持通过麦克风语音控制机器人。</w:t>
            </w:r>
            <w:r/>
          </w:p>
          <w:p>
            <w:pPr>
              <w:rPr>
                <w:rFonts w:ascii="宋体" w:hAnsi="宋体" w:eastAsia="宋体" w:cs="宋体"/>
                <w:color w:val="auto"/>
                <w:szCs w:val="21"/>
              </w:rPr>
            </w:pPr>
            <w:r>
              <w:rPr>
                <w:rFonts w:hint="eastAsia" w:ascii="宋体" w:hAnsi="宋体" w:eastAsia="宋体" w:cs="宋体"/>
                <w:color w:val="auto"/>
                <w:szCs w:val="21"/>
              </w:rPr>
              <w:t xml:space="preserve">8、内置摄像头，用于拍照，人脸分析，人脸跟踪，手势识别等功能。</w:t>
            </w:r>
            <w:r/>
          </w:p>
          <w:p>
            <w:pPr>
              <w:rPr>
                <w:rFonts w:ascii="宋体" w:hAnsi="宋体" w:eastAsia="宋体" w:cs="宋体"/>
                <w:color w:val="auto"/>
                <w:szCs w:val="21"/>
              </w:rPr>
            </w:pPr>
            <w:r>
              <w:rPr>
                <w:rFonts w:hint="eastAsia" w:ascii="宋体" w:hAnsi="宋体" w:eastAsia="宋体" w:cs="宋体"/>
                <w:color w:val="auto"/>
                <w:szCs w:val="21"/>
              </w:rPr>
              <w:t xml:space="preserve">9、具有不同状态下的颜色指示灯。</w:t>
            </w:r>
            <w:r/>
          </w:p>
          <w:p>
            <w:pPr>
              <w:rPr>
                <w:rFonts w:ascii="宋体" w:hAnsi="宋体" w:eastAsia="宋体" w:cs="宋体"/>
                <w:color w:val="auto"/>
                <w:szCs w:val="21"/>
              </w:rPr>
            </w:pPr>
            <w:r>
              <w:rPr>
                <w:rFonts w:hint="eastAsia" w:ascii="宋体" w:hAnsi="宋体" w:eastAsia="宋体" w:cs="宋体"/>
                <w:color w:val="auto"/>
                <w:szCs w:val="21"/>
              </w:rPr>
              <w:t xml:space="preserve">10、具有紧急停止按键。机器人工作状态下，按下紧急停止键，机器人立刻断电并停止运行。</w:t>
            </w:r>
            <w:r/>
          </w:p>
          <w:p>
            <w:pPr>
              <w:rPr>
                <w:rFonts w:ascii="宋体" w:hAnsi="宋体" w:eastAsia="宋体" w:cs="宋体"/>
                <w:color w:val="auto"/>
                <w:szCs w:val="21"/>
              </w:rPr>
            </w:pPr>
            <w:r>
              <w:rPr>
                <w:rFonts w:hint="eastAsia" w:ascii="宋体" w:hAnsi="宋体" w:eastAsia="宋体" w:cs="宋体"/>
                <w:color w:val="auto"/>
                <w:szCs w:val="21"/>
              </w:rPr>
              <w:t xml:space="preserve">11、★配套专属教学App，教学App支持iOS和Android等主流移动设备，支持Wifi网络下接入机器人、控制机器人，包括“运动控制”“图形化编程”“回读(PRP)编程”“传感器”等。</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12、★提供配套电子实训指导书，实训内容包括：认识人形机器人教学平台、控制机器人头部关节转动、传感器API的使用、机器人识别颜色等</w:t>
            </w:r>
            <w:r>
              <w:rPr>
                <w:rFonts w:hint="eastAsia" w:ascii="宋体" w:hAnsi="宋体" w:eastAsia="宋体" w:cs="宋体"/>
                <w:b/>
                <w:bCs/>
                <w:color w:val="auto"/>
                <w:szCs w:val="21"/>
                <w:lang w:bidi="ar"/>
              </w:rPr>
              <w:t xml:space="preserve">【</w:t>
            </w:r>
            <w:r>
              <w:rPr>
                <w:rFonts w:hint="eastAsia" w:ascii="宋体" w:hAnsi="宋体" w:eastAsia="宋体" w:cs="宋体"/>
                <w:b/>
                <w:bCs/>
                <w:color w:val="auto"/>
                <w:szCs w:val="21"/>
              </w:rPr>
              <w:t xml:space="preserve">提供样章截图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rPr>
                <w:rFonts w:hint="eastAsia" w:ascii="宋体" w:hAnsi="宋体" w:eastAsia="宋体" w:cs="宋体"/>
                <w:b/>
                <w:bCs/>
                <w:color w:val="auto"/>
                <w:szCs w:val="21"/>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13、舵机</w:t>
            </w:r>
            <w:r/>
          </w:p>
          <w:p>
            <w:pPr>
              <w:rPr>
                <w:rFonts w:ascii="宋体" w:hAnsi="宋体" w:eastAsia="宋体" w:cs="宋体"/>
                <w:color w:val="auto"/>
                <w:szCs w:val="21"/>
              </w:rPr>
            </w:pPr>
            <w:r>
              <w:rPr>
                <w:rFonts w:hint="eastAsia" w:ascii="宋体" w:hAnsi="宋体" w:eastAsia="宋体" w:cs="宋体"/>
                <w:color w:val="auto"/>
                <w:szCs w:val="21"/>
              </w:rPr>
              <w:t xml:space="preserve">（1）输出扭矩：≥12kg•cm；</w:t>
            </w:r>
            <w:r/>
          </w:p>
          <w:p>
            <w:pPr>
              <w:rPr>
                <w:rFonts w:ascii="宋体" w:hAnsi="宋体" w:eastAsia="宋体" w:cs="宋体"/>
                <w:color w:val="auto"/>
                <w:szCs w:val="21"/>
              </w:rPr>
            </w:pPr>
            <w:r>
              <w:rPr>
                <w:rFonts w:hint="eastAsia" w:ascii="宋体" w:hAnsi="宋体" w:eastAsia="宋体" w:cs="宋体"/>
                <w:color w:val="auto"/>
                <w:szCs w:val="21"/>
              </w:rPr>
              <w:t xml:space="preserve">（2）转速(S/60°)：≥0.18 S/60°</w:t>
            </w:r>
            <w:r/>
          </w:p>
          <w:p>
            <w:pPr>
              <w:rPr>
                <w:rFonts w:ascii="宋体" w:hAnsi="宋体" w:eastAsia="宋体" w:cs="宋体"/>
                <w:color w:val="auto"/>
                <w:szCs w:val="21"/>
              </w:rPr>
            </w:pPr>
            <w:r>
              <w:rPr>
                <w:rFonts w:hint="eastAsia" w:ascii="宋体" w:hAnsi="宋体" w:eastAsia="宋体" w:cs="宋体"/>
                <w:color w:val="auto"/>
                <w:szCs w:val="21"/>
              </w:rPr>
              <w:t xml:space="preserve">14、主芯片及存储器：</w:t>
            </w:r>
            <w:r/>
          </w:p>
          <w:p>
            <w:pPr>
              <w:rPr>
                <w:rFonts w:ascii="宋体" w:hAnsi="宋体" w:eastAsia="宋体" w:cs="宋体"/>
                <w:color w:val="auto"/>
                <w:szCs w:val="21"/>
              </w:rPr>
            </w:pPr>
            <w:r>
              <w:rPr>
                <w:rFonts w:hint="eastAsia" w:ascii="宋体" w:hAnsi="宋体" w:eastAsia="宋体" w:cs="宋体"/>
                <w:color w:val="auto"/>
                <w:szCs w:val="21"/>
              </w:rPr>
              <w:t xml:space="preserve">（1）主芯片：工作频率：≥1.2GHz</w:t>
            </w:r>
            <w:r/>
          </w:p>
          <w:p>
            <w:pPr>
              <w:rPr>
                <w:rFonts w:ascii="宋体" w:hAnsi="宋体" w:eastAsia="宋体" w:cs="宋体"/>
                <w:color w:val="auto"/>
                <w:szCs w:val="21"/>
              </w:rPr>
            </w:pPr>
            <w:r>
              <w:rPr>
                <w:rFonts w:hint="eastAsia" w:ascii="宋体" w:hAnsi="宋体" w:eastAsia="宋体" w:cs="宋体"/>
                <w:color w:val="auto"/>
                <w:szCs w:val="21"/>
              </w:rPr>
              <w:t xml:space="preserve">（2）RAM：≥1GB，ROM：≥16GB，</w:t>
            </w:r>
            <w:r/>
          </w:p>
          <w:p>
            <w:pPr>
              <w:rPr>
                <w:rFonts w:ascii="宋体" w:hAnsi="宋体" w:eastAsia="宋体" w:cs="宋体"/>
                <w:color w:val="auto"/>
                <w:szCs w:val="21"/>
              </w:rPr>
            </w:pPr>
            <w:r>
              <w:rPr>
                <w:rFonts w:hint="eastAsia" w:ascii="宋体" w:hAnsi="宋体" w:eastAsia="宋体" w:cs="宋体"/>
                <w:color w:val="auto"/>
                <w:szCs w:val="21"/>
              </w:rPr>
              <w:t xml:space="preserve">15、摄像头像素：≥800万像素 定焦</w:t>
            </w:r>
            <w:r/>
          </w:p>
          <w:p>
            <w:pPr>
              <w:rPr>
                <w:rFonts w:ascii="宋体" w:hAnsi="宋体" w:eastAsia="宋体" w:cs="宋体"/>
                <w:color w:val="auto"/>
                <w:szCs w:val="21"/>
              </w:rPr>
            </w:pPr>
            <w:r>
              <w:rPr>
                <w:rFonts w:hint="eastAsia" w:ascii="宋体" w:hAnsi="宋体" w:eastAsia="宋体" w:cs="宋体"/>
                <w:color w:val="auto"/>
                <w:szCs w:val="21"/>
              </w:rPr>
              <w:t xml:space="preserve">16、接口：具有≥6个开放接口，可支持连接≥4种外置传感器，包含且不限于红外传感器、温湿度传感器、压力传感器以及触碰传感器等。</w:t>
            </w:r>
            <w:r/>
          </w:p>
          <w:p>
            <w:pPr>
              <w:rPr>
                <w:rFonts w:ascii="宋体" w:hAnsi="宋体" w:eastAsia="宋体" w:cs="宋体"/>
                <w:color w:val="auto"/>
                <w:szCs w:val="21"/>
              </w:rPr>
            </w:pPr>
            <w:r>
              <w:rPr>
                <w:rFonts w:hint="eastAsia" w:ascii="宋体" w:hAnsi="宋体" w:eastAsia="宋体" w:cs="宋体"/>
                <w:color w:val="auto"/>
                <w:szCs w:val="21"/>
              </w:rPr>
              <w:t xml:space="preserve">17、通讯：支持蓝牙及Wi-Fi上网连接。</w:t>
            </w:r>
            <w:r/>
          </w:p>
          <w:p>
            <w:pPr>
              <w:rPr>
                <w:rFonts w:ascii="宋体" w:hAnsi="宋体" w:eastAsia="宋体" w:cs="宋体"/>
                <w:color w:val="auto"/>
                <w:szCs w:val="21"/>
              </w:rPr>
            </w:pPr>
            <w:r>
              <w:rPr>
                <w:rFonts w:hint="eastAsia" w:ascii="宋体" w:hAnsi="宋体" w:eastAsia="宋体" w:cs="宋体"/>
                <w:color w:val="auto"/>
                <w:szCs w:val="21"/>
              </w:rPr>
              <w:t xml:space="preserve">18、电池：可拆卸式电源，电池容量：≥2800mAh。</w:t>
            </w:r>
            <w:r/>
          </w:p>
          <w:p>
            <w:pPr>
              <w:rPr>
                <w:rFonts w:ascii="宋体" w:hAnsi="宋体" w:eastAsia="宋体" w:cs="宋体"/>
                <w:color w:val="auto"/>
                <w:szCs w:val="21"/>
              </w:rPr>
            </w:pPr>
            <w:r>
              <w:rPr>
                <w:rFonts w:hint="eastAsia" w:ascii="宋体" w:hAnsi="宋体" w:eastAsia="宋体" w:cs="宋体"/>
                <w:color w:val="auto"/>
                <w:szCs w:val="21"/>
              </w:rPr>
              <w:t xml:space="preserve">19、软件功能：</w:t>
            </w:r>
            <w:r/>
          </w:p>
          <w:p>
            <w:pPr>
              <w:rPr>
                <w:rFonts w:ascii="宋体" w:hAnsi="宋体" w:eastAsia="宋体" w:cs="宋体"/>
                <w:color w:val="auto"/>
                <w:szCs w:val="21"/>
              </w:rPr>
            </w:pPr>
            <w:r>
              <w:rPr>
                <w:rFonts w:hint="eastAsia" w:ascii="宋体" w:hAnsi="宋体" w:eastAsia="宋体" w:cs="宋体"/>
                <w:color w:val="auto"/>
                <w:szCs w:val="21"/>
              </w:rPr>
              <w:t xml:space="preserve">（1）采用基于Linux的开源软件架构，支持用户直接调用并集成海量的Raspberry Pi的开源软件模块。</w:t>
            </w:r>
            <w:r/>
          </w:p>
          <w:p>
            <w:pPr>
              <w:rPr>
                <w:rFonts w:ascii="宋体" w:hAnsi="宋体" w:eastAsia="宋体" w:cs="宋体"/>
                <w:color w:val="auto"/>
                <w:szCs w:val="21"/>
              </w:rPr>
            </w:pPr>
            <w:r>
              <w:rPr>
                <w:rFonts w:hint="eastAsia" w:ascii="宋体" w:hAnsi="宋体" w:eastAsia="宋体" w:cs="宋体"/>
                <w:color w:val="auto"/>
                <w:szCs w:val="21"/>
              </w:rPr>
              <w:t xml:space="preserve">（2）支持多种传感器应用学习及设计开发，支持人形机器人动作步态学习及设计，内置步态算法系统，可实现前后、其他方向计算。</w:t>
            </w:r>
            <w:r/>
          </w:p>
          <w:p>
            <w:pPr>
              <w:rPr>
                <w:rFonts w:ascii="宋体" w:hAnsi="宋体" w:eastAsia="宋体" w:cs="宋体"/>
                <w:color w:val="auto"/>
                <w:szCs w:val="21"/>
              </w:rPr>
            </w:pPr>
            <w:r>
              <w:rPr>
                <w:rFonts w:hint="eastAsia" w:ascii="宋体" w:hAnsi="宋体" w:eastAsia="宋体" w:cs="宋体"/>
                <w:color w:val="auto"/>
                <w:szCs w:val="21"/>
              </w:rPr>
              <w:t xml:space="preserve">（3）支持人脸跟踪、人脸检测、人脸分析、人脸</w:t>
            </w:r>
            <w:bookmarkStart w:id="222" w:name="_GoBack"/>
            <w:r/>
            <w:bookmarkEnd w:id="222"/>
            <w:r>
              <w:rPr>
                <w:rFonts w:hint="eastAsia" w:ascii="宋体" w:hAnsi="宋体" w:eastAsia="宋体" w:cs="宋体"/>
                <w:color w:val="auto"/>
                <w:szCs w:val="21"/>
              </w:rPr>
              <w:t xml:space="preserve">识别和物体识别等AI模型，用户可上传自定义视频来训练模型，实现特定物体的机器人识别。 </w:t>
            </w:r>
            <w:r/>
          </w:p>
          <w:p>
            <w:pPr>
              <w:rPr>
                <w:rFonts w:ascii="宋体" w:hAnsi="宋体" w:eastAsia="宋体" w:cs="宋体"/>
                <w:color w:val="auto"/>
                <w:szCs w:val="21"/>
              </w:rPr>
            </w:pPr>
            <w:r>
              <w:rPr>
                <w:rFonts w:hint="eastAsia" w:ascii="宋体" w:hAnsi="宋体" w:eastAsia="宋体" w:cs="宋体"/>
                <w:color w:val="auto"/>
                <w:szCs w:val="21"/>
              </w:rPr>
              <w:t xml:space="preserve">（4）支持手眼互动，可通过颜色识别、形状识别、目标检测等视觉功能获得环境信息并完成机器人多种竞赛方案设计。</w:t>
            </w:r>
            <w:r/>
          </w:p>
          <w:p>
            <w:pPr>
              <w:rPr>
                <w:rFonts w:ascii="宋体" w:hAnsi="宋体" w:eastAsia="宋体" w:cs="宋体"/>
                <w:color w:val="auto"/>
                <w:szCs w:val="21"/>
              </w:rPr>
            </w:pPr>
            <w:r>
              <w:rPr>
                <w:rFonts w:hint="eastAsia" w:ascii="宋体" w:hAnsi="宋体" w:eastAsia="宋体" w:cs="宋体"/>
                <w:color w:val="auto"/>
                <w:szCs w:val="21"/>
              </w:rPr>
              <w:t xml:space="preserve">（5）提供基于Raspbian的桌面版PC 图形化编程工具，同时高亮显示积木块代码，支持学生从图形化编程到代码编程的进阶学习。</w:t>
            </w:r>
            <w:r/>
          </w:p>
          <w:p>
            <w:pPr>
              <w:rPr>
                <w:rFonts w:ascii="宋体" w:hAnsi="宋体" w:eastAsia="宋体" w:cs="宋体"/>
                <w:color w:val="auto"/>
                <w:szCs w:val="21"/>
              </w:rPr>
            </w:pPr>
            <w:r>
              <w:rPr>
                <w:rFonts w:hint="eastAsia" w:ascii="宋体" w:hAnsi="宋体" w:eastAsia="宋体" w:cs="宋体"/>
                <w:color w:val="auto"/>
                <w:szCs w:val="21"/>
              </w:rPr>
              <w:t xml:space="preserve">（6）★提供一系列的基于机器人的开放API，支持用户快速实现二次开发</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rPr>
            </w:pPr>
            <w:r>
              <w:rPr>
                <w:rFonts w:hint="eastAsia" w:ascii="宋体" w:hAnsi="宋体" w:eastAsia="宋体" w:cs="宋体"/>
                <w:color w:val="auto"/>
                <w:szCs w:val="21"/>
              </w:rPr>
              <w:t xml:space="preserve">机器人产品激活许可。</w:t>
            </w:r>
            <w:r/>
          </w:p>
          <w:p>
            <w:pPr>
              <w:rPr>
                <w:rFonts w:ascii="宋体" w:hAnsi="宋体" w:eastAsia="宋体" w:cs="宋体"/>
                <w:color w:val="auto"/>
                <w:szCs w:val="21"/>
              </w:rPr>
            </w:pPr>
            <w:r>
              <w:rPr>
                <w:rFonts w:hint="eastAsia" w:ascii="宋体" w:hAnsi="宋体" w:eastAsia="宋体" w:cs="宋体"/>
                <w:color w:val="auto"/>
                <w:szCs w:val="21"/>
              </w:rPr>
              <w:t xml:space="preserve">注：每一套机器人须配置一个许可</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30</w:t>
            </w:r>
            <w:r/>
          </w:p>
        </w:tc>
      </w:tr>
      <w:tr>
        <w:trPr>
          <w:jc w:val="center"/>
          <w:trHeight w:val="111"/>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6</w:t>
            </w:r>
            <w:r/>
          </w:p>
        </w:tc>
        <w:tc>
          <w:tcPr>
            <w:tcW w:w="800" w:type="pct"/>
            <w:vAlign w:val="center"/>
            <w:textDirection w:val="lrTb"/>
            <w:noWrap/>
          </w:tcPr>
          <w:p>
            <w:pPr>
              <w:jc w:val="center"/>
              <w:widowControl/>
              <w:rPr>
                <w:rFonts w:ascii="宋体" w:hAnsi="宋体" w:eastAsia="宋体" w:cs="宋体"/>
                <w:color w:val="auto"/>
                <w:sz w:val="24"/>
              </w:rPr>
            </w:pPr>
            <w:r/>
            <w:bookmarkStart w:id="189" w:name="OLE_LINK2"/>
            <w:r/>
            <w:bookmarkStart w:id="190" w:name="_Hlk237699483"/>
            <w:r>
              <w:rPr>
                <w:rFonts w:hint="eastAsia" w:ascii="宋体" w:hAnsi="宋体" w:eastAsia="宋体" w:cs="宋体"/>
                <w:color w:val="auto"/>
                <w:sz w:val="24"/>
              </w:rPr>
              <w:t xml:space="preserve">人工智能内容生成教学资源</w:t>
            </w:r>
            <w:bookmarkEnd w:id="189"/>
            <w:r>
              <w:rPr>
                <w:rFonts w:hint="eastAsia" w:ascii="宋体" w:hAnsi="宋体" w:eastAsia="宋体" w:cs="宋体"/>
                <w:color w:val="auto"/>
                <w:sz w:val="24"/>
              </w:rPr>
              <w:t xml:space="preserve">平台</w:t>
            </w:r>
            <w:bookmarkEnd w:id="190"/>
            <w:r/>
            <w:r/>
          </w:p>
        </w:tc>
        <w:tc>
          <w:tcPr>
            <w:tcW w:w="2792" w:type="pct"/>
            <w:vAlign w:val="center"/>
            <w:textDirection w:val="lrTb"/>
            <w:noWrap w:val="false"/>
          </w:tcPr>
          <w:p>
            <w:pPr>
              <w:rPr>
                <w:rFonts w:ascii="宋体" w:hAnsi="宋体" w:eastAsia="宋体" w:cs="宋体"/>
                <w:color w:val="auto"/>
                <w:szCs w:val="21"/>
                <w:lang w:bidi="ar"/>
              </w:rPr>
            </w:pPr>
            <w:r>
              <w:rPr>
                <w:rFonts w:hint="eastAsia" w:ascii="宋体" w:hAnsi="宋体" w:eastAsia="宋体" w:cs="宋体"/>
                <w:color w:val="auto"/>
                <w:szCs w:val="21"/>
                <w:lang w:bidi="ar"/>
              </w:rPr>
              <w:t xml:space="preserve">一、计算机视觉应用开发课程资源系统：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1、系统功能：在平台中以许可的形式激活使用。课程资源系统通过定制的课程系统接口以程序化的方式加载到平台中，实现与</w:t>
            </w:r>
            <w:r>
              <w:rPr>
                <w:rFonts w:hint="eastAsia" w:ascii="宋体" w:hAnsi="宋体" w:eastAsia="宋体" w:cs="宋体"/>
                <w:color w:val="auto"/>
                <w:szCs w:val="21"/>
                <w:highlight w:val="yellow"/>
                <w:u w:val="single"/>
                <w:lang w:eastAsia="zh-CN" w:bidi="ar"/>
              </w:rPr>
              <w:t xml:space="preserve">人工智能硬件实训平台</w:t>
            </w:r>
            <w:r>
              <w:rPr>
                <w:rFonts w:hint="eastAsia" w:ascii="宋体" w:hAnsi="宋体" w:eastAsia="宋体" w:cs="宋体"/>
                <w:color w:val="auto"/>
                <w:szCs w:val="21"/>
                <w:lang w:bidi="ar"/>
              </w:rPr>
              <w:t xml:space="preserve">的无缝对接；能够在学生实操时自动创建全真的实训环境，收集学生在实训任务或项目中的表现和成果，并以数据接口的形式将学生实训结果数据提交至</w:t>
            </w:r>
            <w:r>
              <w:rPr>
                <w:rFonts w:hint="eastAsia" w:ascii="宋体" w:hAnsi="宋体" w:eastAsia="宋体" w:cs="宋体"/>
                <w:color w:val="auto"/>
                <w:szCs w:val="21"/>
                <w:highlight w:val="yellow"/>
                <w:u w:val="single"/>
                <w:lang w:eastAsia="zh-CN" w:bidi="ar"/>
              </w:rPr>
              <w:t xml:space="preserve">人工智能硬件实训平台</w:t>
            </w:r>
            <w:r>
              <w:rPr>
                <w:rFonts w:hint="eastAsia" w:ascii="宋体" w:hAnsi="宋体" w:eastAsia="宋体" w:cs="宋体"/>
                <w:color w:val="auto"/>
                <w:szCs w:val="21"/>
                <w:lang w:bidi="ar"/>
              </w:rPr>
              <w:t xml:space="preserve">，以便教学平台进行深层次分析及处理后实现自动评分功能。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2、组成元素：共计不小于64课时，素材包含教案（教学设计及教学步骤）、理论部分讲义、微课、理论习题；实操部分的实训任务导学、操作录像及讲解、校本教材式实训手册。</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3.教学设计：通过本课程学习，能够1.了解计算机视觉主要应用场景，熟悉计算机视觉基本原理。2.掌握基于 OpenCV 的图像及视频等处理操作。3.掌握图像分类、目标检测等算法库的参数配置、算法调用，以及返回结果的解析和可视化展示。4.掌握真实场景数据集模型训练与部署，能根据应用场景实现视觉类智能识别的应用开发。学习本课程，能够完成如下任务1.完成计算机视觉数据的预处理。2.根据项目需求，选择合适的图像视频处理算法库，完成项目应用开发。3.根据项目需求，完成符合项目性能要求的模型训练、推理及部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4.教学内容：课程内容涵盖包含openCV、标注与数据准备、python视觉开发环境、传统视觉算法、深度学习与CNN、工业视觉、智慧交通、医疗影像、安防与零售、模型部署、性能优化等章节。任务实训支持自动评分。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二、智能语音处理应用开发课程资源系统：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1.系统功能：在平台中以许可的形式激活使用。课程资源系统通过定制的课程系统接口以程序化的方式加载到平台中，实现与</w:t>
            </w:r>
            <w:r>
              <w:rPr>
                <w:rFonts w:hint="eastAsia" w:ascii="宋体" w:hAnsi="宋体" w:eastAsia="宋体" w:cs="宋体"/>
                <w:color w:val="auto"/>
                <w:szCs w:val="21"/>
                <w:highlight w:val="yellow"/>
                <w:u w:val="single"/>
                <w:lang w:eastAsia="zh-CN" w:bidi="ar"/>
              </w:rPr>
              <w:t xml:space="preserve">人工智能硬件实训平台</w:t>
            </w:r>
            <w:r>
              <w:rPr>
                <w:rFonts w:hint="eastAsia" w:ascii="宋体" w:hAnsi="宋体" w:eastAsia="宋体" w:cs="宋体"/>
                <w:color w:val="auto"/>
                <w:szCs w:val="21"/>
                <w:lang w:bidi="ar"/>
              </w:rPr>
              <w:t xml:space="preserve">的无缝对接；能够在学生实操时自动创建全真的实训环境，收集学生在实训任务或项目中的表现和成果，并以数据接口的形式将学生实训结果数据提交至</w:t>
            </w:r>
            <w:r>
              <w:rPr>
                <w:rFonts w:hint="eastAsia" w:ascii="宋体" w:hAnsi="宋体" w:eastAsia="宋体" w:cs="宋体"/>
                <w:color w:val="auto"/>
                <w:szCs w:val="21"/>
                <w:highlight w:val="yellow"/>
                <w:u w:val="single"/>
                <w:lang w:eastAsia="zh-CN" w:bidi="ar"/>
              </w:rPr>
              <w:t xml:space="preserve">人工智能硬件实训平台</w:t>
            </w:r>
            <w:r>
              <w:rPr>
                <w:rFonts w:hint="eastAsia" w:ascii="宋体" w:hAnsi="宋体" w:eastAsia="宋体" w:cs="宋体"/>
                <w:color w:val="auto"/>
                <w:szCs w:val="21"/>
                <w:lang w:bidi="ar"/>
              </w:rPr>
              <w:t xml:space="preserve">，以便教学平台进行深层次分析及处理后实现自动评分功能。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2.组成元素：共计不小于64课时，素材包含教案（教学设计及教学步骤）、理论部分讲义、微课、理论习题；实操部分的实训任务导学、操作录像及讲解、校本教材式实训手册。</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教学设计：通过本课程学习，能够1.了解语音识别、语音合成等技术的定义、原理。2.掌握使用工具或者Python语言进行语音数据采集、清洗、存储、标注。3.掌握语音翻译、语音控制、语音转录等语音识别应用开发。学习本课程，能够完成如下任务1.完成对音频的采集、处理、标注等数据处理，以及机器学习或深度学习模型训练。2.根据实际项目需求，完成语音识别、语音合成、语音评测、声纹识别等语音处理及应用开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4.教学内容：课程内容涵盖语音信号处理基础、开发环境、传统语音识别、深度学习ASR、语音合成神经网络、高级应用、性能优化、系统集成等章节。任务实训支持自动评分。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三</w:t>
            </w:r>
            <w:r>
              <w:rPr>
                <w:rFonts w:hint="eastAsia" w:ascii="宋体" w:hAnsi="宋体" w:eastAsia="宋体" w:cs="宋体"/>
                <w:color w:val="auto"/>
                <w:szCs w:val="21"/>
                <w:highlight w:val="none"/>
                <w:u w:val="none"/>
                <w:lang w:bidi="ar"/>
              </w:rPr>
              <w:t xml:space="preserve">、</w:t>
            </w:r>
            <w:r>
              <w:rPr>
                <w:rFonts w:hint="eastAsia" w:ascii="宋体" w:hAnsi="宋体" w:eastAsia="宋体" w:cs="宋体"/>
                <w:color w:val="auto"/>
                <w:szCs w:val="21"/>
                <w:highlight w:val="yellow"/>
                <w:u w:val="single"/>
                <w:lang w:val="en-US" w:eastAsia="zh-CN" w:bidi="ar"/>
              </w:rPr>
              <w:t xml:space="preserve">基于国产芯片</w:t>
            </w:r>
            <w:r>
              <w:rPr>
                <w:rFonts w:hint="eastAsia" w:ascii="宋体" w:hAnsi="宋体" w:eastAsia="宋体" w:cs="宋体"/>
                <w:color w:val="auto"/>
                <w:szCs w:val="21"/>
                <w:lang w:bidi="ar"/>
              </w:rPr>
              <w:t xml:space="preserve">智能小车应用</w:t>
            </w:r>
            <w:r>
              <w:rPr>
                <w:rFonts w:hint="eastAsia" w:ascii="宋体" w:hAnsi="宋体" w:eastAsia="宋体" w:cs="宋体"/>
                <w:color w:val="auto"/>
                <w:szCs w:val="21"/>
                <w:lang w:val="en-US" w:eastAsia="zh-CN" w:bidi="ar"/>
              </w:rPr>
              <w:t xml:space="preserve">实</w:t>
            </w:r>
            <w:r>
              <w:rPr>
                <w:rFonts w:hint="eastAsia" w:ascii="宋体" w:hAnsi="宋体" w:eastAsia="宋体" w:cs="宋体"/>
                <w:color w:val="auto"/>
                <w:szCs w:val="21"/>
                <w:lang w:bidi="ar"/>
              </w:rPr>
              <w:t xml:space="preserve">践课程资源系统：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1.课时要求：不低于48课时，包括但不限于以下实验案例：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（1）硬件组装</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（2）运动控制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（3）交通标识识别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（4）车道线识别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（5）前方行人识别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（6）自动泊车</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（7）车辆识别与追踪</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（8）自动驾驶实践</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2.课程内容要求：课程实验案例中至少有一个案例具备实验环境搭建、数据集准备、模型训练、模型转换、模型推理应用的完整开发流程。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3.课程资源要求：</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（1）课程需要至少包括课程大纲、 教学PPT，视频、实验手册、试题等</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（2）课程包括实验案例，并提供实验Demo源码、实验手册、实验讲解视频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（3）至少包括&gt;视频时长不少于400分钟、&gt;=8个教学 PPT，&gt;=8个实验手册，&gt;=1个课程大纲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四、AIGC数字音视频创作智能体系统</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1、采用B/S架构，支持Web端访问、HTTP/HTTPS，提供不少于50个用户使用授权，支持管理员、普通用户。</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2、具备账号注册/账号密码登录、退出登录、昵称修改、手机号更换及密码设置修改功能；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3、核心功能：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 由文字剧本生成分镜脚本</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3.1.1支持AI剧本润色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3.1.2 AI分镜脚本生成</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3.1.3★分镜脚本包含要素有：首帧画面、尾帧画面、分镜视频、视觉描述、地点、旁白、旁白音轨、音效、时间、环境、艺术风格、角色信息、景别、摄像机角度、时长、镜头构图方式、镜头类型、镜头运动方式；</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bookmarkStart w:id="191" w:name="_Hlk237699512"/>
            <w:r>
              <w:rPr>
                <w:rFonts w:hint="eastAsia" w:ascii="宋体" w:hAnsi="宋体" w:eastAsia="宋体" w:cs="宋体"/>
                <w:color w:val="auto"/>
                <w:szCs w:val="21"/>
                <w:lang w:bidi="ar"/>
              </w:rPr>
              <w:t xml:space="preserve">3.2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由文字剧本生成主体库</w:t>
            </w:r>
            <w:r>
              <w:rPr>
                <w:rFonts w:hint="eastAsia" w:ascii="宋体" w:hAnsi="宋体" w:eastAsia="宋体" w:cs="宋体"/>
                <w:b/>
                <w:bCs/>
                <w:color w:val="auto"/>
                <w:szCs w:val="21"/>
                <w:lang w:bidi="ar"/>
              </w:rPr>
              <w:t xml:space="preserve">【提供视频演示】</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3.2.1 AI主体库生成</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3.2.1 支持由主体形象创建衍生形象</w:t>
            </w:r>
            <w:bookmarkEnd w:id="191"/>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3.3 分镜脚本编辑：分镜脚本所有要素图形化展示和编辑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3.4 主体库编辑：主体库所有要素图形化展示和编辑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3.5 由分镜脚本生成分镜画面及分镜视频：AI生成分镜画面及分镜视频</w:t>
            </w:r>
            <w:r/>
          </w:p>
          <w:p>
            <w:pPr>
              <w:rPr>
                <w:rFonts w:ascii="宋体" w:hAnsi="宋体" w:eastAsia="宋体" w:cs="宋体"/>
                <w:color w:val="auto"/>
                <w:szCs w:val="21"/>
                <w:lang w:bidi="ar"/>
              </w:rPr>
            </w:pPr>
            <w:r/>
            <w:bookmarkStart w:id="192" w:name="_Hlk237699520"/>
            <w:r>
              <w:rPr>
                <w:rFonts w:hint="eastAsia" w:ascii="宋体" w:hAnsi="宋体" w:eastAsia="宋体" w:cs="宋体"/>
                <w:color w:val="auto"/>
                <w:szCs w:val="21"/>
                <w:lang w:bidi="ar"/>
              </w:rPr>
              <w:t xml:space="preserve">3.6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由分镜脚本生成分镜角色配音及旁白：AI生成角色配音及旁白，配音模板不少于20种声音，支持自定义声音模板和文字描述控制音色。</w:t>
            </w:r>
            <w:r>
              <w:rPr>
                <w:rFonts w:hint="eastAsia" w:ascii="宋体" w:hAnsi="宋体" w:eastAsia="宋体" w:cs="宋体"/>
                <w:b/>
                <w:bCs/>
                <w:color w:val="auto"/>
                <w:szCs w:val="21"/>
                <w:lang w:bidi="ar"/>
              </w:rPr>
              <w:t xml:space="preserve">【提供视频演示】</w:t>
            </w:r>
            <w:bookmarkEnd w:id="192"/>
            <w:r/>
            <w:r/>
          </w:p>
          <w:p>
            <w:pPr>
              <w:rPr>
                <w:rFonts w:ascii="宋体" w:hAnsi="宋体" w:eastAsia="宋体" w:cs="宋体"/>
                <w:color w:val="auto"/>
                <w:szCs w:val="21"/>
                <w:lang w:bidi="ar"/>
              </w:rPr>
            </w:pPr>
            <w:r/>
            <w:bookmarkStart w:id="193" w:name="_Hlk237699539"/>
            <w:r>
              <w:rPr>
                <w:rFonts w:hint="eastAsia" w:ascii="宋体" w:hAnsi="宋体" w:eastAsia="宋体" w:cs="宋体"/>
                <w:color w:val="auto"/>
                <w:szCs w:val="21"/>
                <w:lang w:bidi="ar"/>
              </w:rPr>
              <w:t xml:space="preserve">3.7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分镜脚本一键导出：分镜脚本导出excel文件</w:t>
            </w:r>
            <w:r>
              <w:rPr>
                <w:rFonts w:hint="eastAsia" w:ascii="宋体" w:hAnsi="宋体" w:eastAsia="宋体" w:cs="宋体"/>
                <w:b/>
                <w:bCs/>
                <w:color w:val="auto"/>
                <w:szCs w:val="21"/>
                <w:lang w:bidi="ar"/>
              </w:rPr>
              <w:t xml:space="preserve">【提供视频演示】</w:t>
            </w:r>
            <w:bookmarkEnd w:id="193"/>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3.8 主体库一键导出：主体库导出excel文件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3.9 自定义风格模板：允许用户创建风格模板</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4、通用功能</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4.1 文生图/多图编辑</w:t>
            </w:r>
            <w:r/>
          </w:p>
          <w:p>
            <w:pPr>
              <w:rPr>
                <w:rFonts w:ascii="宋体" w:hAnsi="宋体" w:eastAsia="宋体" w:cs="宋体"/>
                <w:color w:val="auto"/>
                <w:szCs w:val="21"/>
                <w:lang w:bidi="ar"/>
              </w:rPr>
            </w:pPr>
            <w:r>
              <w:rPr>
                <w:rFonts w:hint="eastAsia" w:ascii="宋体" w:hAnsi="宋体" w:eastAsia="宋体" w:cs="宋体"/>
                <w:color w:val="auto"/>
                <w:szCs w:val="21"/>
                <w:lang w:bidi="ar"/>
              </w:rPr>
              <w:tab/>
            </w:r>
            <w:r>
              <w:rPr>
                <w:rFonts w:hint="eastAsia" w:ascii="宋体" w:hAnsi="宋体" w:eastAsia="宋体" w:cs="宋体"/>
                <w:color w:val="auto"/>
                <w:szCs w:val="21"/>
                <w:lang w:bidi="ar"/>
              </w:rPr>
              <w:t xml:space="preserve">4.2 文生视频/首尾帧视频/参考生视频/视频编辑</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4.3 语音生成/语音克隆</w:t>
            </w:r>
            <w:r/>
          </w:p>
          <w:p>
            <w:pPr>
              <w:rPr>
                <w:rFonts w:ascii="宋体" w:hAnsi="宋体" w:eastAsia="宋体" w:cs="宋体"/>
                <w:color w:val="auto"/>
                <w:szCs w:val="21"/>
                <w:lang w:bidi="ar"/>
              </w:rPr>
            </w:pPr>
            <w:r/>
            <w:bookmarkStart w:id="194" w:name="_Hlk237699547"/>
            <w:r>
              <w:rPr>
                <w:rFonts w:hint="eastAsia" w:ascii="宋体" w:hAnsi="宋体" w:eastAsia="宋体" w:cs="宋体"/>
                <w:color w:val="auto"/>
                <w:szCs w:val="21"/>
                <w:lang w:bidi="ar"/>
              </w:rPr>
              <w:t xml:space="preserve">4.4 </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支持本地算力调用，诗词多模态模型调用</w:t>
            </w:r>
            <w:r>
              <w:rPr>
                <w:rFonts w:hint="eastAsia" w:ascii="宋体" w:hAnsi="宋体" w:eastAsia="宋体" w:cs="宋体"/>
                <w:b/>
                <w:bCs/>
                <w:color w:val="auto"/>
                <w:szCs w:val="21"/>
                <w:lang w:bidi="ar"/>
              </w:rPr>
              <w:t xml:space="preserve">【提供视频演示】</w:t>
            </w:r>
            <w:bookmarkEnd w:id="194"/>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5、★算力调用：所有AIGC功能同时支持本地算力调用与云端算力API调用。</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6、★团队项目：支持个人项目与团队项目相互转换，团队项目允许团队成员共同编辑一个项目。</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五、AIGC综合算力智能管理平台</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1、支持用户新增、编辑、删除组织架构数据 。并且配置以下参数：学院信息、二级学院信息、系部信息；</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2、支持用户新增、编辑、删除权限策略组。包含：管理员、教师、学员。教师组具有审核平台发布权限；</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3、支持用户新增、编辑、删除用户组信息。可编辑内容：用户昵称、归属部门、手机号、邮箱、性别、当前状态、所属角色；</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4、支持用户新增、编辑、删除模型数据。并且配置模型以下参数：模型名称、模型类型、基础底模、模型分类标签、独立/引用模型、模型展示样片、模型简介；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5、支持用户新增、编辑、删除同名模型版本数据 。并且配置同名模型下不同版本得以下参数：模型版本编号、模型类型、基础底模、功能描述、模型触发关键词、推荐权重、CFG、VAE、高清放大法、模型文件存放位置、模型简介；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6、支持用户新增、编辑、删除展示作品数据 。并且配置以下参数：创作工具、本地/引用作品、关联基础底模型、关联Lora模型、图片尺寸、迭代步数、采样方法、种子、正向提示词、反向提示词、 展示作品存放位置；</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7、前端支持教学资源访问与下载功能。后台支持教学资源的版本/参数/配图等关键信息进行编辑和发布；</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8、支持用户新增、编辑、删除展示AIGC项目数据 。并且配置以下参数：项目名称、分类标签、本地/应用项目、项目图片、项目简介； </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9、支持添加本地及云端AIGC应用实例至Web服务访问列表，可以编辑内容：实例名称/实例物理地址/访问地址/更新时间/分组/在线状态/审核状态/创建方式；</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10、★支持用户新增、编辑、删除展示AIGC实例的类型，用户可以自定义类型，支持负载均衡：</w:t>
            </w:r>
            <w:r>
              <w:rPr>
                <w:rFonts w:hint="eastAsia" w:ascii="宋体" w:hAnsi="宋体" w:eastAsia="宋体" w:cs="宋体"/>
                <w:b/>
                <w:bCs/>
                <w:color w:val="auto"/>
                <w:szCs w:val="21"/>
                <w:lang w:bidi="ar"/>
              </w:rPr>
              <w:t xml:space="preserve">【提供系统页面截图</w:t>
            </w:r>
            <w:r>
              <w:rPr>
                <w:rFonts w:hint="eastAsia" w:ascii="宋体" w:hAnsi="宋体" w:eastAsia="宋体" w:cs="宋体"/>
                <w:b/>
                <w:bCs/>
                <w:color w:val="auto"/>
                <w:szCs w:val="21"/>
                <w:lang w:val="zh-CN" w:bidi="ar"/>
              </w:rPr>
              <w:t xml:space="preserve">并加盖供应商公章</w:t>
            </w:r>
            <w:r>
              <w:rPr>
                <w:rFonts w:hint="eastAsia" w:ascii="宋体" w:hAnsi="宋体" w:eastAsia="宋体" w:cs="宋体"/>
                <w:b/>
                <w:bCs/>
                <w:color w:val="auto"/>
                <w:szCs w:val="21"/>
                <w:lang w:bidi="ar"/>
              </w:rPr>
              <w:t xml:space="preserve">】。</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11、支持用户新增、编辑、删除展示平台重要通知；</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12、支持监控登录人数、本地服务器状态、云桌面状态、容器状态；</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13、支持用户通过拖拽独立功能节点并连接输入输出接口；</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14、支持任务异步提交与处理，允许多个请求排队执行，提升批量生成任务的效率与系统资源利用率；</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15、支持算法自动检测业务流程中发生变化的部分；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16、支持复杂业务流程打包成自定义“超级节点”，保留完整输入输出接口，简化界面操作，支持模块复用和团队共享；</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17、支持加载 .ckpt、.gguf、.safetensors 格式的完整模型，以及独立的VAE、CLIP、CLIP Vision、Text Encoder模型。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18、兼容Flux、腾讯混元等市场主流多种扩散模型架构。</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19、支持常规LoRA、Locon、Loha等多种低秩适应模型；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20、支持动态接入目前市场主流视频生成模型的API调用接入；</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1</w:t>
            </w:r>
            <w:r/>
          </w:p>
        </w:tc>
      </w:tr>
      <w:tr>
        <w:trPr>
          <w:jc w:val="center"/>
          <w:trHeight w:val="211"/>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7</w:t>
            </w:r>
            <w:r/>
          </w:p>
        </w:tc>
        <w:tc>
          <w:tcPr>
            <w:tcW w:w="800"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智能无人驾驶终端</w:t>
            </w:r>
            <w:r/>
          </w:p>
        </w:tc>
        <w:tc>
          <w:tcPr>
            <w:tcW w:w="2792" w:type="pct"/>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1、产品采用全国产化模块与设备，智能小车主体由3D打印小车结构件、电池、无线路由器、摄像头、车轮、驱动电机、AI主机、运动控制主板等模块构成，可应用于智能小车、自动驾驶方向开发与实践教学。</w:t>
            </w:r>
            <w:r/>
          </w:p>
          <w:p>
            <w:pPr>
              <w:rPr>
                <w:rFonts w:ascii="宋体" w:hAnsi="宋体" w:eastAsia="宋体" w:cs="宋体"/>
                <w:color w:val="auto"/>
                <w:szCs w:val="21"/>
              </w:rPr>
            </w:pPr>
            <w:r>
              <w:rPr>
                <w:rFonts w:hint="eastAsia" w:ascii="宋体" w:hAnsi="宋体" w:eastAsia="宋体" w:cs="宋体"/>
                <w:color w:val="auto"/>
                <w:szCs w:val="21"/>
              </w:rPr>
              <w:t xml:space="preserve">2、★AI主机：搭载国产化AI芯片，满足以下参数：</w:t>
            </w:r>
            <w:r/>
          </w:p>
          <w:p>
            <w:pPr>
              <w:rPr>
                <w:rFonts w:ascii="宋体" w:hAnsi="宋体" w:eastAsia="宋体" w:cs="宋体"/>
                <w:color w:val="auto"/>
                <w:szCs w:val="21"/>
              </w:rPr>
            </w:pPr>
            <w:r>
              <w:rPr>
                <w:rFonts w:hint="eastAsia" w:ascii="宋体" w:hAnsi="宋体" w:eastAsia="宋体" w:cs="宋体"/>
                <w:color w:val="auto"/>
                <w:szCs w:val="21"/>
              </w:rPr>
              <w:t xml:space="preserve">AI算力：≥8Tops（INT8）/4TFLOPS（FP16）</w:t>
            </w:r>
            <w:r/>
          </w:p>
          <w:p>
            <w:pPr>
              <w:rPr>
                <w:rFonts w:ascii="宋体" w:hAnsi="宋体" w:eastAsia="宋体" w:cs="宋体"/>
                <w:color w:val="auto"/>
                <w:szCs w:val="21"/>
              </w:rPr>
            </w:pPr>
            <w:r>
              <w:rPr>
                <w:rFonts w:hint="eastAsia" w:ascii="宋体" w:hAnsi="宋体" w:eastAsia="宋体" w:cs="宋体"/>
                <w:color w:val="auto"/>
                <w:szCs w:val="21"/>
              </w:rPr>
              <w:t xml:space="preserve">内存：≥LPDDR4X 4GB</w:t>
            </w:r>
            <w:r/>
          </w:p>
          <w:p>
            <w:pPr>
              <w:rPr>
                <w:rFonts w:ascii="宋体" w:hAnsi="宋体" w:eastAsia="宋体" w:cs="宋体"/>
                <w:color w:val="auto"/>
                <w:szCs w:val="21"/>
              </w:rPr>
            </w:pPr>
            <w:r>
              <w:rPr>
                <w:rFonts w:hint="eastAsia" w:ascii="宋体" w:hAnsi="宋体" w:eastAsia="宋体" w:cs="宋体"/>
                <w:color w:val="auto"/>
                <w:szCs w:val="21"/>
              </w:rPr>
              <w:t xml:space="preserve">预装系统：最新版本</w:t>
            </w:r>
            <w:r/>
          </w:p>
          <w:p>
            <w:pPr>
              <w:rPr>
                <w:rFonts w:ascii="宋体" w:hAnsi="宋体" w:eastAsia="宋体" w:cs="宋体"/>
                <w:color w:val="auto"/>
                <w:szCs w:val="21"/>
              </w:rPr>
            </w:pPr>
            <w:r>
              <w:rPr>
                <w:rFonts w:hint="eastAsia" w:ascii="宋体" w:hAnsi="宋体" w:eastAsia="宋体" w:cs="宋体"/>
                <w:color w:val="auto"/>
                <w:szCs w:val="21"/>
              </w:rPr>
              <w:t xml:space="preserve">具备USB、HDMI、Micro SD、以太网等外设接口。</w:t>
            </w:r>
            <w:r/>
          </w:p>
          <w:p>
            <w:pPr>
              <w:rPr>
                <w:rFonts w:ascii="宋体" w:hAnsi="宋体" w:eastAsia="宋体" w:cs="宋体"/>
                <w:color w:val="auto"/>
                <w:szCs w:val="21"/>
              </w:rPr>
            </w:pPr>
            <w:r>
              <w:rPr>
                <w:rFonts w:hint="eastAsia" w:ascii="宋体" w:hAnsi="宋体" w:eastAsia="宋体" w:cs="宋体"/>
                <w:color w:val="auto"/>
                <w:szCs w:val="21"/>
              </w:rPr>
              <w:t xml:space="preserve">3、★AI平台支持多路算法模型并行推理运行。</w:t>
            </w:r>
            <w:r/>
          </w:p>
          <w:p>
            <w:pPr>
              <w:rPr>
                <w:rFonts w:ascii="宋体" w:hAnsi="宋体" w:eastAsia="宋体" w:cs="宋体"/>
                <w:color w:val="auto"/>
                <w:szCs w:val="21"/>
              </w:rPr>
            </w:pPr>
            <w:r>
              <w:rPr>
                <w:rFonts w:hint="eastAsia" w:ascii="宋体" w:hAnsi="宋体" w:eastAsia="宋体" w:cs="宋体"/>
                <w:color w:val="auto"/>
                <w:szCs w:val="21"/>
              </w:rPr>
              <w:t xml:space="preserve">4、★内置开放Python SDK，支持通用Python环境开展二次开发编程。</w:t>
            </w:r>
            <w:r/>
          </w:p>
          <w:p>
            <w:pPr>
              <w:rPr>
                <w:rFonts w:ascii="宋体" w:hAnsi="宋体" w:eastAsia="宋体" w:cs="宋体"/>
                <w:color w:val="auto"/>
                <w:szCs w:val="21"/>
              </w:rPr>
            </w:pPr>
            <w:r>
              <w:rPr>
                <w:rFonts w:hint="eastAsia" w:ascii="宋体" w:hAnsi="宋体" w:eastAsia="宋体" w:cs="宋体"/>
                <w:color w:val="auto"/>
                <w:szCs w:val="21"/>
              </w:rPr>
              <w:t xml:space="preserve">5、★配套实训小车跑道地图，地图有效尺寸不小于2.8m*2.8m。</w:t>
            </w:r>
            <w:r/>
          </w:p>
          <w:p>
            <w:pPr>
              <w:rPr>
                <w:rFonts w:ascii="宋体" w:hAnsi="宋体" w:eastAsia="宋体" w:cs="宋体"/>
                <w:color w:val="auto"/>
                <w:szCs w:val="21"/>
              </w:rPr>
            </w:pPr>
            <w:r>
              <w:rPr>
                <w:rFonts w:hint="eastAsia" w:ascii="宋体" w:hAnsi="宋体" w:eastAsia="宋体" w:cs="宋体"/>
                <w:color w:val="auto"/>
                <w:szCs w:val="21"/>
              </w:rPr>
              <w:t xml:space="preserve">6、配套128GB存储内存卡，同步提供道具人、仿真车辆等配套实验道具。</w:t>
            </w:r>
            <w:r/>
          </w:p>
          <w:p>
            <w:pPr>
              <w:rPr>
                <w:rFonts w:ascii="宋体" w:hAnsi="宋体" w:eastAsia="宋体" w:cs="宋体"/>
                <w:color w:val="auto"/>
                <w:szCs w:val="21"/>
              </w:rPr>
            </w:pPr>
            <w:r>
              <w:rPr>
                <w:rFonts w:hint="eastAsia" w:ascii="宋体" w:hAnsi="宋体" w:eastAsia="宋体" w:cs="宋体"/>
                <w:color w:val="auto"/>
                <w:szCs w:val="21"/>
              </w:rPr>
              <w:t xml:space="preserve">7、★配置广角摄像头，可与搭载国产化AI芯片的人工智能开发主机稳定对接通讯。</w:t>
            </w:r>
            <w:r/>
          </w:p>
          <w:p>
            <w:pPr>
              <w:rPr>
                <w:rFonts w:ascii="宋体" w:hAnsi="宋体" w:eastAsia="宋体" w:cs="宋体"/>
                <w:color w:val="auto"/>
                <w:szCs w:val="21"/>
              </w:rPr>
            </w:pPr>
            <w:r>
              <w:rPr>
                <w:rFonts w:hint="eastAsia" w:ascii="宋体" w:hAnsi="宋体" w:eastAsia="宋体" w:cs="宋体"/>
                <w:color w:val="auto"/>
                <w:szCs w:val="21"/>
              </w:rPr>
              <w:t xml:space="preserve">8、小车运动控制主板要求：</w:t>
            </w:r>
            <w:r/>
          </w:p>
          <w:p>
            <w:pPr>
              <w:rPr>
                <w:rFonts w:ascii="宋体" w:hAnsi="宋体" w:eastAsia="宋体" w:cs="宋体"/>
                <w:color w:val="auto"/>
                <w:szCs w:val="21"/>
              </w:rPr>
            </w:pPr>
            <w:r>
              <w:rPr>
                <w:rFonts w:hint="eastAsia" w:ascii="宋体" w:hAnsi="宋体" w:eastAsia="宋体" w:cs="宋体"/>
                <w:color w:val="auto"/>
                <w:szCs w:val="21"/>
              </w:rPr>
              <w:t xml:space="preserve">主控模组：</w:t>
            </w:r>
            <w:r/>
          </w:p>
          <w:p>
            <w:pPr>
              <w:rPr>
                <w:rFonts w:ascii="宋体" w:hAnsi="宋体" w:eastAsia="宋体" w:cs="宋体"/>
                <w:color w:val="auto"/>
                <w:szCs w:val="21"/>
              </w:rPr>
            </w:pPr>
            <w:r>
              <w:rPr>
                <w:rFonts w:hint="eastAsia" w:ascii="宋体" w:hAnsi="宋体" w:eastAsia="宋体" w:cs="宋体"/>
                <w:color w:val="auto"/>
                <w:szCs w:val="21"/>
              </w:rPr>
              <w:t xml:space="preserve">核心数量≥2；CPU主频≥240MHz；运算能力≥600DMIPS；</w:t>
            </w:r>
            <w:r/>
          </w:p>
          <w:p>
            <w:pPr>
              <w:rPr>
                <w:rFonts w:ascii="宋体" w:hAnsi="宋体" w:eastAsia="宋体" w:cs="宋体"/>
                <w:color w:val="auto"/>
                <w:szCs w:val="21"/>
              </w:rPr>
            </w:pPr>
            <w:r>
              <w:rPr>
                <w:rFonts w:hint="eastAsia" w:ascii="宋体" w:hAnsi="宋体" w:eastAsia="宋体" w:cs="宋体"/>
                <w:color w:val="auto"/>
                <w:szCs w:val="21"/>
              </w:rPr>
              <w:t xml:space="preserve">通信接口Type-C；供电支持7.2V-15V直流输入；</w:t>
            </w:r>
            <w:r/>
          </w:p>
          <w:p>
            <w:pPr>
              <w:rPr>
                <w:rFonts w:ascii="宋体" w:hAnsi="宋体" w:eastAsia="宋体" w:cs="宋体"/>
                <w:color w:val="auto"/>
                <w:szCs w:val="21"/>
              </w:rPr>
            </w:pPr>
            <w:r>
              <w:rPr>
                <w:rFonts w:hint="eastAsia" w:ascii="宋体" w:hAnsi="宋体" w:eastAsia="宋体" w:cs="宋体"/>
                <w:color w:val="auto"/>
                <w:szCs w:val="21"/>
              </w:rPr>
              <w:t xml:space="preserve">具备多路通用GPIO、触摸输入通道、ADC模拟采集通道、DAC输出通道、至少1组I2C通信通道；</w:t>
            </w:r>
            <w:r/>
          </w:p>
          <w:p>
            <w:pPr>
              <w:rPr>
                <w:rFonts w:ascii="宋体" w:hAnsi="宋体" w:eastAsia="宋体" w:cs="宋体"/>
                <w:color w:val="auto"/>
                <w:szCs w:val="21"/>
              </w:rPr>
            </w:pPr>
            <w:r>
              <w:rPr>
                <w:rFonts w:hint="eastAsia" w:ascii="宋体" w:hAnsi="宋体" w:eastAsia="宋体" w:cs="宋体"/>
                <w:color w:val="auto"/>
                <w:szCs w:val="21"/>
              </w:rPr>
              <w:t xml:space="preserve">具备多路电机控制输出接口，支持独立外部电机供电；</w:t>
            </w:r>
            <w:r/>
          </w:p>
          <w:p>
            <w:pPr>
              <w:rPr>
                <w:rFonts w:ascii="宋体" w:hAnsi="宋体" w:eastAsia="宋体" w:cs="宋体"/>
                <w:color w:val="auto"/>
                <w:szCs w:val="21"/>
              </w:rPr>
            </w:pPr>
            <w:r>
              <w:rPr>
                <w:rFonts w:hint="eastAsia" w:ascii="宋体" w:hAnsi="宋体" w:eastAsia="宋体" w:cs="宋体"/>
                <w:color w:val="auto"/>
                <w:szCs w:val="21"/>
              </w:rPr>
              <w:t xml:space="preserve">集成802.11b/g/n Wi-Fi、蓝牙BLE无线通信，搭载PCB板载天线。</w:t>
            </w:r>
            <w:r/>
          </w:p>
          <w:p>
            <w:pPr>
              <w:rPr>
                <w:rFonts w:ascii="宋体" w:hAnsi="宋体" w:eastAsia="宋体" w:cs="宋体"/>
                <w:color w:val="auto"/>
                <w:szCs w:val="21"/>
              </w:rPr>
            </w:pPr>
            <w:r>
              <w:rPr>
                <w:rFonts w:hint="eastAsia" w:ascii="宋体" w:hAnsi="宋体" w:eastAsia="宋体" w:cs="宋体"/>
                <w:color w:val="auto"/>
                <w:szCs w:val="21"/>
              </w:rPr>
              <w:t xml:space="preserve">9、智能小车依托纯视觉方案，可在配套跑道地图上完成车道线识别、行人识别、交通标识识别、自动泊车功能，实现简易自动驾驶综合实训。</w:t>
            </w:r>
            <w:r/>
          </w:p>
          <w:p>
            <w:pPr>
              <w:rPr>
                <w:rFonts w:ascii="宋体" w:hAnsi="宋体" w:eastAsia="宋体" w:cs="宋体"/>
                <w:color w:val="auto"/>
                <w:szCs w:val="21"/>
              </w:rPr>
            </w:pPr>
            <w:r>
              <w:rPr>
                <w:rFonts w:hint="eastAsia" w:ascii="宋体" w:hAnsi="宋体" w:eastAsia="宋体" w:cs="宋体"/>
                <w:color w:val="auto"/>
                <w:szCs w:val="21"/>
              </w:rPr>
              <w:t xml:space="preserve">10、★支持联网状态下AI语音指令控制小车运动。</w:t>
            </w:r>
            <w:r/>
          </w:p>
          <w:p>
            <w:pPr>
              <w:rPr>
                <w:rFonts w:ascii="宋体" w:hAnsi="宋体" w:eastAsia="宋体" w:cs="宋体"/>
                <w:color w:val="auto"/>
                <w:szCs w:val="21"/>
              </w:rPr>
            </w:pPr>
            <w:r>
              <w:rPr>
                <w:rFonts w:hint="eastAsia" w:ascii="宋体" w:hAnsi="宋体" w:eastAsia="宋体" w:cs="宋体"/>
                <w:color w:val="auto"/>
                <w:szCs w:val="21"/>
              </w:rPr>
              <w:t xml:space="preserve">11、★提供Web管理界面，支持远程启动/停止小车实验程序，实时查看程序运行日志。</w:t>
            </w:r>
            <w:r/>
          </w:p>
          <w:p>
            <w:pPr>
              <w:rPr>
                <w:rFonts w:ascii="宋体" w:hAnsi="宋体" w:eastAsia="宋体" w:cs="宋体"/>
                <w:color w:val="auto"/>
                <w:szCs w:val="21"/>
              </w:rPr>
            </w:pPr>
            <w:r>
              <w:rPr>
                <w:rFonts w:hint="eastAsia" w:ascii="宋体" w:hAnsi="宋体" w:eastAsia="宋体" w:cs="宋体"/>
                <w:color w:val="auto"/>
                <w:szCs w:val="21"/>
              </w:rPr>
              <w:t xml:space="preserve">12、★支持开展以下实训场景：小车运动控制、车道线识别、交通标识识别、行人识别、车辆识别、自动泊车、简易自动驾驶；提供配套系统镜像文件，镜像内置全部实训源代码。</w:t>
            </w:r>
            <w:r/>
          </w:p>
          <w:p>
            <w:pPr>
              <w:rPr>
                <w:rFonts w:ascii="宋体" w:hAnsi="宋体" w:eastAsia="宋体" w:cs="宋体"/>
                <w:color w:val="auto"/>
                <w:szCs w:val="21"/>
              </w:rPr>
            </w:pPr>
            <w:r>
              <w:rPr>
                <w:rFonts w:hint="eastAsia" w:ascii="宋体" w:hAnsi="宋体" w:eastAsia="宋体" w:cs="宋体"/>
                <w:color w:val="auto"/>
                <w:szCs w:val="21"/>
              </w:rPr>
              <w:t xml:space="preserve">13、★提供正式配套电子实训指导书。</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20</w:t>
            </w:r>
            <w:r/>
          </w:p>
        </w:tc>
      </w:tr>
      <w:tr>
        <w:trPr>
          <w:jc w:val="center"/>
          <w:trHeight w:val="139"/>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8</w:t>
            </w:r>
            <w:r/>
          </w:p>
        </w:tc>
        <w:tc>
          <w:tcPr>
            <w:tcW w:w="800" w:type="pct"/>
            <w:vAlign w:val="center"/>
            <w:textDirection w:val="lrTb"/>
            <w:noWrap/>
          </w:tcPr>
          <w:p>
            <w:pPr>
              <w:jc w:val="center"/>
              <w:widowControl/>
              <w:rPr>
                <w:rFonts w:ascii="宋体" w:hAnsi="宋体" w:eastAsia="宋体" w:cs="宋体"/>
                <w:color w:val="auto"/>
                <w:sz w:val="24"/>
                <w:lang w:bidi="ar"/>
              </w:rPr>
            </w:pPr>
            <w:r>
              <w:rPr>
                <w:rFonts w:hint="eastAsia" w:ascii="宋体" w:hAnsi="宋体" w:eastAsia="宋体" w:cs="宋体"/>
                <w:color w:val="auto"/>
                <w:sz w:val="24"/>
                <w:lang w:bidi="ar"/>
              </w:rPr>
              <w:t xml:space="preserve">智能搬运移动终端</w:t>
            </w:r>
            <w:r/>
          </w:p>
        </w:tc>
        <w:tc>
          <w:tcPr>
            <w:tcW w:w="2792" w:type="pct"/>
            <w:vAlign w:val="center"/>
            <w:textDirection w:val="lrTb"/>
            <w:noWrap w:val="false"/>
          </w:tcPr>
          <w:p>
            <w:pPr>
              <w:rPr>
                <w:rFonts w:ascii="宋体" w:hAnsi="宋体" w:eastAsia="宋体" w:cs="宋体"/>
                <w:color w:val="auto"/>
                <w:szCs w:val="21"/>
              </w:rPr>
            </w:pPr>
            <w:r>
              <w:rPr>
                <w:rFonts w:hint="eastAsia" w:ascii="宋体" w:hAnsi="宋体" w:eastAsia="宋体" w:cs="宋体"/>
                <w:color w:val="auto"/>
                <w:szCs w:val="21"/>
              </w:rPr>
              <w:t xml:space="preserve">1、产品包含机械结构件、执行机构、主控控制器。配套3D动态装配图纸与可视化图形化编程环境，支持零基础开展机器人搭建与编程学习。</w:t>
            </w:r>
            <w:r/>
          </w:p>
          <w:p>
            <w:pPr>
              <w:rPr>
                <w:rFonts w:ascii="宋体" w:hAnsi="宋体" w:eastAsia="宋体" w:cs="宋体"/>
                <w:color w:val="auto"/>
                <w:szCs w:val="21"/>
              </w:rPr>
            </w:pPr>
            <w:r>
              <w:rPr>
                <w:rFonts w:hint="eastAsia" w:ascii="宋体" w:hAnsi="宋体" w:eastAsia="宋体" w:cs="宋体"/>
                <w:color w:val="auto"/>
                <w:szCs w:val="21"/>
              </w:rPr>
              <w:t xml:space="preserve">2、★AI推理平台支持多算法模型同步并行运行，可实现人脸识别、颜色识别等多任务同步处理。</w:t>
            </w:r>
            <w:r/>
          </w:p>
          <w:p>
            <w:pPr>
              <w:rPr>
                <w:rFonts w:ascii="宋体" w:hAnsi="宋体" w:eastAsia="宋体" w:cs="宋体"/>
                <w:color w:val="auto"/>
                <w:szCs w:val="21"/>
              </w:rPr>
            </w:pPr>
            <w:r>
              <w:rPr>
                <w:rFonts w:hint="eastAsia" w:ascii="宋体" w:hAnsi="宋体" w:eastAsia="宋体" w:cs="宋体"/>
                <w:color w:val="auto"/>
                <w:szCs w:val="21"/>
              </w:rPr>
              <w:t xml:space="preserve">3、★编程平台开放Python SDK接口，支持使用Python语言进行二次开发与自主编程；投标人可提供产品手册、说明书等资料作为佐证（不作投标强制要求，验收阶段实物核验）。</w:t>
            </w:r>
            <w:r/>
          </w:p>
          <w:p>
            <w:pPr>
              <w:rPr>
                <w:rFonts w:ascii="宋体" w:hAnsi="宋体" w:eastAsia="宋体" w:cs="宋体"/>
                <w:color w:val="auto"/>
                <w:szCs w:val="21"/>
              </w:rPr>
            </w:pPr>
            <w:r>
              <w:rPr>
                <w:rFonts w:hint="eastAsia" w:ascii="宋体" w:hAnsi="宋体" w:eastAsia="宋体" w:cs="宋体"/>
                <w:color w:val="auto"/>
                <w:szCs w:val="21"/>
              </w:rPr>
              <w:t xml:space="preserve">4、配套零部件种类≥25类，零件总数量≥80个；支持组装多种机器人构型，可搭建平衡车、变形轮式车、轮足机器人、四足机器人、多足蜘蛛机器人、工程作业车等典型形态。</w:t>
            </w:r>
            <w:r/>
          </w:p>
          <w:p>
            <w:pPr>
              <w:rPr>
                <w:rFonts w:ascii="宋体" w:hAnsi="宋体" w:eastAsia="宋体" w:cs="宋体"/>
                <w:color w:val="auto"/>
                <w:szCs w:val="21"/>
              </w:rPr>
            </w:pPr>
            <w:r>
              <w:rPr>
                <w:rFonts w:hint="eastAsia" w:ascii="宋体" w:hAnsi="宋体" w:eastAsia="宋体" w:cs="宋体"/>
                <w:color w:val="auto"/>
                <w:szCs w:val="21"/>
              </w:rPr>
              <w:t xml:space="preserve">5、多功能控制器：集成不少于3路麦克风阵列、扬声器模块、触控显示屏、9轴姿态陀螺仪，具备开源扩展接口；支持自然语音交互、机器人运动控制，预留多路模块接口，可加载运行自主程序。</w:t>
            </w:r>
            <w:r/>
          </w:p>
          <w:p>
            <w:pPr>
              <w:rPr>
                <w:rFonts w:ascii="宋体" w:hAnsi="宋体" w:eastAsia="宋体" w:cs="宋体"/>
                <w:color w:val="auto"/>
                <w:szCs w:val="21"/>
              </w:rPr>
            </w:pPr>
            <w:r>
              <w:rPr>
                <w:rFonts w:hint="eastAsia" w:ascii="宋体" w:hAnsi="宋体" w:eastAsia="宋体" w:cs="宋体"/>
                <w:color w:val="auto"/>
                <w:szCs w:val="21"/>
              </w:rPr>
              <w:t xml:space="preserve">6、★具备智能语音处理能力，支持在线语音识别（ASR）、在线语音合成（TTS）、自然语言处理（NLP）、响度检测功能。</w:t>
            </w:r>
            <w:r/>
          </w:p>
          <w:p>
            <w:pPr>
              <w:rPr>
                <w:rFonts w:ascii="宋体" w:hAnsi="宋体" w:eastAsia="宋体" w:cs="宋体"/>
                <w:color w:val="auto"/>
                <w:szCs w:val="21"/>
              </w:rPr>
            </w:pPr>
            <w:r>
              <w:rPr>
                <w:rFonts w:hint="eastAsia" w:ascii="宋体" w:hAnsi="宋体" w:eastAsia="宋体" w:cs="宋体"/>
                <w:color w:val="auto"/>
                <w:szCs w:val="21"/>
              </w:rPr>
              <w:t xml:space="preserve">7、★集成机器视觉处理能力，支持车道识别、二维码识别、AprilTag定位标识识别、交通标识识别、颜色识别、人脸识别、人体姿态识别、手势识别；支持自定义图像模型训练，具备图像数据无线传输能力。</w:t>
            </w:r>
            <w:r/>
          </w:p>
          <w:p>
            <w:pPr>
              <w:rPr>
                <w:rFonts w:ascii="宋体" w:hAnsi="宋体" w:eastAsia="宋体" w:cs="宋体"/>
                <w:color w:val="auto"/>
                <w:szCs w:val="21"/>
              </w:rPr>
            </w:pPr>
            <w:r>
              <w:rPr>
                <w:rFonts w:hint="eastAsia" w:ascii="宋体" w:hAnsi="宋体" w:eastAsia="宋体" w:cs="宋体"/>
                <w:color w:val="auto"/>
                <w:szCs w:val="21"/>
              </w:rPr>
              <w:t xml:space="preserve">8、内置多种运动控制算法，包含自适应控制算法、步态规划算法、自平衡算法、里程解算算法。</w:t>
            </w:r>
            <w:r/>
          </w:p>
          <w:p>
            <w:pPr>
              <w:rPr>
                <w:rFonts w:ascii="宋体" w:hAnsi="宋体" w:eastAsia="宋体" w:cs="宋体"/>
                <w:color w:val="auto"/>
                <w:szCs w:val="21"/>
              </w:rPr>
            </w:pPr>
            <w:r>
              <w:rPr>
                <w:rFonts w:hint="eastAsia" w:ascii="宋体" w:hAnsi="宋体" w:eastAsia="宋体" w:cs="宋体"/>
                <w:color w:val="auto"/>
                <w:szCs w:val="21"/>
              </w:rPr>
              <w:t xml:space="preserve">9、支持多机器人设备之间无线通信协同工作。</w:t>
            </w:r>
            <w:r/>
          </w:p>
          <w:p>
            <w:pPr>
              <w:rPr>
                <w:rFonts w:ascii="宋体" w:hAnsi="宋体" w:eastAsia="宋体" w:cs="宋体"/>
                <w:color w:val="auto"/>
                <w:szCs w:val="21"/>
              </w:rPr>
            </w:pPr>
            <w:r>
              <w:rPr>
                <w:rFonts w:hint="eastAsia" w:ascii="宋体" w:hAnsi="宋体" w:eastAsia="宋体" w:cs="宋体"/>
                <w:color w:val="auto"/>
                <w:szCs w:val="21"/>
              </w:rPr>
              <w:t xml:space="preserve">10、★提供正式配套电子实训指导书。</w:t>
            </w:r>
            <w:r/>
          </w:p>
          <w:p>
            <w:pPr>
              <w:rPr>
                <w:rFonts w:ascii="宋体" w:hAnsi="宋体" w:eastAsia="宋体" w:cs="宋体"/>
                <w:color w:val="auto"/>
                <w:szCs w:val="21"/>
              </w:rPr>
            </w:pPr>
            <w:r>
              <w:rPr>
                <w:rFonts w:hint="eastAsia" w:ascii="宋体" w:hAnsi="宋体" w:eastAsia="宋体" w:cs="宋体"/>
                <w:color w:val="auto"/>
                <w:szCs w:val="21"/>
              </w:rPr>
              <w:t xml:space="preserve">11、主控核心硬件指标：</w:t>
            </w:r>
            <w:r/>
          </w:p>
          <w:p>
            <w:pPr>
              <w:rPr>
                <w:rFonts w:ascii="宋体" w:hAnsi="宋体" w:eastAsia="宋体" w:cs="宋体"/>
                <w:color w:val="auto"/>
                <w:szCs w:val="21"/>
              </w:rPr>
            </w:pPr>
            <w:r>
              <w:rPr>
                <w:rFonts w:hint="eastAsia" w:ascii="宋体" w:hAnsi="宋体" w:eastAsia="宋体" w:cs="宋体"/>
                <w:color w:val="auto"/>
                <w:szCs w:val="21"/>
              </w:rPr>
              <w:t xml:space="preserve">（1）板载闪存：≥32GB；</w:t>
            </w:r>
            <w:r/>
          </w:p>
          <w:p>
            <w:pPr>
              <w:rPr>
                <w:rFonts w:ascii="宋体" w:hAnsi="宋体" w:eastAsia="宋体" w:cs="宋体"/>
                <w:color w:val="auto"/>
                <w:szCs w:val="21"/>
              </w:rPr>
            </w:pPr>
            <w:r>
              <w:rPr>
                <w:rFonts w:hint="eastAsia" w:ascii="宋体" w:hAnsi="宋体" w:eastAsia="宋体" w:cs="宋体"/>
                <w:color w:val="auto"/>
                <w:szCs w:val="21"/>
              </w:rPr>
              <w:t xml:space="preserve">（2）NPU算力：≥1 TOPS；</w:t>
            </w:r>
            <w:r/>
          </w:p>
          <w:p>
            <w:pPr>
              <w:rPr>
                <w:rFonts w:ascii="宋体" w:hAnsi="宋体" w:eastAsia="宋体" w:cs="宋体"/>
                <w:color w:val="auto"/>
                <w:szCs w:val="21"/>
              </w:rPr>
            </w:pPr>
            <w:r>
              <w:rPr>
                <w:rFonts w:hint="eastAsia" w:ascii="宋体" w:hAnsi="宋体" w:eastAsia="宋体" w:cs="宋体"/>
                <w:color w:val="auto"/>
                <w:szCs w:val="21"/>
              </w:rPr>
              <w:t xml:space="preserve">（3）CPU核心数量：≥4核。</w:t>
            </w:r>
            <w:r/>
          </w:p>
          <w:p>
            <w:pPr>
              <w:rPr>
                <w:rFonts w:ascii="宋体" w:hAnsi="宋体" w:eastAsia="宋体" w:cs="宋体"/>
                <w:color w:val="auto"/>
                <w:szCs w:val="21"/>
              </w:rPr>
            </w:pPr>
            <w:r>
              <w:rPr>
                <w:rFonts w:hint="eastAsia" w:ascii="宋体" w:hAnsi="宋体" w:eastAsia="宋体" w:cs="宋体"/>
                <w:color w:val="auto"/>
                <w:szCs w:val="21"/>
              </w:rPr>
              <w:t xml:space="preserve">12、配套伺服舵机参数：</w:t>
            </w:r>
            <w:r/>
          </w:p>
          <w:p>
            <w:pPr>
              <w:rPr>
                <w:rFonts w:ascii="宋体" w:hAnsi="宋体" w:eastAsia="宋体" w:cs="宋体"/>
                <w:color w:val="auto"/>
                <w:szCs w:val="21"/>
              </w:rPr>
            </w:pPr>
            <w:r>
              <w:rPr>
                <w:rFonts w:hint="eastAsia" w:ascii="宋体" w:hAnsi="宋体" w:eastAsia="宋体" w:cs="宋体"/>
                <w:color w:val="auto"/>
                <w:szCs w:val="21"/>
              </w:rPr>
              <w:t xml:space="preserve">（1）输出最大扭矩：≥13.0 kgf.cm；</w:t>
            </w:r>
            <w:r/>
          </w:p>
          <w:p>
            <w:pPr>
              <w:rPr>
                <w:rFonts w:ascii="宋体" w:hAnsi="宋体" w:eastAsia="宋体" w:cs="宋体"/>
                <w:color w:val="auto"/>
                <w:szCs w:val="21"/>
              </w:rPr>
            </w:pPr>
            <w:r>
              <w:rPr>
                <w:rFonts w:hint="eastAsia" w:ascii="宋体" w:hAnsi="宋体" w:eastAsia="宋体" w:cs="宋体"/>
                <w:color w:val="auto"/>
                <w:szCs w:val="21"/>
              </w:rPr>
              <w:t xml:space="preserve">（2）空载最大转速：≥60 RPM；</w:t>
            </w:r>
            <w:r/>
          </w:p>
          <w:p>
            <w:pPr>
              <w:rPr>
                <w:rFonts w:ascii="宋体" w:hAnsi="宋体" w:eastAsia="宋体" w:cs="宋体"/>
                <w:color w:val="auto"/>
                <w:szCs w:val="21"/>
              </w:rPr>
            </w:pPr>
            <w:r>
              <w:rPr>
                <w:rFonts w:hint="eastAsia" w:ascii="宋体" w:hAnsi="宋体" w:eastAsia="宋体" w:cs="宋体"/>
                <w:color w:val="auto"/>
                <w:szCs w:val="21"/>
              </w:rPr>
              <w:t xml:space="preserve">（3）控制精度：空载≤1°，带载≤2°；</w:t>
            </w:r>
            <w:r/>
          </w:p>
          <w:p>
            <w:pPr>
              <w:rPr>
                <w:rFonts w:ascii="宋体" w:hAnsi="宋体" w:eastAsia="宋体" w:cs="宋体"/>
                <w:color w:val="auto"/>
                <w:szCs w:val="21"/>
              </w:rPr>
            </w:pPr>
            <w:r>
              <w:rPr>
                <w:rFonts w:hint="eastAsia" w:ascii="宋体" w:hAnsi="宋体" w:eastAsia="宋体" w:cs="宋体"/>
                <w:color w:val="auto"/>
                <w:szCs w:val="21"/>
              </w:rPr>
              <w:t xml:space="preserve">（4）角度调节范围：0～360°；</w:t>
            </w:r>
            <w:r/>
          </w:p>
          <w:p>
            <w:pPr>
              <w:rPr>
                <w:rFonts w:ascii="宋体" w:hAnsi="宋体" w:eastAsia="宋体" w:cs="宋体"/>
                <w:color w:val="auto"/>
                <w:szCs w:val="21"/>
              </w:rPr>
            </w:pPr>
            <w:r>
              <w:rPr>
                <w:rFonts w:hint="eastAsia" w:ascii="宋体" w:hAnsi="宋体" w:eastAsia="宋体" w:cs="宋体"/>
                <w:color w:val="auto"/>
                <w:szCs w:val="21"/>
              </w:rPr>
              <w:t xml:space="preserve">（5）标准工作电压：9.6V-14.4V。</w:t>
            </w:r>
            <w:r/>
          </w:p>
          <w:p>
            <w:pPr>
              <w:rPr>
                <w:rFonts w:ascii="宋体" w:hAnsi="宋体" w:eastAsia="宋体" w:cs="宋体"/>
                <w:color w:val="auto"/>
                <w:szCs w:val="21"/>
              </w:rPr>
            </w:pPr>
            <w:r>
              <w:rPr>
                <w:rFonts w:hint="eastAsia" w:ascii="宋体" w:hAnsi="宋体" w:eastAsia="宋体" w:cs="宋体"/>
                <w:color w:val="auto"/>
                <w:szCs w:val="21"/>
              </w:rPr>
              <w:t xml:space="preserve">13、配套减速直流电机参数：</w:t>
            </w:r>
            <w:r/>
          </w:p>
          <w:p>
            <w:pPr>
              <w:rPr>
                <w:rFonts w:ascii="宋体" w:hAnsi="宋体" w:eastAsia="宋体" w:cs="宋体"/>
                <w:color w:val="auto"/>
                <w:szCs w:val="21"/>
              </w:rPr>
            </w:pPr>
            <w:r>
              <w:rPr>
                <w:rFonts w:hint="eastAsia" w:ascii="宋体" w:hAnsi="宋体" w:eastAsia="宋体" w:cs="宋体"/>
                <w:color w:val="auto"/>
                <w:szCs w:val="21"/>
              </w:rPr>
              <w:t xml:space="preserve">（1）标准工作电压：9.6V-14.4V；</w:t>
            </w:r>
            <w:r/>
          </w:p>
          <w:p>
            <w:pPr>
              <w:rPr>
                <w:rFonts w:ascii="宋体" w:hAnsi="宋体" w:eastAsia="宋体" w:cs="宋体"/>
                <w:color w:val="auto"/>
                <w:szCs w:val="21"/>
              </w:rPr>
            </w:pPr>
            <w:r>
              <w:rPr>
                <w:rFonts w:hint="eastAsia" w:ascii="宋体" w:hAnsi="宋体" w:eastAsia="宋体" w:cs="宋体"/>
                <w:color w:val="auto"/>
                <w:szCs w:val="21"/>
              </w:rPr>
              <w:t xml:space="preserve">（2）最大输出扭矩：≥2.0 kgf.cm；</w:t>
            </w:r>
            <w:r/>
          </w:p>
          <w:p>
            <w:pPr>
              <w:rPr>
                <w:rFonts w:ascii="宋体" w:hAnsi="宋体" w:eastAsia="宋体" w:cs="宋体"/>
                <w:color w:val="auto"/>
                <w:szCs w:val="21"/>
              </w:rPr>
            </w:pPr>
            <w:r>
              <w:rPr>
                <w:rFonts w:hint="eastAsia" w:ascii="宋体" w:hAnsi="宋体" w:eastAsia="宋体" w:cs="宋体"/>
                <w:color w:val="auto"/>
                <w:szCs w:val="21"/>
              </w:rPr>
              <w:t xml:space="preserve">（3）空载最大转速：≥360 RPM。</w:t>
            </w:r>
            <w:r/>
          </w:p>
          <w:p>
            <w:pPr>
              <w:rPr>
                <w:rFonts w:ascii="宋体" w:hAnsi="宋体" w:eastAsia="宋体" w:cs="宋体"/>
                <w:color w:val="auto"/>
                <w:szCs w:val="21"/>
              </w:rPr>
            </w:pPr>
            <w:r>
              <w:rPr>
                <w:rFonts w:hint="eastAsia" w:ascii="宋体" w:hAnsi="宋体" w:eastAsia="宋体" w:cs="宋体"/>
                <w:color w:val="auto"/>
                <w:szCs w:val="21"/>
              </w:rPr>
              <w:t xml:space="preserve">14、摄像头模组参数：</w:t>
            </w:r>
            <w:r/>
          </w:p>
          <w:p>
            <w:pPr>
              <w:rPr>
                <w:rFonts w:ascii="宋体" w:hAnsi="宋体" w:eastAsia="宋体" w:cs="宋体"/>
                <w:color w:val="auto"/>
                <w:szCs w:val="21"/>
              </w:rPr>
            </w:pPr>
            <w:r>
              <w:rPr>
                <w:rFonts w:hint="eastAsia" w:ascii="宋体" w:hAnsi="宋体" w:eastAsia="宋体" w:cs="宋体"/>
                <w:color w:val="auto"/>
                <w:szCs w:val="21"/>
              </w:rPr>
              <w:t xml:space="preserve">（1）标准工作电压：5V；</w:t>
            </w:r>
            <w:r/>
          </w:p>
          <w:p>
            <w:pPr>
              <w:rPr>
                <w:rFonts w:ascii="宋体" w:hAnsi="宋体" w:eastAsia="宋体" w:cs="宋体"/>
                <w:color w:val="auto"/>
                <w:szCs w:val="21"/>
              </w:rPr>
            </w:pPr>
            <w:r>
              <w:rPr>
                <w:rFonts w:hint="eastAsia" w:ascii="宋体" w:hAnsi="宋体" w:eastAsia="宋体" w:cs="宋体"/>
                <w:color w:val="auto"/>
                <w:szCs w:val="21"/>
              </w:rPr>
              <w:t xml:space="preserve">（2）视场角：≥100°；</w:t>
            </w:r>
            <w:r/>
          </w:p>
          <w:p>
            <w:pPr>
              <w:rPr>
                <w:rFonts w:ascii="宋体" w:hAnsi="宋体" w:eastAsia="宋体" w:cs="宋体"/>
                <w:color w:val="auto"/>
                <w:szCs w:val="21"/>
              </w:rPr>
            </w:pPr>
            <w:r>
              <w:rPr>
                <w:rFonts w:hint="eastAsia" w:ascii="宋体" w:hAnsi="宋体" w:eastAsia="宋体" w:cs="宋体"/>
                <w:color w:val="auto"/>
                <w:szCs w:val="21"/>
              </w:rPr>
              <w:t xml:space="preserve">（3）有效像素：≥100万。</w:t>
            </w:r>
            <w:r/>
          </w:p>
          <w:p>
            <w:pPr>
              <w:rPr>
                <w:rFonts w:ascii="宋体" w:hAnsi="宋体" w:eastAsia="宋体" w:cs="宋体"/>
                <w:color w:val="auto"/>
                <w:szCs w:val="21"/>
              </w:rPr>
            </w:pPr>
            <w:r>
              <w:rPr>
                <w:rFonts w:hint="eastAsia" w:ascii="宋体" w:hAnsi="宋体" w:eastAsia="宋体" w:cs="宋体"/>
                <w:color w:val="auto"/>
                <w:szCs w:val="21"/>
              </w:rPr>
              <w:t xml:space="preserve">15、红外测距模组参数：</w:t>
            </w:r>
            <w:r/>
          </w:p>
          <w:p>
            <w:pPr>
              <w:rPr>
                <w:rFonts w:ascii="宋体" w:hAnsi="宋体" w:eastAsia="宋体" w:cs="宋体"/>
                <w:color w:val="auto"/>
                <w:szCs w:val="21"/>
              </w:rPr>
            </w:pPr>
            <w:r>
              <w:rPr>
                <w:rFonts w:hint="eastAsia" w:ascii="宋体" w:hAnsi="宋体" w:eastAsia="宋体" w:cs="宋体"/>
                <w:color w:val="auto"/>
                <w:szCs w:val="21"/>
              </w:rPr>
              <w:t xml:space="preserve">（1）标准工作电压：5V；</w:t>
            </w:r>
            <w:r/>
          </w:p>
          <w:p>
            <w:pPr>
              <w:rPr>
                <w:rFonts w:ascii="宋体" w:hAnsi="宋体" w:eastAsia="宋体" w:cs="宋体"/>
                <w:color w:val="auto"/>
                <w:szCs w:val="21"/>
              </w:rPr>
            </w:pPr>
            <w:r>
              <w:rPr>
                <w:rFonts w:hint="eastAsia" w:ascii="宋体" w:hAnsi="宋体" w:eastAsia="宋体" w:cs="宋体"/>
                <w:color w:val="auto"/>
                <w:szCs w:val="21"/>
              </w:rPr>
              <w:t xml:space="preserve">（2）有效检测距离：4cm～200cm；</w:t>
            </w:r>
            <w:r/>
          </w:p>
          <w:p>
            <w:pPr>
              <w:rPr>
                <w:rFonts w:ascii="宋体" w:hAnsi="宋体" w:eastAsia="宋体" w:cs="宋体"/>
                <w:color w:val="auto"/>
                <w:szCs w:val="21"/>
              </w:rPr>
            </w:pPr>
            <w:r>
              <w:rPr>
                <w:rFonts w:hint="eastAsia" w:ascii="宋体" w:hAnsi="宋体" w:eastAsia="宋体" w:cs="宋体"/>
                <w:color w:val="auto"/>
                <w:szCs w:val="21"/>
              </w:rPr>
              <w:t xml:space="preserve">（3）工作红外波段：900nm及以上。</w:t>
            </w:r>
            <w:r/>
          </w:p>
          <w:p>
            <w:pPr>
              <w:rPr>
                <w:rFonts w:ascii="宋体" w:hAnsi="宋体" w:eastAsia="宋体" w:cs="宋体"/>
                <w:color w:val="auto"/>
                <w:szCs w:val="21"/>
              </w:rPr>
            </w:pPr>
            <w:r>
              <w:rPr>
                <w:rFonts w:hint="eastAsia" w:ascii="宋体" w:hAnsi="宋体" w:eastAsia="宋体" w:cs="宋体"/>
                <w:color w:val="auto"/>
                <w:szCs w:val="21"/>
              </w:rPr>
              <w:t xml:space="preserve">16、蓝牙手柄参数：</w:t>
            </w:r>
            <w:r/>
          </w:p>
          <w:p>
            <w:pPr>
              <w:rPr>
                <w:rFonts w:ascii="宋体" w:hAnsi="宋体" w:eastAsia="宋体" w:cs="宋体"/>
                <w:color w:val="auto"/>
                <w:szCs w:val="21"/>
              </w:rPr>
            </w:pPr>
            <w:r>
              <w:rPr>
                <w:rFonts w:hint="eastAsia" w:ascii="宋体" w:hAnsi="宋体" w:eastAsia="宋体" w:cs="宋体"/>
                <w:color w:val="auto"/>
                <w:szCs w:val="21"/>
              </w:rPr>
              <w:t xml:space="preserve">（1）工作频率：2.400~2.4835GHz；</w:t>
            </w:r>
            <w:r/>
          </w:p>
          <w:p>
            <w:pPr>
              <w:rPr>
                <w:rFonts w:ascii="宋体" w:hAnsi="宋体" w:eastAsia="宋体" w:cs="宋体"/>
                <w:color w:val="auto"/>
                <w:szCs w:val="21"/>
              </w:rPr>
            </w:pPr>
            <w:r>
              <w:rPr>
                <w:rFonts w:hint="eastAsia" w:ascii="宋体" w:hAnsi="宋体" w:eastAsia="宋体" w:cs="宋体"/>
                <w:color w:val="auto"/>
                <w:szCs w:val="21"/>
              </w:rPr>
              <w:t xml:space="preserve">（2）蓝牙版本：≥蓝牙4.0；</w:t>
            </w:r>
            <w:r/>
          </w:p>
          <w:p>
            <w:pPr>
              <w:rPr>
                <w:rFonts w:ascii="宋体" w:hAnsi="宋体" w:eastAsia="宋体" w:cs="宋体"/>
                <w:color w:val="auto"/>
                <w:szCs w:val="21"/>
              </w:rPr>
            </w:pPr>
            <w:r>
              <w:rPr>
                <w:rFonts w:hint="eastAsia" w:ascii="宋体" w:hAnsi="宋体" w:eastAsia="宋体" w:cs="宋体"/>
                <w:color w:val="auto"/>
                <w:szCs w:val="21"/>
              </w:rPr>
              <w:t xml:space="preserve">（3）内置电池容量：≥530mAh。</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台</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18</w:t>
            </w:r>
            <w:r/>
          </w:p>
        </w:tc>
      </w:tr>
      <w:tr>
        <w:trPr>
          <w:jc w:val="center"/>
          <w:trHeight w:val="139"/>
        </w:trPr>
        <w:tc>
          <w:tcPr>
            <w:tcW w:w="434" w:type="pct"/>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rPr>
              <w:t xml:space="preserve">9</w:t>
            </w:r>
            <w:r/>
          </w:p>
        </w:tc>
        <w:tc>
          <w:tcPr>
            <w:tcW w:w="800" w:type="pct"/>
            <w:vAlign w:val="center"/>
            <w:textDirection w:val="lrTb"/>
            <w:noWrap/>
          </w:tcPr>
          <w:p>
            <w:pPr>
              <w:jc w:val="center"/>
              <w:widowControl/>
              <w:rPr>
                <w:rFonts w:ascii="宋体" w:hAnsi="宋体" w:eastAsia="宋体" w:cs="宋体"/>
                <w:color w:val="auto"/>
                <w:sz w:val="24"/>
                <w:lang w:bidi="ar"/>
              </w:rPr>
            </w:pPr>
            <w:r>
              <w:rPr>
                <w:rFonts w:hint="eastAsia" w:ascii="宋体" w:hAnsi="宋体" w:eastAsia="宋体" w:cs="宋体"/>
                <w:color w:val="auto"/>
                <w:sz w:val="24"/>
                <w:lang w:bidi="ar"/>
              </w:rPr>
              <w:t xml:space="preserve">工具套装</w:t>
            </w:r>
            <w:r/>
          </w:p>
        </w:tc>
        <w:tc>
          <w:tcPr>
            <w:tcW w:w="2792" w:type="pct"/>
            <w:vAlign w:val="center"/>
            <w:textDirection w:val="lrTb"/>
            <w:noWrap w:val="false"/>
          </w:tcPr>
          <w:p>
            <w:pPr>
              <w:rPr>
                <w:rFonts w:ascii="宋体" w:hAnsi="宋体" w:eastAsia="宋体" w:cs="宋体"/>
                <w:color w:val="auto"/>
                <w:szCs w:val="21"/>
                <w:lang w:bidi="ar"/>
              </w:rPr>
            </w:pPr>
            <w:r>
              <w:rPr>
                <w:rFonts w:hint="eastAsia" w:ascii="宋体" w:hAnsi="宋体" w:eastAsia="宋体" w:cs="宋体"/>
                <w:color w:val="auto"/>
                <w:szCs w:val="21"/>
                <w:lang w:bidi="ar"/>
              </w:rPr>
              <w:t xml:space="preserve">一、套件规格​</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件套数量：≥18 件套（含诊断设备、拆机工具、辅助配件）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适用场景：AI 服务器、智能芯片模组、AI 开发板、深度学习加速卡等硬件的电压检测、元件更换、散热器维护​</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二、核心设备参数​</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1、数字万用表​</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测量范围：直流电压 0-1000V（分 6 档：200mV/2V/20V/200V/1000V）、交流电压 0-750V（分 5 档：2V/20V/200V/750V）、电阻 0-200MΩ（分 7 档：200Ω/2kΩ/20kΩ/200kΩ/2MΩ/20MΩ/200MΩ）​</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精度：直流电压 ±0.5%（200mV 档 ±1%）、交流电压 ±1.0%（750V 档 ±1.5%）、电阻 ±0.8%（200Ω 档 ±1%）​</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功能：通断蜂鸣（阈值≤50Ω 时发声）、二极管测试（开路电压约 3V）、数据保持（按 “HOLD” 键锁定读数），适配 AI 硬件低电压元件（如芯片供电引脚 3.3V/5V）检测，避免过压损坏​</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供电：2 节 1.5V AA 电池，连续使用续航≥150 小时，低电量时屏幕显示 “LO” 提示​</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显示：1999 计数 LCD 屏，带背光功能，昏暗环境下可清晰读数​</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2、精密拆机工具组（共 10 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螺丝刀头规格：十字头（PH000/PH00/PH0/PH1，各 1 个）、一字头（SL1.5/SL2.0，各 1 个）、内六角扳手（H1.5/H2.0/H2.5，各 1 个）、Y 型头（Y0.6，1 个，适配 AI 开发板专用螺丝）</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刀头材质：CR-V 铬钒合金，硬度 HRC52-54，经淬火处理，耐磨不易滑丝，可应对 GPU 散热器高强度螺丝拆卸​</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手柄参数：长度 ：≥12cm，直径：≥ 1.8cm，采用 TPR 软胶防滑材质，握持力矩≥3N・m，长时间操作不易疲劳；尾部带旋转帽，可快速拧动螺丝​</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附加设计：刀头与手柄采用磁吸式连接，更换刀头耗时≤2 秒，避免维修时零件掉落​</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3、辅助配件（共 7 件）​</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防静电手环：有线款，阻抗 1MΩ（±10%），符合 ESD 20.20 标准，腕带调节范围 15-22cm，鳄鱼夹夹口宽度≥8mm，可牢固夹接 AI 服务器机箱接地端子，防止静电击穿芯片​</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导热硅脂：5g 装（ syringe 针管包装），导热系数 4.5W/(m・K)，耐温范围 - 50℃~200℃，适配 GPU/CPU 与散热器贴合（如 AI 服务器 CPU 散热模块更换），涂抹后可降低核心温度 5-8℃​</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主板诊断蜂鸣器：USB 接口，支持检测 AI 主板供电、内存插槽故障，通过不同蜂鸣频率判断问题（1 短：正常，3 短：内存未识别），兼容 Windows/Linux 系统，即插即用​</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螺丝收纳盒：8 格分层设计，尺寸 12×8×2cm，每格带卡扣式盖子，可分类存放 M2-M3.5 规格螺丝（含 AI 开发板常用 M2×3/M2.5×5 螺丝各 ：≥20 颗），盒身标注规格，避免混淆​</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USB 检测小灯：Type-C/USB-A 双接口，功率 1W，亮度 30lm，可检测 AI 硬件 USB 接口供电是否正常（亮灯则供电正常），灯体长度 6cm，便于深入设备内部狭小空间检测​</w:t>
            </w:r>
            <w:r/>
          </w:p>
          <w:p>
            <w:pPr>
              <w:rPr>
                <w:rFonts w:ascii="宋体" w:hAnsi="宋体" w:eastAsia="宋体" w:cs="宋体"/>
                <w:color w:val="auto"/>
                <w:szCs w:val="21"/>
                <w:lang w:bidi="ar"/>
              </w:rPr>
            </w:pPr>
            <w:r>
              <w:rPr>
                <w:rFonts w:hint="eastAsia" w:ascii="宋体" w:hAnsi="宋体" w:eastAsia="宋体" w:cs="宋体"/>
                <w:color w:val="auto"/>
                <w:szCs w:val="21"/>
                <w:lang w:bidi="ar"/>
              </w:rPr>
              <w:t xml:space="preserve">撬棒：2 个（塑料材质，厚度：≥ 0.8mm），适配 AI 开发板屏幕 / 外壳拆卸，边缘圆润无毛刺，避免刮伤 PCB 板​</w:t>
            </w:r>
            <w:r/>
          </w:p>
          <w:p>
            <w:pPr>
              <w:rPr>
                <w:rFonts w:ascii="宋体" w:hAnsi="宋体" w:eastAsia="宋体" w:cs="宋体"/>
                <w:color w:val="auto"/>
                <w:szCs w:val="21"/>
                <w:shd w:val="clear" w:color="auto" w:fill="ffffff"/>
              </w:rPr>
            </w:pPr>
            <w:r>
              <w:rPr>
                <w:rFonts w:hint="eastAsia" w:ascii="宋体" w:hAnsi="宋体" w:eastAsia="宋体" w:cs="宋体"/>
                <w:color w:val="auto"/>
                <w:szCs w:val="21"/>
                <w:lang w:bidi="ar"/>
              </w:rPr>
              <w:t xml:space="preserve">清洁棉签：≥50 支装（超细纤维头，直径 ：≥1mm），可清理 AI 芯片引脚缝隙灰尘，搭配无水酒精使用可去除氧化层</w:t>
            </w:r>
            <w:r/>
          </w:p>
        </w:tc>
        <w:tc>
          <w:tcPr>
            <w:tcW w:w="443"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rPr>
              <w:t xml:space="preserve">套</w:t>
            </w:r>
            <w:r/>
          </w:p>
        </w:tc>
        <w:tc>
          <w:tcPr>
            <w:tcW w:w="529" w:type="pct"/>
            <w:vAlign w:val="center"/>
            <w:textDirection w:val="lrTb"/>
            <w:noWrap/>
          </w:tcPr>
          <w:p>
            <w:pPr>
              <w:jc w:val="center"/>
              <w:widowControl/>
              <w:rPr>
                <w:rFonts w:ascii="宋体" w:hAnsi="宋体" w:eastAsia="宋体" w:cs="宋体"/>
                <w:color w:val="auto"/>
                <w:sz w:val="24"/>
              </w:rPr>
            </w:pPr>
            <w:r>
              <w:rPr>
                <w:rFonts w:hint="eastAsia" w:ascii="宋体" w:hAnsi="宋体" w:eastAsia="宋体" w:cs="宋体"/>
                <w:color w:val="auto"/>
                <w:sz w:val="24"/>
                <w:shd w:val="clear" w:color="auto" w:fill="ffffff"/>
              </w:rPr>
              <w:t xml:space="preserve">50</w:t>
            </w:r>
            <w:bookmarkEnd w:id="175"/>
            <w:r/>
            <w:bookmarkEnd w:id="176"/>
            <w:r/>
            <w:r/>
          </w:p>
        </w:tc>
      </w:tr>
    </w:tbl>
    <w:p>
      <w:pPr>
        <w:jc w:val="left"/>
        <w:spacing w:line="500" w:lineRule="atLeast"/>
        <w:widowControl/>
        <w:rPr>
          <w:rFonts w:ascii="宋体" w:hAnsi="宋体" w:eastAsia="宋体" w:cs="宋体"/>
          <w:b/>
          <w:color w:val="auto"/>
          <w:sz w:val="24"/>
        </w:rPr>
      </w:pPr>
      <w:r>
        <w:rPr>
          <w:rFonts w:hint="eastAsia" w:ascii="宋体" w:hAnsi="宋体" w:eastAsia="宋体" w:cs="宋体"/>
          <w:b/>
          <w:color w:val="auto"/>
          <w:sz w:val="24"/>
        </w:rPr>
        <w:t xml:space="preserve">(三</w:t>
      </w:r>
      <w:r>
        <w:rPr>
          <w:rFonts w:ascii="宋体" w:hAnsi="宋体" w:eastAsia="宋体" w:cs="宋体"/>
          <w:b/>
          <w:color w:val="auto"/>
          <w:sz w:val="24"/>
        </w:rPr>
        <w:t xml:space="preserve">)</w:t>
      </w:r>
      <w:r>
        <w:rPr>
          <w:rFonts w:hint="eastAsia"/>
          <w:b/>
          <w:color w:val="auto"/>
        </w:rPr>
        <w:t xml:space="preserve"> </w:t>
      </w:r>
      <w:r>
        <w:rPr>
          <w:rFonts w:hint="eastAsia" w:ascii="宋体" w:hAnsi="宋体" w:eastAsia="宋体" w:cs="宋体"/>
          <w:b/>
          <w:color w:val="auto"/>
          <w:sz w:val="24"/>
        </w:rPr>
        <w:t xml:space="preserve">技术参数响应与偏离</w:t>
      </w:r>
      <w:r/>
    </w:p>
    <w:p>
      <w:pPr>
        <w:pStyle w:val="665"/>
        <w:ind w:firstLine="480"/>
        <w:jc w:val="both"/>
        <w:spacing w:beforeAutospacing="0" w:afterAutospacing="0" w:line="0" w:lineRule="atLeast"/>
        <w:rPr>
          <w:rFonts w:ascii="宋体" w:hAnsi="宋体" w:eastAsia="宋体" w:cs="宋体"/>
          <w:bCs/>
          <w:color w:val="auto"/>
        </w:rPr>
      </w:pPr>
      <w:r>
        <w:rPr>
          <w:rFonts w:hint="eastAsia" w:ascii="宋体" w:hAnsi="宋体" w:eastAsia="宋体" w:cs="宋体"/>
          <w:bCs/>
          <w:color w:val="auto"/>
        </w:rPr>
        <w:t xml:space="preserve">1、本项目采购需求中“电视设备”和“LED光源的灯”，分别属于《关于调整优化节能产品、环境标志产品政府采购执行机制的通知》（财库〔2019〕9 号）规定的采购节能产品范畴，对应品目：★A020910电视设备、A020619 照明设备。投标人须提供由国家确定的节能产品认证机构出具、处于有效期内，且证书载明的产品规格型号与所投产品一致的节能产品认证证书。</w:t>
      </w:r>
      <w:r>
        <w:rPr>
          <w:rFonts w:hint="eastAsia" w:ascii="宋体" w:hAnsi="宋体" w:eastAsia="宋体" w:cs="宋体"/>
          <w:bCs/>
          <w:i/>
          <w:iCs/>
          <w:color w:val="auto"/>
        </w:rPr>
        <w:t xml:space="preserve">“电视设备”为实质性要求，不满足的投标将被视为无效</w:t>
      </w:r>
      <w:r>
        <w:rPr>
          <w:rFonts w:hint="eastAsia" w:ascii="宋体" w:hAnsi="宋体" w:eastAsia="宋体" w:cs="宋体"/>
          <w:bCs/>
          <w:color w:val="auto"/>
        </w:rPr>
        <w:t xml:space="preserve">。</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lang w:val="en"/>
        </w:rPr>
        <w:t xml:space="preserve">投标产品属于财政部、国家发改委公布的“节能产品品目清单”范围内的优先；投标产品属于财政部、生态环境部公布的“环境标志产品品目清单”范围内的优先。</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rPr>
        <w:t xml:space="preserve">2、供应商须针对本项目“技术参数要求”中未标注“</w:t>
      </w:r>
      <w:r>
        <w:rPr>
          <w:rFonts w:hint="eastAsia" w:asciiTheme="minorEastAsia" w:hAnsiTheme="minorEastAsia" w:cstheme="minorEastAsia"/>
          <w:color w:val="auto"/>
          <w:szCs w:val="21"/>
        </w:rPr>
        <w:t xml:space="preserve">★</w:t>
      </w:r>
      <w:r>
        <w:rPr>
          <w:rFonts w:hint="eastAsia" w:ascii="宋体" w:hAnsi="宋体" w:eastAsia="宋体" w:cs="宋体"/>
          <w:bCs/>
          <w:color w:val="auto"/>
          <w:sz w:val="24"/>
        </w:rPr>
        <w:t xml:space="preserve">”和“●”的所有条款，逐条编制《技术参数响应及偏离表》，负偏离项总数不得超过10条（以技术参数表中最末级序号为独立计数单位，每项计一条），若超出此限，将被视为未实质性响应采购要求，作无效响应处理。</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rPr>
        <w:t xml:space="preserve">注：1、“正偏离”指优于招标文件要求；“负偏离”指低于招标文件要求；“符合”指满足招标文件要求。投标人应在《技术参数响应及偏离表》（格式详见第六章投标文件格式）中，对招标文件采购清单内的所有技术参数逐条明确其响应状态，即明确填写“正偏离”、“负偏离”或“符合”，不得遗漏。凡未在《技术参数响应及偏离表》中声明偏离情况的技术条款，均视为“符合”。中标人须在合同履行阶段严格遵守招标文件中对应条款的约定。</w:t>
      </w:r>
      <w:r/>
    </w:p>
    <w:p>
      <w:pPr>
        <w:ind w:firstLine="480"/>
        <w:jc w:val="left"/>
        <w:spacing w:line="500" w:lineRule="atLeast"/>
        <w:widowControl/>
        <w:rPr>
          <w:rFonts w:ascii="宋体" w:hAnsi="宋体" w:eastAsia="宋体" w:cs="宋体"/>
          <w:bCs/>
          <w:color w:val="auto"/>
          <w:sz w:val="24"/>
        </w:rPr>
      </w:pPr>
      <w:r>
        <w:rPr>
          <w:rFonts w:hint="eastAsia" w:ascii="宋体" w:hAnsi="宋体" w:eastAsia="宋体" w:cs="宋体"/>
          <w:bCs/>
          <w:color w:val="auto"/>
          <w:sz w:val="24"/>
        </w:rPr>
        <w:t xml:space="preserve">2、对于非评分项的技术参数，投标人可选择在投标时提供证明材料，亦可于中标通知书发出后、正式签订合同前补充提供（补充材料须在合同签订前7个工作日内提交）。所提供的材料将作为合同履约验收的依据之一。</w:t>
      </w:r>
      <w:r/>
    </w:p>
    <w:p>
      <w:pPr>
        <w:ind w:firstLine="482"/>
        <w:jc w:val="left"/>
        <w:spacing w:line="360" w:lineRule="auto"/>
        <w:rPr>
          <w:rFonts w:ascii="宋体" w:hAnsi="宋体" w:eastAsia="宋体" w:cs="Courier New"/>
          <w:b/>
          <w:bCs/>
          <w:color w:val="auto"/>
          <w:sz w:val="24"/>
          <w:szCs w:val="21"/>
        </w:rPr>
      </w:pPr>
      <w:r>
        <w:rPr>
          <w:rFonts w:hint="eastAsia" w:ascii="宋体" w:hAnsi="宋体" w:eastAsia="宋体" w:cs="Courier New"/>
          <w:b/>
          <w:bCs/>
          <w:color w:val="auto"/>
          <w:sz w:val="24"/>
          <w:szCs w:val="21"/>
        </w:rPr>
        <w:t xml:space="preserve">三、商务条款响应及偏离</w:t>
      </w:r>
      <w:r/>
    </w:p>
    <w:p>
      <w:pPr>
        <w:ind w:firstLine="482"/>
        <w:jc w:val="left"/>
        <w:spacing w:line="360" w:lineRule="auto"/>
        <w:rPr>
          <w:rFonts w:ascii="宋体" w:hAnsi="宋体" w:eastAsia="宋体" w:cs="宋体"/>
          <w:bCs/>
          <w:i/>
          <w:iCs/>
          <w:color w:val="auto"/>
          <w:sz w:val="24"/>
          <w:u w:val="single"/>
        </w:rPr>
      </w:pPr>
      <w:r>
        <w:rPr>
          <w:rFonts w:hint="eastAsia" w:ascii="宋体" w:hAnsi="宋体" w:eastAsia="宋体" w:cs="Times New Roman"/>
          <w:b/>
          <w:i/>
          <w:iCs/>
          <w:color w:val="auto"/>
          <w:sz w:val="24"/>
          <w:szCs w:val="21"/>
          <w:u w:val="single"/>
        </w:rPr>
        <w:t xml:space="preserve">1.</w:t>
      </w:r>
      <w:r>
        <w:rPr>
          <w:rFonts w:ascii="宋体" w:hAnsi="宋体" w:eastAsia="宋体" w:cs="Times New Roman"/>
          <w:b/>
          <w:i/>
          <w:iCs/>
          <w:color w:val="auto"/>
          <w:sz w:val="24"/>
          <w:szCs w:val="21"/>
          <w:u w:val="single"/>
          <w:lang w:val="zh-CN"/>
        </w:rPr>
        <w:t xml:space="preserve">交货</w:t>
      </w:r>
      <w:r>
        <w:rPr>
          <w:rFonts w:hint="eastAsia" w:ascii="宋体" w:hAnsi="宋体" w:eastAsia="宋体" w:cs="宋体"/>
          <w:b/>
          <w:i/>
          <w:iCs/>
          <w:color w:val="auto"/>
          <w:sz w:val="24"/>
          <w:szCs w:val="21"/>
          <w:u w:val="single"/>
          <w:lang w:val="zh-CN"/>
        </w:rPr>
        <w:t xml:space="preserve">期：</w:t>
      </w:r>
      <w:r>
        <w:rPr>
          <w:rFonts w:hint="eastAsia" w:ascii="宋体" w:hAnsi="宋体" w:eastAsia="宋体" w:cs="宋体"/>
          <w:bCs/>
          <w:i/>
          <w:iCs/>
          <w:color w:val="auto"/>
          <w:sz w:val="24"/>
          <w:u w:val="single"/>
        </w:rPr>
        <w:t xml:space="preserve">必须在合同签订后60个日历天内完成到货、安装、调试工作并交付使用，中标价包括安装调试过程中产生的一切费用。</w:t>
      </w:r>
      <w:r/>
    </w:p>
    <w:p>
      <w:pPr>
        <w:ind w:firstLine="482"/>
        <w:jc w:val="left"/>
        <w:spacing w:line="360" w:lineRule="auto"/>
        <w:rPr>
          <w:rFonts w:ascii="宋体" w:hAnsi="宋体" w:eastAsia="宋体" w:cs="宋体"/>
          <w:b/>
          <w:i/>
          <w:iCs/>
          <w:color w:val="auto"/>
          <w:sz w:val="24"/>
          <w:szCs w:val="21"/>
          <w:u w:val="single"/>
          <w:lang w:val="zh-CN"/>
        </w:rPr>
      </w:pPr>
      <w:r>
        <w:rPr>
          <w:rFonts w:hint="eastAsia" w:ascii="宋体" w:hAnsi="宋体" w:eastAsia="宋体" w:cs="宋体"/>
          <w:b/>
          <w:i/>
          <w:iCs/>
          <w:color w:val="auto"/>
          <w:sz w:val="24"/>
          <w:szCs w:val="21"/>
          <w:u w:val="single"/>
        </w:rPr>
        <w:t xml:space="preserve">2.</w:t>
      </w:r>
      <w:r>
        <w:rPr>
          <w:rFonts w:hint="eastAsia" w:ascii="宋体" w:hAnsi="宋体" w:eastAsia="宋体" w:cs="宋体"/>
          <w:b/>
          <w:i/>
          <w:iCs/>
          <w:color w:val="auto"/>
          <w:sz w:val="24"/>
          <w:szCs w:val="21"/>
          <w:u w:val="single"/>
          <w:lang w:val="zh-CN"/>
        </w:rPr>
        <w:t xml:space="preserve">交货方式：</w:t>
      </w:r>
      <w:r>
        <w:rPr>
          <w:rFonts w:hint="eastAsia" w:ascii="宋体" w:hAnsi="宋体" w:eastAsia="宋体" w:cs="宋体"/>
          <w:bCs/>
          <w:i/>
          <w:iCs/>
          <w:color w:val="auto"/>
          <w:sz w:val="24"/>
          <w:szCs w:val="21"/>
          <w:u w:val="single"/>
        </w:rPr>
        <w:t xml:space="preserve">送货到招标单位指定地点并安装调试</w:t>
      </w:r>
      <w:r>
        <w:rPr>
          <w:rFonts w:hint="eastAsia" w:ascii="宋体" w:hAnsi="宋体" w:eastAsia="宋体" w:cs="宋体"/>
          <w:bCs/>
          <w:i/>
          <w:iCs/>
          <w:color w:val="auto"/>
          <w:sz w:val="24"/>
          <w:szCs w:val="21"/>
          <w:u w:val="single"/>
          <w:lang w:val="zh-CN"/>
        </w:rPr>
        <w:t xml:space="preserve">。</w:t>
      </w:r>
      <w:r/>
    </w:p>
    <w:p>
      <w:pPr>
        <w:ind w:firstLine="482"/>
        <w:jc w:val="left"/>
        <w:spacing w:line="360" w:lineRule="auto"/>
        <w:rPr>
          <w:rFonts w:ascii="宋体" w:hAnsi="宋体" w:eastAsia="宋体" w:cs="宋体"/>
          <w:bCs/>
          <w:i/>
          <w:iCs/>
          <w:color w:val="auto"/>
          <w:sz w:val="24"/>
          <w:szCs w:val="21"/>
          <w:u w:val="single"/>
        </w:rPr>
      </w:pPr>
      <w:r>
        <w:rPr>
          <w:rFonts w:hint="eastAsia" w:ascii="宋体" w:hAnsi="宋体" w:eastAsia="宋体" w:cs="宋体"/>
          <w:b/>
          <w:i/>
          <w:iCs/>
          <w:color w:val="auto"/>
          <w:sz w:val="24"/>
          <w:szCs w:val="21"/>
          <w:u w:val="single"/>
        </w:rPr>
        <w:t xml:space="preserve">3.</w:t>
      </w:r>
      <w:r>
        <w:rPr>
          <w:rFonts w:hint="eastAsia" w:ascii="宋体" w:hAnsi="宋体" w:eastAsia="宋体" w:cs="宋体"/>
          <w:b/>
          <w:i/>
          <w:iCs/>
          <w:color w:val="auto"/>
          <w:sz w:val="24"/>
          <w:szCs w:val="21"/>
          <w:u w:val="single"/>
          <w:lang w:val="zh-CN"/>
        </w:rPr>
        <w:t xml:space="preserve">交货地点：</w:t>
      </w:r>
      <w:r>
        <w:rPr>
          <w:rFonts w:hint="eastAsia" w:ascii="宋体" w:hAnsi="宋体" w:eastAsia="宋体" w:cs="宋体"/>
          <w:i/>
          <w:iCs/>
          <w:color w:val="auto"/>
          <w:sz w:val="24"/>
          <w:u w:val="single"/>
        </w:rPr>
        <w:t xml:space="preserve">甲方指定地点。</w:t>
      </w:r>
      <w:r/>
    </w:p>
    <w:p>
      <w:pPr>
        <w:ind w:firstLine="480"/>
        <w:spacing w:line="500" w:lineRule="exact"/>
        <w:rPr>
          <w:rFonts w:ascii="宋体" w:hAnsi="宋体" w:eastAsia="宋体" w:cs="宋体"/>
          <w:b/>
          <w:bCs/>
          <w:i/>
          <w:iCs/>
          <w:color w:val="auto"/>
          <w:sz w:val="24"/>
          <w:u w:val="single"/>
        </w:rPr>
      </w:pPr>
      <w:r>
        <w:rPr>
          <w:rFonts w:hint="eastAsia" w:ascii="宋体" w:hAnsi="宋体" w:eastAsia="宋体" w:cs="Times New Roman"/>
          <w:b/>
          <w:i/>
          <w:iCs/>
          <w:color w:val="auto"/>
          <w:sz w:val="24"/>
          <w:u w:val="single"/>
          <w:lang w:val="en"/>
        </w:rPr>
        <w:t xml:space="preserve">4.</w:t>
      </w:r>
      <w:r>
        <w:rPr>
          <w:rFonts w:hint="eastAsia" w:ascii="宋体" w:hAnsi="宋体" w:eastAsia="宋体" w:cs="宋体"/>
          <w:b/>
          <w:bCs/>
          <w:i/>
          <w:iCs/>
          <w:color w:val="auto"/>
          <w:sz w:val="24"/>
          <w:u w:val="single"/>
        </w:rPr>
        <w:t xml:space="preserve">付款方式：</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rPr>
        <w:t xml:space="preserve">（1）</w:t>
      </w:r>
      <w:r>
        <w:rPr>
          <w:rFonts w:hint="eastAsia" w:ascii="宋体" w:hAnsi="宋体" w:eastAsia="宋体" w:cs="Times New Roman"/>
          <w:bCs/>
          <w:i/>
          <w:iCs/>
          <w:color w:val="auto"/>
          <w:sz w:val="24"/>
          <w:szCs w:val="21"/>
          <w:u w:val="single"/>
          <w:lang w:val="zh-CN"/>
        </w:rPr>
        <w:t xml:space="preserve">预付款支付时间：自合同签订生效之日起，收到乙方发票10个工作日内，预付款支付比例：合同金额的30%。（</w:t>
      </w:r>
      <w:r>
        <w:rPr>
          <w:rFonts w:hint="eastAsia" w:ascii="宋体" w:hAnsi="宋体" w:eastAsia="宋体" w:cs="宋体"/>
          <w:i/>
          <w:iCs/>
          <w:color w:val="auto"/>
          <w:sz w:val="24"/>
          <w:u w:val="single"/>
        </w:rPr>
        <w:t xml:space="preserve">在签订合同时，供应商明确表示无需预付款或者主动要求降低预付款比例的，采购人可不适用前述规定</w:t>
      </w:r>
      <w:r>
        <w:rPr>
          <w:rFonts w:hint="eastAsia" w:ascii="宋体" w:hAnsi="宋体" w:eastAsia="宋体" w:cs="Times New Roman"/>
          <w:bCs/>
          <w:i/>
          <w:iCs/>
          <w:color w:val="auto"/>
          <w:sz w:val="24"/>
          <w:szCs w:val="21"/>
          <w:u w:val="single"/>
          <w:lang w:val="zh-CN"/>
        </w:rPr>
        <w:t xml:space="preserve">）</w:t>
      </w:r>
      <w:r/>
    </w:p>
    <w:p>
      <w:pPr>
        <w:ind w:firstLine="482"/>
        <w:jc w:val="left"/>
        <w:spacing w:line="360" w:lineRule="auto"/>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rPr>
        <w:t xml:space="preserve">（2）</w:t>
      </w:r>
      <w:r>
        <w:rPr>
          <w:rFonts w:hint="eastAsia" w:ascii="宋体" w:hAnsi="宋体" w:eastAsia="宋体" w:cs="Times New Roman"/>
          <w:bCs/>
          <w:i/>
          <w:iCs/>
          <w:color w:val="auto"/>
          <w:sz w:val="24"/>
          <w:szCs w:val="21"/>
          <w:u w:val="single"/>
          <w:lang w:val="zh-CN"/>
        </w:rPr>
        <w:t xml:space="preserve">尾款支付时间：产品验收通过,采购人收到发票后10个工作日内，尾款支付比例：合同金额的70%。</w:t>
      </w:r>
      <w:r/>
    </w:p>
    <w:p>
      <w:pPr>
        <w:ind w:firstLine="480"/>
        <w:spacing w:line="500" w:lineRule="exact"/>
        <w:rPr>
          <w:rFonts w:ascii="宋体" w:hAnsi="宋体" w:eastAsia="宋体" w:cs="宋体"/>
          <w:b/>
          <w:bCs/>
          <w:i/>
          <w:iCs/>
          <w:color w:val="auto"/>
          <w:sz w:val="24"/>
          <w:u w:val="single"/>
        </w:rPr>
      </w:pPr>
      <w:r>
        <w:rPr>
          <w:rFonts w:ascii="宋体" w:hAnsi="宋体" w:eastAsia="宋体" w:cs="宋体"/>
          <w:b/>
          <w:bCs/>
          <w:i/>
          <w:iCs/>
          <w:color w:val="auto"/>
          <w:sz w:val="24"/>
          <w:u w:val="single"/>
        </w:rPr>
        <w:t xml:space="preserve">5</w:t>
      </w:r>
      <w:r>
        <w:rPr>
          <w:rFonts w:hint="eastAsia" w:ascii="宋体" w:hAnsi="宋体" w:eastAsia="宋体" w:cs="宋体"/>
          <w:b/>
          <w:bCs/>
          <w:i/>
          <w:iCs/>
          <w:color w:val="auto"/>
          <w:sz w:val="24"/>
          <w:u w:val="single"/>
        </w:rPr>
        <w:t xml:space="preserve">.提供免费质保期：</w:t>
      </w:r>
      <w:r/>
    </w:p>
    <w:p>
      <w:pPr>
        <w:ind w:firstLine="482"/>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2"/>
        <w:jc w:val="left"/>
        <w:spacing w:line="360" w:lineRule="auto"/>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（2）在保修期内免费提供零件及服务，并应及时有效。保修期后提供长期优质服务。在使用寿命期内，中标人保证对设备的零件、易损件的供应（需附易损件清单，清单需要包含品名、规格、数量、单价）。</w:t>
      </w:r>
      <w:r/>
    </w:p>
    <w:p>
      <w:pPr>
        <w:ind w:firstLine="482"/>
        <w:jc w:val="left"/>
        <w:spacing w:line="360" w:lineRule="auto"/>
        <w:tabs>
          <w:tab w:val="left" w:pos="851" w:leader="none"/>
        </w:tabs>
        <w:rPr>
          <w:rFonts w:ascii="宋体" w:hAnsi="宋体" w:eastAsia="宋体" w:cs="Times New Roman"/>
          <w:b/>
          <w:i/>
          <w:iCs/>
          <w:color w:val="auto"/>
          <w:sz w:val="24"/>
          <w:szCs w:val="21"/>
          <w:u w:val="single"/>
          <w:lang w:val="en"/>
        </w:rPr>
      </w:pPr>
      <w:r>
        <w:rPr>
          <w:rFonts w:ascii="宋体" w:hAnsi="宋体" w:eastAsia="宋体" w:cs="Times New Roman"/>
          <w:b/>
          <w:i/>
          <w:iCs/>
          <w:color w:val="auto"/>
          <w:sz w:val="24"/>
          <w:szCs w:val="21"/>
          <w:u w:val="single"/>
          <w:lang w:val="en"/>
        </w:rPr>
        <w:t xml:space="preserve">6</w:t>
      </w:r>
      <w:r>
        <w:rPr>
          <w:rFonts w:hint="eastAsia" w:ascii="宋体" w:hAnsi="宋体" w:eastAsia="宋体" w:cs="Times New Roman"/>
          <w:b/>
          <w:bCs/>
          <w:i/>
          <w:iCs/>
          <w:color w:val="auto"/>
          <w:sz w:val="24"/>
          <w:szCs w:val="21"/>
          <w:u w:val="single"/>
          <w:lang w:val="en"/>
        </w:rPr>
        <w:t xml:space="preserve">.</w:t>
      </w:r>
      <w:r>
        <w:rPr>
          <w:rFonts w:hint="eastAsia" w:ascii="宋体" w:hAnsi="宋体" w:eastAsia="宋体" w:cs="Times New Roman"/>
          <w:b/>
          <w:i/>
          <w:iCs/>
          <w:color w:val="auto"/>
          <w:sz w:val="24"/>
          <w:szCs w:val="21"/>
          <w:u w:val="single"/>
          <w:lang w:val="en"/>
        </w:rPr>
        <w:t xml:space="preserve">质量标准：</w:t>
      </w:r>
      <w:r/>
    </w:p>
    <w:p>
      <w:pPr>
        <w:ind w:firstLine="480"/>
        <w:jc w:val="left"/>
        <w:spacing w:line="360" w:lineRule="auto"/>
        <w:tabs>
          <w:tab w:val="left" w:pos="851" w:leader="none"/>
        </w:tabs>
        <w:rPr>
          <w:rFonts w:ascii="宋体" w:hAnsi="宋体" w:eastAsia="宋体" w:cs="Times New Roman"/>
          <w:bCs/>
          <w:i/>
          <w:iCs/>
          <w:color w:val="auto"/>
          <w:sz w:val="24"/>
          <w:szCs w:val="21"/>
          <w:u w:val="single"/>
          <w:lang w:val="en"/>
        </w:rPr>
      </w:pPr>
      <w:r>
        <w:rPr>
          <w:rFonts w:hint="eastAsia" w:ascii="宋体" w:hAnsi="宋体" w:eastAsia="宋体" w:cs="Times New Roman"/>
          <w:bCs/>
          <w:i/>
          <w:iCs/>
          <w:color w:val="auto"/>
          <w:sz w:val="24"/>
          <w:szCs w:val="21"/>
          <w:u w:val="single"/>
          <w:lang w:val="en"/>
        </w:rPr>
        <w:t xml:space="preserve">符合国家现行相关规范标准及有关部门颁布的相应的最新标准，并满足招标人的使用需求。</w:t>
      </w:r>
      <w:r/>
    </w:p>
    <w:p>
      <w:pPr>
        <w:ind w:firstLine="482"/>
        <w:spacing w:line="500" w:lineRule="exact"/>
        <w:rPr>
          <w:rFonts w:ascii="宋体" w:hAnsi="宋体" w:eastAsia="宋体" w:cs="宋体"/>
          <w:b/>
          <w:i/>
          <w:iCs/>
          <w:color w:val="auto"/>
          <w:sz w:val="24"/>
          <w:szCs w:val="21"/>
          <w:u w:val="single"/>
        </w:rPr>
      </w:pPr>
      <w:r>
        <w:rPr>
          <w:rFonts w:ascii="宋体" w:hAnsi="宋体" w:eastAsia="宋体" w:cs="宋体"/>
          <w:b/>
          <w:i/>
          <w:iCs/>
          <w:color w:val="auto"/>
          <w:sz w:val="24"/>
          <w:szCs w:val="21"/>
          <w:u w:val="single"/>
        </w:rPr>
        <w:t xml:space="preserve">7</w:t>
      </w:r>
      <w:r>
        <w:rPr>
          <w:rFonts w:hint="eastAsia" w:ascii="宋体" w:hAnsi="宋体" w:eastAsia="宋体" w:cs="宋体"/>
          <w:b/>
          <w:i/>
          <w:iCs/>
          <w:color w:val="auto"/>
          <w:sz w:val="24"/>
          <w:szCs w:val="21"/>
          <w:u w:val="single"/>
        </w:rPr>
        <w:t xml:space="preserve">.货物验收要求</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宋体"/>
          <w:bCs/>
          <w:i/>
          <w:iCs/>
          <w:color w:val="auto"/>
          <w:sz w:val="24"/>
          <w:szCs w:val="21"/>
          <w:u w:val="single"/>
        </w:rPr>
        <w:t xml:space="preserve">（1）</w:t>
      </w:r>
      <w:r>
        <w:rPr>
          <w:rFonts w:ascii="宋体" w:hAnsi="宋体" w:eastAsia="宋体" w:cs="Times New Roman"/>
          <w:bCs/>
          <w:i/>
          <w:iCs/>
          <w:color w:val="auto"/>
          <w:sz w:val="24"/>
          <w:szCs w:val="21"/>
          <w:u w:val="single"/>
          <w:lang w:val="zh-CN"/>
        </w:rPr>
        <w:t xml:space="preserve">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w:t>
      </w:r>
      <w:r>
        <w:rPr>
          <w:rFonts w:hint="eastAsia" w:ascii="宋体" w:hAnsi="宋体" w:eastAsia="宋体" w:cs="Times New Roman"/>
          <w:bCs/>
          <w:i/>
          <w:iCs/>
          <w:color w:val="auto"/>
          <w:sz w:val="24"/>
          <w:szCs w:val="21"/>
          <w:u w:val="single"/>
        </w:rPr>
        <w:t xml:space="preserve">2</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乙方交货前应对产品作出全面检查和对验收文件进行整理，并列出清单，作为甲方收货验收和使用的技术条件依据，检验的结果应随货物交甲方。</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rPr>
        <w:t xml:space="preserve">（3</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甲方对乙方提供的货物在使用前进行调试时，乙方需负责安装并培训甲方的使用操作人员，并协助甲方一起调试，直到符合技术要求，甲方才做最终验收。</w:t>
      </w:r>
      <w:r/>
    </w:p>
    <w:p>
      <w:pPr>
        <w:ind w:firstLine="480"/>
        <w:spacing w:line="500" w:lineRule="exact"/>
        <w:rPr>
          <w:rFonts w:ascii="宋体" w:hAnsi="宋体" w:eastAsia="宋体" w:cs="Times New Roman"/>
          <w:bCs/>
          <w:i/>
          <w:iCs/>
          <w:color w:val="auto"/>
          <w:sz w:val="24"/>
          <w:szCs w:val="21"/>
          <w:u w:val="single"/>
          <w:lang w:val="zh-CN"/>
        </w:rPr>
      </w:pPr>
      <w:r>
        <w:rPr>
          <w:rFonts w:hint="eastAsia" w:ascii="宋体" w:hAnsi="宋体" w:eastAsia="宋体" w:cs="Times New Roman"/>
          <w:bCs/>
          <w:i/>
          <w:iCs/>
          <w:color w:val="auto"/>
          <w:sz w:val="24"/>
          <w:szCs w:val="21"/>
          <w:u w:val="single"/>
          <w:lang w:val="zh-CN"/>
        </w:rPr>
        <w:t xml:space="preserve">（</w:t>
      </w:r>
      <w:r>
        <w:rPr>
          <w:rFonts w:hint="eastAsia" w:ascii="宋体" w:hAnsi="宋体" w:eastAsia="宋体" w:cs="Times New Roman"/>
          <w:bCs/>
          <w:i/>
          <w:iCs/>
          <w:color w:val="auto"/>
          <w:sz w:val="24"/>
          <w:szCs w:val="21"/>
          <w:u w:val="single"/>
        </w:rPr>
        <w:t xml:space="preserve">4</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对技术复杂的货物，甲方可请国家认可的专业检测机构参与初步验收及最终验收，并由其出具质量检测报告。</w:t>
      </w:r>
      <w:r/>
    </w:p>
    <w:p>
      <w:pPr>
        <w:ind w:firstLine="482"/>
        <w:spacing w:line="500" w:lineRule="exact"/>
        <w:rPr>
          <w:rFonts w:ascii="宋体" w:hAnsi="宋体" w:eastAsia="宋体" w:cs="宋体"/>
          <w:bCs/>
          <w:i/>
          <w:iCs/>
          <w:color w:val="auto"/>
          <w:sz w:val="24"/>
          <w:szCs w:val="21"/>
          <w:u w:val="single"/>
        </w:rPr>
      </w:pPr>
      <w:r>
        <w:rPr>
          <w:rFonts w:hint="eastAsia" w:ascii="宋体" w:hAnsi="宋体" w:eastAsia="宋体" w:cs="Times New Roman"/>
          <w:bCs/>
          <w:i/>
          <w:iCs/>
          <w:color w:val="auto"/>
          <w:sz w:val="24"/>
          <w:szCs w:val="21"/>
          <w:u w:val="single"/>
          <w:lang w:val="zh-CN"/>
        </w:rPr>
        <w:t xml:space="preserve">（</w:t>
      </w:r>
      <w:r>
        <w:rPr>
          <w:rFonts w:hint="eastAsia" w:ascii="宋体" w:hAnsi="宋体" w:eastAsia="宋体" w:cs="Times New Roman"/>
          <w:bCs/>
          <w:i/>
          <w:iCs/>
          <w:color w:val="auto"/>
          <w:sz w:val="24"/>
          <w:szCs w:val="21"/>
          <w:u w:val="single"/>
        </w:rPr>
        <w:t xml:space="preserve">5</w:t>
      </w:r>
      <w:r>
        <w:rPr>
          <w:rFonts w:hint="eastAsia" w:ascii="宋体" w:hAnsi="宋体" w:eastAsia="宋体" w:cs="Times New Roman"/>
          <w:bCs/>
          <w:i/>
          <w:iCs/>
          <w:color w:val="auto"/>
          <w:sz w:val="24"/>
          <w:szCs w:val="21"/>
          <w:u w:val="single"/>
          <w:lang w:val="zh-CN"/>
        </w:rPr>
        <w:t xml:space="preserve">）</w:t>
      </w:r>
      <w:r>
        <w:rPr>
          <w:rFonts w:ascii="宋体" w:hAnsi="宋体" w:eastAsia="宋体" w:cs="Times New Roman"/>
          <w:bCs/>
          <w:i/>
          <w:iCs/>
          <w:color w:val="auto"/>
          <w:sz w:val="24"/>
          <w:szCs w:val="21"/>
          <w:u w:val="single"/>
          <w:lang w:val="zh-CN"/>
        </w:rPr>
        <w:t xml:space="preserve">验收时乙方必须在现场，验收完毕后作出验收结果报告；</w:t>
      </w:r>
      <w:r>
        <w:rPr>
          <w:rFonts w:hint="eastAsia" w:ascii="宋体" w:hAnsi="宋体" w:eastAsia="宋体" w:cs="Times New Roman"/>
          <w:bCs/>
          <w:i/>
          <w:iCs/>
          <w:color w:val="auto"/>
          <w:sz w:val="24"/>
          <w:szCs w:val="21"/>
          <w:u w:val="single"/>
          <w:lang w:val="zh-CN"/>
        </w:rPr>
        <w:t xml:space="preserve">采购人有权从供应商所送货物中任意抽出不同型号的产品送采购人所在地的质检部门检验，如果检验合格，检验费由采购人负担；如果检验不合格，则检验费由供应商负担</w:t>
      </w:r>
      <w:r>
        <w:rPr>
          <w:rFonts w:ascii="宋体" w:hAnsi="宋体" w:eastAsia="宋体" w:cs="Times New Roman"/>
          <w:bCs/>
          <w:i/>
          <w:iCs/>
          <w:color w:val="auto"/>
          <w:sz w:val="24"/>
          <w:szCs w:val="21"/>
          <w:u w:val="single"/>
          <w:lang w:val="zh-CN"/>
        </w:rPr>
        <w:t xml:space="preserve">。</w:t>
      </w:r>
      <w:r/>
    </w:p>
    <w:p>
      <w:pPr>
        <w:ind w:firstLine="480"/>
        <w:jc w:val="left"/>
        <w:spacing w:line="360" w:lineRule="auto"/>
        <w:tabs>
          <w:tab w:val="left" w:pos="851" w:leader="none"/>
        </w:tabs>
        <w:rPr>
          <w:rFonts w:ascii="宋体" w:hAnsi="宋体" w:eastAsia="宋体" w:cs="Times New Roman"/>
          <w:bCs/>
          <w:color w:val="auto"/>
          <w:sz w:val="24"/>
          <w:szCs w:val="21"/>
          <w:lang w:val="en"/>
        </w:rPr>
      </w:pPr>
      <w:r>
        <w:rPr>
          <w:rFonts w:ascii="宋体" w:hAnsi="宋体" w:eastAsia="宋体" w:cs="Times New Roman"/>
          <w:b/>
          <w:bCs/>
          <w:i/>
          <w:iCs/>
          <w:color w:val="auto"/>
          <w:sz w:val="24"/>
          <w:szCs w:val="21"/>
          <w:u w:val="single"/>
          <w:lang w:val="en"/>
        </w:rPr>
        <w:t xml:space="preserve">8</w:t>
      </w:r>
      <w:r>
        <w:rPr>
          <w:rFonts w:hint="eastAsia" w:ascii="宋体" w:hAnsi="宋体" w:eastAsia="宋体" w:cs="Times New Roman"/>
          <w:b/>
          <w:bCs/>
          <w:i/>
          <w:iCs/>
          <w:color w:val="auto"/>
          <w:sz w:val="24"/>
          <w:szCs w:val="21"/>
          <w:u w:val="single"/>
          <w:lang w:val="en"/>
        </w:rPr>
        <w:t xml:space="preserve">.</w:t>
      </w:r>
      <w:r>
        <w:rPr>
          <w:rFonts w:hint="eastAsia" w:ascii="宋体" w:hAnsi="宋体" w:eastAsia="宋体" w:cs="宋体"/>
          <w:bCs/>
          <w:i/>
          <w:iCs/>
          <w:color w:val="auto"/>
          <w:sz w:val="24"/>
          <w:szCs w:val="21"/>
          <w:u w:val="single"/>
        </w:rPr>
        <w:t xml:space="preserve">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w:t>
      </w:r>
      <w:r/>
    </w:p>
    <w:p>
      <w:pPr>
        <w:ind w:firstLine="482"/>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四、其他</w:t>
      </w:r>
      <w:r/>
    </w:p>
    <w:p>
      <w:pPr>
        <w:ind w:firstLine="482"/>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1.</w:t>
      </w:r>
      <w:r>
        <w:rPr>
          <w:rFonts w:hint="eastAsia" w:ascii="宋体" w:hAnsi="宋体" w:eastAsia="宋体" w:cs="Times New Roman"/>
          <w:b/>
          <w:color w:val="auto"/>
          <w:sz w:val="24"/>
          <w:szCs w:val="21"/>
        </w:rPr>
        <w:t xml:space="preserve">视频演示</w:t>
      </w:r>
      <w:r/>
    </w:p>
    <w:p>
      <w:pPr>
        <w:ind w:firstLine="480"/>
        <w:spacing w:line="360" w:lineRule="auto"/>
        <w:tabs>
          <w:tab w:val="left" w:pos="851" w:leader="none"/>
        </w:tabs>
        <w:rPr>
          <w:rFonts w:ascii="宋体" w:hAnsi="宋体" w:eastAsia="宋体" w:cs="Times New Roman"/>
          <w:b/>
          <w:color w:val="auto"/>
          <w:sz w:val="24"/>
          <w:lang w:val="en"/>
        </w:rPr>
      </w:pPr>
      <w:r>
        <w:rPr>
          <w:rFonts w:hint="eastAsia" w:ascii="宋体" w:hAnsi="宋体" w:eastAsia="宋体" w:cs="Times New Roman"/>
          <w:b/>
          <w:color w:val="auto"/>
          <w:sz w:val="24"/>
          <w:lang w:val="en"/>
        </w:rPr>
        <w:t xml:space="preserve">1）投标人应根据采购需求和本项目实际，提供相应的演示视频，至少包含以下内容:</w:t>
      </w:r>
      <w:r/>
    </w:p>
    <w:p>
      <w:pPr>
        <w:ind w:firstLine="482"/>
        <w:spacing w:line="360" w:lineRule="auto"/>
        <w:rPr>
          <w:rFonts w:ascii="宋体" w:hAnsi="宋体" w:eastAsia="宋体" w:cs="Times New Roman"/>
          <w:b/>
          <w:bCs/>
          <w:color w:val="auto"/>
          <w:sz w:val="24"/>
        </w:rPr>
      </w:pPr>
      <w:r>
        <w:rPr>
          <w:rFonts w:hint="eastAsia" w:ascii="宋体" w:hAnsi="宋体" w:eastAsia="宋体" w:cs="Times New Roman"/>
          <w:b/>
          <w:bCs/>
          <w:color w:val="auto"/>
          <w:sz w:val="24"/>
        </w:rPr>
        <w:t xml:space="preserve">演示点一：虚拟拍摄核心控制系统：</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（1）【云指纹】视频云指纹系统有效防止平台课程被翻录和盗版且可跟踪。</w:t>
      </w:r>
      <w:r>
        <w:rPr>
          <w:rFonts w:ascii="宋体" w:hAnsi="宋体" w:eastAsia="宋体" w:cs="Times New Roman"/>
          <w:color w:val="auto"/>
          <w:sz w:val="24"/>
        </w:rPr>
        <w:t xml:space="preserve"> </w:t>
      </w:r>
      <w:r/>
    </w:p>
    <w:p>
      <w:pPr>
        <w:spacing w:line="360" w:lineRule="auto"/>
        <w:widowControl/>
        <w:rPr>
          <w:rFonts w:ascii="宋体" w:hAnsi="宋体" w:eastAsia="宋体" w:cs="微软雅黑"/>
          <w:color w:val="auto"/>
          <w:sz w:val="24"/>
          <w:lang w:bidi="ar"/>
        </w:rPr>
      </w:pPr>
      <w:r>
        <w:rPr>
          <w:rFonts w:hint="eastAsia" w:ascii="宋体" w:hAnsi="宋体" w:eastAsia="宋体" w:cs="仿宋"/>
          <w:color w:val="auto"/>
          <w:sz w:val="24"/>
        </w:rPr>
        <w:t xml:space="preserve">（2）</w:t>
      </w:r>
      <w:r>
        <w:rPr>
          <w:rFonts w:hint="eastAsia" w:ascii="宋体" w:hAnsi="宋体" w:eastAsia="宋体" w:cs="微软雅黑"/>
          <w:color w:val="auto"/>
          <w:sz w:val="24"/>
          <w:lang w:bidi="ar"/>
        </w:rPr>
        <w:t xml:space="preserve">【敏感词防护】允许用户设置屏蔽或禁止敏感关键词，并可以查看屏蔽记录。</w:t>
      </w:r>
      <w:r>
        <w:rPr>
          <w:rFonts w:ascii="宋体" w:hAnsi="宋体" w:eastAsia="宋体" w:cs="微软雅黑"/>
          <w:color w:val="auto"/>
          <w:sz w:val="24"/>
          <w:lang w:bidi="ar"/>
        </w:rPr>
        <w:t xml:space="preserve"> </w:t>
      </w:r>
      <w:r/>
    </w:p>
    <w:p>
      <w:pPr>
        <w:ind w:firstLine="482"/>
        <w:spacing w:line="360" w:lineRule="auto"/>
        <w:rPr>
          <w:rFonts w:ascii="宋体" w:hAnsi="宋体" w:eastAsia="宋体" w:cs="Times New Roman"/>
          <w:b/>
          <w:bCs/>
          <w:color w:val="auto"/>
          <w:sz w:val="24"/>
        </w:rPr>
      </w:pPr>
      <w:r>
        <w:rPr>
          <w:rFonts w:hint="eastAsia" w:ascii="宋体" w:hAnsi="宋体" w:eastAsia="宋体" w:cs="Times New Roman"/>
          <w:b/>
          <w:bCs/>
          <w:color w:val="auto"/>
          <w:sz w:val="24"/>
        </w:rPr>
        <w:t xml:space="preserve">演示点二：</w:t>
      </w:r>
      <w:r>
        <w:rPr>
          <w:rFonts w:ascii="宋体" w:hAnsi="宋体" w:eastAsia="宋体" w:cs="Times New Roman"/>
          <w:b/>
          <w:bCs/>
          <w:color w:val="auto"/>
          <w:sz w:val="24"/>
        </w:rPr>
        <w:t xml:space="preserve">3D惯性动作捕捉设备</w:t>
      </w:r>
      <w:r>
        <w:rPr>
          <w:rFonts w:hint="eastAsia" w:ascii="宋体" w:hAnsi="宋体" w:eastAsia="宋体" w:cs="Times New Roman"/>
          <w:b/>
          <w:bCs/>
          <w:color w:val="auto"/>
          <w:sz w:val="24"/>
        </w:rPr>
        <w:t xml:space="preserve">：</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（1）能够实现不同角色之间走路的对比观察，由用户任意调整观察角度和动画速度，进行实时对比。</w:t>
      </w:r>
      <w:r>
        <w:rPr>
          <w:rFonts w:ascii="宋体" w:hAnsi="宋体" w:eastAsia="宋体" w:cs="Times New Roman"/>
          <w:color w:val="auto"/>
          <w:sz w:val="24"/>
        </w:rPr>
        <w:t xml:space="preserve"> </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（2）功能模块需要包含：主页模块、基础演示模块、对比演示模块、细节演示模块、练习模块等。</w:t>
      </w:r>
      <w:r>
        <w:rPr>
          <w:rFonts w:ascii="宋体" w:hAnsi="宋体" w:eastAsia="宋体" w:cs="Times New Roman"/>
          <w:color w:val="auto"/>
          <w:sz w:val="24"/>
        </w:rPr>
        <w:t xml:space="preserve"> </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（3）须角色动画必须为</w:t>
      </w:r>
      <w:r>
        <w:rPr>
          <w:rFonts w:ascii="宋体" w:hAnsi="宋体" w:eastAsia="宋体" w:cs="Times New Roman"/>
          <w:color w:val="auto"/>
          <w:sz w:val="24"/>
        </w:rPr>
        <w:t xml:space="preserve">3D方式制作</w:t>
      </w:r>
      <w:r>
        <w:rPr>
          <w:rFonts w:hint="eastAsia" w:ascii="宋体" w:hAnsi="宋体" w:eastAsia="宋体" w:cs="Times New Roman"/>
          <w:color w:val="auto"/>
          <w:sz w:val="24"/>
        </w:rPr>
        <w:t xml:space="preserve">。</w:t>
      </w:r>
      <w:r>
        <w:rPr>
          <w:rFonts w:ascii="宋体" w:hAnsi="宋体" w:eastAsia="宋体" w:cs="Times New Roman"/>
          <w:color w:val="auto"/>
          <w:sz w:val="24"/>
        </w:rPr>
        <w:t xml:space="preserve"> </w:t>
      </w:r>
      <w:r/>
    </w:p>
    <w:p>
      <w:pPr>
        <w:ind w:firstLine="482"/>
        <w:spacing w:line="360" w:lineRule="auto"/>
        <w:widowControl/>
        <w:rPr>
          <w:rFonts w:ascii="宋体" w:hAnsi="宋体" w:eastAsia="宋体" w:cs="宋体"/>
          <w:b/>
          <w:bCs/>
          <w:color w:val="auto"/>
          <w:sz w:val="24"/>
        </w:rPr>
      </w:pPr>
      <w:r>
        <w:rPr>
          <w:rFonts w:hint="eastAsia" w:ascii="宋体" w:hAnsi="宋体" w:eastAsia="宋体" w:cs="Times New Roman"/>
          <w:b/>
          <w:bCs/>
          <w:color w:val="auto"/>
          <w:sz w:val="24"/>
        </w:rPr>
        <w:t xml:space="preserve">演示点三：</w:t>
      </w:r>
      <w:r>
        <w:rPr>
          <w:rFonts w:hint="eastAsia" w:ascii="宋体" w:hAnsi="宋体" w:eastAsia="宋体" w:cs="宋体"/>
          <w:b/>
          <w:bCs/>
          <w:color w:val="auto"/>
          <w:sz w:val="24"/>
        </w:rPr>
        <w:t xml:space="preserve">人工智能硬件实训平台：</w:t>
      </w:r>
      <w:r/>
    </w:p>
    <w:p>
      <w:pPr>
        <w:spacing w:line="360" w:lineRule="auto"/>
        <w:widowControl/>
        <w:rPr>
          <w:rFonts w:ascii="宋体" w:hAnsi="宋体" w:eastAsia="宋体" w:cs="Times New Roman"/>
          <w:color w:val="auto"/>
          <w:sz w:val="24"/>
        </w:rPr>
      </w:pPr>
      <w:r>
        <w:rPr>
          <w:rFonts w:hint="eastAsia" w:ascii="宋体" w:hAnsi="宋体" w:eastAsia="宋体" w:cs="Times New Roman"/>
          <w:color w:val="auto"/>
          <w:sz w:val="24"/>
        </w:rPr>
        <w:t xml:space="preserve">（1）机柜管理：支持通过网络协议，对实训室机柜中的串口控制器进行管理，从而达到对机柜中的实训设备相联动，将各类实训设备（如路由器、交换机、防火墙、上网行为管理、网页防火墙等实训设备）进行统一的管理和控制，进行远程连接和调试。其中机柜信息包括：机柜名称、机柜</w:t>
      </w:r>
      <w:r>
        <w:rPr>
          <w:rFonts w:ascii="宋体" w:hAnsi="宋体" w:eastAsia="宋体" w:cs="Times New Roman"/>
          <w:color w:val="auto"/>
          <w:sz w:val="24"/>
        </w:rPr>
        <w:t xml:space="preserve">IP、跳板机IP、跳板机用户名、跳板机密码等信息，可进行搜索、新增、编辑、删除、批量测试连接、回收机柜、设备管理操作；机柜内设备信息包括：设备名称、设备类型、串口端口号、串口连接类型、Web端口号、Web连接类型、用户名、密码等信息，可进行搜索、新增设备、设备</w:t>
      </w:r>
      <w:r>
        <w:rPr>
          <w:rFonts w:hint="eastAsia" w:ascii="宋体" w:hAnsi="宋体" w:eastAsia="宋体" w:cs="Times New Roman"/>
          <w:color w:val="auto"/>
          <w:sz w:val="24"/>
        </w:rPr>
        <w:t xml:space="preserve">应用、调试机柜、编辑、删除操作。</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（2）分配机柜：在“信息安全产品配置“课程资源下支持对课堂下小组所使用的机柜进行统一管理，包括：机柜名称、机柜</w:t>
      </w:r>
      <w:r>
        <w:rPr>
          <w:rFonts w:ascii="宋体" w:hAnsi="宋体" w:eastAsia="宋体" w:cs="Times New Roman"/>
          <w:color w:val="auto"/>
          <w:sz w:val="24"/>
        </w:rPr>
        <w:t xml:space="preserve">IP、跳板机IP、使用组名称、使用题目名称等信息，可进行搜索、批量测试链接、分配机柜、取消分配、回收机柜等操作。使用此功能前需在“机柜管理”功能中添加数据。</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3）支持部署环境，以列表的形式显示学生姓名、班级名称、学生性别、手机号码、电子邮箱、部署情况、测评项目名称、部署状态、部署消息。提供一键部署、批量部署、自动刷新功能，可按学生测评项目进行虚拟化环境的查看及重启。</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（4）</w:t>
      </w:r>
      <w:r>
        <w:rPr>
          <w:rFonts w:ascii="宋体" w:hAnsi="宋体" w:eastAsia="宋体" w:cs="Times New Roman"/>
          <w:color w:val="auto"/>
          <w:sz w:val="24"/>
        </w:rPr>
        <w:t xml:space="preserve">对于测评过的岗位支持查看岗位报告，岗位报告包含综合技能评分、技能分析雷达图、详细技能评估列表，其中详细技能评估列表包含了技能、子技能、具体能力、评估结果。</w:t>
      </w:r>
      <w:r/>
    </w:p>
    <w:p>
      <w:pPr>
        <w:ind w:firstLine="482"/>
        <w:jc w:val="left"/>
        <w:spacing w:line="360" w:lineRule="auto"/>
        <w:widowControl/>
        <w:rPr>
          <w:rFonts w:ascii="宋体" w:hAnsi="宋体" w:eastAsia="宋体" w:cs="Times New Roman"/>
          <w:b/>
          <w:bCs/>
          <w:color w:val="auto"/>
          <w:sz w:val="24"/>
        </w:rPr>
      </w:pPr>
      <w:r>
        <w:rPr>
          <w:rFonts w:hint="eastAsia" w:ascii="宋体" w:hAnsi="宋体" w:eastAsia="宋体" w:cs="Times New Roman"/>
          <w:b/>
          <w:bCs/>
          <w:color w:val="auto"/>
          <w:sz w:val="24"/>
        </w:rPr>
        <w:t xml:space="preserve">演示点四：</w:t>
      </w:r>
      <w:r>
        <w:rPr>
          <w:rFonts w:hint="eastAsia" w:ascii="宋体" w:hAnsi="宋体" w:eastAsia="宋体" w:cs="宋体"/>
          <w:b/>
          <w:bCs/>
          <w:color w:val="auto"/>
          <w:sz w:val="24"/>
          <w:lang w:bidi="ar"/>
        </w:rPr>
        <w:t xml:space="preserve">人工智能机器人实训平台：</w:t>
      </w:r>
      <w:r/>
    </w:p>
    <w:p>
      <w:pPr>
        <w:jc w:val="left"/>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（1）</w:t>
      </w:r>
      <w:r>
        <w:rPr>
          <w:rFonts w:hint="eastAsia" w:ascii="宋体" w:hAnsi="宋体" w:eastAsia="宋体" w:cs="宋体"/>
          <w:color w:val="auto"/>
          <w:sz w:val="24"/>
          <w:lang w:bidi="ar"/>
        </w:rPr>
        <w:t xml:space="preserve">拓扑图管理：对平台内拓扑图进行统一管理。</w:t>
      </w:r>
      <w:r/>
    </w:p>
    <w:p>
      <w:pPr>
        <w:jc w:val="left"/>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（2）</w:t>
      </w:r>
      <w:r>
        <w:rPr>
          <w:rFonts w:hint="eastAsia" w:ascii="宋体" w:hAnsi="宋体" w:eastAsia="宋体" w:cs="宋体"/>
          <w:color w:val="auto"/>
          <w:sz w:val="24"/>
          <w:lang w:bidi="ar"/>
        </w:rPr>
        <w:t xml:space="preserve">虚拟仿真实验：对平台内的实验进行统一管理。</w:t>
      </w:r>
      <w:r/>
    </w:p>
    <w:p>
      <w:pP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（3）</w:t>
      </w:r>
      <w:r>
        <w:rPr>
          <w:rFonts w:ascii="宋体" w:hAnsi="宋体" w:eastAsia="宋体" w:cs="Times New Roman"/>
          <w:color w:val="auto"/>
          <w:sz w:val="24"/>
        </w:rPr>
        <w:t xml:space="preserve">平台须满足同时不少于40人在线进行产品配置相关实验，在实验中每人能够操作的虚拟化设备不少于5台。平台整体须满足同时在线使用的虚拟化设备数量不少于250台。</w:t>
      </w:r>
      <w:r/>
    </w:p>
    <w:p>
      <w:pPr>
        <w:ind w:firstLine="482"/>
        <w:spacing w:line="360" w:lineRule="auto"/>
        <w:rPr>
          <w:rFonts w:ascii="宋体" w:hAnsi="宋体" w:eastAsia="宋体" w:cs="Times New Roman"/>
          <w:b/>
          <w:bCs/>
          <w:color w:val="auto"/>
          <w:sz w:val="24"/>
        </w:rPr>
      </w:pPr>
      <w:r>
        <w:rPr>
          <w:rFonts w:hint="eastAsia" w:ascii="宋体" w:hAnsi="宋体" w:eastAsia="宋体" w:cs="Times New Roman"/>
          <w:b/>
          <w:bCs/>
          <w:color w:val="auto"/>
          <w:sz w:val="24"/>
        </w:rPr>
        <w:t xml:space="preserve">演示点五：人工智能内容生成教学资源平台：</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（1）</w:t>
      </w:r>
      <w:r>
        <w:rPr>
          <w:rFonts w:hint="eastAsia" w:ascii="宋体" w:hAnsi="宋体" w:eastAsia="宋体" w:cs="宋体"/>
          <w:color w:val="auto"/>
          <w:sz w:val="24"/>
          <w:lang w:bidi="ar"/>
        </w:rPr>
        <w:t xml:space="preserve">由文字剧本生成主体库：</w:t>
      </w:r>
      <w:r>
        <w:rPr>
          <w:rFonts w:ascii="宋体" w:hAnsi="宋体" w:eastAsia="宋体" w:cs="宋体"/>
          <w:color w:val="auto"/>
          <w:sz w:val="24"/>
          <w:lang w:bidi="ar"/>
        </w:rPr>
        <w:t xml:space="preserve">1.</w:t>
      </w:r>
      <w:r>
        <w:rPr>
          <w:rFonts w:hint="eastAsia" w:ascii="宋体" w:hAnsi="宋体" w:eastAsia="宋体" w:cs="宋体"/>
          <w:color w:val="auto"/>
          <w:sz w:val="24"/>
          <w:lang w:bidi="ar"/>
        </w:rPr>
        <w:t xml:space="preserve">AI主体库生成，2</w:t>
      </w:r>
      <w:r>
        <w:rPr>
          <w:rFonts w:ascii="宋体" w:hAnsi="宋体" w:eastAsia="宋体" w:cs="宋体"/>
          <w:color w:val="auto"/>
          <w:sz w:val="24"/>
          <w:lang w:bidi="ar"/>
        </w:rPr>
        <w:t xml:space="preserve">.</w:t>
      </w:r>
      <w:r>
        <w:rPr>
          <w:rFonts w:hint="eastAsia" w:ascii="宋体" w:hAnsi="宋体" w:eastAsia="宋体" w:cs="宋体"/>
          <w:color w:val="auto"/>
          <w:sz w:val="24"/>
          <w:lang w:bidi="ar"/>
        </w:rPr>
        <w:t xml:space="preserve">支持由主体形象创建衍生形象。</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（2）</w:t>
      </w:r>
      <w:r>
        <w:rPr>
          <w:rFonts w:hint="eastAsia" w:ascii="宋体" w:hAnsi="宋体" w:eastAsia="宋体" w:cs="宋体"/>
          <w:color w:val="auto"/>
          <w:sz w:val="24"/>
          <w:lang w:bidi="ar"/>
        </w:rPr>
        <w:t xml:space="preserve">由分镜脚本生成分镜角色配音及旁白：AI生成角色配音及旁白，配音模板不少于20种声。音，支持自定义声音模板和文字描述控制音色。</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（3）</w:t>
      </w:r>
      <w:r>
        <w:rPr>
          <w:rFonts w:hint="eastAsia" w:ascii="宋体" w:hAnsi="宋体" w:eastAsia="宋体" w:cs="宋体"/>
          <w:color w:val="auto"/>
          <w:sz w:val="24"/>
          <w:lang w:bidi="ar"/>
        </w:rPr>
        <w:t xml:space="preserve">分镜脚本一键导出：分镜脚本导出excel文件。</w:t>
      </w:r>
      <w:r/>
    </w:p>
    <w:p>
      <w:pPr>
        <w:spacing w:line="360" w:lineRule="auto"/>
        <w:rPr>
          <w:rFonts w:ascii="宋体" w:hAnsi="宋体" w:eastAsia="宋体" w:cs="宋体"/>
          <w:color w:val="auto"/>
          <w:sz w:val="24"/>
          <w:lang w:bidi="ar"/>
        </w:rPr>
      </w:pPr>
      <w:r>
        <w:rPr>
          <w:rFonts w:hint="eastAsia" w:ascii="宋体" w:hAnsi="宋体" w:eastAsia="宋体" w:cs="宋体"/>
          <w:color w:val="auto"/>
          <w:sz w:val="24"/>
        </w:rPr>
        <w:t xml:space="preserve">（4）</w:t>
      </w:r>
      <w:r>
        <w:rPr>
          <w:rFonts w:hint="eastAsia" w:ascii="宋体" w:hAnsi="宋体" w:eastAsia="宋体" w:cs="宋体"/>
          <w:color w:val="auto"/>
          <w:sz w:val="24"/>
          <w:lang w:bidi="ar"/>
        </w:rPr>
        <w:t xml:space="preserve">支持本地算力调用，诗词多模态模型调用。</w:t>
      </w:r>
      <w:r/>
    </w:p>
    <w:p>
      <w:pPr>
        <w:ind w:firstLine="480"/>
        <w:spacing w:line="500" w:lineRule="exact"/>
        <w:tabs>
          <w:tab w:val="left" w:pos="851" w:leader="none"/>
        </w:tabs>
        <w:rPr>
          <w:rFonts w:ascii="宋体" w:hAnsi="宋体" w:eastAsia="宋体" w:cs="Times New Roman"/>
          <w:b/>
          <w:color w:val="auto"/>
          <w:sz w:val="24"/>
          <w:szCs w:val="21"/>
          <w:lang w:val="en"/>
        </w:rPr>
      </w:pPr>
      <w:r>
        <w:rPr>
          <w:rFonts w:hint="eastAsia" w:ascii="宋体" w:hAnsi="宋体" w:eastAsia="宋体" w:cs="Times New Roman"/>
          <w:b/>
          <w:color w:val="auto"/>
          <w:sz w:val="24"/>
          <w:szCs w:val="21"/>
          <w:lang w:val="en"/>
        </w:rPr>
        <w:t xml:space="preserve">2）演示要求：演示方式 视频演示</w:t>
      </w:r>
      <w:r/>
    </w:p>
    <w:p>
      <w:pPr>
        <w:ind w:firstLine="360"/>
        <w:jc w:val="left"/>
        <w:spacing w:line="360" w:lineRule="auto"/>
        <w:rPr>
          <w:rFonts w:ascii="宋体" w:hAnsi="宋体" w:eastAsia="宋体" w:cs="Times New Roman"/>
          <w:b/>
          <w:color w:val="auto"/>
          <w:sz w:val="24"/>
          <w:szCs w:val="21"/>
        </w:rPr>
      </w:pPr>
      <w:r>
        <w:rPr>
          <w:rFonts w:hint="eastAsia" w:ascii="宋体" w:hAnsi="宋体" w:eastAsia="宋体" w:cs="Times New Roman"/>
          <w:bCs/>
          <w:color w:val="auto"/>
          <w:sz w:val="24"/>
          <w:szCs w:val="21"/>
          <w:lang w:val="en"/>
        </w:rPr>
        <w:t xml:space="preserve">1.供应商根据需按照招标文件规定的演示内容制作演示视频文件，演示视频中的演示形式须是目前正在运行的真实环境或模拟环境，演示时间不超过</w:t>
      </w:r>
      <w:r>
        <w:rPr>
          <w:rFonts w:hint="eastAsia" w:ascii="宋体" w:hAnsi="宋体" w:eastAsia="宋体" w:cs="Times New Roman"/>
          <w:bCs/>
          <w:color w:val="auto"/>
          <w:sz w:val="24"/>
          <w:szCs w:val="21"/>
        </w:rPr>
        <w:t xml:space="preserve">15</w:t>
      </w:r>
      <w:r>
        <w:rPr>
          <w:rFonts w:hint="eastAsia" w:ascii="宋体" w:hAnsi="宋体" w:eastAsia="宋体" w:cs="Times New Roman"/>
          <w:bCs/>
          <w:color w:val="auto"/>
          <w:sz w:val="24"/>
          <w:szCs w:val="21"/>
          <w:lang w:val="en"/>
        </w:rPr>
        <w:t xml:space="preserve">分钟，需在“苏采云”系统演示文件入口按系统要求上传演示文件，文件上传方式见《苏采云系统供应商操作手册》规定，上传的演示视频将作为投标文件的组成部分。2.单个视频附件压缩包大小不得超过50M，整体附件压缩包不得超过300M，视频文件格式建议采用MP4或AVI格式。3.演示内容确保真实且作为项目履约验收的重要参考依据。因供应商上传文件本身损坏等自身原因导致演示资料无法正常读取的视为无效演示，本项不得分，由供应商自行承担责任。</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2.</w:t>
      </w:r>
      <w:r>
        <w:rPr>
          <w:rFonts w:hint="eastAsia" w:ascii="宋体" w:hAnsi="宋体" w:eastAsia="宋体" w:cs="Times New Roman"/>
          <w:b/>
          <w:color w:val="auto"/>
          <w:sz w:val="24"/>
          <w:szCs w:val="21"/>
        </w:rPr>
        <w:t xml:space="preserve"> 技术方案</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投标人应根据招标文件要求及本项目特点针对项目需求理解及综合分析。方案应做到完整全面、科学可行，并有针对性。至少</w:t>
      </w:r>
      <w:r>
        <w:rPr>
          <w:rFonts w:hint="eastAsia" w:ascii="宋体" w:hAnsi="宋体" w:eastAsia="宋体" w:cs="宋体"/>
          <w:color w:val="auto"/>
          <w:sz w:val="24"/>
          <w:lang w:val="zh-CN"/>
        </w:rPr>
        <w:t xml:space="preserve">包括以下各项</w:t>
      </w:r>
      <w:r>
        <w:rPr>
          <w:rFonts w:hint="eastAsia" w:ascii="宋体" w:hAnsi="宋体" w:eastAsia="宋体" w:cs="宋体"/>
          <w:color w:val="auto"/>
          <w:sz w:val="24"/>
        </w:rPr>
        <w:t xml:space="preserve">：</w:t>
      </w:r>
      <w:r/>
    </w:p>
    <w:p>
      <w:pPr>
        <w:ind w:left="360"/>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1）</w:t>
      </w:r>
      <w:r>
        <w:rPr>
          <w:rFonts w:ascii="宋体" w:hAnsi="宋体" w:eastAsia="宋体" w:cs="宋体"/>
          <w:b/>
          <w:bCs/>
          <w:color w:val="auto"/>
          <w:sz w:val="24"/>
        </w:rPr>
        <w:t xml:space="preserve">安装前的现场勘察与环境准备与前期沟通协调</w:t>
      </w:r>
      <w:r/>
    </w:p>
    <w:p>
      <w:pPr>
        <w:ind w:firstLine="480"/>
        <w:jc w:val="left"/>
        <w:spacing w:line="360" w:lineRule="auto"/>
        <w:rPr>
          <w:rFonts w:ascii="Segoe UI" w:hAnsi="Segoe UI" w:cs="Segoe UI"/>
          <w:color w:val="auto"/>
          <w:sz w:val="24"/>
          <w:shd w:val="clear" w:color="auto" w:fill="ffffff"/>
        </w:rPr>
      </w:pPr>
      <w:r>
        <w:rPr>
          <w:rFonts w:hint="eastAsia" w:ascii="宋体" w:hAnsi="宋体" w:eastAsia="宋体" w:cs="宋体"/>
          <w:color w:val="auto"/>
          <w:sz w:val="24"/>
        </w:rPr>
        <w:t xml:space="preserve">①安装前须派技术人员赴项目实施现场进行实地勘察，对实训室现状、建筑结构、供电容量、网络布线、空调通风、消防设施等环境条件进行全面摸底；②须对教室供电系统进行检测，确认电压稳定性及接地状况，确保满足各设备用电负荷要求（人工智能算力设备、灯光系统等大功率设备须单独确认供电线路承载能力）；③须对各实训室温湿度、防静电、防尘、光照等环境参数进行评估，提前排除可能影响设备正常运行的环境隐患；④</w:t>
      </w:r>
      <w:r>
        <w:rPr>
          <w:rFonts w:ascii="宋体" w:hAnsi="宋体" w:eastAsia="宋体" w:cs="宋体"/>
          <w:color w:val="auto"/>
          <w:sz w:val="24"/>
        </w:rPr>
        <w:t xml:space="preserve">须与采购人进行安装前的技术交底会，明确安装时间窗口、施工区域划分、人员进出管理、物资堆放场地等事宜</w:t>
      </w:r>
      <w:r/>
    </w:p>
    <w:p>
      <w:pPr>
        <w:ind w:left="360"/>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2）</w:t>
      </w:r>
      <w:r>
        <w:rPr>
          <w:rFonts w:ascii="宋体" w:hAnsi="宋体" w:eastAsia="宋体" w:cs="宋体"/>
          <w:b/>
          <w:bCs/>
          <w:color w:val="auto"/>
          <w:sz w:val="24"/>
        </w:rPr>
        <w:t xml:space="preserve">安装技术方案</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①</w:t>
      </w:r>
      <w:r>
        <w:rPr>
          <w:rStyle w:val="670"/>
          <w:rFonts w:ascii="Segoe UI" w:hAnsi="Segoe UI" w:cs="Segoe UI"/>
          <w:b w:val="0"/>
          <w:bCs w:val="0"/>
          <w:color w:val="auto"/>
          <w:sz w:val="24"/>
          <w:shd w:val="clear" w:color="auto" w:fill="ffffff"/>
        </w:rPr>
        <w:t xml:space="preserve">各实训室设备安装技术</w:t>
      </w:r>
      <w:r>
        <w:rPr>
          <w:rStyle w:val="670"/>
          <w:rFonts w:hint="eastAsia" w:ascii="Segoe UI" w:hAnsi="Segoe UI" w:cs="Segoe UI"/>
          <w:b w:val="0"/>
          <w:bCs w:val="0"/>
          <w:color w:val="auto"/>
          <w:sz w:val="24"/>
          <w:shd w:val="clear" w:color="auto" w:fill="ffffff"/>
        </w:rPr>
        <w:t xml:space="preserve">要求：</w:t>
      </w:r>
      <w:r>
        <w:rPr>
          <w:rStyle w:val="670"/>
          <w:rFonts w:ascii="Segoe UI" w:hAnsi="Segoe UI" w:cs="Segoe UI"/>
          <w:b w:val="0"/>
          <w:bCs w:val="0"/>
          <w:color w:val="auto"/>
          <w:sz w:val="24"/>
          <w:shd w:val="clear" w:color="auto" w:fill="ffffff"/>
        </w:rPr>
        <w:t xml:space="preserve">数字音频录编实训室音频设备安装</w:t>
      </w:r>
      <w:r>
        <w:rPr>
          <w:rStyle w:val="670"/>
          <w:rFonts w:hint="eastAsia" w:ascii="Segoe UI" w:hAnsi="Segoe UI" w:cs="Segoe UI"/>
          <w:b w:val="0"/>
          <w:bCs w:val="0"/>
          <w:color w:val="auto"/>
          <w:sz w:val="24"/>
          <w:shd w:val="clear" w:color="auto" w:fill="ffffff"/>
        </w:rPr>
        <w:t xml:space="preserve">、</w:t>
      </w:r>
      <w:r>
        <w:rPr>
          <w:rStyle w:val="670"/>
          <w:rFonts w:ascii="Segoe UI" w:hAnsi="Segoe UI" w:cs="Segoe UI"/>
          <w:b w:val="0"/>
          <w:bCs w:val="0"/>
          <w:color w:val="auto"/>
          <w:sz w:val="24"/>
          <w:shd w:val="clear" w:color="auto" w:fill="ffffff"/>
        </w:rPr>
        <w:t xml:space="preserve">数字绘画实训室设备安装</w:t>
      </w:r>
      <w:r>
        <w:rPr>
          <w:rStyle w:val="670"/>
          <w:rFonts w:hint="eastAsia" w:ascii="Segoe UI" w:hAnsi="Segoe UI" w:cs="Segoe UI"/>
          <w:b w:val="0"/>
          <w:bCs w:val="0"/>
          <w:color w:val="auto"/>
          <w:sz w:val="24"/>
          <w:shd w:val="clear" w:color="auto" w:fill="ffffff"/>
        </w:rPr>
        <w:t xml:space="preserve">、</w:t>
      </w:r>
      <w:r>
        <w:rPr>
          <w:rStyle w:val="670"/>
          <w:rFonts w:ascii="Segoe UI" w:hAnsi="Segoe UI" w:cs="Segoe UI"/>
          <w:b w:val="0"/>
          <w:bCs w:val="0"/>
          <w:color w:val="auto"/>
          <w:sz w:val="24"/>
          <w:shd w:val="clear" w:color="auto" w:fill="ffffff"/>
        </w:rPr>
        <w:t xml:space="preserve">虚拟制片实验室设备安装</w:t>
      </w:r>
      <w:r>
        <w:rPr>
          <w:rStyle w:val="670"/>
          <w:rFonts w:hint="eastAsia" w:ascii="Segoe UI" w:hAnsi="Segoe UI" w:cs="Segoe UI"/>
          <w:b w:val="0"/>
          <w:bCs w:val="0"/>
          <w:color w:val="auto"/>
          <w:sz w:val="24"/>
          <w:shd w:val="clear" w:color="auto" w:fill="ffffff"/>
        </w:rPr>
        <w:t xml:space="preserve">、</w:t>
      </w:r>
      <w:r>
        <w:rPr>
          <w:rStyle w:val="670"/>
          <w:rFonts w:ascii="Segoe UI" w:hAnsi="Segoe UI" w:cs="Segoe UI"/>
          <w:b w:val="0"/>
          <w:bCs w:val="0"/>
          <w:color w:val="auto"/>
          <w:sz w:val="24"/>
          <w:shd w:val="clear" w:color="auto" w:fill="ffffff"/>
        </w:rPr>
        <w:t xml:space="preserve">人工智能实训室设备安装</w:t>
      </w:r>
      <w:r>
        <w:rPr>
          <w:rStyle w:val="670"/>
          <w:rFonts w:hint="eastAsia" w:ascii="Segoe UI" w:hAnsi="Segoe UI" w:cs="Segoe UI"/>
          <w:b w:val="0"/>
          <w:bCs w:val="0"/>
          <w:color w:val="auto"/>
          <w:sz w:val="24"/>
          <w:shd w:val="clear" w:color="auto" w:fill="ffffff"/>
        </w:rPr>
        <w:t xml:space="preserve">；</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音频控制设备安装：控制台面、专业输入处理设备、音频工作站主机等须按功能分区合理摆放在录音棚控制桌内，安装位置符合人体工学要求；设备间连接须使用高品质音频专用线缆，信号路由清晰、标识明确。</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音频输出设备安装：监听音箱须按标准监听三角形摆位（与聆听位置呈60°夹角），高度以高音单元与耳朵齐平为原则，可通过音箱支架或垫材调整；超低音音箱放置于房间前部居中或偏侧位置，须进行相位校准；录音师监听耳机及监听耳机须配备专用挂架或收纳位。</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音频录入设备安装：话筒放大器、母带压缩处理器、均衡处理器等模块须按顺序规范插入机架插槽，确保与背板可靠连接；ADDA转换器须就近连接音频工作站，时钟同步信号须正确路由；各类话筒须配备对应防震架和防喷罩，话筒支架摆放稳定。</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音频工作台及声学处理：录音棚控制桌须按设备尺寸精确安装，预留散热空间和线缆管理空间；房间声学吸声板套装须按声学设计方案精确安装于墙面指定位置，确保覆盖面积和安装角度符合设计要求；隔音静音舱须按模块化组装流程完成拼装，密封胶条须连续完整，舱门开合灵活、密闭性良好。</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综合布线要求：模拟音频信号线（话筒线、线路线）须与电源线、数字信号线分开敷设，避免平行走线，交叉时须垂直通过；所有音频线缆须采用平衡式连接，屏蔽层单端接地；线缆两端须使用线号管或标签标识，与系统图一一对应；线缆须穿镀锌金属管保护，管径≥30mm（主线槽）和≥50mm（分支），管口须做防护处理，防止线缆磨损。</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(2) 数字绘画实训室设备安装方案</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数字绘画输入设备安装：数位板按标准工位布局摆放在实训桌上，USB有线连接或蓝牙配对须在教师端统一完成；每套设备须逐一与教学电脑配对测试，确保压感识别和快捷键功能正常。</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AI图视频本地部署算力服务器安装：20张算力卡须逐张插入服务器主板PCI-E 5.0插槽，安装顺序合理、金手指接触良好；须额外配置符合供电要求的机箱电源（整机≥800W），散热风道须通畅，风扇工作正常；安装完成后须对所有算力卡进行压力测试，确认显存频率和温度在正常范围内。</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大幅面打印设备安装：设备须安放在平整坚固的地面上，四角水平；供墨系统按水性/油性/热升华不同墨水类型分别安装，管路须无折弯、无泄漏；自动收料系统和平台吸风系统须进行功能确认。</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综合布线要求：算力服务器须单独敷设电源线路，不与普通设备共用插座回路，电源线径须满足安全载流量要求；数据网络线缆须使用六类及以上非屏蔽双绞线，端接符合T568B标准；USB数据线须使用带磁环屏蔽型，长度不超过5米，确保信号完整性；所有电源线缆须穿镀锌金属管或封闭式金属线槽敷设，强弱电分开布置，间距不小于300mm。</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(3) 虚拟制片实验室设备安装方案</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影像采集设备安装：AI自动跟踪4K摄像机须安装在三脚架或专用支架上，位置根据拍摄区域确定，确保拍摄范围覆盖整个虚拟制作区；12G-SDI、HDMI等视频线缆须使用专用高速线，长度匹配走线路由，避免信号衰减；摄像机供电统一规划，POE++供电摄像机仅需接入网线。</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虚拟拍摄核心控制系统安装：XR新媒体数据计算服务器和虚拟制片UNREAL背景资源平台服务器须置于专用机柜内，排列整齐、散热空间充足；4K现场导控台、摄像机控制盘安装于控制操作台上，显示器支架固定牢固；虚拟演播室软件及4k虚拟拍摄系统软件须在服务器上完成安装部署，授权许可逐一激活验证。</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3D惯性动作捕捉设备安装：28个传感器按照全身捕捉模式穿戴方案进行编号分配，须在干净平整的地面上完成校准；配套3D角色动画虚拟仿真教学系统须完成部署，单机可执行文件和网页版本均须可正常运行。</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灯光系统安装：灯具固定轨（铝合金型材≥60×80×4mm）须牢固吊装于天花，膨胀螺栓间距≤600mm；恒力吊杆按灯具分布图定点安装，单个吊挂重量≥10kg；LED平板灯（≥672颗灯珠）和聚光灯按布光图安装在轨道上，灯具数量位置与设计图一致；调光台安装于操作台指定位置。</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抠像绿箱系统集成安装：绿箱按U型结构现场制作，轻钢龙骨+木工板基层施工，弧度处精确放样保证匀整无直角，专业抠像漆喷涂均匀无漏涂，地面铺抠像地板胶；接缝处须做无缝处理，确保抠像无阴影和接缝穿帮。</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综合布线要求：12G-SDI视频线缆须使用优质双层屏蔽同轴电缆，线芯为镀锡铜，长度按实际敷设路径预留适当余量；HDMI光纤线或高速HDMI铜缆（≥2.0版本）须满足4K 60P传输要求，总用量≥520米；所有视频线缆与电源线分开敷设，间距≥300mm；网线须使用六类非屏蔽双绞线，不少于1箱；DMX512灯光控制线须使用专用五芯屏蔽线，信号接插件为五芯卡侬头；跳线架、理线器须安装整齐，线缆标识清晰；控制操作台至各设备的信号控制线（≥20米）和电源线（≥20米）须穿管敷设。</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(4) 人工智能实训室设备安装方案</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智能机器人安装：2台智能机器人开箱后完成主体组装，关节模块逐一检查自由度；电池首次充电须按规范完成，OTA升级至最新固件版本；配套SDK及开发环境须在教师机部署完成。</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人工智能可编程机器人：人形机器人须逐一开箱检查配件完整性；每台机器人与教学App配对连接，验证语音交互、视觉识别、动作控制等功能；配套电子实训指导书内容须完整可访问。</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人工智能硬件实训平台部署：平台软件须在服务器上完成部署，包含系统管理（专业/班级/教师/学生管理）、设备管理、集群管理、课堂中心、资源概览、技能图谱等模块；理实一体化考试模块、开放式资源库、岗位训练营等子模块须全部激活并测试。</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智能无人驾驶终端安装：智能小车须完成3D打印结构件组装，AI主机（国产芯片，≥8Tops算力）须正确安装并预装系统；广角摄像头与AI主机通讯稳定；配套跑道地图须在指定区域铺设完成（有效尺寸≥2.8m×2.8m）。</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智能搬运移动终端安装：完成机械结构件组装，多功能控制器安装正确；配套3D动态装配图纸须可在电脑上查看；图形化编程环境须部署完成，验证人脸识别、颜色识别等多任务同步运行能力。</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综合布线要求：机器人工位须配置充足电源插座（每个工位不少于2个五孔插座），电源线径≥2.5mm²；每个工位须布放六类网线，连接至接入交换机，网络跳线长度合理、标识清晰；无人驾驶小车跑道区域须独立供电，避免与教学电脑共用回路产生干扰；所有弱电线缆须穿镀锌金属管保护，强电插座安装高度距地≥300mm，强弱电面板间距≥200mm。</w:t>
      </w:r>
      <w:r/>
    </w:p>
    <w:p>
      <w:pPr>
        <w:ind w:firstLine="48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②设备安装的技术规范与标准：所有设备安装须严格执行国家现行相关标准规范，至少包含：《智能建筑设计标准》GB/T 50314、《综合布线系统工程设计规范》GB 50311、《数据中心设计规范》GB 50174等；</w:t>
      </w:r>
      <w:r/>
    </w:p>
    <w:p>
      <w:pPr>
        <w:ind w:left="360"/>
        <w:jc w:val="left"/>
        <w:spacing w:line="360" w:lineRule="auto"/>
        <w:rPr>
          <w:rFonts w:ascii="宋体" w:hAnsi="宋体" w:eastAsia="宋体" w:cs="宋体"/>
          <w:b/>
          <w:bCs/>
          <w:color w:val="auto"/>
          <w:sz w:val="24"/>
        </w:rPr>
      </w:pPr>
      <w:r>
        <w:rPr>
          <w:rFonts w:ascii="宋体" w:hAnsi="宋体" w:eastAsia="宋体" w:cs="宋体"/>
          <w:b/>
          <w:bCs/>
          <w:color w:val="auto"/>
          <w:sz w:val="24"/>
        </w:rPr>
        <w:t xml:space="preserve">3</w:t>
      </w:r>
      <w:r>
        <w:rPr>
          <w:rFonts w:hint="eastAsia" w:ascii="宋体" w:hAnsi="宋体" w:eastAsia="宋体" w:cs="宋体"/>
          <w:b/>
          <w:bCs/>
          <w:color w:val="auto"/>
          <w:sz w:val="24"/>
        </w:rPr>
        <w:t xml:space="preserve">）调试技术方案</w:t>
      </w:r>
      <w:r/>
    </w:p>
    <w:p>
      <w:pPr>
        <w:ind w:firstLine="36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①单系统独立联调：各实训室设备安装及线缆连接完成后，先进行单系统独立通电调试，确认各设备基本功能正常；</w:t>
      </w:r>
      <w:r/>
    </w:p>
    <w:p>
      <w:pPr>
        <w:ind w:firstLine="36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②分系统联调：按音频系统、视频系统、灯光系统、网络系统、控制系统的划分，分别完成各系统内部所有设备的协同工作调试；</w:t>
      </w:r>
      <w:r/>
    </w:p>
    <w:p>
      <w:pPr>
        <w:ind w:firstLine="36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③跨系统集成联调：虚拟制片实验室：摄像机画面→导控台切换→虚拟场景合成→记录/推流全链路测试；数字音频录编实训室：话筒→话放→ADDA→音频工作站→监听回放全链路测试；人工智能实训室：教师端→平台服务器→学生终端（机器人/小车/开发板）全链路通信与控制测试；</w:t>
      </w:r>
      <w:r/>
    </w:p>
    <w:p>
      <w:pPr>
        <w:ind w:firstLine="36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④全系统联合调试：按照实际教学和实训场景，模拟完整工作流程（如节目录制、AI模型训练、虚拟拍摄制作等），验证各子系统协同工作的稳定性；</w:t>
      </w:r>
      <w:r/>
    </w:p>
    <w:p>
      <w:pPr>
        <w:ind w:firstLine="36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⑤满载压力测试：模拟最大并发使用场景（如AI实训室40人同时在线实验、虚拟拍摄系统全负荷运行），验证系统在极限条件下的稳定性和响应性能；</w:t>
      </w:r>
      <w:r/>
    </w:p>
    <w:p>
      <w:pPr>
        <w:ind w:firstLine="360"/>
        <w:jc w:val="left"/>
        <w:spacing w:line="360" w:lineRule="auto"/>
        <w:rPr>
          <w:rStyle w:val="670"/>
          <w:rFonts w:ascii="Segoe UI" w:hAnsi="Segoe UI" w:cs="Segoe UI"/>
          <w:b w:val="0"/>
          <w:bCs w:val="0"/>
          <w:color w:val="auto"/>
          <w:sz w:val="24"/>
          <w:shd w:val="clear" w:color="auto" w:fill="ffffff"/>
        </w:rPr>
      </w:pPr>
      <w:r>
        <w:rPr>
          <w:rStyle w:val="670"/>
          <w:rFonts w:hint="eastAsia" w:ascii="Segoe UI" w:hAnsi="Segoe UI" w:cs="Segoe UI"/>
          <w:b w:val="0"/>
          <w:bCs w:val="0"/>
          <w:color w:val="auto"/>
          <w:sz w:val="24"/>
          <w:shd w:val="clear" w:color="auto" w:fill="ffffff"/>
        </w:rPr>
        <w:t xml:space="preserve">⑥异常恢复测试：模拟网络中断、电源波动、设备离线等故障场景，验证系统容错能力和恢复机制。</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3.</w:t>
      </w:r>
      <w:r>
        <w:rPr>
          <w:rFonts w:hint="eastAsia" w:ascii="宋体" w:hAnsi="宋体" w:eastAsia="宋体" w:cs="Times New Roman"/>
          <w:b/>
          <w:color w:val="auto"/>
          <w:sz w:val="24"/>
          <w:szCs w:val="21"/>
        </w:rPr>
        <w:t xml:space="preserve">技术培训</w:t>
      </w:r>
      <w:r/>
    </w:p>
    <w:p>
      <w:pPr>
        <w:ind w:firstLine="315"/>
        <w:jc w:val="left"/>
        <w:spacing w:line="360" w:lineRule="auto"/>
        <w:rPr>
          <w:rFonts w:ascii="宋体" w:hAnsi="宋体" w:eastAsia="宋体" w:cs="宋体"/>
          <w:color w:val="auto"/>
          <w:szCs w:val="21"/>
        </w:rPr>
      </w:pPr>
      <w:r>
        <w:rPr>
          <w:rFonts w:hint="eastAsia" w:ascii="宋体" w:hAnsi="宋体" w:eastAsia="宋体" w:cs="宋体"/>
          <w:color w:val="auto"/>
          <w:szCs w:val="21"/>
        </w:rPr>
        <w:t xml:space="preserve">投标人应根据招标文件要求并结合本项目特点，免费提供项目培训服务方案和培训教材。至少包括以下各项：</w:t>
      </w:r>
      <w:r/>
    </w:p>
    <w:p>
      <w:pPr>
        <w:ind w:firstLine="361"/>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1）培训时间及培训地点：</w:t>
      </w:r>
      <w:r>
        <w:rPr>
          <w:rFonts w:hint="eastAsia" w:ascii="宋体" w:hAnsi="宋体" w:eastAsia="宋体" w:cs="宋体"/>
          <w:color w:val="auto"/>
          <w:sz w:val="24"/>
        </w:rPr>
        <w:t xml:space="preserve">软件与硬件培训须在最终验收之前结束，培训的具体日期由中标方与采购人协商确定，由采购人统一安排参训人员，建议安排在正常教学工作日进行，避开学校重大活动及节假日；总培训时长不少于30课时，根据各实训室设备类型及复杂度，分为基础操作培训（20课时）和进阶应用培训（10课时）两个阶段。培训地点为：</w:t>
      </w:r>
      <w:r>
        <w:rPr>
          <w:rFonts w:ascii="宋体" w:hAnsi="宋体" w:eastAsia="宋体" w:cs="宋体"/>
          <w:color w:val="auto"/>
          <w:sz w:val="24"/>
        </w:rPr>
        <w:t xml:space="preserve">江苏省盐城技师学院数字媒体、人工智能产业学院各实训室内</w:t>
      </w:r>
      <w:r>
        <w:rPr>
          <w:rFonts w:hint="eastAsia" w:ascii="宋体" w:hAnsi="宋体" w:eastAsia="宋体" w:cs="宋体"/>
          <w:color w:val="auto"/>
          <w:sz w:val="24"/>
        </w:rPr>
        <w:t xml:space="preserve">或由采购人指定的校内多媒体教室或会议室</w:t>
      </w:r>
      <w:r>
        <w:rPr>
          <w:rFonts w:ascii="宋体" w:hAnsi="宋体" w:eastAsia="宋体" w:cs="宋体"/>
          <w:color w:val="auto"/>
          <w:sz w:val="24"/>
        </w:rPr>
        <w:t xml:space="preserve">，用于理论授课环节</w:t>
      </w:r>
      <w:r>
        <w:rPr>
          <w:rFonts w:hint="eastAsia" w:ascii="宋体" w:hAnsi="宋体" w:eastAsia="宋体" w:cs="宋体"/>
          <w:color w:val="auto"/>
          <w:sz w:val="24"/>
        </w:rPr>
        <w:t xml:space="preserve">；培训现场须配备投影设备、白板、网络接入等必要的教学辅助设施，由采购人协调提供；中标方负责培训所需的教学设备、演示样机、软件环境的准备和调试。</w:t>
      </w:r>
      <w:r/>
    </w:p>
    <w:p>
      <w:pPr>
        <w:ind w:firstLine="361"/>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2）培训课程及培训内容：</w:t>
      </w:r>
      <w:r>
        <w:rPr>
          <w:rFonts w:ascii="宋体" w:hAnsi="宋体" w:eastAsia="宋体" w:cs="宋体"/>
          <w:color w:val="auto"/>
          <w:sz w:val="24"/>
        </w:rPr>
        <w:t xml:space="preserve">培训课程分为数字媒体方向和人工智能方向两大模块，根据采购人需求，可安排相关参训人员分批参加相应模块培训</w:t>
      </w:r>
      <w:r>
        <w:rPr>
          <w:rFonts w:hint="eastAsia" w:ascii="宋体" w:hAnsi="宋体" w:eastAsia="宋体" w:cs="宋体"/>
          <w:color w:val="auto"/>
          <w:sz w:val="24"/>
        </w:rPr>
        <w:t xml:space="preserve">。</w:t>
      </w:r>
      <w:r/>
    </w:p>
    <w:p>
      <w:pPr>
        <w:ind w:firstLine="361"/>
        <w:jc w:val="left"/>
        <w:spacing w:line="360" w:lineRule="auto"/>
        <w:rPr>
          <w:rFonts w:ascii="宋体" w:hAnsi="宋体" w:eastAsia="宋体" w:cs="宋体"/>
          <w:color w:val="auto"/>
          <w:sz w:val="24"/>
        </w:rPr>
      </w:pPr>
      <w:r>
        <w:rPr>
          <w:rFonts w:hint="eastAsia" w:ascii="宋体" w:hAnsi="宋体" w:eastAsia="宋体" w:cs="宋体"/>
          <w:b/>
          <w:bCs/>
          <w:color w:val="auto"/>
          <w:sz w:val="24"/>
        </w:rPr>
        <w:t xml:space="preserve">3）培训师资：</w:t>
      </w:r>
      <w:r>
        <w:rPr>
          <w:rFonts w:ascii="宋体" w:hAnsi="宋体" w:eastAsia="宋体" w:cs="宋体"/>
          <w:color w:val="auto"/>
          <w:sz w:val="24"/>
        </w:rPr>
        <w:t xml:space="preserve">中标方须为本项目配备不少于4名具有相关专业资质的培训讲师，其中数字媒体方向不少于2名，人工智能方向不少于2名。</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数字媒体方向讲师：具有音频工程、影视制作、数字媒体技术等相关专业背景，熟悉录音棚系统、虚拟制片系统、动作捕捉设备等的操作与教学，具有3年以上相关行业从业经验或高校实训教学经验；人工智能方向讲师：具有计算机科学、人工智能、电子信息等相关专业背景，熟悉智能机器人、AI实训平台、无人驾驶终端等的操作与教学，具有3年相关行业从业经验或高校实训教学经验；所有讲师须具备良好的沟通表达能力和教学组织能力，能够根据参训人员的实际水平调整教学进度和内容深度。</w:t>
      </w:r>
      <w:r/>
    </w:p>
    <w:p>
      <w:pPr>
        <w:ind w:firstLine="361"/>
        <w:jc w:val="left"/>
        <w:spacing w:line="360" w:lineRule="auto"/>
        <w:rPr>
          <w:rFonts w:ascii="宋体" w:hAnsi="宋体" w:eastAsia="宋体" w:cs="宋体"/>
          <w:color w:val="auto"/>
          <w:sz w:val="24"/>
        </w:rPr>
      </w:pPr>
      <w:r>
        <w:rPr>
          <w:rFonts w:ascii="宋体" w:hAnsi="宋体" w:eastAsia="宋体" w:cs="宋体"/>
          <w:b/>
          <w:bCs/>
          <w:color w:val="auto"/>
          <w:sz w:val="24"/>
        </w:rPr>
        <w:t xml:space="preserve">4</w:t>
      </w:r>
      <w:r>
        <w:rPr>
          <w:rFonts w:hint="eastAsia" w:ascii="宋体" w:hAnsi="宋体" w:eastAsia="宋体" w:cs="宋体"/>
          <w:b/>
          <w:bCs/>
          <w:color w:val="auto"/>
          <w:sz w:val="24"/>
        </w:rPr>
        <w:t xml:space="preserve">）培训方式：</w:t>
      </w:r>
      <w:r>
        <w:rPr>
          <w:rFonts w:hint="eastAsia" w:ascii="宋体" w:hAnsi="宋体" w:eastAsia="宋体" w:cs="宋体"/>
          <w:color w:val="auto"/>
          <w:sz w:val="24"/>
        </w:rPr>
        <w:t xml:space="preserve">培训采用 “理论讲解+实操演练+案例研讨” 相结合的模式，确保参训人员能够全面掌握设备操作技能。中标方须在培训开始前向采购人提供完整的培训教材和资料，包括但不限于：各设备操作手册（中文版）；各系统软件使用指南（中文版）；培训课件（PPT或视频形式）；设备日常维护手册；常见故障排除指南。</w:t>
      </w:r>
      <w:r/>
    </w:p>
    <w:p>
      <w:pPr>
        <w:ind w:firstLine="361"/>
        <w:jc w:val="left"/>
        <w:spacing w:line="360" w:lineRule="auto"/>
        <w:rPr>
          <w:rFonts w:ascii="宋体" w:hAnsi="宋体" w:eastAsia="宋体" w:cs="宋体"/>
          <w:b/>
          <w:bCs/>
          <w:color w:val="auto"/>
          <w:sz w:val="24"/>
        </w:rPr>
      </w:pPr>
      <w:r>
        <w:rPr>
          <w:rFonts w:ascii="宋体" w:hAnsi="宋体" w:eastAsia="宋体" w:cs="宋体"/>
          <w:b/>
          <w:bCs/>
          <w:color w:val="auto"/>
          <w:sz w:val="24"/>
        </w:rPr>
        <w:t xml:space="preserve">5</w:t>
      </w:r>
      <w:r>
        <w:rPr>
          <w:rFonts w:hint="eastAsia" w:ascii="宋体" w:hAnsi="宋体" w:eastAsia="宋体" w:cs="宋体"/>
          <w:b/>
          <w:bCs/>
          <w:color w:val="auto"/>
          <w:sz w:val="24"/>
        </w:rPr>
        <w:t xml:space="preserve">）设备操作及维护：</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（1）音频录编设备操作：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①系统开机/关机顺序（遵循“从前级到后级”的开机原则和反向关机原则）；</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②音频控制台面各通道的功能设置与操作；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③音频工作站软件的录音、编辑、混音操作流程；</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④各类话筒的安装、调试与使用注意事项；</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⑤监听系统的校准与使用。</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（2）数字绘画设备操作：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①数位板的驱动安装、参数设置与快捷键自定义；</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②AI算力服务器的启动、模型加载与推理操作；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③大幅面打印设备的材料更换、打印设置与输出操作；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④数字绘画在线课程及实训平台的教师端与学生端操作。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（3）虚拟制片设备操作：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①4K摄像机的基本操作（开机、对焦、曝光控制、ND滤镜调节）；</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②虚拟演播室软件的场景加载、抠像设置、机位切换操作；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③3D惯性动作捕捉设备的穿戴、校准、数据采集与导出；</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④UNREAL背景资源平台的场景编辑、角色导入与渲染输出；</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⑤灯光系统的DMX控制与调光操作；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⑥抠像绿箱的灯光布置与拍摄注意事项。</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（4）人工智能设备操作：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①智能机器人的启动、关节运动控制、动作编程与SDK开发环境使用；</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②人工智能硬件实训平台的课程创建、课堂管理、考试组织与数据统计分析；</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③AIGC数字音视频创作智能体系统的文生图、文生视频、语音合成等核心功能操作；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④智能无人驾驶终端的组装、程序烧录、模型训练与自动驾驶实训操作；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⑤智能搬运移动终端的多种构型搭建与图形化编程操作。-</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（5）设备日常维护要点</w:t>
      </w:r>
      <w:r/>
    </w:p>
    <w:p>
      <w:pPr>
        <w:ind w:firstLine="48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①日常清洁：定期清洁设备表面和接口，使用柔软干布擦拭，避免使用腐蚀性清洁剂；传感器、镜头等精密部件须使用专用清洁工具。-</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②线缆检查：定期检查各类线缆连接是否牢固，有无破损、老化现象；信号线缆与电源线须分开敷设，避免干扰。-</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③参数备份：重要设备的设置参数须定期备份到文件，软件配置须保存完整备份。</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④固件与软件更新：关注设备厂商发布的固件和软件更新信息，在确认兼容性和稳定性后按规范流程进行升级。-</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⑤环境管理：保持设备运行环境的温湿度在正常范围内，注意防尘、防静电；精密设备（如话筒、摄像机等）使用后须妥善收纳。</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⑥定期校准：3D惯性动作捕捉设备、音频监测系统等须按规定周期进行校准，确保数据准确性。</w:t>
      </w:r>
      <w:r/>
    </w:p>
    <w:p>
      <w:pPr>
        <w:ind w:firstLine="361"/>
        <w:jc w:val="left"/>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6）简单故障处理：</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①发现故障后首先确认故障现象，判断故障类型（硬件故障、软件故障、连接故障或操作失误）；</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②按照“先软件后硬件、先外部后内部、先简单后复杂”的顺序进行排查；</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③对于无法自行解决的故障，及时联系中标方技术支持人员处理；</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④所有故障处理过程须做好记录，包括故障现象、处理措施、处理结果等。</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投标人应安排具备考评员证等相应资质和经验的技术人员，对采购单位的使用部门人员进行全流程使用培训，确保相关人员能熟练掌握设备或系统的日常使用及维护。</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4.</w:t>
      </w:r>
      <w:r>
        <w:rPr>
          <w:rFonts w:hint="eastAsia" w:ascii="宋体" w:hAnsi="宋体" w:eastAsia="宋体" w:cs="Times New Roman"/>
          <w:b/>
          <w:color w:val="auto"/>
          <w:sz w:val="24"/>
          <w:szCs w:val="21"/>
        </w:rPr>
        <w:t xml:space="preserve">建设团队</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投标人针对人工智能实训平台和配套教学资源平台拟派的制作团队核心人员具备人工智能制作相关专业的技能等级证书的优先。</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5.</w:t>
      </w:r>
      <w:r>
        <w:rPr>
          <w:rFonts w:hint="eastAsia" w:ascii="宋体" w:hAnsi="宋体" w:eastAsia="宋体" w:cs="Times New Roman"/>
          <w:b/>
          <w:color w:val="auto"/>
          <w:sz w:val="24"/>
          <w:szCs w:val="21"/>
        </w:rPr>
        <w:t xml:space="preserve">项目实施方案（至少</w:t>
      </w:r>
      <w:r>
        <w:rPr>
          <w:rFonts w:hint="eastAsia" w:ascii="宋体" w:hAnsi="宋体" w:eastAsia="宋体" w:cs="Times New Roman"/>
          <w:b/>
          <w:color w:val="auto"/>
          <w:sz w:val="24"/>
          <w:szCs w:val="21"/>
          <w:lang w:val="zh-CN"/>
        </w:rPr>
        <w:t xml:space="preserve">包括以下各项）</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（1）进度方案</w:t>
      </w:r>
      <w:r/>
    </w:p>
    <w:p>
      <w:pPr>
        <w:ind w:firstLine="480"/>
        <w:spacing w:line="500" w:lineRule="exact"/>
        <w:tabs>
          <w:tab w:val="left" w:pos="851" w:leader="none"/>
        </w:tabs>
        <w:rPr>
          <w:rFonts w:ascii="宋体" w:hAnsi="宋体" w:eastAsia="宋体" w:cs="宋体"/>
          <w:color w:val="auto"/>
          <w:sz w:val="24"/>
        </w:rPr>
      </w:pPr>
      <w:r>
        <w:rPr>
          <w:rFonts w:hint="eastAsia" w:ascii="宋体" w:hAnsi="宋体" w:eastAsia="宋体" w:cs="宋体"/>
          <w:color w:val="auto"/>
          <w:sz w:val="24"/>
          <w:szCs w:val="21"/>
          <w:lang w:bidi="ar"/>
        </w:rPr>
        <w:t xml:space="preserve">①</w:t>
      </w:r>
      <w:r>
        <w:rPr>
          <w:rFonts w:hint="eastAsia" w:ascii="宋体" w:hAnsi="宋体" w:eastAsia="宋体" w:cs="宋体"/>
          <w:color w:val="auto"/>
          <w:sz w:val="24"/>
        </w:rPr>
        <w:t xml:space="preserve">投标人须明确承诺本项目全部货物完成生产、配送、到货、就位的总工期，严格响应招标文件既定的交付时限要求</w:t>
      </w:r>
      <w:r>
        <w:rPr>
          <w:rFonts w:hint="eastAsia" w:ascii="宋体" w:hAnsi="宋体" w:eastAsia="宋体" w:cs="宋体"/>
          <w:i/>
          <w:iCs/>
          <w:color w:val="auto"/>
          <w:sz w:val="24"/>
          <w:u w:val="single"/>
        </w:rPr>
        <w:t xml:space="preserve">（合同签订后</w:t>
      </w:r>
      <w:r>
        <w:rPr>
          <w:rFonts w:ascii="宋体" w:hAnsi="宋体" w:eastAsia="宋体" w:cs="宋体"/>
          <w:i/>
          <w:iCs/>
          <w:color w:val="auto"/>
          <w:sz w:val="24"/>
          <w:u w:val="single"/>
        </w:rPr>
        <w:t xml:space="preserve">6</w:t>
      </w:r>
      <w:r>
        <w:rPr>
          <w:rFonts w:hint="eastAsia" w:ascii="宋体" w:hAnsi="宋体" w:eastAsia="宋体" w:cs="宋体"/>
          <w:i/>
          <w:iCs/>
          <w:color w:val="auto"/>
          <w:sz w:val="24"/>
          <w:u w:val="single"/>
        </w:rPr>
        <w:t xml:space="preserve">0天内）</w:t>
      </w:r>
      <w:r>
        <w:rPr>
          <w:rFonts w:hint="eastAsia" w:ascii="宋体" w:hAnsi="宋体" w:eastAsia="宋体" w:cs="宋体"/>
          <w:color w:val="auto"/>
          <w:sz w:val="24"/>
        </w:rPr>
        <w:t xml:space="preserve">，注明具体起止时间、整体交付完成节点，同时需说明供货周期测算依据，结合货物规格、数量、生产工艺、物流条件等进行详细阐述；</w:t>
      </w:r>
      <w:r/>
    </w:p>
    <w:p>
      <w:pPr>
        <w:ind w:firstLine="480"/>
        <w:spacing w:line="500" w:lineRule="exact"/>
        <w:tabs>
          <w:tab w:val="left" w:pos="851" w:leader="none"/>
        </w:tabs>
        <w:rPr>
          <w:rFonts w:ascii="宋体" w:hAnsi="宋体" w:eastAsia="宋体" w:cs="宋体"/>
          <w:color w:val="auto"/>
          <w:sz w:val="24"/>
        </w:rPr>
      </w:pPr>
      <w:r>
        <w:rPr>
          <w:rFonts w:hint="eastAsia" w:ascii="宋体" w:hAnsi="宋体" w:eastAsia="宋体" w:cs="宋体"/>
          <w:color w:val="auto"/>
          <w:sz w:val="24"/>
          <w:szCs w:val="21"/>
          <w:lang w:bidi="ar"/>
        </w:rPr>
        <w:t xml:space="preserve">②</w:t>
      </w:r>
      <w:r>
        <w:rPr>
          <w:rFonts w:hint="eastAsia" w:ascii="宋体" w:hAnsi="宋体" w:eastAsia="宋体" w:cs="宋体"/>
          <w:color w:val="auto"/>
          <w:sz w:val="24"/>
        </w:rPr>
        <w:t xml:space="preserve">明确全部货物到货、就位、安装调试完成、整体验收合格的最终竣工节点，同步说明进度计划与项目整体落地、采购人使用计划的衔接配合方式。</w:t>
      </w:r>
      <w:r/>
    </w:p>
    <w:p>
      <w:pPr>
        <w:ind w:firstLine="480"/>
        <w:spacing w:line="500" w:lineRule="exact"/>
        <w:tabs>
          <w:tab w:val="left" w:pos="851" w:leader="none"/>
        </w:tabs>
        <w:rPr>
          <w:rFonts w:ascii="宋体" w:hAnsi="宋体" w:eastAsia="宋体" w:cs="宋体"/>
          <w:color w:val="auto"/>
          <w:sz w:val="24"/>
        </w:rPr>
      </w:pPr>
      <w:r>
        <w:rPr>
          <w:rFonts w:hint="eastAsia" w:ascii="宋体" w:hAnsi="宋体" w:eastAsia="宋体" w:cs="宋体"/>
          <w:color w:val="auto"/>
          <w:sz w:val="24"/>
        </w:rPr>
        <w:t xml:space="preserve">③明确项目专属服务团队配置，包含项目负责人、供货专员、质检人员、物流对接人员、现场对接人员等岗位职责、人员数量、从业经验；承诺项目全程专人跟进，全程负责进度统筹、节点把控、对接协调，保障各环节工作高效推进，杜绝人员缺位、衔接脱节导致的进度滞后；</w:t>
      </w:r>
      <w:r/>
    </w:p>
    <w:p>
      <w:pPr>
        <w:ind w:firstLine="360"/>
        <w:jc w:val="left"/>
        <w:spacing w:line="360" w:lineRule="auto"/>
        <w:rPr>
          <w:rFonts w:ascii="宋体" w:hAnsi="宋体" w:eastAsia="宋体" w:cs="Times New Roman"/>
          <w:b/>
          <w:color w:val="auto"/>
          <w:sz w:val="24"/>
          <w:szCs w:val="21"/>
        </w:rPr>
      </w:pPr>
      <w:r>
        <w:rPr>
          <w:rFonts w:hint="eastAsia" w:ascii="宋体" w:hAnsi="宋体" w:eastAsia="宋体" w:cs="宋体"/>
          <w:color w:val="auto"/>
          <w:sz w:val="24"/>
          <w:szCs w:val="21"/>
          <w:lang w:bidi="ar"/>
        </w:rPr>
        <w:t xml:space="preserve">④</w:t>
      </w:r>
      <w:r>
        <w:rPr>
          <w:rFonts w:hint="eastAsia" w:ascii="宋体" w:hAnsi="宋体" w:eastAsia="宋体" w:cs="宋体"/>
          <w:color w:val="auto"/>
          <w:sz w:val="24"/>
        </w:rPr>
        <w:t xml:space="preserve">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（2）质量措施</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①乙方应按招标文件规定的货物性能、技术要求、质量标准向甲方提供未经使用的全新产品。</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乙方提供的货物在质保期内因货物本身的质量问题发生故障，乙方应负责免费更换。对达不到技术要求者，根据实际情况，经双方协商，可按以下办法处理：①更换：由乙方承担所发生的全部费用。②贬值处理：由甲乙双方合议定价。③退货处理：乙方应退还甲方支付的合同款，同时应承担该货物的直接费用（运输、保险、检验、货款利息及银行手续费等）。</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（3）验收方案：</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①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②乙方交货前应对产品作出全面检查和对验收文件进行整理，并列出清单，作为甲方收货验收和使用的技术条件依据，检验的结果应随货物交甲方。</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③甲方对乙方提供的货物在使用前进行调试时，乙方需负责安装并培训甲方的使用操作人员，并协助甲方一起调试，直到符合技术要求，甲方才做最终验收。</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④对技术复杂的货物，甲方可请国家认可的专业检测机构参与初步验收及最终验收，并由其出具质量检测报告。</w:t>
      </w:r>
      <w:r/>
    </w:p>
    <w:p>
      <w:pPr>
        <w:ind w:firstLine="360"/>
        <w:jc w:val="left"/>
        <w:spacing w:line="360" w:lineRule="auto"/>
        <w:rPr>
          <w:rFonts w:ascii="宋体" w:hAnsi="宋体" w:eastAsia="宋体" w:cs="宋体"/>
          <w:color w:val="auto"/>
          <w:sz w:val="24"/>
        </w:rPr>
      </w:pPr>
      <w:r>
        <w:rPr>
          <w:rFonts w:hint="eastAsia" w:ascii="宋体" w:hAnsi="宋体" w:eastAsia="宋体" w:cs="宋体"/>
          <w:color w:val="auto"/>
          <w:sz w:val="24"/>
        </w:rPr>
        <w:t xml:space="preserve">⑤验收时乙方必须在现场，验收完毕后作出验收结果报告；采购人有权从供应商所送货物中任意抽出不同型号的产品送采购人所在地的质检部门检验，如果检验合格，检验费由采购人负担；如果检验不合格，则检验费由供应商负担。</w:t>
      </w:r>
      <w:r/>
    </w:p>
    <w:p>
      <w:pPr>
        <w:ind w:firstLine="361"/>
        <w:jc w:val="left"/>
        <w:spacing w:line="360" w:lineRule="auto"/>
        <w:rPr>
          <w:rFonts w:ascii="宋体" w:hAnsi="宋体" w:eastAsia="宋体" w:cs="Times New Roman"/>
          <w:b/>
          <w:color w:val="auto"/>
          <w:sz w:val="24"/>
          <w:szCs w:val="21"/>
        </w:rPr>
      </w:pPr>
      <w:r>
        <w:rPr>
          <w:rFonts w:ascii="宋体" w:hAnsi="宋体" w:eastAsia="宋体" w:cs="Times New Roman"/>
          <w:b/>
          <w:color w:val="auto"/>
          <w:sz w:val="24"/>
          <w:szCs w:val="21"/>
        </w:rPr>
        <w:t xml:space="preserve">6.</w:t>
      </w:r>
      <w:r>
        <w:rPr>
          <w:rFonts w:hint="eastAsia" w:ascii="宋体" w:hAnsi="宋体" w:eastAsia="宋体" w:cs="Times New Roman"/>
          <w:b/>
          <w:color w:val="auto"/>
          <w:sz w:val="24"/>
          <w:szCs w:val="21"/>
        </w:rPr>
        <w:t xml:space="preserve">售后服务方案</w:t>
      </w:r>
      <w:r/>
    </w:p>
    <w:p>
      <w:p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售后服务方案至少包含以下内容：</w:t>
      </w:r>
      <w:r/>
    </w:p>
    <w:p>
      <w:pPr>
        <w:ind w:left="0" w:firstLine="0"/>
        <w:jc w:val="left"/>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   </w:t>
      </w:r>
      <w:r>
        <w:rPr>
          <w:rFonts w:hint="eastAsia" w:ascii="宋体" w:hAnsi="宋体" w:eastAsia="宋体" w:cs="宋体"/>
          <w:color w:val="auto"/>
          <w:sz w:val="24"/>
          <w:szCs w:val="21"/>
          <w:lang w:bidi="ar"/>
        </w:rPr>
        <w:t xml:space="preserve">①</w:t>
      </w:r>
      <w:r>
        <w:rPr>
          <w:rFonts w:hint="eastAsia" w:ascii="宋体" w:hAnsi="宋体" w:eastAsia="宋体" w:cs="Times New Roman"/>
          <w:bCs/>
          <w:color w:val="auto"/>
          <w:sz w:val="24"/>
          <w:szCs w:val="21"/>
        </w:rPr>
        <w:t xml:space="preserve">供应商提供的售后服务标准应不低于同型号设备的出厂市场服务标准。</w:t>
      </w:r>
      <w:r/>
    </w:p>
    <w:p>
      <w:pPr>
        <w:ind w:firstLine="360"/>
        <w:jc w:val="left"/>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②在质量保证期内，确因产品质量问题产生的设备更换、备件、耗材、人工等费用均由供应商承担，所有维修更换的配件均由供应商提供，所有维修更换的配件均应为原厂正品配件。因人为因素出现的故障不在免费保修范围。由于中标单位提供的产品质量问题造成采购单位的财产损失或使用安全问题，由中标单位负责。</w:t>
      </w:r>
      <w:r/>
    </w:p>
    <w:p>
      <w:pPr>
        <w:ind w:firstLine="360"/>
        <w:jc w:val="left"/>
        <w:spacing w:line="360" w:lineRule="auto"/>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③提供7×24小时技术支持服务。技术支持包括：通过电话技术服务、现场技术服务、定期巡查服务等方式，提供故障排除、技术解答等内容，并负责处理直至保障设备正常运行。电话技术支持服务，响应时间在2小时内。需要进场维修的应在24小时内达到现场，并在4小时内排除故障。若故障在72小时内无法修复，应及时告知采购人，并提供质量、性能相当的备用设备，以保证在维修与维护期间不影响正常使用，维修与维护完毕后再换回原设备。</w:t>
      </w:r>
      <w:r/>
    </w:p>
    <w:p>
      <w:pPr>
        <w:numPr>
          <w:ilvl w:val="0"/>
          <w:numId w:val="4"/>
        </w:numPr>
        <w:ind w:firstLine="361"/>
        <w:jc w:val="left"/>
        <w:spacing w:line="360" w:lineRule="auto"/>
        <w:rPr>
          <w:rFonts w:ascii="宋体" w:hAnsi="宋体" w:eastAsia="宋体" w:cs="Times New Roman"/>
          <w:b/>
          <w:color w:val="auto"/>
          <w:sz w:val="24"/>
          <w:szCs w:val="21"/>
        </w:rPr>
      </w:pPr>
      <w:r>
        <w:rPr>
          <w:rFonts w:hint="eastAsia" w:ascii="宋体" w:hAnsi="宋体" w:eastAsia="宋体" w:cs="Times New Roman"/>
          <w:b/>
          <w:color w:val="auto"/>
          <w:sz w:val="24"/>
          <w:szCs w:val="21"/>
        </w:rPr>
        <w:t xml:space="preserve">投标人需具有本项目相关承接经验，为了确保项目的顺利实施，投标人近三年内承担过类似项目业绩的优先。</w:t>
      </w:r>
      <w:r/>
    </w:p>
    <w:p>
      <w:pPr>
        <w:ind w:firstLine="361"/>
        <w:jc w:val="left"/>
        <w:spacing w:line="360" w:lineRule="auto"/>
        <w:rPr>
          <w:rFonts w:ascii="宋体" w:hAnsi="宋体" w:eastAsia="宋体" w:cs="Times New Roman"/>
          <w:b/>
          <w:color w:val="auto"/>
          <w:sz w:val="24"/>
          <w:szCs w:val="21"/>
          <w:lang w:val="en"/>
        </w:rPr>
      </w:pPr>
      <w:r>
        <w:rPr>
          <w:rFonts w:hint="eastAsia" w:ascii="宋体" w:hAnsi="宋体" w:eastAsia="宋体" w:cs="Times New Roman"/>
          <w:b/>
          <w:color w:val="auto"/>
          <w:sz w:val="24"/>
          <w:szCs w:val="21"/>
        </w:rPr>
        <w:t xml:space="preserve">8.</w:t>
      </w:r>
      <w:r>
        <w:rPr>
          <w:rFonts w:hint="eastAsia" w:ascii="宋体" w:hAnsi="宋体" w:eastAsia="宋体" w:cs="Times New Roman"/>
          <w:b/>
          <w:color w:val="auto"/>
          <w:sz w:val="24"/>
          <w:szCs w:val="21"/>
          <w:lang w:val="en"/>
        </w:rPr>
        <w:t xml:space="preserve">采购标的对应的中小企业划分标准所属行业一览表</w:t>
      </w:r>
      <w:r/>
    </w:p>
    <w:p>
      <w:pPr>
        <w:rPr>
          <w:rFonts w:ascii="Times New Roman" w:hAnsi="Times New Roman" w:eastAsia="宋体" w:cs="Times New Roman"/>
          <w:color w:val="auto"/>
          <w:szCs w:val="21"/>
          <w:lang w:val="en"/>
        </w:rPr>
      </w:pPr>
      <w:r>
        <w:rPr>
          <w:rFonts w:ascii="Times New Roman" w:hAnsi="Times New Roman" w:eastAsia="宋体" w:cs="Times New Roman"/>
          <w:color w:val="auto"/>
          <w:szCs w:val="21"/>
          <w:lang w:val="en"/>
        </w:rPr>
      </w:r>
      <w:r/>
    </w:p>
    <w:tbl>
      <w:tblPr>
        <w:tblStyle w:val="642"/>
        <w:tblW w:w="90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jc w:val="center"/>
          <w:tblCellSpacing w:w="0" w:type="dxa"/>
          <w:trHeight w:val="748"/>
        </w:trPr>
        <w:tc>
          <w:tcPr>
            <w:tcW w:w="1231"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序号</w:t>
            </w:r>
            <w:r/>
          </w:p>
        </w:tc>
        <w:tc>
          <w:tcPr>
            <w:tcW w:w="4080"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采购标的</w:t>
            </w:r>
            <w:r/>
          </w:p>
        </w:tc>
        <w:tc>
          <w:tcPr>
            <w:tcW w:w="3787"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对应中小企业划分标准所属行业</w:t>
            </w:r>
            <w:r/>
          </w:p>
        </w:tc>
      </w:tr>
      <w:tr>
        <w:trPr>
          <w:jc w:val="center"/>
          <w:tblCellSpacing w:w="0" w:type="dxa"/>
          <w:trHeight w:val="785"/>
        </w:trPr>
        <w:tc>
          <w:tcPr>
            <w:tcW w:w="1231"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1</w:t>
            </w:r>
            <w:r/>
          </w:p>
        </w:tc>
        <w:tc>
          <w:tcPr>
            <w:tcW w:w="4080"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 </w:t>
            </w:r>
            <w:r>
              <w:rPr>
                <w:rFonts w:hint="eastAsia" w:ascii="宋体" w:hAnsi="宋体" w:eastAsia="宋体" w:cs="宋体"/>
                <w:bCs/>
                <w:color w:val="auto"/>
                <w:sz w:val="24"/>
              </w:rPr>
              <w:t xml:space="preserve">江苏省盐城技师学院数字媒体、人工智能产业学院建设项目</w:t>
            </w:r>
            <w:r/>
          </w:p>
        </w:tc>
        <w:tc>
          <w:tcPr>
            <w:tcW w:w="3787" w:type="dxa"/>
            <w:vAlign w:val="center"/>
            <w:textDirection w:val="lrTb"/>
            <w:noWrap w:val="false"/>
          </w:tcPr>
          <w:p>
            <w:pPr>
              <w:jc w:val="center"/>
              <w:spacing w:before="100" w:after="100" w:line="0" w:lineRule="atLeast"/>
              <w:widowControl/>
              <w:rPr>
                <w:rFonts w:ascii="宋体" w:hAnsi="宋体" w:eastAsia="宋体" w:cs="宋体"/>
                <w:bCs/>
                <w:color w:val="auto"/>
                <w:sz w:val="24"/>
                <w:szCs w:val="21"/>
              </w:rPr>
            </w:pPr>
            <w:r>
              <w:rPr>
                <w:rFonts w:hint="eastAsia" w:ascii="宋体" w:hAnsi="宋体" w:eastAsia="宋体" w:cs="宋体"/>
                <w:bCs/>
                <w:color w:val="auto"/>
                <w:sz w:val="24"/>
                <w:szCs w:val="21"/>
              </w:rPr>
              <w:t xml:space="preserve">工业</w:t>
            </w:r>
            <w:r/>
          </w:p>
        </w:tc>
      </w:tr>
    </w:tbl>
    <w:p>
      <w:pPr>
        <w:ind w:firstLine="420"/>
        <w:rPr>
          <w:rFonts w:ascii="宋体" w:hAnsi="宋体" w:eastAsia="宋体" w:cs="Times New Roman"/>
          <w:b/>
          <w:color w:val="auto"/>
          <w:sz w:val="24"/>
          <w:szCs w:val="21"/>
        </w:rPr>
      </w:pPr>
      <w:r/>
      <w:bookmarkStart w:id="195" w:name="_Toc120614281"/>
      <w:r/>
      <w:r/>
    </w:p>
    <w:p>
      <w:pPr>
        <w:ind w:firstLine="420"/>
        <w:rPr>
          <w:rFonts w:ascii="宋体" w:hAnsi="宋体" w:eastAsia="宋体" w:cs="Times New Roman"/>
          <w:b/>
          <w:color w:val="auto"/>
          <w:sz w:val="24"/>
          <w:szCs w:val="21"/>
        </w:rPr>
      </w:pPr>
      <w:r>
        <w:rPr>
          <w:rFonts w:ascii="宋体" w:hAnsi="宋体" w:eastAsia="宋体" w:cs="Times New Roman"/>
          <w:b/>
          <w:color w:val="auto"/>
          <w:sz w:val="24"/>
          <w:szCs w:val="21"/>
        </w:rPr>
      </w:r>
      <w:r/>
    </w:p>
    <w:p>
      <w:pPr>
        <w:ind w:firstLine="420"/>
        <w:rPr>
          <w:rFonts w:ascii="宋体" w:hAnsi="宋体" w:eastAsia="宋体" w:cs="Times New Roman"/>
          <w:b/>
          <w:color w:val="auto"/>
          <w:sz w:val="24"/>
          <w:szCs w:val="21"/>
        </w:rPr>
      </w:pPr>
      <w:r>
        <w:rPr>
          <w:rFonts w:ascii="宋体" w:hAnsi="宋体" w:eastAsia="宋体" w:cs="Times New Roman"/>
          <w:b/>
          <w:color w:val="auto"/>
          <w:sz w:val="24"/>
          <w:szCs w:val="21"/>
        </w:rPr>
      </w:r>
      <w:r/>
    </w:p>
    <w:p>
      <w:pPr>
        <w:jc w:val="left"/>
        <w:widowControl/>
        <w:rPr>
          <w:rFonts w:ascii="宋体" w:hAnsi="宋体" w:eastAsia="宋体" w:cs="Times New Roman"/>
          <w:b/>
          <w:color w:val="auto"/>
          <w:sz w:val="24"/>
          <w:szCs w:val="21"/>
        </w:rPr>
      </w:pPr>
      <w:r>
        <w:rPr>
          <w:rFonts w:ascii="宋体" w:hAnsi="宋体" w:eastAsia="宋体" w:cs="Times New Roman"/>
          <w:b/>
          <w:color w:val="auto"/>
          <w:sz w:val="24"/>
          <w:szCs w:val="21"/>
        </w:rPr>
        <w:br w:type="page" w:clear="all"/>
      </w:r>
      <w:r/>
    </w:p>
    <w:p>
      <w:pPr>
        <w:pStyle w:val="833"/>
        <w:rPr>
          <w:color w:val="auto"/>
        </w:rPr>
      </w:pPr>
      <w:r/>
      <w:bookmarkStart w:id="196" w:name="_Toc234256917"/>
      <w:r>
        <w:rPr>
          <w:rFonts w:hint="eastAsia"/>
          <w:color w:val="auto"/>
        </w:rPr>
        <w:t xml:space="preserve">第五章  评标方法与评标标准</w:t>
      </w:r>
      <w:bookmarkEnd w:id="196"/>
      <w:r/>
      <w:r/>
    </w:p>
    <w:p>
      <w:pPr>
        <w:pStyle w:val="665"/>
        <w:jc w:val="both"/>
        <w:spacing w:beforeAutospacing="0" w:afterAutospacing="0"/>
        <w:rPr>
          <w:color w:val="auto"/>
        </w:rPr>
      </w:pPr>
      <w:r>
        <w:rPr>
          <w:color w:val="auto"/>
        </w:rPr>
        <w:t xml:space="preserve"> </w:t>
      </w:r>
      <w:r/>
    </w:p>
    <w:p>
      <w:pPr>
        <w:ind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一、定标原则</w:t>
      </w:r>
      <w:r/>
    </w:p>
    <w:p>
      <w:pPr>
        <w:ind w:firstLine="480"/>
        <w:spacing w:line="360" w:lineRule="auto"/>
        <w:rPr>
          <w:rFonts w:ascii="宋体" w:hAnsi="宋体" w:eastAsia="宋体" w:cs="宋体"/>
          <w:color w:val="auto"/>
          <w:sz w:val="24"/>
        </w:rPr>
      </w:pPr>
      <w:r>
        <w:rPr>
          <w:rFonts w:hint="eastAsia" w:ascii="宋体" w:hAnsi="宋体" w:eastAsia="宋体" w:cs="宋体"/>
          <w:bCs/>
          <w:color w:val="auto"/>
          <w:sz w:val="24"/>
        </w:rPr>
        <w:t xml:space="preserve">本项目采用</w:t>
      </w:r>
      <w:r>
        <w:rPr>
          <w:rFonts w:hint="eastAsia" w:ascii="宋体" w:hAnsi="宋体" w:eastAsia="宋体" w:cs="宋体"/>
          <w:bCs/>
          <w:color w:val="auto"/>
          <w:sz w:val="24"/>
          <w:u w:val="single"/>
        </w:rPr>
        <w:t xml:space="preserve"> 综合评分 </w:t>
      </w:r>
      <w:r>
        <w:rPr>
          <w:rFonts w:hint="eastAsia" w:ascii="宋体" w:hAnsi="宋体" w:eastAsia="宋体" w:cs="宋体"/>
          <w:bCs/>
          <w:color w:val="auto"/>
          <w:sz w:val="24"/>
        </w:rPr>
        <w:t xml:space="preserve">法。</w:t>
      </w:r>
      <w:r>
        <w:rPr>
          <w:rFonts w:hint="eastAsia" w:ascii="宋体" w:hAnsi="宋体" w:eastAsia="宋体" w:cs="宋体"/>
          <w:color w:val="auto"/>
          <w:sz w:val="24"/>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1"/>
        </w:rPr>
        <w:t xml:space="preserve">，由评标委员会组织通过抽签的方式确定中标候选人的排序</w:t>
      </w:r>
      <w:r>
        <w:rPr>
          <w:rFonts w:hint="eastAsia" w:ascii="宋体" w:hAnsi="宋体" w:eastAsia="宋体" w:cs="宋体"/>
          <w:color w:val="auto"/>
          <w:sz w:val="24"/>
        </w:rPr>
        <w:t xml:space="preserve">。投标文件满足招标文件全部实质性要求，且按照评审因素的量化指标评审得分最高的投标人为排名第一的中标候选人，本项目选取1名中标候选人。</w:t>
      </w:r>
      <w:r/>
    </w:p>
    <w:p>
      <w:pPr>
        <w:pStyle w:val="665"/>
        <w:ind w:firstLine="441"/>
        <w:spacing w:before="120" w:beforeAutospacing="0" w:after="120" w:afterAutospacing="0" w:line="360" w:lineRule="auto"/>
        <w:rPr>
          <w:rFonts w:ascii="宋体" w:hAnsi="宋体" w:eastAsia="宋体" w:cs="宋体"/>
          <w:color w:val="auto"/>
        </w:rPr>
      </w:pPr>
      <w:r>
        <w:rPr>
          <w:rFonts w:hint="eastAsia" w:ascii="宋体" w:hAnsi="宋体" w:eastAsia="宋体" w:cs="宋体"/>
          <w:b/>
          <w:color w:val="auto"/>
        </w:rPr>
        <w:t xml:space="preserve">政府采购政策功能落实</w:t>
      </w:r>
      <w:r/>
    </w:p>
    <w:p>
      <w:pPr>
        <w:pStyle w:val="665"/>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1、小微型企业价格扣除</w:t>
      </w:r>
      <w:r/>
    </w:p>
    <w:p>
      <w:pPr>
        <w:pStyle w:val="828"/>
        <w:ind w:firstLine="360"/>
        <w:rPr>
          <w:rFonts w:ascii="宋体" w:hAnsi="宋体" w:eastAsia="宋体" w:cs="宋体"/>
          <w:color w:val="auto"/>
        </w:rPr>
      </w:pPr>
      <w:r>
        <w:rPr>
          <w:rFonts w:hint="eastAsia" w:ascii="宋体" w:hAnsi="宋体" w:eastAsia="宋体" w:cs="宋体"/>
          <w:color w:val="auto"/>
        </w:rPr>
        <w:t xml:space="preserve">（1）本项目不专门面向中小企业采购，对符合规定的小型和微型企业报价给予20%的扣除价格，用扣除后的价格参与评审。</w:t>
      </w:r>
      <w:r/>
    </w:p>
    <w:p>
      <w:pPr>
        <w:pStyle w:val="665"/>
        <w:ind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（2）供应商需按照采购文件的要求提供相应的《中小企业声明函》。</w:t>
      </w:r>
      <w:r/>
    </w:p>
    <w:p>
      <w:pPr>
        <w:pStyle w:val="665"/>
        <w:ind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（3）企业标准请参照《关于印发中小企业划型标准规定的通知》（工信部联企业〔2011〕300号）文件规定自行填写。</w:t>
      </w:r>
      <w:r/>
    </w:p>
    <w:p>
      <w:pPr>
        <w:pStyle w:val="665"/>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2、残疾人福利单位价格扣除</w:t>
      </w:r>
      <w:r/>
    </w:p>
    <w:p>
      <w:pPr>
        <w:pStyle w:val="665"/>
        <w:ind w:left="120" w:firstLine="360"/>
        <w:spacing w:before="120" w:beforeAutospacing="0" w:after="120" w:afterAutospacing="0" w:line="0" w:lineRule="atLeast"/>
        <w:rPr>
          <w:rFonts w:ascii="宋体" w:hAnsi="宋体" w:eastAsia="宋体" w:cs="宋体"/>
          <w:color w:val="auto"/>
          <w:u w:val="single"/>
        </w:rPr>
      </w:pPr>
      <w:r>
        <w:rPr>
          <w:rFonts w:hint="eastAsia" w:ascii="宋体" w:hAnsi="宋体" w:eastAsia="宋体" w:cs="宋体"/>
          <w:color w:val="auto"/>
        </w:rPr>
        <w:t xml:space="preserve">（1）本项目对残疾人福利性单位视同小型、微型企业，给予</w:t>
      </w:r>
      <w:r>
        <w:rPr>
          <w:rFonts w:hint="eastAsia" w:ascii="宋体" w:hAnsi="宋体" w:eastAsia="宋体" w:cs="宋体"/>
          <w:color w:val="auto"/>
          <w:u w:val="single"/>
        </w:rPr>
        <w:t xml:space="preserve">20%</w:t>
      </w:r>
      <w:r>
        <w:rPr>
          <w:rFonts w:hint="eastAsia" w:ascii="宋体" w:hAnsi="宋体" w:eastAsia="宋体" w:cs="宋体"/>
          <w:color w:val="auto"/>
        </w:rPr>
        <w:t xml:space="preserve">的价格扣除。</w:t>
      </w:r>
      <w:r/>
    </w:p>
    <w:p>
      <w:pPr>
        <w:pStyle w:val="665"/>
        <w:ind w:left="120"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（2）残疾人福利单位需按照采购文件的要求提供《残疾人福利性单位声明函》。</w:t>
      </w:r>
      <w:r/>
    </w:p>
    <w:p>
      <w:pPr>
        <w:pStyle w:val="665"/>
        <w:ind w:left="120" w:firstLine="36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（3）残疾人福利单位标准请参照《关于促进残疾人就业政府采购政策的通知》（财库〔2017〕141号）。</w:t>
      </w:r>
      <w:r/>
    </w:p>
    <w:p>
      <w:pPr>
        <w:pStyle w:val="665"/>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3、监狱和戒毒企业价格扣除</w:t>
      </w:r>
      <w:r/>
    </w:p>
    <w:p>
      <w:pPr>
        <w:pStyle w:val="665"/>
        <w:ind w:firstLine="480"/>
        <w:spacing w:before="120" w:beforeAutospacing="0" w:after="120" w:afterAutospacing="0" w:line="0" w:lineRule="atLeast"/>
        <w:rPr>
          <w:rFonts w:ascii="宋体" w:hAnsi="宋体" w:eastAsia="宋体" w:cs="宋体"/>
          <w:color w:val="auto"/>
          <w:u w:val="single"/>
        </w:rPr>
      </w:pPr>
      <w:r>
        <w:rPr>
          <w:rFonts w:hint="eastAsia" w:ascii="宋体" w:hAnsi="宋体" w:eastAsia="宋体" w:cs="宋体"/>
          <w:color w:val="auto"/>
        </w:rPr>
        <w:t xml:space="preserve">（1）本项目对监狱和戒毒企业（简称监狱企业）视同小型、微型企业，给予</w:t>
      </w:r>
      <w:r>
        <w:rPr>
          <w:rFonts w:hint="eastAsia" w:ascii="宋体" w:hAnsi="宋体" w:eastAsia="宋体" w:cs="宋体"/>
          <w:color w:val="auto"/>
          <w:u w:val="single"/>
        </w:rPr>
        <w:t xml:space="preserve">20%</w:t>
      </w:r>
      <w:r>
        <w:rPr>
          <w:rFonts w:hint="eastAsia" w:ascii="宋体" w:hAnsi="宋体" w:eastAsia="宋体" w:cs="宋体"/>
          <w:color w:val="auto"/>
        </w:rPr>
        <w:t xml:space="preserve">的价格扣除。</w:t>
      </w:r>
      <w:r/>
    </w:p>
    <w:p>
      <w:pPr>
        <w:pStyle w:val="665"/>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5"/>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（3）监狱企业标准请参照《关于政府采购支持监狱企业发展有关问题的通知》（财库〔2014〕68号）。</w:t>
      </w:r>
      <w:r/>
    </w:p>
    <w:p>
      <w:pPr>
        <w:pStyle w:val="665"/>
        <w:ind w:firstLine="480"/>
        <w:spacing w:before="120" w:beforeAutospacing="0" w:after="120" w:afterAutospacing="0" w:line="0" w:lineRule="atLeast"/>
        <w:rPr>
          <w:rFonts w:ascii="宋体" w:hAnsi="宋体" w:eastAsia="宋体" w:cs="宋体"/>
          <w:color w:val="auto"/>
        </w:rPr>
      </w:pPr>
      <w:r>
        <w:rPr>
          <w:rFonts w:hint="eastAsia" w:ascii="宋体" w:hAnsi="宋体" w:eastAsia="宋体" w:cs="宋体"/>
          <w:color w:val="auto"/>
        </w:rPr>
        <w:t xml:space="preserve">4、残疾人福利单位、监狱企业属于小型、微型企业的，不重复享受政策。</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5、采购本国产品的支持政策</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5.1 本项目政府采购活动中既有本国产品又有非本国产品参与竞争的，依法对本国产品给予价格评审优惠，对本国产品的报价给予 20%的价格扣除，用扣除后的价格参与评审。</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5.3 供应商需按照招标文件的要求提供《关于符合本国产品标准的声明函》（以下简称《声明函》），如不提供将不享受本国产品价格评审优惠。</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spacing w:line="440" w:lineRule="exact"/>
        <w:rPr>
          <w:rFonts w:ascii="宋体" w:hAnsi="宋体" w:eastAsia="宋体" w:cs="宋体"/>
          <w:color w:val="auto"/>
          <w:sz w:val="24"/>
        </w:rPr>
      </w:pPr>
      <w:r>
        <w:rPr>
          <w:rFonts w:hint="eastAsia" w:ascii="宋体" w:hAnsi="宋体" w:eastAsia="宋体" w:cs="宋体"/>
          <w:color w:val="auto"/>
          <w:sz w:val="24"/>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5"/>
        <w:ind w:firstLine="480"/>
        <w:spacing w:before="120" w:beforeAutospacing="0" w:after="120" w:afterAutospacing="0"/>
        <w:rPr>
          <w:rFonts w:ascii="宋体" w:hAnsi="宋体" w:eastAsia="宋体" w:cs="宋体"/>
          <w:color w:val="auto"/>
        </w:rPr>
      </w:pPr>
      <w:r>
        <w:rPr>
          <w:rFonts w:ascii="宋体" w:hAnsi="宋体" w:eastAsia="宋体" w:cs="宋体"/>
          <w:color w:val="auto"/>
        </w:rPr>
        <w:t xml:space="preserve">6</w:t>
      </w:r>
      <w:r>
        <w:rPr>
          <w:rFonts w:hint="eastAsia" w:ascii="宋体" w:hAnsi="宋体" w:eastAsia="宋体" w:cs="宋体"/>
          <w:color w:va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rPr>
        <w:t xml:space="preserve">如属政府强制采购产品未提供认证证书的或认证证书提供不全的将视为未实质性响应采购要求</w:t>
      </w:r>
      <w:r>
        <w:rPr>
          <w:rFonts w:hint="eastAsia" w:ascii="宋体" w:hAnsi="宋体" w:eastAsia="宋体" w:cs="宋体"/>
          <w:i/>
          <w:color w:val="auto"/>
        </w:rPr>
        <w:t xml:space="preserve">。</w:t>
      </w:r>
      <w:r>
        <w:rPr>
          <w:rFonts w:hint="eastAsia" w:ascii="宋体" w:hAnsi="宋体" w:eastAsia="宋体" w:cs="宋体"/>
          <w:color w:val="auto"/>
        </w:rPr>
        <w:t xml:space="preserve">其他条件相同情况下，应当优先采购节能产品、环境标志产品。</w:t>
      </w:r>
      <w:r/>
    </w:p>
    <w:p>
      <w:pPr>
        <w:ind w:firstLine="482"/>
        <w:spacing w:line="500" w:lineRule="exact"/>
        <w:rPr>
          <w:rFonts w:ascii="宋体" w:hAnsi="宋体" w:eastAsia="宋体" w:cs="宋体"/>
          <w:b/>
          <w:bCs/>
          <w:color w:val="auto"/>
          <w:sz w:val="24"/>
        </w:rPr>
      </w:pPr>
      <w:r>
        <w:rPr>
          <w:rFonts w:ascii="宋体" w:hAnsi="宋体" w:eastAsia="宋体" w:cs="宋体"/>
          <w:b/>
          <w:bCs/>
          <w:color w:val="auto"/>
          <w:sz w:val="24"/>
        </w:rPr>
      </w:r>
      <w:r/>
    </w:p>
    <w:p>
      <w:pPr>
        <w:ind w:firstLine="482"/>
        <w:spacing w:line="500" w:lineRule="exact"/>
        <w:rPr>
          <w:rFonts w:ascii="宋体" w:hAnsi="宋体" w:eastAsia="宋体" w:cs="宋体"/>
          <w:b/>
          <w:bCs/>
          <w:color w:val="auto"/>
          <w:sz w:val="24"/>
        </w:rPr>
      </w:pPr>
      <w:r>
        <w:rPr>
          <w:rFonts w:hint="eastAsia" w:ascii="宋体" w:hAnsi="宋体" w:eastAsia="宋体" w:cs="宋体"/>
          <w:b/>
          <w:bCs/>
          <w:color w:val="auto"/>
          <w:sz w:val="24"/>
        </w:rPr>
        <w:t xml:space="preserve">二、评标标准</w:t>
      </w:r>
      <w:r/>
    </w:p>
    <w:p>
      <w:pPr>
        <w:ind w:firstLine="480"/>
        <w:spacing w:line="500" w:lineRule="exact"/>
        <w:rPr>
          <w:rFonts w:ascii="宋体" w:hAnsi="宋体" w:eastAsia="宋体" w:cs="宋体"/>
          <w:color w:val="auto"/>
          <w:sz w:val="24"/>
        </w:rPr>
      </w:pPr>
      <w:r>
        <w:rPr>
          <w:rFonts w:hint="eastAsia" w:ascii="宋体" w:hAnsi="宋体" w:eastAsia="宋体" w:cs="宋体"/>
          <w:color w:val="auto"/>
          <w:sz w:val="24"/>
        </w:rPr>
        <w:t xml:space="preserve">本项目评分总分值为100分。</w:t>
      </w:r>
      <w:r/>
    </w:p>
    <w:p>
      <w:pPr>
        <w:ind w:firstLine="480"/>
        <w:spacing w:line="500" w:lineRule="exact"/>
        <w:rPr>
          <w:rFonts w:ascii="宋体" w:hAnsi="宋体" w:eastAsia="宋体" w:cs="宋体"/>
          <w:color w:val="auto"/>
          <w:sz w:val="24"/>
        </w:rPr>
      </w:pPr>
      <w:r>
        <w:rPr>
          <w:rFonts w:ascii="宋体" w:hAnsi="宋体" w:eastAsia="宋体" w:cs="宋体"/>
          <w:color w:val="auto"/>
          <w:sz w:val="24"/>
        </w:rPr>
      </w:r>
      <w:r/>
    </w:p>
    <w:tbl>
      <w:tblPr>
        <w:tblStyle w:val="642"/>
        <w:tblpPr w:horzAnchor="page" w:tblpX="1650" w:vertAnchor="text" w:tblpY="54" w:leftFromText="180" w:topFromText="0" w:rightFromText="180" w:bottomFromText="0"/>
        <w:tblW w:w="8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128"/>
        <w:gridCol w:w="5718"/>
        <w:gridCol w:w="738"/>
      </w:tblGrid>
      <w:tr>
        <w:trPr>
          <w:trHeight w:val="314"/>
        </w:trPr>
        <w:tc>
          <w:tcPr>
            <w:tcW w:w="738" w:type="dxa"/>
            <w:vAlign w:val="center"/>
            <w:textDirection w:val="lrTb"/>
            <w:noWrap w:val="false"/>
          </w:tcPr>
          <w:p>
            <w:pPr>
              <w:jc w:val="cente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序号</w:t>
            </w:r>
            <w:r/>
          </w:p>
        </w:tc>
        <w:tc>
          <w:tcPr>
            <w:tcW w:w="1128" w:type="dxa"/>
            <w:vAlign w:val="center"/>
            <w:textDirection w:val="lrTb"/>
            <w:noWrap w:val="false"/>
          </w:tcPr>
          <w:p>
            <w:pPr>
              <w:jc w:val="cente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评审因素</w:t>
            </w:r>
            <w:r/>
          </w:p>
        </w:tc>
        <w:tc>
          <w:tcPr>
            <w:tcW w:w="5718" w:type="dxa"/>
            <w:vAlign w:val="center"/>
            <w:textDirection w:val="lrTb"/>
            <w:noWrap w:val="false"/>
          </w:tcPr>
          <w:p>
            <w:pPr>
              <w:jc w:val="cente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评审细则</w:t>
            </w:r>
            <w:r/>
          </w:p>
        </w:tc>
        <w:tc>
          <w:tcPr>
            <w:tcW w:w="738" w:type="dxa"/>
            <w:vAlign w:val="center"/>
            <w:textDirection w:val="lrTb"/>
            <w:noWrap w:val="false"/>
          </w:tcPr>
          <w:p>
            <w:pPr>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分值</w:t>
            </w:r>
            <w:r/>
          </w:p>
        </w:tc>
      </w:tr>
      <w:tr>
        <w:trPr>
          <w:trHeight w:val="314"/>
        </w:trPr>
        <w:tc>
          <w:tcPr>
            <w:gridSpan w:val="4"/>
            <w:tcW w:w="8322" w:type="dxa"/>
            <w:vAlign w:val="center"/>
            <w:textDirection w:val="lrTb"/>
            <w:noWrap w:val="false"/>
          </w:tcPr>
          <w:p>
            <w:pPr>
              <w:jc w:val="left"/>
              <w:widowControl/>
              <w:rPr>
                <w:rFonts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一、价格</w:t>
            </w:r>
            <w:r/>
          </w:p>
        </w:tc>
      </w:tr>
      <w:tr>
        <w:trPr>
          <w:trHeight w:val="114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w:t>
            </w:r>
            <w:r/>
          </w:p>
        </w:tc>
        <w:tc>
          <w:tcPr>
            <w:tcW w:w="112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价格</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（30分）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采用低价优先法计算，即满足采购文件要求且投标价格最低的投标报价为评标基准价，其价格分为满分。其他供应商的价格分统一按照下列公式计算：投标报价得分=(评标基准价/投标报价）×30</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30</w:t>
            </w:r>
            <w:r/>
          </w:p>
        </w:tc>
      </w:tr>
      <w:tr>
        <w:trPr>
          <w:trHeight w:val="369"/>
        </w:trPr>
        <w:tc>
          <w:tcPr>
            <w:gridSpan w:val="4"/>
            <w:tcW w:w="8322"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b/>
                <w:bCs/>
                <w:color w:val="auto"/>
                <w:szCs w:val="21"/>
              </w:rPr>
              <w:t xml:space="preserve">二、技术指标</w:t>
            </w:r>
            <w:r/>
          </w:p>
        </w:tc>
      </w:tr>
      <w:tr>
        <w:trPr>
          <w:trHeight w:val="1531"/>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2.1</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技术参数</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（20分）</w:t>
            </w:r>
            <w:r/>
          </w:p>
        </w:tc>
        <w:tc>
          <w:tcPr>
            <w:tcW w:w="5718" w:type="dxa"/>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由评标委员会根据投标人投标产品的功能及技术参数要求响应情况进行打分，采购需求中带“★”的参数共计</w:t>
            </w:r>
            <w:r>
              <w:rPr>
                <w:rFonts w:asciiTheme="minorEastAsia" w:hAnsiTheme="minorEastAsia" w:cstheme="minorEastAsia"/>
                <w:color w:val="auto"/>
                <w:szCs w:val="21"/>
              </w:rPr>
              <w:t xml:space="preserve">4</w:t>
            </w:r>
            <w:r>
              <w:rPr>
                <w:rFonts w:hint="eastAsia" w:asciiTheme="minorEastAsia" w:hAnsiTheme="minorEastAsia" w:cstheme="minorEastAsia"/>
                <w:color w:val="auto"/>
                <w:szCs w:val="21"/>
              </w:rPr>
              <w:t xml:space="preserve">0个，满足采购文件技术指标、参数要求的每个加</w:t>
            </w:r>
            <w:r>
              <w:rPr>
                <w:rFonts w:asciiTheme="minorEastAsia" w:hAnsiTheme="minorEastAsia" w:cstheme="minorEastAsia"/>
                <w:color w:val="auto"/>
                <w:szCs w:val="21"/>
              </w:rPr>
              <w:t xml:space="preserve">0.5</w:t>
            </w:r>
            <w:r>
              <w:rPr>
                <w:rFonts w:hint="eastAsia" w:asciiTheme="minorEastAsia" w:hAnsiTheme="minorEastAsia" w:cstheme="minorEastAsia"/>
                <w:color w:val="auto"/>
                <w:szCs w:val="21"/>
              </w:rPr>
              <w:t xml:space="preserve">分，本项最多得</w:t>
            </w:r>
            <w:r>
              <w:rPr>
                <w:rFonts w:asciiTheme="minorEastAsia" w:hAnsiTheme="minorEastAsia" w:cstheme="minorEastAsia"/>
                <w:color w:val="auto"/>
                <w:szCs w:val="21"/>
              </w:rPr>
              <w:t xml:space="preserve">2</w:t>
            </w:r>
            <w:r>
              <w:rPr>
                <w:rFonts w:hint="eastAsia" w:asciiTheme="minorEastAsia" w:hAnsiTheme="minorEastAsia" w:cstheme="minorEastAsia"/>
                <w:color w:val="auto"/>
                <w:szCs w:val="21"/>
              </w:rPr>
              <w:t xml:space="preserve">0分；“★”项目需在标书中提供功能截图或其他证明材料，并加盖</w:t>
            </w:r>
            <w:r>
              <w:rPr>
                <w:rFonts w:hint="eastAsia" w:asciiTheme="minorEastAsia" w:hAnsiTheme="minorEastAsia" w:cstheme="minorEastAsia"/>
                <w:color w:val="auto"/>
                <w:szCs w:val="21"/>
                <w:lang w:val="zh-CN"/>
              </w:rPr>
              <w:t xml:space="preserve">供应商</w:t>
            </w:r>
            <w:r>
              <w:rPr>
                <w:rFonts w:hint="eastAsia" w:asciiTheme="minorEastAsia" w:hAnsiTheme="minorEastAsia" w:cstheme="minorEastAsia"/>
                <w:color w:val="auto"/>
                <w:szCs w:val="21"/>
              </w:rPr>
              <w:t xml:space="preserve">公章），技术指标、参数不满足或未提供证明材料的不得分。</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20</w:t>
            </w:r>
            <w:r/>
          </w:p>
        </w:tc>
      </w:tr>
      <w:tr>
        <w:trPr>
          <w:trHeight w:val="155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2.2</w:t>
            </w:r>
            <w:r/>
          </w:p>
        </w:tc>
        <w:tc>
          <w:tcPr>
            <w:tcW w:w="1128" w:type="dxa"/>
            <w:vAlign w:val="center"/>
            <w:textDirection w:val="lrTb"/>
            <w:noWrap w:val="false"/>
          </w:tcPr>
          <w:p>
            <w:pPr>
              <w:ind w:firstLine="210"/>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演示</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（16分）</w:t>
            </w:r>
            <w:r/>
          </w:p>
        </w:tc>
        <w:tc>
          <w:tcPr>
            <w:tcW w:w="5718" w:type="dxa"/>
            <w:vAlign w:val="center"/>
            <w:textDirection w:val="lrTb"/>
            <w:noWrap w:val="false"/>
          </w:tcPr>
          <w:p>
            <w:pPr>
              <w:widowControl/>
              <w:rPr>
                <w:color w:val="auto"/>
                <w:szCs w:val="21"/>
              </w:rPr>
            </w:pPr>
            <w:r>
              <w:rPr>
                <w:rFonts w:hint="eastAsia"/>
                <w:b/>
                <w:bCs/>
                <w:color w:val="auto"/>
                <w:szCs w:val="21"/>
              </w:rPr>
              <w:t xml:space="preserve">演示点一、</w:t>
            </w:r>
            <w:r>
              <w:rPr>
                <w:rFonts w:hint="eastAsia"/>
                <w:color w:val="auto"/>
                <w:szCs w:val="21"/>
              </w:rPr>
              <w:t xml:space="preserve">虚拟拍摄核心控制系统功能演示，每满足1项得1分，满分</w:t>
            </w:r>
            <w:r>
              <w:rPr>
                <w:color w:val="auto"/>
                <w:szCs w:val="21"/>
              </w:rPr>
              <w:t xml:space="preserve">2</w:t>
            </w:r>
            <w:r>
              <w:rPr>
                <w:rFonts w:hint="eastAsia"/>
                <w:color w:val="auto"/>
                <w:szCs w:val="21"/>
              </w:rPr>
              <w:t xml:space="preserve">分；不演示或演示不完整，不得分。</w:t>
            </w:r>
            <w:r/>
          </w:p>
          <w:p>
            <w:pPr>
              <w:rPr>
                <w:rFonts w:ascii="宋体" w:hAnsi="宋体" w:eastAsia="宋体" w:cs="Times New Roman"/>
                <w:color w:val="auto"/>
                <w:szCs w:val="21"/>
              </w:rPr>
            </w:pPr>
            <w:r>
              <w:rPr>
                <w:rFonts w:hint="eastAsia" w:ascii="宋体" w:hAnsi="宋体" w:eastAsia="宋体" w:cs="Times New Roman"/>
                <w:color w:val="auto"/>
                <w:szCs w:val="21"/>
              </w:rPr>
              <w:t xml:space="preserve">（1）【云指纹】视频云指纹系统有效防止平台课程被翻录和盗版且可跟踪。</w:t>
            </w:r>
            <w:r>
              <w:rPr>
                <w:rFonts w:ascii="宋体" w:hAnsi="宋体" w:eastAsia="宋体" w:cs="Times New Roman"/>
                <w:color w:val="auto"/>
                <w:szCs w:val="21"/>
              </w:rPr>
              <w:t xml:space="preserve"> </w:t>
            </w:r>
            <w:r/>
          </w:p>
          <w:p>
            <w:pPr>
              <w:widowControl/>
              <w:rPr>
                <w:rFonts w:ascii="宋体" w:hAnsi="宋体" w:eastAsia="宋体" w:cs="微软雅黑"/>
                <w:color w:val="auto"/>
                <w:szCs w:val="21"/>
                <w:lang w:bidi="ar"/>
              </w:rPr>
            </w:pPr>
            <w:r>
              <w:rPr>
                <w:rFonts w:hint="eastAsia" w:ascii="宋体" w:hAnsi="宋体" w:eastAsia="宋体" w:cs="仿宋"/>
                <w:color w:val="auto"/>
                <w:szCs w:val="21"/>
              </w:rPr>
              <w:t xml:space="preserve">（2）</w:t>
            </w:r>
            <w:r>
              <w:rPr>
                <w:rFonts w:hint="eastAsia" w:ascii="宋体" w:hAnsi="宋体" w:eastAsia="宋体" w:cs="微软雅黑"/>
                <w:color w:val="auto"/>
                <w:szCs w:val="21"/>
                <w:lang w:bidi="ar"/>
              </w:rPr>
              <w:t xml:space="preserve">【敏感词防护】允许用户设置屏蔽或禁止敏感关键词，并可以查看屏蔽记录。</w:t>
            </w:r>
            <w:r>
              <w:rPr>
                <w:rFonts w:ascii="宋体" w:hAnsi="宋体" w:eastAsia="宋体" w:cs="微软雅黑"/>
                <w:color w:val="auto"/>
                <w:szCs w:val="21"/>
                <w:lang w:bidi="ar"/>
              </w:rPr>
              <w:t xml:space="preserve"> </w:t>
            </w:r>
            <w:r/>
          </w:p>
          <w:p>
            <w:pPr>
              <w:widowControl/>
              <w:rPr>
                <w:color w:val="auto"/>
                <w:szCs w:val="21"/>
              </w:rPr>
            </w:pPr>
            <w:r>
              <w:rPr>
                <w:rFonts w:hint="eastAsia"/>
                <w:b/>
                <w:bCs/>
                <w:color w:val="auto"/>
                <w:szCs w:val="21"/>
              </w:rPr>
              <w:t xml:space="preserve">演示点二、</w:t>
            </w:r>
            <w:r>
              <w:rPr>
                <w:rFonts w:hint="eastAsia" w:ascii="宋体" w:hAnsi="宋体" w:eastAsia="宋体" w:cs="微软雅黑"/>
                <w:color w:val="auto"/>
                <w:szCs w:val="21"/>
                <w:lang w:bidi="ar"/>
              </w:rPr>
              <w:t xml:space="preserve">3D惯性动作捕捉设备</w:t>
            </w:r>
            <w:r>
              <w:rPr>
                <w:rFonts w:hint="eastAsia"/>
                <w:color w:val="auto"/>
                <w:szCs w:val="21"/>
              </w:rPr>
              <w:t xml:space="preserve">功能演示，每满足1项得1分，满分</w:t>
            </w:r>
            <w:r>
              <w:rPr>
                <w:color w:val="auto"/>
                <w:szCs w:val="21"/>
              </w:rPr>
              <w:t xml:space="preserve">3</w:t>
            </w:r>
            <w:r>
              <w:rPr>
                <w:rFonts w:hint="eastAsia"/>
                <w:color w:val="auto"/>
                <w:szCs w:val="21"/>
              </w:rPr>
              <w:t xml:space="preserve">分；不演示或演示不完整，不得分。</w:t>
            </w:r>
            <w:r/>
          </w:p>
          <w:p>
            <w:pPr>
              <w:rPr>
                <w:rFonts w:ascii="宋体" w:hAnsi="宋体" w:eastAsia="宋体" w:cs="Times New Roman"/>
                <w:color w:val="auto"/>
                <w:szCs w:val="21"/>
              </w:rPr>
            </w:pPr>
            <w:r>
              <w:rPr>
                <w:rFonts w:hint="eastAsia" w:ascii="宋体" w:hAnsi="宋体" w:eastAsia="宋体" w:cs="Times New Roman"/>
                <w:color w:val="auto"/>
                <w:szCs w:val="21"/>
              </w:rPr>
              <w:t xml:space="preserve">（1）能够实现不同角色之间走路的对比观察，由用户任意调整观察角度和动画速度，进行实时对比。</w:t>
            </w:r>
            <w:r>
              <w:rPr>
                <w:rFonts w:ascii="宋体" w:hAnsi="宋体" w:eastAsia="宋体" w:cs="Times New Roman"/>
                <w:color w:val="auto"/>
                <w:szCs w:val="21"/>
              </w:rPr>
              <w:t xml:space="preserve"> </w:t>
            </w:r>
            <w:r/>
          </w:p>
          <w:p>
            <w:pPr>
              <w:rPr>
                <w:rFonts w:ascii="宋体" w:hAnsi="宋体" w:eastAsia="宋体" w:cs="Times New Roman"/>
                <w:color w:val="auto"/>
                <w:szCs w:val="21"/>
              </w:rPr>
            </w:pPr>
            <w:r>
              <w:rPr>
                <w:rFonts w:hint="eastAsia" w:ascii="宋体" w:hAnsi="宋体" w:eastAsia="宋体" w:cs="Times New Roman"/>
                <w:color w:val="auto"/>
                <w:szCs w:val="21"/>
              </w:rPr>
              <w:t xml:space="preserve">（2）功能模块需要包含：主页模块、基础演示模块、对比演示模块、细节演示模块、练习模块等。</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（3）须角色动画必须为</w:t>
            </w:r>
            <w:r>
              <w:rPr>
                <w:rFonts w:ascii="宋体" w:hAnsi="宋体" w:eastAsia="宋体" w:cs="Times New Roman"/>
                <w:color w:val="auto"/>
                <w:szCs w:val="21"/>
              </w:rPr>
              <w:t xml:space="preserve">3D方式制作</w:t>
            </w:r>
            <w:r>
              <w:rPr>
                <w:rFonts w:hint="eastAsia" w:ascii="宋体" w:hAnsi="宋体" w:eastAsia="宋体" w:cs="Times New Roman"/>
                <w:color w:val="auto"/>
                <w:szCs w:val="21"/>
              </w:rPr>
              <w:t xml:space="preserve">。</w:t>
            </w:r>
            <w:r/>
          </w:p>
          <w:p>
            <w:pPr>
              <w:widowControl/>
              <w:rPr>
                <w:color w:val="auto"/>
                <w:szCs w:val="21"/>
              </w:rPr>
            </w:pPr>
            <w:r>
              <w:rPr>
                <w:rFonts w:hint="eastAsia"/>
                <w:b/>
                <w:bCs/>
                <w:color w:val="auto"/>
                <w:szCs w:val="21"/>
              </w:rPr>
              <w:t xml:space="preserve">演示点三、</w:t>
            </w:r>
            <w:r>
              <w:rPr>
                <w:rFonts w:hint="eastAsia" w:ascii="宋体" w:hAnsi="宋体" w:eastAsia="宋体" w:cs="微软雅黑"/>
                <w:color w:val="auto"/>
                <w:szCs w:val="21"/>
                <w:lang w:bidi="ar"/>
              </w:rPr>
              <w:t xml:space="preserve">人工智能硬件实训平台</w:t>
            </w:r>
            <w:r>
              <w:rPr>
                <w:rFonts w:hint="eastAsia"/>
                <w:color w:val="auto"/>
                <w:szCs w:val="21"/>
              </w:rPr>
              <w:t xml:space="preserve">功能演示，每满足1项得1分，满分</w:t>
            </w:r>
            <w:r>
              <w:rPr>
                <w:color w:val="auto"/>
                <w:szCs w:val="21"/>
              </w:rPr>
              <w:t xml:space="preserve">4</w:t>
            </w:r>
            <w:r>
              <w:rPr>
                <w:rFonts w:hint="eastAsia"/>
                <w:color w:val="auto"/>
                <w:szCs w:val="21"/>
              </w:rPr>
              <w:t xml:space="preserve">分；不演示或演示不完整，不得分。</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1）机柜管理：支持通过网络协议，对实训室机柜中的串口控制器进行管理，从而达到对机柜中的实训设备相联动，将各类实训设备（如路由器、交换机、防火墙、上网行为管理、网页防火墙等实训设备）进行统一的管理和控制，进行远程连接和调试。其中机柜信息包括：机柜名称、机柜</w:t>
            </w:r>
            <w:r>
              <w:rPr>
                <w:rFonts w:ascii="宋体" w:hAnsi="宋体" w:eastAsia="宋体" w:cs="Times New Roman"/>
                <w:color w:val="auto"/>
                <w:szCs w:val="21"/>
              </w:rPr>
              <w:t xml:space="preserve">IP、跳板机IP、跳板机用户名、跳板机密码等信息，可进行搜索、新增、编辑、删除、批量测试连接、回收机柜、设备管理操作；机柜内设备信息包括：设备名称、设备类型、串口端口号、串口连接类型、Web端口号、Web连接类型、用户名、密码等信息，可进行搜索、新增设备、设备</w:t>
            </w:r>
            <w:r>
              <w:rPr>
                <w:rFonts w:hint="eastAsia" w:ascii="宋体" w:hAnsi="宋体" w:eastAsia="宋体" w:cs="Times New Roman"/>
                <w:color w:val="auto"/>
                <w:szCs w:val="21"/>
              </w:rPr>
              <w:t xml:space="preserve">应用、调试机柜、编辑、删除操作。</w:t>
            </w:r>
            <w:r/>
          </w:p>
          <w:p>
            <w:pPr>
              <w:rPr>
                <w:rFonts w:ascii="宋体" w:hAnsi="宋体" w:eastAsia="宋体" w:cs="Times New Roman"/>
                <w:color w:val="auto"/>
                <w:szCs w:val="21"/>
              </w:rPr>
            </w:pPr>
            <w:r>
              <w:rPr>
                <w:rFonts w:hint="eastAsia" w:ascii="宋体" w:hAnsi="宋体" w:eastAsia="宋体" w:cs="Times New Roman"/>
                <w:color w:val="auto"/>
                <w:szCs w:val="21"/>
              </w:rPr>
              <w:t xml:space="preserve">（2）分配机柜：在“信息安全产品配置“课程资源下支持对课堂下小组所使用的机柜进行统一管理，包括：机柜名称、机柜</w:t>
            </w:r>
            <w:r>
              <w:rPr>
                <w:rFonts w:ascii="宋体" w:hAnsi="宋体" w:eastAsia="宋体" w:cs="Times New Roman"/>
                <w:color w:val="auto"/>
                <w:szCs w:val="21"/>
              </w:rPr>
              <w:t xml:space="preserve">IP、跳板机IP、使用组名称、使用题目名称等信息，可进行搜索、批量测试链接、分配机柜、取消分配、回收机柜等操作。使用此功能前需在“机柜管理”功能中添加数据。</w:t>
            </w:r>
            <w:r/>
          </w:p>
          <w:p>
            <w:pPr>
              <w:rPr>
                <w:rFonts w:ascii="宋体" w:hAnsi="宋体" w:eastAsia="宋体" w:cs="Times New Roman"/>
                <w:color w:val="auto"/>
                <w:szCs w:val="21"/>
              </w:rPr>
            </w:pPr>
            <w:r>
              <w:rPr>
                <w:rFonts w:hint="eastAsia" w:ascii="宋体" w:hAnsi="宋体" w:eastAsia="宋体" w:cs="Times New Roman"/>
                <w:color w:val="auto"/>
                <w:szCs w:val="21"/>
              </w:rPr>
              <w:t xml:space="preserve">（3）支持部署环境，以列表的形式显示学生姓名、班级名称、学生性别、手机号码、电子邮箱、部署情况、测评项目名称、部署状态、部署消息。提供一键部署、批量部署、自动刷新功能，可按学生测评项目进行虚拟化环境的查看及重启。</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（4）</w:t>
            </w:r>
            <w:r>
              <w:rPr>
                <w:rFonts w:ascii="宋体" w:hAnsi="宋体" w:eastAsia="宋体" w:cs="Times New Roman"/>
                <w:color w:val="auto"/>
                <w:szCs w:val="21"/>
              </w:rPr>
              <w:t xml:space="preserve">对于测评过的岗位支持查看岗位报告，岗位报告包含综合技能评分、技能分析雷达图、详细技能评估列表，其中详细技能评估列表包含了技能、子技能、具体能力、评估结果。</w:t>
            </w:r>
            <w:r/>
          </w:p>
          <w:p>
            <w:pPr>
              <w:widowControl/>
              <w:rPr>
                <w:color w:val="auto"/>
                <w:szCs w:val="21"/>
              </w:rPr>
            </w:pPr>
            <w:r>
              <w:rPr>
                <w:rFonts w:hint="eastAsia"/>
                <w:b/>
                <w:bCs/>
                <w:color w:val="auto"/>
                <w:szCs w:val="21"/>
              </w:rPr>
              <w:t xml:space="preserve">演示点四、</w:t>
            </w:r>
            <w:r>
              <w:rPr>
                <w:rFonts w:hint="eastAsia" w:ascii="宋体" w:hAnsi="宋体" w:eastAsia="宋体" w:cs="微软雅黑"/>
                <w:color w:val="auto"/>
                <w:szCs w:val="21"/>
                <w:lang w:bidi="ar"/>
              </w:rPr>
              <w:t xml:space="preserve">人工智能机器人实训平台</w:t>
            </w:r>
            <w:r>
              <w:rPr>
                <w:rFonts w:hint="eastAsia"/>
                <w:color w:val="auto"/>
                <w:szCs w:val="21"/>
              </w:rPr>
              <w:t xml:space="preserve">功能演示，每满足1项得1分，满分</w:t>
            </w:r>
            <w:r>
              <w:rPr>
                <w:color w:val="auto"/>
                <w:szCs w:val="21"/>
              </w:rPr>
              <w:t xml:space="preserve">3</w:t>
            </w:r>
            <w:r>
              <w:rPr>
                <w:rFonts w:hint="eastAsia"/>
                <w:color w:val="auto"/>
                <w:szCs w:val="21"/>
              </w:rPr>
              <w:t xml:space="preserve">分；不演示或演示不完整，不得分。</w:t>
            </w:r>
            <w:r/>
          </w:p>
          <w:p>
            <w:pPr>
              <w:jc w:val="left"/>
              <w:rPr>
                <w:rFonts w:ascii="宋体" w:hAnsi="宋体" w:eastAsia="宋体" w:cs="宋体"/>
                <w:color w:val="auto"/>
                <w:szCs w:val="21"/>
                <w:lang w:bidi="ar"/>
              </w:rPr>
            </w:pPr>
            <w:r>
              <w:rPr>
                <w:rFonts w:hint="eastAsia" w:ascii="宋体" w:hAnsi="宋体" w:eastAsia="宋体" w:cs="宋体"/>
                <w:color w:val="auto"/>
                <w:szCs w:val="21"/>
              </w:rPr>
              <w:t xml:space="preserve">（1）</w:t>
            </w:r>
            <w:r>
              <w:rPr>
                <w:rFonts w:hint="eastAsia" w:ascii="宋体" w:hAnsi="宋体" w:eastAsia="宋体" w:cs="宋体"/>
                <w:color w:val="auto"/>
                <w:szCs w:val="21"/>
                <w:lang w:bidi="ar"/>
              </w:rPr>
              <w:t xml:space="preserve">拓扑图管理：对平台内拓扑图进行统一管理。</w:t>
            </w:r>
            <w:r/>
          </w:p>
          <w:p>
            <w:pPr>
              <w:jc w:val="left"/>
              <w:rPr>
                <w:rFonts w:ascii="宋体" w:hAnsi="宋体" w:eastAsia="宋体" w:cs="宋体"/>
                <w:color w:val="auto"/>
                <w:szCs w:val="21"/>
                <w:lang w:bidi="ar"/>
              </w:rPr>
            </w:pPr>
            <w:r>
              <w:rPr>
                <w:rFonts w:hint="eastAsia" w:ascii="宋体" w:hAnsi="宋体" w:eastAsia="宋体" w:cs="宋体"/>
                <w:color w:val="auto"/>
                <w:szCs w:val="21"/>
              </w:rPr>
              <w:t xml:space="preserve">（2）</w:t>
            </w:r>
            <w:r>
              <w:rPr>
                <w:rFonts w:hint="eastAsia" w:ascii="宋体" w:hAnsi="宋体" w:eastAsia="宋体" w:cs="宋体"/>
                <w:color w:val="auto"/>
                <w:szCs w:val="21"/>
                <w:lang w:bidi="ar"/>
              </w:rPr>
              <w:t xml:space="preserve">虚拟仿真实验：对平台内的实验进行统一管理。</w:t>
            </w:r>
            <w:r/>
          </w:p>
          <w:p>
            <w:pPr>
              <w:widowControl/>
              <w:rPr>
                <w:rFonts w:ascii="宋体" w:hAnsi="宋体" w:eastAsia="宋体" w:cs="Times New Roman"/>
                <w:color w:val="auto"/>
                <w:szCs w:val="21"/>
              </w:rPr>
            </w:pPr>
            <w:r>
              <w:rPr>
                <w:rFonts w:hint="eastAsia" w:ascii="宋体" w:hAnsi="宋体" w:eastAsia="宋体" w:cs="Times New Roman"/>
                <w:color w:val="auto"/>
                <w:szCs w:val="21"/>
              </w:rPr>
              <w:t xml:space="preserve">（3）</w:t>
            </w:r>
            <w:r>
              <w:rPr>
                <w:rFonts w:ascii="宋体" w:hAnsi="宋体" w:eastAsia="宋体" w:cs="Times New Roman"/>
                <w:color w:val="auto"/>
                <w:szCs w:val="21"/>
              </w:rPr>
              <w:t xml:space="preserve">平台须满足同时不少于40人在线进行产品配置相关实验，在实验中每人能够操作的虚拟化设备不少于5台。平台整体须满足同时在线使用的虚拟化设备数量不少于250台。</w:t>
            </w:r>
            <w:r/>
          </w:p>
          <w:p>
            <w:pPr>
              <w:widowControl/>
              <w:rPr>
                <w:color w:val="auto"/>
                <w:szCs w:val="21"/>
              </w:rPr>
            </w:pPr>
            <w:r>
              <w:rPr>
                <w:rFonts w:hint="eastAsia"/>
                <w:b/>
                <w:bCs/>
                <w:color w:val="auto"/>
                <w:szCs w:val="21"/>
              </w:rPr>
              <w:t xml:space="preserve">演示点五、</w:t>
            </w:r>
            <w:r>
              <w:rPr>
                <w:rFonts w:hint="eastAsia" w:ascii="宋体" w:hAnsi="宋体" w:eastAsia="宋体" w:cs="微软雅黑"/>
                <w:color w:val="auto"/>
                <w:szCs w:val="21"/>
                <w:lang w:bidi="ar"/>
              </w:rPr>
              <w:t xml:space="preserve">人工智能内容生成教学资源平台</w:t>
            </w:r>
            <w:r>
              <w:rPr>
                <w:rFonts w:hint="eastAsia"/>
                <w:color w:val="auto"/>
                <w:szCs w:val="21"/>
              </w:rPr>
              <w:t xml:space="preserve">功能演示，每满足1项得1分，满分</w:t>
            </w:r>
            <w:r>
              <w:rPr>
                <w:color w:val="auto"/>
                <w:szCs w:val="21"/>
              </w:rPr>
              <w:t xml:space="preserve">4</w:t>
            </w:r>
            <w:r>
              <w:rPr>
                <w:rFonts w:hint="eastAsia"/>
                <w:color w:val="auto"/>
                <w:szCs w:val="21"/>
              </w:rPr>
              <w:t xml:space="preserve">分；不演示或演示不完整，不得分。</w:t>
            </w:r>
            <w:r/>
          </w:p>
          <w:p>
            <w:pPr>
              <w:rPr>
                <w:rFonts w:ascii="宋体" w:hAnsi="宋体" w:eastAsia="宋体" w:cs="宋体"/>
                <w:color w:val="auto"/>
                <w:szCs w:val="21"/>
                <w:lang w:bidi="ar"/>
              </w:rPr>
            </w:pPr>
            <w:r>
              <w:rPr>
                <w:rFonts w:hint="eastAsia" w:ascii="宋体" w:hAnsi="宋体" w:eastAsia="宋体" w:cs="宋体"/>
                <w:color w:val="auto"/>
                <w:szCs w:val="21"/>
              </w:rPr>
              <w:t xml:space="preserve">（1）</w:t>
            </w:r>
            <w:r>
              <w:rPr>
                <w:rFonts w:hint="eastAsia" w:ascii="宋体" w:hAnsi="宋体" w:eastAsia="宋体" w:cs="宋体"/>
                <w:color w:val="auto"/>
                <w:szCs w:val="21"/>
                <w:lang w:bidi="ar"/>
              </w:rPr>
              <w:t xml:space="preserve">由文字剧本生成主体库：</w:t>
            </w:r>
            <w:r>
              <w:rPr>
                <w:rFonts w:ascii="宋体" w:hAnsi="宋体" w:eastAsia="宋体" w:cs="宋体"/>
                <w:color w:val="auto"/>
                <w:szCs w:val="21"/>
                <w:lang w:bidi="ar"/>
              </w:rPr>
              <w:t xml:space="preserve">1.</w:t>
            </w:r>
            <w:r>
              <w:rPr>
                <w:rFonts w:hint="eastAsia" w:ascii="宋体" w:hAnsi="宋体" w:eastAsia="宋体" w:cs="宋体"/>
                <w:color w:val="auto"/>
                <w:szCs w:val="21"/>
                <w:lang w:bidi="ar"/>
              </w:rPr>
              <w:t xml:space="preserve">AI主体库生成，2</w:t>
            </w:r>
            <w:r>
              <w:rPr>
                <w:rFonts w:ascii="宋体" w:hAnsi="宋体" w:eastAsia="宋体" w:cs="宋体"/>
                <w:color w:val="auto"/>
                <w:szCs w:val="21"/>
                <w:lang w:bidi="ar"/>
              </w:rPr>
              <w:t xml:space="preserve">.</w:t>
            </w:r>
            <w:r>
              <w:rPr>
                <w:rFonts w:hint="eastAsia" w:ascii="宋体" w:hAnsi="宋体" w:eastAsia="宋体" w:cs="宋体"/>
                <w:color w:val="auto"/>
                <w:szCs w:val="21"/>
                <w:lang w:bidi="ar"/>
              </w:rPr>
              <w:t xml:space="preserve">支持由主体形象创建衍生形象。</w:t>
            </w:r>
            <w:r/>
          </w:p>
          <w:p>
            <w:pPr>
              <w:rPr>
                <w:rFonts w:ascii="宋体" w:hAnsi="宋体" w:eastAsia="宋体" w:cs="宋体"/>
                <w:color w:val="auto"/>
                <w:szCs w:val="21"/>
                <w:lang w:bidi="ar"/>
              </w:rPr>
            </w:pPr>
            <w:r>
              <w:rPr>
                <w:rFonts w:hint="eastAsia" w:ascii="宋体" w:hAnsi="宋体" w:eastAsia="宋体" w:cs="宋体"/>
                <w:color w:val="auto"/>
                <w:szCs w:val="21"/>
              </w:rPr>
              <w:t xml:space="preserve">（2）</w:t>
            </w:r>
            <w:r>
              <w:rPr>
                <w:rFonts w:hint="eastAsia" w:ascii="宋体" w:hAnsi="宋体" w:eastAsia="宋体" w:cs="宋体"/>
                <w:color w:val="auto"/>
                <w:szCs w:val="21"/>
                <w:lang w:bidi="ar"/>
              </w:rPr>
              <w:t xml:space="preserve">由分镜脚本生成分镜角色配音及旁白：AI生成角色配音及旁白，配音模板不少于20种声音，支持自定义声音模板和文字描述控制音色。</w:t>
            </w:r>
            <w:r/>
          </w:p>
          <w:p>
            <w:pPr>
              <w:rPr>
                <w:rFonts w:ascii="宋体" w:hAnsi="宋体" w:eastAsia="宋体" w:cs="宋体"/>
                <w:color w:val="auto"/>
                <w:szCs w:val="21"/>
                <w:lang w:bidi="ar"/>
              </w:rPr>
            </w:pPr>
            <w:r>
              <w:rPr>
                <w:rFonts w:hint="eastAsia" w:ascii="宋体" w:hAnsi="宋体" w:eastAsia="宋体" w:cs="宋体"/>
                <w:color w:val="auto"/>
                <w:szCs w:val="21"/>
              </w:rPr>
              <w:t xml:space="preserve">（3）</w:t>
            </w:r>
            <w:r>
              <w:rPr>
                <w:rFonts w:hint="eastAsia" w:ascii="宋体" w:hAnsi="宋体" w:eastAsia="宋体" w:cs="宋体"/>
                <w:color w:val="auto"/>
                <w:szCs w:val="21"/>
                <w:lang w:bidi="ar"/>
              </w:rPr>
              <w:t xml:space="preserve">分镜脚本一键导出：分镜脚本导出excel文件。</w:t>
            </w:r>
            <w:r/>
          </w:p>
          <w:p>
            <w:pPr>
              <w:widowControl/>
              <w:rPr>
                <w:rFonts w:ascii="宋体" w:hAnsi="宋体" w:eastAsia="宋体" w:cs="Times New Roman"/>
                <w:color w:val="auto"/>
                <w:szCs w:val="21"/>
              </w:rPr>
            </w:pPr>
            <w:r>
              <w:rPr>
                <w:rFonts w:hint="eastAsia" w:ascii="宋体" w:hAnsi="宋体" w:eastAsia="宋体" w:cs="宋体"/>
                <w:color w:val="auto"/>
                <w:szCs w:val="21"/>
              </w:rPr>
              <w:t xml:space="preserve">（4）</w:t>
            </w:r>
            <w:r>
              <w:rPr>
                <w:rFonts w:hint="eastAsia" w:ascii="宋体" w:hAnsi="宋体" w:eastAsia="宋体" w:cs="宋体"/>
                <w:color w:val="auto"/>
                <w:szCs w:val="21"/>
                <w:lang w:bidi="ar"/>
              </w:rPr>
              <w:t xml:space="preserve">支持本地算力调用，诗词多模态模型调用。</w:t>
            </w:r>
            <w:r/>
          </w:p>
          <w:p>
            <w:pPr>
              <w:jc w:val="left"/>
              <w:spacing w:line="420" w:lineRule="exact"/>
              <w:rPr>
                <w:rFonts w:ascii="宋体" w:hAnsi="宋体" w:eastAsia="宋体" w:cs="宋体"/>
                <w:b/>
                <w:bCs/>
                <w:color w:val="auto"/>
                <w:sz w:val="24"/>
              </w:rPr>
            </w:pPr>
            <w:r/>
            <w:bookmarkStart w:id="197" w:name="_Hlk237449514"/>
            <w:r>
              <w:rPr>
                <w:rFonts w:hint="eastAsia" w:ascii="宋体" w:hAnsi="宋体" w:eastAsia="宋体" w:cs="宋体"/>
                <w:b/>
                <w:bCs/>
                <w:color w:val="auto"/>
                <w:sz w:val="24"/>
              </w:rPr>
              <w:t xml:space="preserve">演示要求：</w:t>
            </w:r>
            <w:bookmarkEnd w:id="197"/>
            <w:r>
              <w:rPr>
                <w:rFonts w:hint="eastAsia" w:ascii="宋体" w:hAnsi="宋体" w:eastAsia="宋体" w:cs="宋体"/>
                <w:b/>
                <w:bCs/>
                <w:color w:val="auto"/>
                <w:sz w:val="24"/>
              </w:rPr>
              <w:t xml:space="preserve">演示方式</w:t>
            </w:r>
            <w:r>
              <w:rPr>
                <w:rFonts w:ascii="宋体" w:hAnsi="宋体" w:eastAsia="宋体" w:cs="宋体"/>
                <w:b/>
                <w:bCs/>
                <w:color w:val="auto"/>
                <w:sz w:val="24"/>
              </w:rPr>
              <w:t xml:space="preserve"> 视频演示</w:t>
            </w:r>
            <w:r/>
          </w:p>
          <w:p>
            <w:pPr>
              <w:pStyle w:val="827"/>
              <w:rPr>
                <w:color w:val="auto"/>
                <w:szCs w:val="21"/>
              </w:rPr>
            </w:pPr>
            <w:r>
              <w:rPr>
                <w:rFonts w:hint="eastAsia"/>
                <w:color w:val="auto"/>
                <w:szCs w:val="21"/>
                <w:lang w:val="en"/>
              </w:rPr>
              <w:t xml:space="preserve">1.供应商根据需按照招标文件规定的演示内容制作演示视频文件，演示视频中的演示形式须是目前正在运行的真实环境或模拟环境，演示时间不超过</w:t>
            </w:r>
            <w:r>
              <w:rPr>
                <w:rFonts w:hint="eastAsia"/>
                <w:color w:val="auto"/>
                <w:szCs w:val="21"/>
              </w:rPr>
              <w:t xml:space="preserve">15</w:t>
            </w:r>
            <w:r>
              <w:rPr>
                <w:rFonts w:hint="eastAsia"/>
                <w:color w:val="auto"/>
                <w:szCs w:val="21"/>
                <w:lang w:val="en"/>
              </w:rPr>
              <w:t xml:space="preserve">分钟，需在“苏采云”系统演示文件入口按系统要求上传演示文件，文件上传方式见《苏采云系统供应商操作手册》规定，上传的演示视频将作为投标文件的组成部分。2.单个视频附件压缩包大小不得超过50M，整体附件压缩包不得超过300M，视频文件格式建议采用MP4或AVI格式。3.演示内容确保真实且作为项目履约验收的重要参考依据。因供应商上传文件本身损坏等自身原因导致演示资料无法正常读取的视为无效演示，本项不得分，由供应商自行承担责任。</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16</w:t>
            </w:r>
            <w:r/>
          </w:p>
        </w:tc>
      </w:tr>
      <w:tr>
        <w:trPr>
          <w:trHeight w:val="390"/>
        </w:trPr>
        <w:tc>
          <w:tcPr>
            <w:gridSpan w:val="4"/>
            <w:tcW w:w="8322" w:type="dxa"/>
            <w:vAlign w:val="center"/>
            <w:textDirection w:val="lrTb"/>
            <w:noWrap w:val="false"/>
          </w:tcPr>
          <w:p>
            <w:pPr>
              <w:jc w:val="left"/>
              <w:widowControl/>
              <w:rPr>
                <w:rFonts w:asciiTheme="minorEastAsia" w:hAnsiTheme="minorEastAsia" w:cstheme="minorEastAsia"/>
                <w:color w:val="auto"/>
                <w:szCs w:val="21"/>
              </w:rPr>
            </w:pPr>
            <w:r>
              <w:rPr>
                <w:rFonts w:hint="eastAsia" w:asciiTheme="minorEastAsia" w:hAnsiTheme="minorEastAsia" w:cstheme="minorEastAsia"/>
                <w:b/>
                <w:bCs/>
                <w:color w:val="auto"/>
                <w:szCs w:val="21"/>
              </w:rPr>
              <w:t xml:space="preserve">三、商务条款</w:t>
            </w:r>
            <w:r/>
          </w:p>
        </w:tc>
      </w:tr>
      <w:tr>
        <w:trPr>
          <w:trHeight w:val="699"/>
        </w:trPr>
        <w:tc>
          <w:tcPr>
            <w:tcW w:w="738" w:type="dxa"/>
            <w:vAlign w:val="center"/>
            <w:vMerge w:val="restart"/>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3</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技术方案（</w:t>
            </w:r>
            <w:r>
              <w:rPr>
                <w:rFonts w:asciiTheme="minorEastAsia" w:hAnsiTheme="minorEastAsia" w:cstheme="minorEastAsia"/>
                <w:color w:val="auto"/>
                <w:szCs w:val="21"/>
              </w:rPr>
              <w:t xml:space="preserve">5</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根据供应商提供的项目第四章其他中“2.技术方案”要求提供技术方案，至少包括以下内容：1）安装前的现场勘察与环境准备与前期沟通协调、2）安装技术方案、3）调试技术方案。方案优于项目需求的得</w:t>
            </w:r>
            <w:r>
              <w:rPr>
                <w:rFonts w:asciiTheme="minorEastAsia" w:hAnsiTheme="minorEastAsia" w:cstheme="minorEastAsia"/>
                <w:color w:val="auto"/>
                <w:szCs w:val="21"/>
              </w:rPr>
              <w:t xml:space="preserve">5</w:t>
            </w:r>
            <w:r>
              <w:rPr>
                <w:rFonts w:hint="eastAsia" w:asciiTheme="minorEastAsia" w:hAnsiTheme="minorEastAsia" w:cstheme="minorEastAsia"/>
                <w:color w:val="auto"/>
                <w:szCs w:val="21"/>
              </w:rPr>
              <w:t xml:space="preserve">分；满足项目需求的得</w:t>
            </w:r>
            <w:r>
              <w:rPr>
                <w:rFonts w:asciiTheme="minorEastAsia" w:hAnsiTheme="minorEastAsia" w:cstheme="minorEastAsia"/>
                <w:color w:val="auto"/>
                <w:szCs w:val="21"/>
              </w:rPr>
              <w:t xml:space="preserve">3</w:t>
            </w:r>
            <w:r>
              <w:rPr>
                <w:rFonts w:hint="eastAsia" w:asciiTheme="minorEastAsia" w:hAnsiTheme="minorEastAsia" w:cstheme="minorEastAsia"/>
                <w:color w:val="auto"/>
                <w:szCs w:val="21"/>
              </w:rPr>
              <w:t xml:space="preserve">分；不满足或无此项内容的本项不得分。</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vMerge w:val="restart"/>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8</w:t>
            </w:r>
            <w:r/>
          </w:p>
        </w:tc>
      </w:tr>
      <w:tr>
        <w:trPr>
          <w:trHeight w:val="618"/>
        </w:trPr>
        <w:tc>
          <w:tcPr>
            <w:tcW w:w="738" w:type="dxa"/>
            <w:vAlign w:val="center"/>
            <w:vMerge w:val="continue"/>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技术培训（</w:t>
            </w:r>
            <w:r>
              <w:rPr>
                <w:rFonts w:asciiTheme="minorEastAsia" w:hAnsiTheme="minorEastAsia" w:cstheme="minorEastAsia"/>
                <w:color w:val="auto"/>
                <w:szCs w:val="21"/>
              </w:rPr>
              <w:t xml:space="preserve">3</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根据供应商提供的项目第四章其他中“3</w:t>
            </w:r>
            <w:r>
              <w:rPr>
                <w:rFonts w:ascii="宋体" w:hAnsi="宋体" w:eastAsia="宋体" w:cs="宋体"/>
                <w:color w:val="auto"/>
                <w:sz w:val="24"/>
              </w:rPr>
              <w:t xml:space="preserve">.</w:t>
            </w:r>
            <w:r>
              <w:rPr>
                <w:rFonts w:hint="eastAsia" w:ascii="宋体" w:hAnsi="宋体" w:eastAsia="宋体" w:cs="宋体"/>
                <w:color w:val="auto"/>
                <w:sz w:val="24"/>
              </w:rPr>
              <w:t xml:space="preserve">技术培训”要求提供技术方案，至少包括以下内容：①培训时间及培训地点②培训课程及培训内容、③培训师资、④培训方式、⑤设备操作及维护、⑥简单故障处理等。投标人应安排具备考评员证等相应资质和经验的技术人员，对采购单位的使用部门人员进行全流程使用培训，确保相关人员能熟练掌握设备或系统的日常使用及维护。方案优于项目需求的得</w:t>
            </w:r>
            <w:r>
              <w:rPr>
                <w:rFonts w:ascii="宋体" w:hAnsi="宋体" w:eastAsia="宋体" w:cs="宋体"/>
                <w:color w:val="auto"/>
                <w:sz w:val="24"/>
              </w:rPr>
              <w:t xml:space="preserve">3</w:t>
            </w:r>
            <w:r>
              <w:rPr>
                <w:rFonts w:hint="eastAsia" w:ascii="宋体" w:hAnsi="宋体" w:eastAsia="宋体" w:cs="宋体"/>
                <w:color w:val="auto"/>
                <w:sz w:val="24"/>
              </w:rPr>
              <w:t xml:space="preserve">分；满足项目需求的得</w:t>
            </w:r>
            <w:r>
              <w:rPr>
                <w:rFonts w:ascii="宋体" w:hAnsi="宋体" w:eastAsia="宋体" w:cs="宋体"/>
                <w:color w:val="auto"/>
                <w:sz w:val="24"/>
              </w:rPr>
              <w:t xml:space="preserve">2</w:t>
            </w:r>
            <w:r>
              <w:rPr>
                <w:rFonts w:hint="eastAsia" w:ascii="宋体" w:hAnsi="宋体" w:eastAsia="宋体" w:cs="宋体"/>
                <w:color w:val="auto"/>
                <w:sz w:val="24"/>
              </w:rPr>
              <w:t xml:space="preserve">分；不满足或无此项内容的本项不得分。</w:t>
            </w:r>
            <w:r/>
          </w:p>
          <w:p>
            <w:pPr>
              <w:widowControl/>
              <w:rPr>
                <w:rFonts w:asciiTheme="minorEastAsia" w:hAnsiTheme="minorEastAsia" w:cstheme="minorEastAsia"/>
                <w:color w:val="auto"/>
                <w:szCs w:val="21"/>
              </w:rPr>
            </w:pPr>
            <w:r>
              <w:rPr>
                <w:rFonts w:hint="eastAsia" w:ascii="宋体" w:hAnsi="宋体" w:eastAsia="宋体" w:cs="宋体"/>
                <w:color w:val="auto"/>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vMerge w:val="continue"/>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r>
            <w:r/>
          </w:p>
        </w:tc>
      </w:tr>
      <w:tr>
        <w:trPr>
          <w:trHeight w:val="1835"/>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4</w:t>
            </w:r>
            <w:r/>
          </w:p>
        </w:tc>
        <w:tc>
          <w:tcPr>
            <w:tcW w:w="1128" w:type="dxa"/>
            <w:vAlign w:val="center"/>
            <w:textDirection w:val="lrTb"/>
            <w:noWrap w:val="false"/>
          </w:tcPr>
          <w:p>
            <w:pPr>
              <w:widowControl/>
              <w:rPr>
                <w:rFonts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建设团队</w:t>
            </w:r>
            <w:r/>
          </w:p>
          <w:p>
            <w:pPr>
              <w:widowControl/>
              <w:rPr>
                <w:rFonts w:asciiTheme="minorEastAsia" w:hAnsiTheme="minorEastAsia" w:cstheme="minorEastAsia"/>
                <w:color w:val="auto"/>
                <w:szCs w:val="21"/>
              </w:rPr>
            </w:pPr>
            <w:r>
              <w:rPr>
                <w:rFonts w:hint="eastAsia" w:asciiTheme="majorEastAsia" w:hAnsiTheme="majorEastAsia" w:eastAsiaTheme="majorEastAsia" w:cstheme="majorEastAsia"/>
                <w:color w:val="auto"/>
                <w:szCs w:val="21"/>
              </w:rPr>
              <w:t xml:space="preserve">（</w:t>
            </w:r>
            <w:r>
              <w:rPr>
                <w:rFonts w:asciiTheme="majorEastAsia" w:hAnsiTheme="majorEastAsia" w:eastAsiaTheme="majorEastAsia" w:cstheme="majorEastAsia"/>
                <w:color w:val="auto"/>
                <w:szCs w:val="21"/>
              </w:rPr>
              <w:t xml:space="preserve">6</w:t>
            </w:r>
            <w:r>
              <w:rPr>
                <w:rFonts w:hint="eastAsia" w:asciiTheme="majorEastAsia" w:hAnsiTheme="majorEastAsia" w:eastAsiaTheme="majorEastAsia" w:cstheme="majorEastAsia"/>
                <w:color w:val="auto"/>
                <w:szCs w:val="21"/>
              </w:rPr>
              <w:t xml:space="preserve">分）</w:t>
            </w:r>
            <w:r/>
          </w:p>
        </w:tc>
        <w:tc>
          <w:tcPr>
            <w:tcW w:w="5718" w:type="dxa"/>
            <w:vAlign w:val="center"/>
            <w:textDirection w:val="lrTb"/>
            <w:noWrap w:val="false"/>
          </w:tcPr>
          <w:p>
            <w:pPr>
              <w:widowControl/>
              <w:rPr>
                <w:rFonts w:ascii="宋体" w:hAnsi="宋体" w:eastAsia="宋体" w:cstheme="minorEastAsia"/>
                <w:color w:val="auto"/>
                <w:sz w:val="24"/>
              </w:rPr>
            </w:pPr>
            <w:r>
              <w:rPr>
                <w:rFonts w:hint="eastAsia" w:ascii="宋体" w:hAnsi="宋体" w:eastAsia="宋体" w:cstheme="minorEastAsia"/>
                <w:color w:val="auto"/>
                <w:sz w:val="24"/>
              </w:rPr>
              <w:t xml:space="preserve">供应商针对人工智能实训平台和配套教学资源平台拟派的制作团队核心人员具备人工智能制作相关专业的技能等级证书,每提供1人得3分，最高得6分，未提供不得分。</w:t>
            </w:r>
            <w:r/>
          </w:p>
          <w:p>
            <w:pPr>
              <w:widowControl/>
              <w:rPr>
                <w:color w:val="auto"/>
              </w:rPr>
            </w:pPr>
            <w:r>
              <w:rPr>
                <w:rFonts w:hint="eastAsia" w:ascii="宋体" w:hAnsi="宋体" w:eastAsia="宋体" w:cstheme="minorEastAsia"/>
                <w:color w:val="auto"/>
                <w:sz w:val="24"/>
              </w:rPr>
              <w:t xml:space="preserve">（注：须提供专业证书复印件并加盖供应商公章，提供近三个月中任意一个月（不含投标当月）的社保证明电子扫描件并加盖供应商公章，未按要求提供不得分。）</w:t>
            </w:r>
            <w:r/>
          </w:p>
        </w:tc>
        <w:tc>
          <w:tcPr>
            <w:tcW w:w="738" w:type="dxa"/>
            <w:vAlign w:val="center"/>
            <w:textDirection w:val="lrTb"/>
            <w:noWrap w:val="false"/>
          </w:tcPr>
          <w:p>
            <w:pPr>
              <w:ind w:firstLine="210"/>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2549"/>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5</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项目实施方案</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w:t>
            </w:r>
            <w:r>
              <w:rPr>
                <w:rFonts w:asciiTheme="minorEastAsia" w:hAnsiTheme="minorEastAsia" w:cstheme="minorEastAsia"/>
                <w:color w:val="auto"/>
                <w:szCs w:val="21"/>
              </w:rPr>
              <w:t xml:space="preserve">6</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根据供应商提供的项目第四章其他中“5</w:t>
            </w:r>
            <w:r>
              <w:rPr>
                <w:rFonts w:ascii="宋体" w:hAnsi="宋体" w:eastAsia="宋体" w:cs="宋体"/>
                <w:color w:val="auto"/>
                <w:sz w:val="24"/>
              </w:rPr>
              <w:t xml:space="preserve">.</w:t>
            </w:r>
            <w:r>
              <w:rPr>
                <w:rFonts w:hint="eastAsia" w:ascii="宋体" w:hAnsi="宋体" w:eastAsia="宋体" w:cs="宋体"/>
                <w:color w:val="auto"/>
                <w:sz w:val="24"/>
              </w:rPr>
              <w:t xml:space="preserve">项目实施方案”要求提供技术方案，至少包括以下内容：</w:t>
            </w:r>
            <w:r>
              <w:rPr>
                <w:rFonts w:hint="eastAsia" w:ascii="宋体" w:hAnsi="宋体" w:eastAsia="宋体" w:cs="宋体"/>
                <w:color w:val="auto"/>
                <w:sz w:val="24"/>
                <w:szCs w:val="21"/>
                <w:lang w:bidi="ar"/>
              </w:rPr>
              <w:t xml:space="preserve">①进度计划方案；②质量保证措施；③验收方案</w:t>
            </w:r>
            <w:r>
              <w:rPr>
                <w:rFonts w:hint="eastAsia" w:ascii="宋体" w:hAnsi="宋体" w:eastAsia="宋体" w:cs="宋体"/>
                <w:color w:val="auto"/>
                <w:sz w:val="24"/>
              </w:rPr>
              <w:t xml:space="preserve">。方案优于项目需求的得</w:t>
            </w:r>
            <w:r>
              <w:rPr>
                <w:rFonts w:ascii="宋体" w:hAnsi="宋体" w:eastAsia="宋体" w:cs="宋体"/>
                <w:color w:val="auto"/>
                <w:sz w:val="24"/>
              </w:rPr>
              <w:t xml:space="preserve">6</w:t>
            </w:r>
            <w:r>
              <w:rPr>
                <w:rFonts w:hint="eastAsia" w:ascii="宋体" w:hAnsi="宋体" w:eastAsia="宋体" w:cs="宋体"/>
                <w:color w:val="auto"/>
                <w:sz w:val="24"/>
              </w:rPr>
              <w:t xml:space="preserve">分；满足项目需求的得</w:t>
            </w:r>
            <w:r>
              <w:rPr>
                <w:rFonts w:ascii="宋体" w:hAnsi="宋体" w:eastAsia="宋体" w:cs="宋体"/>
                <w:color w:val="auto"/>
                <w:sz w:val="24"/>
              </w:rPr>
              <w:t xml:space="preserve">4</w:t>
            </w:r>
            <w:r>
              <w:rPr>
                <w:rFonts w:hint="eastAsia" w:ascii="宋体" w:hAnsi="宋体" w:eastAsia="宋体" w:cs="宋体"/>
                <w:color w:val="auto"/>
                <w:sz w:val="24"/>
              </w:rPr>
              <w:t xml:space="preserve">分；不满足或无此项内容的本项不得分。</w:t>
            </w:r>
            <w:r/>
          </w:p>
          <w:p>
            <w:pPr>
              <w:widowControl/>
              <w:rPr>
                <w:rFonts w:asciiTheme="minorEastAsia" w:hAnsiTheme="minorEastAsia" w:cstheme="minorEastAsia"/>
                <w:color w:val="auto"/>
                <w:szCs w:val="21"/>
              </w:rPr>
            </w:pPr>
            <w:r>
              <w:rPr>
                <w:rFonts w:hint="eastAsia" w:ascii="宋体" w:hAnsi="宋体" w:eastAsia="宋体" w:cs="宋体"/>
                <w:color w:val="auto"/>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680"/>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6</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售后服务方案</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w:t>
            </w:r>
            <w:r>
              <w:rPr>
                <w:rFonts w:asciiTheme="minorEastAsia" w:hAnsiTheme="minorEastAsia" w:cstheme="minorEastAsia"/>
                <w:color w:val="auto"/>
                <w:szCs w:val="21"/>
              </w:rPr>
              <w:t xml:space="preserve">6</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rPr>
                <w:rFonts w:ascii="宋体" w:hAnsi="宋体" w:eastAsia="宋体" w:cs="宋体"/>
                <w:color w:val="auto"/>
                <w:sz w:val="24"/>
              </w:rPr>
            </w:pPr>
            <w:r>
              <w:rPr>
                <w:rFonts w:hint="eastAsia" w:ascii="宋体" w:hAnsi="宋体" w:eastAsia="宋体" w:cs="宋体"/>
                <w:color w:val="auto"/>
                <w:sz w:val="24"/>
              </w:rPr>
              <w:t xml:space="preserve">根据供应商提供的项目第四章其他中“6.售后服务方案”要求提供技术方案，至少包括以下内容：①供</w:t>
            </w:r>
            <w:r>
              <w:rPr>
                <w:rFonts w:hint="eastAsia" w:ascii="宋体" w:hAnsi="宋体" w:eastAsia="宋体" w:cs="宋体"/>
                <w:color w:val="auto"/>
                <w:sz w:val="24"/>
                <w:szCs w:val="21"/>
                <w:lang w:bidi="ar"/>
              </w:rPr>
              <w:t xml:space="preserve">应商提供的售后服务标准；②在质量保证期内产品质量问题解决；③售后技术支持服务。</w:t>
            </w:r>
            <w:r>
              <w:rPr>
                <w:rFonts w:hint="eastAsia" w:ascii="宋体" w:hAnsi="宋体" w:eastAsia="宋体" w:cs="宋体"/>
                <w:color w:val="auto"/>
                <w:sz w:val="24"/>
              </w:rPr>
              <w:t xml:space="preserve">方案优于项目需求的得</w:t>
            </w:r>
            <w:r>
              <w:rPr>
                <w:rFonts w:ascii="宋体" w:hAnsi="宋体" w:eastAsia="宋体" w:cs="宋体"/>
                <w:color w:val="auto"/>
                <w:sz w:val="24"/>
              </w:rPr>
              <w:t xml:space="preserve">6</w:t>
            </w:r>
            <w:r>
              <w:rPr>
                <w:rFonts w:hint="eastAsia" w:ascii="宋体" w:hAnsi="宋体" w:eastAsia="宋体" w:cs="宋体"/>
                <w:color w:val="auto"/>
                <w:sz w:val="24"/>
              </w:rPr>
              <w:t xml:space="preserve">分；满足项目需求的得</w:t>
            </w:r>
            <w:r>
              <w:rPr>
                <w:rFonts w:ascii="宋体" w:hAnsi="宋体" w:eastAsia="宋体" w:cs="宋体"/>
                <w:color w:val="auto"/>
                <w:sz w:val="24"/>
              </w:rPr>
              <w:t xml:space="preserve">4</w:t>
            </w:r>
            <w:r>
              <w:rPr>
                <w:rFonts w:hint="eastAsia" w:ascii="宋体" w:hAnsi="宋体" w:eastAsia="宋体" w:cs="宋体"/>
                <w:color w:val="auto"/>
                <w:sz w:val="24"/>
              </w:rPr>
              <w:t xml:space="preserve">分；不满足或无此项内容的本项不得分。</w:t>
            </w:r>
            <w:r/>
          </w:p>
          <w:p>
            <w:pPr>
              <w:widowControl/>
              <w:rPr>
                <w:rFonts w:asciiTheme="minorEastAsia" w:hAnsiTheme="minorEastAsia" w:cstheme="minorEastAsia"/>
                <w:color w:val="auto"/>
                <w:szCs w:val="21"/>
              </w:rPr>
            </w:pPr>
            <w:r>
              <w:rPr>
                <w:rFonts w:hint="eastAsia" w:ascii="宋体" w:hAnsi="宋体" w:eastAsia="宋体" w:cs="宋体"/>
                <w:color w:val="auto"/>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738" w:type="dxa"/>
            <w:vAlign w:val="center"/>
            <w:textDirection w:val="lrTb"/>
            <w:noWrap w:val="false"/>
          </w:tcPr>
          <w:p>
            <w:pPr>
              <w:jc w:val="center"/>
              <w:widowControl/>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61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7</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类似业绩</w:t>
            </w:r>
            <w:r/>
          </w:p>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w:t>
            </w:r>
            <w:r>
              <w:rPr>
                <w:rFonts w:asciiTheme="minorEastAsia" w:hAnsiTheme="minorEastAsia" w:cstheme="minorEastAsia"/>
                <w:color w:val="auto"/>
                <w:szCs w:val="21"/>
              </w:rPr>
              <w:t xml:space="preserve">6</w:t>
            </w:r>
            <w:r>
              <w:rPr>
                <w:rFonts w:hint="eastAsia" w:asciiTheme="minorEastAsia" w:hAnsiTheme="minorEastAsia" w:cstheme="minorEastAsia"/>
                <w:color w:val="auto"/>
                <w:szCs w:val="21"/>
              </w:rPr>
              <w:t xml:space="preserve">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ascii="宋体" w:hAnsi="宋体" w:eastAsia="宋体" w:cs="宋体"/>
                <w:color w:val="000000"/>
                <w:sz w:val="21"/>
              </w:rPr>
              <w:t xml:space="preserve">投标人提供自2023年1月1日以来（以合同签订时间为准）承担过类似项目的案例，每提供1个得2分，最多得6分（提供合同复印件加盖公章，合同须能反映项目名称、主要标的物，签订时间和签章清晰可见）</w:t>
            </w:r>
            <w:r/>
          </w:p>
        </w:tc>
        <w:tc>
          <w:tcPr>
            <w:tcW w:w="738" w:type="dxa"/>
            <w:vAlign w:val="center"/>
            <w:textDirection w:val="lrTb"/>
            <w:noWrap w:val="false"/>
          </w:tcPr>
          <w:p>
            <w:pPr>
              <w:jc w:val="center"/>
              <w:rPr>
                <w:rFonts w:asciiTheme="minorEastAsia" w:hAnsiTheme="minorEastAsia" w:cstheme="minorEastAsia"/>
                <w:color w:val="auto"/>
                <w:szCs w:val="21"/>
              </w:rPr>
            </w:pPr>
            <w:r>
              <w:rPr>
                <w:rFonts w:asciiTheme="minorEastAsia" w:hAnsiTheme="minorEastAsia" w:cstheme="minorEastAsia"/>
                <w:color w:val="auto"/>
                <w:szCs w:val="21"/>
              </w:rPr>
              <w:t xml:space="preserve">6</w:t>
            </w:r>
            <w:r/>
          </w:p>
        </w:tc>
      </w:tr>
      <w:tr>
        <w:trPr>
          <w:trHeight w:val="618"/>
        </w:trPr>
        <w:tc>
          <w:tcPr>
            <w:tcW w:w="738" w:type="dxa"/>
            <w:vAlign w:val="center"/>
            <w:textDirection w:val="lrTb"/>
            <w:noWrap w:val="false"/>
          </w:tcPr>
          <w:p>
            <w:pPr>
              <w:jc w:val="cente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8</w:t>
            </w:r>
            <w:r/>
          </w:p>
        </w:tc>
        <w:tc>
          <w:tcPr>
            <w:tcW w:w="1128"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节能（2分）</w:t>
            </w:r>
            <w:r/>
          </w:p>
        </w:tc>
        <w:tc>
          <w:tcPr>
            <w:tcW w:w="5718" w:type="dxa"/>
            <w:vAlign w:val="center"/>
            <w:textDirection w:val="lrTb"/>
            <w:noWrap w:val="false"/>
          </w:tcPr>
          <w:p>
            <w:pPr>
              <w:widowControl/>
              <w:rPr>
                <w:rFonts w:asciiTheme="minorEastAsia" w:hAnsiTheme="minorEastAsia" w:cstheme="minorEastAsia"/>
                <w:color w:val="auto"/>
                <w:szCs w:val="21"/>
              </w:rPr>
            </w:pPr>
            <w:r>
              <w:rPr>
                <w:rFonts w:hint="eastAsia" w:ascii="宋体" w:hAnsi="宋体" w:eastAsia="宋体" w:cs="宋体"/>
                <w:color w:val="auto"/>
                <w:sz w:val="24"/>
                <w:lang w:val="zh-CN"/>
              </w:rPr>
              <w:t xml:space="preserve">1.投标产品属于财政部、国家发展改革委公布的“节能产品品目清单”范围内的，投标人提供国家确定的认证机构出具的、处于有效期之内的该节能产品认证证书的，有1个得</w:t>
            </w:r>
            <w:r>
              <w:rPr>
                <w:rFonts w:hint="eastAsia" w:ascii="宋体" w:hAnsi="宋体" w:eastAsia="宋体" w:cs="宋体"/>
                <w:color w:val="auto"/>
                <w:sz w:val="24"/>
              </w:rPr>
              <w:t xml:space="preserve">1</w:t>
            </w:r>
            <w:r>
              <w:rPr>
                <w:rFonts w:hint="eastAsia" w:ascii="宋体" w:hAnsi="宋体" w:eastAsia="宋体" w:cs="宋体"/>
                <w:color w:val="auto"/>
                <w:sz w:val="24"/>
                <w:lang w:val="zh-CN"/>
              </w:rPr>
              <w:t xml:space="preserve">分，最多得</w:t>
            </w:r>
            <w:r>
              <w:rPr>
                <w:rFonts w:hint="eastAsia" w:ascii="宋体" w:hAnsi="宋体" w:eastAsia="宋体" w:cs="宋体"/>
                <w:color w:val="auto"/>
                <w:sz w:val="24"/>
              </w:rPr>
              <w:t xml:space="preserve">2</w:t>
            </w:r>
            <w:r>
              <w:rPr>
                <w:rFonts w:hint="eastAsia" w:ascii="宋体" w:hAnsi="宋体" w:eastAsia="宋体" w:cs="宋体"/>
                <w:color w:val="auto"/>
                <w:sz w:val="24"/>
                <w:lang w:val="zh-CN"/>
              </w:rPr>
              <w:t xml:space="preserve">分。如投标产品均属于政府强制采购节能产品品目清单范围内，本项不得分。</w:t>
            </w:r>
            <w:r/>
          </w:p>
        </w:tc>
        <w:tc>
          <w:tcPr>
            <w:tcW w:w="738" w:type="dxa"/>
            <w:vAlign w:val="center"/>
            <w:textDirection w:val="lrTb"/>
            <w:noWrap w:val="false"/>
          </w:tcPr>
          <w:p>
            <w:pPr>
              <w:jc w:val="center"/>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2</w:t>
            </w:r>
            <w:r/>
          </w:p>
        </w:tc>
      </w:tr>
      <w:tr>
        <w:trPr>
          <w:trHeight w:val="563"/>
        </w:trPr>
        <w:tc>
          <w:tcPr>
            <w:gridSpan w:val="3"/>
            <w:tcW w:w="7584" w:type="dxa"/>
            <w:vAlign w:val="center"/>
            <w:textDirection w:val="lrTb"/>
            <w:noWrap w:val="false"/>
          </w:tcPr>
          <w:p>
            <w:pPr>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合计：</w:t>
            </w:r>
            <w:r/>
          </w:p>
        </w:tc>
        <w:tc>
          <w:tcPr>
            <w:tcW w:w="738" w:type="dxa"/>
            <w:vAlign w:val="center"/>
            <w:textDirection w:val="lrTb"/>
            <w:noWrap w:val="false"/>
          </w:tcPr>
          <w:p>
            <w:pPr>
              <w:jc w:val="right"/>
              <w:widowControl/>
              <w:rPr>
                <w:rFonts w:asciiTheme="minorEastAsia" w:hAnsiTheme="minorEastAsia" w:cstheme="minorEastAsia"/>
                <w:color w:val="auto"/>
                <w:szCs w:val="21"/>
              </w:rPr>
            </w:pPr>
            <w:r>
              <w:rPr>
                <w:rFonts w:hint="eastAsia" w:asciiTheme="minorEastAsia" w:hAnsiTheme="minorEastAsia" w:cstheme="minorEastAsia"/>
                <w:color w:val="auto"/>
                <w:szCs w:val="21"/>
              </w:rPr>
              <w:t xml:space="preserve">100</w:t>
            </w:r>
            <w:r/>
          </w:p>
        </w:tc>
      </w:tr>
    </w:tbl>
    <w:p>
      <w:pPr>
        <w:pStyle w:val="833"/>
        <w:rPr>
          <w:color w:val="auto"/>
        </w:rPr>
      </w:pPr>
      <w:r/>
      <w:bookmarkStart w:id="198" w:name="_Toc234256918"/>
      <w:r/>
      <w:r/>
    </w:p>
    <w:p>
      <w:pPr>
        <w:rPr>
          <w:color w:val="auto"/>
        </w:rPr>
      </w:pPr>
      <w:r>
        <w:rPr>
          <w:rFonts w:hint="eastAsia"/>
          <w:color w:val="auto"/>
        </w:rPr>
        <w:br w:type="page" w:clear="all"/>
      </w:r>
      <w:r/>
    </w:p>
    <w:p>
      <w:pPr>
        <w:pStyle w:val="833"/>
        <w:rPr>
          <w:color w:val="auto"/>
        </w:rPr>
      </w:pPr>
      <w:r>
        <w:rPr>
          <w:rFonts w:hint="eastAsia"/>
          <w:color w:val="auto"/>
        </w:rPr>
        <w:t xml:space="preserve">第六章  投标文件格式</w:t>
      </w:r>
      <w:bookmarkEnd w:id="198"/>
      <w:r>
        <w:rPr>
          <w:rFonts w:hint="eastAsia"/>
          <w:color w:val="auto"/>
        </w:rPr>
        <w:t xml:space="preserve"> </w:t>
      </w:r>
      <w:r/>
    </w:p>
    <w:p>
      <w:pPr>
        <w:pStyle w:val="833"/>
        <w:rPr>
          <w:color w:val="auto"/>
        </w:rPr>
      </w:pPr>
      <w:r>
        <w:rPr>
          <w:color w:val="auto"/>
        </w:rPr>
      </w:r>
      <w:r/>
    </w:p>
    <w:p>
      <w:pPr>
        <w:pStyle w:val="833"/>
        <w:rPr>
          <w:color w:val="auto"/>
        </w:rPr>
      </w:pPr>
      <w:r>
        <w:rPr>
          <w:color w:val="auto"/>
        </w:rPr>
      </w:r>
      <w:r/>
    </w:p>
    <w:p>
      <w:pPr>
        <w:pStyle w:val="833"/>
        <w:rPr>
          <w:color w:val="auto"/>
        </w:rPr>
      </w:pPr>
      <w:r>
        <w:rPr>
          <w:color w:val="auto"/>
        </w:rPr>
      </w:r>
      <w:r/>
    </w:p>
    <w:p>
      <w:pPr>
        <w:pStyle w:val="665"/>
        <w:jc w:val="center"/>
        <w:spacing w:beforeAutospacing="0" w:afterAutospacing="0"/>
        <w:rPr>
          <w:color w:val="auto"/>
        </w:rPr>
      </w:pPr>
      <w:r/>
      <w:bookmarkStart w:id="199" w:name="_Toc120614282"/>
      <w:r/>
      <w:bookmarkEnd w:id="199"/>
      <w:r/>
      <w:bookmarkStart w:id="200" w:name="_Toc49090576"/>
      <w:r/>
      <w:bookmarkEnd w:id="200"/>
      <w:r/>
      <w:bookmarkStart w:id="201" w:name="_Hlt26955039"/>
      <w:r/>
      <w:bookmarkStart w:id="202" w:name="_Toc26554094"/>
      <w:r/>
      <w:bookmarkStart w:id="203" w:name="_Hlt26671244"/>
      <w:r>
        <w:rPr>
          <w:rFonts w:hint="eastAsia" w:ascii="宋体" w:hAnsi="宋体" w:eastAsia="宋体" w:cs="宋体"/>
          <w:b/>
          <w:color w:val="auto"/>
          <w:sz w:val="72"/>
          <w:szCs w:val="72"/>
        </w:rPr>
        <w:t xml:space="preserve">投  标  文  件</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t xml:space="preserve"> </w:t>
      </w:r>
      <w:r/>
    </w:p>
    <w:p>
      <w:pPr>
        <w:pStyle w:val="665"/>
        <w:ind w:firstLine="1084"/>
        <w:jc w:val="both"/>
        <w:spacing w:beforeAutospacing="0" w:afterAutospacing="0"/>
        <w:rPr>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665"/>
        <w:ind w:firstLine="1084"/>
        <w:jc w:val="both"/>
        <w:spacing w:beforeAutospacing="0" w:afterAutospacing="0"/>
        <w:rPr>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665"/>
        <w:jc w:val="both"/>
        <w:spacing w:beforeAutospacing="0" w:afterAutospacing="0"/>
        <w:rPr>
          <w:color w:val="auto"/>
        </w:rPr>
      </w:pPr>
      <w:r>
        <w:rPr>
          <w:rFonts w:hint="eastAsia" w:ascii="宋体" w:hAnsi="宋体" w:eastAsia="宋体" w:cs="宋体"/>
          <w:b/>
          <w:color w:val="auto"/>
          <w:sz w:val="36"/>
          <w:szCs w:val="36"/>
        </w:rPr>
        <w:t xml:space="preserve">   投标人名称 ：</w:t>
      </w:r>
      <w:r>
        <w:rPr>
          <w:rFonts w:hint="eastAsia" w:ascii="宋体" w:hAnsi="宋体" w:eastAsia="宋体" w:cs="宋体"/>
          <w:b/>
          <w:color w:val="auto"/>
          <w:sz w:val="36"/>
          <w:szCs w:val="36"/>
          <w:u w:val="single"/>
        </w:rPr>
        <w:t xml:space="preserve">（加盖CA电子公章）</w:t>
      </w:r>
      <w:r/>
    </w:p>
    <w:p>
      <w:pPr>
        <w:pStyle w:val="665"/>
        <w:jc w:val="both"/>
        <w:spacing w:beforeAutospacing="0" w:afterAutospacing="0"/>
        <w:rPr>
          <w:color w:val="auto"/>
        </w:rPr>
      </w:pPr>
      <w:r>
        <w:rPr>
          <w:rFonts w:hint="eastAsia" w:ascii="宋体" w:hAnsi="宋体" w:eastAsia="宋体" w:cs="宋体"/>
          <w:b/>
          <w:color w:val="auto"/>
          <w:sz w:val="36"/>
          <w:szCs w:val="36"/>
        </w:rPr>
        <w:t xml:space="preserve">   日   期 ：</w:t>
      </w:r>
      <w:r>
        <w:rPr>
          <w:rFonts w:hint="eastAsia" w:ascii="宋体" w:hAnsi="宋体" w:eastAsia="宋体" w:cs="宋体"/>
          <w:b/>
          <w:color w:val="auto"/>
          <w:sz w:val="36"/>
          <w:szCs w:val="36"/>
          <w:u w:val="single"/>
        </w:rPr>
        <w:t xml:space="preserve">             </w:t>
      </w:r>
      <w:r/>
    </w:p>
    <w:p>
      <w:pPr>
        <w:pStyle w:val="665"/>
        <w:jc w:val="center"/>
        <w:spacing w:beforeAutospacing="0" w:afterAutospacing="0" w:line="0" w:lineRule="atLeast"/>
        <w:rPr>
          <w:color w:val="auto"/>
        </w:rPr>
      </w:pPr>
      <w:r>
        <w:rPr>
          <w:color w:val="auto"/>
        </w:rPr>
      </w:r>
      <w:r/>
    </w:p>
    <w:p>
      <w:pPr>
        <w:pStyle w:val="665"/>
        <w:jc w:val="center"/>
        <w:spacing w:beforeAutospacing="0" w:afterAutospacing="0" w:line="0" w:lineRule="atLeast"/>
        <w:rPr>
          <w:color w:val="auto"/>
        </w:rPr>
      </w:pPr>
      <w:r>
        <w:rPr>
          <w:color w:val="auto"/>
        </w:rPr>
      </w:r>
      <w:r/>
    </w:p>
    <w:p>
      <w:pPr>
        <w:pStyle w:val="665"/>
        <w:jc w:val="center"/>
        <w:spacing w:beforeAutospacing="0" w:afterAutospacing="0" w:line="0" w:lineRule="atLeast"/>
        <w:rPr>
          <w:color w:val="auto"/>
        </w:rPr>
      </w:pPr>
      <w:r>
        <w:rPr>
          <w:color w:val="auto"/>
        </w:rPr>
      </w:r>
      <w:r/>
    </w:p>
    <w:p>
      <w:pPr>
        <w:pStyle w:val="665"/>
        <w:jc w:val="center"/>
        <w:spacing w:beforeAutospacing="0" w:afterAutospacing="0" w:line="0" w:lineRule="atLeast"/>
        <w:rPr>
          <w:color w:val="auto"/>
        </w:rPr>
      </w:pPr>
      <w:r>
        <w:rPr>
          <w:color w:val="auto"/>
        </w:rPr>
      </w:r>
      <w:r/>
    </w:p>
    <w:p>
      <w:pPr>
        <w:pStyle w:val="665"/>
        <w:jc w:val="center"/>
        <w:spacing w:beforeAutospacing="0" w:afterAutospacing="0" w:line="0" w:lineRule="atLeast"/>
        <w:rPr>
          <w:color w:val="auto"/>
        </w:rPr>
      </w:pPr>
      <w:r>
        <w:rPr>
          <w:color w:val="auto"/>
        </w:rPr>
      </w:r>
      <w:r/>
    </w:p>
    <w:p>
      <w:pPr>
        <w:pStyle w:val="665"/>
        <w:jc w:val="center"/>
        <w:spacing w:beforeAutospacing="0" w:afterAutospacing="0" w:line="0" w:lineRule="atLeast"/>
        <w:rPr>
          <w:color w:val="auto"/>
        </w:rPr>
      </w:pPr>
      <w:r>
        <w:rPr>
          <w:color w:val="auto"/>
        </w:rPr>
      </w:r>
      <w:r/>
    </w:p>
    <w:p>
      <w:pPr>
        <w:pStyle w:val="665"/>
        <w:jc w:val="center"/>
        <w:spacing w:beforeAutospacing="0" w:afterAutospacing="0" w:line="0" w:lineRule="atLeast"/>
        <w:rPr>
          <w:color w:val="auto"/>
        </w:rPr>
      </w:pPr>
      <w:r>
        <w:rPr>
          <w:color w:val="auto"/>
        </w:rPr>
      </w:r>
      <w:r/>
    </w:p>
    <w:p>
      <w:pPr>
        <w:pStyle w:val="665"/>
        <w:jc w:val="center"/>
        <w:spacing w:beforeAutospacing="0" w:afterAutospacing="0" w:line="0" w:lineRule="atLeast"/>
        <w:rPr>
          <w:color w:val="auto"/>
        </w:rPr>
      </w:pPr>
      <w:r>
        <w:rPr>
          <w:color w:val="auto"/>
        </w:rPr>
      </w:r>
      <w:r/>
    </w:p>
    <w:p>
      <w:pPr>
        <w:pStyle w:val="665"/>
        <w:jc w:val="center"/>
        <w:spacing w:beforeAutospacing="0" w:afterAutospacing="0" w:line="0" w:lineRule="atLeast"/>
        <w:rPr>
          <w:color w:val="auto"/>
        </w:rPr>
      </w:pPr>
      <w:r>
        <w:rPr>
          <w:color w:val="auto"/>
        </w:rPr>
        <w:t xml:space="preserve">  </w:t>
      </w:r>
      <w:r/>
    </w:p>
    <w:p>
      <w:pPr>
        <w:pStyle w:val="665"/>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665"/>
        <w:jc w:val="center"/>
        <w:spacing w:beforeAutospacing="0" w:afterAutospacing="0" w:line="0" w:lineRule="atLeast"/>
        <w:rPr>
          <w:color w:val="auto"/>
        </w:rPr>
      </w:pPr>
      <w:r>
        <w:rPr>
          <w:color w:val="auto"/>
        </w:rPr>
        <w:t xml:space="preserve"> </w:t>
      </w:r>
      <w:r/>
    </w:p>
    <w:p>
      <w:pPr>
        <w:pStyle w:val="665"/>
        <w:ind w:firstLine="480"/>
        <w:jc w:val="both"/>
        <w:spacing w:beforeAutospacing="0" w:afterAutospacing="0" w:line="360" w:lineRule="auto"/>
        <w:rPr>
          <w:iCs/>
          <w:color w:val="auto"/>
        </w:rPr>
      </w:pPr>
      <w:r>
        <w:rPr>
          <w:rFonts w:hint="eastAsia" w:ascii="宋体" w:hAnsi="宋体" w:eastAsia="宋体" w:cs="宋体"/>
          <w:iCs/>
          <w:color w:val="auto"/>
        </w:rPr>
        <w:t xml:space="preserve">一、法人或者其他组织的营业执照等证明文件，自然人的身份证明</w:t>
      </w:r>
      <w:r/>
    </w:p>
    <w:p>
      <w:pPr>
        <w:ind w:firstLine="480"/>
        <w:jc w:val="left"/>
        <w:spacing w:line="360" w:lineRule="auto"/>
        <w:tabs>
          <w:tab w:val="left" w:pos="1331" w:leader="none"/>
        </w:tabs>
        <w:rPr>
          <w:iCs/>
          <w:color w:val="auto"/>
        </w:rPr>
      </w:pPr>
      <w:r>
        <w:rPr>
          <w:rFonts w:hint="eastAsia" w:ascii="宋体" w:hAnsi="宋体" w:eastAsia="宋体" w:cs="宋体"/>
          <w:iCs/>
          <w:color w:val="auto"/>
          <w:sz w:val="24"/>
        </w:rPr>
        <w:t xml:space="preserve">二、上一年度的财务状况报告（至少提供资产负债表、利润表、现金流量表，</w:t>
      </w:r>
      <w:r>
        <w:rPr>
          <w:rFonts w:hint="eastAsia" w:ascii="宋体" w:hAnsi="宋体" w:eastAsia="宋体" w:cs="宋体"/>
          <w:iCs/>
          <w:color w:val="auto"/>
        </w:rPr>
        <w:t xml:space="preserve">投标人成立不满一年无需提供）</w:t>
      </w:r>
      <w:r/>
    </w:p>
    <w:p>
      <w:pPr>
        <w:pStyle w:val="665"/>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三、具备履行合同所必需的设备和专业技术能力的书面声明</w:t>
      </w:r>
      <w:r/>
    </w:p>
    <w:p>
      <w:pPr>
        <w:pStyle w:val="665"/>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5"/>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单位负责人为同一人或者存在直接控股、管理关系的不同供应商，不得参加同一合同项下的政府采购活动(自行承诺)</w:t>
      </w:r>
      <w:r/>
    </w:p>
    <w:p>
      <w:pPr>
        <w:pStyle w:val="665"/>
        <w:ind w:firstLine="480"/>
        <w:jc w:val="both"/>
        <w:spacing w:beforeAutospacing="0" w:afterAutospacing="0" w:line="360" w:lineRule="auto"/>
        <w:rPr>
          <w:iCs/>
          <w:color w:val="auto"/>
        </w:rPr>
      </w:pPr>
      <w:r>
        <w:rPr>
          <w:rFonts w:hint="eastAsia" w:ascii="宋体" w:hAnsi="宋体" w:eastAsia="宋体" w:cs="宋体"/>
          <w:iCs/>
          <w:color w:val="auto"/>
        </w:rPr>
        <w:t xml:space="preserve">五、参加政府采购活动前 3 年内在经营活动中没有重大违法记录的书面声明</w:t>
      </w:r>
      <w:r/>
    </w:p>
    <w:p>
      <w:pPr>
        <w:pStyle w:val="665"/>
        <w:ind w:firstLine="480"/>
        <w:jc w:val="both"/>
        <w:spacing w:beforeAutospacing="0" w:afterAutospacing="0" w:line="360" w:lineRule="auto"/>
        <w:rPr>
          <w:iCs/>
          <w:color w:val="auto"/>
        </w:rPr>
      </w:pPr>
      <w:r>
        <w:rPr>
          <w:rFonts w:hint="eastAsia" w:ascii="宋体" w:hAnsi="宋体" w:eastAsia="宋体" w:cs="宋体"/>
          <w:iCs/>
          <w:color w:val="auto"/>
        </w:rPr>
        <w:t xml:space="preserve">六、特定资格要求的证明文件（如果本项目设置特定资格要求，则需要提供）</w:t>
      </w:r>
      <w:r/>
    </w:p>
    <w:p>
      <w:pPr>
        <w:pStyle w:val="665"/>
        <w:ind w:firstLine="480"/>
        <w:jc w:val="both"/>
        <w:spacing w:beforeAutospacing="0" w:afterAutospacing="0" w:line="360" w:lineRule="auto"/>
        <w:rPr>
          <w:iCs/>
          <w:color w:val="auto"/>
        </w:rPr>
      </w:pPr>
      <w:r>
        <w:rPr>
          <w:rFonts w:hint="eastAsia" w:ascii="宋体" w:hAnsi="宋体" w:eastAsia="宋体" w:cs="宋体"/>
          <w:iCs/>
          <w:color w:val="auto"/>
        </w:rPr>
        <w:t xml:space="preserve">七、法人授权书</w:t>
      </w:r>
      <w:r/>
    </w:p>
    <w:p>
      <w:pPr>
        <w:pStyle w:val="665"/>
        <w:ind w:firstLine="480"/>
        <w:jc w:val="both"/>
        <w:spacing w:beforeAutospacing="0" w:afterAutospacing="0" w:line="360" w:lineRule="auto"/>
        <w:rPr>
          <w:iCs/>
          <w:color w:val="auto"/>
        </w:rPr>
      </w:pPr>
      <w:r>
        <w:rPr>
          <w:rFonts w:hint="eastAsia" w:ascii="宋体" w:hAnsi="宋体" w:eastAsia="宋体" w:cs="宋体"/>
          <w:iCs/>
          <w:color w:val="auto"/>
        </w:rPr>
        <w:t xml:space="preserve">八、投标函</w:t>
      </w:r>
      <w:r/>
    </w:p>
    <w:p>
      <w:pPr>
        <w:pStyle w:val="665"/>
        <w:ind w:firstLine="480"/>
        <w:jc w:val="both"/>
        <w:spacing w:beforeAutospacing="0" w:afterAutospacing="0" w:line="360" w:lineRule="auto"/>
        <w:rPr>
          <w:iCs/>
          <w:color w:val="auto"/>
        </w:rPr>
      </w:pPr>
      <w:r>
        <w:rPr>
          <w:rFonts w:hint="eastAsia" w:ascii="宋体" w:hAnsi="宋体" w:eastAsia="宋体" w:cs="宋体"/>
          <w:iCs/>
          <w:color w:val="auto"/>
        </w:rPr>
        <w:t xml:space="preserve">九、中小企业声明函</w:t>
      </w:r>
      <w:r/>
    </w:p>
    <w:p>
      <w:pPr>
        <w:pStyle w:val="665"/>
        <w:ind w:firstLine="480"/>
        <w:jc w:val="both"/>
        <w:spacing w:beforeAutospacing="0" w:afterAutospacing="0" w:line="360" w:lineRule="auto"/>
        <w:rPr>
          <w:rFonts w:ascii="宋体" w:hAnsi="宋体" w:eastAsia="宋体" w:cs="宋体"/>
          <w:iCs/>
          <w:color w:val="auto"/>
        </w:rPr>
      </w:pPr>
      <w:r>
        <w:rPr>
          <w:rFonts w:hint="eastAsia" w:ascii="宋体" w:hAnsi="宋体" w:eastAsia="宋体" w:cs="宋体"/>
          <w:iCs/>
          <w:color w:val="auto"/>
        </w:rPr>
        <w:t xml:space="preserve">十、残疾人福利性单位声明函</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十一、关于符合本国产品标准的声明函</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十二、投标分项报价表</w:t>
      </w:r>
      <w:r/>
    </w:p>
    <w:p>
      <w:pPr>
        <w:ind w:firstLine="480"/>
        <w:spacing w:line="360" w:lineRule="auto"/>
        <w:rPr>
          <w:rFonts w:ascii="Calibri" w:hAnsi="Calibri" w:eastAsia="宋体" w:cs="Times New Roman"/>
          <w:iCs/>
          <w:color w:val="auto"/>
          <w:sz w:val="24"/>
        </w:rPr>
      </w:pPr>
      <w:r>
        <w:rPr>
          <w:rFonts w:hint="eastAsia" w:ascii="宋体" w:hAnsi="宋体" w:eastAsia="宋体" w:cs="宋体"/>
          <w:iCs/>
          <w:color w:val="auto"/>
          <w:sz w:val="24"/>
        </w:rPr>
        <w:t xml:space="preserve">十三、技术要求响应及偏离表</w:t>
      </w:r>
      <w:r/>
    </w:p>
    <w:p>
      <w:pPr>
        <w:ind w:firstLine="480"/>
        <w:spacing w:line="360" w:lineRule="auto"/>
        <w:rPr>
          <w:rFonts w:ascii="Calibri" w:hAnsi="Calibri" w:eastAsia="宋体" w:cs="Times New Roman"/>
          <w:iCs/>
          <w:color w:val="auto"/>
          <w:sz w:val="24"/>
        </w:rPr>
      </w:pPr>
      <w:r>
        <w:rPr>
          <w:rFonts w:hint="eastAsia" w:ascii="宋体" w:hAnsi="宋体" w:eastAsia="宋体" w:cs="宋体"/>
          <w:iCs/>
          <w:color w:val="auto"/>
          <w:sz w:val="24"/>
        </w:rPr>
        <w:t xml:space="preserve">十四、商务要求响应及偏离表</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十五、开标一览表</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十六、技术方案、服务承诺、培训承诺等</w:t>
      </w:r>
      <w:r/>
    </w:p>
    <w:p>
      <w:pPr>
        <w:ind w:firstLine="480"/>
        <w:spacing w:line="360" w:lineRule="auto"/>
        <w:rPr>
          <w:rFonts w:ascii="宋体" w:hAnsi="宋体" w:eastAsia="宋体" w:cs="宋体"/>
          <w:iCs/>
          <w:color w:val="auto"/>
          <w:sz w:val="24"/>
        </w:rPr>
      </w:pPr>
      <w:r>
        <w:rPr>
          <w:rFonts w:hint="eastAsia" w:ascii="宋体" w:hAnsi="宋体" w:eastAsia="宋体" w:cs="宋体"/>
          <w:iCs/>
          <w:color w:val="auto"/>
          <w:sz w:val="24"/>
        </w:rPr>
        <w:t xml:space="preserve">十七、盐城市政府采购事前信用承诺书</w:t>
      </w:r>
      <w:r/>
    </w:p>
    <w:p>
      <w:pPr>
        <w:pStyle w:val="665"/>
        <w:ind w:firstLine="480"/>
        <w:jc w:val="both"/>
        <w:spacing w:beforeAutospacing="0" w:afterAutospacing="0" w:line="0" w:lineRule="atLeast"/>
        <w:rPr>
          <w:color w:val="auto"/>
        </w:rPr>
      </w:pPr>
      <w:r>
        <w:rPr>
          <w:color w:val="auto"/>
        </w:rPr>
        <w:t xml:space="preserve"> </w:t>
      </w:r>
      <w:r/>
    </w:p>
    <w:p>
      <w:pPr>
        <w:pStyle w:val="665"/>
        <w:ind w:firstLine="480"/>
        <w:jc w:val="both"/>
        <w:spacing w:beforeAutospacing="0" w:afterAutospacing="0" w:line="0" w:lineRule="atLeast"/>
        <w:rPr>
          <w:color w:val="auto"/>
        </w:rPr>
      </w:pPr>
      <w:r>
        <w:rPr>
          <w:color w:val="auto"/>
        </w:rPr>
        <w:t xml:space="preserve"> </w:t>
      </w:r>
      <w:r/>
    </w:p>
    <w:p>
      <w:pPr>
        <w:pStyle w:val="665"/>
        <w:ind w:firstLine="480"/>
        <w:jc w:val="both"/>
        <w:spacing w:beforeAutospacing="0" w:afterAutospacing="0" w:line="0" w:lineRule="atLeast"/>
        <w:rPr>
          <w:color w:val="auto"/>
        </w:rPr>
      </w:pPr>
      <w:r>
        <w:rPr>
          <w:color w:val="auto"/>
        </w:rPr>
        <w:t xml:space="preserve"> </w:t>
      </w:r>
      <w:r/>
    </w:p>
    <w:p>
      <w:pPr>
        <w:pStyle w:val="665"/>
        <w:ind w:firstLine="480"/>
        <w:jc w:val="both"/>
        <w:spacing w:beforeAutospacing="0" w:afterAutospacing="0" w:line="0" w:lineRule="atLeast"/>
        <w:rPr>
          <w:color w:val="auto"/>
        </w:rPr>
      </w:pPr>
      <w:r>
        <w:rPr>
          <w:color w:val="auto"/>
        </w:rPr>
        <w:t xml:space="preserve"> </w:t>
      </w:r>
      <w:r/>
    </w:p>
    <w:p>
      <w:pPr>
        <w:pStyle w:val="665"/>
        <w:ind w:firstLine="480"/>
        <w:jc w:val="both"/>
        <w:spacing w:beforeAutospacing="0" w:afterAutospacing="0" w:line="0" w:lineRule="atLeast"/>
        <w:rPr>
          <w:color w:val="auto"/>
        </w:rPr>
      </w:pPr>
      <w:r>
        <w:rPr>
          <w:color w:val="auto"/>
        </w:rPr>
      </w:r>
      <w:r/>
    </w:p>
    <w:p>
      <w:pPr>
        <w:pStyle w:val="665"/>
        <w:ind w:firstLine="480"/>
        <w:jc w:val="both"/>
        <w:spacing w:beforeAutospacing="0" w:afterAutospacing="0" w:line="0" w:lineRule="atLeast"/>
        <w:rPr>
          <w:color w:val="auto"/>
        </w:rPr>
      </w:pPr>
      <w:r>
        <w:rPr>
          <w:color w:val="auto"/>
        </w:rPr>
        <w:t xml:space="preserve"> </w:t>
      </w:r>
      <w:r/>
    </w:p>
    <w:p>
      <w:pPr>
        <w:pStyle w:val="665"/>
        <w:ind w:firstLine="480"/>
        <w:jc w:val="both"/>
        <w:spacing w:beforeAutospacing="0" w:afterAutospacing="0" w:line="0" w:lineRule="atLeast"/>
        <w:rPr>
          <w:color w:val="auto"/>
        </w:rPr>
      </w:pPr>
      <w:r>
        <w:rPr>
          <w:color w:val="auto"/>
        </w:rPr>
        <w:t xml:space="preserve"> </w:t>
      </w:r>
      <w:r/>
    </w:p>
    <w:p>
      <w:pPr>
        <w:pStyle w:val="665"/>
        <w:ind w:firstLine="480"/>
        <w:jc w:val="both"/>
        <w:spacing w:beforeAutospacing="0" w:afterAutospacing="0" w:line="0" w:lineRule="atLeast"/>
        <w:rPr>
          <w:color w:val="auto"/>
        </w:rPr>
      </w:pPr>
      <w:r>
        <w:rPr>
          <w:color w:val="auto"/>
        </w:rPr>
        <w:t xml:space="preserve"> </w:t>
      </w:r>
      <w:r>
        <w:rPr>
          <w:rFonts w:hint="eastAsia" w:ascii="黑体" w:hAnsi="宋体" w:eastAsia="黑体" w:cs="黑体"/>
          <w:i/>
          <w:color w:val="auto"/>
          <w:sz w:val="32"/>
          <w:szCs w:val="32"/>
        </w:rPr>
        <w:t xml:space="preserve">一、法人或者其他组织的营业执照等证明文件，自然人的身份证明</w:t>
      </w:r>
      <w:r/>
    </w:p>
    <w:p>
      <w:pPr>
        <w:pStyle w:val="665"/>
        <w:ind w:firstLine="480"/>
        <w:jc w:val="both"/>
        <w:spacing w:beforeAutospacing="0" w:afterAutospacing="0" w:line="0" w:lineRule="atLeast"/>
        <w:rPr>
          <w:color w:val="auto"/>
        </w:rPr>
      </w:pPr>
      <w:r>
        <w:rPr>
          <w:color w:val="auto"/>
        </w:rPr>
        <w:t xml:space="preserve"> </w:t>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eastAsia="黑体"/>
          <w:color w:val="auto"/>
        </w:rPr>
      </w:pPr>
      <w:r>
        <w:rPr>
          <w:rFonts w:hint="eastAsia" w:ascii="黑体" w:hAnsi="宋体" w:eastAsia="黑体" w:cs="黑体"/>
          <w:i/>
          <w:color w:val="auto"/>
          <w:sz w:val="32"/>
          <w:szCs w:val="32"/>
        </w:rPr>
        <w:t xml:space="preserve">二、上一年度的财务状况报告</w:t>
      </w:r>
      <w:r/>
    </w:p>
    <w:p>
      <w:pPr>
        <w:ind w:firstLine="480"/>
        <w:jc w:val="left"/>
        <w:tabs>
          <w:tab w:val="left" w:pos="1331" w:leader="none"/>
        </w:tabs>
        <w:rPr>
          <w:iCs/>
          <w:color w:val="auto"/>
        </w:rPr>
      </w:pPr>
      <w:r>
        <w:rPr>
          <w:rFonts w:hint="eastAsia" w:ascii="宋体" w:hAnsi="宋体" w:eastAsia="宋体" w:cs="宋体"/>
          <w:iCs/>
          <w:color w:val="auto"/>
          <w:sz w:val="24"/>
        </w:rPr>
        <w:t xml:space="preserve">（至少提供资产负债表、利润表、现金流量表，</w:t>
      </w:r>
      <w:r>
        <w:rPr>
          <w:rFonts w:hint="eastAsia" w:ascii="宋体" w:hAnsi="宋体" w:eastAsia="宋体" w:cs="宋体"/>
          <w:iCs/>
          <w:color w:val="auto"/>
        </w:rPr>
        <w:t xml:space="preserve">投标人成立不满一年无需提供）</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color w:val="auto"/>
        </w:rPr>
      </w:pPr>
      <w:r>
        <w:rPr>
          <w:rFonts w:hint="eastAsia" w:ascii="黑体" w:hAnsi="宋体" w:eastAsia="黑体" w:cs="黑体"/>
          <w:i/>
          <w:color w:val="auto"/>
          <w:sz w:val="32"/>
          <w:szCs w:val="32"/>
        </w:rPr>
        <w:t xml:space="preserve">三、具备履行合同所必需的设备和专业技术能力的书面声明</w:t>
      </w:r>
      <w:r/>
    </w:p>
    <w:p>
      <w:pPr>
        <w:pStyle w:val="665"/>
        <w:ind w:firstLine="492"/>
        <w:jc w:val="both"/>
        <w:spacing w:beforeAutospacing="0" w:afterAutospacing="0" w:line="0" w:lineRule="atLeast"/>
        <w:rPr>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665"/>
        <w:ind w:firstLine="492"/>
        <w:jc w:val="both"/>
        <w:spacing w:beforeAutospacing="0" w:afterAutospacing="0" w:line="0" w:lineRule="atLeast"/>
        <w:rPr>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jc w:val="center"/>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 </w:t>
      </w:r>
      <w:r>
        <w:rPr>
          <w:rFonts w:ascii="宋体" w:hAnsi="宋体" w:eastAsia="宋体" w:cs="Times New Roman"/>
          <w:bCs/>
          <w:color w:val="auto"/>
          <w:sz w:val="24"/>
          <w:szCs w:val="21"/>
        </w:rPr>
        <w:t xml:space="preserve">                             </w:t>
      </w:r>
      <w:r>
        <w:rPr>
          <w:rFonts w:hint="eastAsia" w:ascii="宋体" w:hAnsi="宋体" w:eastAsia="宋体" w:cs="Times New Roman"/>
          <w:bCs/>
          <w:color w:val="auto"/>
          <w:sz w:val="24"/>
          <w:szCs w:val="21"/>
        </w:rPr>
        <w:t xml:space="preserve">供应商名称（公章）：</w:t>
      </w:r>
      <w:r/>
    </w:p>
    <w:p>
      <w:pPr>
        <w:jc w:val="center"/>
        <w:spacing w:line="500" w:lineRule="exact"/>
        <w:rPr>
          <w:rFonts w:ascii="宋体" w:hAnsi="宋体" w:eastAsia="宋体" w:cs="Times New Roman"/>
          <w:bCs/>
          <w:color w:val="auto"/>
          <w:sz w:val="24"/>
          <w:szCs w:val="21"/>
        </w:rPr>
      </w:pPr>
      <w:r>
        <w:rPr>
          <w:rFonts w:ascii="宋体" w:hAnsi="宋体" w:eastAsia="宋体" w:cs="Times New Roman"/>
          <w:bCs/>
          <w:color w:val="auto"/>
          <w:sz w:val="24"/>
          <w:szCs w:val="21"/>
        </w:rPr>
      </w:r>
      <w:r/>
    </w:p>
    <w:p>
      <w:pPr>
        <w:pStyle w:val="665"/>
        <w:jc w:val="both"/>
        <w:spacing w:beforeAutospacing="0" w:afterAutospacing="0"/>
        <w:rPr>
          <w:rFonts w:ascii="宋体" w:hAnsi="宋体" w:eastAsia="宋体" w:cs="宋体"/>
          <w:color w:val="auto"/>
        </w:rPr>
      </w:pPr>
      <w:r>
        <w:rPr>
          <w:rFonts w:ascii="宋体" w:hAnsi="宋体" w:eastAsia="宋体"/>
          <w:bCs/>
          <w:color w:val="auto"/>
          <w:szCs w:val="21"/>
        </w:rPr>
        <w:t xml:space="preserve">                                   </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 xml:space="preserve">   </w:t>
      </w:r>
      <w:r>
        <w:rPr>
          <w:rFonts w:hint="eastAsia" w:ascii="宋体" w:hAnsi="宋体" w:eastAsia="宋体"/>
          <w:bCs/>
          <w:color w:val="auto"/>
          <w:szCs w:val="21"/>
        </w:rPr>
        <w:t xml:space="preserve">日期：</w:t>
      </w:r>
      <w:r>
        <w:rPr>
          <w:rFonts w:ascii="宋体" w:hAnsi="宋体" w:eastAsia="宋体"/>
          <w:bCs/>
          <w:color w:val="auto"/>
          <w:szCs w:val="21"/>
          <w:u w:val="single"/>
        </w:rPr>
        <w:t xml:space="preserve">      </w:t>
      </w:r>
      <w:r>
        <w:rPr>
          <w:rFonts w:hint="eastAsia" w:ascii="宋体" w:hAnsi="宋体" w:eastAsia="宋体"/>
          <w:bCs/>
          <w:color w:val="auto"/>
          <w:szCs w:val="21"/>
        </w:rPr>
        <w:t xml:space="preserve">年</w:t>
      </w:r>
      <w:r>
        <w:rPr>
          <w:rFonts w:ascii="宋体" w:hAnsi="宋体" w:eastAsia="宋体"/>
          <w:bCs/>
          <w:color w:val="auto"/>
          <w:szCs w:val="21"/>
          <w:u w:val="single"/>
        </w:rPr>
        <w:t xml:space="preserve">    </w:t>
      </w:r>
      <w:r>
        <w:rPr>
          <w:rFonts w:hint="eastAsia" w:ascii="宋体" w:hAnsi="宋体" w:eastAsia="宋体"/>
          <w:bCs/>
          <w:color w:val="auto"/>
          <w:szCs w:val="21"/>
        </w:rPr>
        <w:t xml:space="preserve">月</w:t>
      </w:r>
      <w:r>
        <w:rPr>
          <w:rFonts w:ascii="宋体" w:hAnsi="宋体" w:eastAsia="宋体"/>
          <w:bCs/>
          <w:color w:val="auto"/>
          <w:szCs w:val="21"/>
          <w:u w:val="single"/>
        </w:rPr>
        <w:t xml:space="preserve">    </w:t>
      </w:r>
      <w:r>
        <w:rPr>
          <w:rFonts w:hint="eastAsia" w:ascii="宋体" w:hAnsi="宋体" w:eastAsia="宋体"/>
          <w:bCs/>
          <w:color w:val="auto"/>
          <w:szCs w:val="21"/>
        </w:rPr>
        <w:t xml:space="preserve">日</w:t>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color w:val="auto"/>
        </w:rPr>
      </w:pPr>
      <w:r>
        <w:rPr>
          <w:rFonts w:hint="eastAsia" w:ascii="黑体" w:hAnsi="宋体" w:eastAsia="黑体" w:cs="黑体"/>
          <w:i/>
          <w:color w:val="auto"/>
          <w:sz w:val="32"/>
          <w:szCs w:val="32"/>
        </w:rPr>
        <w:t xml:space="preserve">四、依法缴纳税收和社会保障资金的相关材料</w:t>
      </w:r>
      <w:r/>
    </w:p>
    <w:p>
      <w:pPr>
        <w:pStyle w:val="665"/>
        <w:ind w:firstLine="480"/>
        <w:jc w:val="both"/>
        <w:spacing w:beforeAutospacing="0" w:afterAutospacing="0"/>
        <w:rPr>
          <w:color w:val="auto"/>
        </w:rPr>
      </w:pPr>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jc w:val="center"/>
        <w:spacing w:line="500" w:lineRule="exact"/>
        <w:rPr>
          <w:rFonts w:ascii="宋体" w:hAnsi="宋体" w:eastAsia="宋体" w:cs="Times New Roman"/>
          <w:bCs/>
          <w:color w:val="auto"/>
          <w:sz w:val="24"/>
          <w:szCs w:val="21"/>
        </w:rPr>
      </w:pPr>
      <w:r>
        <w:rPr>
          <w:rFonts w:hint="eastAsia" w:ascii="宋体" w:hAnsi="宋体" w:eastAsia="宋体" w:cs="Times New Roman"/>
          <w:bCs/>
          <w:color w:val="auto"/>
          <w:sz w:val="24"/>
          <w:szCs w:val="21"/>
        </w:rPr>
        <w:t xml:space="preserve">    </w:t>
      </w:r>
      <w:r>
        <w:rPr>
          <w:rFonts w:ascii="宋体" w:hAnsi="宋体" w:eastAsia="宋体" w:cs="Times New Roman"/>
          <w:bCs/>
          <w:color w:val="auto"/>
          <w:sz w:val="24"/>
          <w:szCs w:val="21"/>
        </w:rPr>
        <w:t xml:space="preserve">                       </w:t>
      </w:r>
      <w:r>
        <w:rPr>
          <w:rFonts w:hint="eastAsia" w:ascii="宋体" w:hAnsi="宋体" w:eastAsia="宋体" w:cs="Times New Roman"/>
          <w:bCs/>
          <w:color w:val="auto"/>
          <w:sz w:val="24"/>
          <w:szCs w:val="21"/>
        </w:rPr>
        <w:t xml:space="preserve"> </w:t>
      </w:r>
      <w:r>
        <w:rPr>
          <w:rFonts w:ascii="宋体" w:hAnsi="宋体" w:eastAsia="宋体" w:cs="Times New Roman"/>
          <w:bCs/>
          <w:color w:val="auto"/>
          <w:sz w:val="24"/>
          <w:szCs w:val="21"/>
        </w:rPr>
        <w:t xml:space="preserve"> </w:t>
      </w:r>
      <w:r>
        <w:rPr>
          <w:rFonts w:hint="eastAsia" w:ascii="宋体" w:hAnsi="宋体" w:eastAsia="宋体" w:cs="Times New Roman"/>
          <w:bCs/>
          <w:color w:val="auto"/>
          <w:sz w:val="24"/>
          <w:szCs w:val="21"/>
        </w:rPr>
        <w:t xml:space="preserve">供应商名称（公章）：</w:t>
      </w:r>
      <w:r/>
    </w:p>
    <w:p>
      <w:pPr>
        <w:jc w:val="center"/>
        <w:spacing w:line="500" w:lineRule="exact"/>
        <w:rPr>
          <w:rFonts w:ascii="宋体" w:hAnsi="Times New Roman" w:eastAsia="宋体" w:cs="Times New Roman"/>
          <w:bCs/>
          <w:color w:val="auto"/>
          <w:sz w:val="24"/>
          <w:szCs w:val="21"/>
        </w:rPr>
      </w:pPr>
      <w:r>
        <w:rPr>
          <w:rFonts w:ascii="宋体" w:hAnsi="Times New Roman" w:eastAsia="宋体" w:cs="Times New Roman"/>
          <w:bCs/>
          <w:color w:val="auto"/>
          <w:sz w:val="24"/>
          <w:szCs w:val="21"/>
        </w:rPr>
      </w:r>
      <w:r/>
    </w:p>
    <w:p>
      <w:pPr>
        <w:spacing w:line="500" w:lineRule="exact"/>
        <w:rPr>
          <w:rFonts w:ascii="宋体" w:hAnsi="Times New Roman" w:eastAsia="宋体" w:cs="Times New Roman"/>
          <w:bCs/>
          <w:color w:val="auto"/>
          <w:sz w:val="24"/>
          <w:szCs w:val="21"/>
        </w:rPr>
      </w:pPr>
      <w:r>
        <w:rPr>
          <w:rFonts w:ascii="宋体" w:hAnsi="宋体" w:eastAsia="宋体" w:cs="Times New Roman"/>
          <w:bCs/>
          <w:color w:val="auto"/>
          <w:sz w:val="24"/>
          <w:szCs w:val="21"/>
        </w:rPr>
        <w:t xml:space="preserve">                                   </w:t>
      </w:r>
      <w:r>
        <w:rPr>
          <w:rFonts w:ascii="Times New Roman" w:hAnsi="Times New Roman" w:eastAsia="宋体" w:cs="Times New Roman"/>
          <w:color w:val="auto"/>
          <w:szCs w:val="21"/>
        </w:rPr>
        <w:t xml:space="preserve">  </w:t>
      </w:r>
      <w:r>
        <w:rPr>
          <w:rFonts w:hint="eastAsia" w:ascii="Times New Roman" w:hAnsi="Times New Roman" w:eastAsia="宋体" w:cs="Times New Roman"/>
          <w:color w:val="auto"/>
          <w:szCs w:val="21"/>
        </w:rPr>
        <w:t xml:space="preserve">   </w:t>
      </w:r>
      <w:r>
        <w:rPr>
          <w:rFonts w:hint="eastAsia" w:ascii="宋体" w:hAnsi="宋体" w:eastAsia="宋体" w:cs="Times New Roman"/>
          <w:bCs/>
          <w:color w:val="auto"/>
          <w:sz w:val="24"/>
          <w:szCs w:val="21"/>
        </w:rPr>
        <w:t xml:space="preserve">日期：</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年</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月</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日</w:t>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color w:val="auto"/>
        </w:rPr>
      </w:pPr>
      <w:r>
        <w:rPr>
          <w:rFonts w:hint="eastAsia" w:ascii="黑体" w:hAnsi="宋体" w:eastAsia="黑体" w:cs="黑体"/>
          <w:i/>
          <w:color w:val="auto"/>
          <w:sz w:val="32"/>
          <w:szCs w:val="32"/>
        </w:rPr>
        <w:t xml:space="preserve">五、参加政府采购活动前 3 年内在经营活动中没有重大违法记录的书面声明</w:t>
      </w:r>
      <w:r/>
    </w:p>
    <w:p>
      <w:pPr>
        <w:pStyle w:val="665"/>
        <w:jc w:val="both"/>
        <w:spacing w:beforeAutospacing="0" w:afterAutospacing="0" w:line="0" w:lineRule="atLeast"/>
        <w:rPr>
          <w:rFonts w:ascii="宋体" w:hAnsi="宋体" w:eastAsia="宋体" w:cs="宋体"/>
          <w:b/>
          <w:color w:val="auto"/>
          <w:sz w:val="44"/>
          <w:szCs w:val="44"/>
        </w:rPr>
      </w:pPr>
      <w:r>
        <w:rPr>
          <w:rFonts w:hint="eastAsia" w:ascii="宋体" w:hAnsi="宋体" w:eastAsia="宋体" w:cs="宋体"/>
          <w:b/>
          <w:color w:val="auto"/>
          <w:sz w:val="44"/>
          <w:szCs w:val="44"/>
        </w:rPr>
        <w:t xml:space="preserve">                </w:t>
      </w:r>
      <w:r/>
    </w:p>
    <w:p>
      <w:pPr>
        <w:pStyle w:val="665"/>
        <w:ind w:firstLine="3092"/>
        <w:jc w:val="both"/>
        <w:spacing w:beforeAutospacing="0" w:afterAutospacing="0" w:line="0" w:lineRule="atLeast"/>
        <w:rPr>
          <w:color w:val="auto"/>
        </w:rPr>
      </w:pPr>
      <w:r>
        <w:rPr>
          <w:rFonts w:hint="eastAsia" w:ascii="宋体" w:hAnsi="宋体" w:eastAsia="宋体" w:cs="宋体"/>
          <w:b/>
          <w:color w:val="auto"/>
          <w:sz w:val="44"/>
          <w:szCs w:val="44"/>
        </w:rPr>
        <w:t xml:space="preserve"> 声  明</w:t>
      </w:r>
      <w:r/>
    </w:p>
    <w:p>
      <w:pPr>
        <w:pStyle w:val="665"/>
        <w:jc w:val="both"/>
        <w:spacing w:beforeAutospacing="0" w:afterAutospacing="0" w:line="0" w:lineRule="atLeast"/>
        <w:rPr>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ind w:firstLine="120"/>
        <w:spacing w:line="500" w:lineRule="exact"/>
        <w:rPr>
          <w:rFonts w:ascii="宋体" w:hAnsi="Times New Roman" w:eastAsia="宋体" w:cs="Times New Roman"/>
          <w:bCs/>
          <w:color w:val="auto"/>
          <w:sz w:val="24"/>
          <w:szCs w:val="21"/>
        </w:rPr>
      </w:pPr>
      <w:r>
        <w:rPr>
          <w:rFonts w:hint="eastAsia" w:ascii="宋体" w:hAnsi="宋体" w:eastAsia="宋体" w:cs="Times New Roman"/>
          <w:bCs/>
          <w:color w:val="auto"/>
          <w:sz w:val="24"/>
          <w:szCs w:val="21"/>
        </w:rPr>
        <w:t xml:space="preserve">供应商名称（公章）：</w:t>
      </w:r>
      <w:r/>
    </w:p>
    <w:p>
      <w:pPr>
        <w:ind w:firstLine="4560"/>
        <w:jc w:val="center"/>
        <w:spacing w:line="360" w:lineRule="auto"/>
        <w:rPr>
          <w:rFonts w:ascii="宋体" w:hAnsi="Times New Roman" w:eastAsia="宋体" w:cs="Times New Roman"/>
          <w:bCs/>
          <w:color w:val="auto"/>
          <w:sz w:val="24"/>
          <w:szCs w:val="21"/>
        </w:rPr>
      </w:pPr>
      <w:r>
        <w:rPr>
          <w:rFonts w:hint="eastAsia" w:ascii="宋体" w:hAnsi="宋体" w:eastAsia="宋体" w:cs="Times New Roman"/>
          <w:bCs/>
          <w:color w:val="auto"/>
          <w:sz w:val="24"/>
          <w:szCs w:val="21"/>
        </w:rPr>
        <w:t xml:space="preserve">日期：</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年</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月</w:t>
      </w:r>
      <w:r>
        <w:rPr>
          <w:rFonts w:ascii="宋体" w:hAnsi="宋体" w:eastAsia="宋体" w:cs="Times New Roman"/>
          <w:bCs/>
          <w:color w:val="auto"/>
          <w:sz w:val="24"/>
          <w:szCs w:val="21"/>
          <w:u w:val="single"/>
        </w:rPr>
        <w:t xml:space="preserve">    </w:t>
      </w:r>
      <w:r>
        <w:rPr>
          <w:rFonts w:hint="eastAsia" w:ascii="宋体" w:hAnsi="宋体" w:eastAsia="宋体" w:cs="Times New Roman"/>
          <w:bCs/>
          <w:color w:val="auto"/>
          <w:sz w:val="24"/>
          <w:szCs w:val="21"/>
        </w:rPr>
        <w:t xml:space="preserve">日</w:t>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both"/>
        <w:spacing w:beforeAutospacing="0" w:afterAutospacing="0"/>
        <w:rPr>
          <w:color w:val="auto"/>
        </w:rPr>
      </w:pPr>
      <w:r>
        <w:rPr>
          <w:rFonts w:hint="eastAsia" w:ascii="黑体" w:hAnsi="宋体" w:eastAsia="黑体" w:cs="黑体"/>
          <w:i/>
          <w:color w:val="auto"/>
          <w:sz w:val="32"/>
          <w:szCs w:val="32"/>
        </w:rPr>
        <w:t xml:space="preserve">六、特定资格要求的证明文件</w:t>
      </w:r>
      <w:r/>
    </w:p>
    <w:p>
      <w:pPr>
        <w:pStyle w:val="665"/>
        <w:jc w:val="both"/>
        <w:spacing w:beforeAutospacing="0" w:afterAutospacing="0" w:line="0" w:lineRule="atLeast"/>
        <w:rPr>
          <w:color w:val="auto"/>
        </w:rPr>
      </w:pPr>
      <w:r>
        <w:rPr>
          <w:rFonts w:hint="eastAsia" w:ascii="宋体" w:hAnsi="宋体" w:eastAsia="宋体" w:cs="宋体"/>
          <w:color w:val="auto"/>
        </w:rPr>
        <w:t xml:space="preserve">   如果本项目申请人的特定资格要求中要求提供的，必须提供。</w:t>
      </w:r>
      <w:r/>
    </w:p>
    <w:p>
      <w:pPr>
        <w:pStyle w:val="665"/>
        <w:jc w:val="center"/>
        <w:spacing w:beforeAutospacing="0" w:afterAutospacing="0"/>
        <w:rPr>
          <w:rFonts w:ascii="黑体" w:hAnsi="宋体" w:eastAsia="黑体" w:cs="黑体"/>
          <w:i/>
          <w:color w:val="auto"/>
          <w:sz w:val="32"/>
          <w:szCs w:val="32"/>
          <w:u w:val="single"/>
        </w:rPr>
      </w:pPr>
      <w:r/>
      <w:bookmarkStart w:id="204" w:name="_Toc120614284"/>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65"/>
        <w:jc w:val="center"/>
        <w:spacing w:beforeAutospacing="0" w:afterAutospacing="0"/>
        <w:rPr>
          <w:color w:val="auto"/>
        </w:rPr>
      </w:pPr>
      <w:r>
        <w:rPr>
          <w:rFonts w:hint="eastAsia" w:ascii="黑体" w:hAnsi="宋体" w:eastAsia="黑体" w:cs="黑体"/>
          <w:i/>
          <w:color w:val="auto"/>
          <w:sz w:val="32"/>
          <w:szCs w:val="32"/>
        </w:rPr>
        <w:t xml:space="preserve">七、法人授权书</w:t>
      </w:r>
      <w:r/>
    </w:p>
    <w:p>
      <w:pPr>
        <w:pStyle w:val="665"/>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本授权书声明：____________（投标人名称）授权________________（被授权人的姓名）为我方就JSZC-</w:t>
      </w:r>
      <w:r>
        <w:rPr>
          <w:rFonts w:ascii="Times New Roman" w:hAnsi="Times New Roman"/>
          <w:color w:val="auto"/>
          <w:u w:val="single"/>
        </w:rPr>
        <w:t xml:space="preserve">        </w:t>
      </w:r>
      <w:r>
        <w:rPr>
          <w:rFonts w:ascii="Times New Roman" w:hAnsi="Times New Roman"/>
          <w:color w:val="auto"/>
        </w:rPr>
        <w:t xml:space="preserve">号项目采购活动的合法代理人，以本单位名义全权处理一切与该项目采购有关的事务。</w:t>
      </w:r>
      <w:r/>
    </w:p>
    <w:p>
      <w:pPr>
        <w:pStyle w:val="665"/>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本授权书于______年____月____日起生效，特此声明。</w:t>
      </w:r>
      <w:r/>
    </w:p>
    <w:p>
      <w:pPr>
        <w:pStyle w:val="665"/>
        <w:jc w:val="both"/>
        <w:spacing w:beforeAutospacing="0" w:afterAutospacing="0" w:line="360" w:lineRule="auto"/>
        <w:tabs>
          <w:tab w:val="left" w:pos="360" w:leader="none"/>
        </w:tabs>
        <w:rPr>
          <w:color w:val="auto"/>
        </w:rPr>
      </w:pPr>
      <w:r>
        <w:rPr>
          <w:rFonts w:ascii="Times New Roman" w:hAnsi="Times New Roman"/>
          <w:color w:val="auto"/>
        </w:rPr>
        <w:t xml:space="preserve">          被授权人身份证号码：</w:t>
      </w:r>
      <w:r>
        <w:rPr>
          <w:rFonts w:ascii="Times New Roman" w:hAnsi="Times New Roman"/>
          <w:color w:val="auto"/>
          <w:u w:val="single"/>
        </w:rPr>
        <w:t xml:space="preserve">                              </w:t>
      </w:r>
      <w:r/>
    </w:p>
    <w:p>
      <w:pPr>
        <w:pStyle w:val="665"/>
        <w:jc w:val="both"/>
        <w:spacing w:beforeAutospacing="0" w:afterAutospacing="0" w:line="360" w:lineRule="auto"/>
        <w:tabs>
          <w:tab w:val="left" w:pos="360" w:leader="none"/>
        </w:tabs>
        <w:rPr>
          <w:color w:val="auto"/>
        </w:rPr>
      </w:pPr>
      <w:r>
        <w:rPr>
          <w:rFonts w:ascii="Times New Roman" w:hAnsi="Times New Roman"/>
          <w:color w:val="auto"/>
        </w:rPr>
        <w:t xml:space="preserve">          被授权人联系电话：（手机）</w:t>
      </w:r>
      <w:r>
        <w:rPr>
          <w:rFonts w:ascii="Times New Roman" w:hAnsi="Times New Roman"/>
          <w:color w:val="auto"/>
          <w:u w:val="single"/>
        </w:rPr>
        <w:t xml:space="preserve">                          </w:t>
      </w:r>
      <w:r/>
    </w:p>
    <w:p>
      <w:pPr>
        <w:pStyle w:val="665"/>
        <w:ind w:firstLine="1200"/>
        <w:jc w:val="both"/>
        <w:spacing w:beforeAutospacing="0" w:afterAutospacing="0" w:line="360" w:lineRule="auto"/>
        <w:tabs>
          <w:tab w:val="left" w:pos="360" w:leader="none"/>
        </w:tabs>
        <w:rPr>
          <w:color w:val="auto"/>
        </w:rPr>
      </w:pPr>
      <w:r>
        <w:rPr>
          <w:rFonts w:ascii="Times New Roman" w:hAnsi="Times New Roman"/>
          <w:color w:val="auto"/>
        </w:rPr>
        <w:t xml:space="preserve">授权单位名称：</w:t>
      </w:r>
      <w:r>
        <w:rPr>
          <w:rFonts w:ascii="Times New Roman" w:hAnsi="Times New Roman"/>
          <w:color w:val="auto"/>
          <w:u w:val="single"/>
        </w:rPr>
        <w:t xml:space="preserve">（加盖CA电子公章）</w:t>
      </w:r>
      <w:r/>
    </w:p>
    <w:p>
      <w:pPr>
        <w:pStyle w:val="665"/>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      单位地址：</w:t>
      </w:r>
      <w:r>
        <w:rPr>
          <w:rFonts w:ascii="Times New Roman" w:hAnsi="Times New Roman"/>
          <w:color w:val="auto"/>
          <w:u w:val="single"/>
        </w:rPr>
        <w:t xml:space="preserve">                                         </w:t>
      </w:r>
      <w:r/>
    </w:p>
    <w:p>
      <w:pPr>
        <w:pStyle w:val="665"/>
        <w:ind w:firstLine="480"/>
        <w:jc w:val="both"/>
        <w:spacing w:beforeAutospacing="0" w:afterAutospacing="0" w:line="360" w:lineRule="auto"/>
        <w:tabs>
          <w:tab w:val="left" w:pos="360" w:leader="none"/>
        </w:tabs>
        <w:rPr>
          <w:color w:val="auto"/>
        </w:rPr>
      </w:pPr>
      <w:r>
        <w:rPr>
          <w:rFonts w:ascii="Times New Roman" w:hAnsi="Times New Roman"/>
          <w:color w:val="auto"/>
        </w:rPr>
        <w:t xml:space="preserve">      日期：</w:t>
      </w:r>
      <w:bookmarkStart w:id="205" w:name="_Hlt26955070"/>
      <w:r/>
      <w:bookmarkStart w:id="206" w:name="_Hlt26671380"/>
      <w:r/>
      <w:bookmarkStart w:id="207" w:name="_格式3__银行出具的资信证明"/>
      <w:r>
        <w:rPr>
          <w:rFonts w:ascii="Times New Roman" w:hAnsi="Times New Roman"/>
          <w:color w:val="auto"/>
          <w:u w:val="single"/>
        </w:rPr>
        <w:t xml:space="preserve">                                         </w:t>
      </w:r>
      <w:r/>
    </w:p>
    <w:p>
      <w:pPr>
        <w:pStyle w:val="665"/>
        <w:ind w:firstLine="420"/>
        <w:jc w:val="both"/>
        <w:spacing w:beforeAutospacing="0" w:afterAutospacing="0" w:line="360" w:lineRule="auto"/>
        <w:rPr>
          <w:color w:val="auto"/>
        </w:rPr>
      </w:pPr>
      <w:r>
        <w:rPr>
          <w:color w:val="auto"/>
        </w:rPr>
        <w:t xml:space="preserve"> </w:t>
      </w:r>
      <w:r/>
    </w:p>
    <w:p>
      <w:pPr>
        <w:pStyle w:val="665"/>
        <w:jc w:val="both"/>
        <w:spacing w:beforeAutospacing="0" w:afterAutospacing="0"/>
        <w:rPr>
          <w:color w:val="auto"/>
        </w:rPr>
      </w:pPr>
      <w:r>
        <w:rPr>
          <w:color w:val="auto"/>
        </w:rPr>
        <w:t xml:space="preserve"> </w:t>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color w:val="auto"/>
        </w:rPr>
        <w:t xml:space="preserve"> </w:t>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Cs w:val="21"/>
        </w:rPr>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Cs w:val="21"/>
        </w:rPr>
      </w:r>
      <w:r/>
    </w:p>
    <w:p>
      <w:pPr>
        <w:ind w:firstLine="420"/>
        <w:rPr>
          <w:rFonts w:ascii="Times New Roman" w:hAnsi="Times New Roman" w:eastAsia="宋体" w:cs="Times New Roman"/>
          <w:color w:val="auto"/>
          <w:szCs w:val="21"/>
        </w:rPr>
        <w:pBdr>
          <w:top w:val="single" w:color="000000" w:sz="4" w:space="1"/>
          <w:left w:val="single" w:color="000000" w:sz="4" w:space="4"/>
          <w:bottom w:val="single" w:color="000000" w:sz="4" w:space="1"/>
          <w:right w:val="single" w:color="000000" w:sz="4" w:space="4"/>
        </w:pBdr>
      </w:pPr>
      <w:r>
        <w:rPr>
          <w:rFonts w:ascii="Times New Roman" w:hAnsi="Times New Roman" w:eastAsia="宋体" w:cs="Times New Roman"/>
          <w:color w:val="auto"/>
          <w:szCs w:val="21"/>
        </w:rPr>
      </w:r>
      <w:r/>
    </w:p>
    <w:p>
      <w:pPr>
        <w:ind w:firstLine="1800"/>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1"/>
        </w:rPr>
        <w:t xml:space="preserve">身份证复印件粘贴处（正反面且须与原件一致）：</w:t>
      </w:r>
      <w:r/>
    </w:p>
    <w:p>
      <w:pPr>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auto"/>
          <w:sz w:val="24"/>
          <w:szCs w:val="21"/>
        </w:rPr>
      </w:r>
      <w:r/>
    </w:p>
    <w:p>
      <w:pPr>
        <w:ind w:firstLine="645"/>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auto"/>
          <w:sz w:val="24"/>
          <w:szCs w:val="21"/>
        </w:rPr>
      </w:r>
      <w:r/>
    </w:p>
    <w:p>
      <w:pPr>
        <w:ind w:firstLine="645"/>
        <w:spacing w:line="560" w:lineRule="exact"/>
        <w:rPr>
          <w:rFonts w:ascii="宋体" w:hAnsi="宋体" w:eastAsia="宋体" w:cs="Times New Roman"/>
          <w:color w:val="auto"/>
          <w:sz w:val="24"/>
          <w:szCs w:val="21"/>
        </w:rPr>
        <w:pBdr>
          <w:top w:val="single" w:color="000000" w:sz="4" w:space="1"/>
          <w:left w:val="single" w:color="000000" w:sz="4" w:space="4"/>
          <w:bottom w:val="single" w:color="000000" w:sz="4" w:space="1"/>
          <w:right w:val="single" w:color="000000" w:sz="4" w:space="4"/>
        </w:pBdr>
      </w:pPr>
      <w:r>
        <w:rPr>
          <w:rFonts w:ascii="宋体" w:hAnsi="宋体" w:eastAsia="宋体" w:cs="Times New Roman"/>
          <w:color w:val="auto"/>
          <w:sz w:val="24"/>
          <w:szCs w:val="21"/>
        </w:rPr>
      </w:r>
      <w:r/>
    </w:p>
    <w:p>
      <w:pPr>
        <w:pStyle w:val="665"/>
        <w:jc w:val="both"/>
        <w:spacing w:beforeAutospacing="0" w:afterAutospacing="0" w:line="0" w:lineRule="atLeast"/>
        <w:rPr>
          <w:color w:val="auto"/>
        </w:rPr>
      </w:pPr>
      <w:r>
        <w:rPr>
          <w:color w:val="auto"/>
        </w:rPr>
      </w:r>
      <w:r/>
    </w:p>
    <w:p>
      <w:pPr>
        <w:pStyle w:val="665"/>
        <w:ind w:firstLine="3390"/>
        <w:jc w:val="both"/>
        <w:keepLines/>
        <w:keepNext/>
        <w:spacing w:before="260" w:beforeAutospacing="0" w:after="260" w:afterAutospacing="0" w:line="415" w:lineRule="auto"/>
        <w:rPr>
          <w:color w:val="auto"/>
        </w:rPr>
      </w:pPr>
      <w:r>
        <w:rPr>
          <w:rFonts w:hint="eastAsia" w:ascii="宋体" w:hAnsi="宋体" w:eastAsia="宋体" w:cs="宋体"/>
          <w:b/>
          <w:color w:val="auto"/>
        </w:rPr>
        <w:br w:type="page" w:clear="all"/>
      </w:r>
      <w:r>
        <w:rPr>
          <w:rFonts w:hint="eastAsia" w:ascii="宋体" w:hAnsi="宋体" w:eastAsia="宋体" w:cs="宋体"/>
          <w:b/>
          <w:color w:val="auto"/>
        </w:rPr>
        <w:t xml:space="preserve"> </w:t>
      </w:r>
      <w:r>
        <w:rPr>
          <w:rFonts w:hint="eastAsia" w:ascii="黑体" w:hAnsi="宋体" w:eastAsia="黑体" w:cs="黑体"/>
          <w:b/>
          <w:i/>
          <w:color w:val="auto"/>
          <w:sz w:val="32"/>
          <w:szCs w:val="32"/>
        </w:rPr>
        <w:t xml:space="preserve">八、投标函</w:t>
      </w:r>
      <w:r/>
    </w:p>
    <w:p>
      <w:pPr>
        <w:pStyle w:val="665"/>
        <w:spacing w:beforeAutospacing="0" w:afterAutospacing="0" w:line="0" w:lineRule="atLeast"/>
        <w:rPr>
          <w:color w:val="auto"/>
        </w:rPr>
      </w:pPr>
      <w:r>
        <w:rPr>
          <w:rFonts w:hint="eastAsia" w:ascii="宋体" w:hAnsi="宋体" w:eastAsia="宋体" w:cs="宋体"/>
          <w:color w:val="auto"/>
        </w:rPr>
        <w:t xml:space="preserve">致：指北针项目管理（江苏）有限公司</w:t>
      </w:r>
      <w:r/>
    </w:p>
    <w:p>
      <w:pPr>
        <w:pStyle w:val="665"/>
        <w:ind w:firstLine="480"/>
        <w:spacing w:beforeAutospacing="0" w:afterAutospacing="0" w:line="360" w:lineRule="auto"/>
        <w:rPr>
          <w:color w:val="auto"/>
        </w:rPr>
      </w:pPr>
      <w:r>
        <w:rPr>
          <w:rFonts w:hint="eastAsia" w:ascii="宋体" w:hAnsi="宋体" w:eastAsia="宋体" w:cs="宋体"/>
          <w:color w:val="auto"/>
        </w:rPr>
        <w:t xml:space="preserve">根据贵方的</w:t>
      </w:r>
      <w:r>
        <w:rPr>
          <w:rFonts w:hint="eastAsia" w:ascii="宋体" w:hAnsi="宋体" w:eastAsia="宋体" w:cs="宋体"/>
          <w:b/>
          <w:color w:val="auto"/>
          <w:sz w:val="36"/>
          <w:szCs w:val="36"/>
          <w:u w:val="single"/>
        </w:rPr>
        <w:t xml:space="preserve">            </w:t>
      </w:r>
      <w:r>
        <w:rPr>
          <w:rFonts w:hint="eastAsia" w:ascii="宋体" w:hAnsi="宋体" w:eastAsia="宋体" w:cs="宋体"/>
          <w:color w:val="auto"/>
        </w:rPr>
        <w:t xml:space="preserve">号招标文件，正式授权下述签字人_________________(姓名)代表我方______________（投标人的名称），全权处理本次项目投标的有关事宜。</w:t>
      </w:r>
      <w:r/>
    </w:p>
    <w:p>
      <w:pPr>
        <w:pStyle w:val="665"/>
        <w:ind w:firstLine="480"/>
        <w:spacing w:beforeAutospacing="0" w:afterAutospacing="0" w:line="360" w:lineRule="auto"/>
        <w:rPr>
          <w:color w:val="auto"/>
        </w:rPr>
      </w:pPr>
      <w:r>
        <w:rPr>
          <w:rFonts w:hint="eastAsia" w:ascii="宋体" w:hAnsi="宋体" w:eastAsia="宋体" w:cs="宋体"/>
          <w:color w:val="auto"/>
        </w:rPr>
        <w:t xml:space="preserve">据此函，__________签字人兹宣布同意如下：</w:t>
      </w:r>
      <w:r/>
    </w:p>
    <w:p>
      <w:pPr>
        <w:pStyle w:val="665"/>
        <w:ind w:firstLine="480"/>
        <w:spacing w:beforeAutospacing="0" w:afterAutospacing="0" w:line="360" w:lineRule="auto"/>
        <w:rPr>
          <w:color w:val="auto"/>
        </w:rPr>
      </w:pPr>
      <w:r>
        <w:rPr>
          <w:rFonts w:hint="eastAsia" w:ascii="宋体" w:hAnsi="宋体" w:eastAsia="宋体" w:cs="宋体"/>
          <w:color w:val="auto"/>
        </w:rPr>
        <w:t xml:space="preserve">1.按招标文件规定的各项要求，向买方提供所需货物（包含与货物相关的服务）。</w:t>
      </w:r>
      <w:r/>
    </w:p>
    <w:p>
      <w:pPr>
        <w:pStyle w:val="665"/>
        <w:ind w:firstLine="480"/>
        <w:spacing w:beforeAutospacing="0" w:afterAutospacing="0" w:line="360" w:lineRule="auto"/>
        <w:rPr>
          <w:color w:val="auto"/>
        </w:rPr>
      </w:pPr>
      <w:r>
        <w:rPr>
          <w:rFonts w:hint="eastAsia" w:ascii="宋体" w:hAnsi="宋体" w:eastAsia="宋体" w:cs="宋体"/>
          <w:color w:val="auto"/>
        </w:rPr>
        <w:t xml:space="preserve">2.我们完全理解贵方不一定将合同授予最低报价的投标人。</w:t>
      </w:r>
      <w:r/>
    </w:p>
    <w:p>
      <w:pPr>
        <w:pStyle w:val="665"/>
        <w:ind w:firstLine="480"/>
        <w:spacing w:beforeAutospacing="0" w:afterAutospacing="0" w:line="360" w:lineRule="auto"/>
        <w:rPr>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665"/>
        <w:ind w:firstLine="480"/>
        <w:spacing w:beforeAutospacing="0" w:afterAutospacing="0" w:line="360" w:lineRule="auto"/>
        <w:rPr>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665"/>
        <w:ind w:firstLine="480"/>
        <w:spacing w:beforeAutospacing="0" w:afterAutospacing="0" w:line="360" w:lineRule="auto"/>
        <w:rPr>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665"/>
        <w:ind w:firstLine="480"/>
        <w:spacing w:beforeAutospacing="0" w:afterAutospacing="0" w:line="360" w:lineRule="auto"/>
        <w:rPr>
          <w:color w:val="auto"/>
        </w:rPr>
      </w:pPr>
      <w:r>
        <w:rPr>
          <w:rFonts w:hint="eastAsia" w:ascii="宋体" w:hAnsi="宋体" w:eastAsia="宋体" w:cs="宋体"/>
          <w:color w:val="auto"/>
        </w:rPr>
        <w:t xml:space="preserve">6.一旦我方中标,我方将根据招标文件的规定，严格履行合同的责任和义务,并保证在招标文件规定的时间完成项目，交付买方验收、使用。</w:t>
      </w:r>
      <w:r/>
    </w:p>
    <w:p>
      <w:pPr>
        <w:pStyle w:val="665"/>
        <w:ind w:left="425"/>
        <w:spacing w:beforeAutospacing="0" w:afterAutospacing="0" w:line="360" w:lineRule="auto"/>
        <w:rPr>
          <w:color w:val="auto"/>
        </w:rPr>
      </w:pPr>
      <w:r>
        <w:rPr>
          <w:rFonts w:hint="eastAsia" w:ascii="宋体" w:hAnsi="宋体" w:eastAsia="宋体" w:cs="宋体"/>
          <w:color w:val="auto"/>
        </w:rPr>
        <w:t xml:space="preserve">7.与本投标有关的正式通讯地址为：</w:t>
      </w:r>
      <w:r/>
    </w:p>
    <w:p>
      <w:pPr>
        <w:pStyle w:val="665"/>
        <w:ind w:left="420" w:firstLine="480"/>
        <w:spacing w:beforeAutospacing="0" w:afterAutospacing="0" w:line="360" w:lineRule="auto"/>
        <w:rPr>
          <w:color w:val="auto"/>
        </w:rPr>
      </w:pPr>
      <w:r>
        <w:rPr>
          <w:rFonts w:hint="eastAsia" w:ascii="宋体" w:hAnsi="宋体" w:eastAsia="宋体" w:cs="宋体"/>
          <w:color w:val="auto"/>
        </w:rPr>
        <w:t xml:space="preserve">地          址：</w:t>
      </w:r>
      <w:r/>
    </w:p>
    <w:p>
      <w:pPr>
        <w:pStyle w:val="665"/>
        <w:ind w:left="420" w:firstLine="480"/>
        <w:spacing w:beforeAutospacing="0" w:afterAutospacing="0" w:line="360" w:lineRule="auto"/>
        <w:rPr>
          <w:color w:val="auto"/>
        </w:rPr>
      </w:pPr>
      <w:r>
        <w:rPr>
          <w:rFonts w:hint="eastAsia" w:ascii="宋体" w:hAnsi="宋体" w:eastAsia="宋体" w:cs="宋体"/>
          <w:color w:val="auto"/>
        </w:rPr>
        <w:t xml:space="preserve">邮          编：</w:t>
      </w:r>
      <w:r/>
    </w:p>
    <w:p>
      <w:pPr>
        <w:pStyle w:val="665"/>
        <w:ind w:left="420" w:firstLine="480"/>
        <w:spacing w:beforeAutospacing="0" w:afterAutospacing="0" w:line="360" w:lineRule="auto"/>
        <w:rPr>
          <w:color w:val="auto"/>
        </w:rPr>
      </w:pPr>
      <w:r>
        <w:rPr>
          <w:rFonts w:hint="eastAsia" w:ascii="宋体" w:hAnsi="宋体" w:eastAsia="宋体" w:cs="宋体"/>
          <w:color w:val="auto"/>
        </w:rPr>
        <w:t xml:space="preserve">电          话：</w:t>
      </w:r>
      <w:r/>
    </w:p>
    <w:p>
      <w:pPr>
        <w:pStyle w:val="665"/>
        <w:ind w:left="420" w:firstLine="480"/>
        <w:spacing w:beforeAutospacing="0" w:afterAutospacing="0" w:line="360" w:lineRule="auto"/>
        <w:rPr>
          <w:color w:val="auto"/>
        </w:rPr>
      </w:pPr>
      <w:r>
        <w:rPr>
          <w:rFonts w:hint="eastAsia" w:ascii="宋体" w:hAnsi="宋体" w:eastAsia="宋体" w:cs="宋体"/>
          <w:color w:val="auto"/>
        </w:rPr>
        <w:t xml:space="preserve">传          真：</w:t>
      </w:r>
      <w:r/>
    </w:p>
    <w:p>
      <w:pPr>
        <w:pStyle w:val="665"/>
        <w:ind w:left="420" w:firstLine="480"/>
        <w:spacing w:beforeAutospacing="0" w:afterAutospacing="0" w:line="360" w:lineRule="auto"/>
        <w:rPr>
          <w:color w:val="auto"/>
        </w:rPr>
      </w:pPr>
      <w:r>
        <w:rPr>
          <w:rFonts w:hint="eastAsia" w:ascii="宋体" w:hAnsi="宋体" w:eastAsia="宋体" w:cs="宋体"/>
          <w:color w:val="auto"/>
        </w:rPr>
        <w:t xml:space="preserve">投标人开户行：</w:t>
      </w:r>
      <w:r/>
    </w:p>
    <w:p>
      <w:pPr>
        <w:pStyle w:val="665"/>
        <w:ind w:left="420" w:firstLine="480"/>
        <w:spacing w:beforeAutospacing="0" w:afterAutospacing="0" w:line="360" w:lineRule="auto"/>
        <w:rPr>
          <w:color w:val="auto"/>
        </w:rPr>
      </w:pPr>
      <w:r>
        <w:rPr>
          <w:rFonts w:hint="eastAsia" w:ascii="宋体" w:hAnsi="宋体" w:eastAsia="宋体" w:cs="宋体"/>
          <w:color w:val="auto"/>
        </w:rPr>
        <w:t xml:space="preserve">账          号： </w:t>
      </w:r>
      <w:r/>
    </w:p>
    <w:p>
      <w:pPr>
        <w:pStyle w:val="665"/>
        <w:ind w:left="420" w:firstLine="480"/>
        <w:spacing w:beforeAutospacing="0" w:afterAutospacing="0" w:line="360" w:lineRule="auto"/>
        <w:rPr>
          <w:color w:val="auto"/>
        </w:rPr>
      </w:pPr>
      <w:r>
        <w:rPr>
          <w:rFonts w:hint="eastAsia" w:ascii="宋体" w:hAnsi="宋体" w:eastAsia="宋体" w:cs="宋体"/>
          <w:color w:val="auto"/>
        </w:rPr>
        <w:t xml:space="preserve">日           期：________年____月____日</w:t>
      </w:r>
      <w:r/>
    </w:p>
    <w:p>
      <w:pPr>
        <w:pStyle w:val="665"/>
        <w:ind w:firstLine="240"/>
        <w:jc w:val="center"/>
        <w:spacing w:beforeAutospacing="0" w:afterAutospacing="0" w:line="0" w:lineRule="atLeast"/>
        <w:rPr>
          <w:color w:val="auto"/>
        </w:rPr>
      </w:pPr>
      <w:r>
        <w:rPr>
          <w:color w:val="auto"/>
        </w:rPr>
        <w:t xml:space="preserve"> </w:t>
      </w:r>
      <w:r/>
    </w:p>
    <w:p>
      <w:pPr>
        <w:pStyle w:val="665"/>
        <w:ind w:firstLine="240"/>
        <w:jc w:val="center"/>
        <w:spacing w:beforeAutospacing="0" w:afterAutospacing="0" w:line="0" w:lineRule="atLeast"/>
        <w:rPr>
          <w:color w:val="auto"/>
        </w:rPr>
      </w:pPr>
      <w:r>
        <w:rPr>
          <w:color w:val="auto"/>
        </w:rPr>
        <w:t xml:space="preserve"> </w:t>
      </w:r>
      <w:r/>
    </w:p>
    <w:p>
      <w:pPr>
        <w:pStyle w:val="665"/>
        <w:ind w:firstLine="240"/>
        <w:jc w:val="center"/>
        <w:spacing w:beforeAutospacing="0" w:afterAutospacing="0" w:line="0" w:lineRule="atLeast"/>
        <w:rPr>
          <w:color w:val="auto"/>
        </w:rPr>
      </w:pPr>
      <w:r>
        <w:rPr>
          <w:color w:val="auto"/>
        </w:rPr>
        <w:t xml:space="preserve"> </w:t>
      </w:r>
      <w:r/>
    </w:p>
    <w:p>
      <w:pPr>
        <w:pStyle w:val="665"/>
        <w:ind w:firstLine="240"/>
        <w:jc w:val="center"/>
        <w:spacing w:beforeAutospacing="0" w:afterAutospacing="0" w:line="0" w:lineRule="atLeast"/>
        <w:rPr>
          <w:color w:val="auto"/>
        </w:rPr>
      </w:pPr>
      <w:r>
        <w:rPr>
          <w:color w:val="auto"/>
        </w:rPr>
        <w:t xml:space="preserve"> </w:t>
      </w:r>
      <w:r/>
    </w:p>
    <w:p>
      <w:pPr>
        <w:pStyle w:val="665"/>
        <w:ind w:firstLine="240"/>
        <w:jc w:val="center"/>
        <w:spacing w:beforeAutospacing="0" w:afterAutospacing="0" w:line="0" w:lineRule="atLeast"/>
        <w:rPr>
          <w:color w:val="auto"/>
        </w:rPr>
      </w:pPr>
      <w:r>
        <w:rPr>
          <w:color w:val="auto"/>
        </w:rPr>
      </w:r>
      <w:r/>
    </w:p>
    <w:p>
      <w:pPr>
        <w:pStyle w:val="665"/>
        <w:jc w:val="center"/>
        <w:spacing w:beforeAutospacing="0" w:afterAutospacing="0" w:line="0" w:lineRule="atLeast"/>
        <w:rPr>
          <w:color w:val="auto"/>
        </w:rPr>
      </w:pPr>
      <w:r>
        <w:rPr>
          <w:rFonts w:hint="eastAsia" w:ascii="黑体" w:hAnsi="宋体" w:eastAsia="黑体" w:cs="黑体"/>
          <w:b/>
          <w:color w:val="auto"/>
          <w:sz w:val="32"/>
          <w:szCs w:val="32"/>
        </w:rPr>
        <w:t xml:space="preserve">九、中小企业声明函（货物）</w:t>
      </w:r>
      <w:r/>
    </w:p>
    <w:p>
      <w:pPr>
        <w:ind w:firstLine="480"/>
        <w:spacing w:line="500" w:lineRule="exact"/>
        <w:rPr>
          <w:color w:val="auto"/>
          <w:sz w:val="24"/>
        </w:rPr>
      </w:pPr>
      <w:r>
        <w:rPr>
          <w:color w:val="auto"/>
          <w:sz w:val="24"/>
        </w:rPr>
      </w:r>
      <w:r/>
    </w:p>
    <w:p>
      <w:pPr>
        <w:ind w:firstLine="480"/>
        <w:spacing w:line="500" w:lineRule="exact"/>
        <w:rPr>
          <w:color w:val="auto"/>
          <w:sz w:val="24"/>
        </w:rPr>
      </w:pPr>
      <w:r>
        <w:rPr>
          <w:rFonts w:hint="eastAsia"/>
          <w:color w:val="auto"/>
          <w:sz w:val="24"/>
        </w:rPr>
        <w:t xml:space="preserve">本公司（联合体）郑重声明，根据《政府采购促进中小企业发展管理办法》(财库〔2020〕46号)的规定，本公司（联合体）参加</w:t>
      </w:r>
      <w:r>
        <w:rPr>
          <w:rFonts w:hint="eastAsia"/>
          <w:color w:val="auto"/>
          <w:sz w:val="24"/>
          <w:u w:val="single"/>
        </w:rPr>
        <w:t xml:space="preserve">（单位名称) </w:t>
      </w:r>
      <w:r>
        <w:rPr>
          <w:rFonts w:hint="eastAsia"/>
          <w:color w:val="auto"/>
          <w:sz w:val="24"/>
        </w:rPr>
        <w:t xml:space="preserve">的</w:t>
      </w:r>
      <w:r>
        <w:rPr>
          <w:rFonts w:hint="eastAsia"/>
          <w:color w:val="auto"/>
          <w:sz w:val="24"/>
          <w:u w:val="single"/>
        </w:rPr>
        <w:t xml:space="preserve">（项目名称）       </w:t>
      </w:r>
      <w:r>
        <w:rPr>
          <w:rFonts w:hint="eastAsia"/>
          <w:color w:val="auto"/>
          <w:sz w:val="24"/>
        </w:rPr>
        <w:t xml:space="preserve">的采购活动，提供的货物全部由符合政策要求的中小企业制造。相关企业（含联合体中的中小企业、签订分包意向协议的中小企业）的具体情况如下：</w:t>
      </w:r>
      <w:r/>
    </w:p>
    <w:p>
      <w:pPr>
        <w:pStyle w:val="665"/>
        <w:ind w:firstLine="360"/>
        <w:jc w:val="both"/>
        <w:spacing w:beforeAutospacing="0" w:afterAutospacing="0" w:line="360" w:lineRule="auto"/>
        <w:rPr>
          <w:color w:val="auto"/>
        </w:rPr>
      </w:pPr>
      <w:r>
        <w:rPr>
          <w:rFonts w:hint="eastAsia"/>
          <w:color w:val="auto"/>
        </w:rPr>
        <w:t xml:space="preserve">1.</w:t>
      </w:r>
      <w:r>
        <w:rPr>
          <w:rFonts w:hint="eastAsia"/>
          <w:color w:val="auto"/>
          <w:u w:val="single"/>
        </w:rPr>
        <w:t xml:space="preserve">（标的名称）</w:t>
      </w:r>
      <w:r>
        <w:rPr>
          <w:rFonts w:hint="eastAsia"/>
          <w:i/>
          <w:color w:val="auto"/>
        </w:rPr>
        <w:t xml:space="preserve">，</w:t>
      </w:r>
      <w:r>
        <w:rPr>
          <w:rFonts w:hint="eastAsia"/>
          <w:color w:val="auto"/>
        </w:rPr>
        <w:t xml:space="preserve">属于</w:t>
      </w:r>
      <w:r>
        <w:rPr>
          <w:rFonts w:hint="eastAsia"/>
          <w:color w:val="auto"/>
          <w:u w:val="single"/>
        </w:rPr>
        <w:t xml:space="preserve">(采购文件中明确的所属行业)</w:t>
      </w:r>
      <w:r>
        <w:rPr>
          <w:rFonts w:hint="eastAsia"/>
          <w:color w:val="auto"/>
        </w:rPr>
        <w:t xml:space="preserve">行业；制造商为</w:t>
      </w:r>
      <w:r>
        <w:rPr>
          <w:rFonts w:hint="eastAsia"/>
          <w:color w:val="auto"/>
          <w:u w:val="single"/>
        </w:rPr>
        <w:t xml:space="preserve">（企业名称）</w:t>
      </w:r>
      <w:r>
        <w:rPr>
          <w:rFonts w:hint="eastAsia"/>
          <w:color w:val="auto"/>
        </w:rPr>
        <w:t xml:space="preserve">，从业人员</w:t>
      </w:r>
      <w:r>
        <w:rPr>
          <w:rFonts w:hint="eastAsia"/>
          <w:color w:val="auto"/>
          <w:u w:val="single"/>
        </w:rPr>
        <w:t xml:space="preserve">      </w:t>
      </w:r>
      <w:r>
        <w:rPr>
          <w:rFonts w:hint="eastAsia"/>
          <w:color w:val="auto"/>
        </w:rPr>
        <w:t xml:space="preserve">人，营业收入为</w:t>
      </w:r>
      <w:r>
        <w:rPr>
          <w:rFonts w:hint="eastAsia"/>
          <w:color w:val="auto"/>
          <w:u w:val="single"/>
        </w:rPr>
        <w:t xml:space="preserve">     </w:t>
      </w:r>
      <w:r>
        <w:rPr>
          <w:rFonts w:hint="eastAsia"/>
          <w:color w:val="auto"/>
        </w:rPr>
        <w:t xml:space="preserve">万元，资产总额为</w:t>
      </w:r>
      <w:r>
        <w:rPr>
          <w:rFonts w:hint="eastAsia"/>
          <w:color w:val="auto"/>
          <w:u w:val="single"/>
        </w:rPr>
        <w:t xml:space="preserve">      </w:t>
      </w:r>
      <w:r>
        <w:rPr>
          <w:rFonts w:hint="eastAsia"/>
          <w:color w:val="auto"/>
        </w:rPr>
        <w:t xml:space="preserve">万元，属于</w:t>
      </w:r>
      <w:r>
        <w:rPr>
          <w:rFonts w:hint="eastAsia"/>
          <w:color w:val="auto"/>
          <w:u w:val="single"/>
        </w:rPr>
        <w:t xml:space="preserve">（中型企业、小型企业、微型企业）；</w:t>
      </w:r>
      <w:r/>
    </w:p>
    <w:p>
      <w:pPr>
        <w:pStyle w:val="665"/>
        <w:ind w:firstLine="360"/>
        <w:jc w:val="both"/>
        <w:spacing w:beforeAutospacing="0" w:afterAutospacing="0" w:line="360" w:lineRule="auto"/>
        <w:rPr>
          <w:color w:val="auto"/>
        </w:rPr>
      </w:pPr>
      <w:r>
        <w:rPr>
          <w:rFonts w:hint="eastAsia"/>
          <w:color w:val="auto"/>
        </w:rPr>
        <w:t xml:space="preserve">2.</w:t>
      </w:r>
      <w:r>
        <w:rPr>
          <w:rFonts w:hint="eastAsia"/>
          <w:color w:val="auto"/>
          <w:u w:val="single"/>
        </w:rPr>
        <w:t xml:space="preserve">（标的名称）</w:t>
      </w:r>
      <w:r>
        <w:rPr>
          <w:rFonts w:hint="eastAsia"/>
          <w:i/>
          <w:color w:val="auto"/>
        </w:rPr>
        <w:t xml:space="preserve">，</w:t>
      </w:r>
      <w:r>
        <w:rPr>
          <w:rFonts w:hint="eastAsia"/>
          <w:color w:val="auto"/>
        </w:rPr>
        <w:t xml:space="preserve">属于</w:t>
      </w:r>
      <w:r>
        <w:rPr>
          <w:rFonts w:hint="eastAsia"/>
          <w:color w:val="auto"/>
          <w:u w:val="single"/>
        </w:rPr>
        <w:t xml:space="preserve">(采购文件中明确的所属行业)</w:t>
      </w:r>
      <w:r>
        <w:rPr>
          <w:rFonts w:hint="eastAsia"/>
          <w:color w:val="auto"/>
        </w:rPr>
        <w:t xml:space="preserve">行业；制造商为</w:t>
      </w:r>
      <w:r>
        <w:rPr>
          <w:rFonts w:hint="eastAsia"/>
          <w:color w:val="auto"/>
          <w:u w:val="single"/>
        </w:rPr>
        <w:t xml:space="preserve">（企业名称）</w:t>
      </w:r>
      <w:r>
        <w:rPr>
          <w:rFonts w:hint="eastAsia"/>
          <w:color w:val="auto"/>
        </w:rPr>
        <w:t xml:space="preserve">，从业人员</w:t>
      </w:r>
      <w:r>
        <w:rPr>
          <w:rFonts w:hint="eastAsia"/>
          <w:color w:val="auto"/>
          <w:u w:val="single"/>
        </w:rPr>
        <w:t xml:space="preserve">      </w:t>
      </w:r>
      <w:r>
        <w:rPr>
          <w:rFonts w:hint="eastAsia"/>
          <w:color w:val="auto"/>
        </w:rPr>
        <w:t xml:space="preserve">人，营业收入为</w:t>
      </w:r>
      <w:r>
        <w:rPr>
          <w:rFonts w:hint="eastAsia"/>
          <w:color w:val="auto"/>
          <w:u w:val="single"/>
        </w:rPr>
        <w:t xml:space="preserve">     </w:t>
      </w:r>
      <w:r>
        <w:rPr>
          <w:rFonts w:hint="eastAsia"/>
          <w:color w:val="auto"/>
        </w:rPr>
        <w:t xml:space="preserve">万元，资产总额为</w:t>
      </w:r>
      <w:r>
        <w:rPr>
          <w:rFonts w:hint="eastAsia"/>
          <w:color w:val="auto"/>
          <w:u w:val="single"/>
        </w:rPr>
        <w:t xml:space="preserve">      </w:t>
      </w:r>
      <w:r>
        <w:rPr>
          <w:rFonts w:hint="eastAsia"/>
          <w:color w:val="auto"/>
        </w:rPr>
        <w:t xml:space="preserve">万元，属于</w:t>
      </w:r>
      <w:r>
        <w:rPr>
          <w:rFonts w:hint="eastAsia"/>
          <w:color w:val="auto"/>
          <w:u w:val="single"/>
        </w:rPr>
        <w:t xml:space="preserve">（中型企业、小型企业、微型企业）；</w:t>
      </w:r>
      <w:r/>
    </w:p>
    <w:p>
      <w:pPr>
        <w:pStyle w:val="665"/>
        <w:ind w:firstLine="360"/>
        <w:jc w:val="both"/>
        <w:spacing w:beforeAutospacing="0" w:afterAutospacing="0" w:line="360" w:lineRule="auto"/>
        <w:rPr>
          <w:color w:val="auto"/>
        </w:rPr>
      </w:pPr>
      <w:r>
        <w:rPr>
          <w:rFonts w:hint="eastAsia"/>
          <w:color w:val="auto"/>
        </w:rPr>
        <w:t xml:space="preserve">……</w:t>
      </w:r>
      <w:r/>
    </w:p>
    <w:p>
      <w:pPr>
        <w:pStyle w:val="665"/>
        <w:ind w:firstLine="360"/>
        <w:jc w:val="both"/>
        <w:spacing w:beforeAutospacing="0" w:afterAutospacing="0" w:line="360" w:lineRule="auto"/>
        <w:rPr>
          <w:color w:val="auto"/>
        </w:rPr>
      </w:pPr>
      <w:r>
        <w:rPr>
          <w:rFonts w:hint="eastAsia"/>
          <w:color w:val="auto"/>
        </w:rPr>
        <w:t xml:space="preserve">以上企业，不属于大企业的分支机构，不存在控股股东为大企业的情形，也不存在与大企业的负责人为同一人的情形。</w:t>
      </w:r>
      <w:r/>
    </w:p>
    <w:p>
      <w:pPr>
        <w:pStyle w:val="665"/>
        <w:ind w:firstLine="360"/>
        <w:jc w:val="both"/>
        <w:spacing w:beforeAutospacing="0" w:afterAutospacing="0" w:line="360" w:lineRule="auto"/>
        <w:rPr>
          <w:color w:val="auto"/>
        </w:rPr>
      </w:pPr>
      <w:r>
        <w:rPr>
          <w:rFonts w:hint="eastAsia"/>
          <w:color w:val="auto"/>
        </w:rPr>
        <w:t xml:space="preserve">本企业对上述声明内容的真实性负责。如有虚假，将依法承担相应责任</w:t>
      </w:r>
      <w:r/>
    </w:p>
    <w:p>
      <w:pPr>
        <w:pStyle w:val="665"/>
        <w:ind w:right="720"/>
        <w:jc w:val="both"/>
        <w:spacing w:beforeAutospacing="0" w:afterAutospacing="0" w:line="360" w:lineRule="auto"/>
        <w:rPr>
          <w:color w:val="auto"/>
        </w:rPr>
      </w:pPr>
      <w:r>
        <w:rPr>
          <w:color w:val="auto"/>
        </w:rPr>
        <w:t xml:space="preserve"> </w:t>
      </w:r>
      <w:r/>
    </w:p>
    <w:p>
      <w:pPr>
        <w:pStyle w:val="665"/>
        <w:ind w:right="180" w:firstLine="360"/>
        <w:jc w:val="right"/>
        <w:spacing w:beforeAutospacing="0" w:afterAutospacing="0" w:line="360" w:lineRule="auto"/>
        <w:rPr>
          <w:color w:val="auto"/>
        </w:rPr>
      </w:pPr>
      <w:r>
        <w:rPr>
          <w:rFonts w:hint="eastAsia"/>
          <w:color w:val="auto"/>
        </w:rPr>
        <w:t xml:space="preserve">企业名称（加盖CA电子公章）：</w:t>
      </w:r>
      <w:r/>
    </w:p>
    <w:p>
      <w:pPr>
        <w:pStyle w:val="665"/>
        <w:ind w:right="480" w:firstLine="5400"/>
        <w:jc w:val="both"/>
        <w:spacing w:beforeAutospacing="0" w:afterAutospacing="0" w:line="360" w:lineRule="auto"/>
        <w:rPr>
          <w:color w:val="auto"/>
        </w:rPr>
      </w:pPr>
      <w:r>
        <w:rPr>
          <w:rFonts w:hint="eastAsia"/>
          <w:color w:val="auto"/>
        </w:rPr>
        <w:t xml:space="preserve">日  期：</w:t>
      </w:r>
      <w:r/>
    </w:p>
    <w:p>
      <w:pPr>
        <w:pStyle w:val="665"/>
        <w:ind w:firstLine="360"/>
        <w:jc w:val="both"/>
        <w:spacing w:beforeAutospacing="0" w:afterAutospacing="0" w:line="360" w:lineRule="auto"/>
        <w:rPr>
          <w:color w:val="auto"/>
        </w:rPr>
      </w:pPr>
      <w:r>
        <w:rPr>
          <w:color w:val="auto"/>
        </w:rPr>
        <w:t xml:space="preserve"> </w:t>
      </w:r>
      <w:r/>
    </w:p>
    <w:p>
      <w:pPr>
        <w:pStyle w:val="665"/>
        <w:ind w:firstLine="480"/>
        <w:jc w:val="both"/>
        <w:spacing w:beforeAutospacing="0" w:afterAutospacing="0" w:line="360" w:lineRule="auto"/>
        <w:rPr>
          <w:color w:val="auto"/>
        </w:rPr>
      </w:pPr>
      <w:r>
        <w:rPr>
          <w:rFonts w:hint="eastAsia"/>
          <w:color w:val="auto"/>
        </w:rPr>
        <w:t xml:space="preserve">备注1：从业人员、营业收入、资产总额填报上一年度数据，无上一年度数据的新成立企业可不填报。</w:t>
      </w:r>
      <w:r/>
    </w:p>
    <w:p>
      <w:pPr>
        <w:pStyle w:val="665"/>
        <w:ind w:firstLine="480"/>
        <w:jc w:val="both"/>
        <w:spacing w:beforeAutospacing="0" w:afterAutospacing="0" w:line="360" w:lineRule="auto"/>
        <w:rPr>
          <w:color w:val="auto"/>
        </w:rPr>
      </w:pPr>
      <w:r>
        <w:rPr>
          <w:rFonts w:hint="eastAsia"/>
          <w:color w:val="auto"/>
        </w:rPr>
        <w:t xml:space="preserve">备注2：供应商如不提供此声明函，价格将不做相应扣除（如项目全面面向中小企业，则资格审查不通过）。</w:t>
      </w:r>
      <w:r/>
    </w:p>
    <w:p>
      <w:pPr>
        <w:pStyle w:val="665"/>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665"/>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665"/>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665"/>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665"/>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665"/>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665"/>
        <w:jc w:val="center"/>
        <w:spacing w:beforeAutospacing="0" w:afterAutospacing="0" w:line="0" w:lineRule="atLeast"/>
        <w:rPr>
          <w:rFonts w:ascii="黑体" w:hAnsi="宋体" w:eastAsia="黑体" w:cs="黑体"/>
          <w:b/>
          <w:color w:val="auto"/>
          <w:sz w:val="32"/>
          <w:szCs w:val="32"/>
        </w:rPr>
      </w:pPr>
      <w:r>
        <w:rPr>
          <w:rFonts w:ascii="黑体" w:hAnsi="宋体" w:eastAsia="黑体" w:cs="黑体"/>
          <w:b/>
          <w:color w:val="auto"/>
          <w:sz w:val="32"/>
          <w:szCs w:val="32"/>
        </w:rPr>
      </w:r>
      <w:r/>
    </w:p>
    <w:p>
      <w:pPr>
        <w:pStyle w:val="665"/>
        <w:jc w:val="center"/>
        <w:spacing w:beforeAutospacing="0" w:afterAutospacing="0" w:line="0" w:lineRule="atLeast"/>
        <w:rPr>
          <w:color w:val="auto"/>
        </w:rPr>
      </w:pPr>
      <w:r>
        <w:rPr>
          <w:rFonts w:hint="eastAsia" w:ascii="黑体" w:hAnsi="宋体" w:eastAsia="黑体" w:cs="黑体"/>
          <w:b/>
          <w:color w:val="auto"/>
          <w:sz w:val="32"/>
          <w:szCs w:val="32"/>
        </w:rPr>
        <w:t xml:space="preserve">十、残疾人福利性单位声明函</w:t>
      </w:r>
      <w:r/>
    </w:p>
    <w:p>
      <w:pPr>
        <w:pStyle w:val="665"/>
        <w:ind w:firstLine="480"/>
        <w:jc w:val="both"/>
        <w:spacing w:beforeAutospacing="0" w:afterAutospacing="0" w:line="360" w:lineRule="auto"/>
        <w:rPr>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u w:val="single"/>
        </w:rPr>
        <w:t xml:space="preserve">       </w:t>
      </w:r>
      <w:r>
        <w:rPr>
          <w:rFonts w:hint="eastAsia" w:ascii="宋体" w:hAnsi="宋体" w:eastAsia="宋体" w:cs="宋体"/>
          <w:color w:val="auto"/>
        </w:rPr>
        <w:t xml:space="preserve">项目（分包号：**）采购活动提供本单位制造的货物，或者提供其他残疾人福利性单位制造的货物（不包括使用非残疾人福利性单位注册商标的货物）。</w:t>
      </w:r>
      <w:r/>
    </w:p>
    <w:p>
      <w:pPr>
        <w:pStyle w:val="665"/>
        <w:ind w:firstLine="480"/>
        <w:jc w:val="both"/>
        <w:spacing w:beforeAutospacing="0" w:afterAutospacing="0" w:line="360" w:lineRule="auto"/>
        <w:rPr>
          <w:color w:val="auto"/>
        </w:rPr>
      </w:pPr>
      <w:r>
        <w:rPr>
          <w:rFonts w:hint="eastAsia" w:ascii="宋体" w:hAnsi="宋体" w:eastAsia="宋体" w:cs="宋体"/>
          <w:color w:val="auto"/>
        </w:rPr>
        <w:t xml:space="preserve">本单位对上述声明的真实性负责。如有虚假，将依法承担相应责任。</w:t>
      </w:r>
      <w:r/>
    </w:p>
    <w:p>
      <w:pPr>
        <w:pStyle w:val="665"/>
        <w:ind w:firstLine="480"/>
        <w:jc w:val="both"/>
        <w:spacing w:beforeAutospacing="0" w:afterAutospacing="0" w:line="360" w:lineRule="auto"/>
        <w:rPr>
          <w:color w:val="auto"/>
        </w:rPr>
      </w:pPr>
      <w:r>
        <w:rPr>
          <w:color w:val="auto"/>
        </w:rPr>
        <w:t xml:space="preserve"> </w:t>
      </w:r>
      <w:r/>
    </w:p>
    <w:p>
      <w:pPr>
        <w:pStyle w:val="665"/>
        <w:ind w:firstLine="480"/>
        <w:jc w:val="both"/>
        <w:spacing w:beforeAutospacing="0" w:afterAutospacing="0" w:line="360" w:lineRule="auto"/>
        <w:rPr>
          <w:color w:val="auto"/>
        </w:rPr>
      </w:pPr>
      <w:r>
        <w:rPr>
          <w:rFonts w:hint="eastAsia" w:ascii="宋体" w:hAnsi="宋体" w:eastAsia="宋体" w:cs="宋体"/>
          <w:color w:val="auto"/>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65"/>
        <w:ind w:firstLine="624"/>
        <w:jc w:val="both"/>
        <w:spacing w:beforeAutospacing="0" w:afterAutospacing="0" w:line="360" w:lineRule="auto"/>
        <w:rPr>
          <w:color w:val="auto"/>
        </w:rPr>
      </w:pPr>
      <w:r>
        <w:rPr>
          <w:color w:val="auto"/>
        </w:rPr>
        <w:t xml:space="preserve"> </w:t>
      </w:r>
      <w:r/>
    </w:p>
    <w:p>
      <w:pPr>
        <w:pStyle w:val="665"/>
        <w:ind w:right="368" w:firstLine="624"/>
        <w:jc w:val="center"/>
        <w:spacing w:beforeAutospacing="0" w:afterAutospacing="0" w:line="360" w:lineRule="auto"/>
        <w:tabs>
          <w:tab w:val="left" w:pos="4864" w:leader="none"/>
        </w:tabs>
        <w:rPr>
          <w:color w:val="auto"/>
        </w:rPr>
      </w:pPr>
      <w:r>
        <w:rPr>
          <w:rFonts w:ascii="仿宋_GB2312" w:eastAsia="仿宋_GB2312" w:cs="仿宋_GB2312"/>
          <w:color w:val="auto"/>
          <w:sz w:val="30"/>
          <w:szCs w:val="30"/>
        </w:rPr>
        <w:t xml:space="preserve">             </w:t>
      </w:r>
      <w:r>
        <w:rPr>
          <w:rFonts w:hint="eastAsia" w:ascii="宋体" w:hAnsi="宋体" w:eastAsia="宋体" w:cs="宋体"/>
          <w:color w:val="auto"/>
        </w:rPr>
        <w:t xml:space="preserve">          供应商全称（加盖CA电子公章）：</w:t>
      </w:r>
      <w:r/>
    </w:p>
    <w:p>
      <w:pPr>
        <w:pStyle w:val="665"/>
        <w:ind w:right="1560" w:firstLine="480"/>
        <w:jc w:val="center"/>
        <w:spacing w:beforeAutospacing="0" w:afterAutospacing="0" w:line="360" w:lineRule="auto"/>
        <w:tabs>
          <w:tab w:val="left" w:pos="4864" w:leader="none"/>
        </w:tabs>
        <w:rPr>
          <w:color w:val="auto"/>
        </w:rPr>
      </w:pPr>
      <w:r>
        <w:rPr>
          <w:rFonts w:hint="eastAsia" w:ascii="宋体" w:hAnsi="宋体" w:eastAsia="宋体" w:cs="宋体"/>
          <w:color w:val="auto"/>
        </w:rPr>
        <w:t xml:space="preserve">        </w:t>
      </w:r>
      <w:r>
        <w:rPr>
          <w:rFonts w:ascii="宋体" w:hAnsi="宋体" w:eastAsia="宋体" w:cs="宋体"/>
          <w:color w:val="auto"/>
        </w:rPr>
        <w:t xml:space="preserve"> </w:t>
      </w:r>
      <w:r>
        <w:rPr>
          <w:rFonts w:hint="eastAsia" w:ascii="宋体" w:hAnsi="宋体" w:eastAsia="宋体" w:cs="宋体"/>
          <w:color w:val="auto"/>
        </w:rPr>
        <w:t xml:space="preserve">日  期：</w:t>
      </w:r>
      <w:r/>
    </w:p>
    <w:p>
      <w:pPr>
        <w:pStyle w:val="665"/>
        <w:jc w:val="center"/>
        <w:spacing w:beforeAutospacing="0" w:afterAutospacing="0" w:line="0" w:lineRule="atLeast"/>
        <w:rPr>
          <w:color w:val="auto"/>
        </w:rPr>
      </w:pPr>
      <w:r>
        <w:rPr>
          <w:color w:val="auto"/>
        </w:rPr>
        <w:t xml:space="preserve"> </w:t>
      </w:r>
      <w:r/>
    </w:p>
    <w:p>
      <w:pPr>
        <w:pStyle w:val="665"/>
        <w:jc w:val="center"/>
        <w:spacing w:beforeAutospacing="0" w:afterAutospacing="0" w:line="0" w:lineRule="atLeast"/>
        <w:rPr>
          <w:color w:val="auto"/>
        </w:rPr>
      </w:pPr>
      <w:r>
        <w:rPr>
          <w:color w:val="auto"/>
        </w:rPr>
        <w:t xml:space="preserve"> </w:t>
      </w:r>
      <w:r/>
    </w:p>
    <w:p>
      <w:pPr>
        <w:pStyle w:val="665"/>
        <w:jc w:val="center"/>
        <w:spacing w:beforeAutospacing="0" w:afterAutospacing="0" w:line="0" w:lineRule="atLeast"/>
        <w:rPr>
          <w:color w:val="auto"/>
        </w:rPr>
      </w:pPr>
      <w:r>
        <w:rPr>
          <w:color w:val="auto"/>
        </w:rPr>
        <w:t xml:space="preserve"> </w:t>
      </w:r>
      <w:r/>
    </w:p>
    <w:p>
      <w:pPr>
        <w:pStyle w:val="665"/>
        <w:jc w:val="center"/>
        <w:spacing w:beforeAutospacing="0" w:afterAutospacing="0" w:line="0" w:lineRule="atLeast"/>
        <w:rPr>
          <w:color w:val="auto"/>
        </w:rPr>
      </w:pPr>
      <w:r>
        <w:rPr>
          <w:color w:val="auto"/>
        </w:rPr>
        <w:t xml:space="preserve"> </w:t>
      </w:r>
      <w:r/>
    </w:p>
    <w:p>
      <w:pPr>
        <w:pStyle w:val="665"/>
        <w:jc w:val="center"/>
        <w:spacing w:beforeAutospacing="0" w:afterAutospacing="0" w:line="0" w:lineRule="atLeast"/>
        <w:rPr>
          <w:color w:val="auto"/>
        </w:rPr>
      </w:pPr>
      <w:r>
        <w:rPr>
          <w:color w:val="auto"/>
        </w:rPr>
        <w:t xml:space="preserve"> </w:t>
      </w:r>
      <w:r/>
    </w:p>
    <w:p>
      <w:pPr>
        <w:pStyle w:val="665"/>
        <w:jc w:val="center"/>
        <w:spacing w:beforeAutospacing="0" w:afterAutospacing="0" w:line="0" w:lineRule="atLeast"/>
        <w:rPr>
          <w:color w:val="auto"/>
        </w:rPr>
      </w:pPr>
      <w:r>
        <w:rPr>
          <w:color w:val="auto"/>
        </w:rPr>
        <w:t xml:space="preserve"> </w:t>
      </w:r>
      <w:r/>
    </w:p>
    <w:p>
      <w:pPr>
        <w:pStyle w:val="665"/>
        <w:jc w:val="center"/>
        <w:spacing w:beforeAutospacing="0" w:afterAutospacing="0" w:line="0" w:lineRule="atLeast"/>
        <w:rPr>
          <w:color w:val="auto"/>
        </w:rPr>
      </w:pPr>
      <w:r>
        <w:rPr>
          <w:color w:val="auto"/>
        </w:rPr>
        <w:t xml:space="preserve"> </w:t>
      </w:r>
      <w:r/>
    </w:p>
    <w:p>
      <w:pPr>
        <w:pStyle w:val="665"/>
        <w:jc w:val="center"/>
        <w:spacing w:beforeAutospacing="0" w:afterAutospacing="0" w:line="0" w:lineRule="atLeast"/>
        <w:rPr>
          <w:color w:val="auto"/>
        </w:rPr>
      </w:pPr>
      <w:r>
        <w:rPr>
          <w:color w:val="auto"/>
        </w:rPr>
        <w:t xml:space="preserve"> </w:t>
      </w:r>
      <w:r/>
    </w:p>
    <w:p>
      <w:pPr>
        <w:rPr>
          <w:color w:val="auto"/>
          <w:spacing w:val="27"/>
          <w:sz w:val="39"/>
          <w:szCs w:val="39"/>
        </w:rPr>
      </w:pPr>
      <w:r>
        <w:rPr>
          <w:color w:val="auto"/>
          <w:spacing w:val="27"/>
          <w:sz w:val="39"/>
          <w:szCs w:val="39"/>
        </w:rPr>
        <w:br w:type="page" w:clear="all"/>
      </w:r>
      <w:r/>
    </w:p>
    <w:p>
      <w:pPr>
        <w:jc w:val="center"/>
        <w:rPr>
          <w:rFonts w:ascii="Calibri" w:hAnsi="Calibri" w:eastAsia="宋体" w:cs="Times New Roman"/>
          <w:color w:val="auto"/>
          <w:sz w:val="24"/>
        </w:rPr>
      </w:pPr>
      <w:r>
        <w:rPr>
          <w:rFonts w:hint="eastAsia" w:ascii="黑体" w:hAnsi="黑体" w:eastAsia="黑体" w:cs="黑体"/>
          <w:i/>
          <w:color w:val="auto"/>
          <w:sz w:val="32"/>
          <w:szCs w:val="32"/>
          <w:u w:val="single"/>
        </w:rPr>
        <w:t xml:space="preserve">十一、关于符合本国产品标准的声明函</w:t>
      </w:r>
      <w:r/>
    </w:p>
    <w:p>
      <w:pPr>
        <w:ind w:firstLine="420"/>
        <w:rPr>
          <w:rFonts w:ascii="Calibri" w:hAnsi="Calibri" w:eastAsia="宋体" w:cs="Times New Roman"/>
          <w:color w:val="auto"/>
          <w:sz w:val="24"/>
        </w:rPr>
      </w:pPr>
      <w:r>
        <w:rPr>
          <w:rFonts w:ascii="Arial" w:hAnsi="Arial" w:eastAsia="宋体" w:cs="Arial"/>
          <w:color w:val="auto"/>
          <w:sz w:val="24"/>
        </w:rPr>
        <w:t xml:space="preserve"> </w:t>
      </w:r>
      <w:r/>
    </w:p>
    <w:p>
      <w:pPr>
        <w:ind w:firstLine="420"/>
        <w:spacing w:line="360" w:lineRule="auto"/>
        <w:rPr>
          <w:rFonts w:ascii="Calibri" w:hAnsi="Calibri" w:eastAsia="宋体" w:cs="Times New Roman"/>
          <w:color w:val="auto"/>
          <w:sz w:val="24"/>
        </w:rPr>
      </w:pPr>
      <w:r>
        <w:rPr>
          <w:rFonts w:ascii="宋体" w:hAnsi="宋体" w:eastAsia="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ascii="Calibri" w:hAnsi="Calibri" w:eastAsia="宋体" w:cs="Times New Roman"/>
          <w:color w:val="auto"/>
          <w:sz w:val="24"/>
        </w:rPr>
      </w:pPr>
      <w:r>
        <w:rPr>
          <w:rFonts w:ascii="宋体" w:hAnsi="宋体" w:eastAsia="宋体" w:cs="宋体"/>
          <w:color w:val="auto"/>
          <w:sz w:val="24"/>
          <w:shd w:val="clear" w:color="auto" w:fill="ffffff"/>
        </w:rPr>
        <w:t xml:space="preserve">1.</w:t>
      </w:r>
      <w:r>
        <w:rPr>
          <w:rFonts w:ascii="宋体" w:hAnsi="宋体" w:eastAsia="宋体" w:cs="宋体"/>
          <w:color w:val="auto"/>
          <w:sz w:val="24"/>
          <w:u w:val="single"/>
          <w:shd w:val="clear" w:color="auto" w:fill="ffffff"/>
        </w:rPr>
        <w:t xml:space="preserve">（产品名称1）</w:t>
      </w:r>
      <w:r>
        <w:rPr>
          <w:rFonts w:ascii="宋体" w:hAnsi="宋体" w:eastAsia="宋体" w:cs="宋体"/>
          <w:color w:val="auto"/>
          <w:sz w:val="24"/>
          <w:shd w:val="clear" w:color="auto" w:fill="ffffff"/>
          <w:vertAlign w:val="superscript"/>
        </w:rPr>
        <w:t xml:space="preserve">1</w:t>
      </w:r>
      <w:r>
        <w:rPr>
          <w:rFonts w:ascii="宋体" w:hAnsi="宋体" w:eastAsia="宋体" w:cs="宋体"/>
          <w:color w:val="auto"/>
          <w:sz w:val="24"/>
          <w:shd w:val="clear" w:color="auto" w:fill="ffffff"/>
        </w:rPr>
        <w:t xml:space="preserve">，生产厂为</w:t>
      </w:r>
      <w:r>
        <w:rPr>
          <w:rFonts w:ascii="宋体" w:hAnsi="宋体" w:eastAsia="宋体" w:cs="宋体"/>
          <w:color w:val="auto"/>
          <w:sz w:val="24"/>
          <w:u w:val="single"/>
          <w:shd w:val="clear" w:color="auto" w:fill="ffffff"/>
        </w:rPr>
        <w:t xml:space="preserve">（厂名）</w:t>
      </w:r>
      <w:r>
        <w:rPr>
          <w:rFonts w:ascii="宋体" w:hAnsi="宋体" w:eastAsia="宋体" w:cs="宋体"/>
          <w:color w:val="auto"/>
          <w:sz w:val="24"/>
          <w:shd w:val="clear" w:color="auto" w:fill="ffffff"/>
          <w:vertAlign w:val="superscript"/>
        </w:rPr>
        <w:t xml:space="preserve">2</w:t>
      </w:r>
      <w:r>
        <w:rPr>
          <w:rFonts w:ascii="宋体" w:hAnsi="宋体" w:eastAsia="宋体" w:cs="宋体"/>
          <w:color w:val="auto"/>
          <w:sz w:val="24"/>
          <w:shd w:val="clear" w:color="auto" w:fill="ffffff"/>
        </w:rPr>
        <w:t xml:space="preserve">，厂址为</w:t>
      </w:r>
      <w:r>
        <w:rPr>
          <w:rFonts w:ascii="宋体" w:hAnsi="宋体" w:eastAsia="宋体" w:cs="宋体"/>
          <w:color w:val="auto"/>
          <w:sz w:val="24"/>
          <w:u w:val="single"/>
          <w:shd w:val="clear" w:color="auto" w:fill="ffffff"/>
        </w:rPr>
        <w:t xml:space="preserve">（生产厂址）</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u w:val="single"/>
          <w:shd w:val="clear" w:color="auto" w:fill="ffffff"/>
        </w:rPr>
        <w:t xml:space="preserve"> </w:t>
      </w:r>
      <w:r>
        <w:rPr>
          <w:rFonts w:ascii="宋体" w:hAnsi="宋体" w:eastAsia="宋体" w:cs="宋体"/>
          <w:color w:val="auto"/>
          <w:sz w:val="24"/>
          <w:shd w:val="clear" w:color="auto" w:fill="ffffff"/>
        </w:rPr>
        <w:t xml:space="preserve">的中国境内生产的组件成本占比≥</w:t>
      </w:r>
      <w:r>
        <w:rPr>
          <w:rFonts w:hint="eastAsia" w:ascii="宋体" w:hAnsi="宋体" w:eastAsia="宋体" w:cs="宋体"/>
          <w:color w:val="auto"/>
          <w:sz w:val="24"/>
          <w:u w:val="single"/>
          <w:shd w:val="clear" w:color="auto" w:fill="ffffff"/>
        </w:rPr>
        <w:t xml:space="preserve">  / </w:t>
      </w:r>
      <w:r>
        <w:rPr>
          <w:rFonts w:ascii="宋体" w:hAnsi="宋体" w:eastAsia="宋体" w:cs="宋体"/>
          <w:strike/>
          <w:color w:val="auto"/>
          <w:sz w:val="24"/>
          <w:shd w:val="clear" w:color="auto" w:fill="ffffff"/>
          <w:vertAlign w:val="superscript"/>
        </w:rPr>
        <w:t xml:space="preserve">3</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strike/>
          <w:color w:val="auto"/>
          <w:sz w:val="24"/>
          <w:shd w:val="clear" w:color="auto" w:fill="ffffff"/>
          <w:vertAlign w:val="superscript"/>
        </w:rPr>
        <w:t xml:space="preserve">4</w:t>
      </w:r>
      <w:r>
        <w:rPr>
          <w:rFonts w:ascii="宋体" w:hAnsi="宋体" w:eastAsia="宋体" w:cs="宋体"/>
          <w:color w:val="auto"/>
          <w:sz w:val="24"/>
          <w:shd w:val="clear" w:color="auto" w:fill="ffffff"/>
        </w:rPr>
        <w:t xml:space="preserve">在中国境内生产。</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strike/>
          <w:color w:val="auto"/>
          <w:sz w:val="24"/>
          <w:shd w:val="clear" w:color="auto" w:fill="ffffff"/>
          <w:vertAlign w:val="superscript"/>
        </w:rPr>
        <w:t xml:space="preserve">5</w:t>
      </w:r>
      <w:r>
        <w:rPr>
          <w:rFonts w:ascii="宋体" w:hAnsi="宋体" w:eastAsia="宋体" w:cs="宋体"/>
          <w:color w:val="auto"/>
          <w:sz w:val="24"/>
          <w:shd w:val="clear" w:color="auto" w:fill="ffffff"/>
        </w:rPr>
        <w:t xml:space="preserve">在中国境内完成。</w:t>
      </w:r>
      <w:r/>
    </w:p>
    <w:p>
      <w:pPr>
        <w:ind w:firstLine="420"/>
        <w:spacing w:before="30" w:after="30" w:line="360" w:lineRule="auto"/>
        <w:rPr>
          <w:rFonts w:ascii="Calibri" w:hAnsi="Calibri" w:eastAsia="宋体" w:cs="Times New Roman"/>
          <w:color w:val="auto"/>
          <w:sz w:val="24"/>
        </w:rPr>
      </w:pPr>
      <w:r>
        <w:rPr>
          <w:rFonts w:ascii="宋体" w:hAnsi="宋体" w:eastAsia="宋体" w:cs="宋体"/>
          <w:color w:val="auto"/>
          <w:sz w:val="24"/>
          <w:shd w:val="clear" w:color="auto" w:fill="ffffff"/>
        </w:rPr>
        <w:t xml:space="preserve">2.</w:t>
      </w:r>
      <w:r>
        <w:rPr>
          <w:rFonts w:ascii="宋体" w:hAnsi="宋体" w:eastAsia="宋体" w:cs="宋体"/>
          <w:color w:val="auto"/>
          <w:sz w:val="24"/>
          <w:u w:val="single"/>
          <w:shd w:val="clear" w:color="auto" w:fill="ffffff"/>
        </w:rPr>
        <w:t xml:space="preserve">（产品名称2）</w:t>
      </w:r>
      <w:r>
        <w:rPr>
          <w:rFonts w:ascii="宋体" w:hAnsi="宋体" w:eastAsia="宋体" w:cs="宋体"/>
          <w:color w:val="auto"/>
          <w:sz w:val="24"/>
          <w:shd w:val="clear" w:color="auto" w:fill="ffffff"/>
        </w:rPr>
        <w:t xml:space="preserve">，生产厂为</w:t>
      </w:r>
      <w:r>
        <w:rPr>
          <w:rFonts w:ascii="宋体" w:hAnsi="宋体" w:eastAsia="宋体" w:cs="宋体"/>
          <w:color w:val="auto"/>
          <w:sz w:val="24"/>
          <w:u w:val="single"/>
          <w:shd w:val="clear" w:color="auto" w:fill="ffffff"/>
        </w:rPr>
        <w:t xml:space="preserve">（厂名）</w:t>
      </w:r>
      <w:r>
        <w:rPr>
          <w:rFonts w:ascii="宋体" w:hAnsi="宋体" w:eastAsia="宋体" w:cs="宋体"/>
          <w:color w:val="auto"/>
          <w:sz w:val="24"/>
          <w:shd w:val="clear" w:color="auto" w:fill="ffffff"/>
        </w:rPr>
        <w:t xml:space="preserve">，厂址为</w:t>
      </w:r>
      <w:r>
        <w:rPr>
          <w:rFonts w:ascii="宋体" w:hAnsi="宋体" w:eastAsia="宋体" w:cs="宋体"/>
          <w:color w:val="auto"/>
          <w:sz w:val="24"/>
          <w:u w:val="single"/>
          <w:shd w:val="clear" w:color="auto" w:fill="ffffff"/>
        </w:rPr>
        <w:t xml:space="preserve">（生产厂址）</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的中国境内生产的组件成本占比≥</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在中国境内生产。</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的</w:t>
      </w:r>
      <w:r>
        <w:rPr>
          <w:rFonts w:hint="eastAsia" w:ascii="宋体" w:hAnsi="宋体" w:eastAsia="宋体" w:cs="宋体"/>
          <w:color w:val="auto"/>
          <w:sz w:val="24"/>
          <w:u w:val="single"/>
          <w:shd w:val="clear" w:color="auto" w:fill="ffffff"/>
        </w:rPr>
        <w:t xml:space="preserve">  /  </w:t>
      </w:r>
      <w:r>
        <w:rPr>
          <w:rFonts w:ascii="宋体" w:hAnsi="宋体" w:eastAsia="宋体" w:cs="宋体"/>
          <w:color w:val="auto"/>
          <w:sz w:val="24"/>
          <w:shd w:val="clear" w:color="auto" w:fill="ffffff"/>
        </w:rPr>
        <w:t xml:space="preserve">在中国境内完成。</w:t>
      </w:r>
      <w:r/>
    </w:p>
    <w:p>
      <w:pPr>
        <w:ind w:firstLine="420"/>
        <w:spacing w:before="30" w:after="30" w:line="360" w:lineRule="auto"/>
        <w:rPr>
          <w:rFonts w:ascii="Calibri" w:hAnsi="Calibri" w:eastAsia="宋体" w:cs="Times New Roman"/>
          <w:color w:val="auto"/>
          <w:sz w:val="24"/>
        </w:rPr>
      </w:pPr>
      <w:r>
        <w:rPr>
          <w:rFonts w:ascii="宋体" w:hAnsi="宋体" w:eastAsia="宋体" w:cs="宋体"/>
          <w:color w:val="auto"/>
          <w:sz w:val="24"/>
          <w:shd w:val="clear" w:color="auto" w:fill="ffffff"/>
        </w:rPr>
        <w:t xml:space="preserve">……</w:t>
      </w:r>
      <w:r/>
    </w:p>
    <w:p>
      <w:pPr>
        <w:ind w:right="480"/>
        <w:jc w:val="left"/>
        <w:spacing w:before="30" w:after="30" w:line="360" w:lineRule="auto"/>
        <w:rPr>
          <w:rFonts w:ascii="宋体" w:hAnsi="宋体" w:eastAsia="宋体" w:cs="宋体"/>
          <w:color w:val="auto"/>
          <w:sz w:val="24"/>
          <w:shd w:val="clear" w:color="auto" w:fill="ffffff"/>
        </w:rPr>
      </w:pPr>
      <w:r>
        <w:rPr>
          <w:rFonts w:ascii="宋体" w:hAnsi="宋体" w:eastAsia="宋体" w:cs="宋体"/>
          <w:color w:val="auto"/>
          <w:sz w:val="24"/>
          <w:shd w:val="clear" w:color="auto" w:fill="ffffff"/>
        </w:rPr>
        <w:t xml:space="preserve">本公司（单位）对上述声明内容的真实性负责。如有虚假，愿承担相应法律责任。</w:t>
      </w:r>
      <w:r>
        <w:rPr>
          <w:rFonts w:hint="eastAsia" w:ascii="宋体" w:hAnsi="宋体" w:eastAsia="宋体" w:cs="宋体"/>
          <w:color w:val="auto"/>
          <w:sz w:val="24"/>
          <w:shd w:val="clear" w:color="auto" w:fill="ffffff"/>
        </w:rPr>
        <w:t xml:space="preserve"> </w:t>
      </w:r>
      <w:r/>
    </w:p>
    <w:p>
      <w:pPr>
        <w:ind w:right="480"/>
        <w:jc w:val="center"/>
        <w:spacing w:before="30" w:after="30" w:line="360" w:lineRule="auto"/>
        <w:rPr>
          <w:rFonts w:ascii="Calibri" w:hAnsi="Calibri" w:eastAsia="宋体" w:cs="Times New Roman"/>
          <w:color w:val="auto"/>
          <w:sz w:val="24"/>
        </w:rPr>
      </w:pPr>
      <w:r>
        <w:rPr>
          <w:rFonts w:hint="eastAsia" w:ascii="宋体" w:hAnsi="宋体" w:eastAsia="宋体" w:cs="宋体"/>
          <w:color w:val="auto"/>
          <w:sz w:val="24"/>
          <w:shd w:val="clear" w:color="auto" w:fill="ffffff"/>
        </w:rPr>
        <w:t xml:space="preserve">                                    </w:t>
      </w:r>
      <w:r>
        <w:rPr>
          <w:rFonts w:ascii="宋体" w:hAnsi="宋体" w:eastAsia="宋体" w:cs="宋体"/>
          <w:color w:val="auto"/>
          <w:sz w:val="24"/>
          <w:shd w:val="clear" w:color="auto" w:fill="ffffff"/>
        </w:rPr>
        <w:t xml:space="preserve"> </w:t>
      </w:r>
      <w:r>
        <w:rPr>
          <w:rFonts w:hint="eastAsia" w:ascii="宋体" w:hAnsi="宋体" w:eastAsia="宋体" w:cs="宋体"/>
          <w:color w:val="auto"/>
          <w:sz w:val="24"/>
          <w:shd w:val="clear" w:color="auto" w:fill="ffffff"/>
        </w:rPr>
        <w:t xml:space="preserve"> </w:t>
      </w:r>
      <w:r>
        <w:rPr>
          <w:rFonts w:ascii="宋体" w:hAnsi="宋体" w:eastAsia="宋体" w:cs="宋体"/>
          <w:color w:val="auto"/>
          <w:sz w:val="24"/>
          <w:shd w:val="clear" w:color="auto" w:fill="ffffff"/>
        </w:rPr>
        <w:t xml:space="preserve">公司（单位）名称（盖章）：</w:t>
      </w:r>
      <w:r/>
    </w:p>
    <w:p>
      <w:pPr>
        <w:spacing w:before="30" w:after="30" w:line="360" w:lineRule="auto"/>
        <w:rPr>
          <w:rFonts w:ascii="宋体" w:hAnsi="宋体" w:eastAsia="宋体" w:cs="宋体"/>
          <w:color w:val="auto"/>
          <w:sz w:val="24"/>
          <w:shd w:val="clear" w:color="auto" w:fill="ffffff"/>
        </w:rPr>
      </w:pPr>
      <w:r>
        <w:rPr>
          <w:rFonts w:ascii="宋体" w:hAnsi="宋体" w:eastAsia="宋体" w:cs="宋体"/>
          <w:color w:val="auto"/>
          <w:sz w:val="24"/>
          <w:shd w:val="clear" w:color="auto" w:fill="ffffff"/>
        </w:rPr>
        <w:t xml:space="preserve">                    日期：　   年　  月　  日</w:t>
      </w:r>
      <w:r/>
    </w:p>
    <w:p>
      <w:pPr>
        <w:spacing w:before="30" w:after="30" w:line="360" w:lineRule="auto"/>
        <w:rPr>
          <w:rFonts w:ascii="Calibri" w:hAnsi="Calibri" w:eastAsia="宋体" w:cs="Times New Roman"/>
          <w:color w:val="auto"/>
          <w:sz w:val="24"/>
        </w:rPr>
      </w:pPr>
      <w:r>
        <w:rPr>
          <w:rFonts w:ascii="Calibri" w:hAnsi="Calibri" w:eastAsia="宋体" w:cs="Times New Roman"/>
          <w:color w:val="auto"/>
          <w:sz w:val="24"/>
        </w:rPr>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1.产品如有型号，请在“产品名称”栏一并填写。</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2.生产厂名与厂址应与生产厂营业执照载明的相关信息保持一致。</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3.该产品的中国境内生产的组件成本占比相关要求实施前，“规定比例”栏可不填，下同。</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4.该产品的关键组件要求实施前，“关键组件”栏可不填，下同。</w:t>
      </w:r>
      <w:r/>
    </w:p>
    <w:p>
      <w:pPr>
        <w:spacing w:before="30" w:after="30" w:line="276" w:lineRule="auto"/>
        <w:rPr>
          <w:rFonts w:ascii="Calibri" w:hAnsi="Calibri" w:eastAsia="宋体" w:cs="Times New Roman"/>
          <w:b/>
          <w:bCs/>
          <w:color w:val="auto"/>
          <w:sz w:val="24"/>
        </w:rPr>
      </w:pPr>
      <w:r>
        <w:rPr>
          <w:rFonts w:ascii="宋体" w:hAnsi="宋体" w:eastAsia="宋体" w:cs="宋体"/>
          <w:b/>
          <w:bCs/>
          <w:color w:val="auto"/>
          <w:sz w:val="24"/>
          <w:shd w:val="clear" w:color="auto" w:fill="ffffff"/>
        </w:rPr>
        <w:t xml:space="preserve">5.该产品的关键工序要求实施前，“关键工序”栏可不填，下同。</w:t>
      </w:r>
      <w:r/>
    </w:p>
    <w:p>
      <w:pPr>
        <w:spacing w:before="30" w:after="30" w:line="276" w:lineRule="auto"/>
        <w:rPr>
          <w:rFonts w:ascii="宋体" w:hAnsi="宋体" w:eastAsia="宋体" w:cs="宋体"/>
          <w:b/>
          <w:bCs/>
          <w:color w:val="auto"/>
          <w:sz w:val="24"/>
          <w:shd w:val="clear" w:color="auto" w:fill="ffffff"/>
        </w:rPr>
      </w:pPr>
      <w:r>
        <w:rPr>
          <w:rFonts w:ascii="宋体" w:hAnsi="宋体" w:eastAsia="宋体" w:cs="宋体"/>
          <w:b/>
          <w:bCs/>
          <w:color w:val="auto"/>
          <w:sz w:val="24"/>
          <w:shd w:val="clear" w:color="auto" w:fill="ffffff"/>
        </w:rPr>
        <w:t xml:space="preserve">6.用</w:t>
      </w:r>
      <w:r>
        <w:rPr>
          <w:rFonts w:hint="eastAsia" w:ascii="宋体" w:hAnsi="宋体" w:eastAsia="宋体" w:cs="宋体"/>
          <w:b/>
          <w:bCs/>
          <w:color w:val="auto"/>
          <w:sz w:val="24"/>
          <w:shd w:val="clear" w:color="auto" w:fill="ffffff"/>
        </w:rPr>
        <w:t xml:space="preserve">横</w:t>
      </w:r>
      <w:r>
        <w:rPr>
          <w:rFonts w:ascii="宋体" w:hAnsi="宋体" w:eastAsia="宋体" w:cs="宋体"/>
          <w:b/>
          <w:bCs/>
          <w:color w:val="auto"/>
          <w:sz w:val="24"/>
          <w:shd w:val="clear" w:color="auto" w:fill="ffffff"/>
        </w:rPr>
        <w:t xml:space="preserve">线划除的地方无需填写。</w:t>
      </w:r>
      <w:r/>
    </w:p>
    <w:p>
      <w:pPr>
        <w:spacing w:line="276" w:lineRule="auto"/>
        <w:rPr>
          <w:rFonts w:ascii="Calibri" w:hAnsi="Calibri" w:eastAsia="宋体" w:cs="Times New Roman"/>
          <w:b/>
          <w:bCs/>
          <w:color w:val="auto"/>
        </w:rPr>
      </w:pPr>
      <w:r>
        <w:rPr>
          <w:rFonts w:hint="eastAsia" w:ascii="宋体" w:hAnsi="宋体" w:eastAsia="宋体" w:cs="宋体"/>
          <w:b/>
          <w:bCs/>
          <w:color w:val="auto"/>
          <w:sz w:val="24"/>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665"/>
        <w:jc w:val="center"/>
        <w:spacing w:beforeAutospacing="0" w:afterAutospacing="0"/>
        <w:rPr>
          <w:rFonts w:ascii="黑体" w:hAnsi="宋体" w:eastAsia="黑体" w:cs="黑体"/>
          <w:b/>
          <w:color w:val="auto"/>
          <w:sz w:val="32"/>
          <w:szCs w:val="32"/>
        </w:rPr>
      </w:pPr>
      <w:r>
        <w:rPr>
          <w:rFonts w:ascii="黑体" w:hAnsi="宋体" w:eastAsia="黑体" w:cs="黑体"/>
          <w:b/>
          <w:color w:val="auto"/>
          <w:sz w:val="32"/>
          <w:szCs w:val="32"/>
        </w:rPr>
      </w:r>
      <w:r/>
    </w:p>
    <w:p>
      <w:pPr>
        <w:pStyle w:val="665"/>
        <w:jc w:val="center"/>
        <w:spacing w:beforeAutospacing="0" w:afterAutospacing="0"/>
        <w:rPr>
          <w:color w:val="auto"/>
        </w:rPr>
      </w:pPr>
      <w:r>
        <w:rPr>
          <w:rFonts w:hint="eastAsia" w:ascii="黑体" w:hAnsi="宋体" w:eastAsia="黑体" w:cs="黑体"/>
          <w:b/>
          <w:color w:val="auto"/>
          <w:sz w:val="32"/>
          <w:szCs w:val="32"/>
        </w:rPr>
        <w:t xml:space="preserve">十二、投标分项报价表（按照项目需求的清单提供报价明细）</w:t>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spacing w:line="500" w:lineRule="exact"/>
        <w:rPr>
          <w:rFonts w:ascii="宋体" w:hAnsi="宋体" w:eastAsia="宋体" w:cs="Times New Roman"/>
          <w:color w:val="auto"/>
          <w:sz w:val="24"/>
        </w:rPr>
      </w:pPr>
      <w:r>
        <w:rPr>
          <w:rFonts w:hint="eastAsia" w:ascii="宋体" w:hAnsi="宋体" w:eastAsia="宋体" w:cs="Times New Roman"/>
          <w:color w:val="auto"/>
          <w:sz w:val="24"/>
        </w:rPr>
        <w:t xml:space="preserve">项目名称：江苏省盐城技师学院数字媒体、人工智能产业学院建设项目</w:t>
      </w:r>
      <w:r/>
    </w:p>
    <w:p>
      <w:pPr>
        <w:spacing w:line="500" w:lineRule="exact"/>
        <w:rPr>
          <w:rFonts w:ascii="Times New Roman" w:hAnsi="Times New Roman" w:eastAsia="黑体" w:cs="Times New Roman"/>
          <w:color w:val="auto"/>
          <w:sz w:val="32"/>
          <w:szCs w:val="32"/>
        </w:rPr>
      </w:pPr>
      <w:r>
        <w:rPr>
          <w:rFonts w:hint="eastAsia" w:ascii="宋体" w:hAnsi="宋体" w:eastAsia="宋体" w:cs="Times New Roman"/>
          <w:color w:val="auto"/>
          <w:sz w:val="24"/>
        </w:rPr>
        <w:t xml:space="preserve">项目编号： </w:t>
      </w:r>
      <w:r/>
    </w:p>
    <w:tbl>
      <w:tblPr>
        <w:tblStyle w:val="642"/>
        <w:tblW w:w="9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352"/>
        <w:gridCol w:w="1282"/>
        <w:gridCol w:w="1417"/>
        <w:gridCol w:w="1276"/>
        <w:gridCol w:w="1276"/>
        <w:gridCol w:w="1491"/>
        <w:gridCol w:w="993"/>
      </w:tblGrid>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序号</w:t>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品目名称</w:t>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技术参数</w:t>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数量</w:t>
            </w:r>
            <w:r/>
          </w:p>
        </w:tc>
        <w:tc>
          <w:tcPr>
            <w:tcW w:w="1276"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单价</w:t>
            </w:r>
            <w:r/>
          </w:p>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（元）</w:t>
            </w:r>
            <w:r/>
          </w:p>
        </w:tc>
        <w:tc>
          <w:tcPr>
            <w:tcW w:w="1276"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合计价</w:t>
            </w:r>
            <w:r/>
          </w:p>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（元）</w:t>
            </w:r>
            <w:r/>
          </w:p>
        </w:tc>
        <w:tc>
          <w:tcPr>
            <w:tcW w:w="1491"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品牌及型号</w:t>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备注</w:t>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tcW w:w="75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35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82"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17"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276"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1491" w:type="dxa"/>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c>
          <w:tcPr>
            <w:tcW w:w="993" w:type="dxa"/>
            <w:vAlign w:val="center"/>
            <w:textDirection w:val="lrTb"/>
            <w:noWrap w:val="false"/>
          </w:tcPr>
          <w:p>
            <w:pPr>
              <w:jc w:val="center"/>
              <w:spacing w:line="560" w:lineRule="exact"/>
              <w:rPr>
                <w:rFonts w:ascii="宋体" w:hAnsi="宋体" w:eastAsia="宋体" w:cs="Times New Roman"/>
                <w:color w:val="auto"/>
                <w:sz w:val="24"/>
              </w:rPr>
            </w:pPr>
            <w:r>
              <w:rPr>
                <w:rFonts w:ascii="宋体" w:hAnsi="宋体" w:eastAsia="宋体" w:cs="Times New Roman"/>
                <w:color w:val="auto"/>
                <w:sz w:val="24"/>
              </w:rPr>
            </w:r>
            <w:r/>
          </w:p>
        </w:tc>
      </w:tr>
      <w:tr>
        <w:trPr>
          <w:cantSplit/>
          <w:jc w:val="center"/>
          <w:trHeight w:val="500"/>
        </w:trPr>
        <w:tc>
          <w:tcPr>
            <w:gridSpan w:val="3"/>
            <w:tcW w:w="3391" w:type="dxa"/>
            <w:vAlign w:val="center"/>
            <w:textDirection w:val="lrTb"/>
            <w:noWrap w:val="false"/>
          </w:tcPr>
          <w:p>
            <w:pP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总报价</w:t>
            </w:r>
            <w:r/>
          </w:p>
        </w:tc>
        <w:tc>
          <w:tcPr>
            <w:gridSpan w:val="5"/>
            <w:tcW w:w="6453" w:type="dxa"/>
            <w:textDirection w:val="lrTb"/>
            <w:noWrap w:val="false"/>
          </w:tcPr>
          <w:p>
            <w:pPr>
              <w:spacing w:line="560" w:lineRule="exact"/>
              <w:rPr>
                <w:rFonts w:ascii="宋体" w:hAnsi="宋体" w:eastAsia="宋体" w:cs="Times New Roman"/>
                <w:color w:val="auto"/>
                <w:sz w:val="24"/>
              </w:rPr>
            </w:pPr>
            <w:r>
              <w:rPr>
                <w:rFonts w:hint="eastAsia" w:ascii="宋体" w:hAnsi="宋体" w:eastAsia="宋体" w:cs="Times New Roman"/>
                <w:color w:val="auto"/>
                <w:sz w:val="24"/>
              </w:rPr>
              <w:t xml:space="preserve">人民币（大写）： 圆整</w:t>
            </w:r>
            <w:r/>
          </w:p>
          <w:p>
            <w:pPr>
              <w:spacing w:line="560" w:lineRule="exact"/>
              <w:rPr>
                <w:rFonts w:ascii="宋体" w:hAnsi="宋体" w:eastAsia="宋体" w:cs="Times New Roman"/>
                <w:color w:val="auto"/>
                <w:sz w:val="24"/>
                <w:u w:val="single"/>
              </w:rPr>
            </w:pPr>
            <w:r>
              <w:rPr>
                <w:rFonts w:hint="eastAsia" w:ascii="宋体" w:hAnsi="宋体" w:eastAsia="宋体" w:cs="Times New Roman"/>
                <w:color w:val="auto"/>
                <w:sz w:val="24"/>
              </w:rPr>
              <w:t xml:space="preserve">￥：</w:t>
            </w:r>
            <w:r/>
          </w:p>
        </w:tc>
      </w:tr>
      <w:tr>
        <w:trPr>
          <w:cantSplit/>
          <w:jc w:val="center"/>
          <w:trHeight w:val="500"/>
        </w:trPr>
        <w:tc>
          <w:tcPr>
            <w:gridSpan w:val="8"/>
            <w:tcW w:w="9844" w:type="dxa"/>
            <w:vAlign w:val="center"/>
            <w:textDirection w:val="lrTb"/>
            <w:noWrap w:val="false"/>
          </w:tcPr>
          <w:p>
            <w:pPr>
              <w:spacing w:line="560" w:lineRule="exact"/>
              <w:rPr>
                <w:rFonts w:ascii="宋体" w:hAnsi="宋体" w:eastAsia="宋体" w:cs="Times New Roman"/>
                <w:color w:val="auto"/>
                <w:sz w:val="24"/>
              </w:rPr>
            </w:pPr>
            <w:r>
              <w:rPr>
                <w:rFonts w:hint="eastAsia" w:ascii="宋体" w:hAnsi="宋体" w:eastAsia="宋体" w:cs="宋体"/>
                <w:color w:val="auto"/>
                <w:sz w:val="24"/>
              </w:rPr>
              <w:t xml:space="preserve">本采购包中提供的符合本国产品标准的产品成本之和占该采购包提供的全部产品成本之和的比例为</w:t>
            </w:r>
            <w:r>
              <w:rPr>
                <w:rFonts w:ascii="宋体" w:hAnsi="宋体" w:eastAsia="宋体" w:cs="宋体"/>
                <w:color w:val="auto"/>
                <w:sz w:val="24"/>
                <w:u w:val="single"/>
              </w:rPr>
              <w:t xml:space="preserve">    </w:t>
            </w:r>
            <w:r>
              <w:rPr>
                <w:rFonts w:hint="eastAsia" w:ascii="宋体" w:hAnsi="宋体" w:eastAsia="宋体" w:cs="宋体"/>
                <w:color w:val="auto"/>
                <w:sz w:val="24"/>
              </w:rPr>
              <w:t xml:space="preserve">%。</w:t>
            </w:r>
            <w:r/>
          </w:p>
        </w:tc>
      </w:tr>
    </w:tbl>
    <w:p>
      <w:pPr>
        <w:pStyle w:val="665"/>
        <w:spacing w:beforeAutospacing="0" w:afterAutospacing="0" w:line="300" w:lineRule="auto"/>
        <w:rPr>
          <w:rFonts w:ascii="宋体" w:hAnsi="宋体" w:eastAsia="宋体" w:cs="宋体"/>
          <w:color w:val="auto"/>
        </w:rPr>
      </w:pPr>
      <w:r>
        <w:rPr>
          <w:rFonts w:hint="eastAsia" w:ascii="宋体" w:hAnsi="宋体" w:eastAsia="宋体" w:cs="宋体"/>
          <w:color w:val="auto"/>
        </w:rPr>
        <w:t xml:space="preserve">备注：</w:t>
      </w:r>
      <w:r/>
    </w:p>
    <w:p>
      <w:pPr>
        <w:pStyle w:val="665"/>
        <w:spacing w:beforeAutospacing="0" w:afterAutospacing="0" w:line="300" w:lineRule="auto"/>
        <w:rPr>
          <w:rFonts w:ascii="宋体" w:hAnsi="宋体" w:eastAsia="宋体" w:cs="宋体"/>
          <w:color w:val="auto"/>
        </w:rPr>
      </w:pPr>
      <w:r>
        <w:rPr>
          <w:rFonts w:hint="eastAsia" w:ascii="宋体" w:hAnsi="宋体" w:eastAsia="宋体" w:cs="宋体"/>
          <w:color w:val="auto"/>
        </w:rPr>
        <w:t xml:space="preserve">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r/>
    </w:p>
    <w:p>
      <w:pPr>
        <w:pStyle w:val="665"/>
        <w:spacing w:beforeAutospacing="0" w:afterAutospacing="0" w:line="300" w:lineRule="auto"/>
        <w:rPr>
          <w:rFonts w:ascii="宋体" w:hAnsi="宋体" w:eastAsia="宋体" w:cs="宋体"/>
          <w:color w:val="auto"/>
        </w:rPr>
      </w:pPr>
      <w:r>
        <w:rPr>
          <w:rFonts w:hint="eastAsia" w:ascii="宋体" w:hAnsi="宋体" w:eastAsia="宋体" w:cs="宋体"/>
          <w:color w:val="auto"/>
        </w:rPr>
        <w:t xml:space="preserve">2.“投标分项报价表”中“投标总报价”数额应当与“开标一览表”中“投标总报价”数额一致。</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rFonts w:ascii="宋体" w:hAnsi="宋体" w:eastAsia="宋体" w:cs="宋体"/>
          <w:color w:val="auto"/>
        </w:rPr>
      </w:pPr>
      <w:r>
        <w:rPr>
          <w:rFonts w:ascii="宋体" w:hAnsi="宋体" w:eastAsia="宋体" w:cs="宋体"/>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center"/>
        <w:spacing w:beforeAutospacing="0" w:afterAutospacing="0"/>
        <w:rPr>
          <w:color w:val="auto"/>
        </w:rPr>
      </w:pPr>
      <w:r>
        <w:rPr>
          <w:color w:val="auto"/>
        </w:rPr>
        <w:t xml:space="preserve"> </w:t>
      </w:r>
      <w:r>
        <w:rPr>
          <w:rFonts w:hint="eastAsia" w:ascii="黑体" w:hAnsi="宋体" w:eastAsia="黑体" w:cs="黑体"/>
          <w:b/>
          <w:color w:val="auto"/>
          <w:sz w:val="32"/>
          <w:szCs w:val="32"/>
        </w:rPr>
        <w:t xml:space="preserve">十三、技术要求响应及偏离表</w:t>
      </w:r>
      <w:r/>
    </w:p>
    <w:tbl>
      <w:tblPr>
        <w:tblStyle w:val="642"/>
        <w:tblW w:w="853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1"/>
        <w:gridCol w:w="2611"/>
        <w:gridCol w:w="1248"/>
        <w:gridCol w:w="1102"/>
      </w:tblGrid>
      <w:tr>
        <w:trPr>
          <w:tblCellSpacing w:w="0" w:type="dxa"/>
          <w:trHeight w:val="753"/>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序号</w:t>
            </w:r>
            <w:r/>
          </w:p>
        </w:tc>
        <w:tc>
          <w:tcPr>
            <w:shd w:val="clear" w:color="auto" w:fill="auto"/>
            <w:tcW w:w="3031"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W w:w="2611"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W w:w="1248"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W w:w="1102"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证明</w:t>
            </w:r>
            <w:r/>
          </w:p>
          <w:p>
            <w:pPr>
              <w:pStyle w:val="665"/>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783"/>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783"/>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1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840"/>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31"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W w:w="261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2"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bl>
    <w:p>
      <w:pPr>
        <w:pStyle w:val="665"/>
        <w:jc w:val="both"/>
        <w:spacing w:beforeAutospacing="0" w:afterAutospacing="0"/>
        <w:rPr>
          <w:color w:val="auto"/>
        </w:rPr>
      </w:pPr>
      <w:r>
        <w:rPr>
          <w:rFonts w:hint="eastAsia" w:ascii="宋体" w:hAnsi="宋体" w:eastAsia="宋体" w:cs="宋体"/>
          <w:color w:val="auto"/>
        </w:rPr>
        <w:t xml:space="preserve">注： 行数不够，可自行添加。</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both"/>
        <w:spacing w:beforeAutospacing="0" w:afterAutospacing="0"/>
        <w:rPr>
          <w:color w:val="auto"/>
        </w:rPr>
      </w:pPr>
      <w:r>
        <w:rPr>
          <w:color w:val="auto"/>
        </w:rPr>
      </w:r>
      <w:r/>
    </w:p>
    <w:p>
      <w:pPr>
        <w:pStyle w:val="665"/>
        <w:jc w:val="center"/>
        <w:spacing w:beforeAutospacing="0" w:afterAutospacing="0"/>
        <w:rPr>
          <w:color w:val="auto"/>
        </w:rPr>
      </w:pPr>
      <w:r/>
      <w:bookmarkStart w:id="208" w:name="_Hlt26955054"/>
      <w:r>
        <w:rPr>
          <w:rFonts w:hint="eastAsia" w:ascii="黑体" w:hAnsi="宋体" w:eastAsia="黑体" w:cs="黑体"/>
          <w:b/>
          <w:color w:val="auto"/>
          <w:sz w:val="32"/>
          <w:szCs w:val="32"/>
        </w:rPr>
        <w:t xml:space="preserve">十四、商务要求响应及偏离表</w:t>
      </w:r>
      <w:r/>
    </w:p>
    <w:tbl>
      <w:tblPr>
        <w:tblStyle w:val="642"/>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W w:w="538" w:type="dxa"/>
            <w:vAlign w:val="center"/>
            <w:textDirection w:val="lrTb"/>
            <w:noWrap w:val="false"/>
          </w:tcPr>
          <w:p>
            <w:pPr>
              <w:pStyle w:val="665"/>
              <w:jc w:val="center"/>
              <w:spacing w:beforeAutospacing="0" w:afterAutospacing="0"/>
              <w:rPr>
                <w:color w:val="auto"/>
              </w:rPr>
            </w:pPr>
            <w:r/>
            <w:bookmarkStart w:id="209" w:name="_Hlt26671343"/>
            <w:r/>
            <w:bookmarkStart w:id="210" w:name="_Hlt26955064"/>
            <w:r/>
            <w:bookmarkStart w:id="211" w:name="_Hlt24879081"/>
            <w:r/>
            <w:bookmarkStart w:id="212" w:name="_Hlt26671372"/>
            <w:r/>
            <w:bookmarkStart w:id="213" w:name="_Hlt26782999"/>
            <w:r/>
            <w:bookmarkStart w:id="214" w:name="_Hlt26580838"/>
            <w:r/>
            <w:bookmarkStart w:id="215" w:name="_Hlt26955056"/>
            <w:r/>
            <w:bookmarkStart w:id="216" w:name="_Hlt26609391"/>
            <w:r>
              <w:rPr>
                <w:rFonts w:hint="eastAsia" w:ascii="宋体" w:hAnsi="宋体" w:eastAsia="宋体" w:cs="宋体"/>
                <w:color w:val="auto"/>
              </w:rPr>
              <w:t xml:space="preserve">序号</w:t>
            </w:r>
            <w:bookmarkEnd w:id="209"/>
            <w:r/>
            <w:bookmarkEnd w:id="210"/>
            <w:r/>
            <w:bookmarkEnd w:id="211"/>
            <w:r/>
            <w:bookmarkEnd w:id="212"/>
            <w:r/>
            <w:bookmarkEnd w:id="213"/>
            <w:r/>
            <w:bookmarkEnd w:id="214"/>
            <w:r/>
            <w:bookmarkEnd w:id="215"/>
            <w:r/>
            <w:bookmarkEnd w:id="216"/>
            <w:r/>
            <w:r/>
          </w:p>
        </w:tc>
        <w:tc>
          <w:tcPr>
            <w:shd w:val="clear" w:color="auto" w:fill="auto"/>
            <w:tcW w:w="3026"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W w:w="2608"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W w:w="1247"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W w:w="1101"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证明</w:t>
            </w:r>
            <w:r/>
          </w:p>
          <w:p>
            <w:pPr>
              <w:pStyle w:val="665"/>
              <w:jc w:val="center"/>
              <w:spacing w:beforeAutospacing="0" w:afterAutospacing="0"/>
              <w:rPr>
                <w:color w:val="auto"/>
              </w:rPr>
            </w:pPr>
            <w:r>
              <w:rPr>
                <w:rFonts w:hint="eastAsia" w:ascii="宋体" w:hAnsi="宋体" w:eastAsia="宋体" w:cs="宋体"/>
                <w:color w:val="auto"/>
              </w:rPr>
              <w:t xml:space="preserve">材料</w:t>
            </w:r>
            <w:r/>
          </w:p>
        </w:tc>
      </w:tr>
      <w:tr>
        <w:trPr>
          <w:tblCellSpacing w:w="0" w:type="dxa"/>
          <w:trHeight w:val="640"/>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260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r>
        <w:trPr>
          <w:tblCellSpacing w:w="0" w:type="dxa"/>
          <w:trHeight w:val="640"/>
        </w:trPr>
        <w:tc>
          <w:tcPr>
            <w:shd w:val="clear" w:color="auto" w:fill="auto"/>
            <w:tcW w:w="53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3026" w:type="dxa"/>
            <w:vAlign w:val="center"/>
            <w:textDirection w:val="lrTb"/>
            <w:noWrap w:val="false"/>
          </w:tcPr>
          <w:p>
            <w:pPr>
              <w:pStyle w:val="665"/>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W w:w="2608"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247"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c>
          <w:tcPr>
            <w:shd w:val="clear" w:color="auto" w:fill="auto"/>
            <w:tcW w:w="1101" w:type="dxa"/>
            <w:vAlign w:val="center"/>
            <w:textDirection w:val="lrTb"/>
            <w:noWrap w:val="false"/>
          </w:tcPr>
          <w:p>
            <w:pPr>
              <w:pStyle w:val="665"/>
              <w:jc w:val="center"/>
              <w:spacing w:beforeAutospacing="0" w:afterAutospacing="0"/>
              <w:rPr>
                <w:color w:val="auto"/>
              </w:rPr>
            </w:pPr>
            <w:r>
              <w:rPr>
                <w:rFonts w:hint="eastAsia"/>
                <w:color w:val="auto"/>
              </w:rPr>
              <w:t xml:space="preserve"> </w:t>
            </w:r>
            <w:r/>
          </w:p>
        </w:tc>
      </w:tr>
    </w:tbl>
    <w:p>
      <w:pPr>
        <w:pStyle w:val="665"/>
        <w:jc w:val="both"/>
        <w:spacing w:beforeAutospacing="0" w:afterAutospacing="0"/>
        <w:rPr>
          <w:color w:val="auto"/>
        </w:rPr>
      </w:pPr>
      <w:r>
        <w:rPr>
          <w:rFonts w:hint="eastAsia" w:ascii="宋体" w:hAnsi="宋体" w:eastAsia="宋体" w:cs="宋体"/>
          <w:color w:val="auto"/>
        </w:rPr>
        <w:t xml:space="preserve">注： 行数不够，可自行添加。</w:t>
      </w:r>
      <w:r/>
    </w:p>
    <w:p>
      <w:pPr>
        <w:pStyle w:val="665"/>
        <w:jc w:val="both"/>
        <w:spacing w:beforeAutospacing="0" w:afterAutospacing="0" w:line="480" w:lineRule="auto"/>
        <w:rPr>
          <w:color w:val="auto"/>
        </w:rPr>
      </w:pPr>
      <w:r>
        <w:rPr>
          <w:color w:val="auto"/>
        </w:rPr>
        <w:t xml:space="preserve"> </w:t>
      </w:r>
      <w:r/>
    </w:p>
    <w:p>
      <w:pPr>
        <w:pStyle w:val="665"/>
        <w:jc w:val="both"/>
        <w:spacing w:beforeAutospacing="0" w:afterAutospacing="0" w:line="480" w:lineRule="auto"/>
        <w:rPr>
          <w:color w:val="auto"/>
        </w:rPr>
      </w:pPr>
      <w:r>
        <w:rPr>
          <w:color w:val="auto"/>
        </w:rPr>
        <w:t xml:space="preserve"> </w:t>
      </w:r>
      <w:r/>
    </w:p>
    <w:p>
      <w:pPr>
        <w:pStyle w:val="665"/>
        <w:jc w:val="center"/>
        <w:spacing w:beforeAutospacing="0" w:afterAutospacing="0"/>
        <w:rPr>
          <w:color w:val="auto"/>
        </w:rPr>
      </w:pPr>
      <w:r/>
      <w:bookmarkStart w:id="217" w:name="_格式2__法定代表人授权书"/>
      <w:r/>
      <w:bookmarkStart w:id="218" w:name="_Hlt26609389"/>
      <w:r/>
      <w:bookmarkStart w:id="219" w:name="_Hlt26671374"/>
      <w:r/>
      <w:bookmarkStart w:id="220" w:name="_Hlt26955066"/>
      <w:r/>
      <w:bookmarkStart w:id="221" w:name="_Toc462564146"/>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color w:val="auto"/>
        </w:rPr>
        <w:t xml:space="preserve"> </w:t>
      </w:r>
      <w:r/>
    </w:p>
    <w:p>
      <w:pPr>
        <w:pStyle w:val="665"/>
        <w:jc w:val="center"/>
        <w:spacing w:beforeAutospacing="0" w:afterAutospacing="0"/>
        <w:rPr>
          <w:color w:val="auto"/>
        </w:rPr>
      </w:pPr>
      <w:r>
        <w:rPr>
          <w:rFonts w:hint="eastAsia" w:ascii="黑体" w:hAnsi="宋体" w:eastAsia="黑体" w:cs="黑体"/>
          <w:b/>
          <w:i/>
          <w:color w:val="auto"/>
          <w:sz w:val="32"/>
          <w:szCs w:val="32"/>
          <w:u w:val="single"/>
        </w:rPr>
        <w:t xml:space="preserve">十五、开标一览表</w:t>
      </w:r>
      <w:r/>
    </w:p>
    <w:p>
      <w:pPr>
        <w:pStyle w:val="665"/>
        <w:ind w:firstLine="480"/>
        <w:jc w:val="both"/>
        <w:spacing w:beforeAutospacing="0" w:afterAutospacing="0"/>
        <w:rPr>
          <w:color w:val="auto"/>
        </w:rPr>
      </w:pPr>
      <w:r>
        <w:rPr>
          <w:rFonts w:hint="eastAsia" w:ascii="宋体" w:hAnsi="宋体" w:eastAsia="宋体" w:cs="宋体"/>
          <w:color w:val="auto"/>
        </w:rPr>
        <w:t xml:space="preserve">投标人全称（加盖CA电子签章）：</w:t>
      </w:r>
      <w:r/>
    </w:p>
    <w:p>
      <w:pPr>
        <w:pStyle w:val="665"/>
        <w:ind w:firstLine="480"/>
        <w:jc w:val="both"/>
        <w:spacing w:beforeAutospacing="0" w:afterAutospacing="0"/>
        <w:rPr>
          <w:color w:val="auto"/>
        </w:rPr>
      </w:pPr>
      <w:r>
        <w:rPr>
          <w:rFonts w:hint="eastAsia" w:ascii="宋体" w:hAnsi="宋体" w:eastAsia="宋体" w:cs="宋体"/>
          <w:color w:val="auto"/>
        </w:rPr>
        <w:t xml:space="preserve">项目名称：</w:t>
      </w:r>
      <w:r/>
    </w:p>
    <w:p>
      <w:pPr>
        <w:pStyle w:val="665"/>
        <w:ind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项目编号：  </w:t>
      </w:r>
      <w:r/>
    </w:p>
    <w:p>
      <w:pPr>
        <w:pStyle w:val="665"/>
        <w:ind w:firstLine="480"/>
        <w:jc w:val="both"/>
        <w:spacing w:beforeAutospacing="0" w:afterAutospacing="0"/>
        <w:rPr>
          <w:color w:val="auto"/>
        </w:rPr>
      </w:pPr>
      <w:r>
        <w:rPr>
          <w:rFonts w:hint="eastAsia" w:hAnsi="宋体" w:eastAsia="宋体" w:cs="宋体"/>
          <w:color w:val="auto"/>
        </w:rPr>
        <w:t xml:space="preserve">分包号：/</w:t>
      </w:r>
      <w:r/>
    </w:p>
    <w:p>
      <w:pPr>
        <w:pStyle w:val="665"/>
        <w:ind w:firstLine="480"/>
        <w:jc w:val="both"/>
        <w:spacing w:beforeAutospacing="0" w:afterAutospacing="0"/>
        <w:rPr>
          <w:rFonts w:ascii="宋体" w:hAnsi="宋体" w:eastAsia="宋体" w:cs="宋体"/>
          <w:color w:val="auto"/>
        </w:rPr>
      </w:pPr>
      <w:r>
        <w:rPr>
          <w:rFonts w:ascii="宋体" w:hAnsi="宋体" w:eastAsia="宋体" w:cs="宋体"/>
          <w:color w:val="auto"/>
        </w:rPr>
      </w:r>
      <w:r/>
    </w:p>
    <w:tbl>
      <w:tblPr>
        <w:tblStyle w:val="642"/>
        <w:tblW w:w="8414"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0"/>
        <w:gridCol w:w="5954"/>
      </w:tblGrid>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665"/>
              <w:ind w:firstLine="480"/>
              <w:jc w:val="both"/>
              <w:spacing w:beforeAutospacing="0" w:afterAutospacing="0"/>
              <w:rPr>
                <w:color w:val="auto"/>
              </w:rPr>
            </w:pPr>
            <w:r>
              <w:rPr>
                <w:color w:val="auto"/>
              </w:rPr>
              <w:t xml:space="preserve">投标货物名称</w:t>
            </w:r>
            <w:r/>
          </w:p>
        </w:tc>
        <w:tc>
          <w:tcPr>
            <w:shd w:val="clear" w:color="auto" w:fill="auto"/>
            <w:tcBorders>
              <w:left w:val="single" w:color="auto" w:sz="4" w:space="0"/>
            </w:tcBorders>
            <w:tcW w:w="5954" w:type="dxa"/>
            <w:vAlign w:val="center"/>
            <w:textDirection w:val="lrTb"/>
            <w:noWrap w:val="false"/>
          </w:tcPr>
          <w:p>
            <w:pPr>
              <w:pStyle w:val="665"/>
              <w:ind w:firstLine="480"/>
              <w:jc w:val="both"/>
              <w:spacing w:beforeAutospacing="0" w:afterAutospacing="0"/>
              <w:rPr>
                <w:color w:val="auto"/>
              </w:rPr>
            </w:pPr>
            <w:r>
              <w:rPr>
                <w:color w:val="auto"/>
              </w:rPr>
              <w:t xml:space="preserve">总价（小写）</w:t>
            </w:r>
            <w:r/>
          </w:p>
        </w:tc>
      </w:tr>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665"/>
              <w:ind w:firstLine="480"/>
              <w:jc w:val="both"/>
              <w:spacing w:beforeAutospacing="0" w:afterAutospacing="0"/>
              <w:rPr>
                <w:color w:val="auto"/>
              </w:rPr>
            </w:pPr>
            <w:r>
              <w:rPr>
                <w:color w:val="auto"/>
              </w:rPr>
              <w:t xml:space="preserve">投标产品名称</w:t>
            </w:r>
            <w:r/>
          </w:p>
        </w:tc>
        <w:tc>
          <w:tcPr>
            <w:shd w:val="clear" w:color="auto" w:fill="auto"/>
            <w:tcBorders>
              <w:left w:val="single" w:color="auto" w:sz="4" w:space="0"/>
            </w:tcBorders>
            <w:tcW w:w="5954" w:type="dxa"/>
            <w:vAlign w:val="center"/>
            <w:textDirection w:val="lrTb"/>
            <w:noWrap w:val="false"/>
          </w:tcPr>
          <w:p>
            <w:pPr>
              <w:pStyle w:val="665"/>
              <w:ind w:firstLine="480"/>
              <w:jc w:val="both"/>
              <w:spacing w:beforeAutospacing="0" w:afterAutospacing="0"/>
              <w:rPr>
                <w:color w:val="auto"/>
              </w:rPr>
            </w:pPr>
            <w:r>
              <w:rPr>
                <w:rFonts w:hint="eastAsia"/>
                <w:color w:val="auto"/>
              </w:rPr>
              <w:t xml:space="preserve">元</w:t>
            </w:r>
            <w:r/>
          </w:p>
        </w:tc>
      </w:tr>
      <w:tr>
        <w:trPr>
          <w:tblCellSpacing w:w="0" w:type="dxa"/>
          <w:trHeight w:val="612"/>
        </w:trPr>
        <w:tc>
          <w:tcPr>
            <w:shd w:val="clear" w:color="auto" w:fill="auto"/>
            <w:tcBorders>
              <w:right w:val="single" w:color="auto" w:sz="4" w:space="0"/>
            </w:tcBorders>
            <w:tcW w:w="2460" w:type="dxa"/>
            <w:vAlign w:val="center"/>
            <w:textDirection w:val="lrTb"/>
            <w:noWrap w:val="false"/>
          </w:tcPr>
          <w:p>
            <w:pPr>
              <w:pStyle w:val="665"/>
              <w:ind w:firstLine="480"/>
              <w:jc w:val="both"/>
              <w:spacing w:beforeAutospacing="0" w:afterAutospacing="0"/>
              <w:rPr>
                <w:color w:val="auto"/>
              </w:rPr>
            </w:pPr>
            <w:r>
              <w:rPr>
                <w:rFonts w:hint="eastAsia"/>
                <w:color w:val="auto"/>
              </w:rPr>
              <w:t xml:space="preserve">核心产品品牌</w:t>
            </w:r>
            <w:r/>
          </w:p>
        </w:tc>
        <w:tc>
          <w:tcPr>
            <w:shd w:val="clear" w:color="auto" w:fill="auto"/>
            <w:tcBorders>
              <w:left w:val="single" w:color="auto" w:sz="4" w:space="0"/>
            </w:tcBorders>
            <w:tcW w:w="5954" w:type="dxa"/>
            <w:vAlign w:val="center"/>
            <w:textDirection w:val="lrTb"/>
            <w:noWrap w:val="false"/>
          </w:tcPr>
          <w:p>
            <w:pPr>
              <w:pStyle w:val="665"/>
              <w:ind w:firstLine="480"/>
              <w:jc w:val="both"/>
              <w:spacing w:beforeAutospacing="0" w:afterAutospacing="0"/>
              <w:rPr>
                <w:color w:val="auto"/>
              </w:rPr>
            </w:pPr>
            <w:r>
              <w:rPr>
                <w:color w:val="auto"/>
              </w:rPr>
            </w:r>
            <w:r/>
          </w:p>
        </w:tc>
      </w:tr>
    </w:tbl>
    <w:p>
      <w:pPr>
        <w:pStyle w:val="665"/>
        <w:ind w:firstLine="480"/>
        <w:jc w:val="both"/>
        <w:spacing w:beforeAutospacing="0" w:afterAutospacing="0"/>
        <w:rPr>
          <w:color w:val="auto"/>
        </w:rPr>
      </w:pPr>
      <w:r>
        <w:rPr>
          <w:color w:val="auto"/>
        </w:rPr>
        <w:t xml:space="preserve"> </w:t>
      </w:r>
      <w:r/>
    </w:p>
    <w:p>
      <w:pPr>
        <w:pStyle w:val="665"/>
        <w:ind w:firstLine="480"/>
        <w:jc w:val="both"/>
        <w:spacing w:beforeAutospacing="0" w:afterAutospacing="0"/>
        <w:rPr>
          <w:color w:val="auto"/>
        </w:rPr>
      </w:pPr>
      <w:r>
        <w:rPr>
          <w:rFonts w:hint="eastAsia"/>
          <w:color w:val="auto"/>
        </w:rPr>
        <w:t xml:space="preserve">                                              日期：       年   月   日</w:t>
      </w:r>
      <w:r/>
    </w:p>
    <w:p>
      <w:pPr>
        <w:pStyle w:val="665"/>
        <w:ind w:firstLine="480"/>
        <w:jc w:val="both"/>
        <w:spacing w:beforeAutospacing="0" w:afterAutospacing="0"/>
        <w:rPr>
          <w:color w:val="auto"/>
        </w:rPr>
      </w:pPr>
      <w:r>
        <w:rPr>
          <w:color w:val="auto"/>
        </w:rPr>
        <w:t xml:space="preserve"> </w:t>
      </w:r>
      <w:r/>
    </w:p>
    <w:p>
      <w:pPr>
        <w:pStyle w:val="665"/>
        <w:ind w:firstLine="480"/>
        <w:jc w:val="both"/>
        <w:spacing w:beforeAutospacing="0" w:afterAutospacing="0"/>
        <w:rPr>
          <w:color w:val="auto"/>
        </w:rPr>
      </w:pPr>
      <w:r>
        <w:rPr>
          <w:color w:val="auto"/>
        </w:rPr>
        <w:t xml:space="preserve"> </w:t>
      </w:r>
      <w:r/>
    </w:p>
    <w:p>
      <w:pPr>
        <w:pStyle w:val="665"/>
        <w:ind w:firstLine="480"/>
        <w:jc w:val="both"/>
        <w:spacing w:beforeAutospacing="0" w:afterAutospacing="0"/>
        <w:rPr>
          <w:color w:val="auto"/>
        </w:rPr>
      </w:pPr>
      <w:r>
        <w:rPr>
          <w:color w:val="auto"/>
        </w:rPr>
        <w:t xml:space="preserve"> </w:t>
      </w:r>
      <w:r/>
    </w:p>
    <w:p>
      <w:pPr>
        <w:pStyle w:val="665"/>
        <w:ind w:firstLine="480"/>
        <w:jc w:val="both"/>
        <w:spacing w:beforeAutospacing="0" w:afterAutospacing="0"/>
        <w:rPr>
          <w:color w:val="auto"/>
        </w:rPr>
      </w:pPr>
      <w:r>
        <w:rPr>
          <w:color w:val="auto"/>
        </w:rPr>
      </w:r>
      <w:r/>
    </w:p>
    <w:p>
      <w:pPr>
        <w:pStyle w:val="665"/>
        <w:ind w:firstLine="480"/>
        <w:jc w:val="both"/>
        <w:spacing w:beforeAutospacing="0" w:afterAutospacing="0"/>
        <w:rPr>
          <w:color w:val="auto"/>
        </w:rPr>
      </w:pPr>
      <w:r>
        <w:rPr>
          <w:color w:val="auto"/>
        </w:rPr>
      </w:r>
      <w:r/>
    </w:p>
    <w:p>
      <w:pPr>
        <w:pStyle w:val="665"/>
        <w:ind w:firstLine="480"/>
        <w:jc w:val="both"/>
        <w:spacing w:beforeAutospacing="0" w:afterAutospacing="0"/>
        <w:rPr>
          <w:color w:val="auto"/>
        </w:rPr>
      </w:pPr>
      <w:r>
        <w:rPr>
          <w:color w:val="auto"/>
        </w:rPr>
      </w:r>
      <w:r/>
    </w:p>
    <w:p>
      <w:pPr>
        <w:pStyle w:val="665"/>
        <w:ind w:firstLine="480"/>
        <w:jc w:val="both"/>
        <w:spacing w:beforeAutospacing="0" w:afterAutospacing="0"/>
        <w:rPr>
          <w:color w:val="auto"/>
        </w:rPr>
      </w:pPr>
      <w:r>
        <w:rPr>
          <w:color w:val="auto"/>
        </w:rPr>
      </w:r>
      <w:r/>
    </w:p>
    <w:p>
      <w:pPr>
        <w:pStyle w:val="665"/>
        <w:ind w:firstLine="480"/>
        <w:jc w:val="both"/>
        <w:spacing w:beforeAutospacing="0" w:afterAutospacing="0"/>
        <w:rPr>
          <w:color w:val="auto"/>
        </w:rPr>
      </w:pPr>
      <w:r>
        <w:rPr>
          <w:color w:val="auto"/>
        </w:rPr>
      </w:r>
      <w:r/>
    </w:p>
    <w:p>
      <w:pPr>
        <w:pStyle w:val="665"/>
        <w:ind w:firstLine="480"/>
        <w:jc w:val="both"/>
        <w:spacing w:beforeAutospacing="0" w:afterAutospacing="0"/>
        <w:rPr>
          <w:color w:val="auto"/>
        </w:rPr>
      </w:pPr>
      <w:r>
        <w:rPr>
          <w:color w:val="auto"/>
        </w:rPr>
      </w:r>
      <w:r/>
    </w:p>
    <w:p>
      <w:pPr>
        <w:pStyle w:val="665"/>
        <w:ind w:firstLine="480"/>
        <w:jc w:val="both"/>
        <w:spacing w:beforeAutospacing="0" w:afterAutospacing="0"/>
        <w:rPr>
          <w:color w:val="auto"/>
        </w:rPr>
      </w:pPr>
      <w:r>
        <w:rPr>
          <w:color w:val="auto"/>
        </w:rPr>
      </w:r>
      <w:r/>
    </w:p>
    <w:p>
      <w:pPr>
        <w:pStyle w:val="665"/>
        <w:ind w:firstLine="480"/>
        <w:jc w:val="both"/>
        <w:spacing w:beforeAutospacing="0" w:afterAutospacing="0"/>
        <w:rPr>
          <w:color w:val="auto"/>
        </w:rPr>
      </w:pPr>
      <w:r>
        <w:rPr>
          <w:color w:val="auto"/>
        </w:rPr>
      </w:r>
      <w:r/>
    </w:p>
    <w:p>
      <w:pPr>
        <w:pStyle w:val="665"/>
        <w:ind w:firstLine="480"/>
        <w:jc w:val="both"/>
        <w:spacing w:beforeAutospacing="0" w:afterAutospacing="0"/>
        <w:rPr>
          <w:color w:val="auto"/>
        </w:rPr>
      </w:pPr>
      <w:r>
        <w:rPr>
          <w:color w:val="auto"/>
        </w:rPr>
        <w:t xml:space="preserve"> </w:t>
      </w:r>
      <w:r/>
    </w:p>
    <w:p>
      <w:pPr>
        <w:pStyle w:val="665"/>
        <w:ind w:firstLine="480"/>
        <w:jc w:val="both"/>
        <w:spacing w:beforeAutospacing="0" w:afterAutospacing="0"/>
        <w:rPr>
          <w:color w:val="auto"/>
        </w:rPr>
      </w:pPr>
      <w:r>
        <w:rPr>
          <w:color w:val="auto"/>
        </w:rPr>
        <w:t xml:space="preserve"> </w:t>
      </w:r>
      <w:r/>
    </w:p>
    <w:p>
      <w:pPr>
        <w:pStyle w:val="665"/>
        <w:jc w:val="both"/>
        <w:spacing w:beforeAutospacing="0" w:afterAutospacing="0"/>
        <w:rPr>
          <w:color w:val="auto"/>
        </w:rPr>
      </w:pPr>
      <w:r>
        <w:rPr>
          <w:color w:val="auto"/>
        </w:rPr>
        <w:t xml:space="preserve"> </w:t>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jc w:val="center"/>
        <w:spacing w:before="50" w:after="50"/>
        <w:widowControl/>
        <w:rPr>
          <w:rFonts w:ascii="宋体" w:hAnsi="宋体" w:eastAsia="宋体" w:cs="宋体"/>
          <w:color w:val="auto"/>
          <w:sz w:val="24"/>
        </w:rPr>
      </w:pPr>
      <w:r>
        <w:rPr>
          <w:color w:val="auto"/>
        </w:rPr>
        <w:tab/>
      </w:r>
      <w:r>
        <w:rPr>
          <w:rFonts w:hint="eastAsia" w:ascii="宋体" w:hAnsi="宋体" w:eastAsia="宋体" w:cs="宋体"/>
          <w:color w:val="auto"/>
          <w:sz w:val="32"/>
          <w:szCs w:val="32"/>
        </w:rPr>
        <w:t xml:space="preserve">十六、技术方案、服务承诺、培训承诺等等</w:t>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pStyle w:val="665"/>
        <w:jc w:val="center"/>
        <w:spacing w:beforeAutospacing="0" w:afterAutospacing="0"/>
        <w:rPr>
          <w:rFonts w:ascii="宋体" w:hAnsi="宋体" w:eastAsia="宋体" w:cs="宋体"/>
          <w:b/>
          <w:color w:val="auto"/>
          <w:sz w:val="32"/>
          <w:szCs w:val="32"/>
        </w:rPr>
      </w:pPr>
      <w:r>
        <w:rPr>
          <w:rFonts w:ascii="宋体" w:hAnsi="宋体" w:eastAsia="宋体" w:cs="宋体"/>
          <w:b/>
          <w:color w:val="auto"/>
          <w:sz w:val="32"/>
          <w:szCs w:val="32"/>
        </w:rPr>
      </w:r>
      <w:r/>
    </w:p>
    <w:p>
      <w:pPr>
        <w:ind w:firstLine="1600"/>
        <w:spacing w:line="499" w:lineRule="atLeast"/>
        <w:widowControl/>
        <w:rPr>
          <w:rFonts w:ascii="宋体" w:hAnsi="宋体" w:eastAsia="宋体" w:cs="宋体"/>
          <w:color w:val="auto"/>
          <w:sz w:val="24"/>
        </w:rPr>
      </w:pPr>
      <w:r>
        <w:rPr>
          <w:rFonts w:hint="eastAsia" w:ascii="宋体" w:hAnsi="宋体" w:eastAsia="宋体" w:cs="宋体"/>
          <w:color w:val="auto"/>
          <w:sz w:val="32"/>
          <w:szCs w:val="32"/>
        </w:rPr>
        <w:t xml:space="preserve">十七、盐城市政府采购事前信用承诺书</w:t>
      </w:r>
      <w:r/>
    </w:p>
    <w:p>
      <w:pPr>
        <w:ind w:firstLine="640"/>
        <w:jc w:val="left"/>
        <w:spacing w:line="499" w:lineRule="atLeast"/>
        <w:widowControl/>
        <w:rPr>
          <w:rFonts w:ascii="宋体" w:hAnsi="宋体" w:eastAsia="宋体" w:cs="宋体"/>
          <w:color w:val="auto"/>
          <w:sz w:val="24"/>
        </w:rPr>
      </w:pPr>
      <w:r>
        <w:rPr>
          <w:rFonts w:hint="eastAsia" w:ascii="宋体" w:hAnsi="宋体" w:eastAsia="宋体" w:cs="宋体"/>
          <w:color w:val="auto"/>
          <w:sz w:val="32"/>
          <w:szCs w:val="32"/>
        </w:rPr>
        <w:t xml:space="preserve"> </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（八）本人已认真阅读了上述承诺，并向本单位员工作了宣传教育。</w:t>
      </w:r>
      <w:r/>
    </w:p>
    <w:p>
      <w:pPr>
        <w:jc w:val="left"/>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法定代表人签名：</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单位名称（盖章）：</w:t>
      </w:r>
      <w:r/>
    </w:p>
    <w:p>
      <w:pPr>
        <w:jc w:val="center"/>
        <w:spacing w:line="499" w:lineRule="atLeast"/>
        <w:widowControl/>
        <w:rPr>
          <w:rFonts w:ascii="宋体" w:hAnsi="宋体" w:eastAsia="宋体" w:cs="宋体"/>
          <w:color w:val="auto"/>
          <w:sz w:val="24"/>
        </w:rPr>
      </w:pPr>
      <w:r>
        <w:rPr>
          <w:rFonts w:hint="eastAsia" w:ascii="宋体" w:hAnsi="宋体" w:eastAsia="宋体" w:cs="宋体"/>
          <w:color w:val="auto"/>
          <w:sz w:val="24"/>
        </w:rPr>
        <w:t xml:space="preserve">                      年月日</w:t>
      </w:r>
      <w:bookmarkEnd w:id="1"/>
      <w:bookmarkEnd w:id="42"/>
      <w:bookmarkEnd w:id="89"/>
      <w:bookmarkEnd w:id="90"/>
      <w:bookmarkEnd w:id="91"/>
      <w:bookmarkEnd w:id="92"/>
      <w:bookmarkEnd w:id="93"/>
      <w:bookmarkEnd w:id="94"/>
      <w:bookmarkEnd w:id="95"/>
      <w:bookmarkEnd w:id="96"/>
      <w:bookmarkEnd w:id="105"/>
      <w:bookmarkEnd w:id="106"/>
      <w:bookmarkEnd w:id="113"/>
      <w:bookmarkEnd w:id="160"/>
      <w:bookmarkEnd w:id="195"/>
      <w:bookmarkEnd w:id="201"/>
      <w:bookmarkEnd w:id="202"/>
      <w:bookmarkEnd w:id="203"/>
      <w:bookmarkEnd w:id="204"/>
      <w:bookmarkEnd w:id="205"/>
      <w:bookmarkEnd w:id="206"/>
      <w:bookmarkEnd w:id="207"/>
      <w:bookmarkEnd w:id="208"/>
      <w:bookmarkEnd w:id="217"/>
      <w:bookmarkEnd w:id="218"/>
      <w:bookmarkEnd w:id="219"/>
      <w:bookmarkEnd w:id="220"/>
      <w:bookmarkEnd w:id="221"/>
      <w:r/>
    </w:p>
    <w:p>
      <w:pPr>
        <w:pStyle w:val="665"/>
        <w:jc w:val="center"/>
        <w:spacing w:beforeAutospacing="0" w:afterAutospacing="0"/>
        <w:rPr>
          <w:color w:val="auto"/>
        </w:rPr>
      </w:pPr>
      <w:r>
        <w:rPr>
          <w:color w:val="auto"/>
        </w:rPr>
      </w:r>
      <w:r/>
    </w:p>
    <w:p>
      <w:pPr>
        <w:pStyle w:val="665"/>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665"/>
        <w:jc w:val="both"/>
        <w:spacing w:before="290" w:beforeAutospacing="0" w:afterAutospacing="0"/>
        <w:rPr>
          <w:rFonts w:ascii="宋体" w:hAnsi="宋体" w:eastAsia="宋体" w:cs="宋体"/>
          <w:color w:val="auto"/>
        </w:rPr>
      </w:pPr>
      <w:r>
        <w:rPr>
          <w:rFonts w:hint="eastAsia" w:ascii="宋体" w:hAnsi="宋体" w:eastAsia="宋体" w:cs="宋体"/>
          <w:color w:val="auto"/>
        </w:rPr>
        <w:t xml:space="preserve">一、质疑供应商基本信息</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二、质疑项目基本情况</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三、质疑事项具体内容</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665"/>
        <w:spacing w:beforeAutospacing="0" w:afterAutospacing="0"/>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质疑事项2</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665"/>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签字(签章)：                 公章：               日期：    </w:t>
      </w:r>
      <w:r/>
    </w:p>
    <w:p>
      <w:pPr>
        <w:pStyle w:val="665"/>
        <w:jc w:val="both"/>
        <w:spacing w:beforeAutospacing="0" w:afterAutospacing="0"/>
        <w:rPr>
          <w:rFonts w:ascii="宋体" w:hAnsi="宋体" w:eastAsia="宋体" w:cs="宋体"/>
          <w:color w:val="auto"/>
        </w:rPr>
      </w:pPr>
      <w:r>
        <w:rPr>
          <w:rFonts w:hint="eastAsia" w:ascii="宋体" w:hAnsi="宋体" w:eastAsia="宋体" w:cs="宋体"/>
          <w:b/>
          <w:color w:val="auto"/>
        </w:rPr>
        <w:t xml:space="preserve">质疑函制作说明：</w:t>
      </w:r>
      <w:r/>
    </w:p>
    <w:p>
      <w:pPr>
        <w:pStyle w:val="665"/>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665"/>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5"/>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665"/>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665"/>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665"/>
        <w:ind w:firstLine="480"/>
        <w:spacing w:beforeAutospacing="0" w:afterAutospacing="0"/>
        <w:widowControl/>
        <w:rPr>
          <w:rFonts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r/>
    </w:p>
    <w:p>
      <w:pPr>
        <w:pStyle w:val="665"/>
        <w:spacing w:beforeAutospacing="0" w:afterAutospacing="0"/>
        <w:rPr>
          <w:color w:val="auto"/>
        </w:rPr>
      </w:pPr>
      <w:r>
        <w:rPr>
          <w:color w:val="auto"/>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魏碑_GBK">
    <w:panose1 w:val="020B0503020202020204"/>
  </w:font>
  <w:font w:name="Symbol">
    <w:panose1 w:val="05050102010706020507"/>
  </w:font>
  <w:font w:name="楷体_GB2312">
    <w:panose1 w:val="02010609060101010101"/>
  </w:font>
  <w:font w:name="仿宋">
    <w:panose1 w:val="02010609060101010101"/>
  </w:font>
  <w:font w:name="等线">
    <w:panose1 w:val="02010600030101010101"/>
  </w:font>
  <w:font w:name="Wingdings">
    <w:panose1 w:val="05000000000000000000"/>
  </w:font>
  <w:font w:name="华文楷体">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32">
    <w:name w:val="Heading 1"/>
    <w:basedOn w:val="631"/>
    <w:next w:val="631"/>
    <w:link w:val="831"/>
    <w:uiPriority w:val="0"/>
    <w:qFormat/>
    <w:pPr>
      <w:keepLines/>
      <w:keepNext/>
      <w:spacing w:before="340" w:after="330" w:line="578" w:lineRule="auto"/>
      <w:outlineLvl w:val="0"/>
    </w:pPr>
    <w:rPr>
      <w:b/>
      <w:bCs/>
      <w:sz w:val="44"/>
      <w:szCs w:val="44"/>
    </w:rPr>
  </w:style>
  <w:style w:type="paragraph" w:styleId="633">
    <w:name w:val="Heading 2"/>
    <w:basedOn w:val="631"/>
    <w:next w:val="631"/>
    <w:link w:val="848"/>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34">
    <w:name w:val="Heading 3"/>
    <w:basedOn w:val="631"/>
    <w:next w:val="631"/>
    <w:link w:val="843"/>
    <w:uiPriority w:val="0"/>
    <w:semiHidden/>
    <w:unhideWhenUsed/>
    <w:qFormat/>
    <w:pPr>
      <w:ind w:firstLine="880"/>
      <w:keepLines/>
      <w:keepNext/>
      <w:spacing w:line="360" w:lineRule="auto"/>
      <w:outlineLvl w:val="2"/>
    </w:pPr>
    <w:rPr>
      <w:rFonts w:ascii="宋体" w:hAnsi="宋体" w:eastAsia="宋体" w:cs="宋体"/>
      <w:b/>
      <w:sz w:val="28"/>
      <w:szCs w:val="22"/>
    </w:rPr>
  </w:style>
  <w:style w:type="paragraph" w:styleId="635">
    <w:name w:val="Heading 4"/>
    <w:basedOn w:val="631"/>
    <w:next w:val="631"/>
    <w:link w:val="844"/>
    <w:uiPriority w:val="0"/>
    <w:semiHidden/>
    <w:unhideWhenUsed/>
    <w:qFormat/>
    <w:pPr>
      <w:keepLines/>
      <w:keepNext/>
      <w:spacing w:line="360" w:lineRule="auto"/>
      <w:outlineLvl w:val="3"/>
    </w:pPr>
    <w:rPr>
      <w:rFonts w:ascii="Arial" w:hAnsi="Arial" w:eastAsia="宋体" w:cs="宋体"/>
      <w:b/>
      <w:sz w:val="24"/>
      <w:szCs w:val="22"/>
    </w:rPr>
  </w:style>
  <w:style w:type="paragraph" w:styleId="636">
    <w:name w:val="Heading 5"/>
    <w:basedOn w:val="631"/>
    <w:next w:val="631"/>
    <w:link w:val="845"/>
    <w:uiPriority w:val="0"/>
    <w:semiHidden/>
    <w:unhideWhenUsed/>
    <w:qFormat/>
    <w:pPr>
      <w:keepLines/>
      <w:keepNext/>
      <w:spacing w:before="280" w:after="290" w:line="372" w:lineRule="auto"/>
      <w:outlineLvl w:val="4"/>
    </w:pPr>
    <w:rPr>
      <w:rFonts w:ascii="宋体" w:hAnsi="宋体" w:eastAsia="宋体" w:cs="宋体"/>
      <w:b/>
      <w:sz w:val="28"/>
      <w:szCs w:val="22"/>
    </w:rPr>
  </w:style>
  <w:style w:type="paragraph" w:styleId="637">
    <w:name w:val="Heading 6"/>
    <w:basedOn w:val="631"/>
    <w:next w:val="631"/>
    <w:link w:val="837"/>
    <w:uiPriority w:val="0"/>
    <w:semiHidden/>
    <w:unhideWhenUsed/>
    <w:qFormat/>
    <w:pPr>
      <w:keepLines/>
      <w:keepNext/>
      <w:spacing w:before="240" w:after="64" w:line="320" w:lineRule="auto"/>
      <w:outlineLvl w:val="5"/>
    </w:pPr>
    <w:rPr>
      <w:rFonts w:asciiTheme="majorHAnsi" w:hAnsiTheme="majorHAnsi" w:eastAsiaTheme="majorEastAsia" w:cstheme="majorBidi"/>
      <w:b/>
      <w:bCs/>
      <w:sz w:val="24"/>
    </w:rPr>
  </w:style>
  <w:style w:type="paragraph" w:styleId="638">
    <w:name w:val="Heading 7"/>
    <w:basedOn w:val="631"/>
    <w:next w:val="631"/>
    <w:link w:val="682"/>
    <w:uiPriority w:val="9"/>
    <w:unhideWhenUsed/>
    <w:qFormat/>
    <w:pPr>
      <w:keepLines/>
      <w:keepNext/>
      <w:spacing w:before="320" w:after="200"/>
      <w:outlineLvl w:val="6"/>
    </w:pPr>
    <w:rPr>
      <w:rFonts w:ascii="Arial" w:hAnsi="Arial" w:eastAsia="Arial" w:cs="Arial"/>
      <w:b/>
      <w:bCs/>
      <w:i/>
      <w:iCs/>
      <w:sz w:val="22"/>
      <w:szCs w:val="22"/>
    </w:rPr>
  </w:style>
  <w:style w:type="paragraph" w:styleId="639">
    <w:name w:val="Heading 8"/>
    <w:basedOn w:val="631"/>
    <w:next w:val="631"/>
    <w:link w:val="683"/>
    <w:uiPriority w:val="9"/>
    <w:unhideWhenUsed/>
    <w:qFormat/>
    <w:pPr>
      <w:keepLines/>
      <w:keepNext/>
      <w:spacing w:before="320" w:after="200"/>
      <w:outlineLvl w:val="7"/>
    </w:pPr>
    <w:rPr>
      <w:rFonts w:ascii="Arial" w:hAnsi="Arial" w:eastAsia="Arial" w:cs="Arial"/>
      <w:i/>
      <w:iCs/>
      <w:sz w:val="22"/>
      <w:szCs w:val="22"/>
    </w:rPr>
  </w:style>
  <w:style w:type="paragraph" w:styleId="640">
    <w:name w:val="Heading 9"/>
    <w:basedOn w:val="631"/>
    <w:next w:val="631"/>
    <w:link w:val="684"/>
    <w:uiPriority w:val="9"/>
    <w:unhideWhenUsed/>
    <w:qFormat/>
    <w:pPr>
      <w:keepLines/>
      <w:keepNext/>
      <w:spacing w:before="320" w:after="200"/>
      <w:outlineLvl w:val="8"/>
    </w:pPr>
    <w:rPr>
      <w:rFonts w:ascii="Arial" w:hAnsi="Arial" w:eastAsia="Arial" w:cs="Arial"/>
      <w:i/>
      <w:iCs/>
      <w:sz w:val="21"/>
      <w:szCs w:val="21"/>
    </w:rPr>
  </w:style>
  <w:style w:type="character" w:styleId="641" w:default="1">
    <w:name w:val="Default Paragraph Font"/>
    <w:uiPriority w:val="1"/>
    <w:semiHidden/>
    <w:unhideWhenUsed/>
  </w:style>
  <w:style w:type="table" w:styleId="642" w:default="1">
    <w:name w:val="Normal Table"/>
    <w:uiPriority w:val="99"/>
    <w:semiHidden/>
    <w:unhideWhenUsed/>
    <w:qFormat/>
    <w:tblPr>
      <w:tblCellMar>
        <w:left w:w="108" w:type="dxa"/>
        <w:top w:w="0" w:type="dxa"/>
        <w:right w:w="108" w:type="dxa"/>
        <w:bottom w:w="0" w:type="dxa"/>
      </w:tblCellMar>
    </w:tblPr>
  </w:style>
  <w:style w:type="paragraph" w:styleId="643">
    <w:name w:val="toc 7"/>
    <w:basedOn w:val="631"/>
    <w:next w:val="631"/>
    <w:uiPriority w:val="39"/>
    <w:unhideWhenUsed/>
    <w:qFormat/>
    <w:pPr>
      <w:ind w:left="1701" w:right="0" w:firstLine="0"/>
      <w:spacing w:after="57"/>
    </w:pPr>
  </w:style>
  <w:style w:type="paragraph" w:styleId="644">
    <w:name w:val="Normal Indent"/>
    <w:basedOn w:val="631"/>
    <w:uiPriority w:val="0"/>
    <w:qFormat/>
    <w:pPr>
      <w:ind w:firstLine="420"/>
    </w:pPr>
  </w:style>
  <w:style w:type="paragraph" w:styleId="645">
    <w:name w:val="Caption"/>
    <w:basedOn w:val="631"/>
    <w:next w:val="63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46">
    <w:name w:val="annotation text"/>
    <w:basedOn w:val="631"/>
    <w:link w:val="840"/>
    <w:uiPriority w:val="0"/>
    <w:qFormat/>
    <w:pPr>
      <w:jc w:val="left"/>
    </w:pPr>
  </w:style>
  <w:style w:type="paragraph" w:styleId="647">
    <w:name w:val="Body Text"/>
    <w:basedOn w:val="631"/>
    <w:uiPriority w:val="0"/>
    <w:unhideWhenUsed/>
    <w:qFormat/>
    <w:pPr>
      <w:spacing w:after="120"/>
    </w:pPr>
    <w:rPr>
      <w:rFonts w:ascii="Calibri" w:hAnsi="Calibri"/>
      <w:szCs w:val="22"/>
    </w:rPr>
  </w:style>
  <w:style w:type="paragraph" w:styleId="648">
    <w:name w:val="Body Text Indent"/>
    <w:basedOn w:val="631"/>
    <w:link w:val="846"/>
    <w:uiPriority w:val="0"/>
    <w:qFormat/>
    <w:pPr>
      <w:ind w:left="420"/>
      <w:spacing w:after="120"/>
    </w:pPr>
  </w:style>
  <w:style w:type="paragraph" w:styleId="649">
    <w:name w:val="toc 5"/>
    <w:basedOn w:val="631"/>
    <w:next w:val="631"/>
    <w:uiPriority w:val="39"/>
    <w:unhideWhenUsed/>
    <w:pPr>
      <w:ind w:left="1134" w:right="0" w:firstLine="0"/>
      <w:spacing w:after="57"/>
    </w:pPr>
  </w:style>
  <w:style w:type="paragraph" w:styleId="650">
    <w:name w:val="toc 3"/>
    <w:basedOn w:val="631"/>
    <w:next w:val="631"/>
    <w:uiPriority w:val="39"/>
    <w:unhideWhenUsed/>
    <w:qFormat/>
    <w:pPr>
      <w:ind w:left="440"/>
      <w:jc w:val="left"/>
      <w:spacing w:after="100" w:line="259" w:lineRule="auto"/>
      <w:widowControl/>
    </w:pPr>
    <w:rPr>
      <w:rFonts w:cs="Times New Roman"/>
      <w:sz w:val="22"/>
      <w:szCs w:val="22"/>
    </w:rPr>
  </w:style>
  <w:style w:type="paragraph" w:styleId="651">
    <w:name w:val="Plain Text"/>
    <w:basedOn w:val="631"/>
    <w:uiPriority w:val="0"/>
    <w:unhideWhenUsed/>
    <w:qFormat/>
    <w:rPr>
      <w:rFonts w:ascii="宋体" w:hAnsi="Courier New" w:cs="Courier New"/>
      <w:szCs w:val="21"/>
    </w:rPr>
  </w:style>
  <w:style w:type="paragraph" w:styleId="652">
    <w:name w:val="toc 8"/>
    <w:basedOn w:val="631"/>
    <w:next w:val="631"/>
    <w:uiPriority w:val="39"/>
    <w:unhideWhenUsed/>
    <w:qFormat/>
    <w:pPr>
      <w:ind w:left="1984" w:right="0" w:firstLine="0"/>
      <w:spacing w:after="57"/>
    </w:pPr>
  </w:style>
  <w:style w:type="paragraph" w:styleId="653">
    <w:name w:val="endnote text"/>
    <w:basedOn w:val="631"/>
    <w:link w:val="821"/>
    <w:uiPriority w:val="99"/>
    <w:semiHidden/>
    <w:unhideWhenUsed/>
    <w:qFormat/>
    <w:pPr>
      <w:spacing w:after="0" w:line="240" w:lineRule="auto"/>
    </w:pPr>
    <w:rPr>
      <w:sz w:val="20"/>
    </w:rPr>
  </w:style>
  <w:style w:type="paragraph" w:styleId="654">
    <w:name w:val="Balloon Text"/>
    <w:basedOn w:val="631"/>
    <w:link w:val="842"/>
    <w:uiPriority w:val="0"/>
    <w:qFormat/>
    <w:rPr>
      <w:sz w:val="18"/>
      <w:szCs w:val="18"/>
    </w:rPr>
  </w:style>
  <w:style w:type="paragraph" w:styleId="655">
    <w:name w:val="Footer"/>
    <w:basedOn w:val="631"/>
    <w:link w:val="825"/>
    <w:uiPriority w:val="0"/>
    <w:qFormat/>
    <w:pPr>
      <w:jc w:val="left"/>
      <w:tabs>
        <w:tab w:val="center" w:pos="4153" w:leader="none"/>
        <w:tab w:val="right" w:pos="8306" w:leader="none"/>
      </w:tabs>
    </w:pPr>
    <w:rPr>
      <w:sz w:val="18"/>
      <w:szCs w:val="18"/>
    </w:rPr>
  </w:style>
  <w:style w:type="paragraph" w:styleId="656">
    <w:name w:val="Header"/>
    <w:basedOn w:val="631"/>
    <w:link w:val="824"/>
    <w:uiPriority w:val="0"/>
    <w:qFormat/>
    <w:pPr>
      <w:jc w:val="center"/>
      <w:tabs>
        <w:tab w:val="center" w:pos="4153" w:leader="none"/>
        <w:tab w:val="right" w:pos="8306" w:leader="none"/>
      </w:tabs>
      <w:pBdr>
        <w:bottom w:val="single" w:color="auto" w:sz="6" w:space="1"/>
      </w:pBdr>
    </w:pPr>
    <w:rPr>
      <w:sz w:val="18"/>
      <w:szCs w:val="18"/>
    </w:rPr>
  </w:style>
  <w:style w:type="paragraph" w:styleId="657">
    <w:name w:val="toc 1"/>
    <w:basedOn w:val="631"/>
    <w:next w:val="631"/>
    <w:uiPriority w:val="39"/>
    <w:unhideWhenUsed/>
    <w:qFormat/>
    <w:pPr>
      <w:jc w:val="left"/>
      <w:spacing w:after="100" w:line="259" w:lineRule="auto"/>
      <w:widowControl/>
    </w:pPr>
    <w:rPr>
      <w:rFonts w:cs="Times New Roman"/>
      <w:sz w:val="22"/>
      <w:szCs w:val="22"/>
    </w:rPr>
  </w:style>
  <w:style w:type="paragraph" w:styleId="658">
    <w:name w:val="toc 4"/>
    <w:basedOn w:val="631"/>
    <w:next w:val="631"/>
    <w:uiPriority w:val="39"/>
    <w:unhideWhenUsed/>
    <w:qFormat/>
    <w:pPr>
      <w:ind w:left="850" w:right="0" w:firstLine="0"/>
      <w:spacing w:after="57"/>
    </w:pPr>
  </w:style>
  <w:style w:type="paragraph" w:styleId="659">
    <w:name w:val="Subtitle"/>
    <w:basedOn w:val="631"/>
    <w:next w:val="631"/>
    <w:link w:val="687"/>
    <w:uiPriority w:val="11"/>
    <w:qFormat/>
    <w:pPr>
      <w:spacing w:before="200" w:after="200"/>
    </w:pPr>
    <w:rPr>
      <w:sz w:val="24"/>
      <w:szCs w:val="24"/>
    </w:rPr>
  </w:style>
  <w:style w:type="paragraph" w:styleId="660">
    <w:name w:val="footnote text"/>
    <w:basedOn w:val="631"/>
    <w:link w:val="820"/>
    <w:uiPriority w:val="99"/>
    <w:semiHidden/>
    <w:unhideWhenUsed/>
    <w:qFormat/>
    <w:pPr>
      <w:spacing w:after="40" w:line="240" w:lineRule="auto"/>
    </w:pPr>
    <w:rPr>
      <w:sz w:val="18"/>
    </w:rPr>
  </w:style>
  <w:style w:type="paragraph" w:styleId="661">
    <w:name w:val="toc 6"/>
    <w:basedOn w:val="631"/>
    <w:next w:val="631"/>
    <w:uiPriority w:val="39"/>
    <w:unhideWhenUsed/>
    <w:pPr>
      <w:ind w:left="1417" w:right="0" w:firstLine="0"/>
      <w:spacing w:after="57"/>
    </w:pPr>
  </w:style>
  <w:style w:type="paragraph" w:styleId="662">
    <w:name w:val="table of figures"/>
    <w:basedOn w:val="631"/>
    <w:next w:val="631"/>
    <w:uiPriority w:val="99"/>
    <w:unhideWhenUsed/>
    <w:qFormat/>
    <w:pPr>
      <w:spacing w:after="0" w:afterAutospacing="0"/>
    </w:pPr>
  </w:style>
  <w:style w:type="paragraph" w:styleId="663">
    <w:name w:val="toc 2"/>
    <w:basedOn w:val="631"/>
    <w:next w:val="631"/>
    <w:uiPriority w:val="39"/>
    <w:qFormat/>
    <w:pPr>
      <w:ind w:left="420"/>
    </w:pPr>
  </w:style>
  <w:style w:type="paragraph" w:styleId="664">
    <w:name w:val="toc 9"/>
    <w:basedOn w:val="631"/>
    <w:next w:val="631"/>
    <w:uiPriority w:val="39"/>
    <w:unhideWhenUsed/>
    <w:qFormat/>
    <w:pPr>
      <w:ind w:left="2268" w:right="0" w:firstLine="0"/>
      <w:spacing w:after="57"/>
    </w:pPr>
  </w:style>
  <w:style w:type="paragraph" w:styleId="665">
    <w:name w:val="Normal (Web)"/>
    <w:basedOn w:val="631"/>
    <w:link w:val="834"/>
    <w:uiPriority w:val="0"/>
    <w:qFormat/>
    <w:pPr>
      <w:jc w:val="left"/>
      <w:spacing w:beforeAutospacing="1" w:afterAutospacing="1"/>
    </w:pPr>
    <w:rPr>
      <w:rFonts w:cs="Times New Roman"/>
      <w:sz w:val="24"/>
    </w:rPr>
  </w:style>
  <w:style w:type="paragraph" w:styleId="666">
    <w:name w:val="Title"/>
    <w:basedOn w:val="631"/>
    <w:next w:val="631"/>
    <w:link w:val="836"/>
    <w:uiPriority w:val="0"/>
    <w:qFormat/>
    <w:pPr>
      <w:jc w:val="center"/>
      <w:spacing w:before="120" w:after="120"/>
      <w:outlineLvl w:val="0"/>
    </w:pPr>
    <w:rPr>
      <w:rFonts w:eastAsia="黑体" w:asciiTheme="majorHAnsi" w:hAnsiTheme="majorHAnsi" w:cstheme="majorBidi"/>
      <w:b/>
      <w:bCs/>
      <w:sz w:val="44"/>
      <w:szCs w:val="32"/>
    </w:rPr>
  </w:style>
  <w:style w:type="paragraph" w:styleId="667">
    <w:name w:val="annotation subject"/>
    <w:basedOn w:val="646"/>
    <w:next w:val="646"/>
    <w:link w:val="841"/>
    <w:uiPriority w:val="0"/>
    <w:qFormat/>
    <w:rPr>
      <w:b/>
      <w:bCs/>
    </w:rPr>
  </w:style>
  <w:style w:type="paragraph" w:styleId="668">
    <w:name w:val="Body Text First Indent 2"/>
    <w:basedOn w:val="648"/>
    <w:link w:val="847"/>
    <w:uiPriority w:val="0"/>
    <w:qFormat/>
    <w:pPr>
      <w:ind w:firstLine="420"/>
    </w:pPr>
  </w:style>
  <w:style w:type="table" w:styleId="669">
    <w:name w:val="Table Grid"/>
    <w:basedOn w:val="64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0">
    <w:name w:val="Strong"/>
    <w:basedOn w:val="641"/>
    <w:uiPriority w:val="22"/>
    <w:qFormat/>
    <w:rPr>
      <w:b/>
      <w:bCs/>
    </w:rPr>
  </w:style>
  <w:style w:type="character" w:styleId="671">
    <w:name w:val="endnote reference"/>
    <w:basedOn w:val="641"/>
    <w:uiPriority w:val="99"/>
    <w:semiHidden/>
    <w:unhideWhenUsed/>
    <w:qFormat/>
    <w:rPr>
      <w:vertAlign w:val="superscript"/>
    </w:rPr>
  </w:style>
  <w:style w:type="character" w:styleId="672">
    <w:name w:val="Emphasis"/>
    <w:uiPriority w:val="0"/>
    <w:qFormat/>
    <w:rPr>
      <w:i/>
    </w:rPr>
  </w:style>
  <w:style w:type="character" w:styleId="673">
    <w:name w:val="Hyperlink"/>
    <w:basedOn w:val="641"/>
    <w:uiPriority w:val="99"/>
    <w:unhideWhenUsed/>
    <w:qFormat/>
    <w:rPr>
      <w:color w:val="0563c1" w:themeColor="hyperlink"/>
      <w:u w:val="single"/>
      <w14:textFill>
        <w14:solidFill>
          <w14:schemeClr w14:val="hlink"/>
        </w14:solidFill>
      </w14:textFill>
    </w:rPr>
  </w:style>
  <w:style w:type="character" w:styleId="674">
    <w:name w:val="annotation reference"/>
    <w:basedOn w:val="641"/>
    <w:uiPriority w:val="0"/>
    <w:qFormat/>
    <w:rPr>
      <w:sz w:val="21"/>
      <w:szCs w:val="21"/>
    </w:rPr>
  </w:style>
  <w:style w:type="character" w:styleId="675">
    <w:name w:val="footnote reference"/>
    <w:basedOn w:val="641"/>
    <w:uiPriority w:val="99"/>
    <w:unhideWhenUsed/>
    <w:qFormat/>
    <w:rPr>
      <w:vertAlign w:val="superscript"/>
    </w:rPr>
  </w:style>
  <w:style w:type="character" w:styleId="676" w:customStyle="1">
    <w:name w:val="Heading 1 Char"/>
    <w:basedOn w:val="641"/>
    <w:uiPriority w:val="9"/>
    <w:rPr>
      <w:rFonts w:ascii="Arial" w:hAnsi="Arial" w:eastAsia="Arial" w:cs="Arial"/>
      <w:sz w:val="40"/>
      <w:szCs w:val="40"/>
    </w:rPr>
  </w:style>
  <w:style w:type="character" w:styleId="677" w:customStyle="1">
    <w:name w:val="Heading 2 Char"/>
    <w:basedOn w:val="641"/>
    <w:uiPriority w:val="9"/>
    <w:rPr>
      <w:rFonts w:ascii="Arial" w:hAnsi="Arial" w:eastAsia="Arial" w:cs="Arial"/>
      <w:sz w:val="34"/>
    </w:rPr>
  </w:style>
  <w:style w:type="character" w:styleId="678" w:customStyle="1">
    <w:name w:val="Heading 3 Char"/>
    <w:basedOn w:val="641"/>
    <w:uiPriority w:val="9"/>
    <w:rPr>
      <w:rFonts w:ascii="Arial" w:hAnsi="Arial" w:eastAsia="Arial" w:cs="Arial"/>
      <w:sz w:val="30"/>
      <w:szCs w:val="30"/>
    </w:rPr>
  </w:style>
  <w:style w:type="character" w:styleId="679" w:customStyle="1">
    <w:name w:val="Heading 4 Char"/>
    <w:basedOn w:val="641"/>
    <w:uiPriority w:val="9"/>
    <w:qFormat/>
    <w:rPr>
      <w:rFonts w:ascii="Arial" w:hAnsi="Arial" w:eastAsia="Arial" w:cs="Arial"/>
      <w:b/>
      <w:bCs/>
      <w:sz w:val="26"/>
      <w:szCs w:val="26"/>
    </w:rPr>
  </w:style>
  <w:style w:type="character" w:styleId="680" w:customStyle="1">
    <w:name w:val="Heading 5 Char"/>
    <w:basedOn w:val="641"/>
    <w:uiPriority w:val="9"/>
    <w:qFormat/>
    <w:rPr>
      <w:rFonts w:ascii="Arial" w:hAnsi="Arial" w:eastAsia="Arial" w:cs="Arial"/>
      <w:b/>
      <w:bCs/>
      <w:sz w:val="24"/>
      <w:szCs w:val="24"/>
    </w:rPr>
  </w:style>
  <w:style w:type="character" w:styleId="681" w:customStyle="1">
    <w:name w:val="Heading 6 Char"/>
    <w:basedOn w:val="641"/>
    <w:uiPriority w:val="9"/>
    <w:qFormat/>
    <w:rPr>
      <w:rFonts w:ascii="Arial" w:hAnsi="Arial" w:eastAsia="Arial" w:cs="Arial"/>
      <w:b/>
      <w:bCs/>
      <w:sz w:val="22"/>
      <w:szCs w:val="22"/>
    </w:rPr>
  </w:style>
  <w:style w:type="character" w:styleId="682" w:customStyle="1">
    <w:name w:val="Heading 7 Char"/>
    <w:basedOn w:val="641"/>
    <w:link w:val="638"/>
    <w:uiPriority w:val="9"/>
    <w:qFormat/>
    <w:rPr>
      <w:rFonts w:ascii="Arial" w:hAnsi="Arial" w:eastAsia="Arial" w:cs="Arial"/>
      <w:b/>
      <w:bCs/>
      <w:i/>
      <w:iCs/>
      <w:sz w:val="22"/>
      <w:szCs w:val="22"/>
    </w:rPr>
  </w:style>
  <w:style w:type="character" w:styleId="683" w:customStyle="1">
    <w:name w:val="Heading 8 Char"/>
    <w:basedOn w:val="641"/>
    <w:link w:val="639"/>
    <w:uiPriority w:val="9"/>
    <w:qFormat/>
    <w:rPr>
      <w:rFonts w:ascii="Arial" w:hAnsi="Arial" w:eastAsia="Arial" w:cs="Arial"/>
      <w:i/>
      <w:iCs/>
      <w:sz w:val="22"/>
      <w:szCs w:val="22"/>
    </w:rPr>
  </w:style>
  <w:style w:type="character" w:styleId="684" w:customStyle="1">
    <w:name w:val="Heading 9 Char"/>
    <w:basedOn w:val="641"/>
    <w:link w:val="640"/>
    <w:uiPriority w:val="9"/>
    <w:qFormat/>
    <w:rPr>
      <w:rFonts w:ascii="Arial" w:hAnsi="Arial" w:eastAsia="Arial" w:cs="Arial"/>
      <w:i/>
      <w:iCs/>
      <w:sz w:val="21"/>
      <w:szCs w:val="21"/>
    </w:rPr>
  </w:style>
  <w:style w:type="paragraph" w:styleId="685">
    <w:name w:val="No Spacing"/>
    <w:uiPriority w:val="1"/>
    <w:qFormat/>
    <w:pPr>
      <w:spacing w:before="0" w:after="0" w:line="240" w:lineRule="auto"/>
    </w:pPr>
    <w:rPr>
      <w:rFonts w:hint="default" w:ascii="Times New Roman" w:hAnsi="Times New Roman" w:eastAsia="宋体" w:cs="Times New Roman"/>
    </w:rPr>
  </w:style>
  <w:style w:type="character" w:styleId="686" w:customStyle="1">
    <w:name w:val="Title Char"/>
    <w:basedOn w:val="641"/>
    <w:uiPriority w:val="10"/>
    <w:qFormat/>
    <w:rPr>
      <w:sz w:val="48"/>
      <w:szCs w:val="48"/>
    </w:rPr>
  </w:style>
  <w:style w:type="character" w:styleId="687" w:customStyle="1">
    <w:name w:val="Subtitle Char"/>
    <w:basedOn w:val="641"/>
    <w:link w:val="659"/>
    <w:uiPriority w:val="11"/>
    <w:qFormat/>
    <w:rPr>
      <w:sz w:val="24"/>
      <w:szCs w:val="24"/>
    </w:rPr>
  </w:style>
  <w:style w:type="paragraph" w:styleId="688">
    <w:name w:val="Quote"/>
    <w:basedOn w:val="631"/>
    <w:next w:val="631"/>
    <w:link w:val="689"/>
    <w:uiPriority w:val="29"/>
    <w:qFormat/>
    <w:pPr>
      <w:ind w:left="720" w:right="720"/>
    </w:pPr>
    <w:rPr>
      <w:i/>
    </w:rPr>
  </w:style>
  <w:style w:type="character" w:styleId="689" w:customStyle="1">
    <w:name w:val="Quote Char"/>
    <w:link w:val="688"/>
    <w:uiPriority w:val="29"/>
    <w:qFormat/>
    <w:rPr>
      <w:i/>
    </w:rPr>
  </w:style>
  <w:style w:type="paragraph" w:styleId="690">
    <w:name w:val="Intense Quote"/>
    <w:basedOn w:val="631"/>
    <w:next w:val="631"/>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customStyle="1">
    <w:name w:val="Intense Quote Char"/>
    <w:link w:val="690"/>
    <w:uiPriority w:val="30"/>
    <w:qFormat/>
    <w:rPr>
      <w:i/>
    </w:rPr>
  </w:style>
  <w:style w:type="character" w:styleId="692" w:customStyle="1">
    <w:name w:val="Header Char"/>
    <w:basedOn w:val="641"/>
    <w:uiPriority w:val="99"/>
    <w:qFormat/>
  </w:style>
  <w:style w:type="character" w:styleId="693" w:customStyle="1">
    <w:name w:val="Footer Char"/>
    <w:basedOn w:val="641"/>
    <w:uiPriority w:val="99"/>
    <w:qFormat/>
  </w:style>
  <w:style w:type="character" w:styleId="694" w:customStyle="1">
    <w:name w:val="Caption Char"/>
    <w:uiPriority w:val="99"/>
    <w:qFormat/>
  </w:style>
  <w:style w:type="table" w:styleId="695" w:customStyle="1">
    <w:name w:val="Table Grid Light"/>
    <w:basedOn w:val="6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6" w:customStyle="1">
    <w:name w:val="Plain Table 1"/>
    <w:basedOn w:val="64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basedOn w:val="64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basedOn w:val="6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basedOn w:val="6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basedOn w:val="64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basedOn w:val="64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basedOn w:val="64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basedOn w:val="64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basedOn w:val="64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basedOn w:val="64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basedOn w:val="64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basedOn w:val="642"/>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basedOn w:val="64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basedOn w:val="642"/>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basedOn w:val="64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basedOn w:val="64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basedOn w:val="642"/>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basedOn w:val="642"/>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4" w:customStyle="1">
    <w:name w:val="Grid Table 2 - Accent 6"/>
    <w:basedOn w:val="642"/>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5" w:customStyle="1">
    <w:name w:val="Grid Table 3"/>
    <w:basedOn w:val="64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basedOn w:val="642"/>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basedOn w:val="64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basedOn w:val="642"/>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basedOn w:val="64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basedOn w:val="64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basedOn w:val="64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basedOn w:val="64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basedOn w:val="64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4" w:customStyle="1">
    <w:name w:val="Grid Table 4 - Accent 2"/>
    <w:basedOn w:val="64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5" w:customStyle="1">
    <w:name w:val="Grid Table 4 - Accent 3"/>
    <w:basedOn w:val="64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6" w:customStyle="1">
    <w:name w:val="Grid Table 4 - Accent 4"/>
    <w:basedOn w:val="642"/>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27" w:customStyle="1">
    <w:name w:val="Grid Table 4 - Accent 5"/>
    <w:basedOn w:val="64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8" w:customStyle="1">
    <w:name w:val="Grid Table 4 - Accent 6"/>
    <w:basedOn w:val="642"/>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9" w:customStyle="1">
    <w:name w:val="Grid Table 5 Dark"/>
    <w:basedOn w:val="6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basedOn w:val="64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1" w:customStyle="1">
    <w:name w:val="Grid Table 5 Dark - Accent 2"/>
    <w:basedOn w:val="6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2" w:customStyle="1">
    <w:name w:val="Grid Table 5 Dark - Accent 3"/>
    <w:basedOn w:val="64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3" w:customStyle="1">
    <w:name w:val="Grid Table 5 Dark- Accent 4"/>
    <w:basedOn w:val="64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4" w:customStyle="1">
    <w:name w:val="Grid Table 5 Dark - Accent 5"/>
    <w:basedOn w:val="64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5" w:customStyle="1">
    <w:name w:val="Grid Table 5 Dark - Accent 6"/>
    <w:basedOn w:val="64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6" w:customStyle="1">
    <w:name w:val="Grid Table 6 Colorful"/>
    <w:basedOn w:val="642"/>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Grid Table 6 Colorful - Accent 1"/>
    <w:basedOn w:val="64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38" w:customStyle="1">
    <w:name w:val="Grid Table 6 Colorful - Accent 2"/>
    <w:basedOn w:val="64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39" w:customStyle="1">
    <w:name w:val="Grid Table 6 Colorful - Accent 3"/>
    <w:basedOn w:val="64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0" w:customStyle="1">
    <w:name w:val="Grid Table 6 Colorful - Accent 4"/>
    <w:basedOn w:val="642"/>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1" w:customStyle="1">
    <w:name w:val="Grid Table 6 Colorful - Accent 5"/>
    <w:basedOn w:val="64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2" w:customStyle="1">
    <w:name w:val="Grid Table 6 Colorful - Accent 6"/>
    <w:basedOn w:val="642"/>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3" w:customStyle="1">
    <w:name w:val="Grid Table 7 Colorful"/>
    <w:basedOn w:val="64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basedOn w:val="642"/>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basedOn w:val="64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basedOn w:val="642"/>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basedOn w:val="64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basedOn w:val="64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basedOn w:val="642"/>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basedOn w:val="64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basedOn w:val="642"/>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2" w:customStyle="1">
    <w:name w:val="List Table 1 Light - Accent 2"/>
    <w:basedOn w:val="642"/>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3" w:customStyle="1">
    <w:name w:val="List Table 1 Light - Accent 3"/>
    <w:basedOn w:val="642"/>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4" w:customStyle="1">
    <w:name w:val="List Table 1 Light - Accent 4"/>
    <w:basedOn w:val="64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5" w:customStyle="1">
    <w:name w:val="List Table 1 Light - Accent 5"/>
    <w:basedOn w:val="642"/>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6" w:customStyle="1">
    <w:name w:val="List Table 1 Light - Accent 6"/>
    <w:basedOn w:val="642"/>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7" w:customStyle="1">
    <w:name w:val="List Table 2"/>
    <w:basedOn w:val="64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List Table 2 - Accent 1"/>
    <w:basedOn w:val="64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9" w:customStyle="1">
    <w:name w:val="List Table 2 - Accent 2"/>
    <w:basedOn w:val="64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0" w:customStyle="1">
    <w:name w:val="List Table 2 - Accent 3"/>
    <w:basedOn w:val="642"/>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1" w:customStyle="1">
    <w:name w:val="List Table 2 - Accent 4"/>
    <w:basedOn w:val="642"/>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2" w:customStyle="1">
    <w:name w:val="List Table 2 - Accent 5"/>
    <w:basedOn w:val="64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3" w:customStyle="1">
    <w:name w:val="List Table 2 - Accent 6"/>
    <w:basedOn w:val="642"/>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4" w:customStyle="1">
    <w:name w:val="List Table 3"/>
    <w:basedOn w:val="642"/>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basedOn w:val="642"/>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6" w:customStyle="1">
    <w:name w:val="List Table 3 - Accent 2"/>
    <w:basedOn w:val="64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7" w:customStyle="1">
    <w:name w:val="List Table 3 - Accent 3"/>
    <w:basedOn w:val="64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8" w:customStyle="1">
    <w:name w:val="List Table 3 - Accent 4"/>
    <w:basedOn w:val="64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69" w:customStyle="1">
    <w:name w:val="List Table 3 - Accent 5"/>
    <w:basedOn w:val="64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0" w:customStyle="1">
    <w:name w:val="List Table 3 - Accent 6"/>
    <w:basedOn w:val="64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1" w:customStyle="1">
    <w:name w:val="List Table 4"/>
    <w:basedOn w:val="64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basedOn w:val="64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3" w:customStyle="1">
    <w:name w:val="List Table 4 - Accent 2"/>
    <w:basedOn w:val="64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4" w:customStyle="1">
    <w:name w:val="List Table 4 - Accent 3"/>
    <w:basedOn w:val="64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5" w:customStyle="1">
    <w:name w:val="List Table 4 - Accent 4"/>
    <w:basedOn w:val="64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6" w:customStyle="1">
    <w:name w:val="List Table 4 - Accent 5"/>
    <w:basedOn w:val="64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7" w:customStyle="1">
    <w:name w:val="List Table 4 - Accent 6"/>
    <w:basedOn w:val="64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8" w:customStyle="1">
    <w:name w:val="List Table 5 Dark"/>
    <w:basedOn w:val="64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1"/>
    <w:basedOn w:val="64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2"/>
    <w:basedOn w:val="64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3"/>
    <w:basedOn w:val="64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4"/>
    <w:basedOn w:val="64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5"/>
    <w:basedOn w:val="64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6"/>
    <w:basedOn w:val="64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6 Colorful"/>
    <w:basedOn w:val="64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List Table 6 Colorful - Accent 1"/>
    <w:basedOn w:val="64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87" w:customStyle="1">
    <w:name w:val="List Table 6 Colorful - Accent 2"/>
    <w:basedOn w:val="64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88" w:customStyle="1">
    <w:name w:val="List Table 6 Colorful - Accent 3"/>
    <w:basedOn w:val="64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89" w:customStyle="1">
    <w:name w:val="List Table 6 Colorful - Accent 4"/>
    <w:basedOn w:val="64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0" w:customStyle="1">
    <w:name w:val="List Table 6 Colorful - Accent 5"/>
    <w:basedOn w:val="64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1" w:customStyle="1">
    <w:name w:val="List Table 6 Colorful - Accent 6"/>
    <w:basedOn w:val="64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2" w:customStyle="1">
    <w:name w:val="List Table 7 Colorful"/>
    <w:basedOn w:val="64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basedOn w:val="64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basedOn w:val="64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basedOn w:val="64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basedOn w:val="64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basedOn w:val="64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basedOn w:val="64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9" w:customStyle="1">
    <w:name w:val="Lined - Accent"/>
    <w:basedOn w:val="6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0" w:customStyle="1">
    <w:name w:val="Lined - Accent 1"/>
    <w:basedOn w:val="6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1" w:customStyle="1">
    <w:name w:val="Lined - Accent 2"/>
    <w:basedOn w:val="6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2" w:customStyle="1">
    <w:name w:val="Lined - Accent 3"/>
    <w:basedOn w:val="6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3" w:customStyle="1">
    <w:name w:val="Lined - Accent 4"/>
    <w:basedOn w:val="6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4" w:customStyle="1">
    <w:name w:val="Lined - Accent 5"/>
    <w:basedOn w:val="6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5" w:customStyle="1">
    <w:name w:val="Lined - Accent 6"/>
    <w:basedOn w:val="64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6" w:customStyle="1">
    <w:name w:val="Bordered &amp; Lined - Accent"/>
    <w:basedOn w:val="64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Bordered &amp; Lined - Accent 1"/>
    <w:basedOn w:val="64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8" w:customStyle="1">
    <w:name w:val="Bordered &amp; Lined - Accent 2"/>
    <w:basedOn w:val="64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9" w:customStyle="1">
    <w:name w:val="Bordered &amp; Lined - Accent 3"/>
    <w:basedOn w:val="64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0" w:customStyle="1">
    <w:name w:val="Bordered &amp; Lined - Accent 4"/>
    <w:basedOn w:val="64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1" w:customStyle="1">
    <w:name w:val="Bordered &amp; Lined - Accent 5"/>
    <w:basedOn w:val="64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2" w:customStyle="1">
    <w:name w:val="Bordered &amp; Lined - Accent 6"/>
    <w:basedOn w:val="64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3" w:customStyle="1">
    <w:name w:val="Bordered"/>
    <w:basedOn w:val="64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4" w:customStyle="1">
    <w:name w:val="Bordered - Accent 1"/>
    <w:basedOn w:val="64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5" w:customStyle="1">
    <w:name w:val="Bordered - Accent 2"/>
    <w:basedOn w:val="64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16" w:customStyle="1">
    <w:name w:val="Bordered - Accent 3"/>
    <w:basedOn w:val="64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7" w:customStyle="1">
    <w:name w:val="Bordered - Accent 4"/>
    <w:basedOn w:val="64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18" w:customStyle="1">
    <w:name w:val="Bordered - Accent 5"/>
    <w:basedOn w:val="64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19" w:customStyle="1">
    <w:name w:val="Bordered - Accent 6"/>
    <w:basedOn w:val="64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0" w:customStyle="1">
    <w:name w:val="Footnote Text Char"/>
    <w:link w:val="660"/>
    <w:uiPriority w:val="99"/>
    <w:qFormat/>
    <w:rPr>
      <w:sz w:val="18"/>
    </w:rPr>
  </w:style>
  <w:style w:type="character" w:styleId="821" w:customStyle="1">
    <w:name w:val="Endnote Text Char"/>
    <w:link w:val="653"/>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paragraph" w:styleId="823" w:customStyle="1">
    <w:name w:val="Default"/>
    <w:basedOn w:val="631"/>
    <w:uiPriority w:val="0"/>
    <w:semiHidden/>
    <w:qFormat/>
    <w:pPr>
      <w:jc w:val="left"/>
    </w:pPr>
    <w:rPr>
      <w:rFonts w:ascii="宋体" w:hAnsi="Calibri" w:cs="宋体"/>
      <w:color w:val="000000"/>
      <w:sz w:val="24"/>
    </w:rPr>
  </w:style>
  <w:style w:type="character" w:styleId="824" w:customStyle="1">
    <w:name w:val="页眉 字符"/>
    <w:basedOn w:val="641"/>
    <w:link w:val="656"/>
    <w:uiPriority w:val="0"/>
    <w:qFormat/>
    <w:rPr>
      <w:rFonts w:asciiTheme="minorHAnsi" w:hAnsiTheme="minorHAnsi" w:eastAsiaTheme="minorEastAsia" w:cstheme="minorBidi"/>
      <w:sz w:val="18"/>
      <w:szCs w:val="18"/>
    </w:rPr>
  </w:style>
  <w:style w:type="character" w:styleId="825" w:customStyle="1">
    <w:name w:val="页脚 字符"/>
    <w:basedOn w:val="641"/>
    <w:link w:val="655"/>
    <w:uiPriority w:val="0"/>
    <w:qFormat/>
    <w:rPr>
      <w:rFonts w:asciiTheme="minorHAnsi" w:hAnsiTheme="minorHAnsi" w:eastAsiaTheme="minorEastAsia" w:cstheme="minorBidi"/>
      <w:sz w:val="18"/>
      <w:szCs w:val="18"/>
    </w:rPr>
  </w:style>
  <w:style w:type="paragraph" w:styleId="82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27" w:customStyle="1">
    <w:name w:val="页脚1"/>
    <w:basedOn w:val="631"/>
    <w:uiPriority w:val="99"/>
    <w:unhideWhenUsed/>
    <w:qFormat/>
    <w:pPr>
      <w:jc w:val="left"/>
      <w:tabs>
        <w:tab w:val="center" w:pos="4153" w:leader="none"/>
        <w:tab w:val="right" w:pos="8306" w:leader="none"/>
      </w:tabs>
    </w:pPr>
    <w:rPr>
      <w:sz w:val="18"/>
      <w:szCs w:val="18"/>
    </w:rPr>
  </w:style>
  <w:style w:type="paragraph" w:styleId="828" w:customStyle="1">
    <w:name w:val="普通正文"/>
    <w:basedOn w:val="631"/>
    <w:uiPriority w:val="0"/>
    <w:qFormat/>
    <w:pPr>
      <w:ind w:firstLine="480"/>
      <w:jc w:val="left"/>
      <w:spacing w:before="120" w:after="120" w:line="360" w:lineRule="auto"/>
    </w:pPr>
    <w:rPr>
      <w:rFonts w:ascii="Arial" w:hAnsi="Arial" w:eastAsia="等线" w:cs="Arial"/>
      <w:sz w:val="24"/>
    </w:rPr>
  </w:style>
  <w:style w:type="paragraph" w:styleId="829" w:customStyle="1">
    <w:name w:val="正文首行缩进 21"/>
    <w:basedOn w:val="830"/>
    <w:uiPriority w:val="0"/>
    <w:qFormat/>
    <w:pPr>
      <w:ind w:firstLine="420"/>
    </w:pPr>
  </w:style>
  <w:style w:type="paragraph" w:styleId="830" w:customStyle="1">
    <w:name w:val="正文文本缩进1"/>
    <w:basedOn w:val="631"/>
    <w:uiPriority w:val="0"/>
    <w:qFormat/>
    <w:pPr>
      <w:ind w:left="420"/>
      <w:spacing w:after="120"/>
    </w:pPr>
  </w:style>
  <w:style w:type="character" w:styleId="831" w:customStyle="1">
    <w:name w:val="标题 1 字符"/>
    <w:basedOn w:val="641"/>
    <w:link w:val="632"/>
    <w:uiPriority w:val="0"/>
    <w:qFormat/>
    <w:rPr>
      <w:rFonts w:asciiTheme="minorHAnsi" w:hAnsiTheme="minorHAnsi" w:eastAsiaTheme="minorEastAsia" w:cstheme="minorBidi"/>
      <w:b/>
      <w:bCs/>
      <w:sz w:val="44"/>
      <w:szCs w:val="44"/>
    </w:rPr>
  </w:style>
  <w:style w:type="paragraph" w:styleId="832" w:customStyle="1">
    <w:name w:val="TOC 标题1"/>
    <w:basedOn w:val="632"/>
    <w:next w:val="631"/>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833" w:customStyle="1">
    <w:name w:val="标题123"/>
    <w:basedOn w:val="665"/>
    <w:link w:val="835"/>
    <w:uiPriority w:val="0"/>
    <w:qFormat/>
    <w:pPr>
      <w:jc w:val="center"/>
      <w:keepNext/>
      <w:spacing w:beforeAutospacing="0" w:afterAutospacing="0"/>
      <w:outlineLvl w:val="0"/>
    </w:pPr>
    <w:rPr>
      <w:rFonts w:ascii="黑体" w:hAnsi="宋体" w:eastAsia="黑体" w:cs="黑体"/>
      <w:b/>
      <w:bCs/>
      <w:color w:val="000000"/>
      <w:sz w:val="44"/>
      <w:szCs w:val="44"/>
    </w:rPr>
  </w:style>
  <w:style w:type="character" w:styleId="834" w:customStyle="1">
    <w:name w:val="普通(网站) 字符"/>
    <w:basedOn w:val="641"/>
    <w:link w:val="665"/>
    <w:uiPriority w:val="0"/>
    <w:qFormat/>
    <w:rPr>
      <w:rFonts w:asciiTheme="minorHAnsi" w:hAnsiTheme="minorHAnsi" w:eastAsiaTheme="minorEastAsia"/>
      <w:sz w:val="24"/>
      <w:szCs w:val="24"/>
    </w:rPr>
  </w:style>
  <w:style w:type="character" w:styleId="835" w:customStyle="1">
    <w:name w:val="标题123 字符"/>
    <w:basedOn w:val="834"/>
    <w:link w:val="833"/>
    <w:uiPriority w:val="0"/>
    <w:qFormat/>
    <w:rPr>
      <w:rFonts w:ascii="黑体" w:hAnsi="宋体" w:eastAsia="黑体" w:cs="黑体"/>
      <w:b/>
      <w:bCs/>
      <w:color w:val="000000"/>
      <w:sz w:val="44"/>
      <w:szCs w:val="44"/>
    </w:rPr>
  </w:style>
  <w:style w:type="character" w:styleId="836" w:customStyle="1">
    <w:name w:val="标题 字符"/>
    <w:basedOn w:val="641"/>
    <w:link w:val="666"/>
    <w:uiPriority w:val="0"/>
    <w:qFormat/>
    <w:rPr>
      <w:rFonts w:eastAsia="黑体" w:asciiTheme="majorHAnsi" w:hAnsiTheme="majorHAnsi" w:cstheme="majorBidi"/>
      <w:b/>
      <w:bCs/>
      <w:sz w:val="44"/>
      <w:szCs w:val="32"/>
    </w:rPr>
  </w:style>
  <w:style w:type="character" w:styleId="837" w:customStyle="1">
    <w:name w:val="标题 6 字符"/>
    <w:basedOn w:val="641"/>
    <w:link w:val="637"/>
    <w:uiPriority w:val="9"/>
    <w:qFormat/>
    <w:rPr>
      <w:rFonts w:asciiTheme="majorHAnsi" w:hAnsiTheme="majorHAnsi" w:eastAsiaTheme="majorEastAsia" w:cstheme="majorBidi"/>
      <w:b/>
      <w:bCs/>
      <w:sz w:val="24"/>
      <w:szCs w:val="24"/>
    </w:rPr>
  </w:style>
  <w:style w:type="table" w:styleId="838" w:customStyle="1">
    <w:name w:val="网格型1"/>
    <w:basedOn w:val="64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39">
    <w:name w:val="List Paragraph"/>
    <w:basedOn w:val="631"/>
    <w:uiPriority w:val="99"/>
    <w:qFormat/>
    <w:pPr>
      <w:ind w:firstLine="420"/>
    </w:pPr>
  </w:style>
  <w:style w:type="character" w:styleId="840" w:customStyle="1">
    <w:name w:val="批注文字 字符"/>
    <w:basedOn w:val="641"/>
    <w:link w:val="646"/>
    <w:uiPriority w:val="0"/>
    <w:qFormat/>
    <w:rPr>
      <w:rFonts w:asciiTheme="minorHAnsi" w:hAnsiTheme="minorHAnsi" w:eastAsiaTheme="minorEastAsia" w:cstheme="minorBidi"/>
      <w:sz w:val="21"/>
      <w:szCs w:val="24"/>
    </w:rPr>
  </w:style>
  <w:style w:type="character" w:styleId="841" w:customStyle="1">
    <w:name w:val="批注主题 字符"/>
    <w:basedOn w:val="840"/>
    <w:link w:val="667"/>
    <w:uiPriority w:val="0"/>
    <w:qFormat/>
    <w:rPr>
      <w:rFonts w:asciiTheme="minorHAnsi" w:hAnsiTheme="minorHAnsi" w:eastAsiaTheme="minorEastAsia" w:cstheme="minorBidi"/>
      <w:b/>
      <w:bCs/>
      <w:sz w:val="21"/>
      <w:szCs w:val="24"/>
    </w:rPr>
  </w:style>
  <w:style w:type="character" w:styleId="842" w:customStyle="1">
    <w:name w:val="批注框文本 字符"/>
    <w:basedOn w:val="641"/>
    <w:link w:val="654"/>
    <w:uiPriority w:val="0"/>
    <w:qFormat/>
    <w:rPr>
      <w:rFonts w:asciiTheme="minorHAnsi" w:hAnsiTheme="minorHAnsi" w:eastAsiaTheme="minorEastAsia" w:cstheme="minorBidi"/>
      <w:sz w:val="18"/>
      <w:szCs w:val="18"/>
    </w:rPr>
  </w:style>
  <w:style w:type="character" w:styleId="843" w:customStyle="1">
    <w:name w:val="标题 3 字符"/>
    <w:basedOn w:val="641"/>
    <w:link w:val="634"/>
    <w:uiPriority w:val="0"/>
    <w:semiHidden/>
    <w:qFormat/>
    <w:rPr>
      <w:rFonts w:ascii="宋体" w:hAnsi="宋体" w:cs="宋体"/>
      <w:b/>
      <w:sz w:val="28"/>
      <w:szCs w:val="22"/>
    </w:rPr>
  </w:style>
  <w:style w:type="character" w:styleId="844" w:customStyle="1">
    <w:name w:val="标题 4 字符"/>
    <w:basedOn w:val="641"/>
    <w:link w:val="635"/>
    <w:uiPriority w:val="0"/>
    <w:semiHidden/>
    <w:qFormat/>
    <w:rPr>
      <w:rFonts w:ascii="Arial" w:hAnsi="Arial" w:cs="宋体"/>
      <w:b/>
      <w:sz w:val="24"/>
      <w:szCs w:val="22"/>
    </w:rPr>
  </w:style>
  <w:style w:type="character" w:styleId="845" w:customStyle="1">
    <w:name w:val="标题 5 字符"/>
    <w:basedOn w:val="641"/>
    <w:link w:val="636"/>
    <w:uiPriority w:val="0"/>
    <w:semiHidden/>
    <w:qFormat/>
    <w:rPr>
      <w:rFonts w:ascii="宋体" w:hAnsi="宋体" w:cs="宋体"/>
      <w:b/>
      <w:sz w:val="28"/>
      <w:szCs w:val="22"/>
    </w:rPr>
  </w:style>
  <w:style w:type="character" w:styleId="846" w:customStyle="1">
    <w:name w:val="正文文本缩进 字符"/>
    <w:basedOn w:val="641"/>
    <w:link w:val="648"/>
    <w:uiPriority w:val="0"/>
    <w:qFormat/>
    <w:rPr>
      <w:rFonts w:asciiTheme="minorHAnsi" w:hAnsiTheme="minorHAnsi" w:eastAsiaTheme="minorEastAsia" w:cstheme="minorBidi"/>
      <w:sz w:val="21"/>
      <w:szCs w:val="24"/>
    </w:rPr>
  </w:style>
  <w:style w:type="character" w:styleId="847" w:customStyle="1">
    <w:name w:val="正文文本首行缩进 2 字符"/>
    <w:basedOn w:val="846"/>
    <w:link w:val="668"/>
    <w:uiPriority w:val="0"/>
    <w:qFormat/>
    <w:rPr>
      <w:rFonts w:asciiTheme="minorHAnsi" w:hAnsiTheme="minorHAnsi" w:eastAsiaTheme="minorEastAsia" w:cstheme="minorBidi"/>
      <w:sz w:val="21"/>
      <w:szCs w:val="24"/>
    </w:rPr>
  </w:style>
  <w:style w:type="character" w:styleId="848" w:customStyle="1">
    <w:name w:val="标题 2 字符"/>
    <w:link w:val="633"/>
    <w:uiPriority w:val="0"/>
    <w:semiHidden/>
    <w:qFormat/>
    <w:rPr>
      <w:rFonts w:ascii="宋体" w:hAnsi="宋体"/>
      <w:b/>
      <w:bCs/>
      <w:sz w:val="36"/>
      <w:szCs w:val="36"/>
    </w:rPr>
  </w:style>
  <w:style w:type="paragraph" w:styleId="849" w:customStyle="1">
    <w:name w:val="纯文本1"/>
    <w:basedOn w:val="631"/>
    <w:uiPriority w:val="0"/>
    <w:qFormat/>
    <w:rPr>
      <w:rFonts w:hint="eastAsia" w:ascii="宋体" w:hAnsi="Courier New" w:eastAsia="楷体_GB2312" w:cs="Times New Roman"/>
      <w:sz w:val="28"/>
      <w:szCs w:val="20"/>
    </w:rPr>
  </w:style>
  <w:style w:type="paragraph" w:styleId="850" w:customStyle="1">
    <w:name w:val="修订1"/>
    <w:hidden/>
    <w:uiPriority w:val="99"/>
    <w:semiHidden/>
    <w:qFormat/>
    <w:rPr>
      <w:rFonts w:hint="default" w:asciiTheme="minorHAnsi" w:hAnsiTheme="minorHAnsi" w:eastAsiaTheme="minorEastAsia" w:cstheme="minorBidi"/>
      <w:sz w:val="21"/>
      <w:szCs w:val="24"/>
      <w:lang w:val="en-US" w:eastAsia="zh-CN" w:bidi="ar-SA"/>
    </w:rPr>
  </w:style>
  <w:style w:type="numbering" w:styleId="206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A0B62-2861-41EB-B3C7-170CC4FF76B7}"/>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陈佳佳</cp:lastModifiedBy>
  <cp:revision>312</cp:revision>
  <dcterms:created xsi:type="dcterms:W3CDTF">2014-10-29T12:08:00Z</dcterms:created>
  <dcterms:modified xsi:type="dcterms:W3CDTF">2026-09-17T06:22:39Z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8BAB5DF2978148BAB6DAC9040C92AD3D_13</vt:lpwstr>
  </property>
  <property fmtid="{D5CDD505-2E9C-101B-9397-08002B2CF9AE}" pid="4" name="KSOTemplateDocerSaveRecord">
    <vt:lpwstr>eyJoZGlkIjoiOGUxNDlhZTg3NGZmMWRlY2M2OWRjMDI3ODBiNzM2NjUiLCJ1c2VySWQiOiIyNjk4NjExMTgifQ==</vt:lpwstr>
  </property>
</Properties>
</file>