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34"/>
        <w:ind w:firstLine="2249"/>
        <w:spacing w:before="120" w:beforeAutospacing="0" w:after="120" w:afterAutospacing="0" w:line="360" w:lineRule="auto"/>
      </w:pPr>
      <w:r>
        <w:t xml:space="preserve"> </w:t>
      </w:r>
      <w:r/>
    </w:p>
    <w:p>
      <w:pPr>
        <w:ind w:firstLine="720"/>
        <w:jc w:val="left"/>
        <w:rPr>
          <w:rFonts w:hint="eastAsia" w:ascii="方正小标宋_GBK" w:hAnsi="方正小标宋_GBK" w:eastAsia="方正小标宋_GBK" w:cs="方正小标宋_GBK"/>
          <w:bCs/>
          <w:sz w:val="72"/>
          <w:szCs w:val="72"/>
        </w:rPr>
      </w:pPr>
      <w:r>
        <w:rPr>
          <w:rFonts w:hint="eastAsia" w:ascii="方正小标宋_GBK" w:hAnsi="方正小标宋_GBK" w:eastAsia="方正小标宋_GBK" w:cs="方正小标宋_GBK"/>
          <w:bCs/>
          <w:sz w:val="72"/>
          <w:szCs w:val="72"/>
        </w:rPr>
        <w:t xml:space="preserve">滨海县政府采购招标文件</w:t>
      </w:r>
      <w:r/>
    </w:p>
    <w:p>
      <w:pPr>
        <w:pStyle w:val="634"/>
        <w:ind w:firstLine="2240"/>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634"/>
        <w:ind w:firstLine="1084"/>
        <w:spacing w:before="120" w:beforeAutospacing="0" w:after="120" w:afterAutospacing="0" w:line="360" w:lineRule="auto"/>
        <w:rPr>
          <w:sz w:val="36"/>
          <w:szCs w:val="36"/>
        </w:rPr>
      </w:pPr>
      <w:r>
        <w:rPr>
          <w:rFonts w:ascii="Arial" w:hAnsi="Arial" w:cs="Arial"/>
          <w:b/>
          <w:sz w:val="36"/>
          <w:szCs w:val="36"/>
        </w:rPr>
        <w:t xml:space="preserve">项目名称：</w:t>
      </w:r>
      <w:r>
        <w:rPr>
          <w:rFonts w:hint="eastAsia" w:ascii="Arial" w:hAnsi="Arial" w:cs="Arial"/>
          <w:b/>
          <w:sz w:val="36"/>
          <w:szCs w:val="36"/>
        </w:rPr>
        <w:t xml:space="preserve">沿海工业园环保管家综合服务项目</w:t>
      </w:r>
      <w:r/>
    </w:p>
    <w:p>
      <w:pPr>
        <w:pStyle w:val="634"/>
        <w:ind w:firstLine="1084"/>
        <w:spacing w:beforeAutospacing="0" w:afterAutospacing="0"/>
        <w:rPr>
          <w:sz w:val="36"/>
          <w:szCs w:val="36"/>
        </w:rPr>
      </w:pPr>
      <w:r>
        <w:rPr>
          <w:rFonts w:ascii="Times New Roman" w:hAnsi="Times New Roman"/>
          <w:b/>
          <w:sz w:val="36"/>
          <w:szCs w:val="36"/>
        </w:rPr>
        <w:t xml:space="preserve">项目编号：JSZC-320922-JNZX-G2026-0003</w:t>
      </w:r>
      <w:r/>
    </w:p>
    <w:p>
      <w:pPr>
        <w:pStyle w:val="634"/>
        <w:ind w:firstLine="2249"/>
        <w:spacing w:beforeAutospacing="0" w:afterAutospacing="0" w:line="360" w:lineRule="auto"/>
      </w:pPr>
      <w:r>
        <w:t xml:space="preserve"> </w:t>
      </w:r>
      <w:r/>
    </w:p>
    <w:p>
      <w:pPr>
        <w:pStyle w:val="634"/>
        <w:ind w:firstLine="2249"/>
        <w:spacing w:beforeAutospacing="0" w:afterAutospacing="0" w:line="360" w:lineRule="auto"/>
      </w:pPr>
      <w:r>
        <w:t xml:space="preserve"> </w:t>
      </w:r>
      <w:r/>
    </w:p>
    <w:p>
      <w:pPr>
        <w:pStyle w:val="634"/>
        <w:ind w:firstLine="2249"/>
        <w:spacing w:beforeAutospacing="0" w:afterAutospacing="0" w:line="360" w:lineRule="auto"/>
      </w:pPr>
      <w:r>
        <w:t xml:space="preserve"> </w:t>
      </w:r>
      <w:r/>
    </w:p>
    <w:p>
      <w:pPr>
        <w:pStyle w:val="634"/>
        <w:ind w:firstLine="2249"/>
        <w:spacing w:beforeAutospacing="0" w:afterAutospacing="0" w:line="360" w:lineRule="auto"/>
      </w:pPr>
      <w:r>
        <w:t xml:space="preserve"> </w:t>
      </w:r>
      <w:r/>
    </w:p>
    <w:p>
      <w:pPr>
        <w:pStyle w:val="634"/>
        <w:ind w:firstLine="2249"/>
        <w:spacing w:beforeAutospacing="0" w:afterAutospacing="0" w:line="360" w:lineRule="auto"/>
      </w:pPr>
      <w:r>
        <w:t xml:space="preserve"> </w:t>
      </w:r>
      <w:r/>
    </w:p>
    <w:p>
      <w:pPr>
        <w:pStyle w:val="634"/>
        <w:ind w:firstLine="2249"/>
        <w:spacing w:beforeAutospacing="0" w:afterAutospacing="0" w:line="360" w:lineRule="auto"/>
      </w:pPr>
      <w:r>
        <w:t xml:space="preserve"> </w:t>
      </w:r>
      <w:r/>
    </w:p>
    <w:p>
      <w:pPr>
        <w:pStyle w:val="634"/>
        <w:ind w:firstLine="2249"/>
        <w:spacing w:beforeAutospacing="0" w:afterAutospacing="0" w:line="360" w:lineRule="auto"/>
      </w:pPr>
      <w:r>
        <w:t xml:space="preserve"> </w:t>
      </w:r>
      <w:r/>
    </w:p>
    <w:p>
      <w:pPr>
        <w:pStyle w:val="634"/>
        <w:ind w:firstLine="643"/>
        <w:spacing w:before="120" w:beforeAutospacing="0" w:after="120" w:afterAutospacing="0" w:line="360" w:lineRule="auto"/>
        <w:rPr>
          <w:rFonts w:ascii="Arial" w:hAnsi="Arial" w:cs="Arial"/>
          <w:b/>
          <w:sz w:val="32"/>
          <w:szCs w:val="32"/>
        </w:rPr>
      </w:pPr>
      <w:r>
        <w:rPr>
          <w:rFonts w:hint="eastAsia" w:ascii="Arial" w:hAnsi="Arial" w:cs="Arial"/>
          <w:b/>
          <w:sz w:val="32"/>
          <w:szCs w:val="32"/>
        </w:rPr>
        <w:t xml:space="preserve">采购单位：</w:t>
      </w:r>
      <w:r>
        <w:rPr>
          <w:rFonts w:hint="eastAsia" w:ascii="宋体"/>
          <w:b/>
          <w:sz w:val="32"/>
          <w:szCs w:val="32"/>
        </w:rPr>
        <w:t xml:space="preserve">江苏滨海经济开发区沿海工业园管理委员会</w:t>
      </w:r>
      <w:r/>
    </w:p>
    <w:p>
      <w:pPr>
        <w:pStyle w:val="634"/>
        <w:ind w:firstLine="3213"/>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634"/>
        <w:ind w:firstLine="3213"/>
        <w:spacing w:before="120" w:beforeAutospacing="0" w:after="120" w:afterAutospacing="0" w:line="360" w:lineRule="auto"/>
      </w:pPr>
      <w:r>
        <w:rPr>
          <w:rFonts w:hint="eastAsia" w:ascii="Arial" w:hAnsi="Arial" w:cs="Arial"/>
          <w:b/>
          <w:sz w:val="32"/>
          <w:szCs w:val="32"/>
        </w:rPr>
        <w:t xml:space="preserve">2026</w:t>
      </w:r>
      <w:r>
        <w:rPr>
          <w:rFonts w:ascii="Arial" w:hAnsi="Arial" w:cs="Arial"/>
          <w:b/>
          <w:sz w:val="32"/>
          <w:szCs w:val="32"/>
        </w:rPr>
        <w:t xml:space="preserve">年</w:t>
      </w:r>
      <w:r>
        <w:rPr>
          <w:rFonts w:hint="eastAsia" w:ascii="Arial" w:hAnsi="Arial" w:cs="Arial"/>
          <w:b/>
          <w:sz w:val="32"/>
          <w:szCs w:val="32"/>
        </w:rPr>
        <w:t xml:space="preserve">2</w:t>
      </w:r>
      <w:r>
        <w:rPr>
          <w:rFonts w:ascii="Arial" w:hAnsi="Arial" w:cs="Arial"/>
          <w:b/>
          <w:sz w:val="32"/>
          <w:szCs w:val="32"/>
        </w:rPr>
        <w:t xml:space="preserve">月</w:t>
      </w:r>
      <w:r/>
    </w:p>
    <w:p>
      <w:pPr>
        <w:pStyle w:val="634"/>
        <w:ind w:firstLine="2249"/>
        <w:spacing w:before="120" w:beforeAutospacing="0" w:after="120" w:afterAutospacing="0" w:line="360" w:lineRule="auto"/>
      </w:pPr>
      <w:r>
        <w:rPr>
          <w:rFonts w:ascii="Arial" w:hAnsi="Arial" w:cs="Arial"/>
        </w:rPr>
        <w:t xml:space="preserve">                        </w:t>
      </w:r>
      <w:r/>
    </w:p>
    <w:p>
      <w:pPr>
        <w:pStyle w:val="634"/>
        <w:ind w:firstLine="2249"/>
        <w:spacing w:before="120" w:beforeAutospacing="0" w:after="120" w:afterAutospacing="0" w:line="360" w:lineRule="auto"/>
      </w:pPr>
      <w:r>
        <w:t xml:space="preserve"> </w:t>
      </w:r>
      <w:r/>
    </w:p>
    <w:p>
      <w:pPr>
        <w:pStyle w:val="634"/>
        <w:ind w:firstLine="1476"/>
        <w:spacing w:beforeAutospacing="0" w:afterAutospacing="0" w:line="480" w:lineRule="auto"/>
        <w:rPr>
          <w:rFonts w:ascii="Times New Roman" w:hAnsi="Times New Roman"/>
          <w:sz w:val="21"/>
          <w:szCs w:val="21"/>
        </w:rPr>
      </w:pPr>
      <w:r>
        <w:rPr>
          <w:rFonts w:ascii="Times New Roman" w:hAnsi="Times New Roman"/>
          <w:sz w:val="21"/>
          <w:szCs w:val="21"/>
        </w:rPr>
        <w:br w:type="page" w:clear="all"/>
      </w:r>
      <w:r>
        <w:rPr>
          <w:rFonts w:ascii="Times New Roman" w:hAnsi="Times New Roman"/>
          <w:sz w:val="21"/>
          <w:szCs w:val="21"/>
        </w:rPr>
        <w:t xml:space="preserve"> </w:t>
      </w:r>
      <w:bookmarkStart w:id="0" w:name="_Toc20823272"/>
      <w:r/>
      <w:bookmarkStart w:id="1" w:name="_Toc479757206"/>
      <w:r/>
      <w:bookmarkStart w:id="2" w:name="_Toc120614210"/>
      <w:r/>
      <w:bookmarkStart w:id="3" w:name="_Toc16938516"/>
      <w:r/>
      <w:bookmarkStart w:id="4" w:name="_Toc523127445"/>
      <w:r/>
      <w:bookmarkStart w:id="5" w:name="_Toc513029200"/>
      <w:r>
        <w:rPr>
          <w:rFonts w:ascii="Times New Roman" w:hAnsi="Times New Roman"/>
          <w:sz w:val="21"/>
          <w:szCs w:val="21"/>
        </w:rPr>
        <w:t xml:space="preserve"> </w:t>
      </w:r>
      <w:r>
        <w:rPr>
          <w:rFonts w:hint="eastAsia" w:ascii="Times New Roman" w:hAnsi="Times New Roman"/>
          <w:sz w:val="21"/>
          <w:szCs w:val="21"/>
        </w:rPr>
        <w:t xml:space="preserve">    </w:t>
      </w:r>
      <w:r/>
    </w:p>
    <w:p>
      <w:pPr>
        <w:pStyle w:val="634"/>
        <w:ind w:firstLine="3092"/>
        <w:spacing w:beforeAutospacing="0" w:afterAutospacing="0" w:line="480" w:lineRule="auto"/>
      </w:pPr>
      <w:r>
        <w:rPr>
          <w:rFonts w:ascii="黑体" w:hAnsi="宋体" w:eastAsia="黑体" w:cs="黑体"/>
          <w:b/>
          <w:sz w:val="44"/>
          <w:szCs w:val="44"/>
        </w:rPr>
        <w:t xml:space="preserve">总  目  录</w:t>
      </w:r>
      <w:bookmarkEnd w:id="0"/>
      <w:r/>
      <w:bookmarkEnd w:id="1"/>
      <w:r/>
      <w:bookmarkEnd w:id="2"/>
      <w:r/>
      <w:bookmarkEnd w:id="3"/>
      <w:r/>
      <w:bookmarkEnd w:id="4"/>
      <w:r/>
      <w:bookmarkEnd w:id="5"/>
      <w:r/>
      <w:r/>
    </w:p>
    <w:p>
      <w:pPr>
        <w:pStyle w:val="634"/>
        <w:ind w:firstLine="2249"/>
        <w:spacing w:beforeAutospacing="0" w:afterAutospacing="0" w:line="480" w:lineRule="auto"/>
      </w:pPr>
      <w:r>
        <w:t xml:space="preserve"> </w:t>
      </w:r>
      <w:r/>
    </w:p>
    <w:p>
      <w:pPr>
        <w:pStyle w:val="634"/>
        <w:ind w:firstLine="720"/>
        <w:spacing w:beforeAutospacing="0" w:afterAutospacing="0" w:line="720" w:lineRule="auto"/>
        <w:tabs>
          <w:tab w:val="left" w:pos="1441" w:leader="none"/>
        </w:tabs>
      </w:pPr>
      <w:r>
        <w:rPr>
          <w:rFonts w:hint="eastAsia" w:ascii="黑体" w:hAnsi="宋体" w:eastAsia="黑体" w:cs="黑体"/>
          <w:sz w:val="36"/>
          <w:szCs w:val="36"/>
        </w:rPr>
        <w:t xml:space="preserve">招标公告……………………………………3 </w:t>
      </w:r>
      <w:r/>
    </w:p>
    <w:p>
      <w:pPr>
        <w:pStyle w:val="634"/>
        <w:ind w:firstLine="720"/>
        <w:spacing w:beforeAutospacing="0" w:afterAutospacing="0" w:line="720" w:lineRule="auto"/>
        <w:tabs>
          <w:tab w:val="left" w:pos="1441" w:leader="none"/>
        </w:tabs>
      </w:pPr>
      <w:r>
        <w:rPr>
          <w:rFonts w:hint="eastAsia" w:ascii="黑体" w:hAnsi="宋体" w:eastAsia="黑体" w:cs="黑体"/>
          <w:sz w:val="36"/>
          <w:szCs w:val="36"/>
        </w:rPr>
        <w:t xml:space="preserve">投标人须知…………………………………7 </w:t>
      </w:r>
      <w:r/>
    </w:p>
    <w:p>
      <w:pPr>
        <w:pStyle w:val="634"/>
        <w:ind w:firstLine="720"/>
        <w:spacing w:beforeAutospacing="0" w:afterAutospacing="0" w:line="720" w:lineRule="auto"/>
        <w:tabs>
          <w:tab w:val="left" w:pos="1441" w:leader="none"/>
        </w:tabs>
      </w:pPr>
      <w:r>
        <w:rPr>
          <w:rFonts w:hint="eastAsia" w:ascii="黑体" w:hAnsi="宋体" w:eastAsia="黑体" w:cs="黑体"/>
          <w:sz w:val="36"/>
          <w:szCs w:val="36"/>
        </w:rPr>
        <w:t xml:space="preserve">合同文本……………………………………22</w:t>
      </w:r>
      <w:r/>
    </w:p>
    <w:p>
      <w:pPr>
        <w:pStyle w:val="634"/>
        <w:ind w:firstLine="720"/>
        <w:spacing w:beforeAutospacing="0" w:afterAutospacing="0" w:line="720" w:lineRule="auto"/>
        <w:tabs>
          <w:tab w:val="left" w:pos="1441" w:leader="none"/>
        </w:tabs>
      </w:pPr>
      <w:r>
        <w:rPr>
          <w:rFonts w:hint="eastAsia" w:ascii="黑体" w:hAnsi="宋体" w:eastAsia="黑体" w:cs="黑体"/>
          <w:sz w:val="36"/>
          <w:szCs w:val="36"/>
        </w:rPr>
        <w:t xml:space="preserve">采购需求……………………………………27</w:t>
      </w:r>
      <w:r/>
    </w:p>
    <w:p>
      <w:pPr>
        <w:pStyle w:val="634"/>
        <w:ind w:firstLine="720"/>
        <w:spacing w:beforeAutospacing="0" w:afterAutospacing="0" w:line="720" w:lineRule="auto"/>
        <w:tabs>
          <w:tab w:val="left" w:pos="1441" w:leader="none"/>
        </w:tabs>
      </w:pPr>
      <w:r>
        <w:rPr>
          <w:rFonts w:hint="eastAsia" w:ascii="黑体" w:hAnsi="宋体" w:eastAsia="黑体" w:cs="黑体"/>
          <w:sz w:val="36"/>
          <w:szCs w:val="36"/>
        </w:rPr>
        <w:t xml:space="preserve">评标方法与评标标准………………………29</w:t>
      </w:r>
      <w:r/>
    </w:p>
    <w:p>
      <w:pPr>
        <w:pStyle w:val="634"/>
        <w:ind w:firstLine="720"/>
        <w:spacing w:beforeAutospacing="0" w:afterAutospacing="0" w:line="720" w:lineRule="auto"/>
        <w:tabs>
          <w:tab w:val="left" w:pos="1441" w:leader="none"/>
        </w:tabs>
      </w:pPr>
      <w:r>
        <w:rPr>
          <w:rFonts w:hint="eastAsia" w:ascii="黑体" w:hAnsi="宋体" w:eastAsia="黑体" w:cs="黑体"/>
          <w:sz w:val="36"/>
          <w:szCs w:val="36"/>
        </w:rPr>
        <w:t xml:space="preserve">投标文件格式………………………………34</w:t>
      </w:r>
      <w:r/>
    </w:p>
    <w:p>
      <w:pPr>
        <w:pStyle w:val="634"/>
        <w:ind w:firstLine="2249"/>
        <w:spacing w:beforeAutospacing="0" w:afterAutospacing="0"/>
      </w:pPr>
      <w:r>
        <w:t xml:space="preserve"> </w:t>
      </w:r>
      <w:r/>
    </w:p>
    <w:p>
      <w:pPr>
        <w:pStyle w:val="634"/>
        <w:ind w:firstLine="2249"/>
        <w:spacing w:beforeAutospacing="0" w:afterAutospacing="0"/>
      </w:pPr>
      <w:r>
        <w:t xml:space="preserve"> </w:t>
      </w:r>
      <w:r/>
    </w:p>
    <w:p>
      <w:pPr>
        <w:pStyle w:val="634"/>
        <w:ind w:firstLine="2249"/>
        <w:spacing w:beforeAutospacing="0" w:afterAutospacing="0"/>
      </w:pPr>
      <w:r>
        <w:t xml:space="preserve"> </w:t>
      </w:r>
      <w:r/>
    </w:p>
    <w:p>
      <w:pPr>
        <w:pStyle w:val="634"/>
        <w:ind w:firstLine="2249"/>
        <w:spacing w:beforeAutospacing="0" w:afterAutospacing="0"/>
      </w:pPr>
      <w:r>
        <w:t xml:space="preserve"> </w:t>
      </w:r>
      <w:r/>
    </w:p>
    <w:p>
      <w:pPr>
        <w:pStyle w:val="634"/>
        <w:ind w:firstLine="2249"/>
        <w:spacing w:beforeAutospacing="0" w:afterAutospacing="0"/>
      </w:pPr>
      <w:r>
        <w:t xml:space="preserve"> </w:t>
      </w:r>
      <w:r/>
    </w:p>
    <w:p>
      <w:pPr>
        <w:pStyle w:val="634"/>
        <w:ind w:firstLine="2249"/>
        <w:spacing w:beforeAutospacing="0" w:afterAutospacing="0"/>
      </w:pPr>
      <w:r>
        <w:t xml:space="preserve"> </w:t>
      </w:r>
      <w:r/>
    </w:p>
    <w:p>
      <w:pPr>
        <w:pStyle w:val="634"/>
        <w:ind w:firstLine="2249"/>
        <w:spacing w:beforeAutospacing="0" w:afterAutospacing="0"/>
      </w:pPr>
      <w:r>
        <w:t xml:space="preserve"> </w:t>
      </w:r>
      <w:r/>
    </w:p>
    <w:p>
      <w:pPr>
        <w:pStyle w:val="634"/>
        <w:ind w:firstLine="2249"/>
        <w:spacing w:beforeAutospacing="0" w:afterAutospacing="0"/>
      </w:pPr>
      <w:r>
        <w:t xml:space="preserve"> </w:t>
      </w:r>
      <w:r/>
    </w:p>
    <w:p>
      <w:pPr>
        <w:pStyle w:val="634"/>
        <w:ind w:firstLine="2249"/>
        <w:spacing w:beforeAutospacing="0" w:afterAutospacing="0"/>
      </w:pPr>
      <w:r>
        <w:t xml:space="preserve"> </w:t>
      </w:r>
      <w:r/>
    </w:p>
    <w:p>
      <w:pPr>
        <w:pStyle w:val="634"/>
        <w:ind w:firstLine="2249"/>
        <w:spacing w:beforeAutospacing="0" w:afterAutospacing="0"/>
      </w:pPr>
      <w:r>
        <w:t xml:space="preserve"> </w:t>
      </w:r>
      <w:r/>
    </w:p>
    <w:p>
      <w:pPr>
        <w:pStyle w:val="634"/>
        <w:ind w:firstLine="2249"/>
        <w:spacing w:beforeAutospacing="0" w:afterAutospacing="0"/>
      </w:pPr>
      <w:r>
        <w:t xml:space="preserve"> </w:t>
      </w:r>
      <w:r/>
    </w:p>
    <w:p>
      <w:pPr>
        <w:pStyle w:val="634"/>
        <w:ind w:firstLine="2249"/>
        <w:spacing w:beforeAutospacing="0" w:afterAutospacing="0"/>
      </w:pPr>
      <w:r>
        <w:t xml:space="preserve"> </w:t>
      </w:r>
      <w:r/>
      <w:r>
        <w:t xml:space="preserve"> </w:t>
      </w:r>
      <w:r/>
      <w:r/>
      <w:r>
        <w:t xml:space="preserve"> </w:t>
      </w:r>
      <w:r>
        <w:rPr>
          <w:rFonts w:hint="eastAsia"/>
        </w:rPr>
        <w:t xml:space="preserve">   </w:t>
      </w:r>
      <w:r>
        <w:rPr>
          <w:rFonts w:hint="eastAsia" w:ascii="黑体" w:hAnsi="宋体" w:eastAsia="黑体" w:cs="黑体"/>
          <w:sz w:val="44"/>
          <w:szCs w:val="44"/>
        </w:rPr>
        <w:t xml:space="preserve">第一章 招标公告</w:t>
      </w:r>
      <w:r/>
      <w:r/>
    </w:p>
    <w:p>
      <w:pPr>
        <w:pStyle w:val="634"/>
        <w:spacing w:beforeAutospacing="0" w:afterAutospacing="0" w:line="460" w:lineRule="exact"/>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rPr>
        <w:t xml:space="preserve">项目概况</w:t>
      </w:r>
      <w:r/>
    </w:p>
    <w:p>
      <w:pPr>
        <w:pStyle w:val="634"/>
        <w:ind w:firstLine="480"/>
        <w:spacing w:beforeAutospacing="0" w:afterAutospacing="0" w:line="460" w:lineRule="exact"/>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u w:val="single"/>
        </w:rPr>
        <w:t xml:space="preserve">沿海工业园环保管家综合服务项目</w:t>
      </w:r>
      <w:r>
        <w:rPr>
          <w:rFonts w:hint="eastAsia" w:ascii="宋体" w:hAnsi="宋体" w:eastAsia="宋体" w:cs="宋体"/>
        </w:rPr>
        <w:t xml:space="preserve">的潜在投标人可在</w:t>
      </w:r>
      <w:r>
        <w:rPr>
          <w:rFonts w:hint="eastAsia" w:ascii="宋体" w:hAnsi="宋体" w:eastAsia="宋体" w:cs="宋体"/>
          <w:shd w:val="clear" w:color="auto" w:fill="ffffff"/>
        </w:rPr>
        <w:t xml:space="preserve">“苏采云”系统内免费下载（投标人必须在苏采云系统中获取采购文件，方能参与政府采购项目）</w:t>
      </w:r>
      <w:r>
        <w:rPr>
          <w:rFonts w:hint="eastAsia" w:ascii="宋体" w:hAnsi="宋体" w:eastAsia="宋体" w:cs="宋体"/>
        </w:rPr>
        <w:t xml:space="preserve">，并于</w:t>
      </w:r>
      <w:r>
        <w:rPr>
          <w:rFonts w:hint="eastAsia" w:ascii="宋体" w:hAnsi="宋体" w:eastAsia="宋体" w:cs="宋体"/>
          <w:u w:val="single"/>
        </w:rPr>
        <w:t xml:space="preserve">2026年03 月</w:t>
      </w:r>
      <w:r>
        <w:rPr>
          <w:rFonts w:hint="eastAsia" w:ascii="宋体" w:hAnsi="宋体" w:eastAsia="宋体" w:cs="宋体"/>
          <w:u w:val="single"/>
          <w:lang w:val="en-US" w:eastAsia="zh-CN"/>
        </w:rPr>
        <w:t xml:space="preserve">19</w:t>
      </w:r>
      <w:r>
        <w:rPr>
          <w:rFonts w:hint="eastAsia" w:ascii="宋体" w:hAnsi="宋体" w:eastAsia="宋体" w:cs="宋体"/>
          <w:u w:val="single"/>
        </w:rPr>
        <w:t xml:space="preserve"> 日9点00分（</w:t>
      </w:r>
      <w:r>
        <w:rPr>
          <w:rFonts w:hint="eastAsia" w:ascii="宋体" w:hAnsi="宋体" w:eastAsia="宋体" w:cs="宋体"/>
        </w:rPr>
        <w:t xml:space="preserve">北京时间）前递交投标文件。</w:t>
      </w:r>
      <w:r/>
    </w:p>
    <w:p>
      <w:pPr>
        <w:pStyle w:val="634"/>
        <w:keepLines/>
        <w:keepNext/>
        <w:spacing w:beforeAutospacing="0" w:afterAutospacing="0" w:line="500" w:lineRule="exact"/>
        <w:rPr>
          <w:rFonts w:hint="eastAsia" w:ascii="宋体" w:hAnsi="宋体" w:eastAsia="宋体" w:cs="宋体"/>
        </w:rPr>
      </w:pPr>
      <w:r/>
      <w:bookmarkStart w:id="6" w:name="_Toc28359002"/>
      <w:r/>
      <w:bookmarkStart w:id="7" w:name="_Toc35393790"/>
      <w:r/>
      <w:bookmarkStart w:id="8" w:name="_Toc38985263"/>
      <w:r/>
      <w:bookmarkStart w:id="9" w:name="_Toc28359079"/>
      <w:r/>
      <w:bookmarkStart w:id="10" w:name="_Hlk24379207"/>
      <w:r/>
      <w:bookmarkStart w:id="11" w:name="_Toc35393621"/>
      <w:r>
        <w:rPr>
          <w:rFonts w:hint="eastAsia" w:ascii="宋体" w:hAnsi="宋体" w:eastAsia="宋体" w:cs="宋体"/>
          <w:b/>
        </w:rPr>
        <w:t xml:space="preserve">一、项目基本情况</w:t>
      </w:r>
      <w:bookmarkEnd w:id="6"/>
      <w:r/>
      <w:bookmarkEnd w:id="7"/>
      <w:r/>
      <w:bookmarkEnd w:id="8"/>
      <w:r/>
      <w:bookmarkEnd w:id="9"/>
      <w:r/>
      <w:bookmarkEnd w:id="10"/>
      <w:r/>
      <w:bookmarkEnd w:id="11"/>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1.项目编号：</w:t>
      </w:r>
      <w:r>
        <w:rPr>
          <w:rFonts w:ascii="宋体" w:hAnsi="宋体" w:eastAsia="宋体" w:cs="宋体"/>
        </w:rPr>
        <w:t xml:space="preserve">JSZC-320922-JNZX-G2026-0003</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2.项目名称：沿海工业园环保管家综合服务项目</w:t>
      </w:r>
      <w:r/>
    </w:p>
    <w:p>
      <w:pPr>
        <w:pStyle w:val="634"/>
        <w:ind w:firstLine="482"/>
        <w:spacing w:beforeAutospacing="0" w:afterAutospacing="0" w:line="500" w:lineRule="exact"/>
        <w:rPr>
          <w:rFonts w:hint="eastAsia" w:ascii="宋体" w:hAnsi="宋体" w:eastAsia="宋体" w:cs="宋体"/>
        </w:rPr>
      </w:pPr>
      <w:r>
        <w:rPr>
          <w:rFonts w:hint="eastAsia" w:ascii="宋体" w:hAnsi="宋体" w:eastAsia="宋体" w:cs="宋体"/>
          <w:shd w:val="clear" w:color="auto" w:fill="ffffff"/>
        </w:rPr>
        <w:t xml:space="preserve">3.采购方式：公开招标</w:t>
      </w:r>
      <w:r/>
    </w:p>
    <w:p>
      <w:pPr>
        <w:pStyle w:val="634"/>
        <w:ind w:firstLine="482"/>
        <w:spacing w:beforeAutospacing="0" w:afterAutospacing="0" w:line="500" w:lineRule="exact"/>
        <w:rPr>
          <w:rFonts w:hint="eastAsia" w:ascii="宋体" w:hAnsi="宋体" w:eastAsia="宋体" w:cs="宋体"/>
        </w:rPr>
      </w:pPr>
      <w:r>
        <w:rPr>
          <w:rFonts w:hint="eastAsia" w:ascii="宋体" w:hAnsi="宋体" w:eastAsia="宋体" w:cs="宋体"/>
        </w:rPr>
        <w:t xml:space="preserve">4.预算金额：项目预算350万元</w:t>
      </w:r>
      <w:r/>
    </w:p>
    <w:p>
      <w:pPr>
        <w:pStyle w:val="634"/>
        <w:ind w:firstLine="482"/>
        <w:spacing w:beforeAutospacing="0" w:afterAutospacing="0" w:line="500" w:lineRule="exact"/>
        <w:rPr>
          <w:rFonts w:hint="eastAsia" w:ascii="宋体" w:hAnsi="宋体" w:eastAsia="宋体" w:cs="宋体"/>
        </w:rPr>
      </w:pPr>
      <w:r>
        <w:rPr>
          <w:rFonts w:hint="eastAsia" w:ascii="宋体" w:hAnsi="宋体" w:eastAsia="宋体" w:cs="宋体"/>
        </w:rPr>
        <w:t xml:space="preserve">5.最高限价：350万元。</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6.采购需求：</w:t>
      </w:r>
      <w:r>
        <w:rPr>
          <w:rFonts w:ascii="Helvetica" w:hAnsi="Helvetica" w:cs="Helvetica"/>
          <w:shd w:val="clear" w:color="auto" w:fill="ffffff"/>
        </w:rPr>
        <w:t xml:space="preserve">为做好化工园区认定、长江经济带整改、生态环境保护督察和环保品牌创建等工作，提供专业技术服务，发现并解决日常环境管理中的难题，推进重大项目重点地块废气治理工作，确保沿海工业园区域环境质量。拟委托第三方专业机构，建立统筹多要素、多领域污染协同治理和管家服务，提升园区环境质量管理及污染防治水平，并定期开展环保专项培训、协助重大事项协调推进及重大项目攻关等。</w:t>
      </w:r>
      <w:r>
        <w:rPr>
          <w:rFonts w:hint="eastAsia" w:ascii="宋体" w:hAnsi="宋体" w:eastAsia="宋体" w:cs="宋体"/>
        </w:rPr>
        <w:t xml:space="preserve">（详细内容见本招标文件第四章）</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7.合同履行期限：二年。</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8.本项目不接受联合体参与招标。 </w:t>
      </w:r>
      <w:r/>
    </w:p>
    <w:p>
      <w:pPr>
        <w:pStyle w:val="634"/>
        <w:keepLines/>
        <w:keepNext/>
        <w:spacing w:beforeAutospacing="0" w:afterAutospacing="0" w:line="500" w:lineRule="exact"/>
        <w:rPr>
          <w:rFonts w:hint="eastAsia" w:ascii="宋体" w:hAnsi="宋体" w:eastAsia="宋体" w:cs="宋体"/>
        </w:rPr>
      </w:pPr>
      <w:r/>
      <w:bookmarkStart w:id="12" w:name="_Toc38985264"/>
      <w:r/>
      <w:bookmarkStart w:id="13" w:name="_Toc35393791"/>
      <w:r/>
      <w:bookmarkStart w:id="14" w:name="_Toc35393622"/>
      <w:r/>
      <w:bookmarkStart w:id="15" w:name="_Toc28359080"/>
      <w:r/>
      <w:bookmarkStart w:id="16" w:name="_Toc28359003"/>
      <w:r>
        <w:rPr>
          <w:rFonts w:hint="eastAsia" w:ascii="宋体" w:hAnsi="宋体" w:eastAsia="宋体" w:cs="宋体"/>
          <w:b/>
        </w:rPr>
        <w:t xml:space="preserve">二、申请人的资格要求：</w:t>
      </w:r>
      <w:bookmarkEnd w:id="12"/>
      <w:r/>
      <w:bookmarkEnd w:id="13"/>
      <w:r/>
      <w:bookmarkEnd w:id="14"/>
      <w:r/>
      <w:bookmarkEnd w:id="15"/>
      <w:r/>
      <w:bookmarkEnd w:id="16"/>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1.满足《中华人民共和国政府采购法》第二十二条规定，并提供下列材料：</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1.1 法人或者其他组织的营业执照等证明文件，自然人的身份证明；</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1.2上一年度的财务状况报告（成立不满一年无需提供）；</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1.3 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1.4具备履行合同所必需的设备和专业技术能力的书面声明；</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1.5参加政府采购活动前3年内在经营活动中没有重大违法记录的书面声明。</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1.6法律、行政法规规定的其他条件。</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1.8单位负责人为同一人或者存在直接控股、管理关系的不同供应商，不得参加同一合同项下的政府采购活动。</w:t>
      </w:r>
      <w:r/>
    </w:p>
    <w:p>
      <w:pPr>
        <w:pStyle w:val="634"/>
        <w:ind w:firstLine="480"/>
        <w:spacing w:beforeAutospacing="0" w:afterAutospacing="0" w:line="500" w:lineRule="exact"/>
        <w:rPr>
          <w:rFonts w:hint="eastAsia" w:ascii="宋体" w:hAnsi="宋体" w:eastAsia="宋体" w:cs="宋体"/>
          <w:u w:val="single"/>
        </w:rPr>
      </w:pPr>
      <w:r>
        <w:rPr>
          <w:rFonts w:hint="eastAsia" w:ascii="宋体" w:hAnsi="宋体" w:eastAsia="宋体" w:cs="宋体"/>
        </w:rPr>
        <w:t xml:space="preserve">2.落实政府采购政策需满足的资格要求：(是否)专门面向中小企业采购:</w:t>
      </w:r>
      <w:r>
        <w:rPr>
          <w:rFonts w:hint="eastAsia" w:ascii="宋体" w:hAnsi="宋体" w:eastAsia="宋体" w:cs="宋体"/>
          <w:u w:val="single"/>
        </w:rPr>
        <w:t xml:space="preserve">否。</w:t>
      </w:r>
      <w:r/>
    </w:p>
    <w:p>
      <w:pPr>
        <w:pStyle w:val="634"/>
        <w:ind w:firstLine="480"/>
        <w:spacing w:beforeAutospacing="0" w:afterAutospacing="0" w:line="500" w:lineRule="exact"/>
        <w:shd w:val="clear" w:color="auto" w:fill="ffffff"/>
        <w:widowControl/>
        <w:rPr>
          <w:rFonts w:hint="eastAsia" w:ascii="宋体" w:hAnsi="宋体" w:eastAsia="宋体" w:cs="宋体"/>
        </w:rPr>
      </w:pPr>
      <w:r>
        <w:rPr>
          <w:rFonts w:hint="eastAsia" w:ascii="宋体" w:hAnsi="宋体" w:eastAsia="宋体" w:cs="宋体"/>
        </w:rPr>
        <w:t xml:space="preserve">3.本项目的特定资格要求：</w:t>
      </w:r>
      <w:r/>
    </w:p>
    <w:p>
      <w:pPr>
        <w:pStyle w:val="634"/>
        <w:ind w:firstLine="480"/>
        <w:spacing w:beforeAutospacing="0" w:afterAutospacing="0" w:line="500" w:lineRule="exact"/>
        <w:shd w:val="clear" w:color="auto" w:fill="ffffff"/>
        <w:widowControl/>
        <w:rPr>
          <w:rFonts w:hint="eastAsia" w:ascii="宋体" w:hAnsi="宋体" w:eastAsia="宋体" w:cs="宋体"/>
        </w:rPr>
      </w:pPr>
      <w:r>
        <w:rPr>
          <w:rFonts w:hint="eastAsia" w:ascii="宋体" w:hAnsi="宋体" w:eastAsia="宋体" w:cs="宋体"/>
        </w:rPr>
        <w:t xml:space="preserve">3.1本项目不接受联合体投标。</w:t>
      </w:r>
      <w:r/>
    </w:p>
    <w:p>
      <w:pPr>
        <w:pStyle w:val="634"/>
        <w:keepLines/>
        <w:keepNext/>
        <w:spacing w:beforeAutospacing="0" w:afterAutospacing="0" w:line="500" w:lineRule="exact"/>
        <w:rPr>
          <w:rFonts w:hint="eastAsia" w:ascii="宋体" w:hAnsi="宋体" w:eastAsia="宋体" w:cs="宋体"/>
        </w:rPr>
      </w:pPr>
      <w:r>
        <w:rPr>
          <w:rFonts w:hint="eastAsia" w:ascii="宋体" w:hAnsi="宋体" w:eastAsia="宋体" w:cs="宋体"/>
          <w:b/>
        </w:rPr>
        <w:t xml:space="preserve">三、获取招标文件</w:t>
      </w:r>
      <w:r/>
    </w:p>
    <w:p>
      <w:pPr>
        <w:ind w:firstLine="480"/>
        <w:jc w:val="left"/>
        <w:spacing w:line="500" w:lineRule="exact"/>
        <w:widowControl/>
        <w:rPr>
          <w:rFonts w:hint="eastAsia" w:ascii="宋体" w:hAnsi="宋体" w:eastAsia="宋体" w:cs="宋体"/>
          <w:sz w:val="24"/>
        </w:rPr>
      </w:pPr>
      <w:r/>
      <w:bookmarkStart w:id="17" w:name="_Toc35393624"/>
      <w:r/>
      <w:bookmarkStart w:id="18" w:name="_Toc28359082"/>
      <w:r/>
      <w:bookmarkStart w:id="19" w:name="_Toc35393793"/>
      <w:r/>
      <w:bookmarkStart w:id="20" w:name="_Toc38985266"/>
      <w:r/>
      <w:bookmarkStart w:id="21" w:name="_Toc28359005"/>
      <w:r>
        <w:rPr>
          <w:rFonts w:hint="eastAsia" w:ascii="宋体" w:hAnsi="宋体" w:eastAsia="宋体" w:cs="宋体"/>
          <w:sz w:val="24"/>
        </w:rPr>
        <w:t xml:space="preserve">1.时间</w:t>
      </w:r>
      <w:r>
        <w:rPr>
          <w:rFonts w:hint="eastAsia" w:ascii="宋体" w:hAnsi="宋体" w:eastAsia="宋体" w:cs="宋体"/>
          <w:sz w:val="24"/>
        </w:rPr>
        <w:t xml:space="preserve">：</w:t>
      </w:r>
      <w:bookmarkEnd w:id="17"/>
      <w:r/>
      <w:bookmarkEnd w:id="18"/>
      <w:r/>
      <w:bookmarkEnd w:id="19"/>
      <w:r/>
      <w:bookmarkEnd w:id="20"/>
      <w:r/>
      <w:bookmarkEnd w:id="21"/>
      <w:r>
        <w:rPr>
          <w:rFonts w:hint="eastAsia" w:ascii="宋体" w:hAnsi="宋体" w:eastAsia="宋体" w:cs="宋体"/>
          <w:sz w:val="24"/>
        </w:rPr>
        <w:t xml:space="preserve">自招标文件公告发布之日起5个工作日。</w:t>
      </w:r>
      <w:r/>
    </w:p>
    <w:p>
      <w:pPr>
        <w:ind w:firstLine="480"/>
        <w:jc w:val="left"/>
        <w:spacing w:line="500" w:lineRule="exact"/>
        <w:widowControl/>
        <w:rPr>
          <w:rFonts w:hint="eastAsia" w:ascii="宋体" w:hAnsi="宋体" w:eastAsia="宋体" w:cs="宋体"/>
          <w:sz w:val="24"/>
        </w:rPr>
      </w:pPr>
      <w:r>
        <w:rPr>
          <w:rFonts w:hint="eastAsia" w:ascii="宋体" w:hAnsi="宋体" w:eastAsia="宋体" w:cs="宋体"/>
          <w:sz w:val="24"/>
        </w:rPr>
        <w:t xml:space="preserve">2.地点：“苏采云”系统内免费下载（投标人必须在苏采云系统中获取采购文件，方能参与政府采购项目）；</w:t>
      </w:r>
      <w:r/>
    </w:p>
    <w:p>
      <w:pPr>
        <w:ind w:firstLine="480"/>
        <w:jc w:val="left"/>
        <w:spacing w:line="500" w:lineRule="exact"/>
        <w:widowControl/>
        <w:rPr>
          <w:rFonts w:hint="eastAsia" w:ascii="宋体" w:hAnsi="宋体" w:eastAsia="宋体" w:cs="宋体"/>
          <w:sz w:val="24"/>
        </w:rPr>
      </w:pPr>
      <w:r>
        <w:rPr>
          <w:rFonts w:hint="eastAsia" w:ascii="宋体" w:hAnsi="宋体" w:eastAsia="宋体" w:cs="宋体"/>
          <w:sz w:val="24"/>
        </w:rPr>
        <w:t xml:space="preserve">3.方式：本项目采用网上注册登记方式。 </w:t>
      </w:r>
      <w:r/>
    </w:p>
    <w:p>
      <w:pPr>
        <w:ind w:firstLine="480"/>
        <w:jc w:val="left"/>
        <w:spacing w:line="500" w:lineRule="exact"/>
        <w:widowControl/>
        <w:rPr>
          <w:rFonts w:hint="eastAsia" w:ascii="宋体" w:hAnsi="宋体" w:eastAsia="宋体" w:cs="宋体"/>
          <w:sz w:val="24"/>
        </w:rPr>
      </w:pPr>
      <w:r>
        <w:rPr>
          <w:rFonts w:hint="eastAsia" w:ascii="宋体" w:hAnsi="宋体" w:eastAsia="宋体" w:cs="宋体"/>
          <w:sz w:val="24"/>
        </w:rPr>
        <w:t xml:space="preserve">4.售价：0元</w:t>
      </w:r>
      <w:r/>
    </w:p>
    <w:p>
      <w:pPr>
        <w:pStyle w:val="634"/>
        <w:keepLines/>
        <w:keepNext/>
        <w:spacing w:beforeAutospacing="0" w:afterAutospacing="0" w:line="500" w:lineRule="exact"/>
        <w:rPr>
          <w:rFonts w:hint="eastAsia" w:ascii="宋体" w:hAnsi="宋体" w:eastAsia="宋体" w:cs="宋体"/>
        </w:rPr>
      </w:pPr>
      <w:r>
        <w:rPr>
          <w:rFonts w:hint="eastAsia" w:ascii="宋体" w:hAnsi="宋体" w:eastAsia="宋体" w:cs="宋体"/>
          <w:b/>
        </w:rPr>
        <w:t xml:space="preserve">四、提交投标文件截止时间、开标时间和地点</w:t>
      </w:r>
      <w:r/>
    </w:p>
    <w:p>
      <w:pPr>
        <w:ind w:firstLine="480"/>
        <w:jc w:val="left"/>
        <w:spacing w:line="500" w:lineRule="exact"/>
        <w:widowControl/>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时间：2026年3月</w:t>
      </w:r>
      <w:r>
        <w:rPr>
          <w:rFonts w:hint="eastAsia" w:ascii="宋体" w:hAnsi="宋体" w:eastAsia="宋体" w:cs="宋体"/>
          <w:sz w:val="24"/>
          <w:lang w:val="en-US" w:eastAsia="zh-CN"/>
        </w:rPr>
        <w:t xml:space="preserve">19</w:t>
      </w:r>
      <w:r>
        <w:rPr>
          <w:rFonts w:hint="eastAsia" w:ascii="宋体" w:hAnsi="宋体" w:eastAsia="宋体" w:cs="宋体"/>
          <w:sz w:val="24"/>
        </w:rPr>
        <w:t xml:space="preserve">日9：00时（北京时间）</w:t>
      </w:r>
      <w:r/>
    </w:p>
    <w:p>
      <w:pPr>
        <w:ind w:firstLine="480"/>
        <w:jc w:val="left"/>
        <w:spacing w:line="500" w:lineRule="exact"/>
        <w:widowControl/>
        <w:rPr>
          <w:rFonts w:hint="eastAsia" w:ascii="宋体" w:hAnsi="宋体" w:eastAsia="宋体" w:cs="宋体"/>
          <w:sz w:val="24"/>
        </w:rPr>
      </w:pPr>
      <w:r>
        <w:rPr>
          <w:rFonts w:hint="eastAsia" w:ascii="宋体" w:hAnsi="宋体" w:eastAsia="宋体" w:cs="宋体"/>
          <w:sz w:val="24"/>
        </w:rPr>
        <w:t xml:space="preserve">2.地点：苏采云“不见面”开标大厅 。</w:t>
      </w:r>
      <w:r/>
    </w:p>
    <w:p>
      <w:pPr>
        <w:pStyle w:val="634"/>
        <w:keepLines/>
        <w:keepNext/>
        <w:spacing w:beforeAutospacing="0" w:afterAutospacing="0" w:line="500" w:lineRule="exact"/>
        <w:rPr>
          <w:rFonts w:hint="eastAsia" w:ascii="宋体" w:hAnsi="宋体" w:eastAsia="宋体" w:cs="宋体"/>
        </w:rPr>
      </w:pPr>
      <w:r/>
      <w:bookmarkStart w:id="22" w:name="_Toc28359007"/>
      <w:r/>
      <w:bookmarkStart w:id="23" w:name="_Toc38985267"/>
      <w:r/>
      <w:bookmarkStart w:id="24" w:name="_Toc35393794"/>
      <w:r/>
      <w:bookmarkStart w:id="25" w:name="_Toc35393625"/>
      <w:r/>
      <w:bookmarkStart w:id="26" w:name="_Toc28359084"/>
      <w:r>
        <w:rPr>
          <w:rFonts w:hint="eastAsia" w:ascii="宋体" w:hAnsi="宋体" w:eastAsia="宋体" w:cs="宋体"/>
          <w:b/>
        </w:rPr>
        <w:t xml:space="preserve">五、公告期限</w:t>
      </w:r>
      <w:bookmarkEnd w:id="22"/>
      <w:r/>
      <w:bookmarkEnd w:id="23"/>
      <w:r/>
      <w:bookmarkEnd w:id="24"/>
      <w:r/>
      <w:bookmarkEnd w:id="25"/>
      <w:r/>
      <w:bookmarkEnd w:id="26"/>
      <w:r/>
      <w:r/>
    </w:p>
    <w:p>
      <w:pPr>
        <w:pStyle w:val="634"/>
        <w:ind w:firstLine="480"/>
        <w:spacing w:beforeAutospacing="0" w:afterAutospacing="0" w:line="500" w:lineRule="exact"/>
        <w:shd w:val="clear" w:color="auto" w:fill="ffffff"/>
        <w:widowControl/>
        <w:rPr>
          <w:rFonts w:hint="eastAsia" w:ascii="宋体" w:hAnsi="宋体" w:eastAsia="宋体" w:cs="宋体"/>
          <w:shd w:val="clear" w:color="auto" w:fill="ffffff"/>
        </w:rPr>
      </w:pPr>
      <w:r/>
      <w:bookmarkStart w:id="27" w:name="_Toc38985268"/>
      <w:r/>
      <w:bookmarkStart w:id="28" w:name="_Toc35393795"/>
      <w:r/>
      <w:bookmarkStart w:id="29" w:name="_Toc35393626"/>
      <w:r>
        <w:rPr>
          <w:rFonts w:hint="eastAsia" w:ascii="宋体" w:hAnsi="宋体" w:eastAsia="宋体" w:cs="宋体"/>
          <w:shd w:val="clear" w:color="auto" w:fill="ffffff"/>
        </w:rPr>
        <w:t xml:space="preserve">自本公告发布之日起5个工作日。</w:t>
      </w:r>
      <w:bookmarkEnd w:id="27"/>
      <w:r/>
      <w:bookmarkEnd w:id="28"/>
      <w:r/>
      <w:bookmarkEnd w:id="29"/>
      <w:r/>
      <w:r/>
    </w:p>
    <w:p>
      <w:pPr>
        <w:pStyle w:val="634"/>
        <w:keepLines/>
        <w:keepNext/>
        <w:spacing w:beforeAutospacing="0" w:afterAutospacing="0" w:line="500" w:lineRule="exact"/>
        <w:rPr>
          <w:rFonts w:hint="eastAsia" w:ascii="宋体" w:hAnsi="宋体" w:eastAsia="宋体" w:cs="宋体"/>
        </w:rPr>
      </w:pPr>
      <w:r>
        <w:rPr>
          <w:rFonts w:hint="eastAsia" w:ascii="宋体" w:hAnsi="宋体" w:eastAsia="宋体" w:cs="宋体"/>
          <w:b/>
        </w:rPr>
        <w:t xml:space="preserve">六、其他补充事宜</w:t>
      </w:r>
      <w:r/>
    </w:p>
    <w:p>
      <w:pPr>
        <w:ind w:firstLine="480"/>
        <w:jc w:val="left"/>
        <w:spacing w:line="500" w:lineRule="exact"/>
        <w:shd w:val="clear" w:color="auto" w:fill="ffffff"/>
        <w:widowControl/>
        <w:rPr>
          <w:rFonts w:hint="eastAsia" w:ascii="宋体" w:hAnsi="宋体" w:eastAsia="宋体" w:cs="宋体"/>
          <w:sz w:val="24"/>
        </w:rPr>
      </w:pPr>
      <w:r/>
      <w:bookmarkStart w:id="30" w:name="_Toc28359018"/>
      <w:r>
        <w:rPr>
          <w:rFonts w:hint="eastAsia" w:ascii="宋体" w:hAnsi="宋体" w:eastAsia="宋体" w:cs="宋体"/>
          <w:sz w:val="24"/>
        </w:rPr>
        <w:t xml:space="preserve">1、电子投标文件一份(通过系统提交)；纸质投标文件正本一份，副本四份（评审结束后由中标候选人邮寄至代理机构，未中标单位不需要提供）。</w:t>
      </w:r>
      <w:r/>
    </w:p>
    <w:p>
      <w:pPr>
        <w:pStyle w:val="634"/>
        <w:ind w:firstLine="480"/>
        <w:spacing w:beforeAutospacing="0" w:afterAutospacing="0" w:line="500" w:lineRule="exact"/>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34"/>
        <w:ind w:firstLine="480"/>
        <w:spacing w:beforeAutospacing="0" w:afterAutospacing="0" w:line="500" w:lineRule="exact"/>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spacing w:line="500" w:lineRule="exact"/>
        <w:widowControl/>
        <w:rPr>
          <w:rFonts w:hint="eastAsia" w:ascii="宋体" w:hAnsi="宋体" w:eastAsia="宋体" w:cs="宋体"/>
          <w:sz w:val="24"/>
        </w:rPr>
      </w:pPr>
      <w:r>
        <w:rPr>
          <w:rFonts w:hint="eastAsia" w:ascii="宋体" w:hAnsi="宋体" w:eastAsia="宋体" w:cs="宋体"/>
          <w:sz w:val="24"/>
        </w:rPr>
        <w:t xml:space="preserve">3. 潜在供应商访问电子招标响应交易平台的网络地址和方法： </w:t>
      </w:r>
      <w:r/>
    </w:p>
    <w:p>
      <w:pPr>
        <w:ind w:firstLine="480"/>
        <w:jc w:val="left"/>
        <w:spacing w:line="500" w:lineRule="exact"/>
        <w:widowControl/>
        <w:rPr>
          <w:rFonts w:hint="eastAsia" w:ascii="宋体" w:hAnsi="宋体" w:eastAsia="宋体" w:cs="宋体"/>
          <w:sz w:val="24"/>
        </w:rPr>
      </w:pPr>
      <w:r>
        <w:rPr>
          <w:rFonts w:hint="eastAsia" w:ascii="宋体" w:hAnsi="宋体" w:eastAsia="宋体" w:cs="宋体"/>
          <w:sz w:val="24"/>
        </w:rPr>
        <w:t xml:space="preserve">3.1“苏采云”系统用户注册--获取“CA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spacing w:line="500" w:lineRule="exact"/>
        <w:widowControl/>
        <w:rPr>
          <w:rFonts w:hint="eastAsia" w:ascii="宋体" w:hAnsi="宋体" w:eastAsia="宋体" w:cs="宋体"/>
          <w:sz w:val="24"/>
        </w:rPr>
      </w:pPr>
      <w:r>
        <w:rPr>
          <w:rFonts w:hint="eastAsia" w:ascii="宋体" w:hAnsi="宋体" w:eastAsia="宋体" w:cs="宋体"/>
          <w:sz w:val="24"/>
        </w:rPr>
        <w:t xml:space="preserve">3.2 潜在投标人访问“苏采云”系统方法：江苏省政府采购网首页-“苏采云”链接。 </w:t>
      </w:r>
      <w:r/>
    </w:p>
    <w:p>
      <w:pPr>
        <w:ind w:firstLine="480"/>
        <w:jc w:val="left"/>
        <w:spacing w:line="500" w:lineRule="exact"/>
        <w:widowControl/>
        <w:rPr>
          <w:rFonts w:hint="eastAsia" w:ascii="宋体" w:hAnsi="宋体" w:eastAsia="宋体" w:cs="宋体"/>
          <w:sz w:val="24"/>
        </w:rPr>
      </w:pPr>
      <w:r>
        <w:rPr>
          <w:rFonts w:hint="eastAsia" w:ascii="宋体" w:hAnsi="宋体" w:eastAsia="宋体" w:cs="宋体"/>
          <w:sz w:val="24"/>
        </w:rPr>
        <w:t xml:space="preserve">3.3 采购文件（后缀名为“.kedt”）、供应商操作手册及政府采购客户端 工具可通过“苏采云”系统相应链接进行下载。 </w:t>
      </w:r>
      <w:r/>
    </w:p>
    <w:p>
      <w:pPr>
        <w:ind w:firstLine="480"/>
        <w:jc w:val="left"/>
        <w:spacing w:line="500" w:lineRule="exact"/>
        <w:widowControl/>
        <w:rPr>
          <w:rFonts w:hint="eastAsia" w:ascii="宋体" w:hAnsi="宋体" w:eastAsia="宋体" w:cs="宋体"/>
          <w:sz w:val="24"/>
        </w:rPr>
      </w:pPr>
      <w:r>
        <w:rPr>
          <w:rFonts w:hint="eastAsia" w:ascii="宋体" w:hAnsi="宋体" w:eastAsia="宋体" w:cs="宋体"/>
          <w:sz w:val="24"/>
        </w:rPr>
        <w:t xml:space="preserve">3.4 采购代理机构将数据电文形式的采购文件加载至“苏采云”系统，供潜在供应商下载或者查阅。 </w:t>
      </w:r>
      <w:r/>
    </w:p>
    <w:p>
      <w:pPr>
        <w:ind w:firstLine="480"/>
        <w:jc w:val="left"/>
        <w:spacing w:line="500" w:lineRule="exact"/>
        <w:widowControl/>
        <w:rPr>
          <w:rFonts w:hint="eastAsia" w:ascii="宋体" w:hAnsi="宋体" w:eastAsia="宋体" w:cs="宋体"/>
          <w:sz w:val="24"/>
        </w:rPr>
      </w:pPr>
      <w:r>
        <w:rPr>
          <w:rFonts w:hint="eastAsia" w:ascii="宋体" w:hAnsi="宋体" w:eastAsia="宋体" w:cs="宋体"/>
          <w:sz w:val="24"/>
        </w:rPr>
        <w:t xml:space="preserve">3.5 请潜在投标单位提前安装相应的控件（详见《“苏采云”系统供应商操作手册》）并使用谷歌浏览器登录“苏采云”系统参与不见面开评标。 </w:t>
      </w:r>
      <w:r/>
    </w:p>
    <w:p>
      <w:pPr>
        <w:ind w:firstLine="480"/>
        <w:jc w:val="left"/>
        <w:spacing w:line="500" w:lineRule="exact"/>
        <w:widowControl/>
        <w:rPr>
          <w:rFonts w:hint="eastAsia" w:ascii="宋体" w:hAnsi="宋体" w:eastAsia="宋体" w:cs="宋体"/>
          <w:sz w:val="24"/>
        </w:rPr>
      </w:pPr>
      <w:r>
        <w:rPr>
          <w:rFonts w:hint="eastAsia" w:ascii="宋体" w:hAnsi="宋体" w:eastAsia="宋体" w:cs="宋体"/>
          <w:sz w:val="24"/>
        </w:rPr>
        <w:t xml:space="preserve">如潜在投标人未按上述要求操作，将自行承担所产生的风险。</w:t>
      </w:r>
      <w:r/>
    </w:p>
    <w:p>
      <w:pPr>
        <w:ind w:firstLine="480"/>
        <w:jc w:val="left"/>
        <w:spacing w:line="500" w:lineRule="exact"/>
        <w:widowControl/>
        <w:rPr>
          <w:rFonts w:hint="eastAsia" w:ascii="宋体" w:hAnsi="宋体" w:eastAsia="宋体" w:cs="宋体"/>
          <w:sz w:val="24"/>
        </w:rPr>
      </w:pPr>
      <w:r>
        <w:rPr>
          <w:rFonts w:hint="eastAsia" w:ascii="宋体" w:hAnsi="宋体" w:eastAsia="宋体" w:cs="宋体"/>
          <w:sz w:val="24"/>
        </w:rPr>
        <w:t xml:space="preserve">4.有关本次招标的事项若存在变动或修改，敬请及时关注盐城市政府采购中心在“中国政府采购网”“江苏政府采购网”“盐城市政府采购网”发布的更正公告。</w:t>
      </w:r>
      <w:r/>
    </w:p>
    <w:p>
      <w:pPr>
        <w:pStyle w:val="634"/>
        <w:ind w:firstLine="480"/>
        <w:spacing w:beforeAutospacing="0" w:afterAutospacing="0" w:line="500" w:lineRule="exact"/>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5.本次招标不收取投标保证金，不收取质量保证金。</w:t>
      </w:r>
      <w:r/>
    </w:p>
    <w:p>
      <w:pPr>
        <w:ind w:firstLine="480"/>
        <w:jc w:val="left"/>
        <w:spacing w:line="500" w:lineRule="exact"/>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6. 付款方式：</w:t>
      </w:r>
      <w:r/>
    </w:p>
    <w:p>
      <w:pPr>
        <w:ind w:left="0" w:right="0" w:firstLine="48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w:t>
      </w:r>
      <w:r>
        <w:rPr>
          <w:rFonts w:ascii="SimSun" w:hAnsi="SimSun" w:eastAsia="SimSun" w:cs="SimSun"/>
          <w:color w:val="000000"/>
          <w:sz w:val="24"/>
          <w:highlight w:val="white"/>
        </w:rPr>
        <w:t xml:space="preserve">1）合同签订后，且收到发票后10个工作日内，甲方支付合同总金额的30%作为预付款（在签订合同时，乙方书面明确表示无需预付款或者主动要求降低预付款比例的，甲方可不适用前述规定。乙方须提供银行保函）</w:t>
      </w:r>
      <w:r>
        <w:rPr>
          <w:rFonts w:ascii="SimSun" w:hAnsi="SimSun" w:eastAsia="SimSun" w:cs="SimSun"/>
          <w:color w:val="000000"/>
          <w:sz w:val="24"/>
          <w:highlight w:val="white"/>
        </w:rPr>
        <w:t xml:space="preserve">；（</w:t>
      </w:r>
      <w:r>
        <w:rPr>
          <w:rFonts w:ascii="SimSun" w:hAnsi="SimSun" w:eastAsia="SimSun" w:cs="SimSun"/>
          <w:color w:val="000000"/>
          <w:sz w:val="24"/>
          <w:highlight w:val="white"/>
        </w:rPr>
        <w:t xml:space="preserve">2）签订合同后( 即开展服务后 )6个月，提交阶段服务总结报告后，甲方再向乙方支付合同总额15%</w:t>
      </w:r>
      <w:r>
        <w:rPr>
          <w:rFonts w:ascii="SimSun" w:hAnsi="SimSun" w:eastAsia="SimSun" w:cs="SimSun"/>
          <w:color w:val="000000"/>
          <w:sz w:val="24"/>
          <w:highlight w:val="white"/>
        </w:rPr>
        <w:t xml:space="preserve">；</w:t>
      </w:r>
      <w:r>
        <w:rPr>
          <w:rFonts w:ascii="SimSun" w:hAnsi="SimSun" w:eastAsia="SimSun" w:cs="SimSun"/>
          <w:color w:val="000000"/>
          <w:sz w:val="24"/>
          <w:highlight w:val="white"/>
        </w:rPr>
        <w:t xml:space="preserve">(3)签订合同后 (即开展服务后)12个月，提交阶段服务总结报告后，甲方向乙方支付至合同总额的 50%。(4)签订合同后 (即开展服务后 ) 18个月，提交阶段服务总结报告后，甲方向乙方支付至合同总额的 75%。（5）</w:t>
      </w:r>
      <w:r>
        <w:rPr>
          <w:rFonts w:ascii="SimSun" w:hAnsi="SimSun" w:eastAsia="SimSun" w:cs="SimSun"/>
          <w:color w:val="000000"/>
          <w:sz w:val="24"/>
          <w:highlight w:val="white"/>
        </w:rPr>
        <w:t xml:space="preserve">签订合同后 (即开展服务后 ) 24个月，乙方完成合同期限内约定的全部工作内容并经甲方考核验收通过后，甲方向乙方支付至合同总额的100%。采购人在收到税务发票后10个工作日内支付到合同约定的中标人银行账户。”</w:t>
      </w:r>
      <w:r/>
    </w:p>
    <w:p>
      <w:pPr>
        <w:pStyle w:val="626"/>
        <w:rPr>
          <w:rFonts w:hint="eastAsia"/>
          <w:b/>
          <w:bCs/>
        </w:rPr>
      </w:pPr>
      <w:r>
        <w:rPr>
          <w:rFonts w:hint="eastAsia"/>
        </w:rPr>
        <w:t xml:space="preserve">七、对本次招标提出询问，请按以下方式联系。</w:t>
      </w:r>
      <w:bookmarkEnd w:id="30"/>
      <w:r/>
      <w:bookmarkStart w:id="32" w:name="_Toc28359009"/>
      <w:r/>
      <w:r/>
    </w:p>
    <w:p>
      <w:pPr>
        <w:pStyle w:val="626"/>
        <w:rPr>
          <w:rFonts w:hint="eastAsia"/>
          <w:shd w:val="clear" w:color="auto" w:fill="auto"/>
        </w:rPr>
      </w:pPr>
      <w:r>
        <w:rPr>
          <w:rFonts w:hint="eastAsia"/>
        </w:rPr>
        <w:t xml:space="preserve">1.采购人信息</w:t>
      </w:r>
      <w:r/>
    </w:p>
    <w:p>
      <w:pPr>
        <w:ind w:left="1079" w:hanging="300"/>
        <w:jc w:val="left"/>
        <w:spacing w:line="500" w:lineRule="exact"/>
        <w:rPr>
          <w:rFonts w:hint="eastAsia" w:ascii="宋体" w:hAnsi="宋体" w:eastAsia="宋体" w:cs="宋体"/>
          <w:sz w:val="24"/>
        </w:rPr>
      </w:pPr>
      <w:r>
        <w:rPr>
          <w:rFonts w:hint="eastAsia" w:ascii="宋体" w:hAnsi="宋体" w:eastAsia="宋体" w:cs="宋体"/>
          <w:sz w:val="24"/>
        </w:rPr>
        <w:t xml:space="preserve">名    称：</w:t>
      </w:r>
      <w:r>
        <w:rPr>
          <w:rFonts w:hint="eastAsia" w:ascii="宋体" w:hAnsi="宋体" w:eastAsia="宋体" w:cs="宋体"/>
          <w:sz w:val="24"/>
          <w:u w:val="single"/>
        </w:rPr>
        <w:t xml:space="preserve">江苏滨海经济开发区沿海工业园管理委员会</w:t>
      </w:r>
      <w:r/>
    </w:p>
    <w:p>
      <w:pPr>
        <w:ind w:left="1079" w:hanging="300"/>
        <w:jc w:val="left"/>
        <w:spacing w:line="500" w:lineRule="exact"/>
        <w:rPr>
          <w:rFonts w:hint="eastAsia" w:ascii="宋体" w:hAnsi="宋体" w:eastAsia="宋体" w:cs="宋体"/>
          <w:sz w:val="24"/>
          <w:u w:val="single"/>
        </w:rPr>
      </w:pPr>
      <w:r>
        <w:rPr>
          <w:rFonts w:hint="eastAsia" w:ascii="宋体" w:hAnsi="宋体" w:eastAsia="宋体" w:cs="宋体"/>
          <w:sz w:val="24"/>
        </w:rPr>
        <w:t xml:space="preserve">地    址：</w:t>
      </w:r>
      <w:r>
        <w:rPr>
          <w:rFonts w:hint="eastAsia" w:ascii="宋体" w:hAnsi="宋体" w:eastAsia="宋体" w:cs="宋体"/>
          <w:sz w:val="24"/>
          <w:u w:val="single"/>
        </w:rPr>
        <w:t xml:space="preserve">江苏省盐城市滨海县滨淮镇东謇大道1号 </w:t>
      </w:r>
      <w:r/>
    </w:p>
    <w:p>
      <w:pPr>
        <w:ind w:left="1079" w:hanging="300"/>
        <w:jc w:val="left"/>
        <w:spacing w:line="500" w:lineRule="exact"/>
        <w:rPr>
          <w:rFonts w:hint="eastAsia" w:ascii="宋体" w:hAnsi="宋体" w:eastAsia="宋体" w:cs="宋体"/>
          <w:sz w:val="24"/>
        </w:rPr>
      </w:pPr>
      <w:r>
        <w:rPr>
          <w:rFonts w:hint="eastAsia" w:ascii="宋体" w:hAnsi="宋体" w:eastAsia="宋体" w:cs="宋体"/>
          <w:sz w:val="24"/>
        </w:rPr>
        <w:t xml:space="preserve">联系人：  </w:t>
      </w:r>
      <w:r>
        <w:rPr>
          <w:rFonts w:hint="eastAsia" w:ascii="宋体" w:hAnsi="宋体" w:eastAsia="宋体" w:cs="宋体"/>
          <w:sz w:val="24"/>
          <w:u w:val="single"/>
        </w:rPr>
        <w:t xml:space="preserve">郑先生 </w:t>
      </w:r>
      <w:r>
        <w:rPr>
          <w:rFonts w:hint="eastAsia" w:ascii="宋体" w:hAnsi="宋体" w:eastAsia="宋体" w:cs="宋体"/>
          <w:sz w:val="24"/>
        </w:rPr>
        <w:t xml:space="preserve">   联系手机号码：</w:t>
      </w:r>
      <w:r>
        <w:rPr>
          <w:rFonts w:hint="eastAsia" w:ascii="宋体" w:hAnsi="宋体" w:eastAsia="宋体" w:cs="宋体"/>
          <w:sz w:val="24"/>
          <w:u w:val="single"/>
        </w:rPr>
        <w:t xml:space="preserve"> 13961946499    </w:t>
      </w:r>
      <w:r/>
    </w:p>
    <w:p>
      <w:pPr>
        <w:pStyle w:val="634"/>
        <w:ind w:firstLine="240"/>
        <w:spacing w:beforeAutospacing="0" w:afterAutospacing="0" w:line="500" w:lineRule="exact"/>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2.采购代理机构信息</w:t>
      </w:r>
      <w:r/>
    </w:p>
    <w:p>
      <w:pPr>
        <w:pStyle w:val="634"/>
        <w:ind w:firstLine="720"/>
        <w:spacing w:beforeAutospacing="0" w:afterAutospacing="0" w:line="500" w:lineRule="exact"/>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名 称：江苏江南工程管理咨询有限公司</w:t>
      </w:r>
      <w:r/>
    </w:p>
    <w:p>
      <w:pPr>
        <w:pStyle w:val="634"/>
        <w:ind w:firstLine="720"/>
        <w:spacing w:beforeAutospacing="0" w:afterAutospacing="0" w:line="500" w:lineRule="exact"/>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地 址：阜宁县阜城镇阜城东大街河滨度假村3#楼1-11轴一楼门市(C)</w:t>
      </w:r>
      <w:r/>
    </w:p>
    <w:p>
      <w:pPr>
        <w:pStyle w:val="634"/>
        <w:ind w:firstLine="720"/>
        <w:spacing w:beforeAutospacing="0" w:afterAutospacing="0" w:line="500" w:lineRule="exact"/>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联系人：纪女士    联系方式：17505150019            </w:t>
      </w:r>
      <w:r/>
    </w:p>
    <w:p>
      <w:pPr>
        <w:pStyle w:val="634"/>
        <w:ind w:firstLine="240"/>
        <w:spacing w:beforeAutospacing="0" w:afterAutospacing="0" w:line="500" w:lineRule="exact"/>
        <w:shd w:val="clear" w:color="auto" w:fill="ffffff"/>
        <w:widowControl/>
        <w:rPr>
          <w:rFonts w:hint="eastAsia" w:ascii="宋体" w:hAnsi="宋体" w:eastAsia="宋体" w:cs="宋体"/>
          <w:shd w:val="clear" w:color="auto" w:fill="ffffff"/>
        </w:rPr>
      </w:pPr>
      <w:r/>
      <w:bookmarkStart w:id="33" w:name="_Toc28359021"/>
      <w:r>
        <w:rPr>
          <w:rFonts w:hint="eastAsia" w:ascii="宋体" w:hAnsi="宋体" w:eastAsia="宋体" w:cs="宋体"/>
          <w:shd w:val="clear" w:color="auto" w:fill="ffffff"/>
        </w:rPr>
        <w:t xml:space="preserve">3.</w:t>
      </w:r>
      <w:bookmarkEnd w:id="33"/>
      <w:r>
        <w:rPr>
          <w:rFonts w:hint="eastAsia" w:ascii="宋体" w:hAnsi="宋体" w:eastAsia="宋体" w:cs="宋体"/>
          <w:shd w:val="clear" w:color="auto" w:fill="ffffff"/>
        </w:rPr>
        <w:t xml:space="preserve">项目联系方式</w:t>
      </w:r>
      <w:r/>
    </w:p>
    <w:p>
      <w:pPr>
        <w:pStyle w:val="634"/>
        <w:ind w:firstLine="720"/>
        <w:spacing w:beforeAutospacing="0" w:afterAutospacing="0" w:line="500" w:lineRule="exact"/>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项目联系人：纪女士、郑先生</w:t>
      </w:r>
      <w:r/>
    </w:p>
    <w:p>
      <w:pPr>
        <w:pStyle w:val="634"/>
        <w:ind w:firstLine="720"/>
        <w:spacing w:beforeAutospacing="0" w:afterAutospacing="0" w:line="500" w:lineRule="exact"/>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电话：17505150019、</w:t>
      </w:r>
      <w:r>
        <w:rPr>
          <w:rFonts w:ascii="宋体" w:hAnsi="宋体" w:eastAsia="宋体" w:cs="宋体"/>
          <w:shd w:val="clear" w:color="auto" w:fill="ffffff"/>
        </w:rPr>
        <w:t xml:space="preserve">13961946499</w:t>
      </w:r>
      <w:r/>
    </w:p>
    <w:p>
      <w:pPr>
        <w:ind w:firstLine="720"/>
        <w:jc w:val="left"/>
        <w:spacing w:line="500" w:lineRule="exact"/>
        <w:rPr>
          <w:rFonts w:hint="eastAsia" w:ascii="宋体" w:hAnsi="宋体" w:eastAsia="宋体" w:cs="宋体"/>
          <w:sz w:val="24"/>
        </w:rPr>
      </w:pPr>
      <w:r>
        <w:rPr>
          <w:rFonts w:hint="eastAsia" w:ascii="宋体" w:hAnsi="宋体" w:eastAsia="宋体" w:cs="宋体"/>
          <w:sz w:val="24"/>
        </w:rPr>
        <w:t xml:space="preserve">                                    </w:t>
      </w:r>
      <w:r/>
    </w:p>
    <w:p>
      <w:pPr>
        <w:pStyle w:val="634"/>
        <w:ind w:right="840" w:firstLine="2160"/>
        <w:spacing w:beforeAutospacing="0" w:afterAutospacing="0" w:line="500" w:lineRule="exact"/>
      </w:pPr>
      <w:r>
        <w:rPr>
          <w:rFonts w:hint="eastAsia" w:ascii="宋体" w:hAnsi="宋体" w:eastAsia="宋体" w:cs="宋体"/>
        </w:rPr>
        <w:br w:type="page" w:clear="all"/>
      </w:r>
      <w:bookmarkStart w:id="34" w:name="_Toc120614211"/>
      <w:r>
        <w:rPr>
          <w:rFonts w:hint="eastAsia" w:ascii="黑体" w:hAnsi="宋体" w:eastAsia="黑体" w:cs="黑体"/>
          <w:b/>
          <w:sz w:val="44"/>
          <w:szCs w:val="44"/>
        </w:rPr>
        <w:t xml:space="preserve">第二章  </w:t>
      </w:r>
      <w:bookmarkEnd w:id="34"/>
      <w:r/>
      <w:bookmarkStart w:id="35" w:name="_Toc120614213"/>
      <w:r/>
      <w:bookmarkStart w:id="36" w:name="_Toc16938518"/>
      <w:r/>
      <w:bookmarkStart w:id="37" w:name="_Toc20823274"/>
      <w:r/>
      <w:bookmarkStart w:id="38" w:name="_Toc513029202"/>
      <w:r>
        <w:rPr>
          <w:rFonts w:hint="eastAsia" w:ascii="黑体" w:hAnsi="宋体" w:eastAsia="黑体" w:cs="黑体"/>
          <w:b/>
          <w:sz w:val="44"/>
          <w:szCs w:val="44"/>
        </w:rPr>
        <w:t xml:space="preserve">投标人须知</w:t>
      </w:r>
      <w:bookmarkEnd w:id="35"/>
      <w:r/>
      <w:bookmarkEnd w:id="36"/>
      <w:r/>
      <w:bookmarkEnd w:id="37"/>
      <w:r/>
      <w:bookmarkEnd w:id="38"/>
      <w:r/>
      <w:r/>
    </w:p>
    <w:p>
      <w:pPr>
        <w:pStyle w:val="634"/>
        <w:keepLines/>
        <w:keepNext/>
        <w:spacing w:beforeAutospacing="0" w:afterAutospacing="0" w:line="500" w:lineRule="exact"/>
        <w:rPr>
          <w:rFonts w:hint="eastAsia" w:ascii="宋体" w:hAnsi="宋体" w:eastAsia="宋体" w:cs="宋体"/>
        </w:rPr>
      </w:pPr>
      <w:r/>
      <w:bookmarkStart w:id="39" w:name="_Toc20823275"/>
      <w:r/>
      <w:bookmarkStart w:id="40" w:name="_Toc120614214"/>
      <w:r/>
      <w:bookmarkStart w:id="41" w:name="_Toc16938519"/>
      <w:r/>
      <w:bookmarkStart w:id="42" w:name="_Toc513029203"/>
      <w:r>
        <w:rPr>
          <w:rFonts w:hint="eastAsia" w:ascii="宋体" w:hAnsi="宋体" w:eastAsia="宋体" w:cs="宋体"/>
          <w:b/>
        </w:rPr>
        <w:t xml:space="preserve">一、总则</w:t>
      </w:r>
      <w:bookmarkEnd w:id="39"/>
      <w:r/>
      <w:bookmarkEnd w:id="40"/>
      <w:r/>
      <w:bookmarkEnd w:id="41"/>
      <w:r/>
      <w:bookmarkEnd w:id="42"/>
      <w:r/>
      <w:r/>
    </w:p>
    <w:p>
      <w:pPr>
        <w:pStyle w:val="634"/>
        <w:keepLines/>
        <w:keepNext/>
        <w:spacing w:beforeAutospacing="0" w:afterAutospacing="0" w:line="500" w:lineRule="exact"/>
        <w:rPr>
          <w:rFonts w:hint="eastAsia" w:ascii="宋体" w:hAnsi="宋体" w:eastAsia="宋体" w:cs="宋体"/>
        </w:rPr>
      </w:pPr>
      <w:r/>
      <w:bookmarkStart w:id="43" w:name="_Toc16938520"/>
      <w:r/>
      <w:bookmarkStart w:id="44" w:name="_Toc513029204"/>
      <w:r/>
      <w:bookmarkStart w:id="45" w:name="_Toc458694821"/>
      <w:r/>
      <w:bookmarkStart w:id="46" w:name="_Toc20823276"/>
      <w:r/>
      <w:bookmarkStart w:id="47" w:name="_Hlt16619475"/>
      <w:r>
        <w:rPr>
          <w:rFonts w:hint="eastAsia" w:ascii="宋体" w:hAnsi="宋体" w:eastAsia="宋体" w:cs="宋体"/>
        </w:rPr>
        <w:t xml:space="preserve">1</w:t>
      </w:r>
      <w:bookmarkEnd w:id="43"/>
      <w:r>
        <w:rPr>
          <w:rFonts w:hint="eastAsia" w:ascii="宋体" w:hAnsi="宋体" w:eastAsia="宋体" w:cs="宋体"/>
        </w:rPr>
        <w:t xml:space="preserve">、招标方式</w:t>
      </w:r>
      <w:bookmarkEnd w:id="44"/>
      <w:r/>
      <w:bookmarkEnd w:id="45"/>
      <w:r/>
      <w:bookmarkEnd w:id="46"/>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1.1本次招标采取公开招标方式，本招标文件仅适用于招标公告中所述项目。</w:t>
      </w:r>
      <w:r/>
    </w:p>
    <w:p>
      <w:pPr>
        <w:pStyle w:val="634"/>
        <w:keepLines/>
        <w:keepNext/>
        <w:spacing w:beforeAutospacing="0" w:afterAutospacing="0" w:line="500" w:lineRule="exact"/>
        <w:rPr>
          <w:rFonts w:hint="eastAsia" w:ascii="宋体" w:hAnsi="宋体" w:eastAsia="宋体" w:cs="宋体"/>
        </w:rPr>
      </w:pPr>
      <w:r/>
      <w:bookmarkStart w:id="48" w:name="_Toc16938521"/>
      <w:r/>
      <w:bookmarkStart w:id="49" w:name="_Toc20823277"/>
      <w:r/>
      <w:bookmarkStart w:id="50" w:name="_Toc513029205"/>
      <w:r>
        <w:rPr>
          <w:rFonts w:hint="eastAsia" w:ascii="宋体" w:hAnsi="宋体" w:eastAsia="宋体" w:cs="宋体"/>
        </w:rPr>
        <w:t xml:space="preserve">2、合格的投标人</w:t>
      </w:r>
      <w:bookmarkEnd w:id="48"/>
      <w:r/>
      <w:bookmarkEnd w:id="49"/>
      <w:r/>
      <w:bookmarkEnd w:id="50"/>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2.1满足招标公告中供应商的资格要求的规定。</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2.2满足本文件实质性要求和条件的规定。</w:t>
      </w:r>
      <w:r/>
    </w:p>
    <w:p>
      <w:pPr>
        <w:jc w:val="left"/>
        <w:spacing w:line="500" w:lineRule="exact"/>
        <w:rPr>
          <w:rFonts w:hint="eastAsia" w:ascii="宋体" w:hAnsi="宋体" w:eastAsia="宋体" w:cs="方正魏碑_GBK"/>
          <w:sz w:val="24"/>
        </w:rPr>
      </w:pPr>
      <w:r/>
      <w:bookmarkStart w:id="51" w:name="_Toc513029206"/>
      <w:r/>
      <w:bookmarkStart w:id="52" w:name="_Toc16938522"/>
      <w:r/>
      <w:bookmarkStart w:id="53" w:name="_Toc20823278"/>
      <w:r/>
      <w:bookmarkStart w:id="54" w:name="_Toc16938523"/>
      <w:r/>
      <w:bookmarkStart w:id="55" w:name="_Toc513029207"/>
      <w:r/>
      <w:bookmarkStart w:id="56" w:name="_Toc20823279"/>
      <w:r/>
      <w:bookmarkStart w:id="57" w:name="_Toc462564067"/>
      <w:r>
        <w:rPr>
          <w:rFonts w:hint="eastAsia" w:ascii="宋体" w:hAnsi="宋体" w:eastAsia="宋体" w:cs="方正魏碑_GBK"/>
          <w:sz w:val="24"/>
        </w:rPr>
        <w:t xml:space="preserve">3、适用法律</w:t>
      </w:r>
      <w:bookmarkEnd w:id="51"/>
      <w:r/>
      <w:bookmarkEnd w:id="52"/>
      <w:r/>
      <w:bookmarkEnd w:id="53"/>
      <w:r>
        <w:rPr>
          <w:rFonts w:hint="eastAsia" w:ascii="宋体" w:hAnsi="宋体" w:eastAsia="宋体" w:cs="方正魏碑_GBK"/>
          <w:sz w:val="24"/>
        </w:rPr>
        <w:t xml:space="preserve">和标准</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3.1 本次招标及由此产生的合同受中华人民共和国有关的法律法规制约和保护。</w:t>
      </w:r>
      <w:r/>
    </w:p>
    <w:p>
      <w:pPr>
        <w:ind w:firstLine="480"/>
        <w:jc w:val="left"/>
        <w:spacing w:line="500" w:lineRule="exact"/>
        <w:rPr>
          <w:rFonts w:hint="eastAsia" w:ascii="宋体" w:hAnsi="宋体" w:eastAsia="宋体" w:cs="宋体"/>
          <w:sz w:val="24"/>
        </w:rPr>
      </w:pPr>
      <w:r>
        <w:rPr>
          <w:rFonts w:hint="eastAsia" w:ascii="宋体" w:hAnsi="宋体" w:eastAsia="宋体" w:cs="方正魏碑_GBK"/>
          <w:sz w:val="24"/>
        </w:rPr>
        <w:t xml:space="preserve">3.2 在本项目政府采购活动过程中，如果所执行的标准有更新的，按照最新标准执行。</w:t>
      </w:r>
      <w:r/>
    </w:p>
    <w:p>
      <w:pPr>
        <w:pStyle w:val="634"/>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4、投标费用</w:t>
      </w:r>
      <w:bookmarkEnd w:id="54"/>
      <w:r/>
      <w:bookmarkEnd w:id="55"/>
      <w:r/>
      <w:bookmarkEnd w:id="56"/>
      <w:r/>
      <w:bookmarkEnd w:id="57"/>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4.1投标人应自行承担所有与参加投标有关的费用，无论投标过程中的做法和结果如何，采购人和招标代理机构在任何情况下均无义务和责任承担这些费用。</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4.2本次招标采购中心和采购人不收取标书工本费与中标交易服务费。</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4.3</w:t>
      </w:r>
      <w:r>
        <w:rPr>
          <w:rFonts w:hint="eastAsia" w:ascii="宋体" w:hAnsi="宋体" w:eastAsia="宋体" w:cs="宋体"/>
          <w:b/>
          <w:bCs/>
        </w:rPr>
        <w:t xml:space="preserve">本项目代理服务费按《江苏省政府采购代理服务收费指导意见》的通知（苏政采〔2024〕20号）服务招标取费标准折后收取，采购人约定由中标人在领取中标通知书前向采购代理单位一次性代为支付采购代理服务费人民币27000元。投标人须将此费用纳入投标报价中，采购人不另行支付。</w:t>
      </w:r>
      <w:r/>
    </w:p>
    <w:p>
      <w:pPr>
        <w:pStyle w:val="634"/>
        <w:keepLines/>
        <w:keepNext/>
        <w:spacing w:beforeAutospacing="0" w:afterAutospacing="0" w:line="500" w:lineRule="exact"/>
        <w:rPr>
          <w:rFonts w:hint="eastAsia" w:ascii="宋体" w:hAnsi="宋体" w:eastAsia="宋体" w:cs="宋体"/>
        </w:rPr>
      </w:pPr>
      <w:r>
        <w:rPr>
          <w:rFonts w:hint="eastAsia" w:ascii="宋体" w:hAnsi="宋体" w:eastAsia="宋体" w:cs="宋体"/>
          <w:b/>
        </w:rPr>
        <w:t xml:space="preserve">5、</w:t>
      </w:r>
      <w:r>
        <w:rPr>
          <w:rFonts w:hint="eastAsia" w:ascii="宋体" w:hAnsi="宋体" w:eastAsia="宋体" w:cs="宋体"/>
        </w:rPr>
        <w:t xml:space="preserve">招标文件的约束力</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5.1投标人一旦参加本项目采购活动，即被认为接受了本招标文件的规定和约束。</w:t>
      </w:r>
      <w:r/>
    </w:p>
    <w:p>
      <w:pPr>
        <w:pStyle w:val="634"/>
        <w:keepLines/>
        <w:keepNext/>
        <w:spacing w:beforeAutospacing="0" w:afterAutospacing="0" w:line="500" w:lineRule="exact"/>
        <w:rPr>
          <w:rFonts w:hint="eastAsia" w:ascii="宋体" w:hAnsi="宋体" w:eastAsia="宋体" w:cs="宋体"/>
        </w:rPr>
      </w:pPr>
      <w:r/>
      <w:bookmarkStart w:id="58" w:name="_Toc513029209"/>
      <w:r/>
      <w:bookmarkStart w:id="59" w:name="_Toc20823281"/>
      <w:r/>
      <w:bookmarkStart w:id="60" w:name="_Toc16938525"/>
      <w:r/>
      <w:bookmarkStart w:id="61" w:name="_Toc120614215"/>
      <w:r>
        <w:rPr>
          <w:rFonts w:hint="eastAsia" w:ascii="宋体" w:hAnsi="宋体" w:eastAsia="宋体" w:cs="宋体"/>
          <w:b/>
        </w:rPr>
        <w:t xml:space="preserve">二、招标文件</w:t>
      </w:r>
      <w:bookmarkEnd w:id="58"/>
      <w:r/>
      <w:bookmarkEnd w:id="59"/>
      <w:r/>
      <w:bookmarkEnd w:id="60"/>
      <w:r/>
      <w:bookmarkEnd w:id="61"/>
      <w:r/>
      <w:r/>
    </w:p>
    <w:p>
      <w:pPr>
        <w:pStyle w:val="634"/>
        <w:keepLines/>
        <w:keepNext/>
        <w:spacing w:beforeAutospacing="0" w:afterAutospacing="0" w:line="500" w:lineRule="exact"/>
        <w:rPr>
          <w:rFonts w:hint="eastAsia" w:ascii="宋体" w:hAnsi="宋体" w:eastAsia="宋体" w:cs="宋体"/>
        </w:rPr>
      </w:pPr>
      <w:r/>
      <w:bookmarkStart w:id="62" w:name="_Toc513029210"/>
      <w:r/>
      <w:bookmarkStart w:id="63" w:name="_Toc20823282"/>
      <w:r/>
      <w:bookmarkStart w:id="64" w:name="_Toc16938526"/>
      <w:r>
        <w:rPr>
          <w:rFonts w:hint="eastAsia" w:ascii="宋体" w:hAnsi="宋体" w:eastAsia="宋体" w:cs="宋体"/>
        </w:rPr>
        <w:t xml:space="preserve">6、招标文件构成</w:t>
      </w:r>
      <w:bookmarkEnd w:id="62"/>
      <w:r/>
      <w:bookmarkEnd w:id="63"/>
      <w:r/>
      <w:bookmarkEnd w:id="64"/>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6.1 招标文件由以下部分组成：</w:t>
      </w:r>
      <w:r/>
    </w:p>
    <w:p>
      <w:pPr>
        <w:pStyle w:val="634"/>
        <w:ind w:firstLine="720"/>
        <w:spacing w:beforeAutospacing="0" w:afterAutospacing="0" w:line="500" w:lineRule="exact"/>
        <w:rPr>
          <w:rFonts w:hint="eastAsia" w:ascii="宋体" w:hAnsi="宋体" w:eastAsia="宋体" w:cs="宋体"/>
        </w:rPr>
      </w:pPr>
      <w:r>
        <w:rPr>
          <w:rFonts w:hint="eastAsia" w:ascii="宋体" w:hAnsi="宋体" w:eastAsia="宋体" w:cs="宋体"/>
        </w:rPr>
        <w:t xml:space="preserve">（1）招标公告</w:t>
      </w:r>
      <w:r/>
    </w:p>
    <w:p>
      <w:pPr>
        <w:pStyle w:val="634"/>
        <w:ind w:firstLine="720"/>
        <w:spacing w:beforeAutospacing="0" w:afterAutospacing="0" w:line="500" w:lineRule="exact"/>
        <w:rPr>
          <w:rFonts w:hint="eastAsia" w:ascii="宋体" w:hAnsi="宋体" w:eastAsia="宋体" w:cs="宋体"/>
        </w:rPr>
      </w:pPr>
      <w:r>
        <w:rPr>
          <w:rFonts w:hint="eastAsia" w:ascii="宋体" w:hAnsi="宋体" w:eastAsia="宋体" w:cs="宋体"/>
        </w:rPr>
        <w:t xml:space="preserve">（2）投标人须知</w:t>
      </w:r>
      <w:r/>
    </w:p>
    <w:p>
      <w:pPr>
        <w:pStyle w:val="634"/>
        <w:ind w:firstLine="720"/>
        <w:spacing w:beforeAutospacing="0" w:afterAutospacing="0" w:line="500" w:lineRule="exact"/>
        <w:rPr>
          <w:rFonts w:hint="eastAsia" w:ascii="宋体" w:hAnsi="宋体" w:eastAsia="宋体" w:cs="宋体"/>
        </w:rPr>
      </w:pPr>
      <w:r>
        <w:rPr>
          <w:rFonts w:hint="eastAsia" w:ascii="宋体" w:hAnsi="宋体" w:eastAsia="宋体" w:cs="宋体"/>
        </w:rPr>
        <w:t xml:space="preserve">（3）合同文本</w:t>
      </w:r>
      <w:r/>
    </w:p>
    <w:p>
      <w:pPr>
        <w:pStyle w:val="634"/>
        <w:ind w:firstLine="720"/>
        <w:spacing w:beforeAutospacing="0" w:afterAutospacing="0" w:line="500" w:lineRule="exact"/>
        <w:rPr>
          <w:rFonts w:hint="eastAsia" w:ascii="宋体" w:hAnsi="宋体" w:eastAsia="宋体" w:cs="宋体"/>
        </w:rPr>
      </w:pPr>
      <w:r>
        <w:rPr>
          <w:rFonts w:hint="eastAsia" w:ascii="宋体" w:hAnsi="宋体" w:eastAsia="宋体" w:cs="宋体"/>
        </w:rPr>
        <w:t xml:space="preserve">（4）采购需求</w:t>
      </w:r>
      <w:r/>
    </w:p>
    <w:p>
      <w:pPr>
        <w:pStyle w:val="634"/>
        <w:ind w:firstLine="720"/>
        <w:spacing w:beforeAutospacing="0" w:afterAutospacing="0" w:line="500" w:lineRule="exact"/>
        <w:rPr>
          <w:rFonts w:hint="eastAsia" w:ascii="宋体" w:hAnsi="宋体" w:eastAsia="宋体" w:cs="宋体"/>
        </w:rPr>
      </w:pPr>
      <w:r>
        <w:rPr>
          <w:rFonts w:hint="eastAsia" w:ascii="宋体" w:hAnsi="宋体" w:eastAsia="宋体" w:cs="宋体"/>
        </w:rPr>
        <w:t xml:space="preserve">（5）评标方法与评标标准</w:t>
      </w:r>
      <w:r/>
    </w:p>
    <w:p>
      <w:pPr>
        <w:pStyle w:val="634"/>
        <w:ind w:firstLine="720"/>
        <w:spacing w:beforeAutospacing="0" w:afterAutospacing="0" w:line="500" w:lineRule="exact"/>
        <w:rPr>
          <w:rFonts w:hint="eastAsia" w:ascii="宋体" w:hAnsi="宋体" w:eastAsia="宋体" w:cs="宋体"/>
        </w:rPr>
      </w:pPr>
      <w:r>
        <w:rPr>
          <w:rFonts w:hint="eastAsia" w:ascii="宋体" w:hAnsi="宋体" w:eastAsia="宋体" w:cs="宋体"/>
        </w:rPr>
        <w:t xml:space="preserve">（6）投标文件格式</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请仔细检查招标文件是否齐全，如有缺漏请立即与采购人（或招标代理机构）联系解决。</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34"/>
        <w:keepLines/>
        <w:keepNext/>
        <w:spacing w:beforeAutospacing="0" w:afterAutospacing="0" w:line="500" w:lineRule="exact"/>
        <w:rPr>
          <w:rFonts w:hint="eastAsia" w:ascii="宋体" w:hAnsi="宋体" w:eastAsia="宋体" w:cs="宋体"/>
        </w:rPr>
      </w:pPr>
      <w:r/>
      <w:bookmarkStart w:id="65" w:name="_Toc462564070"/>
      <w:r/>
      <w:bookmarkStart w:id="66" w:name="_Toc20823283"/>
      <w:r/>
      <w:bookmarkStart w:id="67" w:name="_Toc16938527"/>
      <w:r/>
      <w:bookmarkStart w:id="68" w:name="_Toc513029211"/>
      <w:r>
        <w:rPr>
          <w:rFonts w:hint="eastAsia" w:ascii="宋体" w:hAnsi="宋体" w:eastAsia="宋体" w:cs="宋体"/>
        </w:rPr>
        <w:t xml:space="preserve">7、招标文件的澄清</w:t>
      </w:r>
      <w:bookmarkEnd w:id="65"/>
      <w:r/>
      <w:bookmarkEnd w:id="66"/>
      <w:r/>
      <w:bookmarkEnd w:id="67"/>
      <w:r/>
      <w:bookmarkEnd w:id="68"/>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7.1任何要求对招标文件进行澄清的投标人，应在投标截止期</w:t>
      </w:r>
      <w:r>
        <w:rPr>
          <w:rFonts w:hint="eastAsia" w:ascii="宋体" w:hAnsi="宋体" w:eastAsia="宋体" w:cs="宋体"/>
          <w:b/>
        </w:rPr>
        <w:t xml:space="preserve">十日</w:t>
      </w:r>
      <w:r>
        <w:rPr>
          <w:rFonts w:hint="eastAsia" w:ascii="宋体" w:hAnsi="宋体" w:eastAsia="宋体" w:cs="宋体"/>
        </w:rPr>
        <w:t xml:space="preserve">前按招标公告中的通讯地址，以书面形式通知采购人（或招标代理机构）。</w:t>
      </w:r>
      <w:r/>
    </w:p>
    <w:p>
      <w:pPr>
        <w:pStyle w:val="634"/>
        <w:keepLines/>
        <w:keepNext/>
        <w:spacing w:beforeAutospacing="0" w:afterAutospacing="0" w:line="500" w:lineRule="exact"/>
        <w:rPr>
          <w:rFonts w:hint="eastAsia" w:ascii="宋体" w:hAnsi="宋体" w:eastAsia="宋体" w:cs="宋体"/>
        </w:rPr>
      </w:pPr>
      <w:r/>
      <w:bookmarkStart w:id="69" w:name="_Toc20823284"/>
      <w:r/>
      <w:bookmarkStart w:id="70" w:name="_Toc16938528"/>
      <w:r/>
      <w:bookmarkStart w:id="71" w:name="_Toc462564071"/>
      <w:r/>
      <w:bookmarkStart w:id="72" w:name="_Toc513029212"/>
      <w:r>
        <w:rPr>
          <w:rFonts w:hint="eastAsia" w:ascii="宋体" w:hAnsi="宋体" w:eastAsia="宋体" w:cs="宋体"/>
        </w:rPr>
        <w:t xml:space="preserve">8、招标文件的修改</w:t>
      </w:r>
      <w:bookmarkEnd w:id="69"/>
      <w:r/>
      <w:bookmarkEnd w:id="70"/>
      <w:r/>
      <w:bookmarkEnd w:id="71"/>
      <w:r/>
      <w:bookmarkEnd w:id="72"/>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8.1在投标截止时间前，采购人可以对招标文件进行修改。</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8.2采购人有权按照法定的要求推迟投标截止日期和开标日期。</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8.3招标文件的修改将在中国政府采购网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江苏政府采购网、盐城市政府采购网公布，补充文件将作为招标文件的组成部分，并对投标人具有约束力。</w:t>
      </w:r>
      <w:r/>
    </w:p>
    <w:p>
      <w:pPr>
        <w:pStyle w:val="634"/>
        <w:keepLines/>
        <w:keepNext/>
        <w:spacing w:beforeAutospacing="0" w:afterAutospacing="0" w:line="500" w:lineRule="exact"/>
        <w:rPr>
          <w:rFonts w:hint="eastAsia" w:ascii="宋体" w:hAnsi="宋体" w:eastAsia="宋体" w:cs="宋体"/>
        </w:rPr>
      </w:pPr>
      <w:r/>
      <w:bookmarkStart w:id="73" w:name="_Toc16938529"/>
      <w:r/>
      <w:bookmarkStart w:id="74" w:name="_Toc20823285"/>
      <w:r/>
      <w:bookmarkStart w:id="75" w:name="_Toc120614216"/>
      <w:r/>
      <w:bookmarkStart w:id="76" w:name="_Toc462564072"/>
      <w:r/>
      <w:bookmarkStart w:id="77" w:name="_Toc513029213"/>
      <w:r>
        <w:rPr>
          <w:rFonts w:hint="eastAsia" w:ascii="宋体" w:hAnsi="宋体" w:eastAsia="宋体" w:cs="宋体"/>
          <w:b/>
        </w:rPr>
        <w:t xml:space="preserve">三、投标文件的编制</w:t>
      </w:r>
      <w:bookmarkEnd w:id="73"/>
      <w:r/>
      <w:bookmarkEnd w:id="74"/>
      <w:r/>
      <w:bookmarkEnd w:id="75"/>
      <w:r/>
      <w:bookmarkEnd w:id="76"/>
      <w:r/>
      <w:bookmarkEnd w:id="77"/>
      <w:r/>
      <w:r/>
    </w:p>
    <w:p>
      <w:pPr>
        <w:pStyle w:val="634"/>
        <w:keepLines/>
        <w:keepNext/>
        <w:spacing w:beforeAutospacing="0" w:afterAutospacing="0" w:line="500" w:lineRule="exact"/>
        <w:rPr>
          <w:rFonts w:hint="eastAsia" w:ascii="宋体" w:hAnsi="宋体" w:eastAsia="宋体" w:cs="宋体"/>
        </w:rPr>
      </w:pPr>
      <w:r/>
      <w:bookmarkStart w:id="78" w:name="_Toc16938530"/>
      <w:r/>
      <w:bookmarkStart w:id="79" w:name="_Toc462564073"/>
      <w:r/>
      <w:bookmarkStart w:id="80" w:name="_Toc513029214"/>
      <w:r/>
      <w:bookmarkStart w:id="81" w:name="_Toc20823286"/>
      <w:r>
        <w:rPr>
          <w:rFonts w:hint="eastAsia" w:ascii="宋体" w:hAnsi="宋体" w:eastAsia="宋体" w:cs="宋体"/>
        </w:rPr>
        <w:t xml:space="preserve">9、投标文件的语言及度量衡单位</w:t>
      </w:r>
      <w:bookmarkEnd w:id="78"/>
      <w:r/>
      <w:bookmarkEnd w:id="79"/>
      <w:r/>
      <w:bookmarkEnd w:id="80"/>
      <w:r/>
      <w:bookmarkEnd w:id="81"/>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9.1投标人提交的投标文件以及投标人与采购人（或招标代理机）就有关投标的所有来往通知、函件和文件均应使用简体中文。</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9.2除技术性能另有规定外，投标文件所使用的度量衡单位，均须采用国家法定计量单位。</w:t>
      </w:r>
      <w:r/>
    </w:p>
    <w:p>
      <w:pPr>
        <w:pStyle w:val="634"/>
        <w:keepLines/>
        <w:keepNext/>
        <w:spacing w:beforeAutospacing="0" w:afterAutospacing="0" w:line="500" w:lineRule="exact"/>
        <w:rPr>
          <w:rFonts w:hint="eastAsia" w:ascii="宋体" w:hAnsi="宋体" w:eastAsia="宋体" w:cs="宋体"/>
        </w:rPr>
      </w:pPr>
      <w:r/>
      <w:bookmarkStart w:id="82" w:name="_Toc20823287"/>
      <w:r/>
      <w:bookmarkStart w:id="83" w:name="_Toc16938531"/>
      <w:r/>
      <w:bookmarkStart w:id="84" w:name="_Toc462564074"/>
      <w:r/>
      <w:bookmarkStart w:id="85" w:name="_Toc513029215"/>
      <w:r>
        <w:rPr>
          <w:rFonts w:hint="eastAsia" w:ascii="宋体" w:hAnsi="宋体" w:eastAsia="宋体" w:cs="宋体"/>
        </w:rPr>
        <w:t xml:space="preserve">10、投标文件构成</w:t>
      </w:r>
      <w:bookmarkEnd w:id="82"/>
      <w:r/>
      <w:bookmarkEnd w:id="83"/>
      <w:r/>
      <w:bookmarkEnd w:id="84"/>
      <w:r/>
      <w:bookmarkEnd w:id="85"/>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10.1投标人编写的投标文件应包括资格证明文件、符合性证明文件、投标分项报价表、技术要求响应及偏离表、商务要求响应及偏离表、其他证明文件、投标函、开标一览表等部分。</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10.2如标书制作工具中格式和内容与</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中国政府采购网”“江苏政府采购网”“盐城市政府采购网”发布的招标文件不一致，请以</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中国政府采购网”“江苏政府采购网”“盐城市政府采购网”发布的招标文件为准。</w:t>
      </w:r>
      <w:r/>
    </w:p>
    <w:p>
      <w:pPr>
        <w:pStyle w:val="634"/>
        <w:keepLines/>
        <w:keepNext/>
        <w:spacing w:beforeAutospacing="0" w:afterAutospacing="0" w:line="500" w:lineRule="exact"/>
        <w:rPr>
          <w:rFonts w:hint="eastAsia" w:ascii="宋体" w:hAnsi="宋体" w:eastAsia="宋体" w:cs="宋体"/>
        </w:rPr>
      </w:pPr>
      <w:r/>
      <w:bookmarkStart w:id="86" w:name="_Toc14577357"/>
      <w:r/>
      <w:bookmarkStart w:id="87" w:name="_Toc513029216"/>
      <w:r/>
      <w:bookmarkStart w:id="88" w:name="_Toc513029219"/>
      <w:r/>
      <w:bookmarkStart w:id="89" w:name="_Toc49090509"/>
      <w:r/>
      <w:bookmarkStart w:id="90" w:name="_Toc14577354"/>
      <w:r/>
      <w:bookmarkStart w:id="91" w:name="_Toc49090507"/>
      <w:r/>
      <w:bookmarkStart w:id="92" w:name="_Hlt26668975"/>
      <w:r/>
      <w:bookmarkStart w:id="93" w:name="_Hlt26954838"/>
      <w:r/>
      <w:bookmarkStart w:id="94" w:name="_Hlt26670360"/>
      <w:r>
        <w:rPr>
          <w:rFonts w:hint="eastAsia" w:ascii="宋体" w:hAnsi="宋体" w:eastAsia="宋体" w:cs="宋体"/>
        </w:rPr>
        <w:t xml:space="preserve">11、证明投标人及投标标的符合招标文件规定的文件</w:t>
      </w:r>
      <w:bookmarkEnd w:id="86"/>
      <w:r/>
      <w:bookmarkEnd w:id="87"/>
      <w:r/>
      <w:bookmarkEnd w:id="88"/>
      <w:r/>
      <w:bookmarkEnd w:id="89"/>
      <w:r/>
      <w:bookmarkEnd w:id="90"/>
      <w:r/>
      <w:bookmarkEnd w:id="91"/>
      <w:r/>
      <w:r/>
    </w:p>
    <w:p>
      <w:pPr>
        <w:pStyle w:val="634"/>
        <w:ind w:firstLine="480"/>
        <w:spacing w:beforeAutospacing="0" w:afterAutospacing="0" w:line="500" w:lineRule="exact"/>
        <w:rPr>
          <w:rFonts w:hint="eastAsia" w:ascii="宋体" w:hAnsi="宋体" w:eastAsia="宋体" w:cs="宋体"/>
        </w:rPr>
      </w:pPr>
      <w:r/>
      <w:bookmarkStart w:id="95" w:name="_Toc14577355"/>
      <w:r/>
      <w:bookmarkStart w:id="96" w:name="_Toc49090508"/>
      <w:r>
        <w:rPr>
          <w:rFonts w:hint="eastAsia" w:ascii="宋体" w:hAnsi="宋体" w:eastAsia="宋体" w:cs="宋体"/>
        </w:rPr>
        <w:t xml:space="preserve">11.1投标人应按照法律、法规、规章和规范性文件以及招标文件要求提交证明文件，证明其及投标标的符合招标文件规定。</w:t>
      </w:r>
      <w:bookmarkEnd w:id="95"/>
      <w:r/>
      <w:bookmarkEnd w:id="96"/>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11.2招标文件对证明文件无明确形式要求的，证明文件可以以文字资料、图纸和数据等形式提交。</w:t>
      </w:r>
      <w:r/>
    </w:p>
    <w:p>
      <w:pPr>
        <w:pStyle w:val="634"/>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12、投标分项报价</w:t>
      </w:r>
      <w:bookmarkStart w:id="97" w:name="_Hlt26670373"/>
      <w:r>
        <w:rPr>
          <w:rFonts w:hint="eastAsia" w:ascii="宋体" w:hAnsi="宋体" w:eastAsia="宋体" w:cs="宋体"/>
        </w:rPr>
        <w:t xml:space="preserve">表</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12.1投</w:t>
      </w:r>
      <w:bookmarkStart w:id="98" w:name="_Hlt26954840"/>
      <w:r>
        <w:rPr>
          <w:rFonts w:hint="eastAsia" w:ascii="宋体" w:hAnsi="宋体" w:eastAsia="宋体" w:cs="宋体"/>
        </w:rPr>
        <w:t xml:space="preserve">标人应按照招标文件规定格式填报投标分项报价表</w:t>
      </w:r>
      <w:bookmarkStart w:id="99" w:name="_Hlt26670399"/>
      <w:r>
        <w:rPr>
          <w:rFonts w:hint="eastAsia" w:ascii="宋体" w:hAnsi="宋体" w:eastAsia="宋体" w:cs="宋体"/>
        </w:rPr>
        <w:t xml:space="preserve">。</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12.2投标货币。投标文件中的单价和总价无特殊规定的采用人民币报价，以元为单位标注。招标文件中另有规定的按规定执行。</w:t>
      </w:r>
      <w:r/>
    </w:p>
    <w:p>
      <w:pPr>
        <w:pStyle w:val="634"/>
        <w:keepLines/>
        <w:keepNext/>
        <w:spacing w:beforeAutospacing="0" w:afterAutospacing="0" w:line="500" w:lineRule="exact"/>
        <w:rPr>
          <w:rFonts w:hint="eastAsia" w:ascii="宋体" w:hAnsi="宋体" w:eastAsia="宋体" w:cs="宋体"/>
        </w:rPr>
      </w:pPr>
      <w:r/>
      <w:bookmarkStart w:id="100" w:name="_Hlt26954844"/>
      <w:r/>
      <w:bookmarkStart w:id="101" w:name="_Hlt26954848"/>
      <w:r/>
      <w:bookmarkStart w:id="102" w:name="_Hlt26670403"/>
      <w:r/>
      <w:bookmarkStart w:id="103" w:name="_Hlt26670425"/>
      <w:r/>
      <w:bookmarkStart w:id="104" w:name="_Hlt26954731"/>
      <w:r/>
      <w:bookmarkStart w:id="105" w:name="_Hlt26954842"/>
      <w:r/>
      <w:bookmarkStart w:id="106" w:name="_Hlt26954846"/>
      <w:r/>
      <w:bookmarkStart w:id="107" w:name="_Hlt26670482"/>
      <w:r/>
      <w:bookmarkStart w:id="108" w:name="_Hlt26668983"/>
      <w:r/>
      <w:bookmarkStart w:id="109" w:name="_Hlt26670486"/>
      <w:r>
        <w:rPr>
          <w:rFonts w:hint="eastAsia" w:ascii="宋体" w:hAnsi="宋体" w:eastAsia="宋体" w:cs="宋体"/>
        </w:rPr>
        <w:t xml:space="preserve">13、技术要求响应及偏离表、商务要求响应及偏离表</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13.1投标人需对招标文件中的技术要求与商务要求逐项作出响应或偏离，并说明原因。</w:t>
      </w:r>
      <w:r/>
    </w:p>
    <w:p>
      <w:pPr>
        <w:pStyle w:val="634"/>
        <w:ind w:firstLine="480"/>
        <w:spacing w:beforeAutospacing="0" w:afterAutospacing="0" w:line="500" w:lineRule="exact"/>
        <w:tabs>
          <w:tab w:val="left" w:pos="1036" w:leader="none"/>
        </w:tabs>
        <w:rPr>
          <w:rFonts w:hint="eastAsia" w:ascii="宋体" w:hAnsi="宋体" w:eastAsia="宋体" w:cs="宋体"/>
        </w:rPr>
      </w:pPr>
      <w:r>
        <w:rPr>
          <w:rFonts w:hint="eastAsia" w:ascii="宋体" w:hAnsi="宋体" w:eastAsia="宋体" w:cs="宋体"/>
        </w:rPr>
        <w:t xml:space="preserve">13.2投标人可在投标文件中提供认为需要的其他技术文件或说明。</w:t>
      </w:r>
      <w:r/>
    </w:p>
    <w:p>
      <w:pPr>
        <w:pStyle w:val="634"/>
        <w:keepLines/>
        <w:keepNext/>
        <w:spacing w:beforeAutospacing="0" w:afterAutospacing="0" w:line="500" w:lineRule="exact"/>
        <w:rPr>
          <w:rFonts w:hint="eastAsia" w:ascii="宋体" w:hAnsi="宋体" w:eastAsia="宋体" w:cs="宋体"/>
        </w:rPr>
      </w:pPr>
      <w:r/>
      <w:bookmarkStart w:id="110" w:name="_Toc49090510"/>
      <w:r/>
      <w:bookmarkStart w:id="111" w:name="_Toc14577359"/>
      <w:r>
        <w:rPr>
          <w:rFonts w:hint="eastAsia" w:ascii="宋体" w:hAnsi="宋体" w:eastAsia="宋体" w:cs="宋体"/>
        </w:rPr>
        <w:t xml:space="preserve">14、投标函和开标一览表</w:t>
      </w:r>
      <w:bookmarkEnd w:id="110"/>
      <w:r/>
      <w:bookmarkEnd w:id="111"/>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14.1投标人应按照招标文件中提供的格式完整、正确填写投标函、开标一览表。</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rPr>
        <w:t xml:space="preserve">。</w:t>
      </w:r>
      <w:r/>
    </w:p>
    <w:p>
      <w:pPr>
        <w:pStyle w:val="634"/>
        <w:keepLines/>
        <w:keepNext/>
        <w:spacing w:beforeAutospacing="0" w:afterAutospacing="0" w:line="500" w:lineRule="exact"/>
        <w:rPr>
          <w:rFonts w:hint="eastAsia" w:ascii="宋体" w:hAnsi="宋体" w:eastAsia="宋体" w:cs="宋体"/>
        </w:rPr>
      </w:pPr>
      <w:r/>
      <w:bookmarkStart w:id="112" w:name="_Toc14577360"/>
      <w:r/>
      <w:bookmarkStart w:id="113" w:name="_Toc49090511"/>
      <w:r/>
      <w:bookmarkStart w:id="114" w:name="_Hlt26954850"/>
      <w:r/>
      <w:bookmarkStart w:id="115" w:name="_Hlt26670489"/>
      <w:r/>
      <w:bookmarkStart w:id="116" w:name="_Hlt26954734"/>
      <w:r>
        <w:rPr>
          <w:rFonts w:hint="eastAsia" w:ascii="宋体" w:hAnsi="宋体" w:eastAsia="宋体" w:cs="宋体"/>
        </w:rPr>
        <w:t xml:space="preserve">15、投标有效期</w:t>
      </w:r>
      <w:bookmarkEnd w:id="112"/>
      <w:r/>
      <w:bookmarkEnd w:id="113"/>
      <w:r/>
      <w:r/>
    </w:p>
    <w:p>
      <w:pPr>
        <w:pStyle w:val="634"/>
        <w:ind w:firstLine="480"/>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15.1投标有效期为采购人规定的开标之日后</w:t>
      </w:r>
      <w:r>
        <w:rPr>
          <w:rFonts w:hint="eastAsia" w:ascii="宋体" w:hAnsi="宋体" w:eastAsia="宋体" w:cs="宋体"/>
          <w:b/>
          <w:u w:val="single"/>
        </w:rPr>
        <w:t xml:space="preserve">九十（90）天</w:t>
      </w:r>
      <w:r>
        <w:rPr>
          <w:rFonts w:hint="eastAsia" w:ascii="宋体" w:hAnsi="宋体" w:eastAsia="宋体" w:cs="宋体"/>
        </w:rPr>
        <w:t xml:space="preserve">。投标有效期比规定短的将被视为未实质性响应招标文件而予以拒绝。</w:t>
      </w:r>
      <w:r/>
    </w:p>
    <w:p>
      <w:pPr>
        <w:pStyle w:val="634"/>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16、投标有效期的延长</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634"/>
        <w:keepLines/>
        <w:keepNext/>
        <w:spacing w:beforeAutospacing="0" w:afterAutospacing="0" w:line="500" w:lineRule="exact"/>
        <w:rPr>
          <w:rFonts w:hint="eastAsia" w:ascii="宋体" w:hAnsi="宋体" w:eastAsia="宋体" w:cs="宋体"/>
        </w:rPr>
      </w:pPr>
      <w:r/>
      <w:bookmarkStart w:id="117" w:name="_Toc20823296"/>
      <w:r/>
      <w:bookmarkStart w:id="118" w:name="_Toc513029224"/>
      <w:r/>
      <w:bookmarkStart w:id="119" w:name="_Toc120614217"/>
      <w:r/>
      <w:bookmarkStart w:id="120" w:name="_Toc16938540"/>
      <w:r/>
      <w:bookmarkStart w:id="121" w:name="_Hlt26954739"/>
      <w:r/>
      <w:bookmarkStart w:id="122" w:name="_Hlt26954852"/>
      <w:r>
        <w:rPr>
          <w:rFonts w:hint="eastAsia" w:ascii="宋体" w:hAnsi="宋体" w:eastAsia="宋体" w:cs="宋体"/>
          <w:b/>
        </w:rPr>
        <w:t xml:space="preserve">四、投标文件的递交</w:t>
      </w:r>
      <w:bookmarkEnd w:id="117"/>
      <w:r/>
      <w:bookmarkEnd w:id="118"/>
      <w:r/>
      <w:bookmarkEnd w:id="119"/>
      <w:r/>
      <w:bookmarkEnd w:id="120"/>
      <w:r/>
      <w:r/>
    </w:p>
    <w:p>
      <w:pPr>
        <w:pStyle w:val="634"/>
        <w:keepLines/>
        <w:keepNext/>
        <w:spacing w:beforeAutospacing="0" w:afterAutospacing="0" w:line="500" w:lineRule="exact"/>
        <w:rPr>
          <w:rFonts w:hint="eastAsia" w:ascii="宋体" w:hAnsi="宋体" w:eastAsia="宋体" w:cs="宋体"/>
        </w:rPr>
      </w:pPr>
      <w:r/>
      <w:bookmarkStart w:id="123" w:name="_Toc513029225"/>
      <w:r/>
      <w:bookmarkStart w:id="124" w:name="_Toc16938541"/>
      <w:r/>
      <w:bookmarkStart w:id="125" w:name="_Toc462564084"/>
      <w:r/>
      <w:bookmarkStart w:id="126" w:name="_Toc20823297"/>
      <w:r>
        <w:rPr>
          <w:rFonts w:hint="eastAsia" w:ascii="宋体" w:hAnsi="宋体" w:eastAsia="宋体" w:cs="宋体"/>
        </w:rPr>
        <w:t xml:space="preserve">17、投标文件</w:t>
      </w:r>
      <w:bookmarkEnd w:id="123"/>
      <w:r/>
      <w:bookmarkEnd w:id="124"/>
      <w:r/>
      <w:bookmarkEnd w:id="125"/>
      <w:r/>
      <w:bookmarkEnd w:id="126"/>
      <w:r>
        <w:rPr>
          <w:rFonts w:hint="eastAsia" w:ascii="宋体" w:hAnsi="宋体" w:eastAsia="宋体" w:cs="宋体"/>
        </w:rPr>
        <w:t xml:space="preserve">的递交</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17.1 电子投标文件的递交</w:t>
      </w:r>
      <w:r/>
    </w:p>
    <w:p>
      <w:pPr>
        <w:pStyle w:val="634"/>
        <w:ind w:left="525"/>
        <w:spacing w:beforeAutospacing="0" w:afterAutospacing="0" w:line="500" w:lineRule="exact"/>
        <w:rPr>
          <w:rFonts w:hint="eastAsia" w:ascii="宋体" w:hAnsi="宋体" w:eastAsia="宋体" w:cs="宋体"/>
        </w:rPr>
      </w:pPr>
      <w:r>
        <w:rPr>
          <w:rFonts w:hint="eastAsia" w:ascii="宋体" w:hAnsi="宋体" w:eastAsia="宋体" w:cs="宋体"/>
        </w:rPr>
        <w:t xml:space="preserve">投标人应当按照《操作手册》规定，在投标截止时间前制作并上传电子投标文件。</w:t>
      </w:r>
      <w:bookmarkStart w:id="127" w:name="_Toc20823298"/>
      <w:r/>
      <w:bookmarkEnd w:id="127"/>
      <w:r/>
      <w:bookmarkStart w:id="128" w:name="_Toc16938542"/>
      <w:r/>
      <w:bookmarkEnd w:id="128"/>
      <w:r/>
      <w:bookmarkStart w:id="129" w:name="_Toc513029226"/>
      <w:r/>
      <w:r/>
    </w:p>
    <w:p>
      <w:pPr>
        <w:pStyle w:val="634"/>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18、投标截止时间</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i/>
          <w:u w:val="single"/>
        </w:rPr>
        <w:t xml:space="preserve">18.1投标人上传电子投标文件的时间不得迟于招标公告中规定的投标截止时间。</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投标人应充分考虑到网络环境、网络带宽等风险因素，如因投标人自身原因造成的电子投标文件上传不成功的按照本招标文件第二章第26.1.2条 规定做无效投标处理。</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18.2采购人可以按照规定，通过修改招标文件酌情延长投标截止时间，在此情况下，</w:t>
      </w:r>
      <w:r/>
    </w:p>
    <w:p>
      <w:pPr>
        <w:pStyle w:val="634"/>
        <w:spacing w:beforeAutospacing="0" w:afterAutospacing="0" w:line="500" w:lineRule="exact"/>
        <w:rPr>
          <w:rFonts w:hint="eastAsia" w:ascii="宋体" w:hAnsi="宋体" w:eastAsia="宋体" w:cs="宋体"/>
        </w:rPr>
      </w:pPr>
      <w:r>
        <w:rPr>
          <w:rFonts w:hint="eastAsia" w:ascii="宋体" w:hAnsi="宋体" w:eastAsia="宋体" w:cs="宋体"/>
        </w:rPr>
        <w:t xml:space="preserve">投标人的所有权利和义务以及投标人受制的截止时间均应以延长后新的截止时间为准。</w:t>
      </w:r>
      <w:r/>
    </w:p>
    <w:p>
      <w:pPr>
        <w:pStyle w:val="634"/>
        <w:keepLines/>
        <w:keepNext/>
        <w:spacing w:beforeAutospacing="0" w:afterAutospacing="0" w:line="500" w:lineRule="exact"/>
        <w:rPr>
          <w:rFonts w:hint="eastAsia" w:ascii="宋体" w:hAnsi="宋体" w:eastAsia="宋体" w:cs="宋体"/>
        </w:rPr>
      </w:pPr>
      <w:r/>
      <w:bookmarkStart w:id="130" w:name="_Toc20823299"/>
      <w:r/>
      <w:bookmarkStart w:id="131" w:name="_Toc16938543"/>
      <w:r/>
      <w:bookmarkStart w:id="132" w:name="_Toc513029227"/>
      <w:r>
        <w:rPr>
          <w:rFonts w:hint="eastAsia" w:ascii="宋体" w:hAnsi="宋体" w:eastAsia="宋体" w:cs="宋体"/>
        </w:rPr>
        <w:t xml:space="preserve">19、投标文件</w:t>
      </w:r>
      <w:bookmarkEnd w:id="130"/>
      <w:r/>
      <w:bookmarkEnd w:id="131"/>
      <w:r/>
      <w:bookmarkEnd w:id="132"/>
      <w:r>
        <w:rPr>
          <w:rFonts w:hint="eastAsia" w:ascii="宋体" w:hAnsi="宋体" w:eastAsia="宋体" w:cs="宋体"/>
        </w:rPr>
        <w:t xml:space="preserve">的拒收</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19.1采购人拒绝接收在其规定的投标截止时间后上传的任何投标文件。</w:t>
      </w:r>
      <w:r/>
    </w:p>
    <w:p>
      <w:pPr>
        <w:pStyle w:val="634"/>
        <w:keepLines/>
        <w:keepNext/>
        <w:spacing w:beforeAutospacing="0" w:afterAutospacing="0" w:line="500" w:lineRule="exact"/>
        <w:rPr>
          <w:rFonts w:hint="eastAsia" w:ascii="宋体" w:hAnsi="宋体" w:eastAsia="宋体" w:cs="宋体"/>
        </w:rPr>
      </w:pPr>
      <w:r/>
      <w:bookmarkStart w:id="133" w:name="_Toc16938544"/>
      <w:r/>
      <w:bookmarkStart w:id="134" w:name="_Toc513029228"/>
      <w:r/>
      <w:bookmarkStart w:id="135" w:name="_Toc20823300"/>
      <w:r>
        <w:rPr>
          <w:rFonts w:hint="eastAsia" w:ascii="宋体" w:hAnsi="宋体" w:eastAsia="宋体" w:cs="宋体"/>
        </w:rPr>
        <w:t xml:space="preserve">20、投标文件的撤回和修改</w:t>
      </w:r>
      <w:bookmarkEnd w:id="133"/>
      <w:r/>
      <w:bookmarkEnd w:id="134"/>
      <w:r/>
      <w:bookmarkEnd w:id="135"/>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20.1投标文件的撤回</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20.1.1电子投标文件的撤回</w:t>
      </w:r>
      <w:r/>
    </w:p>
    <w:p>
      <w:pPr>
        <w:pStyle w:val="634"/>
        <w:ind w:firstLine="360"/>
        <w:spacing w:beforeAutospacing="0" w:afterAutospacing="0" w:line="500" w:lineRule="exact"/>
        <w:rPr>
          <w:rFonts w:hint="eastAsia" w:ascii="宋体" w:hAnsi="宋体" w:eastAsia="宋体" w:cs="宋体"/>
        </w:rPr>
      </w:pPr>
      <w:r>
        <w:rPr>
          <w:rFonts w:hint="eastAsia" w:ascii="宋体" w:hAnsi="宋体" w:eastAsia="宋体" w:cs="宋体"/>
        </w:rPr>
        <w:t xml:space="preserve">投标人可在投标截止时间前，撤回其电子投标文件，具体操作方法见《操作手册》。</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20.1.2投标人撤回电子投标文件，则认为其不再参与本项目投标活动。</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20.2 投标文件的修改</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20.2.1投标人可在投标截止时间前，对其电子投标文件进行修改，具体操作方法见《操作手册》。</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20.2.2在投标截止时间之后，投标人不得对其电子投标文件作任何修改。</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20.3在投标截止时间至招标文件中规定的投标有效期满之间的这段时间内，投标人不得撤回其投标。</w:t>
      </w:r>
      <w:r/>
    </w:p>
    <w:p>
      <w:pPr>
        <w:pStyle w:val="634"/>
        <w:keepLines/>
        <w:keepNext/>
        <w:spacing w:beforeAutospacing="0" w:afterAutospacing="0" w:line="500" w:lineRule="exact"/>
        <w:rPr>
          <w:rFonts w:hint="eastAsia" w:ascii="宋体" w:hAnsi="宋体" w:eastAsia="宋体" w:cs="宋体"/>
        </w:rPr>
      </w:pPr>
      <w:r/>
      <w:bookmarkStart w:id="136" w:name="_Toc513029229"/>
      <w:r/>
      <w:bookmarkStart w:id="137" w:name="_Toc120614218"/>
      <w:r/>
      <w:bookmarkStart w:id="138" w:name="_Toc20823301"/>
      <w:r/>
      <w:bookmarkStart w:id="139" w:name="_Toc16938545"/>
      <w:r>
        <w:rPr>
          <w:rFonts w:hint="eastAsia" w:ascii="宋体" w:hAnsi="宋体" w:eastAsia="宋体" w:cs="宋体"/>
          <w:b/>
        </w:rPr>
        <w:t xml:space="preserve">五、开标与评标</w:t>
      </w:r>
      <w:bookmarkEnd w:id="136"/>
      <w:r/>
      <w:bookmarkEnd w:id="137"/>
      <w:r/>
      <w:bookmarkEnd w:id="138"/>
      <w:r/>
      <w:bookmarkEnd w:id="139"/>
      <w:r/>
      <w:r/>
    </w:p>
    <w:p>
      <w:pPr>
        <w:pStyle w:val="634"/>
        <w:keepLines/>
        <w:keepNext/>
        <w:spacing w:beforeAutospacing="0" w:afterAutospacing="0" w:line="500" w:lineRule="exact"/>
        <w:rPr>
          <w:rFonts w:hint="eastAsia" w:ascii="宋体" w:hAnsi="宋体" w:eastAsia="宋体" w:cs="宋体"/>
        </w:rPr>
      </w:pPr>
      <w:r/>
      <w:bookmarkStart w:id="140" w:name="_Toc16938546"/>
      <w:r/>
      <w:bookmarkStart w:id="141" w:name="_Toc20823302"/>
      <w:r/>
      <w:bookmarkStart w:id="142" w:name="_Toc513029230"/>
      <w:r>
        <w:rPr>
          <w:rFonts w:hint="eastAsia" w:ascii="宋体" w:hAnsi="宋体" w:eastAsia="宋体" w:cs="宋体"/>
        </w:rPr>
        <w:t xml:space="preserve">21、开标</w:t>
      </w:r>
      <w:bookmarkEnd w:id="140"/>
      <w:r/>
      <w:bookmarkEnd w:id="141"/>
      <w:r/>
      <w:bookmarkEnd w:id="142"/>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21.1采购人将在招标公告中规定的时间和地点组织公开开标。投标人应当按照《操作手册》规定，参加开标活动和在苏采云系统规定的时间内对投标文件进行解密。</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21.2开标仪式由采购人或招标代理机构组织。苏采云系统将自动对项目进行开标，并宣布各投标人名称和投标价格。</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21.3投标人在开标过程中涉及到的投标文件解密、开标结果确认等工作，应按照《操作手册》规定执行。</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21.4投标人如果对开标过程和开标记录有疑义，应当根据《操作手册》规定提出，如苏采云系统中《开标记录表》宣布后5分钟内未提出的，视同认可开标结果。</w:t>
      </w:r>
      <w:r/>
    </w:p>
    <w:p>
      <w:pPr>
        <w:pStyle w:val="634"/>
        <w:keepLines/>
        <w:keepNext/>
        <w:spacing w:beforeAutospacing="0" w:afterAutospacing="0" w:line="500" w:lineRule="exact"/>
        <w:rPr>
          <w:rFonts w:hint="eastAsia" w:ascii="宋体" w:hAnsi="宋体" w:eastAsia="宋体" w:cs="宋体"/>
        </w:rPr>
      </w:pPr>
      <w:r/>
      <w:bookmarkStart w:id="143" w:name="_Toc16938547"/>
      <w:r/>
      <w:bookmarkStart w:id="144" w:name="_Toc513029231"/>
      <w:r/>
      <w:bookmarkStart w:id="145" w:name="_Toc20823303"/>
      <w:r>
        <w:rPr>
          <w:rFonts w:hint="eastAsia" w:ascii="宋体" w:hAnsi="宋体" w:eastAsia="宋体" w:cs="宋体"/>
        </w:rPr>
        <w:t xml:space="preserve">22、评标委员会</w:t>
      </w:r>
      <w:bookmarkEnd w:id="143"/>
      <w:r/>
      <w:bookmarkEnd w:id="144"/>
      <w:r/>
      <w:bookmarkEnd w:id="145"/>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22.1开标后，采购人将立即组织评标委员会（以下简称评委会）进行评标。</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22.2评委会由采购人代表和有关技术、经济等方面的专家组成，且人员构成符合政府采购有关规定。</w:t>
      </w:r>
      <w:r/>
    </w:p>
    <w:p>
      <w:pPr>
        <w:pStyle w:val="634"/>
        <w:spacing w:beforeAutospacing="0" w:afterAutospacing="0" w:line="500" w:lineRule="exact"/>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22.3评委会独立工作，负责评审所有投标文件并确定中标候选人。</w:t>
      </w:r>
      <w:r/>
    </w:p>
    <w:p>
      <w:pPr>
        <w:pStyle w:val="634"/>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23、评标过程的保密与公正</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23.1凡是与审查、澄清、评价和比较投标的有关资料以及授标建议等，采购人、评委、招标代理机构均不得向投标人或与评标无关的其他人员透露。</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23.2在评标过程中，投标人不得以任何行为影响评标过程，否则其投标文件将被作为无效投标文件。</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23.3采购人或招标代理机构和评标委员会不向未中标的投标人解释未中标原因，也不公布评标过程中的相关细节。</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23.4采用综合评分法的项目，未中标的投标人可于中标结果公告期限届满之日起通过苏采云系统查看自己的评审得分及排序情况。</w:t>
      </w:r>
      <w:r/>
    </w:p>
    <w:p>
      <w:pPr>
        <w:pStyle w:val="634"/>
        <w:keepLines/>
        <w:keepNext/>
        <w:spacing w:beforeAutospacing="0" w:afterAutospacing="0" w:line="500" w:lineRule="exact"/>
        <w:rPr>
          <w:rFonts w:hint="eastAsia" w:ascii="宋体" w:hAnsi="宋体" w:eastAsia="宋体" w:cs="宋体"/>
        </w:rPr>
      </w:pPr>
      <w:r/>
      <w:bookmarkStart w:id="146" w:name="_Toc513029232"/>
      <w:r/>
      <w:bookmarkStart w:id="147" w:name="_Toc20823304"/>
      <w:r/>
      <w:bookmarkStart w:id="148" w:name="_Toc16938548"/>
      <w:r>
        <w:rPr>
          <w:rFonts w:hint="eastAsia" w:ascii="宋体" w:hAnsi="宋体" w:eastAsia="宋体" w:cs="宋体"/>
        </w:rPr>
        <w:t xml:space="preserve">24、投标文件的澄清</w:t>
      </w:r>
      <w:bookmarkEnd w:id="146"/>
      <w:r/>
      <w:bookmarkEnd w:id="147"/>
      <w:r/>
      <w:bookmarkEnd w:id="148"/>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24.1评标期间，评委会对投标文件中含义不明确、同类问题表述不一致或者有明显文字和计算错误的内容 ，有权要求投标人作出必要的澄清、说明或者补正。</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投标人的澄清、说明或者补正不得超出投标文件的范围或者改变投标文件的实质性内容。</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评标委员会并非对每个投标人都做澄清要求。</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24.3接到评委会澄清、说明和补正要求的投标人如未按规定作出澄清、说明和补正，其风险由投标人自行承担。</w:t>
      </w:r>
      <w:r/>
    </w:p>
    <w:p>
      <w:pPr>
        <w:pStyle w:val="634"/>
        <w:keepLines/>
        <w:keepNext/>
        <w:spacing w:beforeAutospacing="0" w:afterAutospacing="0" w:line="500" w:lineRule="exact"/>
        <w:rPr>
          <w:rFonts w:hint="eastAsia" w:ascii="宋体" w:hAnsi="宋体" w:eastAsia="宋体" w:cs="宋体"/>
        </w:rPr>
      </w:pPr>
      <w:r/>
      <w:bookmarkStart w:id="149" w:name="_Toc513029233"/>
      <w:r/>
      <w:bookmarkStart w:id="150" w:name="_Toc16938549"/>
      <w:r/>
      <w:bookmarkStart w:id="151" w:name="_Toc20823305"/>
      <w:r>
        <w:rPr>
          <w:rFonts w:hint="eastAsia" w:ascii="宋体" w:hAnsi="宋体" w:eastAsia="宋体" w:cs="宋体"/>
        </w:rPr>
        <w:t xml:space="preserve">25、对投标文件的初审</w:t>
      </w:r>
      <w:bookmarkEnd w:id="149"/>
      <w:r/>
      <w:bookmarkEnd w:id="150"/>
      <w:r/>
      <w:bookmarkEnd w:id="151"/>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25.1投标文件初审分为资格审查和符合性审查。</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25.1.1资格审查：依据法律法规和招标文件的规定，由采购人对投标文件中的资格证明文件进行审查。资格审查的结论，采购人以书面形式向评委会进行反馈。</w:t>
      </w:r>
      <w:r/>
    </w:p>
    <w:p>
      <w:pPr>
        <w:pStyle w:val="634"/>
        <w:spacing w:beforeAutospacing="0" w:afterAutospacing="0" w:line="500" w:lineRule="exact"/>
        <w:rPr>
          <w:rFonts w:hint="eastAsia" w:ascii="宋体" w:hAnsi="宋体" w:eastAsia="宋体" w:cs="宋体"/>
        </w:rPr>
      </w:pPr>
      <w:r>
        <w:rPr>
          <w:rFonts w:hint="eastAsia" w:ascii="宋体" w:hAnsi="宋体" w:eastAsia="宋体" w:cs="宋体"/>
        </w:rPr>
        <w:t xml:space="preserve">采购人在进行资格性审查的同时，将在“信用中国”网站（www.creditchina.gov.cn）查询投标人的信用记录，以确定投标人是否具备投标资格,查询结果留存并归档。</w:t>
      </w:r>
      <w:r/>
    </w:p>
    <w:p>
      <w:pPr>
        <w:pStyle w:val="634"/>
        <w:spacing w:beforeAutospacing="0" w:afterAutospacing="0" w:line="500" w:lineRule="exact"/>
        <w:rPr>
          <w:rFonts w:hint="eastAsia" w:ascii="宋体" w:hAnsi="宋体" w:eastAsia="宋体" w:cs="宋体"/>
        </w:rPr>
      </w:pPr>
      <w:r>
        <w:rPr>
          <w:rFonts w:hint="eastAsia" w:ascii="宋体" w:hAnsi="宋体" w:eastAsia="宋体" w:cs="宋体"/>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25.1.2符合性审查：依据招标文件的规定，由评委会从投标文件的有效性、完整性和对招标文件的响应程度进行审查，以确定是否对招标文件的实质性要求作出响应。</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25.1.3未通过资格审查或符合性审查的投标人，采购人将在苏采云系统中告知未通过资格审查或符合性审查的原因，评标结束后，采购人将不再告知未通过资格审查和符合性审查的原因。</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25.3如果投标文件实质上没有响应招标文件的要求，评委会将予以拒绝，投标人不得通过修改或撤销不合要求的偏离或保留而使其投标成为实质性响应的投标。</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25.4评委会将对确定为实质性响应的投标进行进一步审核，确定其是否有计算上或累加上的算术错误，修正错误的原则如下：</w:t>
      </w:r>
      <w:r/>
    </w:p>
    <w:p>
      <w:pPr>
        <w:pStyle w:val="634"/>
        <w:ind w:firstLine="360"/>
        <w:spacing w:beforeAutospacing="0" w:afterAutospacing="0" w:line="500" w:lineRule="exact"/>
        <w:rPr>
          <w:rFonts w:hint="eastAsia" w:ascii="宋体" w:hAnsi="宋体" w:eastAsia="宋体" w:cs="宋体"/>
        </w:rPr>
      </w:pPr>
      <w:r>
        <w:rPr>
          <w:rFonts w:hint="eastAsia" w:ascii="宋体" w:hAnsi="宋体" w:eastAsia="宋体" w:cs="宋体"/>
        </w:rPr>
        <w:t xml:space="preserve">（1）投标文件中开标一览表内容与投标文件中相应内容不一致的，以开标一览表为准。</w:t>
      </w:r>
      <w:r/>
    </w:p>
    <w:p>
      <w:pPr>
        <w:pStyle w:val="634"/>
        <w:ind w:firstLine="360"/>
        <w:spacing w:beforeAutospacing="0" w:afterAutospacing="0" w:line="500" w:lineRule="exact"/>
        <w:rPr>
          <w:rFonts w:hint="eastAsia" w:ascii="宋体" w:hAnsi="宋体" w:eastAsia="宋体" w:cs="宋体"/>
        </w:rPr>
      </w:pPr>
      <w:r>
        <w:rPr>
          <w:rFonts w:hint="eastAsia" w:ascii="宋体" w:hAnsi="宋体" w:eastAsia="宋体" w:cs="宋体"/>
        </w:rPr>
        <w:t xml:space="preserve">（2）大写金额和小写金额不一致的，以大写金额为准。</w:t>
      </w:r>
      <w:r/>
    </w:p>
    <w:p>
      <w:pPr>
        <w:pStyle w:val="634"/>
        <w:ind w:firstLine="360"/>
        <w:spacing w:beforeAutospacing="0" w:afterAutospacing="0" w:line="500" w:lineRule="exact"/>
        <w:rPr>
          <w:rFonts w:hint="eastAsia" w:ascii="宋体" w:hAnsi="宋体" w:eastAsia="宋体" w:cs="宋体"/>
        </w:rPr>
      </w:pPr>
      <w:r>
        <w:rPr>
          <w:rFonts w:hint="eastAsia" w:ascii="宋体" w:hAnsi="宋体" w:eastAsia="宋体" w:cs="宋体"/>
        </w:rPr>
        <w:t xml:space="preserve">（3）单价金额小数点或者百分比有明显错位的，以开标一览表的总价为准，并修改单价。</w:t>
      </w:r>
      <w:r/>
    </w:p>
    <w:p>
      <w:pPr>
        <w:pStyle w:val="634"/>
        <w:ind w:firstLine="360"/>
        <w:spacing w:beforeAutospacing="0" w:afterAutospacing="0" w:line="500" w:lineRule="exact"/>
        <w:rPr>
          <w:rFonts w:hint="eastAsia" w:ascii="宋体" w:hAnsi="宋体" w:eastAsia="宋体" w:cs="宋体"/>
        </w:rPr>
      </w:pPr>
      <w:r>
        <w:rPr>
          <w:rFonts w:hint="eastAsia" w:ascii="宋体" w:hAnsi="宋体" w:eastAsia="宋体" w:cs="宋体"/>
        </w:rPr>
        <w:t xml:space="preserve">（4）总价金额与按单价汇总金额不一致的，以单价金额计算结果为准。</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同时出现两种以上错误的，按照前款规定的顺序修正。</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34"/>
        <w:ind w:firstLine="480"/>
        <w:spacing w:beforeAutospacing="0" w:afterAutospacing="0" w:line="500" w:lineRule="exact"/>
        <w:rPr>
          <w:rFonts w:hint="eastAsia" w:ascii="宋体" w:hAnsi="宋体" w:eastAsia="宋体" w:cs="宋体"/>
        </w:rPr>
      </w:pPr>
      <w:r/>
      <w:bookmarkStart w:id="152" w:name="_Toc20823306"/>
      <w:r/>
      <w:bookmarkStart w:id="153" w:name="_Toc513029234"/>
      <w:r/>
      <w:bookmarkStart w:id="154" w:name="_Toc16938550"/>
      <w:r>
        <w:rPr>
          <w:rFonts w:hint="eastAsia" w:ascii="宋体" w:hAnsi="宋体" w:eastAsia="宋体" w:cs="宋体"/>
        </w:rPr>
        <w:t xml:space="preserve">25.6投标人在开、评标全过程中应保持通信畅通，及时登录苏采云系统查阅、答复相关信息，并安排专人与采购人及评标委员会联系。</w:t>
      </w:r>
      <w:bookmarkEnd w:id="152"/>
      <w:r/>
      <w:bookmarkEnd w:id="153"/>
      <w:r/>
      <w:bookmarkEnd w:id="154"/>
      <w:r/>
      <w:r/>
    </w:p>
    <w:p>
      <w:pPr>
        <w:pStyle w:val="634"/>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26、无效投标条款和废标条款</w:t>
      </w:r>
      <w:r/>
    </w:p>
    <w:p>
      <w:pPr>
        <w:pStyle w:val="634"/>
        <w:ind w:firstLine="482"/>
        <w:spacing w:beforeAutospacing="0" w:afterAutospacing="0" w:line="500" w:lineRule="exact"/>
        <w:rPr>
          <w:rFonts w:hint="eastAsia" w:ascii="宋体" w:hAnsi="宋体" w:eastAsia="宋体" w:cs="宋体"/>
          <w:b/>
          <w:bCs/>
        </w:rPr>
      </w:pPr>
      <w:r/>
      <w:bookmarkStart w:id="155" w:name="_Toc16938551"/>
      <w:r/>
      <w:bookmarkStart w:id="156" w:name="_Toc20823307"/>
      <w:r/>
      <w:bookmarkStart w:id="157" w:name="_Toc513029235"/>
      <w:r>
        <w:rPr>
          <w:rFonts w:hint="eastAsia" w:ascii="宋体" w:hAnsi="宋体" w:eastAsia="宋体" w:cs="宋体"/>
          <w:b/>
          <w:bCs/>
        </w:rPr>
        <w:t xml:space="preserve">26.1无效投标条款</w:t>
      </w:r>
      <w:bookmarkEnd w:id="155"/>
      <w:r/>
      <w:bookmarkEnd w:id="156"/>
      <w:r/>
      <w:bookmarkEnd w:id="157"/>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26.1.1投标人在苏采云系统规定的时间内未成功解密电子投标文件的。</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26.1.2投标人未按照招标文件要求上传电子投标文件的。</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26.1.3同一投标人提交两个（含两个）以上不同的投标报价的。</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26.1.4投标人不具备招标文件中规定资格要求的。</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26.1.5投标人的报价超过了采购预算或最高限价的。</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26.1.6未通过符合性审查的。</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26.1.7不符合招标文件中规定的实质性要求和条件的（</w:t>
      </w:r>
      <w:r>
        <w:rPr>
          <w:rFonts w:hint="eastAsia" w:ascii="宋体" w:hAnsi="宋体" w:eastAsia="宋体" w:cs="宋体"/>
          <w:i/>
          <w:u w:val="single"/>
        </w:rPr>
        <w:t xml:space="preserve">本招标文件中斜体且有下划线部分为实质性要求和条件）。</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26.1.9投标文件含有采购人不能接受的附加条件的。</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26.1.10投标人不能证明其报价合理性的，评标委员会应当将其作为无效投标处理。</w:t>
      </w:r>
      <w:r/>
    </w:p>
    <w:p>
      <w:pPr>
        <w:pStyle w:val="634"/>
        <w:ind w:firstLine="120"/>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（一）评审过程中出现下列情形之一的，评标委员会应当启动异常低价投标审查程序：</w:t>
      </w:r>
      <w:r/>
    </w:p>
    <w:p>
      <w:pPr>
        <w:pStyle w:val="634"/>
        <w:ind w:firstLine="482"/>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1.投标报价低于采购项目预算50% 的，即投标报价&lt;采购项目预算×50%；</w:t>
      </w:r>
      <w:r/>
    </w:p>
    <w:p>
      <w:pPr>
        <w:pStyle w:val="634"/>
        <w:ind w:firstLine="482"/>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2.投标报价低于采购项目最高限价45% 的，即投标报价&lt;采购项目最高限价×45%；</w:t>
      </w:r>
      <w:r/>
    </w:p>
    <w:p>
      <w:pPr>
        <w:pStyle w:val="634"/>
        <w:ind w:firstLine="482"/>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3.评标委员会认定的供应商报价过低、有可能影响产品质量或者不能诚信履约的其他情形。</w:t>
      </w:r>
      <w:r/>
    </w:p>
    <w:p>
      <w:pPr>
        <w:pStyle w:val="634"/>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26.1.11投标文件未按照招标文件要求加盖CA电子公章的。</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26.1.12其他法律、法规及本招标文件规定的属无效投标的情形。</w:t>
      </w:r>
      <w:r/>
    </w:p>
    <w:p>
      <w:pPr>
        <w:pStyle w:val="634"/>
        <w:ind w:firstLine="482"/>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26.2废标条款</w:t>
      </w:r>
      <w:r/>
    </w:p>
    <w:p>
      <w:pPr>
        <w:pStyle w:val="634"/>
        <w:ind w:left="479"/>
        <w:spacing w:beforeAutospacing="0" w:afterAutospacing="0" w:line="500" w:lineRule="exact"/>
        <w:rPr>
          <w:rFonts w:hint="eastAsia" w:ascii="宋体" w:hAnsi="宋体" w:eastAsia="宋体" w:cs="宋体"/>
        </w:rPr>
      </w:pPr>
      <w:r>
        <w:rPr>
          <w:rFonts w:hint="eastAsia" w:ascii="宋体" w:hAnsi="宋体" w:eastAsia="宋体" w:cs="宋体"/>
        </w:rPr>
        <w:t xml:space="preserve">26.2.1符合专业条件的供应商或者对招标文件作实质响应的供应商不足三家的。</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26.2.2出现影响采购公正的违法、违规行为的。</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26.2.3因重大变故，采购任务取消的。</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26.2.4评标委员会认定招标文件存在歧义、重大缺陷导致评审工作无法进行。</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26.2.5因苏采云系统系统故障原因造成开标不成功的。</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26.3 投标截止时间结束后参加投标的供应商不足三家的处理：</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26.3.1如出现投标截止时间结束后参加投标的供应商或者在评标期间对招标文件做出实质响应的供应商不足三家情况，按政府采购相关规定执行。</w:t>
      </w:r>
      <w:r/>
    </w:p>
    <w:p>
      <w:pPr>
        <w:pStyle w:val="634"/>
        <w:keepLines/>
        <w:keepNext/>
        <w:spacing w:beforeAutospacing="0" w:afterAutospacing="0" w:line="500" w:lineRule="exact"/>
        <w:rPr>
          <w:rFonts w:hint="eastAsia" w:ascii="宋体" w:hAnsi="宋体" w:eastAsia="宋体" w:cs="宋体"/>
        </w:rPr>
      </w:pPr>
      <w:r/>
      <w:bookmarkStart w:id="158" w:name="_Toc120614219"/>
      <w:r>
        <w:rPr>
          <w:rFonts w:hint="eastAsia" w:ascii="宋体" w:hAnsi="宋体" w:eastAsia="宋体" w:cs="宋体"/>
          <w:b/>
        </w:rPr>
        <w:t xml:space="preserve">六、定标</w:t>
      </w:r>
      <w:bookmarkEnd w:id="158"/>
      <w:r/>
      <w:r/>
    </w:p>
    <w:p>
      <w:pPr>
        <w:pStyle w:val="634"/>
        <w:keepLines/>
        <w:keepNext/>
        <w:spacing w:beforeAutospacing="0" w:afterAutospacing="0" w:line="500" w:lineRule="exact"/>
        <w:rPr>
          <w:rFonts w:hint="eastAsia" w:ascii="宋体" w:hAnsi="宋体" w:eastAsia="宋体" w:cs="宋体"/>
        </w:rPr>
      </w:pPr>
      <w:r/>
      <w:bookmarkStart w:id="159" w:name="_Toc20823310"/>
      <w:r/>
      <w:bookmarkStart w:id="160" w:name="_Toc513029238"/>
      <w:r/>
      <w:bookmarkStart w:id="161" w:name="_Toc16938554"/>
      <w:r>
        <w:rPr>
          <w:rFonts w:hint="eastAsia" w:ascii="宋体" w:hAnsi="宋体" w:eastAsia="宋体" w:cs="宋体"/>
        </w:rPr>
        <w:t xml:space="preserve">27、</w:t>
      </w:r>
      <w:bookmarkEnd w:id="159"/>
      <w:r>
        <w:rPr>
          <w:rFonts w:hint="eastAsia" w:ascii="宋体" w:hAnsi="宋体" w:eastAsia="宋体" w:cs="宋体"/>
        </w:rPr>
        <w:t xml:space="preserve">确定</w:t>
      </w:r>
      <w:bookmarkEnd w:id="160"/>
      <w:r/>
      <w:bookmarkEnd w:id="161"/>
      <w:r>
        <w:rPr>
          <w:rFonts w:hint="eastAsia" w:ascii="宋体" w:hAnsi="宋体" w:eastAsia="宋体" w:cs="宋体"/>
        </w:rPr>
        <w:t xml:space="preserve">中标单位</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27.1中标候选人的选取原则和数量见招标文件第五章规定。 </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27.2采购人应根据评委会推荐的中标候选人确定中标人。</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27.3采购人将在“中国政府采购网”“江苏政府采购网”“盐城市政府采购网”发布中标公告，公告期限为1个工作日。</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27.4若有充分证据证明，中标人出现下列情况之一的，一经查实，将被取消中标资格：</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27.4.1提供虚假材料谋取中标的。</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27.4.2向采购人、代理机构行贿或者提供其他不正当利益的。</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27.4.3属于本文件规定的无效条件，但在评标过程中又未被评委会发现的。</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27.4.4与采购人或者其他供应商恶意串通的。</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27.4.5采取不正当手段诋毁、排挤其他供应商的。</w:t>
      </w:r>
      <w:r/>
    </w:p>
    <w:p>
      <w:pPr>
        <w:pStyle w:val="634"/>
        <w:ind w:firstLine="480"/>
        <w:spacing w:beforeAutospacing="0" w:afterAutospacing="0" w:line="500" w:lineRule="exact"/>
        <w:rPr>
          <w:rFonts w:hint="eastAsia" w:ascii="宋体" w:hAnsi="宋体" w:eastAsia="宋体" w:cs="宋体"/>
        </w:rPr>
      </w:pPr>
      <w:r/>
      <w:bookmarkStart w:id="162" w:name="_Toc200451960"/>
      <w:r>
        <w:rPr>
          <w:rFonts w:hint="eastAsia" w:ascii="宋体" w:hAnsi="宋体" w:eastAsia="宋体" w:cs="宋体"/>
        </w:rPr>
        <w:t xml:space="preserve">27.5 有下列情形之一的，视为投标人串通投标，投标无效：</w:t>
      </w:r>
      <w:bookmarkEnd w:id="162"/>
      <w:r>
        <w:rPr>
          <w:rFonts w:hint="eastAsia" w:ascii="宋体" w:hAnsi="宋体" w:eastAsia="宋体" w:cs="宋体"/>
        </w:rPr>
        <w:t xml:space="preserve">27.5.1不同投标人的投标文件由同一单位或者个人编制。</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27.5.2不同投标人委托同一单位或者个人办理投标事宜。</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27.5.3不同投标人的投标文件载明的项目管理成员或者联系人员为同一人。</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27.5.4不同投标人的投标文件异常一致或者投标报价呈规律性差异。</w:t>
      </w:r>
      <w:r/>
    </w:p>
    <w:p>
      <w:pPr>
        <w:pStyle w:val="634"/>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28、质疑处理</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28.1提出质疑的供应商应当是参与所质疑项目采购活动的供应商。潜在供应商依法获取其可质疑的采购文件的，可以对采购文件提出质疑。</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28.2供应商认为采购文件、采购过程和采购结果使自己的权益受到损害的，可以在知道或应知其权益受到损害之日起七个工作日内，以书面形式根据下述28.4条款的规定向招标代理机构或采购人提出质疑。上述应知其权益受到损害之日，是指：</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28.2.1对可以质疑的采购文件提出质疑的，为收到采购文件之日或者采购文件公告期限届满之日；</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28.2.2对采购过程提出质疑的，为各采购程序环节结束之日；</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28.2.3对中标或者成交结果提出质疑的，为中标或者成交结果公告期限届满之日。</w:t>
      </w:r>
      <w:r/>
    </w:p>
    <w:p>
      <w:pPr>
        <w:pStyle w:val="634"/>
        <w:spacing w:beforeAutospacing="0" w:afterAutospacing="0" w:line="500" w:lineRule="exact"/>
        <w:rPr>
          <w:rFonts w:hint="eastAsia"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供应商应当在法定质疑期内一次性提出针对同一采购程序环节的质疑。供应商如在法定期限内对同一采购程序环节提出多次质疑的，招标代理机构、采购人将只对供应商第一次质疑作出答复。</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人或招标代理机构提出，由采购人负责答复。</w:t>
      </w:r>
      <w:r/>
    </w:p>
    <w:p>
      <w:pPr>
        <w:ind w:firstLine="480"/>
        <w:jc w:val="left"/>
        <w:spacing w:line="500" w:lineRule="exact"/>
        <w:tabs>
          <w:tab w:val="left" w:pos="1331" w:leader="none"/>
        </w:tabs>
        <w:rPr>
          <w:rFonts w:hint="eastAsia" w:ascii="宋体" w:hAnsi="宋体" w:eastAsia="宋体" w:cs="宋体"/>
          <w:sz w:val="24"/>
        </w:rPr>
      </w:pPr>
      <w:r>
        <w:rPr>
          <w:rFonts w:hint="eastAsia" w:ascii="宋体" w:hAnsi="宋体" w:eastAsia="宋体" w:cs="宋体"/>
          <w:sz w:val="24"/>
        </w:rPr>
        <w:t xml:space="preserve">招标代理机构及采购人只接收以纸质原件形式送达的质疑,采购人和招标代理机构不接受未填写快递运单的快件。质疑接收人、联系地址、联系电话、详见招标公告。</w:t>
      </w:r>
      <w:r/>
    </w:p>
    <w:p>
      <w:pPr>
        <w:pStyle w:val="634"/>
        <w:ind w:firstLine="482"/>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28.5 以下情形的质疑不予受理</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28.5.1内容不符合《政府采购质疑和投诉办法》第十二条规定的质疑。</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28.5.2超出政府采购法定期限的质疑。</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28.5.3以传真、电子邮件等方式递交的非原件形式的质疑。</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28.5.4未参加投标活动的供应商或在投标活动中自身权益未受到损害的供应商所提出的质疑。</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28.5.5供应商组成联合体参加投标，联合体中任何一方或多方未按要求签字、盖章、加盖公章的质疑。</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634"/>
        <w:keepLines/>
        <w:keepNext/>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29、中标通知书</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29.2中标通知书将是合同的一个组成部分。对采购人和中标人均具有法律效力。中标通知书发出后，采购人改变中标结果的，或者中标人放弃中标项目的，应当依法承担法律责任。</w:t>
      </w:r>
      <w:r/>
    </w:p>
    <w:p>
      <w:pPr>
        <w:pStyle w:val="634"/>
        <w:keepLines/>
        <w:keepNext/>
        <w:spacing w:beforeAutospacing="0" w:afterAutospacing="0" w:line="500" w:lineRule="exact"/>
        <w:rPr>
          <w:rFonts w:hint="eastAsia" w:ascii="宋体" w:hAnsi="宋体" w:eastAsia="宋体" w:cs="宋体"/>
        </w:rPr>
      </w:pPr>
      <w:r/>
      <w:bookmarkStart w:id="163" w:name="_Toc16938552"/>
      <w:r/>
      <w:bookmarkStart w:id="164" w:name="_Toc20823308"/>
      <w:r/>
      <w:bookmarkStart w:id="165" w:name="_Toc513029236"/>
      <w:r/>
      <w:bookmarkStart w:id="166" w:name="_Toc120614220"/>
      <w:r>
        <w:rPr>
          <w:rFonts w:hint="eastAsia" w:ascii="宋体" w:hAnsi="宋体" w:eastAsia="宋体" w:cs="宋体"/>
          <w:b/>
        </w:rPr>
        <w:t xml:space="preserve">七、授予合同</w:t>
      </w:r>
      <w:bookmarkEnd w:id="163"/>
      <w:r/>
      <w:bookmarkEnd w:id="164"/>
      <w:r/>
      <w:bookmarkEnd w:id="165"/>
      <w:r/>
      <w:bookmarkEnd w:id="166"/>
      <w:r/>
      <w:r/>
    </w:p>
    <w:p>
      <w:pPr>
        <w:pStyle w:val="634"/>
        <w:keepLines/>
        <w:keepNext/>
        <w:spacing w:beforeAutospacing="0" w:afterAutospacing="0" w:line="500" w:lineRule="exact"/>
        <w:rPr>
          <w:rFonts w:hint="eastAsia" w:ascii="宋体" w:hAnsi="宋体" w:eastAsia="宋体" w:cs="宋体"/>
          <w:b/>
          <w:bCs/>
        </w:rPr>
      </w:pPr>
      <w:r/>
      <w:bookmarkStart w:id="167" w:name="_Toc20823309"/>
      <w:r/>
      <w:bookmarkStart w:id="168" w:name="_Toc513029237"/>
      <w:r/>
      <w:bookmarkStart w:id="169" w:name="_Toc16938553"/>
      <w:r>
        <w:rPr>
          <w:rFonts w:hint="eastAsia" w:ascii="宋体" w:hAnsi="宋体" w:eastAsia="宋体" w:cs="宋体"/>
          <w:b/>
          <w:bCs/>
        </w:rPr>
        <w:t xml:space="preserve">30.签订合同</w:t>
      </w:r>
      <w:bookmarkEnd w:id="167"/>
      <w:r/>
      <w:bookmarkEnd w:id="168"/>
      <w:r/>
      <w:bookmarkEnd w:id="169"/>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30.l中标人应当在中标通知书发出之日起三十日内，按照招标文件确定的事项与采购人签订政府采购合同。</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30.2招标文件、中标人的投标文件及招标过程中有关澄清、承诺文件均应作为合同附件。</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30.3签订合同后，</w:t>
      </w:r>
      <w:r>
        <w:rPr>
          <w:rFonts w:hint="eastAsia" w:ascii="宋体" w:hAnsi="宋体" w:eastAsia="宋体" w:cs="宋体"/>
          <w:i/>
          <w:u w:val="single"/>
        </w:rPr>
        <w:t xml:space="preserve">中标人不得将合同标的进行转包</w:t>
      </w:r>
      <w:r>
        <w:rPr>
          <w:rFonts w:hint="eastAsia" w:ascii="宋体" w:hAnsi="宋体" w:eastAsia="宋体" w:cs="宋体"/>
        </w:rPr>
        <w:t xml:space="preserve">。未经采购人同意，中标人也不得采用分包的形式履行合同，否则采购人有权终止合同。转包或分包造成采购人损失的，中标人应承担相应赔偿责任。</w:t>
      </w:r>
      <w:r/>
    </w:p>
    <w:p>
      <w:pPr>
        <w:pStyle w:val="634"/>
        <w:spacing w:beforeAutospacing="0" w:afterAutospacing="0" w:line="500" w:lineRule="exact"/>
        <w:rPr>
          <w:rFonts w:hint="eastAsia" w:ascii="宋体" w:hAnsi="宋体" w:eastAsia="宋体" w:cs="宋体"/>
        </w:rPr>
      </w:pPr>
      <w:r>
        <w:rPr>
          <w:rFonts w:hint="eastAsia" w:ascii="宋体" w:hAnsi="宋体" w:eastAsia="宋体" w:cs="宋体"/>
        </w:rPr>
        <w:t xml:space="preserve">（备注：项目经办人在发标前应与采购人商定是否允许中标人分包履行合同，确定后该备注删除）</w:t>
      </w:r>
      <w:r/>
    </w:p>
    <w:p>
      <w:pPr>
        <w:pStyle w:val="634"/>
        <w:keepLines/>
        <w:keepNext/>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31、服务（包含与服务相关的货物）的追加</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34"/>
        <w:keepLines/>
        <w:keepNext/>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32.政府采购政策功能落实</w:t>
      </w:r>
      <w:r/>
    </w:p>
    <w:p>
      <w:pPr>
        <w:pStyle w:val="634"/>
        <w:ind w:firstLine="480"/>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32.1政府采购线上合同信用融资政策</w:t>
      </w:r>
      <w:r/>
    </w:p>
    <w:p>
      <w:pPr>
        <w:pStyle w:val="634"/>
        <w:spacing w:beforeAutospacing="0" w:afterAutospacing="0" w:line="500" w:lineRule="exact"/>
        <w:rPr>
          <w:rFonts w:hint="eastAsia" w:ascii="宋体" w:hAnsi="宋体" w:eastAsia="宋体" w:cs="宋体"/>
        </w:rPr>
      </w:pPr>
      <w:r>
        <w:rPr>
          <w:rFonts w:hint="eastAsia" w:ascii="宋体" w:hAnsi="宋体" w:eastAsia="宋体" w:cs="宋体"/>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jc w:val="left"/>
        <w:spacing w:line="500" w:lineRule="exact"/>
        <w:tabs>
          <w:tab w:val="left" w:pos="1381" w:leader="none"/>
        </w:tabs>
        <w:rPr>
          <w:rFonts w:hint="eastAsia" w:ascii="宋体" w:hAnsi="宋体" w:eastAsia="宋体" w:cs="宋体"/>
          <w:b/>
          <w:bCs/>
          <w:sz w:val="24"/>
        </w:rPr>
      </w:pPr>
      <w:r>
        <w:rPr>
          <w:rFonts w:hint="eastAsia" w:ascii="宋体" w:hAnsi="宋体" w:eastAsia="宋体" w:cs="宋体"/>
          <w:b/>
          <w:bCs/>
          <w:sz w:val="24"/>
        </w:rPr>
        <w:t xml:space="preserve">32.2进口产品</w:t>
      </w:r>
      <w:r/>
    </w:p>
    <w:p>
      <w:pPr>
        <w:pStyle w:val="634"/>
        <w:spacing w:beforeAutospacing="0" w:afterAutospacing="0" w:line="500" w:lineRule="exact"/>
        <w:rPr>
          <w:rFonts w:hint="eastAsia"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jc w:val="left"/>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32.3中小企业、监狱企业及残疾人福利性单位</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32.3.1中小企业定义：</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中小企业是</w:t>
      </w:r>
      <w:r>
        <w:rPr>
          <w:rFonts w:hint="eastAsia" w:ascii="宋体" w:hAnsi="宋体" w:eastAsia="宋体" w:cs="宋体"/>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32.3.2供应商提供的货物、工程或者服务符合下列情形的，享受中小企业扶持政策：</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32.3.2.1在货物采购项目中，货物由中小企业制造，即货物由中小企业生产且使用该中小企业商号或者注册商标；</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32.3.2.2在工程采购项目中，工程由中小企业承建，即工程施工单位为中小企业；</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32.3.2.3在服务采购项目中，服务由中小企业承接，即提供服务的人员为中小企业依照《中华人民共和国劳动合同法》订立劳动合同的从业人员。</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32.3.3在货物采购项目中，供应商提供的货物既有中小企业制造货物，也有大型企业制造货物的，不享受中小企业扶持政策。</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32.3.4以联合体形式参加政府采购活动，联合体各方均为中小企业的，联合体视同中小企业。其中，联合体各方均为小微企业的，联合体视同小微企业。</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32.3.6残疾人福利单位定义：享受政府采购支持政策的残疾人福利性单位应当同时满足以下条件：</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32.3.6.1安置的残疾人占本单位在职职工人数的比例不低于25%（含25%），并且安置的残疾人人数不少于10 人（含10 人）；</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32.3.6.2依法与安置的每位残疾人签订了一年以上（含一年）的劳动合同或服务协议；</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32.3.6.3为安置的每位残疾人按月足额缴纳了基本养老保险、基本医疗保险、失业保险、工伤保险和生育保险等社会保险费；</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32.3.6.4通过银行等金融机构向安置的每位残疾人，按月支付了不低于单位所在区县适用的经省级人民政府批准的月最低工资标准的工资；</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32.3.6.5提供本单位制造的货物、承担的工程或者服务（以下简称产品），或者提供其他残疾人福利性单位制造的货物（不包括使用非残疾人福利性单位注册商标的货物）；</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32.3.7本项目是否专门面向中小企业预留采购份额见第一章《招标公告》。</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32.3.8采购标的对应的中小企业划分标准所属行业见第四章《采购需求》。</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32.3.9小微企业价格评审优惠的政策：见第五章《评标方法和评标标准》。</w:t>
      </w:r>
      <w:r/>
    </w:p>
    <w:p>
      <w:pPr>
        <w:pStyle w:val="634"/>
        <w:ind w:firstLine="482"/>
        <w:keepLines/>
        <w:keepNext/>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32.4政府采购节能产品、环境标志产品</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32.4.1严格执行政府采购关于支持</w:t>
      </w:r>
      <w:r>
        <w:rPr>
          <w:rFonts w:hint="eastAsia" w:ascii="宋体" w:hAnsi="宋体" w:eastAsia="宋体" w:cs="宋体"/>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34"/>
        <w:ind w:firstLine="482"/>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32.5绿色包装</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jc w:val="left"/>
        <w:spacing w:line="500" w:lineRule="exact"/>
        <w:tabs>
          <w:tab w:val="left" w:pos="1381" w:leader="none"/>
        </w:tabs>
        <w:rPr>
          <w:rFonts w:hint="eastAsia" w:ascii="宋体" w:hAnsi="宋体" w:eastAsia="宋体" w:cs="宋体"/>
          <w:b/>
          <w:bCs/>
          <w:sz w:val="24"/>
        </w:rPr>
      </w:pPr>
      <w:r>
        <w:rPr>
          <w:rFonts w:hint="eastAsia" w:ascii="宋体" w:hAnsi="宋体" w:eastAsia="宋体" w:cs="宋体"/>
          <w:b/>
          <w:bCs/>
          <w:sz w:val="24"/>
        </w:rPr>
        <w:t xml:space="preserve">32.6政府采购创新产品</w:t>
      </w:r>
      <w:r/>
    </w:p>
    <w:p>
      <w:pPr>
        <w:pStyle w:val="634"/>
        <w:spacing w:beforeAutospacing="0" w:afterAutospacing="0" w:line="500" w:lineRule="exact"/>
        <w:rPr>
          <w:rFonts w:hint="eastAsia" w:ascii="宋体" w:hAnsi="宋体" w:eastAsia="宋体" w:cs="宋体"/>
        </w:rPr>
      </w:pPr>
      <w:r>
        <w:rPr>
          <w:rFonts w:hint="eastAsia" w:ascii="宋体" w:hAnsi="宋体" w:eastAsia="宋体" w:cs="宋体"/>
        </w:rPr>
        <w:t xml:space="preserve">采购人优先采购各级政府部门公开发布的有效期内的创新产品、创新服务、首台套、首购首用等《目录》的创新产品。</w:t>
      </w:r>
      <w:r/>
    </w:p>
    <w:p>
      <w:pPr>
        <w:ind w:firstLine="482"/>
        <w:jc w:val="left"/>
        <w:spacing w:line="500" w:lineRule="exact"/>
        <w:tabs>
          <w:tab w:val="left" w:pos="1381" w:leader="none"/>
        </w:tabs>
        <w:rPr>
          <w:rFonts w:hint="eastAsia" w:ascii="宋体" w:hAnsi="宋体" w:eastAsia="宋体" w:cs="宋体"/>
          <w:b/>
          <w:bCs/>
          <w:sz w:val="24"/>
        </w:rPr>
      </w:pPr>
      <w:r>
        <w:rPr>
          <w:rFonts w:hint="eastAsia" w:ascii="宋体" w:hAnsi="宋体" w:eastAsia="宋体" w:cs="宋体"/>
          <w:b/>
          <w:bCs/>
          <w:sz w:val="24"/>
        </w:rPr>
        <w:t xml:space="preserve">32.7绿色数据中心政策 </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本文件中若涉及到数据中心采购，采购人应依据《绿色数据中心政府采购需求标准（试行）》（财办库〔2023〕7号）文件精神</w:t>
      </w:r>
      <w:r>
        <w:rPr>
          <w:rFonts w:hint="eastAsia" w:ascii="宋体" w:hAnsi="宋体" w:eastAsia="宋体" w:cs="宋体"/>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jc w:val="left"/>
        <w:spacing w:line="500" w:lineRule="exact"/>
        <w:rPr>
          <w:rFonts w:hint="eastAsia" w:ascii="宋体" w:hAnsi="宋体" w:eastAsia="宋体" w:cs="宋体"/>
          <w:b/>
          <w:bCs/>
          <w:sz w:val="24"/>
        </w:rPr>
      </w:pPr>
      <w:r>
        <w:rPr>
          <w:rFonts w:hint="eastAsia" w:ascii="宋体" w:hAnsi="宋体" w:eastAsia="宋体" w:cs="宋体"/>
          <w:b/>
          <w:bCs/>
          <w:sz w:val="24"/>
        </w:rPr>
        <w:t xml:space="preserve">32.8实施本国产品标准及相关政策</w:t>
      </w:r>
      <w:r/>
    </w:p>
    <w:p>
      <w:pPr>
        <w:ind w:firstLine="482"/>
        <w:jc w:val="left"/>
        <w:spacing w:line="500" w:lineRule="exact"/>
        <w:rPr>
          <w:rFonts w:hint="eastAsia" w:ascii="宋体" w:hAnsi="宋体" w:eastAsia="宋体" w:cs="宋体"/>
          <w:b/>
          <w:bCs/>
          <w:sz w:val="24"/>
        </w:rPr>
      </w:pPr>
      <w:r>
        <w:rPr>
          <w:rFonts w:hint="eastAsia" w:ascii="宋体" w:hAnsi="宋体" w:eastAsia="宋体" w:cs="宋体"/>
          <w:b/>
          <w:bCs/>
          <w:sz w:val="24"/>
        </w:rPr>
        <w:t xml:space="preserve">1.本项目对采购本国产品给予政策支持，具体内容见招标文件“第五章 评标方法与评标标准”。</w:t>
      </w:r>
      <w:r/>
    </w:p>
    <w:p>
      <w:pPr>
        <w:ind w:firstLine="482"/>
        <w:jc w:val="left"/>
        <w:spacing w:line="500" w:lineRule="exact"/>
        <w:rPr>
          <w:rFonts w:hint="eastAsia" w:ascii="宋体" w:hAnsi="宋体" w:eastAsia="宋体" w:cs="宋体"/>
          <w:b/>
          <w:bCs/>
          <w:sz w:val="24"/>
        </w:rPr>
      </w:pPr>
      <w:r>
        <w:rPr>
          <w:rFonts w:hint="eastAsia" w:ascii="宋体" w:hAnsi="宋体" w:eastAsia="宋体" w:cs="宋体"/>
          <w:b/>
          <w:bCs/>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spacing w:line="500" w:lineRule="exact"/>
        <w:rPr>
          <w:rFonts w:hint="eastAsia" w:ascii="宋体" w:hAnsi="宋体" w:eastAsia="宋体" w:cs="宋体"/>
          <w:b/>
          <w:bCs/>
          <w:sz w:val="24"/>
        </w:rPr>
      </w:pPr>
      <w:r>
        <w:rPr>
          <w:rFonts w:hint="eastAsia" w:ascii="宋体" w:hAnsi="宋体" w:eastAsia="宋体" w:cs="宋体"/>
          <w:b/>
          <w:bCs/>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720"/>
        <w:jc w:val="left"/>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32.9履约保证金政策</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确需收取履约保证金的，履约保证金的缴纳形式：</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如以履约保函（保险）形式缴纳履约保证金，供应商可通过政府采购电子履约保函（保险）平台（www.jsdzbh.com）在线申请履约保函（保险）。</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634"/>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33. 预付款制度</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本项目落实预付款制度，预付款比例为_</w:t>
      </w:r>
      <w:r>
        <w:rPr>
          <w:rFonts w:hint="eastAsia" w:ascii="宋体" w:hAnsi="宋体" w:eastAsia="宋体" w:cs="宋体"/>
          <w:u w:val="single"/>
        </w:rPr>
        <w:t xml:space="preserve">30_</w:t>
      </w:r>
      <w:r>
        <w:rPr>
          <w:rFonts w:hint="eastAsia" w:ascii="宋体" w:hAnsi="宋体" w:eastAsia="宋体" w:cs="宋体"/>
        </w:rPr>
        <w:t xml:space="preserve">%。在签订合同时，中标、成交供应商明确书面表示无需预付款或者主动要求降低预付款比例的，采购人可就预付款比例作相应调整。</w:t>
      </w:r>
      <w:r/>
    </w:p>
    <w:p>
      <w:pPr>
        <w:pStyle w:val="634"/>
        <w:ind w:firstLine="2249"/>
        <w:spacing w:beforeAutospacing="0" w:afterAutospacing="0" w:line="500" w:lineRule="exact"/>
        <w:rPr>
          <w:rFonts w:hint="eastAsia" w:ascii="宋体" w:hAnsi="宋体" w:eastAsia="宋体" w:cs="宋体"/>
        </w:rPr>
      </w:pPr>
      <w:r>
        <w:rPr>
          <w:rFonts w:hint="eastAsia" w:ascii="宋体" w:hAnsi="宋体" w:eastAsia="宋体" w:cs="宋体"/>
        </w:rPr>
      </w:r>
      <w:r/>
    </w:p>
    <w:p>
      <w:pPr>
        <w:pStyle w:val="634"/>
        <w:ind w:firstLine="1687"/>
        <w:spacing w:beforeAutospacing="0" w:afterAutospacing="0" w:line="500" w:lineRule="exact"/>
        <w:rPr>
          <w:rFonts w:hint="eastAsia" w:ascii="宋体" w:hAnsi="宋体" w:eastAsia="宋体" w:cs="宋体"/>
        </w:rPr>
      </w:pPr>
      <w:r>
        <w:rPr>
          <w:rFonts w:hint="eastAsia" w:ascii="宋体" w:hAnsi="宋体" w:eastAsia="宋体" w:cs="宋体"/>
        </w:rPr>
        <w:t xml:space="preserve"> </w:t>
      </w:r>
      <w:r/>
    </w:p>
    <w:p>
      <w:pPr>
        <w:pStyle w:val="634"/>
        <w:ind w:firstLine="1687"/>
        <w:spacing w:beforeAutospacing="0" w:afterAutospacing="0" w:line="500" w:lineRule="exact"/>
        <w:rPr>
          <w:rFonts w:hint="eastAsia" w:ascii="宋体" w:hAnsi="宋体" w:eastAsia="宋体" w:cs="宋体"/>
          <w:sz w:val="24"/>
        </w:rPr>
      </w:pPr>
      <w:r>
        <w:rPr>
          <w:rFonts w:hint="eastAsia" w:ascii="宋体" w:hAnsi="宋体" w:eastAsia="宋体" w:cs="宋体"/>
        </w:rPr>
        <w:t xml:space="preserve"> </w:t>
      </w:r>
      <w:r/>
    </w:p>
    <w:p>
      <w:pPr>
        <w:pStyle w:val="634"/>
        <w:ind w:firstLine="2200"/>
        <w:spacing w:beforeAutospacing="0" w:afterAutospacing="0" w:line="500" w:lineRule="exact"/>
        <w:rPr>
          <w:sz w:val="44"/>
          <w:szCs w:val="44"/>
        </w:rPr>
      </w:pPr>
      <w:r>
        <w:rPr>
          <w:rFonts w:hint="eastAsia" w:ascii="黑体" w:hAnsi="宋体" w:eastAsia="黑体" w:cs="黑体"/>
          <w:sz w:val="44"/>
          <w:szCs w:val="44"/>
        </w:rPr>
        <w:t xml:space="preserve">第三章  合同文本</w:t>
      </w:r>
      <w:r/>
    </w:p>
    <w:p>
      <w:pPr>
        <w:pStyle w:val="634"/>
        <w:ind w:firstLine="480"/>
        <w:spacing w:beforeAutospacing="0" w:afterAutospacing="0" w:line="500" w:lineRule="exact"/>
      </w:pPr>
      <w:r/>
      <w:bookmarkStart w:id="170" w:name="_Toc20823315"/>
      <w:r/>
      <w:bookmarkStart w:id="171" w:name="_Toc16938559"/>
      <w:r/>
      <w:bookmarkStart w:id="172" w:name="_Toc513029243"/>
      <w:r>
        <w:rPr>
          <w:rFonts w:hint="eastAsia" w:ascii="宋体" w:hAnsi="宋体" w:eastAsia="宋体" w:cs="宋体"/>
        </w:rPr>
        <w:t xml:space="preserve">以下为中标后签订本项目合同的通用条款，中标人不得提出实质性的修改。</w:t>
      </w:r>
      <w:bookmarkEnd w:id="170"/>
      <w:r/>
      <w:bookmarkEnd w:id="171"/>
      <w:r/>
      <w:bookmarkEnd w:id="172"/>
      <w:r/>
      <w:r/>
    </w:p>
    <w:p>
      <w:pPr>
        <w:pStyle w:val="634"/>
        <w:ind w:firstLine="1687"/>
        <w:spacing w:before="145" w:beforeAutospacing="0" w:after="145" w:afterAutospacing="0" w:line="500" w:lineRule="exact"/>
      </w:pPr>
      <w:r>
        <w:t xml:space="preserve"> </w:t>
      </w:r>
      <w:r>
        <w:rPr>
          <w:rFonts w:hint="eastAsia" w:ascii="宋体" w:hAnsi="宋体" w:eastAsia="宋体" w:cs="宋体"/>
          <w:b/>
        </w:rPr>
        <w:t xml:space="preserve">盐城市政府采购合同（服务）（合同编号）</w:t>
      </w:r>
      <w:r/>
    </w:p>
    <w:p>
      <w:pPr>
        <w:pStyle w:val="634"/>
        <w:ind w:firstLine="240"/>
        <w:spacing w:beforeAutospacing="0" w:afterAutospacing="0" w:line="500" w:lineRule="exact"/>
        <w:rPr>
          <w:rFonts w:hint="eastAsia" w:ascii="宋体" w:hAnsi="宋体" w:eastAsia="宋体" w:cs="宋体"/>
        </w:rPr>
      </w:pPr>
      <w:r>
        <w:rPr>
          <w:rFonts w:hint="eastAsia" w:ascii="宋体" w:hAnsi="宋体" w:eastAsia="宋体" w:cs="宋体"/>
        </w:rPr>
        <w:t xml:space="preserve">项目名称：沿海工业园环保管家综合服务项目</w:t>
      </w:r>
      <w:r/>
    </w:p>
    <w:p>
      <w:pPr>
        <w:pStyle w:val="634"/>
        <w:ind w:firstLine="240"/>
        <w:spacing w:beforeAutospacing="0" w:afterAutospacing="0" w:line="500" w:lineRule="exact"/>
        <w:rPr>
          <w:rFonts w:hint="eastAsia" w:ascii="宋体" w:hAnsi="宋体" w:eastAsia="宋体"/>
        </w:rPr>
      </w:pPr>
      <w:r>
        <w:rPr>
          <w:rFonts w:hint="eastAsia" w:ascii="宋体" w:hAnsi="宋体" w:eastAsia="宋体" w:cs="宋体"/>
        </w:rPr>
        <w:t xml:space="preserve">项目编号：</w:t>
      </w:r>
      <w:r/>
    </w:p>
    <w:p>
      <w:pPr>
        <w:pStyle w:val="634"/>
        <w:spacing w:beforeAutospacing="0" w:afterAutospacing="0" w:line="500" w:lineRule="exact"/>
        <w:rPr>
          <w:rFonts w:hint="eastAsia" w:ascii="宋体" w:hAnsi="宋体" w:eastAsia="宋体"/>
        </w:rPr>
      </w:pPr>
      <w:r>
        <w:rPr>
          <w:rFonts w:hint="eastAsia" w:ascii="宋体" w:hAnsi="宋体" w:eastAsia="宋体" w:cs="宋体"/>
        </w:rPr>
        <w:t xml:space="preserve">甲方：（买方）_</w:t>
      </w:r>
      <w:r>
        <w:rPr>
          <w:rFonts w:hint="eastAsia" w:ascii="宋体" w:hAnsi="宋体" w:eastAsia="宋体" w:cs="宋体"/>
          <w:u w:val="single"/>
        </w:rPr>
        <w:t xml:space="preserve">江苏滨海经济开发区沿海工业园管理委员会</w:t>
      </w:r>
      <w:r>
        <w:rPr>
          <w:rFonts w:hint="eastAsia" w:ascii="宋体" w:hAnsi="宋体" w:eastAsia="宋体" w:cs="宋体"/>
        </w:rPr>
        <w:t xml:space="preserve">_</w:t>
      </w:r>
      <w:r/>
    </w:p>
    <w:p>
      <w:pPr>
        <w:pStyle w:val="634"/>
        <w:spacing w:beforeAutospacing="0" w:afterAutospacing="0" w:line="500" w:lineRule="exact"/>
        <w:rPr>
          <w:rFonts w:hint="eastAsia" w:ascii="宋体" w:hAnsi="宋体" w:eastAsia="宋体"/>
        </w:rPr>
      </w:pPr>
      <w:r>
        <w:rPr>
          <w:rFonts w:hint="eastAsia" w:ascii="宋体" w:hAnsi="宋体" w:eastAsia="宋体" w:cs="宋体"/>
        </w:rPr>
        <w:t xml:space="preserve">乙方：（卖方）_________</w:t>
      </w:r>
      <w:r/>
    </w:p>
    <w:p>
      <w:pPr>
        <w:pStyle w:val="634"/>
        <w:spacing w:beforeAutospacing="0" w:afterAutospacing="0" w:line="500" w:lineRule="exact"/>
        <w:rPr>
          <w:rFonts w:hint="eastAsia" w:ascii="宋体" w:hAnsi="宋体" w:eastAsia="宋体"/>
        </w:rPr>
      </w:pPr>
      <w:r>
        <w:rPr>
          <w:rFonts w:hint="eastAsia" w:ascii="宋体" w:hAnsi="宋体" w:eastAsia="宋体" w:cs="宋体"/>
          <w:b/>
        </w:rPr>
        <w:t xml:space="preserve">    </w:t>
      </w:r>
      <w:r>
        <w:rPr>
          <w:rFonts w:hint="eastAsia" w:ascii="宋体" w:hAnsi="宋体" w:eastAsia="宋体" w:cs="宋体"/>
        </w:rPr>
        <w:t xml:space="preserve">甲、乙双方根据采购人的</w:t>
      </w:r>
      <w:r>
        <w:rPr>
          <w:rFonts w:hint="eastAsia" w:ascii="宋体" w:hAnsi="宋体" w:eastAsia="宋体" w:cs="宋体"/>
          <w:u w:val="single"/>
        </w:rPr>
        <w:t xml:space="preserve">沿海工业园环保管家综合服务项目</w:t>
      </w:r>
      <w:r>
        <w:rPr>
          <w:rFonts w:hint="eastAsia" w:ascii="宋体" w:hAnsi="宋体" w:eastAsia="宋体" w:cs="宋体"/>
        </w:rPr>
        <w:t xml:space="preserve">公开招标的结果，签署本合同。</w:t>
      </w:r>
      <w:r/>
    </w:p>
    <w:p>
      <w:pPr>
        <w:pStyle w:val="634"/>
        <w:spacing w:beforeAutospacing="0" w:afterAutospacing="0" w:line="500" w:lineRule="exact"/>
        <w:rPr>
          <w:rFonts w:hint="eastAsia" w:ascii="宋体" w:hAnsi="宋体" w:eastAsia="宋体"/>
        </w:rPr>
      </w:pPr>
      <w:r>
        <w:rPr>
          <w:rFonts w:hint="eastAsia" w:ascii="宋体" w:hAnsi="宋体" w:eastAsia="宋体" w:cs="宋体"/>
          <w:b/>
        </w:rPr>
        <w:t xml:space="preserve">一、合同内容</w:t>
      </w:r>
      <w:r/>
    </w:p>
    <w:p>
      <w:pPr>
        <w:pStyle w:val="634"/>
        <w:ind w:firstLine="600"/>
        <w:spacing w:beforeAutospacing="0" w:afterAutospacing="0" w:line="500" w:lineRule="exact"/>
        <w:rPr>
          <w:rFonts w:hint="eastAsia" w:ascii="宋体" w:hAnsi="宋体" w:eastAsia="宋体"/>
        </w:rPr>
      </w:pPr>
      <w:r>
        <w:rPr>
          <w:rFonts w:hint="eastAsia" w:ascii="宋体" w:hAnsi="宋体" w:eastAsia="宋体" w:cs="宋体"/>
        </w:rPr>
        <w:t xml:space="preserve">1.1 项目名称：</w:t>
      </w:r>
      <w:r>
        <w:rPr>
          <w:rFonts w:hint="eastAsia" w:ascii="宋体" w:hAnsi="宋体" w:eastAsia="宋体" w:cs="宋体"/>
          <w:u w:val="single"/>
        </w:rPr>
        <w:t xml:space="preserve">沿海工业园环保管家综合服务项目</w:t>
      </w:r>
      <w:r/>
    </w:p>
    <w:p>
      <w:pPr>
        <w:pStyle w:val="634"/>
        <w:ind w:firstLine="600"/>
        <w:spacing w:beforeAutospacing="0" w:afterAutospacing="0" w:line="500" w:lineRule="exact"/>
        <w:rPr>
          <w:rFonts w:hint="eastAsia" w:ascii="宋体" w:hAnsi="宋体" w:eastAsia="宋体"/>
          <w:u w:val="single"/>
        </w:rPr>
      </w:pPr>
      <w:r>
        <w:rPr>
          <w:rFonts w:hint="eastAsia" w:ascii="宋体" w:hAnsi="宋体" w:eastAsia="宋体" w:cs="宋体"/>
        </w:rPr>
        <w:t xml:space="preserve">1.2采购内容：</w:t>
      </w:r>
      <w:r>
        <w:rPr>
          <w:rFonts w:hint="eastAsia" w:ascii="宋体" w:hAnsi="宋体" w:eastAsia="宋体" w:cs="宋体"/>
          <w:u w:val="single"/>
        </w:rPr>
        <w:t xml:space="preserve">为做好化工园区认定、长江经济带整改、生态环境保护督察和环保品牌创建等工作，提供专业技术服务，发现并解决日常环境管理中的难题，推进重大项目重点地块废气治理工作，确保沿海工业园区域环境质量，开展园区及在产企业环境隐患排查、协助园区对上级环保部门督查及信访事件问题开展核查整改、为招商引资、结构调整、转型升级等提供环保服务提供咨询和建议等内容，详见项目需求。</w:t>
      </w:r>
      <w:r/>
    </w:p>
    <w:p>
      <w:pPr>
        <w:pStyle w:val="634"/>
        <w:ind w:firstLine="480"/>
        <w:spacing w:beforeAutospacing="0" w:afterAutospacing="0" w:line="500" w:lineRule="exact"/>
        <w:rPr>
          <w:rFonts w:hint="eastAsia" w:ascii="宋体" w:hAnsi="宋体" w:eastAsia="宋体"/>
        </w:rPr>
      </w:pPr>
      <w:r>
        <w:rPr>
          <w:rFonts w:hint="eastAsia" w:ascii="宋体" w:hAnsi="宋体" w:eastAsia="宋体" w:cs="宋体"/>
        </w:rPr>
        <w:t xml:space="preserve">1.3 </w:t>
      </w:r>
      <w:r>
        <w:rPr>
          <w:rFonts w:ascii="宋体" w:hAnsi="宋体" w:eastAsia="宋体"/>
        </w:rPr>
        <w:t xml:space="preserve">合同履行期限：</w:t>
      </w:r>
      <w:r>
        <w:rPr>
          <w:rFonts w:ascii="宋体" w:hAnsi="宋体" w:eastAsia="宋体"/>
          <w:u w:val="single"/>
        </w:rPr>
        <w:t xml:space="preserve"> </w:t>
      </w:r>
      <w:r>
        <w:rPr>
          <w:rFonts w:hint="eastAsia" w:ascii="宋体" w:hAnsi="宋体" w:eastAsia="宋体"/>
          <w:u w:val="single"/>
        </w:rPr>
        <w:t xml:space="preserve">二</w:t>
      </w:r>
      <w:r>
        <w:rPr>
          <w:rFonts w:ascii="宋体" w:hAnsi="宋体" w:eastAsia="宋体"/>
          <w:u w:val="single"/>
        </w:rPr>
        <w:t xml:space="preserve"> 年</w:t>
      </w:r>
      <w:r>
        <w:rPr>
          <w:rFonts w:ascii="宋体" w:hAnsi="宋体" w:eastAsia="宋体"/>
        </w:rPr>
        <w:t xml:space="preserve">。</w:t>
      </w:r>
      <w:r/>
    </w:p>
    <w:p>
      <w:pPr>
        <w:pStyle w:val="634"/>
        <w:ind w:firstLine="480"/>
        <w:spacing w:beforeAutospacing="0" w:afterAutospacing="0" w:line="500" w:lineRule="exact"/>
        <w:rPr>
          <w:rFonts w:hint="eastAsia" w:ascii="宋体" w:hAnsi="宋体" w:eastAsia="宋体"/>
        </w:rPr>
      </w:pPr>
      <w:r>
        <w:rPr>
          <w:rFonts w:hint="eastAsia" w:ascii="宋体" w:hAnsi="宋体" w:eastAsia="宋体" w:cs="宋体"/>
        </w:rPr>
        <w:t xml:space="preserve">1.4 履行地点：沿海化工园区</w:t>
      </w:r>
      <w:r/>
    </w:p>
    <w:p>
      <w:pPr>
        <w:pStyle w:val="634"/>
        <w:ind w:firstLine="480"/>
        <w:spacing w:beforeAutospacing="0" w:afterAutospacing="0" w:line="500" w:lineRule="exact"/>
        <w:rPr>
          <w:rFonts w:hint="eastAsia" w:ascii="宋体" w:hAnsi="宋体" w:eastAsia="宋体"/>
        </w:rPr>
      </w:pPr>
      <w:r>
        <w:rPr>
          <w:rFonts w:hint="eastAsia" w:ascii="宋体" w:hAnsi="宋体" w:eastAsia="宋体" w:cs="宋体"/>
        </w:rPr>
        <w:t xml:space="preserve">1.5履行方式：</w:t>
      </w:r>
      <w:r/>
    </w:p>
    <w:p>
      <w:pPr>
        <w:pStyle w:val="634"/>
        <w:spacing w:beforeAutospacing="0" w:afterAutospacing="0" w:line="500" w:lineRule="exact"/>
        <w:rPr>
          <w:rFonts w:hint="eastAsia" w:ascii="宋体" w:hAnsi="宋体" w:eastAsia="宋体"/>
        </w:rPr>
      </w:pPr>
      <w:r>
        <w:rPr>
          <w:rFonts w:hint="eastAsia" w:ascii="宋体" w:hAnsi="宋体" w:eastAsia="宋体" w:cs="宋体"/>
          <w:b/>
        </w:rPr>
        <w:t xml:space="preserve">二、合同金额</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2.1本合同金额为（大写）：___________________圆（_______________元）人民币或其他币种。</w:t>
      </w:r>
      <w:r/>
    </w:p>
    <w:p>
      <w:pPr>
        <w:pStyle w:val="634"/>
        <w:ind w:firstLine="480"/>
        <w:spacing w:beforeAutospacing="0" w:afterAutospacing="0" w:line="500" w:lineRule="exact"/>
        <w:rPr>
          <w:rFonts w:hint="eastAsia" w:ascii="宋体" w:hAnsi="宋体" w:eastAsia="宋体" w:cs="宋体"/>
          <w:b/>
          <w:bCs/>
        </w:rPr>
      </w:pPr>
      <w:r>
        <w:rPr>
          <w:rFonts w:hint="eastAsia" w:ascii="宋体" w:hAnsi="宋体" w:eastAsia="宋体" w:cs="宋体"/>
        </w:rPr>
        <w:t xml:space="preserve">注：</w:t>
      </w:r>
      <w:r>
        <w:rPr>
          <w:rFonts w:hint="eastAsia" w:ascii="宋体" w:hAnsi="宋体" w:eastAsia="宋体" w:cs="宋体"/>
          <w:b/>
          <w:bCs/>
        </w:rPr>
        <w:t xml:space="preserve">实际结算金额按乙方服务成效和甲方考评结果确定。</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2.2合同款包括运营服务的所需的一切费用，包括但不限于：人工费、交通费、办公费、水电费、房租费、物业费、维修费、网络通讯费、招标代理费、投标费用、管理费、税金、利润、各类风险费、不可预见费及其他一切相关费用，同时，报价也应包含合同履行过程中可能发生的一切意外风险赔偿金，招标文件中另有规定的除外。</w:t>
      </w:r>
      <w:r/>
    </w:p>
    <w:p>
      <w:pPr>
        <w:pStyle w:val="634"/>
        <w:spacing w:beforeAutospacing="0" w:afterAutospacing="0" w:line="500" w:lineRule="exact"/>
        <w:rPr>
          <w:rFonts w:hint="eastAsia" w:ascii="宋体" w:hAnsi="宋体" w:eastAsia="宋体"/>
        </w:rPr>
      </w:pPr>
      <w:r>
        <w:rPr>
          <w:rFonts w:hint="eastAsia" w:ascii="宋体" w:hAnsi="宋体" w:eastAsia="宋体" w:cs="宋体"/>
          <w:b/>
        </w:rPr>
        <w:t xml:space="preserve">三、合同款项支付</w:t>
      </w:r>
      <w:r/>
    </w:p>
    <w:p>
      <w:pPr>
        <w:ind w:left="0" w:right="0" w:firstLine="480"/>
        <w:spacing w:before="0" w:after="0" w:line="460" w:lineRule="atLeast"/>
        <w:shd w:val="clear" w:color="ffffff" w:fill="ffffff"/>
        <w:rPr>
          <w:szCs w:val="22"/>
        </w:rPr>
        <w:pBdr>
          <w:top w:val="none" w:color="000000" w:sz="4" w:space="0"/>
          <w:left w:val="none" w:color="000000" w:sz="4" w:space="0"/>
          <w:bottom w:val="none" w:color="000000" w:sz="4" w:space="0"/>
          <w:right w:val="none" w:color="000000" w:sz="4" w:space="0"/>
        </w:pBdr>
      </w:pPr>
      <w:r>
        <w:rPr>
          <w:rFonts w:hint="eastAsia" w:ascii="宋体" w:hAnsi="宋体" w:eastAsia="宋体" w:cs="楷体"/>
        </w:rPr>
        <w:t xml:space="preserve">合同款项的支付方式及进度安排：</w:t>
      </w:r>
      <w:bookmarkStart w:id="173" w:name="OLE_LINK3"/>
      <w:r>
        <w:rPr>
          <w:rFonts w:hint="eastAsia" w:ascii="宋体" w:hAnsi="宋体" w:eastAsia="宋体" w:cs="楷体"/>
        </w:rPr>
      </w:r>
      <w:r>
        <w:rPr>
          <w:rFonts w:hint="eastAsia" w:ascii="宋体" w:hAnsi="宋体" w:eastAsia="宋体" w:cs="楷体"/>
        </w:rPr>
      </w:r>
      <w:r>
        <w:rPr>
          <w:rFonts w:ascii="SimSun" w:hAnsi="SimSun" w:eastAsia="SimSun" w:cs="SimSun"/>
          <w:color w:val="000000"/>
          <w:sz w:val="24"/>
          <w:highlight w:val="none"/>
        </w:rPr>
        <w:t xml:space="preserve">（</w:t>
      </w:r>
      <w:r>
        <w:rPr>
          <w:rFonts w:ascii="SimSun" w:hAnsi="SimSun" w:eastAsia="SimSun" w:cs="SimSun"/>
          <w:color w:val="000000"/>
          <w:sz w:val="24"/>
          <w:highlight w:val="white"/>
        </w:rPr>
        <w:t xml:space="preserve">1）合同签订后，且收到发票后10个工作日内，甲方支付合同总金额的30%作为预付款（在签订合同时，乙方书面明确表示无需预付款或者主动要求降低预付款比例的，甲方可不适用前述规定。乙方须提供银行保函）</w:t>
      </w:r>
      <w:r>
        <w:rPr>
          <w:rFonts w:ascii="SimSun" w:hAnsi="SimSun" w:eastAsia="SimSun" w:cs="SimSun"/>
          <w:color w:val="000000"/>
          <w:sz w:val="24"/>
          <w:highlight w:val="white"/>
        </w:rPr>
        <w:t xml:space="preserve">；（</w:t>
      </w:r>
      <w:r>
        <w:rPr>
          <w:rFonts w:ascii="SimSun" w:hAnsi="SimSun" w:eastAsia="SimSun" w:cs="SimSun"/>
          <w:color w:val="000000"/>
          <w:sz w:val="24"/>
          <w:highlight w:val="white"/>
        </w:rPr>
        <w:t xml:space="preserve">2）签订合同后( 即开展服务后 )6个月，提交阶段服务总结报告后，甲方再向乙方支付合同总额15%</w:t>
      </w:r>
      <w:r>
        <w:rPr>
          <w:rFonts w:ascii="SimSun" w:hAnsi="SimSun" w:eastAsia="SimSun" w:cs="SimSun"/>
          <w:color w:val="000000"/>
          <w:sz w:val="24"/>
          <w:highlight w:val="white"/>
        </w:rPr>
        <w:t xml:space="preserve">；</w:t>
      </w:r>
      <w:r>
        <w:rPr>
          <w:rFonts w:ascii="SimSun" w:hAnsi="SimSun" w:eastAsia="SimSun" w:cs="SimSun"/>
          <w:color w:val="000000"/>
          <w:sz w:val="24"/>
          <w:highlight w:val="white"/>
        </w:rPr>
        <w:t xml:space="preserve">(3)签订合同后 (即开展服务后)12个月，提交阶段服务总结报告后，甲方向乙方支付至合同总额的 50%。(4)签订合同后 (即开展服务后 ) 18个月，提交阶段服务总结报告后，甲方向乙方支付至合同总额的 75%。（5）</w:t>
      </w:r>
      <w:r>
        <w:rPr>
          <w:rFonts w:ascii="SimSun" w:hAnsi="SimSun" w:eastAsia="SimSun" w:cs="SimSun"/>
          <w:color w:val="000000"/>
          <w:sz w:val="24"/>
          <w:highlight w:val="white"/>
        </w:rPr>
        <w:t xml:space="preserve">签订合同后 (即开展服务后 ) 24个月，乙方完成合同期限内约定的全部工作内容并经甲方考核验收通过后，甲方向乙方支付至合同总额的100%。采购人在收到税务发票后10个工作日内支付到合同约定的中标人银行账户。”</w:t>
      </w:r>
      <w:r>
        <w:rPr>
          <w:sz w:val="22"/>
        </w:rPr>
      </w:r>
      <w:r/>
      <w:r>
        <w:rPr>
          <w:rFonts w:hint="eastAsia" w:ascii="宋体" w:hAnsi="宋体" w:eastAsia="宋体" w:cs="楷体"/>
        </w:rPr>
      </w:r>
      <w:bookmarkEnd w:id="173"/>
      <w:r/>
      <w:r/>
      <w:r>
        <w:rPr>
          <w:sz w:val="22"/>
          <w:szCs w:val="22"/>
        </w:rPr>
      </w:r>
    </w:p>
    <w:p>
      <w:pPr>
        <w:pStyle w:val="634"/>
        <w:spacing w:beforeAutospacing="0" w:afterAutospacing="0" w:line="500" w:lineRule="exact"/>
        <w:rPr>
          <w:rFonts w:hint="eastAsia" w:ascii="宋体" w:hAnsi="宋体" w:eastAsia="宋体"/>
        </w:rPr>
      </w:pPr>
      <w:r>
        <w:rPr>
          <w:rFonts w:hint="eastAsia" w:ascii="宋体" w:hAnsi="宋体" w:eastAsia="宋体" w:cs="宋体"/>
          <w:b/>
        </w:rPr>
        <w:t xml:space="preserve">四、履约保证金</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4.1乙方交纳人民币_________元作为本合同的履约保证金。</w:t>
      </w:r>
      <w:r/>
    </w:p>
    <w:p>
      <w:pPr>
        <w:pStyle w:val="634"/>
        <w:spacing w:beforeAutospacing="0" w:afterAutospacing="0" w:line="500" w:lineRule="exact"/>
        <w:rPr>
          <w:rFonts w:hint="eastAsia" w:ascii="宋体" w:hAnsi="宋体" w:eastAsia="宋体" w:cs="宋体"/>
        </w:rPr>
      </w:pPr>
      <w:r>
        <w:rPr>
          <w:rFonts w:hint="eastAsia" w:ascii="宋体" w:hAnsi="宋体" w:eastAsia="宋体" w:cs="宋体"/>
        </w:rPr>
        <w:t xml:space="preserve">（注：不得超过合同金额的10%，采购人应当对AA评级及以上政府采购供应商（需提供信用管理部门备案的第三方信用报告）免收履约保证金或降低履约保证金缴纳比例。）</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4.2确需收取履约保证金的，履约保证金的缴纳形式：</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4.2.1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34"/>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4.2.2 如以履约保函（保险）形式缴纳履约保证金，供应商可通过政府采购电子履约保函（保险）平台（www.jsdzbh.com）在线申请履约保函（保险）。</w:t>
      </w:r>
      <w:r/>
    </w:p>
    <w:p>
      <w:pPr>
        <w:pStyle w:val="634"/>
        <w:ind w:firstLine="480"/>
        <w:spacing w:beforeAutospacing="0" w:afterAutospacing="0" w:line="500" w:lineRule="exact"/>
        <w:rPr>
          <w:rFonts w:hint="eastAsia" w:ascii="宋体" w:hAnsi="宋体" w:eastAsia="宋体"/>
        </w:rPr>
      </w:pPr>
      <w:r>
        <w:rPr>
          <w:rFonts w:hint="eastAsia" w:ascii="宋体" w:hAnsi="宋体" w:eastAsia="宋体" w:cs="宋体"/>
        </w:rPr>
        <w:t xml:space="preserve">4.3合同履行结束后，甲方应及时退还交纳的履约保证金。</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4.4履约保证金的退还：</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4.4.1方式：退还至投标人缴纳履约保证金的账户。如为保函，在到期时自行失效。</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4.4.2时间：验收合格且采购人收到发票后30日内。</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4.4.3条件：按合同要求全部履约完成并经采购人验收合格，且采购人收到中标人出具的发票。</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4.4.4不予退还情形：</w:t>
      </w:r>
      <w:r/>
    </w:p>
    <w:p>
      <w:pPr>
        <w:jc w:val="left"/>
        <w:spacing w:line="500" w:lineRule="exact"/>
        <w:rPr>
          <w:rFonts w:hint="eastAsia" w:ascii="宋体" w:hAnsi="宋体" w:eastAsia="宋体" w:cs="宋体"/>
          <w:sz w:val="24"/>
        </w:rPr>
      </w:pPr>
      <w:r>
        <w:rPr>
          <w:rFonts w:hint="eastAsia" w:ascii="宋体" w:hAnsi="宋体" w:eastAsia="宋体" w:cs="宋体"/>
          <w:sz w:val="24"/>
        </w:rPr>
        <w:t xml:space="preserve">除不可抗力情况外，投标人出现下列情形之一的，其履约保证金，招标人将视情节决定不予退还或部分不予退还。</w:t>
      </w:r>
      <w:r/>
    </w:p>
    <w:p>
      <w:pPr>
        <w:ind w:firstLine="720"/>
        <w:jc w:val="left"/>
        <w:spacing w:line="500" w:lineRule="exact"/>
        <w:rPr>
          <w:rFonts w:hint="eastAsia" w:ascii="宋体" w:hAnsi="宋体" w:eastAsia="宋体" w:cs="宋体"/>
          <w:sz w:val="24"/>
        </w:rPr>
      </w:pPr>
      <w:r>
        <w:rPr>
          <w:rFonts w:hint="eastAsia" w:ascii="宋体" w:hAnsi="宋体" w:eastAsia="宋体" w:cs="宋体"/>
          <w:sz w:val="24"/>
        </w:rPr>
        <w:t xml:space="preserve">（1）中标人无正当理由拒绝签订合同的，或者在签订合同时向采购人提出附加条件或者更改合同实质性内容要求的；</w:t>
      </w:r>
      <w:r/>
    </w:p>
    <w:p>
      <w:pPr>
        <w:ind w:firstLine="720"/>
        <w:jc w:val="left"/>
        <w:spacing w:line="500" w:lineRule="exact"/>
        <w:rPr>
          <w:rFonts w:hint="eastAsia" w:ascii="宋体" w:hAnsi="宋体" w:eastAsia="宋体" w:cs="宋体"/>
          <w:sz w:val="24"/>
        </w:rPr>
      </w:pPr>
      <w:r>
        <w:rPr>
          <w:rFonts w:hint="eastAsia" w:ascii="宋体" w:hAnsi="宋体" w:eastAsia="宋体" w:cs="宋体"/>
          <w:sz w:val="24"/>
        </w:rPr>
        <w:t xml:space="preserve">（2）中标人不履行与采购人订立的合同的；</w:t>
      </w:r>
      <w:r/>
    </w:p>
    <w:p>
      <w:pPr>
        <w:ind w:firstLine="720"/>
        <w:jc w:val="left"/>
        <w:spacing w:line="500" w:lineRule="exact"/>
        <w:rPr>
          <w:rFonts w:hint="eastAsia" w:ascii="宋体" w:hAnsi="宋体" w:eastAsia="宋体" w:cs="宋体"/>
          <w:sz w:val="24"/>
        </w:rPr>
      </w:pPr>
      <w:r>
        <w:rPr>
          <w:rFonts w:hint="eastAsia" w:ascii="宋体" w:hAnsi="宋体" w:eastAsia="宋体" w:cs="宋体"/>
          <w:sz w:val="24"/>
        </w:rPr>
        <w:t xml:space="preserve">（3）中标人所供货物或服务不符合招标文件规定要求的；</w:t>
      </w:r>
      <w:r/>
    </w:p>
    <w:p>
      <w:pPr>
        <w:ind w:firstLine="720"/>
        <w:jc w:val="left"/>
        <w:spacing w:line="500" w:lineRule="exact"/>
        <w:rPr>
          <w:rFonts w:hint="eastAsia" w:ascii="宋体" w:hAnsi="宋体" w:eastAsia="宋体" w:cs="宋体"/>
          <w:sz w:val="24"/>
        </w:rPr>
      </w:pPr>
      <w:r>
        <w:rPr>
          <w:rFonts w:hint="eastAsia" w:ascii="宋体" w:hAnsi="宋体" w:eastAsia="宋体" w:cs="宋体"/>
          <w:sz w:val="24"/>
        </w:rPr>
        <w:t xml:space="preserve">（4）中标人采取欺骗、弄虚作假方式投标的或与其它投标人串通投标的；</w:t>
      </w:r>
      <w:r/>
    </w:p>
    <w:p>
      <w:pPr>
        <w:ind w:firstLine="720"/>
        <w:jc w:val="left"/>
        <w:spacing w:line="500" w:lineRule="exact"/>
        <w:rPr>
          <w:rFonts w:hint="eastAsia" w:ascii="宋体" w:hAnsi="宋体" w:eastAsia="宋体" w:cs="宋体"/>
          <w:sz w:val="24"/>
        </w:rPr>
      </w:pPr>
      <w:r>
        <w:rPr>
          <w:rFonts w:hint="eastAsia" w:ascii="宋体" w:hAnsi="宋体" w:eastAsia="宋体" w:cs="宋体"/>
          <w:sz w:val="24"/>
        </w:rPr>
        <w:t xml:space="preserve">（5）中标人将合同内容转包、违法分包的；</w:t>
      </w:r>
      <w:r/>
    </w:p>
    <w:p>
      <w:pPr>
        <w:ind w:firstLine="720"/>
        <w:jc w:val="left"/>
        <w:spacing w:line="500" w:lineRule="exact"/>
        <w:rPr>
          <w:rFonts w:hint="eastAsia" w:ascii="宋体" w:hAnsi="宋体" w:eastAsia="宋体" w:cs="宋体"/>
          <w:sz w:val="24"/>
        </w:rPr>
      </w:pPr>
      <w:r>
        <w:rPr>
          <w:rFonts w:hint="eastAsia" w:ascii="宋体" w:hAnsi="宋体" w:eastAsia="宋体" w:cs="宋体"/>
          <w:sz w:val="24"/>
        </w:rPr>
        <w:t xml:space="preserve">（6）中标人故意捏造事实或伪造证明材料，进行虚假恶意投诉或反映的。</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4.4.5逾期退还的违约责任：采购人逾期无故未退还履约保证金的，按中国人民银行同期贷款基准利率上浮20%后的利率支付超期资金占用费，但因供应商自身原因导致无法及时退还的除外。</w:t>
      </w:r>
      <w:r/>
    </w:p>
    <w:p>
      <w:pPr>
        <w:jc w:val="left"/>
        <w:spacing w:line="500" w:lineRule="exact"/>
        <w:rPr>
          <w:rFonts w:hint="eastAsia" w:ascii="宋体" w:hAnsi="宋体" w:eastAsia="宋体" w:cs="黑体"/>
          <w:b/>
          <w:bCs/>
          <w:sz w:val="24"/>
        </w:rPr>
      </w:pPr>
      <w:r>
        <w:rPr>
          <w:rFonts w:hint="eastAsia" w:ascii="宋体" w:hAnsi="宋体" w:eastAsia="宋体" w:cs="黑体"/>
          <w:b/>
          <w:bCs/>
          <w:sz w:val="24"/>
        </w:rPr>
        <w:t xml:space="preserve">五、项目验收</w:t>
      </w:r>
      <w:r/>
    </w:p>
    <w:p>
      <w:pPr>
        <w:ind w:firstLine="723"/>
        <w:jc w:val="left"/>
        <w:spacing w:line="500" w:lineRule="exact"/>
        <w:rPr>
          <w:rFonts w:hint="eastAsia" w:ascii="宋体" w:hAnsi="宋体" w:eastAsia="宋体" w:cs="黑体"/>
          <w:b/>
          <w:bCs/>
          <w:sz w:val="24"/>
        </w:rPr>
      </w:pPr>
      <w:r>
        <w:rPr>
          <w:rFonts w:hint="eastAsia" w:ascii="宋体" w:hAnsi="宋体" w:eastAsia="宋体" w:cs="黑体"/>
          <w:b/>
          <w:bCs/>
          <w:sz w:val="24"/>
        </w:rPr>
        <w:t xml:space="preserve">5.1甲方依法组织履约验收工作。</w:t>
      </w:r>
      <w:r/>
    </w:p>
    <w:p>
      <w:pPr>
        <w:ind w:firstLine="720"/>
        <w:jc w:val="left"/>
        <w:spacing w:line="500" w:lineRule="exact"/>
        <w:rPr>
          <w:rFonts w:hint="eastAsia" w:ascii="宋体" w:hAnsi="宋体" w:eastAsia="宋体" w:cs="黑体"/>
          <w:sz w:val="24"/>
        </w:rPr>
      </w:pPr>
      <w:r>
        <w:rPr>
          <w:rFonts w:hint="eastAsia" w:ascii="宋体" w:hAnsi="宋体" w:eastAsia="宋体" w:cs="黑体"/>
          <w:sz w:val="24"/>
        </w:rPr>
        <w:t xml:space="preserve">5.2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720"/>
        <w:jc w:val="left"/>
        <w:spacing w:line="500" w:lineRule="exact"/>
        <w:rPr>
          <w:rFonts w:hint="eastAsia" w:ascii="宋体" w:hAnsi="宋体" w:eastAsia="宋体" w:cs="黑体"/>
          <w:sz w:val="24"/>
        </w:rPr>
      </w:pPr>
      <w:r>
        <w:rPr>
          <w:rFonts w:hint="eastAsia" w:ascii="宋体" w:hAnsi="宋体" w:eastAsia="宋体" w:cs="黑体"/>
          <w:sz w:val="24"/>
        </w:rPr>
        <w:t xml:space="preserve">5.3对于实际使用人和甲方分离的项目，甲方邀请实际使用人参与验收。</w:t>
      </w:r>
      <w:r/>
    </w:p>
    <w:p>
      <w:pPr>
        <w:ind w:firstLine="720"/>
        <w:jc w:val="left"/>
        <w:spacing w:line="500" w:lineRule="exact"/>
        <w:rPr>
          <w:rFonts w:hint="eastAsia" w:ascii="宋体" w:hAnsi="宋体" w:eastAsia="宋体" w:cs="黑体"/>
          <w:sz w:val="24"/>
        </w:rPr>
      </w:pPr>
      <w:r>
        <w:rPr>
          <w:rFonts w:hint="eastAsia" w:ascii="宋体" w:hAnsi="宋体" w:eastAsia="宋体" w:cs="黑体"/>
          <w:sz w:val="24"/>
        </w:rPr>
        <w:t xml:space="preserve">5.4如有必要，甲方邀请参加本项目的其他供应商或第三方专业机构及专家参与验收，相关意见将作为验收书的参考资料。</w:t>
      </w:r>
      <w:r/>
    </w:p>
    <w:p>
      <w:pPr>
        <w:ind w:firstLine="720"/>
        <w:jc w:val="left"/>
        <w:spacing w:line="500" w:lineRule="exact"/>
        <w:rPr>
          <w:rFonts w:hint="eastAsia" w:ascii="宋体" w:hAnsi="宋体" w:eastAsia="宋体" w:cs="黑体"/>
          <w:sz w:val="24"/>
        </w:rPr>
      </w:pPr>
      <w:r>
        <w:rPr>
          <w:rFonts w:hint="eastAsia" w:ascii="宋体" w:hAnsi="宋体" w:eastAsia="宋体" w:cs="黑体"/>
          <w:sz w:val="24"/>
        </w:rPr>
        <w:t xml:space="preserve">5.5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720"/>
        <w:jc w:val="left"/>
        <w:spacing w:line="500" w:lineRule="exact"/>
        <w:rPr>
          <w:rFonts w:hint="eastAsia" w:ascii="宋体" w:hAnsi="宋体" w:eastAsia="宋体" w:cs="黑体"/>
          <w:sz w:val="24"/>
        </w:rPr>
      </w:pPr>
      <w:r>
        <w:rPr>
          <w:rFonts w:hint="eastAsia" w:ascii="宋体" w:hAnsi="宋体" w:eastAsia="宋体" w:cs="黑体"/>
          <w:sz w:val="24"/>
        </w:rPr>
        <w:t xml:space="preserve">5.6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0"/>
        <w:jc w:val="left"/>
        <w:spacing w:line="500" w:lineRule="exact"/>
        <w:rPr>
          <w:rFonts w:hint="eastAsia" w:ascii="宋体" w:hAnsi="宋体" w:eastAsia="宋体" w:cs="黑体"/>
          <w:sz w:val="24"/>
        </w:rPr>
      </w:pPr>
      <w:r>
        <w:rPr>
          <w:rFonts w:hint="eastAsia" w:ascii="宋体" w:hAnsi="宋体" w:eastAsia="宋体" w:cs="黑体"/>
          <w:sz w:val="24"/>
        </w:rPr>
        <w:t xml:space="preserve">六、违约责任</w:t>
      </w:r>
      <w:r/>
    </w:p>
    <w:p>
      <w:pPr>
        <w:ind w:firstLine="480"/>
        <w:jc w:val="left"/>
        <w:spacing w:line="500" w:lineRule="exact"/>
        <w:rPr>
          <w:rFonts w:hint="eastAsia" w:ascii="宋体" w:hAnsi="宋体" w:eastAsia="宋体" w:cs="楷体"/>
          <w:sz w:val="24"/>
        </w:rPr>
      </w:pPr>
      <w:r>
        <w:rPr>
          <w:rFonts w:hint="eastAsia" w:ascii="宋体" w:hAnsi="宋体" w:eastAsia="宋体" w:cs="楷体"/>
          <w:sz w:val="24"/>
        </w:rPr>
        <w:t xml:space="preserve">6.1甲方无正当理由终止乙方开展服务的，按未履行相应价款百分之五承担违约金；甲方无正当理由逾期付款的,按逾期付款总额每日万分之四承担违约金。</w:t>
      </w:r>
      <w:r/>
    </w:p>
    <w:p>
      <w:pPr>
        <w:ind w:firstLine="480"/>
        <w:jc w:val="left"/>
        <w:spacing w:line="500" w:lineRule="exact"/>
        <w:rPr>
          <w:rFonts w:hint="eastAsia" w:ascii="宋体" w:hAnsi="宋体" w:eastAsia="宋体" w:cs="楷体"/>
          <w:sz w:val="24"/>
        </w:rPr>
      </w:pPr>
      <w:r>
        <w:rPr>
          <w:rFonts w:hint="eastAsia" w:ascii="宋体" w:hAnsi="宋体" w:eastAsia="宋体" w:cs="楷体"/>
          <w:sz w:val="24"/>
        </w:rPr>
        <w:t xml:space="preserve">6.2、由于乙方原因导致本合同未能履行或未能继续履行的（超过合同规定期限7日以上），乙方按未履行相应价款百分之五承担违约金，如违约金不能弥补甲方经济损失，对于不足部分乙方承担赔偿责任。</w:t>
      </w:r>
      <w:r/>
    </w:p>
    <w:p>
      <w:pPr>
        <w:ind w:firstLine="480"/>
        <w:jc w:val="left"/>
        <w:spacing w:line="500" w:lineRule="exact"/>
        <w:rPr>
          <w:rFonts w:hint="eastAsia" w:ascii="宋体" w:hAnsi="宋体" w:eastAsia="宋体" w:cs="黑体"/>
          <w:sz w:val="24"/>
        </w:rPr>
      </w:pPr>
      <w:r>
        <w:rPr>
          <w:rFonts w:hint="eastAsia" w:ascii="宋体" w:hAnsi="宋体" w:eastAsia="宋体" w:cs="黑体"/>
          <w:sz w:val="24"/>
        </w:rPr>
        <w:t xml:space="preserve">七、争议处理</w:t>
      </w:r>
      <w:r/>
    </w:p>
    <w:p>
      <w:pPr>
        <w:ind w:firstLine="480"/>
        <w:jc w:val="left"/>
        <w:spacing w:line="500" w:lineRule="exact"/>
        <w:rPr>
          <w:rFonts w:hint="eastAsia" w:ascii="宋体" w:hAnsi="宋体" w:eastAsia="宋体" w:cs="楷体"/>
          <w:sz w:val="24"/>
        </w:rPr>
      </w:pPr>
      <w:r>
        <w:rPr>
          <w:rFonts w:hint="eastAsia" w:ascii="宋体" w:hAnsi="宋体" w:eastAsia="宋体" w:cs="楷体"/>
          <w:sz w:val="24"/>
        </w:rPr>
        <w:t xml:space="preserve">7.1本合同在履行过程中如发生争议，双方协商解决，如协议不成，任何一方均可向滨海县人民法院提起诉讼。</w:t>
      </w:r>
      <w:r/>
    </w:p>
    <w:p>
      <w:pPr>
        <w:ind w:firstLine="480"/>
        <w:jc w:val="left"/>
        <w:spacing w:line="500" w:lineRule="exact"/>
        <w:rPr>
          <w:rFonts w:hint="eastAsia" w:ascii="宋体" w:hAnsi="宋体" w:eastAsia="宋体" w:cs="楷体"/>
          <w:sz w:val="24"/>
        </w:rPr>
      </w:pPr>
      <w:r>
        <w:rPr>
          <w:rFonts w:hint="eastAsia" w:ascii="宋体" w:hAnsi="宋体" w:eastAsia="宋体" w:cs="楷体"/>
          <w:sz w:val="24"/>
        </w:rPr>
        <w:t xml:space="preserve">7.2如争议系一方违约造成的，另一方为主张权利所支出的包括律师代理费在内的一切经济损失均由违约一方承担。 </w:t>
      </w:r>
      <w:r/>
    </w:p>
    <w:p>
      <w:pPr>
        <w:ind w:firstLine="480"/>
        <w:jc w:val="left"/>
        <w:spacing w:line="500" w:lineRule="exact"/>
        <w:rPr>
          <w:rFonts w:hint="eastAsia" w:ascii="宋体" w:hAnsi="宋体" w:eastAsia="宋体" w:cs="黑体"/>
          <w:sz w:val="24"/>
        </w:rPr>
      </w:pPr>
      <w:r>
        <w:rPr>
          <w:rFonts w:hint="eastAsia" w:ascii="宋体" w:hAnsi="宋体" w:eastAsia="宋体" w:cs="黑体"/>
          <w:sz w:val="24"/>
        </w:rPr>
        <w:t xml:space="preserve">八、合同生效及其它</w:t>
      </w:r>
      <w:r/>
    </w:p>
    <w:p>
      <w:pPr>
        <w:ind w:firstLine="480"/>
        <w:jc w:val="left"/>
        <w:spacing w:line="500" w:lineRule="exact"/>
        <w:rPr>
          <w:rFonts w:hint="eastAsia" w:ascii="宋体" w:hAnsi="宋体" w:eastAsia="宋体" w:cs="黑体"/>
          <w:sz w:val="24"/>
        </w:rPr>
      </w:pPr>
      <w:r>
        <w:rPr>
          <w:rFonts w:hint="eastAsia" w:ascii="宋体" w:hAnsi="宋体" w:eastAsia="宋体" w:cs="宋体"/>
          <w:sz w:val="24"/>
        </w:rPr>
        <w:t xml:space="preserve">8.1合同经双方法定代表人或授权委托代表人签字并加盖单位公章后生效。</w:t>
      </w:r>
      <w:r/>
    </w:p>
    <w:p>
      <w:pPr>
        <w:pStyle w:val="634"/>
        <w:ind w:firstLine="480"/>
        <w:spacing w:beforeAutospacing="0" w:afterAutospacing="0" w:line="500" w:lineRule="exact"/>
        <w:rPr>
          <w:rFonts w:hint="eastAsia" w:ascii="宋体" w:hAnsi="宋体" w:eastAsia="宋体"/>
        </w:rPr>
      </w:pPr>
      <w:r>
        <w:rPr>
          <w:rFonts w:hint="eastAsia" w:ascii="宋体" w:hAnsi="宋体" w:eastAsia="宋体" w:cs="宋体"/>
        </w:rPr>
        <w:t xml:space="preserve">8.2本合同未尽事宜，遵照《《中华人民共和国民法典》、《《中华人民共和国政府采购法》有关条文执行。</w:t>
      </w:r>
      <w:r/>
    </w:p>
    <w:p>
      <w:pPr>
        <w:pStyle w:val="634"/>
        <w:ind w:firstLine="480"/>
        <w:spacing w:beforeAutospacing="0" w:afterAutospacing="0" w:line="500" w:lineRule="exact"/>
        <w:rPr>
          <w:rFonts w:hint="eastAsia" w:ascii="宋体" w:hAnsi="宋体" w:eastAsia="宋体"/>
        </w:rPr>
      </w:pPr>
      <w:r>
        <w:rPr>
          <w:rFonts w:hint="eastAsia" w:ascii="宋体" w:hAnsi="宋体" w:eastAsia="宋体" w:cs="宋体"/>
        </w:rPr>
        <w:t xml:space="preserve">8.3 本合同正本一式两份，具有同等法律效力，甲方、乙方各执一份。</w:t>
      </w:r>
      <w:r/>
    </w:p>
    <w:p>
      <w:pPr>
        <w:pStyle w:val="634"/>
        <w:ind w:firstLine="480"/>
        <w:spacing w:beforeAutospacing="0" w:afterAutospacing="0" w:line="500" w:lineRule="exact"/>
        <w:rPr>
          <w:rFonts w:hint="eastAsia" w:ascii="宋体" w:hAnsi="宋体" w:eastAsia="宋体"/>
        </w:rPr>
      </w:pPr>
      <w:r>
        <w:rPr>
          <w:rFonts w:hint="eastAsia" w:ascii="宋体" w:hAnsi="宋体" w:eastAsia="宋体" w:cs="宋体"/>
        </w:rPr>
        <w:t xml:space="preserve">甲方：                 乙方： </w:t>
      </w:r>
      <w:r/>
    </w:p>
    <w:p>
      <w:pPr>
        <w:pStyle w:val="634"/>
        <w:ind w:firstLine="480"/>
        <w:spacing w:beforeAutospacing="0" w:afterAutospacing="0" w:line="500" w:lineRule="exact"/>
        <w:rPr>
          <w:rFonts w:hint="eastAsia" w:ascii="宋体" w:hAnsi="宋体" w:eastAsia="宋体"/>
        </w:rPr>
      </w:pPr>
      <w:r>
        <w:rPr>
          <w:rFonts w:hint="eastAsia" w:ascii="宋体" w:hAnsi="宋体" w:eastAsia="宋体" w:cs="宋体"/>
        </w:rPr>
        <w:t xml:space="preserve">地址：                 地址： </w:t>
      </w:r>
      <w:r/>
    </w:p>
    <w:p>
      <w:pPr>
        <w:pStyle w:val="634"/>
        <w:ind w:firstLine="240"/>
        <w:spacing w:beforeAutospacing="0" w:afterAutospacing="0" w:line="500" w:lineRule="exact"/>
        <w:rPr>
          <w:rFonts w:hint="eastAsia" w:ascii="宋体" w:hAnsi="宋体" w:eastAsia="宋体"/>
        </w:rPr>
      </w:pPr>
      <w:r>
        <w:rPr>
          <w:rFonts w:hint="eastAsia" w:ascii="宋体" w:hAnsi="宋体" w:eastAsia="宋体" w:cs="宋体"/>
        </w:rPr>
        <w:t xml:space="preserve">法定代表人或授权代表：        法定代表人或授权代表：</w:t>
      </w:r>
      <w:r/>
    </w:p>
    <w:p>
      <w:pPr>
        <w:pStyle w:val="634"/>
        <w:ind w:firstLine="600"/>
        <w:spacing w:beforeAutospacing="0" w:afterAutospacing="0" w:line="500" w:lineRule="exact"/>
        <w:rPr>
          <w:rFonts w:hint="eastAsia" w:ascii="宋体" w:hAnsi="宋体" w:eastAsia="宋体"/>
        </w:rPr>
      </w:pPr>
      <w:r>
        <w:rPr>
          <w:rFonts w:hint="eastAsia" w:ascii="宋体" w:hAnsi="宋体" w:eastAsia="宋体" w:cs="宋体"/>
        </w:rPr>
        <w:t xml:space="preserve">联系电话：               联系电话：          </w:t>
      </w:r>
      <w:r/>
    </w:p>
    <w:p>
      <w:pPr>
        <w:pStyle w:val="634"/>
        <w:ind w:firstLine="1687"/>
        <w:jc w:val="center"/>
        <w:spacing w:beforeAutospacing="0" w:afterAutospacing="0" w:line="500" w:lineRule="exact"/>
      </w:pPr>
      <w:r>
        <w:rPr>
          <w:rFonts w:hint="eastAsia" w:ascii="宋体" w:hAnsi="宋体" w:eastAsia="宋体" w:cs="宋体"/>
        </w:rPr>
        <w:t xml:space="preserve">签订日期：      年    月   日</w:t>
      </w:r>
      <w:bookmarkStart w:id="174" w:name="_Toc479757211"/>
      <w:r/>
      <w:bookmarkStart w:id="175" w:name="_Hlt16619350"/>
      <w:r/>
      <w:bookmarkStart w:id="176" w:name="_Toc20823346"/>
      <w:r/>
      <w:bookmarkStart w:id="177" w:name="_Toc462564139"/>
      <w:r/>
      <w:bookmarkStart w:id="178" w:name="_Toc16938590"/>
      <w:r/>
      <w:bookmarkStart w:id="179" w:name="_Toc120614244"/>
      <w:r/>
      <w:bookmarkStart w:id="180" w:name="_Hlt16619369"/>
      <w:r>
        <w:rPr>
          <w:rFonts w:hint="eastAsia" w:ascii="黑体" w:hAnsi="宋体" w:eastAsia="黑体" w:cs="黑体"/>
        </w:rPr>
        <w:br w:type="page" w:clear="all"/>
      </w:r>
      <w:r>
        <w:rPr>
          <w:rFonts w:hint="eastAsia" w:ascii="黑体" w:hAnsi="宋体" w:eastAsia="黑体" w:cs="黑体"/>
          <w:sz w:val="44"/>
          <w:szCs w:val="44"/>
        </w:rPr>
        <w:t xml:space="preserve"> 第</w:t>
      </w:r>
      <w:bookmarkEnd w:id="174"/>
      <w:r>
        <w:rPr>
          <w:rFonts w:hint="eastAsia" w:ascii="黑体" w:hAnsi="宋体" w:eastAsia="黑体" w:cs="黑体"/>
          <w:sz w:val="44"/>
          <w:szCs w:val="44"/>
        </w:rPr>
        <w:t xml:space="preserve">四章 采购需求</w:t>
      </w:r>
      <w:bookmarkEnd w:id="175"/>
      <w:r/>
      <w:bookmarkEnd w:id="176"/>
      <w:r/>
      <w:bookmarkEnd w:id="177"/>
      <w:r/>
      <w:bookmarkEnd w:id="178"/>
      <w:r/>
      <w:bookmarkEnd w:id="179"/>
      <w:r/>
      <w:r/>
    </w:p>
    <w:p>
      <w:pPr>
        <w:pStyle w:val="634"/>
        <w:spacing w:beforeAutospacing="0" w:afterAutospacing="0" w:line="460" w:lineRule="exact"/>
        <w:rPr>
          <w:rFonts w:hint="eastAsia" w:ascii="宋体" w:hAnsi="宋体" w:eastAsia="宋体" w:cs="宋体"/>
        </w:rPr>
      </w:pPr>
      <w:r/>
      <w:bookmarkStart w:id="181" w:name="_Toc26554093"/>
      <w:r/>
      <w:bookmarkStart w:id="182" w:name="_Toc49090575"/>
      <w:r>
        <w:rPr>
          <w:rFonts w:hint="eastAsia" w:ascii="宋体" w:hAnsi="宋体" w:eastAsia="宋体" w:cs="宋体"/>
        </w:rPr>
        <w:t xml:space="preserve">项目属性:服务类项目。</w:t>
      </w:r>
      <w:bookmarkEnd w:id="181"/>
      <w:r/>
      <w:bookmarkEnd w:id="182"/>
      <w:r/>
      <w:bookmarkStart w:id="183" w:name="_Toc120614281"/>
      <w:r/>
      <w:r/>
    </w:p>
    <w:p>
      <w:pPr>
        <w:spacing w:line="460" w:lineRule="exact"/>
        <w:rPr>
          <w:rFonts w:hint="eastAsia" w:ascii="宋体" w:hAnsi="宋体" w:eastAsia="宋体" w:cs="宋体"/>
          <w:sz w:val="24"/>
        </w:rPr>
      </w:pPr>
      <w:r>
        <w:rPr>
          <w:rFonts w:hint="eastAsia" w:ascii="宋体" w:hAnsi="宋体" w:eastAsia="宋体"/>
          <w:sz w:val="24"/>
        </w:rPr>
        <w:t xml:space="preserve"> </w:t>
      </w:r>
      <w:r>
        <w:rPr>
          <w:rFonts w:hint="eastAsia" w:ascii="宋体" w:hAnsi="宋体" w:eastAsia="宋体" w:cs="宋体"/>
          <w:sz w:val="24"/>
        </w:rPr>
        <w:t xml:space="preserve">1、采购需求：</w:t>
      </w:r>
      <w:r/>
    </w:p>
    <w:p>
      <w:pPr>
        <w:ind w:firstLine="487"/>
        <w:spacing w:line="460" w:lineRule="exact"/>
        <w:rPr>
          <w:rFonts w:hint="eastAsia" w:ascii="宋体" w:hAnsi="宋体" w:eastAsia="宋体" w:cs="Times New Roman"/>
          <w:sz w:val="24"/>
        </w:rPr>
      </w:pPr>
      <w:r>
        <w:rPr>
          <w:rFonts w:ascii="宋体" w:hAnsi="宋体" w:eastAsia="宋体" w:cs="Times New Roman"/>
          <w:b/>
          <w:bCs/>
          <w:sz w:val="24"/>
        </w:rPr>
        <w:t xml:space="preserve">一、园区及在产企业环境隐患排查：</w:t>
      </w:r>
      <w:r/>
    </w:p>
    <w:p>
      <w:pPr>
        <w:ind w:firstLine="484"/>
        <w:spacing w:line="460" w:lineRule="exact"/>
        <w:rPr>
          <w:rFonts w:hint="eastAsia" w:ascii="宋体" w:hAnsi="宋体" w:eastAsia="宋体" w:cs="Times New Roman"/>
          <w:sz w:val="24"/>
        </w:rPr>
      </w:pPr>
      <w:r>
        <w:rPr>
          <w:rFonts w:ascii="宋体" w:hAnsi="宋体" w:eastAsia="宋体" w:cs="Times New Roman"/>
          <w:sz w:val="24"/>
        </w:rPr>
        <w:t xml:space="preserve">成立不少于10人技术团队，包含废气废水各方向技术专家，其中4人提供长期驻点服务，驻点人员要求环保或化工类专业。服务期间提供1辆驻点车辆。开展园区及在产企业环境隐患排查并提供以下成果：</w:t>
      </w:r>
      <w:r/>
    </w:p>
    <w:p>
      <w:pPr>
        <w:ind w:firstLine="484"/>
        <w:spacing w:line="460" w:lineRule="exact"/>
        <w:rPr>
          <w:rFonts w:hint="eastAsia" w:ascii="宋体" w:hAnsi="宋体" w:eastAsia="宋体" w:cs="Times New Roman"/>
          <w:sz w:val="24"/>
        </w:rPr>
      </w:pPr>
      <w:r>
        <w:rPr>
          <w:rFonts w:ascii="宋体" w:hAnsi="宋体" w:eastAsia="宋体" w:cs="Times New Roman"/>
          <w:sz w:val="24"/>
        </w:rPr>
        <w:t xml:space="preserve">（1）环境风险隐患排查表（年度）（包括手续、大气、废水、固废、污染防治及风险应急）。</w:t>
      </w:r>
      <w:r/>
    </w:p>
    <w:p>
      <w:pPr>
        <w:ind w:firstLine="484"/>
        <w:spacing w:line="460" w:lineRule="exact"/>
        <w:rPr>
          <w:rFonts w:hint="eastAsia" w:ascii="宋体" w:hAnsi="宋体" w:eastAsia="宋体" w:cs="Times New Roman"/>
          <w:sz w:val="24"/>
        </w:rPr>
      </w:pPr>
      <w:r>
        <w:rPr>
          <w:rFonts w:ascii="宋体" w:hAnsi="宋体" w:eastAsia="宋体" w:cs="Times New Roman"/>
          <w:sz w:val="24"/>
        </w:rPr>
        <w:t xml:space="preserve">（2）滨海沿海工业园环境隐患排查问题清单（年度）。</w:t>
      </w:r>
      <w:r/>
    </w:p>
    <w:p>
      <w:pPr>
        <w:ind w:firstLine="484"/>
        <w:spacing w:line="460" w:lineRule="exact"/>
        <w:rPr>
          <w:rFonts w:hint="eastAsia" w:ascii="宋体" w:hAnsi="宋体" w:eastAsia="宋体" w:cs="Times New Roman"/>
          <w:sz w:val="24"/>
        </w:rPr>
      </w:pPr>
      <w:r>
        <w:rPr>
          <w:rFonts w:ascii="宋体" w:hAnsi="宋体" w:eastAsia="宋体" w:cs="Times New Roman"/>
          <w:sz w:val="24"/>
        </w:rPr>
        <w:t xml:space="preserve">（3）滨海沿海工业园环境隐患整改方案（年度）。</w:t>
      </w:r>
      <w:r/>
    </w:p>
    <w:p>
      <w:pPr>
        <w:ind w:firstLine="484"/>
        <w:spacing w:line="460" w:lineRule="exact"/>
        <w:rPr>
          <w:rFonts w:hint="eastAsia" w:ascii="宋体" w:hAnsi="宋体" w:eastAsia="宋体" w:cs="Times New Roman"/>
          <w:sz w:val="24"/>
        </w:rPr>
      </w:pPr>
      <w:r>
        <w:rPr>
          <w:rFonts w:hint="eastAsia" w:ascii="宋体" w:hAnsi="宋体" w:eastAsia="宋体" w:cs="Times New Roman"/>
          <w:sz w:val="24"/>
        </w:rPr>
        <w:t xml:space="preserve">（4）做好园区大气环境排查治理工作：对影响厂界外的重点废气企业，开展“无异味”工厂排查治理，每季度安排省内外知名废气专家、建立问题清单，并督促完成整改验收。</w:t>
      </w:r>
      <w:r/>
    </w:p>
    <w:p>
      <w:pPr>
        <w:ind w:firstLine="487"/>
        <w:spacing w:line="460" w:lineRule="exact"/>
        <w:rPr>
          <w:rFonts w:hint="eastAsia" w:ascii="宋体" w:hAnsi="宋体" w:eastAsia="宋体" w:cs="Times New Roman"/>
          <w:b/>
          <w:bCs/>
          <w:sz w:val="24"/>
        </w:rPr>
      </w:pPr>
      <w:r>
        <w:rPr>
          <w:rFonts w:ascii="宋体" w:hAnsi="宋体" w:eastAsia="宋体" w:cs="Times New Roman"/>
          <w:b/>
          <w:bCs/>
          <w:sz w:val="24"/>
        </w:rPr>
        <w:t xml:space="preserve">二、协助园区对上级环保部门督查及信访事件问题开展核查整改</w:t>
      </w:r>
      <w:r/>
    </w:p>
    <w:p>
      <w:pPr>
        <w:ind w:firstLine="484"/>
        <w:spacing w:line="460" w:lineRule="exact"/>
        <w:rPr>
          <w:rFonts w:hint="eastAsia" w:ascii="宋体" w:hAnsi="宋体" w:eastAsia="宋体" w:cs="Times New Roman"/>
          <w:sz w:val="24"/>
        </w:rPr>
      </w:pPr>
      <w:r>
        <w:rPr>
          <w:rFonts w:ascii="宋体" w:hAnsi="宋体" w:eastAsia="宋体" w:cs="Times New Roman"/>
          <w:sz w:val="24"/>
        </w:rPr>
        <w:t xml:space="preserve">（1）协助完成上级督察及整治验收工作，收集汇总督查问题清单及整改落实情况表，并协助开展跟踪复核形成简报。</w:t>
      </w:r>
      <w:r/>
    </w:p>
    <w:p>
      <w:pPr>
        <w:ind w:firstLine="484"/>
        <w:spacing w:line="460" w:lineRule="exact"/>
        <w:rPr>
          <w:rFonts w:hint="eastAsia" w:ascii="宋体" w:hAnsi="宋体" w:eastAsia="宋体" w:cs="Times New Roman"/>
          <w:sz w:val="24"/>
        </w:rPr>
      </w:pPr>
      <w:r>
        <w:rPr>
          <w:rFonts w:ascii="宋体" w:hAnsi="宋体" w:eastAsia="宋体" w:cs="Times New Roman"/>
          <w:sz w:val="24"/>
        </w:rPr>
        <w:t xml:space="preserve">（2）协助园区应对及群众信访案件等，必要时组织专家对相关问题进行现场诊断并提供针对性解决方案。</w:t>
      </w:r>
      <w:r/>
    </w:p>
    <w:p>
      <w:pPr>
        <w:ind w:firstLine="484"/>
        <w:spacing w:line="460" w:lineRule="exact"/>
        <w:rPr>
          <w:rFonts w:hint="eastAsia" w:ascii="宋体" w:hAnsi="宋体" w:eastAsia="宋体" w:cs="Times New Roman"/>
          <w:sz w:val="24"/>
        </w:rPr>
      </w:pPr>
      <w:r>
        <w:rPr>
          <w:rFonts w:ascii="宋体" w:hAnsi="宋体" w:eastAsia="宋体" w:cs="Times New Roman"/>
          <w:sz w:val="24"/>
        </w:rPr>
        <w:t xml:space="preserve">为招商引资、结构调整、转型升级等提供环保服务提供咨询和建议：根据园区需要，对拟入园企业提供环保咨询建议。</w:t>
      </w:r>
      <w:r/>
    </w:p>
    <w:p>
      <w:pPr>
        <w:ind w:firstLine="487"/>
        <w:spacing w:line="460" w:lineRule="exact"/>
        <w:rPr>
          <w:rFonts w:hint="eastAsia" w:ascii="宋体" w:hAnsi="宋体" w:eastAsia="宋体" w:cs="Times New Roman"/>
          <w:b/>
          <w:bCs/>
          <w:sz w:val="24"/>
        </w:rPr>
      </w:pPr>
      <w:r>
        <w:rPr>
          <w:rFonts w:ascii="宋体" w:hAnsi="宋体" w:eastAsia="宋体" w:cs="Times New Roman"/>
          <w:b/>
          <w:bCs/>
          <w:sz w:val="24"/>
        </w:rPr>
        <w:t xml:space="preserve">三、为招商引资、结构调整、转型升级等提供环保服务提供咨询和建议</w:t>
      </w:r>
      <w:r/>
    </w:p>
    <w:p>
      <w:pPr>
        <w:ind w:firstLine="484"/>
        <w:spacing w:line="460" w:lineRule="exact"/>
        <w:rPr>
          <w:rFonts w:hint="eastAsia" w:ascii="宋体" w:hAnsi="宋体" w:eastAsia="宋体" w:cs="Times New Roman"/>
          <w:sz w:val="24"/>
        </w:rPr>
      </w:pPr>
      <w:r>
        <w:rPr>
          <w:rFonts w:ascii="宋体" w:hAnsi="宋体" w:eastAsia="宋体" w:cs="Times New Roman"/>
          <w:sz w:val="24"/>
        </w:rPr>
        <w:t xml:space="preserve">根据园区需要，对拟入园企业提供环保咨询建议。</w:t>
      </w:r>
      <w:r/>
    </w:p>
    <w:p>
      <w:pPr>
        <w:ind w:firstLine="487"/>
        <w:spacing w:line="460" w:lineRule="exact"/>
        <w:rPr>
          <w:rFonts w:hint="eastAsia" w:ascii="宋体" w:hAnsi="宋体" w:eastAsia="宋体" w:cs="Times New Roman"/>
          <w:b/>
          <w:bCs/>
          <w:sz w:val="24"/>
        </w:rPr>
      </w:pPr>
      <w:r>
        <w:rPr>
          <w:rFonts w:ascii="宋体" w:hAnsi="宋体" w:eastAsia="宋体" w:cs="Times New Roman"/>
          <w:b/>
          <w:bCs/>
          <w:sz w:val="24"/>
        </w:rPr>
        <w:t xml:space="preserve">四、为智慧园区运行提升提供技术建议。</w:t>
      </w:r>
      <w:r/>
    </w:p>
    <w:p>
      <w:pPr>
        <w:ind w:firstLine="484"/>
        <w:spacing w:line="460" w:lineRule="exact"/>
        <w:rPr>
          <w:rFonts w:hint="eastAsia" w:ascii="宋体" w:hAnsi="宋体" w:eastAsia="宋体" w:cs="Times New Roman"/>
          <w:sz w:val="24"/>
        </w:rPr>
      </w:pPr>
      <w:r>
        <w:rPr>
          <w:rFonts w:ascii="宋体" w:hAnsi="宋体" w:eastAsia="宋体" w:cs="Times New Roman"/>
          <w:sz w:val="24"/>
        </w:rPr>
        <w:t xml:space="preserve">根据园区需要，和为智慧园区对接，对园区智慧平台运行提升提供技术建议。</w:t>
      </w:r>
      <w:r/>
    </w:p>
    <w:p>
      <w:pPr>
        <w:ind w:firstLine="487"/>
        <w:spacing w:line="460" w:lineRule="exact"/>
        <w:rPr>
          <w:rFonts w:hint="eastAsia" w:ascii="宋体" w:hAnsi="宋体" w:eastAsia="宋体" w:cs="Times New Roman"/>
          <w:b/>
          <w:bCs/>
          <w:sz w:val="24"/>
        </w:rPr>
      </w:pPr>
      <w:r>
        <w:rPr>
          <w:rFonts w:ascii="宋体" w:hAnsi="宋体" w:eastAsia="宋体" w:cs="Times New Roman"/>
          <w:b/>
          <w:bCs/>
          <w:sz w:val="24"/>
        </w:rPr>
        <w:t xml:space="preserve">五、为园区管委会及企业提供环保宣传培训服务</w:t>
      </w:r>
      <w:r/>
    </w:p>
    <w:p>
      <w:pPr>
        <w:ind w:firstLine="484"/>
        <w:spacing w:line="460" w:lineRule="exact"/>
        <w:rPr>
          <w:rFonts w:hint="eastAsia" w:ascii="宋体" w:hAnsi="宋体" w:eastAsia="宋体" w:cs="Times New Roman"/>
          <w:sz w:val="24"/>
        </w:rPr>
      </w:pPr>
      <w:r>
        <w:rPr>
          <w:rFonts w:ascii="宋体" w:hAnsi="宋体" w:eastAsia="宋体" w:cs="Times New Roman"/>
          <w:sz w:val="24"/>
        </w:rPr>
        <w:t xml:space="preserve">根据园区需要开展环保法律、技术规范等方面的培训（2次/年，共4次）对培训优秀学员，适当给予小奖品（定制记录笔、培训本、玻璃口杯等）。</w:t>
      </w:r>
      <w:r/>
    </w:p>
    <w:p>
      <w:pPr>
        <w:ind w:firstLine="487"/>
        <w:spacing w:line="460" w:lineRule="exact"/>
        <w:rPr>
          <w:rFonts w:hint="eastAsia" w:ascii="宋体" w:hAnsi="宋体" w:eastAsia="宋体" w:cs="Times New Roman"/>
          <w:b/>
          <w:bCs/>
          <w:sz w:val="24"/>
        </w:rPr>
      </w:pPr>
      <w:r>
        <w:rPr>
          <w:rFonts w:ascii="宋体" w:hAnsi="宋体" w:eastAsia="宋体" w:cs="Times New Roman"/>
          <w:b/>
          <w:bCs/>
          <w:sz w:val="24"/>
        </w:rPr>
        <w:t xml:space="preserve">六、协助重大事项协调推进及重大项目攻关</w:t>
      </w:r>
      <w:r/>
    </w:p>
    <w:p>
      <w:pPr>
        <w:ind w:firstLine="484"/>
        <w:spacing w:line="460" w:lineRule="exact"/>
        <w:rPr>
          <w:rFonts w:hint="eastAsia" w:ascii="宋体" w:hAnsi="宋体" w:eastAsia="宋体" w:cs="Times New Roman"/>
          <w:sz w:val="24"/>
        </w:rPr>
      </w:pPr>
      <w:r>
        <w:rPr>
          <w:rFonts w:ascii="宋体" w:hAnsi="宋体" w:eastAsia="宋体" w:cs="Times New Roman"/>
          <w:sz w:val="24"/>
        </w:rPr>
        <w:t xml:space="preserve">依据园区管理需要，提供技术支撑，帮助园区对接上级环保部门协调相关环保事项。</w:t>
      </w:r>
      <w:r/>
    </w:p>
    <w:p>
      <w:pPr>
        <w:ind w:firstLine="487"/>
        <w:spacing w:line="460" w:lineRule="exact"/>
        <w:rPr>
          <w:rFonts w:hint="eastAsia" w:ascii="宋体" w:hAnsi="宋体" w:eastAsia="宋体" w:cs="Times New Roman"/>
          <w:b/>
          <w:bCs/>
          <w:sz w:val="24"/>
        </w:rPr>
      </w:pPr>
      <w:r>
        <w:rPr>
          <w:rFonts w:ascii="宋体" w:hAnsi="宋体" w:eastAsia="宋体" w:cs="Times New Roman"/>
          <w:b/>
          <w:bCs/>
          <w:sz w:val="24"/>
        </w:rPr>
        <w:t xml:space="preserve">七、协助突发环境事件处置</w:t>
      </w:r>
      <w:r/>
    </w:p>
    <w:p>
      <w:pPr>
        <w:ind w:firstLine="964"/>
        <w:spacing w:line="460" w:lineRule="exact"/>
        <w:rPr>
          <w:rFonts w:hint="eastAsia" w:ascii="宋体" w:hAnsi="宋体" w:eastAsia="宋体" w:cs="Times New Roman"/>
          <w:sz w:val="24"/>
        </w:rPr>
      </w:pPr>
      <w:r>
        <w:rPr>
          <w:rFonts w:ascii="宋体" w:hAnsi="宋体" w:eastAsia="宋体" w:cs="Times New Roman"/>
          <w:sz w:val="24"/>
        </w:rPr>
        <w:t xml:space="preserve">一事一议。</w:t>
      </w:r>
      <w:r/>
    </w:p>
    <w:p>
      <w:pPr>
        <w:ind w:firstLine="487"/>
        <w:spacing w:line="460" w:lineRule="exact"/>
        <w:rPr>
          <w:rFonts w:hint="eastAsia" w:ascii="宋体" w:hAnsi="宋体" w:eastAsia="宋体" w:cs="Times New Roman"/>
          <w:b/>
          <w:bCs/>
          <w:sz w:val="24"/>
        </w:rPr>
      </w:pPr>
      <w:r>
        <w:rPr>
          <w:rFonts w:ascii="宋体" w:hAnsi="宋体" w:eastAsia="宋体" w:cs="Times New Roman"/>
          <w:b/>
          <w:bCs/>
          <w:sz w:val="24"/>
        </w:rPr>
        <w:t xml:space="preserve">八、协助园区资金申报项目开展</w:t>
      </w:r>
      <w:r/>
    </w:p>
    <w:p>
      <w:pPr>
        <w:ind w:firstLine="484"/>
        <w:spacing w:line="460" w:lineRule="exact"/>
        <w:rPr>
          <w:rFonts w:hint="eastAsia" w:ascii="宋体" w:hAnsi="宋体" w:eastAsia="宋体" w:cs="Times New Roman"/>
          <w:sz w:val="24"/>
        </w:rPr>
      </w:pPr>
      <w:r>
        <w:rPr>
          <w:rFonts w:ascii="宋体" w:hAnsi="宋体" w:eastAsia="宋体" w:cs="Times New Roman"/>
          <w:sz w:val="24"/>
        </w:rPr>
        <w:t xml:space="preserve">协助园区资金申报项目开展，材料收集整理与对接。</w:t>
      </w:r>
      <w:r/>
    </w:p>
    <w:p>
      <w:pPr>
        <w:ind w:firstLine="487"/>
        <w:spacing w:line="460" w:lineRule="exact"/>
        <w:rPr>
          <w:rFonts w:hint="eastAsia" w:ascii="宋体" w:hAnsi="宋体" w:eastAsia="宋体" w:cs="Times New Roman"/>
          <w:sz w:val="24"/>
        </w:rPr>
      </w:pPr>
      <w:r>
        <w:rPr>
          <w:rFonts w:ascii="宋体" w:hAnsi="宋体" w:eastAsia="宋体" w:cs="Times New Roman"/>
          <w:b/>
          <w:bCs/>
          <w:sz w:val="24"/>
        </w:rPr>
        <w:t xml:space="preserve">九、沿海工业园年度污染物实际排放总量核算技术服务</w:t>
      </w:r>
      <w:r/>
    </w:p>
    <w:p>
      <w:pPr>
        <w:ind w:firstLine="484"/>
        <w:spacing w:line="460" w:lineRule="exact"/>
        <w:rPr>
          <w:rFonts w:hint="eastAsia" w:ascii="宋体" w:hAnsi="宋体" w:eastAsia="宋体" w:cs="Times New Roman"/>
          <w:sz w:val="24"/>
        </w:rPr>
      </w:pPr>
      <w:r>
        <w:rPr>
          <w:rFonts w:ascii="宋体" w:hAnsi="宋体" w:eastAsia="宋体" w:cs="Times New Roman"/>
          <w:sz w:val="24"/>
        </w:rPr>
        <w:t xml:space="preserve">根据《江苏省工业源排放总量统计实施方案(试行)》全面开展江苏滨海经济开发区沿海工业园工业源大气、水污染物排放总量统计工作。收集园区企业每年度半年及全年自动监测、手工监测数据、生产状况、环评及排污许可证等文件，以及园区工业污水厂接管和排放数据，严格按照《实施方案》要求，采用实测法、根据《排放源统计调查产排污核算方法和系数手册》采用产排污系数法等方式核算园区大气、水污染物排放总量。（2次/年，共4次）。</w:t>
      </w:r>
      <w:r/>
    </w:p>
    <w:p>
      <w:pPr>
        <w:ind w:firstLine="487"/>
        <w:spacing w:line="460" w:lineRule="exact"/>
        <w:rPr>
          <w:rFonts w:hint="eastAsia" w:ascii="宋体" w:hAnsi="宋体" w:eastAsia="宋体" w:cs="Times New Roman"/>
          <w:b/>
          <w:bCs/>
          <w:sz w:val="24"/>
        </w:rPr>
      </w:pPr>
      <w:r>
        <w:rPr>
          <w:rFonts w:ascii="宋体" w:hAnsi="宋体" w:eastAsia="宋体" w:cs="Times New Roman"/>
          <w:b/>
          <w:bCs/>
          <w:sz w:val="24"/>
        </w:rPr>
        <w:t xml:space="preserve">十、沿海工业园第三方园区总量库服务项目</w:t>
      </w:r>
      <w:r/>
    </w:p>
    <w:p>
      <w:pPr>
        <w:ind w:firstLine="484"/>
        <w:spacing w:line="460" w:lineRule="exact"/>
        <w:rPr>
          <w:rFonts w:hint="eastAsia" w:ascii="宋体" w:hAnsi="宋体" w:eastAsia="宋体" w:cs="Times New Roman"/>
          <w:sz w:val="24"/>
        </w:rPr>
      </w:pPr>
      <w:r>
        <w:rPr>
          <w:rFonts w:ascii="宋体" w:hAnsi="宋体" w:eastAsia="宋体" w:cs="Times New Roman"/>
          <w:sz w:val="24"/>
        </w:rPr>
        <w:t xml:space="preserve">根据江苏省排污总量指标储备库管理办法，核算园区可纳入储备库的关停企、项目以及企业减排工程、园区减排工程等形成的减排量，填报江苏省总量指标储备库系统，并配合完成修改。（服务期2年）。</w:t>
      </w:r>
      <w:r/>
    </w:p>
    <w:p>
      <w:pPr>
        <w:ind w:firstLine="487"/>
        <w:spacing w:line="460" w:lineRule="exact"/>
        <w:rPr>
          <w:rFonts w:hint="eastAsia" w:ascii="宋体" w:hAnsi="宋体" w:eastAsia="宋体" w:cs="Times New Roman"/>
          <w:b/>
          <w:bCs/>
          <w:sz w:val="24"/>
        </w:rPr>
      </w:pPr>
      <w:r>
        <w:rPr>
          <w:rFonts w:ascii="宋体" w:hAnsi="宋体" w:eastAsia="宋体" w:cs="Times New Roman"/>
          <w:b/>
          <w:bCs/>
          <w:sz w:val="24"/>
        </w:rPr>
        <w:t xml:space="preserve">十一、土壤隐患排查审核</w:t>
      </w:r>
      <w:r/>
    </w:p>
    <w:p>
      <w:pPr>
        <w:ind w:firstLine="484"/>
        <w:spacing w:line="460" w:lineRule="exact"/>
        <w:rPr>
          <w:rFonts w:hint="eastAsia" w:ascii="宋体" w:hAnsi="宋体" w:eastAsia="宋体" w:cs="Times New Roman"/>
          <w:sz w:val="24"/>
        </w:rPr>
      </w:pPr>
      <w:r>
        <w:rPr>
          <w:rFonts w:ascii="宋体" w:hAnsi="宋体" w:eastAsia="宋体" w:cs="Times New Roman"/>
          <w:sz w:val="24"/>
        </w:rPr>
        <w:t xml:space="preserve">为进一步规范重点监管单位土壤污染隐患排查工作，协助对接上级主管部门开展隐患排查“回头看”工作，开展园区重点监管单位土壤污染隐患排查报告审核工作（服务期2年）。</w:t>
      </w:r>
      <w:r/>
    </w:p>
    <w:p>
      <w:pPr>
        <w:ind w:firstLine="487"/>
        <w:spacing w:line="460" w:lineRule="exact"/>
        <w:rPr>
          <w:rFonts w:hint="eastAsia" w:ascii="宋体" w:hAnsi="宋体" w:eastAsia="宋体" w:cs="Times New Roman"/>
          <w:b/>
          <w:bCs/>
          <w:sz w:val="24"/>
        </w:rPr>
      </w:pPr>
      <w:r>
        <w:rPr>
          <w:rFonts w:ascii="宋体" w:hAnsi="宋体" w:eastAsia="宋体" w:cs="Times New Roman"/>
          <w:b/>
          <w:bCs/>
          <w:sz w:val="24"/>
        </w:rPr>
        <w:t xml:space="preserve">十二、园区碳排放核算</w:t>
      </w:r>
      <w:r/>
    </w:p>
    <w:p>
      <w:pPr>
        <w:ind w:firstLine="484"/>
        <w:spacing w:line="460" w:lineRule="exact"/>
        <w:rPr>
          <w:rFonts w:hint="eastAsia" w:ascii="宋体" w:hAnsi="宋体" w:eastAsia="宋体" w:cs="Times New Roman"/>
          <w:sz w:val="24"/>
        </w:rPr>
      </w:pPr>
      <w:r>
        <w:rPr>
          <w:rFonts w:ascii="宋体" w:hAnsi="宋体" w:eastAsia="宋体" w:cs="Times New Roman"/>
          <w:sz w:val="24"/>
        </w:rPr>
        <w:t xml:space="preserve">参照《工业园区碳排放核算指南（征求意见稿）》、《企业温室气体排放报告核查指南（试行）》要求，核算年度园区碳排放数据。（服务期2年）。</w:t>
      </w:r>
      <w:r/>
    </w:p>
    <w:p>
      <w:pPr>
        <w:ind w:firstLine="487"/>
        <w:spacing w:line="460" w:lineRule="exact"/>
        <w:rPr>
          <w:rFonts w:hint="eastAsia" w:ascii="宋体" w:hAnsi="宋体" w:eastAsia="宋体" w:cs="Times New Roman"/>
          <w:b/>
          <w:bCs/>
          <w:sz w:val="24"/>
        </w:rPr>
      </w:pPr>
      <w:r>
        <w:rPr>
          <w:rFonts w:ascii="宋体" w:hAnsi="宋体" w:eastAsia="宋体" w:cs="Times New Roman"/>
          <w:b/>
          <w:bCs/>
          <w:sz w:val="24"/>
        </w:rPr>
        <w:t xml:space="preserve">十三、危废核查</w:t>
      </w:r>
      <w:r/>
    </w:p>
    <w:p>
      <w:pPr>
        <w:ind w:firstLine="484"/>
        <w:spacing w:line="460" w:lineRule="exact"/>
        <w:rPr>
          <w:rFonts w:hint="eastAsia" w:ascii="宋体" w:hAnsi="宋体" w:eastAsia="宋体" w:cs="Times New Roman"/>
          <w:sz w:val="24"/>
        </w:rPr>
      </w:pPr>
      <w:r>
        <w:rPr>
          <w:rFonts w:ascii="宋体" w:hAnsi="宋体" w:eastAsia="宋体" w:cs="Times New Roman"/>
          <w:sz w:val="24"/>
        </w:rPr>
        <w:t xml:space="preserve">根据《关于印发“十四五”江苏省危险废物规范化环境管理评估工作方案的通知》要求，按照《“十四五"全国危险废物规范化环境管理评估工作方案（环办固体[2021]20号）》工作方案开展危废核查评估工作。</w:t>
      </w:r>
      <w:r/>
    </w:p>
    <w:p>
      <w:pPr>
        <w:spacing w:line="460" w:lineRule="exact"/>
        <w:rPr>
          <w:rFonts w:hint="eastAsia" w:ascii="宋体" w:hAnsi="宋体" w:eastAsia="宋体"/>
          <w:sz w:val="24"/>
        </w:rPr>
      </w:pPr>
      <w:r>
        <w:rPr>
          <w:rFonts w:hint="eastAsia" w:ascii="宋体" w:hAnsi="宋体" w:eastAsia="宋体"/>
          <w:sz w:val="24"/>
        </w:rPr>
        <w:t xml:space="preserve"> </w:t>
      </w:r>
      <w:r/>
    </w:p>
    <w:p>
      <w:pPr>
        <w:spacing w:line="460" w:lineRule="exact"/>
        <w:rPr>
          <w:rFonts w:hint="eastAsia" w:ascii="宋体" w:hAnsi="宋体" w:eastAsia="宋体"/>
          <w:sz w:val="24"/>
        </w:rPr>
      </w:pPr>
      <w:r>
        <w:rPr>
          <w:rFonts w:hint="eastAsia" w:ascii="宋体" w:hAnsi="宋体" w:eastAsia="宋体"/>
          <w:sz w:val="24"/>
        </w:rPr>
        <w:br w:type="page" w:clear="all"/>
      </w:r>
      <w:r/>
    </w:p>
    <w:p>
      <w:pPr>
        <w:pStyle w:val="634"/>
        <w:ind w:firstLine="2200"/>
        <w:keepNext/>
        <w:spacing w:beforeAutospacing="0" w:afterAutospacing="0"/>
      </w:pPr>
      <w:r>
        <w:rPr>
          <w:rFonts w:hint="eastAsia" w:ascii="黑体" w:hAnsi="宋体" w:eastAsia="黑体" w:cs="黑体"/>
          <w:sz w:val="44"/>
          <w:szCs w:val="44"/>
        </w:rPr>
        <w:t xml:space="preserve">第五章</w:t>
      </w:r>
      <w:r>
        <w:rPr>
          <w:rFonts w:hint="eastAsia" w:ascii="黑体" w:hAnsi="宋体" w:eastAsia="黑体" w:cs="黑体"/>
          <w:sz w:val="44"/>
          <w:szCs w:val="44"/>
          <w:lang w:val="en-US" w:eastAsia="zh-CN"/>
        </w:rPr>
        <w:t xml:space="preserve"> </w:t>
      </w:r>
      <w:bookmarkStart w:id="211" w:name="_GoBack"/>
      <w:r/>
      <w:bookmarkEnd w:id="211"/>
      <w:r>
        <w:rPr>
          <w:rFonts w:hint="eastAsia" w:ascii="黑体" w:hAnsi="宋体" w:eastAsia="黑体" w:cs="黑体"/>
          <w:b/>
          <w:sz w:val="44"/>
          <w:szCs w:val="44"/>
        </w:rPr>
        <w:t xml:space="preserve">评标方法与评标标准</w:t>
      </w:r>
      <w:r/>
    </w:p>
    <w:p>
      <w:pPr>
        <w:pStyle w:val="634"/>
        <w:ind w:firstLine="2249"/>
        <w:spacing w:beforeAutospacing="0" w:afterAutospacing="0"/>
      </w:pPr>
      <w:r>
        <w:t xml:space="preserve"> </w:t>
      </w:r>
      <w:r/>
    </w:p>
    <w:p>
      <w:pPr>
        <w:ind w:firstLine="482"/>
        <w:jc w:val="left"/>
        <w:spacing w:line="360" w:lineRule="auto"/>
        <w:rPr>
          <w:rFonts w:hint="eastAsia" w:ascii="宋体" w:hAnsi="宋体" w:eastAsia="宋体" w:cs="宋体"/>
          <w:b/>
          <w:bCs/>
          <w:sz w:val="24"/>
        </w:rPr>
      </w:pPr>
      <w:r>
        <w:rPr>
          <w:rFonts w:hint="eastAsia" w:ascii="宋体" w:hAnsi="宋体" w:eastAsia="宋体" w:cs="宋体"/>
          <w:b/>
          <w:bCs/>
          <w:sz w:val="24"/>
        </w:rPr>
        <w:t xml:space="preserve">一、定标原则</w:t>
      </w:r>
      <w:r/>
    </w:p>
    <w:p>
      <w:pPr>
        <w:ind w:firstLine="480"/>
        <w:jc w:val="left"/>
        <w:spacing w:line="360" w:lineRule="auto"/>
        <w:rPr>
          <w:rFonts w:hint="eastAsia" w:ascii="宋体" w:hAnsi="宋体" w:eastAsia="宋体" w:cs="宋体"/>
          <w:sz w:val="24"/>
        </w:rPr>
      </w:pPr>
      <w:r>
        <w:rPr>
          <w:rFonts w:hint="eastAsia" w:ascii="宋体" w:hAnsi="宋体" w:eastAsia="宋体" w:cs="宋体"/>
          <w:bCs/>
          <w:sz w:val="24"/>
        </w:rPr>
        <w:t xml:space="preserve">本项目采用</w:t>
      </w:r>
      <w:r>
        <w:rPr>
          <w:rFonts w:hint="eastAsia" w:ascii="宋体" w:hAnsi="宋体" w:eastAsia="宋体" w:cs="宋体"/>
          <w:bCs/>
          <w:sz w:val="24"/>
          <w:u w:val="single"/>
        </w:rPr>
        <w:t xml:space="preserve"> 综合评分 </w:t>
      </w:r>
      <w:r>
        <w:rPr>
          <w:rFonts w:hint="eastAsia" w:ascii="宋体" w:hAnsi="宋体" w:eastAsia="宋体" w:cs="宋体"/>
          <w:bCs/>
          <w:sz w:val="24"/>
        </w:rPr>
        <w:t xml:space="preserve">法，</w:t>
      </w:r>
      <w:r>
        <w:rPr>
          <w:rFonts w:hint="eastAsia" w:ascii="宋体" w:hAnsi="宋体" w:eastAsia="宋体" w:cs="宋体"/>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宋体"/>
          <w:b/>
          <w:bCs/>
          <w:sz w:val="24"/>
        </w:rPr>
        <w:t xml:space="preserve">本项目选取1名中标候选人</w:t>
      </w:r>
      <w:r>
        <w:rPr>
          <w:rFonts w:hint="eastAsia" w:ascii="宋体" w:hAnsi="宋体" w:eastAsia="宋体" w:cs="宋体"/>
          <w:sz w:val="24"/>
        </w:rPr>
        <w:t xml:space="preserve">。</w:t>
      </w:r>
      <w:r/>
    </w:p>
    <w:p>
      <w:pPr>
        <w:pStyle w:val="634"/>
        <w:ind w:firstLine="482"/>
        <w:spacing w:before="120" w:beforeAutospacing="0" w:after="120" w:afterAutospacing="0" w:line="360" w:lineRule="auto"/>
        <w:rPr>
          <w:rFonts w:hint="eastAsia" w:ascii="宋体" w:hAnsi="宋体" w:eastAsia="宋体" w:cs="宋体"/>
        </w:rPr>
      </w:pPr>
      <w:r>
        <w:rPr>
          <w:rFonts w:hint="eastAsia" w:ascii="宋体" w:hAnsi="宋体" w:eastAsia="宋体" w:cs="宋体"/>
          <w:b/>
        </w:rPr>
        <w:t xml:space="preserve">政府采购政策功能落实（本项目不专门面向中小企业采购）</w:t>
      </w:r>
      <w:r/>
    </w:p>
    <w:p>
      <w:pPr>
        <w:pStyle w:val="634"/>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1、小微型企业价格扣除</w:t>
      </w:r>
      <w:r/>
    </w:p>
    <w:p>
      <w:pPr>
        <w:pStyle w:val="640"/>
        <w:ind w:firstLine="360"/>
        <w:rPr>
          <w:rFonts w:hint="eastAsia" w:ascii="宋体" w:hAnsi="宋体" w:eastAsia="宋体" w:cs="宋体"/>
        </w:rPr>
      </w:pPr>
      <w:r>
        <w:rPr>
          <w:rFonts w:hint="eastAsia" w:ascii="宋体" w:hAnsi="宋体" w:eastAsia="宋体" w:cs="宋体"/>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pStyle w:val="634"/>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（2）供应商需按照采购文件的要求提供相应的《中小企业声明函》。</w:t>
      </w:r>
      <w:r/>
    </w:p>
    <w:p>
      <w:pPr>
        <w:pStyle w:val="634"/>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（3）企业标准请参照《关于印发中小企业划型标准规定的通知》（工信部联企业〔2011〕300号）文件规定自行填写。</w:t>
      </w:r>
      <w:r/>
    </w:p>
    <w:p>
      <w:pPr>
        <w:pStyle w:val="634"/>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2、残疾人福利单位价格扣除</w:t>
      </w:r>
      <w:r/>
    </w:p>
    <w:p>
      <w:pPr>
        <w:pStyle w:val="634"/>
        <w:ind w:firstLine="480"/>
        <w:spacing w:before="120" w:beforeAutospacing="0" w:after="120" w:afterAutospacing="0" w:line="0" w:lineRule="atLeast"/>
        <w:rPr>
          <w:rFonts w:hint="eastAsia" w:ascii="宋体" w:hAnsi="宋体" w:eastAsia="宋体" w:cs="宋体"/>
          <w:u w:val="single"/>
        </w:rPr>
      </w:pPr>
      <w:r>
        <w:rPr>
          <w:rFonts w:hint="eastAsia" w:ascii="宋体" w:hAnsi="宋体" w:eastAsia="宋体" w:cs="宋体"/>
        </w:rPr>
        <w:t xml:space="preserve">（1）本项目对残疾人福利性单位视同小型、微型企业，给予</w:t>
      </w:r>
      <w:r>
        <w:rPr>
          <w:rFonts w:hint="eastAsia" w:ascii="宋体" w:hAnsi="宋体" w:eastAsia="宋体" w:cs="宋体"/>
          <w:u w:val="single"/>
        </w:rPr>
        <w:t xml:space="preserve">20%的价格扣除。</w:t>
      </w:r>
      <w:r/>
    </w:p>
    <w:p>
      <w:pPr>
        <w:pStyle w:val="634"/>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（2）残疾人福利单位需按照采购文件的要求提供《残疾人福利性单位声明函》。</w:t>
      </w:r>
      <w:r/>
    </w:p>
    <w:p>
      <w:pPr>
        <w:pStyle w:val="634"/>
        <w:ind w:left="120"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（3）残疾人福利单位标准请参照《关于促进残疾人就业政府采购政策的通知》（财库〔2017〕141号）。</w:t>
      </w:r>
      <w:r/>
    </w:p>
    <w:p>
      <w:pPr>
        <w:pStyle w:val="634"/>
        <w:ind w:firstLine="72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3、监狱和戒毒企业价格扣除</w:t>
      </w:r>
      <w:r/>
    </w:p>
    <w:p>
      <w:pPr>
        <w:pStyle w:val="634"/>
        <w:ind w:left="120" w:firstLine="480"/>
        <w:spacing w:before="120" w:beforeAutospacing="0" w:after="120" w:afterAutospacing="0" w:line="0" w:lineRule="atLeast"/>
        <w:rPr>
          <w:rFonts w:hint="eastAsia" w:ascii="宋体" w:hAnsi="宋体" w:eastAsia="宋体" w:cs="宋体"/>
          <w:u w:val="single"/>
        </w:rPr>
      </w:pPr>
      <w:r>
        <w:rPr>
          <w:rFonts w:hint="eastAsia" w:ascii="宋体" w:hAnsi="宋体" w:eastAsia="宋体" w:cs="宋体"/>
        </w:rPr>
        <w:t xml:space="preserve">（1）本项目对监狱和戒毒企业（简称监狱企业）视同小型、微型企业，给予</w:t>
      </w:r>
      <w:r>
        <w:rPr>
          <w:rFonts w:hint="eastAsia" w:ascii="宋体" w:hAnsi="宋体" w:eastAsia="宋体" w:cs="宋体"/>
          <w:u w:val="single"/>
        </w:rPr>
        <w:t xml:space="preserve">20%的价格扣除。</w:t>
      </w:r>
      <w:r/>
    </w:p>
    <w:p>
      <w:pPr>
        <w:pStyle w:val="634"/>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34"/>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（3）监狱企业标准请参照《关于政府采购支持监狱企业发展有关问题的通知》（财库〔2014〕68号）。</w:t>
      </w:r>
      <w:r/>
    </w:p>
    <w:p>
      <w:pPr>
        <w:pStyle w:val="634"/>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4、残疾人福利单位、监狱企业属于小型、微型企业的，不重复享受政策。</w:t>
      </w:r>
      <w:r/>
    </w:p>
    <w:p>
      <w:pPr>
        <w:pStyle w:val="634"/>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u w:val="single"/>
        </w:rPr>
        <w:t xml:space="preserve">6%</w:t>
      </w:r>
      <w:r>
        <w:rPr>
          <w:rFonts w:hint="eastAsia" w:ascii="宋体" w:hAnsi="宋体" w:eastAsia="宋体" w:cs="宋体"/>
        </w:rPr>
        <w:t xml:space="preserve">的价格扣除，用扣除后的价格参与评审。</w:t>
      </w:r>
      <w:r/>
    </w:p>
    <w:p>
      <w:pPr>
        <w:pStyle w:val="634"/>
        <w:ind w:left="120" w:firstLine="480"/>
        <w:spacing w:before="120" w:beforeAutospacing="0" w:after="120" w:afterAutospacing="0" w:line="0" w:lineRule="atLeast"/>
        <w:rPr>
          <w:rFonts w:hint="eastAsia" w:ascii="宋体" w:hAnsi="宋体" w:eastAsia="宋体" w:cs="宋体"/>
          <w:u w:val="single"/>
        </w:rPr>
      </w:pPr>
      <w:r>
        <w:rPr>
          <w:rFonts w:hint="eastAsia" w:ascii="宋体" w:hAnsi="宋体" w:eastAsia="宋体" w:cs="宋体"/>
        </w:rPr>
        <w:t xml:space="preserve">6、联合体各方均为小型、微型企业（残疾人福利单位、监狱企业）的，联合体享受</w:t>
      </w:r>
      <w:r>
        <w:rPr>
          <w:rFonts w:hint="eastAsia" w:ascii="宋体" w:hAnsi="宋体" w:eastAsia="宋体" w:cs="宋体"/>
          <w:u w:val="single"/>
        </w:rPr>
        <w:t xml:space="preserve">20%的价格扣除。</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7、采购本国产品的支持政策</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7.1 本项目政府采购活动中既有本国产品又有非本国产品参与竞争的，依法对本国产品给予价格评审优惠，对本国产品的报价给予 </w:t>
      </w:r>
      <w:r>
        <w:rPr>
          <w:rFonts w:hint="eastAsia" w:ascii="宋体" w:hAnsi="宋体" w:eastAsia="宋体" w:cs="宋体"/>
          <w:sz w:val="24"/>
          <w:u w:val="single"/>
        </w:rPr>
        <w:t xml:space="preserve">20%</w:t>
      </w:r>
      <w:r>
        <w:rPr>
          <w:rFonts w:hint="eastAsia" w:ascii="宋体" w:hAnsi="宋体" w:eastAsia="宋体" w:cs="宋体"/>
          <w:sz w:val="24"/>
        </w:rPr>
        <w:t xml:space="preserve">的价格扣除，用扣除后的价格参与评审。</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sz w:val="24"/>
          <w:u w:val="single"/>
        </w:rPr>
        <w:t xml:space="preserve">80%</w:t>
      </w:r>
      <w:r>
        <w:rPr>
          <w:rFonts w:hint="eastAsia" w:ascii="宋体" w:hAnsi="宋体" w:eastAsia="宋体" w:cs="宋体"/>
          <w:sz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sz w:val="24"/>
          <w:u w:val="single"/>
        </w:rPr>
        <w:t xml:space="preserve">20%</w:t>
      </w:r>
      <w:r>
        <w:rPr>
          <w:rFonts w:hint="eastAsia" w:ascii="宋体" w:hAnsi="宋体" w:eastAsia="宋体" w:cs="宋体"/>
          <w:sz w:val="24"/>
        </w:rPr>
        <w:t xml:space="preserve">的价格扣除，用扣除后的价格参与评审。供应商未填写比例数值，或比例数值未达到80%的，将不享受本国产品价格评审优惠。</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7.3 供应商需按照招标文件的要求提供《关于符合本国产品标准的声明函》（以下简称《声明函》），如不提供将不享受本国产品价格评审优惠。</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0"/>
        <w:jc w:val="left"/>
        <w:spacing w:line="400" w:lineRule="exact"/>
        <w:rPr>
          <w:rFonts w:hint="eastAsia" w:ascii="宋体" w:hAnsi="宋体" w:eastAsia="宋体" w:cs="宋体"/>
          <w:u w:val="single"/>
        </w:rPr>
      </w:pPr>
      <w:r>
        <w:rPr>
          <w:rFonts w:hint="eastAsia" w:ascii="宋体" w:hAnsi="宋体" w:eastAsia="宋体" w:cs="宋体"/>
          <w:sz w:val="24"/>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rPr>
          <w:rFonts w:hint="eastAsia" w:ascii="宋体" w:hAnsi="宋体" w:eastAsia="宋体" w:cs="宋体"/>
          <w:sz w:val="24"/>
        </w:rPr>
      </w:pPr>
      <w:r>
        <w:rPr>
          <w:rFonts w:hint="eastAsia" w:ascii="宋体" w:hAnsi="宋体" w:eastAsia="宋体" w:cs="宋体"/>
          <w:sz w:val="24"/>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pStyle w:val="634"/>
        <w:spacing w:before="120" w:beforeAutospacing="0" w:after="120" w:afterAutospacing="0" w:line="0" w:lineRule="atLeast"/>
        <w:rPr>
          <w:rFonts w:hint="eastAsia" w:ascii="宋体" w:hAnsi="宋体" w:eastAsia="宋体" w:cs="宋体"/>
          <w:b/>
        </w:rPr>
      </w:pPr>
      <w:r>
        <w:rPr>
          <w:rFonts w:hint="eastAsia" w:ascii="宋体" w:hAnsi="宋体" w:eastAsia="宋体" w:cs="宋体"/>
          <w:b/>
        </w:rPr>
      </w:r>
      <w:r/>
    </w:p>
    <w:p>
      <w:pPr>
        <w:pStyle w:val="634"/>
        <w:spacing w:before="120" w:beforeAutospacing="0" w:after="120" w:afterAutospacing="0" w:line="0" w:lineRule="atLeast"/>
        <w:rPr>
          <w:rFonts w:hint="eastAsia" w:ascii="宋体" w:hAnsi="宋体" w:eastAsia="宋体" w:cs="宋体"/>
          <w:b/>
        </w:rPr>
      </w:pPr>
      <w:r>
        <w:rPr>
          <w:rFonts w:hint="eastAsia" w:ascii="宋体" w:hAnsi="宋体" w:eastAsia="宋体" w:cs="宋体"/>
          <w:b/>
        </w:rPr>
      </w:r>
      <w:r/>
    </w:p>
    <w:p>
      <w:pPr>
        <w:pStyle w:val="634"/>
        <w:spacing w:before="120" w:beforeAutospacing="0" w:after="120" w:afterAutospacing="0" w:line="0" w:lineRule="atLeast"/>
        <w:rPr>
          <w:rFonts w:hint="eastAsia" w:ascii="宋体" w:hAnsi="宋体" w:eastAsia="宋体" w:cs="宋体"/>
          <w:b/>
        </w:rPr>
      </w:pPr>
      <w:r>
        <w:rPr>
          <w:rFonts w:hint="eastAsia" w:ascii="宋体" w:hAnsi="宋体" w:eastAsia="宋体" w:cs="宋体"/>
          <w:b/>
        </w:rPr>
      </w:r>
      <w:r/>
    </w:p>
    <w:p>
      <w:pPr>
        <w:pStyle w:val="634"/>
        <w:spacing w:before="120" w:beforeAutospacing="0" w:after="120" w:afterAutospacing="0" w:line="0" w:lineRule="atLeast"/>
        <w:rPr>
          <w:rFonts w:hint="eastAsia" w:ascii="宋体" w:hAnsi="宋体" w:eastAsia="宋体" w:cs="宋体"/>
          <w:b/>
        </w:rPr>
      </w:pPr>
      <w:r>
        <w:rPr>
          <w:rFonts w:hint="eastAsia" w:ascii="宋体" w:hAnsi="宋体" w:eastAsia="宋体" w:cs="宋体"/>
          <w:b/>
        </w:rPr>
      </w:r>
      <w:r/>
    </w:p>
    <w:p>
      <w:pPr>
        <w:pStyle w:val="634"/>
        <w:jc w:val="center"/>
        <w:spacing w:before="120" w:beforeAutospacing="0" w:after="120" w:afterAutospacing="0" w:line="0" w:lineRule="atLeast"/>
        <w:rPr>
          <w:rFonts w:hint="eastAsia" w:ascii="宋体" w:hAnsi="宋体" w:eastAsia="宋体" w:cs="宋体"/>
        </w:rPr>
      </w:pPr>
      <w:r>
        <w:rPr>
          <w:rFonts w:hint="eastAsia" w:ascii="宋体" w:hAnsi="宋体" w:eastAsia="宋体" w:cs="宋体"/>
          <w:b/>
        </w:rPr>
        <w:t xml:space="preserve">评标方法与评标标准</w:t>
      </w:r>
      <w:r/>
    </w:p>
    <w:tbl>
      <w:tblPr>
        <w:tblStyle w:val="647"/>
        <w:tblW w:w="0" w:type="auto"/>
        <w:tblInd w:w="5"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4"/>
        <w:gridCol w:w="1126"/>
        <w:gridCol w:w="6299"/>
        <w:gridCol w:w="656"/>
      </w:tblGrid>
      <w:tr>
        <w:trPr/>
        <w:tc>
          <w:tcPr>
            <w:tcBorders>
              <w:top w:val="single" w:color="auto" w:sz="4" w:space="0"/>
              <w:left w:val="single" w:color="auto" w:sz="4" w:space="0"/>
            </w:tcBorders>
            <w:tcW w:w="974" w:type="dxa"/>
            <w:vAlign w:val="center"/>
            <w:textDirection w:val="lrTb"/>
            <w:noWrap w:val="false"/>
          </w:tcPr>
          <w:p>
            <w:pPr>
              <w:jc w:val="center"/>
              <w:widowControl/>
              <w:rPr>
                <w:rFonts w:hint="eastAsia" w:ascii="宋体" w:hAnsi="宋体" w:eastAsia="宋体" w:cs="宋体"/>
                <w:b w:val="0"/>
                <w:sz w:val="22"/>
                <w:szCs w:val="22"/>
                <w14:ligatures w14:val="standardContextual"/>
              </w:rPr>
            </w:pPr>
            <w:r>
              <w:rPr>
                <w:rFonts w:hint="eastAsia" w:ascii="宋体" w:hAnsi="宋体" w:eastAsia="宋体" w:cs="宋体"/>
                <w:b/>
                <w:sz w:val="22"/>
                <w:szCs w:val="22"/>
                <w14:ligatures w14:val="standardContextual"/>
              </w:rPr>
              <w:t xml:space="preserve">评审项</w:t>
            </w:r>
            <w:r/>
          </w:p>
        </w:tc>
        <w:tc>
          <w:tcPr>
            <w:tcW w:w="1126" w:type="dxa"/>
            <w:vAlign w:val="center"/>
            <w:textDirection w:val="lrTb"/>
            <w:noWrap w:val="false"/>
          </w:tcPr>
          <w:p>
            <w:pPr>
              <w:jc w:val="center"/>
              <w:widowControl/>
              <w:rPr>
                <w:rFonts w:hint="eastAsia" w:ascii="宋体" w:hAnsi="宋体" w:eastAsia="宋体" w:cs="宋体"/>
                <w:b w:val="0"/>
                <w:sz w:val="22"/>
                <w:szCs w:val="22"/>
                <w14:ligatures w14:val="standardContextual"/>
              </w:rPr>
            </w:pPr>
            <w:r>
              <w:rPr>
                <w:rFonts w:hint="eastAsia" w:ascii="宋体" w:hAnsi="宋体" w:eastAsia="宋体" w:cs="宋体"/>
                <w:b/>
                <w:sz w:val="22"/>
                <w:szCs w:val="22"/>
                <w14:ligatures w14:val="standardContextual"/>
              </w:rPr>
              <w:t xml:space="preserve">评审因素</w:t>
            </w:r>
            <w:r/>
          </w:p>
        </w:tc>
        <w:tc>
          <w:tcPr>
            <w:tcW w:w="6299" w:type="dxa"/>
            <w:vAlign w:val="center"/>
            <w:textDirection w:val="lrTb"/>
            <w:noWrap w:val="false"/>
          </w:tcPr>
          <w:p>
            <w:pPr>
              <w:jc w:val="center"/>
              <w:widowControl/>
              <w:rPr>
                <w:rFonts w:hint="eastAsia" w:ascii="宋体" w:hAnsi="宋体" w:eastAsia="宋体" w:cs="宋体"/>
                <w:b w:val="0"/>
                <w:sz w:val="22"/>
                <w:szCs w:val="22"/>
                <w14:ligatures w14:val="standardContextual"/>
              </w:rPr>
            </w:pPr>
            <w:r>
              <w:rPr>
                <w:rFonts w:hint="eastAsia" w:ascii="宋体" w:hAnsi="宋体" w:eastAsia="宋体" w:cs="宋体"/>
                <w:b/>
                <w:sz w:val="22"/>
                <w:szCs w:val="22"/>
                <w14:ligatures w14:val="standardContextual"/>
              </w:rPr>
              <w:t xml:space="preserve">评审细则</w:t>
            </w:r>
            <w:r/>
          </w:p>
        </w:tc>
        <w:tc>
          <w:tcPr>
            <w:tcBorders>
              <w:right w:val="single" w:color="auto" w:sz="4" w:space="0"/>
            </w:tcBorders>
            <w:tcW w:w="656" w:type="dxa"/>
            <w:vAlign w:val="center"/>
            <w:textDirection w:val="lrTb"/>
            <w:noWrap w:val="false"/>
          </w:tcPr>
          <w:p>
            <w:pPr>
              <w:jc w:val="center"/>
              <w:widowControl/>
              <w:rPr>
                <w:rFonts w:hint="eastAsia" w:ascii="宋体" w:hAnsi="宋体" w:eastAsia="宋体" w:cs="宋体"/>
                <w:b w:val="0"/>
                <w:sz w:val="22"/>
                <w:szCs w:val="22"/>
                <w14:ligatures w14:val="standardContextual"/>
              </w:rPr>
            </w:pPr>
            <w:r>
              <w:rPr>
                <w:rFonts w:hint="eastAsia" w:ascii="宋体" w:hAnsi="宋体" w:eastAsia="宋体" w:cs="宋体"/>
                <w:b/>
                <w:sz w:val="22"/>
                <w:szCs w:val="22"/>
                <w14:ligatures w14:val="standardContextual"/>
              </w:rPr>
              <w:t xml:space="preserve">分值</w:t>
            </w:r>
            <w:r/>
          </w:p>
        </w:tc>
      </w:tr>
      <w:tr>
        <w:trPr/>
        <w:tc>
          <w:tcPr>
            <w:tcBorders>
              <w:left w:val="single" w:color="auto" w:sz="4" w:space="0"/>
            </w:tcBorders>
            <w:tcW w:w="974" w:type="dxa"/>
            <w:vAlign w:val="center"/>
            <w:textDirection w:val="lrTb"/>
            <w:noWrap w:val="false"/>
          </w:tcPr>
          <w:p>
            <w:pPr>
              <w:jc w:val="center"/>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t xml:space="preserve">价格分</w:t>
            </w:r>
            <w:r/>
          </w:p>
        </w:tc>
        <w:tc>
          <w:tcPr>
            <w:tcW w:w="1126" w:type="dxa"/>
            <w:vAlign w:val="center"/>
            <w:textDirection w:val="lrTb"/>
            <w:noWrap w:val="false"/>
          </w:tcPr>
          <w:p>
            <w:pPr>
              <w:jc w:val="center"/>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t xml:space="preserve">投标报价</w:t>
            </w:r>
            <w:r/>
          </w:p>
        </w:tc>
        <w:tc>
          <w:tcPr>
            <w:tcW w:w="6299" w:type="dxa"/>
            <w:vAlign w:val="center"/>
            <w:textDirection w:val="lrTb"/>
            <w:noWrap w:val="false"/>
          </w:tcPr>
          <w:p>
            <w:pPr>
              <w:ind w:firstLine="440"/>
              <w:jc w:val="left"/>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t xml:space="preserve">1、评标总价是指通过资格审查、符合性检查且实质性响应招标文件要求，经修正、落实政府采购政策功能扣除后的总价。</w:t>
            </w:r>
            <w:r/>
          </w:p>
          <w:p>
            <w:pPr>
              <w:ind w:firstLine="440"/>
              <w:jc w:val="left"/>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t xml:space="preserve">2、评标基准价=评标总价中的最低总价。</w:t>
            </w:r>
            <w:r/>
          </w:p>
          <w:p>
            <w:pPr>
              <w:ind w:firstLine="440"/>
              <w:jc w:val="left"/>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t xml:space="preserve">3、当投标人的评标总价等于评标基准价的得20分，其他投标人的价格分按照下列公式计算：评标总价得分=（评标基准价/评标总价）×20分（计算结果保留2位小数，第三位四舍五入）。</w:t>
            </w:r>
            <w:r/>
          </w:p>
        </w:tc>
        <w:tc>
          <w:tcPr>
            <w:tcBorders>
              <w:right w:val="single" w:color="auto" w:sz="4" w:space="0"/>
            </w:tcBorders>
            <w:tcW w:w="656" w:type="dxa"/>
            <w:vAlign w:val="center"/>
            <w:textDirection w:val="lrTb"/>
            <w:noWrap w:val="false"/>
          </w:tcPr>
          <w:p>
            <w:pPr>
              <w:jc w:val="center"/>
              <w:widowControl/>
              <w:rPr>
                <w:rFonts w:hint="eastAsia" w:ascii="宋体" w:hAnsi="宋体" w:eastAsia="宋体" w:cs="宋体"/>
                <w:sz w:val="22"/>
                <w:szCs w:val="22"/>
                <w14:ligatures w14:val="standardContextual"/>
              </w:rPr>
            </w:pPr>
            <w:r>
              <w:rPr>
                <w:rFonts w:hint="eastAsia" w:ascii="宋体" w:hAnsi="宋体" w:eastAsia="宋体" w:cs="宋体"/>
                <w:color w:val="ff0000"/>
                <w:sz w:val="22"/>
                <w:szCs w:val="22"/>
                <w14:ligatures w14:val="standardContextual"/>
              </w:rPr>
              <w:t xml:space="preserve">20</w:t>
            </w:r>
            <w:r/>
          </w:p>
        </w:tc>
      </w:tr>
      <w:tr>
        <w:trPr/>
        <w:tc>
          <w:tcPr>
            <w:tcBorders>
              <w:left w:val="single" w:color="auto" w:sz="4" w:space="0"/>
            </w:tcBorders>
            <w:tcW w:w="974" w:type="dxa"/>
            <w:vAlign w:val="center"/>
            <w:vMerge w:val="restart"/>
            <w:textDirection w:val="lrTb"/>
            <w:noWrap w:val="false"/>
          </w:tcPr>
          <w:p>
            <w:pPr>
              <w:jc w:val="center"/>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t xml:space="preserve">商务分（32分）</w:t>
            </w:r>
            <w:r/>
          </w:p>
        </w:tc>
        <w:tc>
          <w:tcPr>
            <w:tcW w:w="1126" w:type="dxa"/>
            <w:vAlign w:val="center"/>
            <w:textDirection w:val="lrTb"/>
            <w:noWrap w:val="false"/>
          </w:tcPr>
          <w:p>
            <w:pPr>
              <w:jc w:val="center"/>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t xml:space="preserve">管理体系</w:t>
            </w:r>
            <w:r/>
          </w:p>
        </w:tc>
        <w:tc>
          <w:tcPr>
            <w:tcW w:w="6299" w:type="dxa"/>
            <w:vAlign w:val="center"/>
            <w:textDirection w:val="lrTb"/>
            <w:noWrap w:val="false"/>
          </w:tcPr>
          <w:p>
            <w:pPr>
              <w:ind w:firstLine="440"/>
              <w:jc w:val="left"/>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t xml:space="preserve">投标人具有质量管理体系认证证书、环境管理体系认证证书、职业健康安全管理体系认证证书、每提供一项得</w:t>
            </w:r>
            <w:r>
              <w:rPr>
                <w:rFonts w:hint="eastAsia" w:ascii="宋体" w:hAnsi="宋体" w:eastAsia="宋体" w:cs="宋体"/>
                <w:color w:val="ff0000"/>
                <w:sz w:val="22"/>
                <w:szCs w:val="22"/>
                <w14:ligatures w14:val="standardContextual"/>
              </w:rPr>
              <w:t xml:space="preserve">2</w:t>
            </w:r>
            <w:r>
              <w:rPr>
                <w:rFonts w:hint="eastAsia" w:ascii="宋体" w:hAnsi="宋体" w:eastAsia="宋体" w:cs="宋体"/>
                <w:sz w:val="22"/>
                <w:szCs w:val="22"/>
                <w14:ligatures w14:val="standardContextual"/>
              </w:rPr>
              <w:t xml:space="preserve">分，本项最高得</w:t>
            </w:r>
            <w:r>
              <w:rPr>
                <w:rFonts w:hint="eastAsia" w:ascii="宋体" w:hAnsi="宋体" w:eastAsia="宋体" w:cs="宋体"/>
                <w:color w:val="ff0000"/>
                <w:sz w:val="22"/>
                <w:szCs w:val="22"/>
                <w14:ligatures w14:val="standardContextual"/>
              </w:rPr>
              <w:t xml:space="preserve">6分</w:t>
            </w:r>
            <w:r>
              <w:rPr>
                <w:rFonts w:hint="eastAsia" w:ascii="宋体" w:hAnsi="宋体" w:eastAsia="宋体" w:cs="宋体"/>
                <w:sz w:val="22"/>
                <w:szCs w:val="22"/>
                <w14:ligatures w14:val="standardContextual"/>
              </w:rPr>
              <w:t xml:space="preserve">。</w:t>
            </w:r>
            <w:r>
              <w:rPr>
                <w:rFonts w:hint="eastAsia" w:ascii="宋体" w:hAnsi="宋体" w:eastAsia="宋体" w:cs="宋体"/>
                <w:sz w:val="22"/>
                <w:szCs w:val="22"/>
                <w14:ligatures w14:val="standardContextual"/>
              </w:rPr>
              <w:br/>
            </w:r>
            <w:r>
              <w:rPr>
                <w:rFonts w:hint="eastAsia" w:ascii="宋体" w:hAnsi="宋体" w:eastAsia="宋体" w:cs="宋体"/>
                <w:sz w:val="22"/>
                <w:szCs w:val="22"/>
                <w14:ligatures w14:val="standardContextual"/>
              </w:rPr>
              <w:t xml:space="preserve">注：①质量管理、环境管理、职业健康安全管理体系认证证书，其认证范围须至少包含环境咨询、环保科研服务，未包含的不得分；②投标时须提供由有资质第三方单位颁发在有效期内的证书扫描件，未提供或提供材料无效的，不得分。</w:t>
            </w:r>
            <w:r/>
          </w:p>
        </w:tc>
        <w:tc>
          <w:tcPr>
            <w:tcBorders>
              <w:right w:val="single" w:color="auto" w:sz="4" w:space="0"/>
            </w:tcBorders>
            <w:tcW w:w="656" w:type="dxa"/>
            <w:vAlign w:val="center"/>
            <w:textDirection w:val="lrTb"/>
            <w:noWrap w:val="false"/>
          </w:tcPr>
          <w:p>
            <w:pPr>
              <w:jc w:val="center"/>
              <w:widowControl/>
              <w:rPr>
                <w:rFonts w:hint="eastAsia" w:ascii="宋体" w:hAnsi="宋体" w:eastAsia="宋体" w:cs="宋体"/>
                <w:sz w:val="22"/>
                <w:szCs w:val="22"/>
                <w14:ligatures w14:val="standardContextual"/>
              </w:rPr>
            </w:pPr>
            <w:r>
              <w:rPr>
                <w:rFonts w:hint="eastAsia" w:ascii="宋体" w:hAnsi="宋体" w:eastAsia="宋体" w:cs="宋体"/>
                <w:color w:val="ff0000"/>
                <w:sz w:val="22"/>
                <w:szCs w:val="22"/>
                <w14:ligatures w14:val="standardContextual"/>
              </w:rPr>
              <w:t xml:space="preserve">6</w:t>
            </w:r>
            <w:r/>
          </w:p>
        </w:tc>
      </w:tr>
      <w:tr>
        <w:trPr/>
        <w:tc>
          <w:tcPr>
            <w:tcBorders>
              <w:left w:val="single" w:color="auto" w:sz="4" w:space="0"/>
            </w:tcBorders>
            <w:tcW w:w="974" w:type="dxa"/>
            <w:vAlign w:val="center"/>
            <w:vMerge w:val="continue"/>
            <w:textDirection w:val="lrTb"/>
            <w:noWrap w:val="false"/>
          </w:tcPr>
          <w:p>
            <w:pPr>
              <w:jc w:val="left"/>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r>
            <w:r/>
          </w:p>
        </w:tc>
        <w:tc>
          <w:tcPr>
            <w:tcW w:w="1126" w:type="dxa"/>
            <w:vAlign w:val="center"/>
            <w:textDirection w:val="lrTb"/>
            <w:noWrap w:val="false"/>
          </w:tcPr>
          <w:p>
            <w:pPr>
              <w:jc w:val="center"/>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t xml:space="preserve">服务认证</w:t>
            </w:r>
            <w:r/>
          </w:p>
        </w:tc>
        <w:tc>
          <w:tcPr>
            <w:tcW w:w="6299" w:type="dxa"/>
            <w:vAlign w:val="center"/>
            <w:textDirection w:val="lrTb"/>
            <w:noWrap w:val="false"/>
          </w:tcPr>
          <w:p>
            <w:pPr>
              <w:ind w:firstLine="440"/>
              <w:jc w:val="left"/>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t xml:space="preserve">投标供应商获得有效期内的中国环境服务认证证书-环境咨询（环保管家）服务一级的得3分；二级得2分；三级得1分。</w:t>
            </w:r>
            <w:r/>
          </w:p>
          <w:p>
            <w:pPr>
              <w:jc w:val="left"/>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t xml:space="preserve">注：投标时须提供由有资质第三方单位颁发在有效期内的证书扫描件，未提供不得分。</w:t>
            </w:r>
            <w:r/>
          </w:p>
        </w:tc>
        <w:tc>
          <w:tcPr>
            <w:tcBorders>
              <w:right w:val="single" w:color="auto" w:sz="4" w:space="0"/>
            </w:tcBorders>
            <w:tcW w:w="656" w:type="dxa"/>
            <w:vAlign w:val="center"/>
            <w:textDirection w:val="lrTb"/>
            <w:noWrap w:val="false"/>
          </w:tcPr>
          <w:p>
            <w:pPr>
              <w:jc w:val="center"/>
              <w:widowControl/>
              <w:rPr>
                <w:rFonts w:hint="eastAsia" w:ascii="宋体" w:hAnsi="宋体" w:eastAsia="宋体" w:cs="宋体"/>
                <w:sz w:val="22"/>
                <w:szCs w:val="22"/>
                <w14:ligatures w14:val="standardContextual"/>
              </w:rPr>
            </w:pPr>
            <w:r>
              <w:rPr>
                <w:rFonts w:hint="eastAsia" w:ascii="宋体" w:hAnsi="宋体" w:eastAsia="宋体" w:cs="宋体"/>
                <w:color w:val="ff0000"/>
                <w:sz w:val="22"/>
                <w:szCs w:val="22"/>
                <w14:ligatures w14:val="standardContextual"/>
              </w:rPr>
              <w:t xml:space="preserve">3</w:t>
            </w:r>
            <w:r/>
          </w:p>
        </w:tc>
      </w:tr>
      <w:tr>
        <w:trPr>
          <w:trHeight w:val="1535"/>
        </w:trPr>
        <w:tc>
          <w:tcPr>
            <w:tcBorders>
              <w:left w:val="single" w:color="auto" w:sz="4" w:space="0"/>
            </w:tcBorders>
            <w:tcW w:w="974" w:type="dxa"/>
            <w:vAlign w:val="center"/>
            <w:vMerge w:val="continue"/>
            <w:textDirection w:val="lrTb"/>
            <w:noWrap w:val="false"/>
          </w:tcPr>
          <w:p>
            <w:pPr>
              <w:jc w:val="left"/>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r>
            <w:r/>
          </w:p>
        </w:tc>
        <w:tc>
          <w:tcPr>
            <w:tcW w:w="1126" w:type="dxa"/>
            <w:vAlign w:val="center"/>
            <w:textDirection w:val="lrTb"/>
            <w:noWrap w:val="false"/>
          </w:tcPr>
          <w:p>
            <w:pPr>
              <w:jc w:val="center"/>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t xml:space="preserve">类似案例</w:t>
            </w:r>
            <w:r/>
          </w:p>
        </w:tc>
        <w:tc>
          <w:tcPr>
            <w:tcW w:w="6299" w:type="dxa"/>
            <w:vAlign w:val="center"/>
            <w:textDirection w:val="lrTb"/>
            <w:noWrap w:val="false"/>
          </w:tcPr>
          <w:p>
            <w:pPr>
              <w:ind w:firstLine="440"/>
              <w:jc w:val="left"/>
              <w:widowControl/>
              <w:rPr>
                <w:rFonts w:hint="eastAsia" w:ascii="宋体" w:hAnsi="宋体" w:eastAsia="宋体" w:cs="宋体"/>
                <w:color w:val="ff0000"/>
                <w:sz w:val="22"/>
                <w:szCs w:val="22"/>
                <w14:ligatures w14:val="standardContextual"/>
              </w:rPr>
            </w:pPr>
            <w:r>
              <w:rPr>
                <w:rFonts w:hint="eastAsia" w:ascii="宋体" w:hAnsi="宋体" w:eastAsia="宋体" w:cs="宋体"/>
                <w:sz w:val="22"/>
                <w:szCs w:val="22"/>
                <w14:ligatures w14:val="standardContextual"/>
              </w:rPr>
              <w:t xml:space="preserve">投标供应商自2022年1月1日（以合同签订时间为准）以来，开展过类似园区（包含经济开发区、化工园区、产业园区、化工集中区或聚集区等，均予认可）类似环境综合管理或整治服务（环保管家服务相关）项目的，</w:t>
            </w:r>
            <w:r>
              <w:rPr>
                <w:rFonts w:hint="eastAsia" w:ascii="宋体" w:hAnsi="宋体" w:eastAsia="宋体" w:cs="宋体"/>
                <w:color w:val="ff0000"/>
                <w:sz w:val="22"/>
                <w:szCs w:val="22"/>
                <w14:ligatures w14:val="standardContextual"/>
              </w:rPr>
              <w:t xml:space="preserve">每提供1个得3分，本项最高得9分。</w:t>
            </w:r>
            <w:r/>
          </w:p>
          <w:p>
            <w:pPr>
              <w:jc w:val="left"/>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t xml:space="preserve">注：本项须提供业绩合同扫描件，未提供不得分。</w:t>
            </w:r>
            <w:r/>
          </w:p>
        </w:tc>
        <w:tc>
          <w:tcPr>
            <w:tcBorders>
              <w:right w:val="single" w:color="auto" w:sz="4" w:space="0"/>
            </w:tcBorders>
            <w:tcW w:w="656" w:type="dxa"/>
            <w:vAlign w:val="center"/>
            <w:textDirection w:val="lrTb"/>
            <w:noWrap w:val="false"/>
          </w:tcPr>
          <w:p>
            <w:pPr>
              <w:jc w:val="center"/>
              <w:widowControl/>
              <w:rPr>
                <w:rFonts w:hint="eastAsia" w:ascii="宋体" w:hAnsi="宋体" w:eastAsia="宋体" w:cs="宋体"/>
                <w:sz w:val="22"/>
                <w:szCs w:val="22"/>
                <w14:ligatures w14:val="standardContextual"/>
              </w:rPr>
            </w:pPr>
            <w:r>
              <w:rPr>
                <w:rFonts w:hint="eastAsia" w:ascii="宋体" w:hAnsi="宋体" w:eastAsia="宋体" w:cs="宋体"/>
                <w:color w:val="ff0000"/>
                <w:sz w:val="22"/>
                <w:szCs w:val="22"/>
                <w14:ligatures w14:val="standardContextual"/>
              </w:rPr>
              <w:t xml:space="preserve">9</w:t>
            </w:r>
            <w:r/>
          </w:p>
        </w:tc>
      </w:tr>
      <w:tr>
        <w:trPr/>
        <w:tc>
          <w:tcPr>
            <w:tcBorders>
              <w:left w:val="single" w:color="auto" w:sz="4" w:space="0"/>
            </w:tcBorders>
            <w:tcW w:w="974" w:type="dxa"/>
            <w:vAlign w:val="center"/>
            <w:vMerge w:val="continue"/>
            <w:textDirection w:val="lrTb"/>
            <w:noWrap w:val="false"/>
          </w:tcPr>
          <w:p>
            <w:pPr>
              <w:jc w:val="left"/>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r>
            <w:r/>
          </w:p>
        </w:tc>
        <w:tc>
          <w:tcPr>
            <w:tcW w:w="1126" w:type="dxa"/>
            <w:vAlign w:val="center"/>
            <w:textDirection w:val="lrTb"/>
            <w:noWrap w:val="false"/>
          </w:tcPr>
          <w:p>
            <w:pPr>
              <w:jc w:val="center"/>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t xml:space="preserve">履约评价</w:t>
            </w:r>
            <w:r/>
          </w:p>
        </w:tc>
        <w:tc>
          <w:tcPr>
            <w:tcW w:w="6299" w:type="dxa"/>
            <w:vAlign w:val="center"/>
            <w:textDirection w:val="lrTb"/>
            <w:noWrap w:val="false"/>
          </w:tcPr>
          <w:p>
            <w:pPr>
              <w:ind w:firstLine="440"/>
              <w:jc w:val="left"/>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t xml:space="preserve">投标人提供的化工类园区环保管家服务获得业主单位（或发包人）好评或评价优秀的，每提供一份有效证明文件（业主单位（或发包人）盖章认可）及对应项目的服务合同的得2分，满分4分。</w:t>
            </w:r>
            <w:r/>
          </w:p>
          <w:p>
            <w:pPr>
              <w:jc w:val="left"/>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t xml:space="preserve">注：本项须提供证明文件及相关服务合同扫描件，未提供不得分。</w:t>
            </w:r>
            <w:r/>
          </w:p>
        </w:tc>
        <w:tc>
          <w:tcPr>
            <w:tcBorders>
              <w:right w:val="single" w:color="auto" w:sz="4" w:space="0"/>
            </w:tcBorders>
            <w:tcW w:w="656" w:type="dxa"/>
            <w:vAlign w:val="center"/>
            <w:textDirection w:val="lrTb"/>
            <w:noWrap w:val="false"/>
          </w:tcPr>
          <w:p>
            <w:pPr>
              <w:jc w:val="center"/>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t xml:space="preserve">4</w:t>
            </w:r>
            <w:r/>
          </w:p>
        </w:tc>
      </w:tr>
      <w:tr>
        <w:trPr>
          <w:trHeight w:val="1256"/>
        </w:trPr>
        <w:tc>
          <w:tcPr>
            <w:tcBorders>
              <w:left w:val="single" w:color="auto" w:sz="4" w:space="0"/>
            </w:tcBorders>
            <w:tcW w:w="974" w:type="dxa"/>
            <w:vAlign w:val="center"/>
            <w:vMerge w:val="continue"/>
            <w:textDirection w:val="lrTb"/>
            <w:noWrap w:val="false"/>
          </w:tcPr>
          <w:p>
            <w:pPr>
              <w:jc w:val="left"/>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r>
            <w:r/>
          </w:p>
        </w:tc>
        <w:tc>
          <w:tcPr>
            <w:tcW w:w="1126" w:type="dxa"/>
            <w:vAlign w:val="center"/>
            <w:vMerge w:val="restart"/>
            <w:textDirection w:val="lrTb"/>
            <w:noWrap w:val="false"/>
          </w:tcPr>
          <w:p>
            <w:pPr>
              <w:jc w:val="center"/>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t xml:space="preserve">行业评价</w:t>
            </w:r>
            <w:r/>
          </w:p>
        </w:tc>
        <w:tc>
          <w:tcPr>
            <w:tcW w:w="6299" w:type="dxa"/>
            <w:vAlign w:val="center"/>
            <w:textDirection w:val="lrTb"/>
            <w:noWrap w:val="false"/>
          </w:tcPr>
          <w:p>
            <w:pPr>
              <w:ind w:firstLine="440"/>
              <w:jc w:val="left"/>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t xml:space="preserve">供应商具有工程咨询单位资信证书（生态建设和环境工程类），甲级得2分，乙级得1分；具有环保工程专业承包资质证书的，得2分。(提供证书扫描件)</w:t>
            </w:r>
            <w:r/>
          </w:p>
        </w:tc>
        <w:tc>
          <w:tcPr>
            <w:tcBorders>
              <w:right w:val="single" w:color="auto" w:sz="4" w:space="0"/>
            </w:tcBorders>
            <w:tcW w:w="656" w:type="dxa"/>
            <w:vAlign w:val="center"/>
            <w:textDirection w:val="lrTb"/>
            <w:noWrap w:val="false"/>
          </w:tcPr>
          <w:p>
            <w:pPr>
              <w:jc w:val="center"/>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t xml:space="preserve">4</w:t>
            </w:r>
            <w:r/>
          </w:p>
        </w:tc>
      </w:tr>
      <w:tr>
        <w:trPr/>
        <w:tc>
          <w:tcPr>
            <w:tcBorders>
              <w:left w:val="single" w:color="auto" w:sz="4" w:space="0"/>
            </w:tcBorders>
            <w:tcW w:w="974" w:type="dxa"/>
            <w:vAlign w:val="center"/>
            <w:vMerge w:val="continue"/>
            <w:textDirection w:val="lrTb"/>
            <w:noWrap w:val="false"/>
          </w:tcPr>
          <w:p>
            <w:pPr>
              <w:jc w:val="left"/>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r>
            <w:r/>
          </w:p>
        </w:tc>
        <w:tc>
          <w:tcPr>
            <w:tcW w:w="1126" w:type="dxa"/>
            <w:vAlign w:val="center"/>
            <w:vMerge w:val="continue"/>
            <w:textDirection w:val="lrTb"/>
            <w:noWrap w:val="false"/>
          </w:tcPr>
          <w:p>
            <w:pPr>
              <w:jc w:val="left"/>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r>
            <w:r/>
          </w:p>
        </w:tc>
        <w:tc>
          <w:tcPr>
            <w:tcW w:w="6299" w:type="dxa"/>
            <w:vAlign w:val="center"/>
            <w:textDirection w:val="lrTb"/>
            <w:noWrap w:val="false"/>
          </w:tcPr>
          <w:p>
            <w:pPr>
              <w:ind w:firstLine="440"/>
              <w:jc w:val="left"/>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t xml:space="preserve">供应商具备水、大气、固废类别环境工程设计资质证书甲级资质的，每有一项得2分；具备水、大气、固废乙级类别环境工程设计资质的，每有一项得1分，最高6分。（提供证书扫描件）</w:t>
            </w:r>
            <w:r/>
          </w:p>
        </w:tc>
        <w:tc>
          <w:tcPr>
            <w:tcBorders>
              <w:right w:val="single" w:color="auto" w:sz="4" w:space="0"/>
            </w:tcBorders>
            <w:tcW w:w="656" w:type="dxa"/>
            <w:vAlign w:val="center"/>
            <w:textDirection w:val="lrTb"/>
            <w:noWrap w:val="false"/>
          </w:tcPr>
          <w:p>
            <w:pPr>
              <w:jc w:val="center"/>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t xml:space="preserve">6</w:t>
            </w:r>
            <w:r/>
          </w:p>
        </w:tc>
      </w:tr>
      <w:tr>
        <w:trPr/>
        <w:tc>
          <w:tcPr>
            <w:tcBorders>
              <w:left w:val="single" w:color="auto" w:sz="4" w:space="0"/>
            </w:tcBorders>
            <w:tcW w:w="974" w:type="dxa"/>
            <w:vAlign w:val="center"/>
            <w:vMerge w:val="restart"/>
            <w:textDirection w:val="lrTb"/>
            <w:noWrap w:val="false"/>
          </w:tcPr>
          <w:p>
            <w:pPr>
              <w:jc w:val="center"/>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t xml:space="preserve">技术分（27分）</w:t>
            </w:r>
            <w:r/>
          </w:p>
        </w:tc>
        <w:tc>
          <w:tcPr>
            <w:tcW w:w="1126" w:type="dxa"/>
            <w:vAlign w:val="center"/>
            <w:textDirection w:val="lrTb"/>
            <w:noWrap w:val="false"/>
          </w:tcPr>
          <w:p>
            <w:pPr>
              <w:jc w:val="center"/>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t xml:space="preserve">项目背景了解情况分析</w:t>
            </w:r>
            <w:r/>
          </w:p>
        </w:tc>
        <w:tc>
          <w:tcPr>
            <w:tcW w:w="6299" w:type="dxa"/>
            <w:vAlign w:val="center"/>
            <w:textDirection w:val="lrTb"/>
            <w:noWrap w:val="false"/>
          </w:tcPr>
          <w:p>
            <w:pPr>
              <w:ind w:firstLine="440"/>
              <w:jc w:val="left"/>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t xml:space="preserve">对项目背景的理解：根据供应商对本项目的背景理解（包括但不限于园区规划情况、基础设施情况、园区管理建设现状、园区企业污染防治建设情况）。</w:t>
            </w:r>
            <w:r>
              <w:rPr>
                <w:rFonts w:hint="eastAsia" w:ascii="宋体" w:hAnsi="宋体" w:eastAsia="宋体" w:cs="宋体"/>
                <w:sz w:val="22"/>
                <w:szCs w:val="22"/>
                <w14:ligatures w14:val="standardContextual"/>
              </w:rPr>
              <w:br/>
            </w:r>
            <w:r>
              <w:rPr>
                <w:rFonts w:hint="eastAsia" w:ascii="宋体" w:hAnsi="宋体" w:eastAsia="宋体" w:cs="宋体"/>
                <w:sz w:val="22"/>
                <w:szCs w:val="22"/>
                <w14:ligatures w14:val="standardContextual"/>
              </w:rPr>
              <w:t xml:space="preserve">对项目地了解全面、项目背景等理解深入，现状分析透彻的得8分；</w:t>
            </w:r>
            <w:r/>
          </w:p>
          <w:p>
            <w:pPr>
              <w:jc w:val="left"/>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t xml:space="preserve">对项目地有了解非常透彻，现状分析全面清晰的，得5分；</w:t>
            </w:r>
            <w:r>
              <w:rPr>
                <w:rFonts w:hint="eastAsia" w:ascii="宋体" w:hAnsi="宋体" w:eastAsia="宋体" w:cs="宋体"/>
                <w:sz w:val="22"/>
                <w:szCs w:val="22"/>
                <w14:ligatures w14:val="standardContextual"/>
              </w:rPr>
              <w:br/>
            </w:r>
            <w:r>
              <w:rPr>
                <w:rFonts w:hint="eastAsia" w:ascii="宋体" w:hAnsi="宋体" w:eastAsia="宋体" w:cs="宋体"/>
                <w:sz w:val="22"/>
                <w:szCs w:val="22"/>
                <w14:ligatures w14:val="standardContextual"/>
              </w:rPr>
              <w:t xml:space="preserve">对实施地了解一般的，现状分析全面的，得3分；</w:t>
            </w:r>
            <w:r>
              <w:rPr>
                <w:rFonts w:hint="eastAsia" w:ascii="宋体" w:hAnsi="宋体" w:eastAsia="宋体" w:cs="宋体"/>
                <w:sz w:val="22"/>
                <w:szCs w:val="22"/>
                <w14:ligatures w14:val="standardContextual"/>
              </w:rPr>
              <w:br/>
            </w:r>
            <w:r>
              <w:rPr>
                <w:rFonts w:hint="eastAsia" w:ascii="宋体" w:hAnsi="宋体" w:eastAsia="宋体" w:cs="宋体"/>
                <w:sz w:val="22"/>
                <w:szCs w:val="22"/>
                <w14:ligatures w14:val="standardContextual"/>
              </w:rPr>
              <w:t xml:space="preserve">对实施地不太了解，现状分析存在问题的得1分。</w:t>
            </w:r>
            <w:r/>
          </w:p>
          <w:p>
            <w:pPr>
              <w:jc w:val="left"/>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t xml:space="preserve">未提供不得分。</w:t>
            </w:r>
            <w:r/>
          </w:p>
        </w:tc>
        <w:tc>
          <w:tcPr>
            <w:tcBorders>
              <w:right w:val="single" w:color="auto" w:sz="4" w:space="0"/>
            </w:tcBorders>
            <w:tcW w:w="656" w:type="dxa"/>
            <w:vAlign w:val="center"/>
            <w:textDirection w:val="lrTb"/>
            <w:noWrap w:val="false"/>
          </w:tcPr>
          <w:p>
            <w:pPr>
              <w:jc w:val="center"/>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t xml:space="preserve">8</w:t>
            </w:r>
            <w:r/>
          </w:p>
        </w:tc>
      </w:tr>
      <w:tr>
        <w:trPr/>
        <w:tc>
          <w:tcPr>
            <w:tcBorders>
              <w:left w:val="single" w:color="auto" w:sz="4" w:space="0"/>
            </w:tcBorders>
            <w:tcW w:w="974" w:type="dxa"/>
            <w:vAlign w:val="center"/>
            <w:vMerge w:val="continue"/>
            <w:textDirection w:val="lrTb"/>
            <w:noWrap w:val="false"/>
          </w:tcPr>
          <w:p>
            <w:pPr>
              <w:jc w:val="left"/>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r>
            <w:r/>
          </w:p>
        </w:tc>
        <w:tc>
          <w:tcPr>
            <w:tcW w:w="1126" w:type="dxa"/>
            <w:vAlign w:val="center"/>
            <w:textDirection w:val="lrTb"/>
            <w:noWrap w:val="false"/>
          </w:tcPr>
          <w:p>
            <w:pPr>
              <w:jc w:val="center"/>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t xml:space="preserve">服务实施方案</w:t>
            </w:r>
            <w:r/>
          </w:p>
        </w:tc>
        <w:tc>
          <w:tcPr>
            <w:tcW w:w="6299" w:type="dxa"/>
            <w:vAlign w:val="center"/>
            <w:textDirection w:val="lrTb"/>
            <w:noWrap w:val="false"/>
          </w:tcPr>
          <w:p>
            <w:pPr>
              <w:ind w:firstLine="440"/>
              <w:jc w:val="left"/>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t xml:space="preserve">服务方案：对供应商提供的环保管家服务主要内容（包括但不限于工作计划、人员配置、实施方案）进行综合评价，考察方案是否清晰、合理、可行且符合项目需求。</w:t>
            </w:r>
            <w:r>
              <w:rPr>
                <w:rFonts w:hint="eastAsia" w:ascii="宋体" w:hAnsi="宋体" w:eastAsia="宋体" w:cs="宋体"/>
                <w:sz w:val="22"/>
                <w:szCs w:val="22"/>
                <w14:ligatures w14:val="standardContextual"/>
              </w:rPr>
              <w:br/>
            </w:r>
            <w:r>
              <w:rPr>
                <w:rFonts w:hint="eastAsia" w:ascii="宋体" w:hAnsi="宋体" w:eastAsia="宋体" w:cs="宋体"/>
                <w:sz w:val="22"/>
                <w:szCs w:val="22"/>
                <w14:ligatures w14:val="standardContextual"/>
              </w:rPr>
              <w:t xml:space="preserve">方案内容全面、科学合理，可行性强的，得8分；</w:t>
            </w:r>
            <w:r>
              <w:rPr>
                <w:rFonts w:hint="eastAsia" w:ascii="宋体" w:hAnsi="宋体" w:eastAsia="宋体" w:cs="宋体"/>
                <w:sz w:val="22"/>
                <w:szCs w:val="22"/>
                <w14:ligatures w14:val="standardContextual"/>
              </w:rPr>
              <w:br/>
            </w:r>
            <w:r>
              <w:rPr>
                <w:rFonts w:hint="eastAsia" w:ascii="宋体" w:hAnsi="宋体" w:eastAsia="宋体" w:cs="宋体"/>
                <w:sz w:val="22"/>
                <w:szCs w:val="22"/>
                <w14:ligatures w14:val="standardContextual"/>
              </w:rPr>
              <w:t xml:space="preserve">方案内容较全面、合理，可行性较强的，得5分；</w:t>
            </w:r>
            <w:r>
              <w:rPr>
                <w:rFonts w:hint="eastAsia" w:ascii="宋体" w:hAnsi="宋体" w:eastAsia="宋体" w:cs="宋体"/>
                <w:sz w:val="22"/>
                <w:szCs w:val="22"/>
                <w14:ligatures w14:val="standardContextual"/>
              </w:rPr>
              <w:br/>
            </w:r>
            <w:r>
              <w:rPr>
                <w:rFonts w:hint="eastAsia" w:ascii="宋体" w:hAnsi="宋体" w:eastAsia="宋体" w:cs="宋体"/>
                <w:sz w:val="22"/>
                <w:szCs w:val="22"/>
                <w14:ligatures w14:val="standardContextual"/>
              </w:rPr>
              <w:t xml:space="preserve">方案内容基本合理，可行性一般的得，3分；</w:t>
            </w:r>
            <w:r>
              <w:rPr>
                <w:rFonts w:hint="eastAsia" w:ascii="宋体" w:hAnsi="宋体" w:eastAsia="宋体" w:cs="宋体"/>
                <w:sz w:val="22"/>
                <w:szCs w:val="22"/>
                <w14:ligatures w14:val="standardContextual"/>
              </w:rPr>
              <w:br/>
            </w:r>
            <w:r>
              <w:rPr>
                <w:rFonts w:hint="eastAsia" w:ascii="宋体" w:hAnsi="宋体" w:eastAsia="宋体" w:cs="宋体"/>
                <w:sz w:val="22"/>
                <w:szCs w:val="22"/>
                <w14:ligatures w14:val="standardContextual"/>
              </w:rPr>
              <w:t xml:space="preserve">未提供不得分。</w:t>
            </w:r>
            <w:r/>
          </w:p>
        </w:tc>
        <w:tc>
          <w:tcPr>
            <w:tcBorders>
              <w:right w:val="single" w:color="auto" w:sz="4" w:space="0"/>
            </w:tcBorders>
            <w:tcW w:w="656" w:type="dxa"/>
            <w:vAlign w:val="center"/>
            <w:textDirection w:val="lrTb"/>
            <w:noWrap w:val="false"/>
          </w:tcPr>
          <w:p>
            <w:pPr>
              <w:jc w:val="center"/>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t xml:space="preserve">8</w:t>
            </w:r>
            <w:r/>
          </w:p>
        </w:tc>
      </w:tr>
      <w:tr>
        <w:trPr/>
        <w:tc>
          <w:tcPr>
            <w:tcBorders>
              <w:left w:val="single" w:color="auto" w:sz="4" w:space="0"/>
            </w:tcBorders>
            <w:tcW w:w="974" w:type="dxa"/>
            <w:vAlign w:val="center"/>
            <w:vMerge w:val="continue"/>
            <w:textDirection w:val="lrTb"/>
            <w:noWrap w:val="false"/>
          </w:tcPr>
          <w:p>
            <w:pPr>
              <w:jc w:val="left"/>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r>
            <w:r/>
          </w:p>
        </w:tc>
        <w:tc>
          <w:tcPr>
            <w:tcW w:w="1126" w:type="dxa"/>
            <w:vAlign w:val="center"/>
            <w:textDirection w:val="lrTb"/>
            <w:noWrap w:val="false"/>
          </w:tcPr>
          <w:p>
            <w:pPr>
              <w:jc w:val="center"/>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t xml:space="preserve">项目难重点措施方案</w:t>
            </w:r>
            <w:r/>
          </w:p>
        </w:tc>
        <w:tc>
          <w:tcPr>
            <w:tcW w:w="6299" w:type="dxa"/>
            <w:vAlign w:val="center"/>
            <w:textDirection w:val="lrTb"/>
            <w:noWrap w:val="false"/>
          </w:tcPr>
          <w:p>
            <w:pPr>
              <w:ind w:firstLine="440"/>
              <w:jc w:val="left"/>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t xml:space="preserve">项目难点和重点梳理情况及解决措施（包括但不限于技术支撑、应急工作、排查重点）进行综合评审：</w:t>
            </w:r>
            <w:r>
              <w:rPr>
                <w:rFonts w:hint="eastAsia" w:ascii="宋体" w:hAnsi="宋体" w:eastAsia="宋体" w:cs="宋体"/>
                <w:sz w:val="22"/>
                <w:szCs w:val="22"/>
                <w14:ligatures w14:val="standardContextual"/>
              </w:rPr>
              <w:br/>
            </w:r>
            <w:r>
              <w:rPr>
                <w:rFonts w:hint="eastAsia" w:ascii="宋体" w:hAnsi="宋体" w:eastAsia="宋体" w:cs="宋体"/>
                <w:sz w:val="22"/>
                <w:szCs w:val="22"/>
                <w14:ligatures w14:val="standardContextual"/>
              </w:rPr>
              <w:t xml:space="preserve">内容清晰、层次分明、突出工作重点，梳理透彻，并能提出针对性强的应对措施的，得8分；</w:t>
            </w:r>
            <w:r>
              <w:rPr>
                <w:rFonts w:hint="eastAsia" w:ascii="宋体" w:hAnsi="宋体" w:eastAsia="宋体" w:cs="宋体"/>
                <w:sz w:val="22"/>
                <w:szCs w:val="22"/>
                <w14:ligatures w14:val="standardContextual"/>
              </w:rPr>
              <w:br/>
            </w:r>
            <w:r>
              <w:rPr>
                <w:rFonts w:hint="eastAsia" w:ascii="宋体" w:hAnsi="宋体" w:eastAsia="宋体" w:cs="宋体"/>
                <w:sz w:val="22"/>
                <w:szCs w:val="22"/>
                <w14:ligatures w14:val="standardContextual"/>
              </w:rPr>
              <w:t xml:space="preserve">内容较清晰、层次分明、能突出工作重点，能提出针对性较强的应对措施的，得5分；</w:t>
            </w:r>
            <w:r>
              <w:rPr>
                <w:rFonts w:hint="eastAsia" w:ascii="宋体" w:hAnsi="宋体" w:eastAsia="宋体" w:cs="宋体"/>
                <w:sz w:val="22"/>
                <w:szCs w:val="22"/>
                <w14:ligatures w14:val="standardContextual"/>
              </w:rPr>
              <w:br/>
            </w:r>
            <w:r>
              <w:rPr>
                <w:rFonts w:hint="eastAsia" w:ascii="宋体" w:hAnsi="宋体" w:eastAsia="宋体" w:cs="宋体"/>
                <w:sz w:val="22"/>
                <w:szCs w:val="22"/>
                <w14:ligatures w14:val="standardContextual"/>
              </w:rPr>
              <w:t xml:space="preserve">内容清晰、层次分明、工作重点不明确，梳理不清晰，提出的措施可行性一般的，得3分；</w:t>
            </w:r>
            <w:r>
              <w:rPr>
                <w:rFonts w:hint="eastAsia" w:ascii="宋体" w:hAnsi="宋体" w:eastAsia="宋体" w:cs="宋体"/>
                <w:sz w:val="22"/>
                <w:szCs w:val="22"/>
                <w14:ligatures w14:val="standardContextual"/>
              </w:rPr>
              <w:br/>
            </w:r>
            <w:r>
              <w:rPr>
                <w:rFonts w:hint="eastAsia" w:ascii="宋体" w:hAnsi="宋体" w:eastAsia="宋体" w:cs="宋体"/>
                <w:sz w:val="22"/>
                <w:szCs w:val="22"/>
                <w14:ligatures w14:val="standardContextual"/>
              </w:rPr>
              <w:t xml:space="preserve">未提供不得分。</w:t>
            </w:r>
            <w:r/>
          </w:p>
        </w:tc>
        <w:tc>
          <w:tcPr>
            <w:tcBorders>
              <w:right w:val="single" w:color="auto" w:sz="4" w:space="0"/>
            </w:tcBorders>
            <w:tcW w:w="656" w:type="dxa"/>
            <w:vAlign w:val="center"/>
            <w:textDirection w:val="lrTb"/>
            <w:noWrap w:val="false"/>
          </w:tcPr>
          <w:p>
            <w:pPr>
              <w:jc w:val="center"/>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t xml:space="preserve">8</w:t>
            </w:r>
            <w:r/>
          </w:p>
        </w:tc>
      </w:tr>
      <w:tr>
        <w:trPr/>
        <w:tc>
          <w:tcPr>
            <w:tcBorders>
              <w:left w:val="single" w:color="auto" w:sz="4" w:space="0"/>
            </w:tcBorders>
            <w:tcW w:w="974" w:type="dxa"/>
            <w:vAlign w:val="center"/>
            <w:vMerge w:val="continue"/>
            <w:textDirection w:val="lrTb"/>
            <w:noWrap w:val="false"/>
          </w:tcPr>
          <w:p>
            <w:pPr>
              <w:jc w:val="left"/>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r>
            <w:r/>
          </w:p>
        </w:tc>
        <w:tc>
          <w:tcPr>
            <w:tcW w:w="1126" w:type="dxa"/>
            <w:vAlign w:val="center"/>
            <w:textDirection w:val="lrTb"/>
            <w:noWrap w:val="false"/>
          </w:tcPr>
          <w:p>
            <w:pPr>
              <w:jc w:val="center"/>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t xml:space="preserve">保障措施方案</w:t>
            </w:r>
            <w:r/>
          </w:p>
        </w:tc>
        <w:tc>
          <w:tcPr>
            <w:tcW w:w="6299" w:type="dxa"/>
            <w:vAlign w:val="center"/>
            <w:textDirection w:val="lrTb"/>
            <w:noWrap w:val="false"/>
          </w:tcPr>
          <w:p>
            <w:pPr>
              <w:ind w:firstLine="440"/>
              <w:jc w:val="left"/>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t xml:space="preserve">保障措施：对供应商提供的服务质量保障措施进行综合评定，保障园区日常环境管理和管家服务顺利进行。</w:t>
            </w:r>
            <w:r>
              <w:rPr>
                <w:rFonts w:hint="eastAsia" w:ascii="宋体" w:hAnsi="宋体" w:eastAsia="宋体" w:cs="宋体"/>
                <w:sz w:val="22"/>
                <w:szCs w:val="22"/>
                <w14:ligatures w14:val="standardContextual"/>
              </w:rPr>
              <w:br/>
            </w:r>
            <w:r>
              <w:rPr>
                <w:rFonts w:hint="eastAsia" w:ascii="宋体" w:hAnsi="宋体" w:eastAsia="宋体" w:cs="宋体"/>
                <w:sz w:val="22"/>
                <w:szCs w:val="22"/>
                <w14:ligatures w14:val="standardContextual"/>
              </w:rPr>
              <w:t xml:space="preserve">保障措施针对性强、可行性强的，得3分；</w:t>
            </w:r>
            <w:r>
              <w:rPr>
                <w:rFonts w:hint="eastAsia" w:ascii="宋体" w:hAnsi="宋体" w:eastAsia="宋体" w:cs="宋体"/>
                <w:sz w:val="22"/>
                <w:szCs w:val="22"/>
                <w14:ligatures w14:val="standardContextual"/>
              </w:rPr>
              <w:br/>
            </w:r>
            <w:r>
              <w:rPr>
                <w:rFonts w:hint="eastAsia" w:ascii="宋体" w:hAnsi="宋体" w:eastAsia="宋体" w:cs="宋体"/>
                <w:sz w:val="22"/>
                <w:szCs w:val="22"/>
                <w14:ligatures w14:val="standardContextual"/>
              </w:rPr>
              <w:t xml:space="preserve">保障措施针对性较强、可行性较强的，得2分；</w:t>
            </w:r>
            <w:r>
              <w:rPr>
                <w:rFonts w:hint="eastAsia" w:ascii="宋体" w:hAnsi="宋体" w:eastAsia="宋体" w:cs="宋体"/>
                <w:sz w:val="22"/>
                <w:szCs w:val="22"/>
                <w14:ligatures w14:val="standardContextual"/>
              </w:rPr>
              <w:br/>
            </w:r>
            <w:r>
              <w:rPr>
                <w:rFonts w:hint="eastAsia" w:ascii="宋体" w:hAnsi="宋体" w:eastAsia="宋体" w:cs="宋体"/>
                <w:sz w:val="22"/>
                <w:szCs w:val="22"/>
                <w14:ligatures w14:val="standardContextual"/>
              </w:rPr>
              <w:t xml:space="preserve">保障措施针对性一般、可行性一般的，得1分；</w:t>
            </w:r>
            <w:r>
              <w:rPr>
                <w:rFonts w:hint="eastAsia" w:ascii="宋体" w:hAnsi="宋体" w:eastAsia="宋体" w:cs="宋体"/>
                <w:sz w:val="22"/>
                <w:szCs w:val="22"/>
                <w14:ligatures w14:val="standardContextual"/>
              </w:rPr>
              <w:br/>
            </w:r>
            <w:r>
              <w:rPr>
                <w:rFonts w:hint="eastAsia" w:ascii="宋体" w:hAnsi="宋体" w:eastAsia="宋体" w:cs="宋体"/>
                <w:sz w:val="22"/>
                <w:szCs w:val="22"/>
                <w14:ligatures w14:val="standardContextual"/>
              </w:rPr>
              <w:t xml:space="preserve">未提供不得分。</w:t>
            </w:r>
            <w:r/>
          </w:p>
        </w:tc>
        <w:tc>
          <w:tcPr>
            <w:tcBorders>
              <w:right w:val="single" w:color="auto" w:sz="4" w:space="0"/>
            </w:tcBorders>
            <w:tcW w:w="656" w:type="dxa"/>
            <w:vAlign w:val="center"/>
            <w:textDirection w:val="lrTb"/>
            <w:noWrap w:val="false"/>
          </w:tcPr>
          <w:p>
            <w:pPr>
              <w:jc w:val="center"/>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t xml:space="preserve">3</w:t>
            </w:r>
            <w:r/>
          </w:p>
        </w:tc>
      </w:tr>
      <w:tr>
        <w:trPr/>
        <w:tc>
          <w:tcPr>
            <w:tcBorders>
              <w:left w:val="single" w:color="auto" w:sz="4" w:space="0"/>
            </w:tcBorders>
            <w:tcW w:w="974" w:type="dxa"/>
            <w:vAlign w:val="center"/>
            <w:vMerge w:val="restart"/>
            <w:textDirection w:val="lrTb"/>
            <w:noWrap w:val="false"/>
          </w:tcPr>
          <w:p>
            <w:pPr>
              <w:jc w:val="center"/>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t xml:space="preserve">服务分（21分）</w:t>
            </w:r>
            <w:r/>
          </w:p>
        </w:tc>
        <w:tc>
          <w:tcPr>
            <w:tcW w:w="1126" w:type="dxa"/>
            <w:vAlign w:val="center"/>
            <w:textDirection w:val="lrTb"/>
            <w:noWrap w:val="false"/>
          </w:tcPr>
          <w:p>
            <w:pPr>
              <w:jc w:val="center"/>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t xml:space="preserve">服务团队（项目负责人）</w:t>
            </w:r>
            <w:r/>
          </w:p>
        </w:tc>
        <w:tc>
          <w:tcPr>
            <w:tcW w:w="6299" w:type="dxa"/>
            <w:vAlign w:val="center"/>
            <w:textDirection w:val="lrTb"/>
            <w:noWrap w:val="false"/>
          </w:tcPr>
          <w:p>
            <w:pPr>
              <w:ind w:firstLine="440"/>
              <w:jc w:val="left"/>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t xml:space="preserve">投标供应商拟派项目负责人具有环保类正高级及以上职称的，得3分；具有环保类副高级职称的，得2分，具有环保类中级职称的，得1分。本项最高得3分。</w:t>
            </w:r>
            <w:r>
              <w:rPr>
                <w:rFonts w:hint="eastAsia" w:ascii="宋体" w:hAnsi="宋体" w:eastAsia="宋体" w:cs="宋体"/>
                <w:sz w:val="22"/>
                <w:szCs w:val="22"/>
                <w14:ligatures w14:val="standardContextual"/>
              </w:rPr>
              <w:br/>
            </w:r>
            <w:r>
              <w:rPr>
                <w:rFonts w:hint="eastAsia" w:ascii="宋体" w:hAnsi="宋体" w:eastAsia="宋体" w:cs="宋体"/>
                <w:sz w:val="22"/>
                <w:szCs w:val="22"/>
                <w14:ligatures w14:val="standardContextual"/>
              </w:rPr>
              <w:t xml:space="preserve">注：本项须提供人员职称证书扫描件，未提供不得分。</w:t>
            </w:r>
            <w:r/>
          </w:p>
        </w:tc>
        <w:tc>
          <w:tcPr>
            <w:tcBorders>
              <w:right w:val="single" w:color="auto" w:sz="4" w:space="0"/>
            </w:tcBorders>
            <w:tcW w:w="656" w:type="dxa"/>
            <w:vAlign w:val="center"/>
            <w:textDirection w:val="lrTb"/>
            <w:noWrap w:val="false"/>
          </w:tcPr>
          <w:p>
            <w:pPr>
              <w:jc w:val="center"/>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t xml:space="preserve">3</w:t>
            </w:r>
            <w:r/>
          </w:p>
        </w:tc>
      </w:tr>
      <w:tr>
        <w:trPr/>
        <w:tc>
          <w:tcPr>
            <w:tcBorders>
              <w:left w:val="single" w:color="auto" w:sz="4" w:space="0"/>
            </w:tcBorders>
            <w:tcW w:w="974" w:type="dxa"/>
            <w:vAlign w:val="center"/>
            <w:vMerge w:val="continue"/>
            <w:textDirection w:val="lrTb"/>
            <w:noWrap w:val="false"/>
          </w:tcPr>
          <w:p>
            <w:pPr>
              <w:jc w:val="left"/>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r>
            <w:r/>
          </w:p>
        </w:tc>
        <w:tc>
          <w:tcPr>
            <w:tcW w:w="1126" w:type="dxa"/>
            <w:vAlign w:val="center"/>
            <w:vMerge w:val="restart"/>
            <w:textDirection w:val="lrTb"/>
            <w:noWrap w:val="false"/>
          </w:tcPr>
          <w:p>
            <w:pPr>
              <w:jc w:val="center"/>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t xml:space="preserve">服务团队（项目组成员，不含项目负责人）</w:t>
            </w:r>
            <w:r/>
          </w:p>
        </w:tc>
        <w:tc>
          <w:tcPr>
            <w:tcW w:w="6299" w:type="dxa"/>
            <w:vAlign w:val="center"/>
            <w:textDirection w:val="lrTb"/>
            <w:noWrap w:val="false"/>
          </w:tcPr>
          <w:p>
            <w:pPr>
              <w:ind w:firstLine="440"/>
              <w:jc w:val="left"/>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t xml:space="preserve">投标供应商拟派项目组成员（不含项目负责人）具有环保类高级工程师及以上职称的，每有一人得2分；本项最多得6分。</w:t>
            </w:r>
            <w:r>
              <w:rPr>
                <w:rFonts w:hint="eastAsia" w:ascii="宋体" w:hAnsi="宋体" w:eastAsia="宋体" w:cs="宋体"/>
                <w:sz w:val="22"/>
                <w:szCs w:val="22"/>
                <w14:ligatures w14:val="standardContextual"/>
              </w:rPr>
              <w:br/>
            </w:r>
            <w:r>
              <w:rPr>
                <w:rFonts w:hint="eastAsia" w:ascii="宋体" w:hAnsi="宋体" w:eastAsia="宋体" w:cs="宋体"/>
                <w:sz w:val="22"/>
                <w:szCs w:val="22"/>
                <w14:ligatures w14:val="standardContextual"/>
              </w:rPr>
              <w:t xml:space="preserve">注：本项须提供职称证书扫描件，未提供不得分。</w:t>
            </w:r>
            <w:r/>
          </w:p>
        </w:tc>
        <w:tc>
          <w:tcPr>
            <w:tcBorders>
              <w:right w:val="single" w:color="auto" w:sz="4" w:space="0"/>
            </w:tcBorders>
            <w:tcW w:w="656" w:type="dxa"/>
            <w:vAlign w:val="center"/>
            <w:textDirection w:val="lrTb"/>
            <w:noWrap w:val="false"/>
          </w:tcPr>
          <w:p>
            <w:pPr>
              <w:jc w:val="center"/>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t xml:space="preserve">6</w:t>
            </w:r>
            <w:r/>
          </w:p>
        </w:tc>
      </w:tr>
      <w:tr>
        <w:trPr/>
        <w:tc>
          <w:tcPr>
            <w:tcBorders>
              <w:left w:val="single" w:color="auto" w:sz="4" w:space="0"/>
            </w:tcBorders>
            <w:tcW w:w="974" w:type="dxa"/>
            <w:vAlign w:val="center"/>
            <w:vMerge w:val="continue"/>
            <w:textDirection w:val="lrTb"/>
            <w:noWrap w:val="false"/>
          </w:tcPr>
          <w:p>
            <w:pPr>
              <w:jc w:val="left"/>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r>
            <w:r/>
          </w:p>
        </w:tc>
        <w:tc>
          <w:tcPr>
            <w:tcW w:w="1126" w:type="dxa"/>
            <w:vAlign w:val="center"/>
            <w:vMerge w:val="continue"/>
            <w:textDirection w:val="lrTb"/>
            <w:noWrap w:val="false"/>
          </w:tcPr>
          <w:p>
            <w:pPr>
              <w:jc w:val="left"/>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r>
            <w:r/>
          </w:p>
        </w:tc>
        <w:tc>
          <w:tcPr>
            <w:tcW w:w="6299" w:type="dxa"/>
            <w:vAlign w:val="center"/>
            <w:textDirection w:val="lrTb"/>
            <w:noWrap w:val="false"/>
          </w:tcPr>
          <w:p>
            <w:pPr>
              <w:ind w:firstLine="440"/>
              <w:jc w:val="left"/>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t xml:space="preserve">投标供应商拟派项目组成员（不含项目负责人）具有注册化工工程师的，每提供一人得2分，本项最高得6分。</w:t>
            </w:r>
            <w:r>
              <w:rPr>
                <w:rFonts w:hint="eastAsia" w:ascii="宋体" w:hAnsi="宋体" w:eastAsia="宋体" w:cs="宋体"/>
                <w:sz w:val="22"/>
                <w:szCs w:val="22"/>
                <w14:ligatures w14:val="standardContextual"/>
              </w:rPr>
              <w:br/>
            </w:r>
            <w:r>
              <w:rPr>
                <w:rFonts w:hint="eastAsia" w:ascii="宋体" w:hAnsi="宋体" w:eastAsia="宋体" w:cs="宋体"/>
                <w:sz w:val="22"/>
                <w:szCs w:val="22"/>
                <w14:ligatures w14:val="standardContextual"/>
              </w:rPr>
              <w:t xml:space="preserve">注：本项须提供相关证书扫描件，未提供不得分。</w:t>
            </w:r>
            <w:r/>
          </w:p>
        </w:tc>
        <w:tc>
          <w:tcPr>
            <w:tcBorders>
              <w:right w:val="single" w:color="auto" w:sz="4" w:space="0"/>
            </w:tcBorders>
            <w:tcW w:w="656" w:type="dxa"/>
            <w:vAlign w:val="center"/>
            <w:textDirection w:val="lrTb"/>
            <w:noWrap w:val="false"/>
          </w:tcPr>
          <w:p>
            <w:pPr>
              <w:jc w:val="center"/>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t xml:space="preserve">6</w:t>
            </w:r>
            <w:r/>
          </w:p>
        </w:tc>
      </w:tr>
      <w:tr>
        <w:trPr/>
        <w:tc>
          <w:tcPr>
            <w:tcBorders>
              <w:left w:val="single" w:color="auto" w:sz="4" w:space="0"/>
            </w:tcBorders>
            <w:tcW w:w="974" w:type="dxa"/>
            <w:vAlign w:val="center"/>
            <w:vMerge w:val="continue"/>
            <w:textDirection w:val="lrTb"/>
            <w:noWrap w:val="false"/>
          </w:tcPr>
          <w:p>
            <w:pPr>
              <w:jc w:val="left"/>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r>
            <w:r/>
          </w:p>
        </w:tc>
        <w:tc>
          <w:tcPr>
            <w:tcW w:w="1126" w:type="dxa"/>
            <w:vAlign w:val="center"/>
            <w:vMerge w:val="continue"/>
            <w:textDirection w:val="lrTb"/>
            <w:noWrap w:val="false"/>
          </w:tcPr>
          <w:p>
            <w:pPr>
              <w:jc w:val="left"/>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r>
            <w:r/>
          </w:p>
        </w:tc>
        <w:tc>
          <w:tcPr>
            <w:tcW w:w="6299" w:type="dxa"/>
            <w:vAlign w:val="center"/>
            <w:textDirection w:val="lrTb"/>
            <w:noWrap w:val="false"/>
          </w:tcPr>
          <w:p>
            <w:pPr>
              <w:jc w:val="left"/>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t xml:space="preserve">投标供应商拟派项目组成员中（不含项目负责人）具备</w:t>
            </w:r>
            <w:bookmarkStart w:id="184" w:name="OLE_LINK4"/>
            <w:r>
              <w:rPr>
                <w:rFonts w:hint="eastAsia" w:ascii="宋体" w:hAnsi="宋体" w:eastAsia="宋体" w:cs="宋体"/>
                <w:sz w:val="22"/>
                <w:szCs w:val="22"/>
                <w14:ligatures w14:val="standardContextual"/>
              </w:rPr>
              <w:t xml:space="preserve">高级信息系统项目管理师</w:t>
            </w:r>
            <w:bookmarkEnd w:id="184"/>
            <w:r>
              <w:rPr>
                <w:rFonts w:hint="eastAsia" w:ascii="宋体" w:hAnsi="宋体" w:eastAsia="宋体" w:cs="宋体"/>
                <w:sz w:val="22"/>
                <w:szCs w:val="22"/>
                <w14:ligatures w14:val="standardContextual"/>
              </w:rPr>
              <w:t xml:space="preserve">的，每有1名得2分，本项最高得2分。</w:t>
            </w:r>
            <w:r/>
          </w:p>
          <w:p>
            <w:pPr>
              <w:jc w:val="left"/>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t xml:space="preserve">注：本项须提供相关证书扫描件，未提供不得分。（工作内容中）</w:t>
            </w:r>
            <w:r/>
          </w:p>
        </w:tc>
        <w:tc>
          <w:tcPr>
            <w:tcBorders>
              <w:right w:val="single" w:color="auto" w:sz="4" w:space="0"/>
            </w:tcBorders>
            <w:tcW w:w="656" w:type="dxa"/>
            <w:vAlign w:val="center"/>
            <w:textDirection w:val="lrTb"/>
            <w:noWrap w:val="false"/>
          </w:tcPr>
          <w:p>
            <w:pPr>
              <w:jc w:val="center"/>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t xml:space="preserve">2</w:t>
            </w:r>
            <w:r/>
          </w:p>
        </w:tc>
      </w:tr>
      <w:tr>
        <w:trPr/>
        <w:tc>
          <w:tcPr>
            <w:tcBorders>
              <w:left w:val="single" w:color="auto" w:sz="4" w:space="0"/>
            </w:tcBorders>
            <w:tcW w:w="974" w:type="dxa"/>
            <w:vAlign w:val="center"/>
            <w:vMerge w:val="continue"/>
            <w:textDirection w:val="lrTb"/>
            <w:noWrap w:val="false"/>
          </w:tcPr>
          <w:p>
            <w:pPr>
              <w:jc w:val="left"/>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r>
            <w:r/>
          </w:p>
        </w:tc>
        <w:tc>
          <w:tcPr>
            <w:tcW w:w="1126" w:type="dxa"/>
            <w:vAlign w:val="center"/>
            <w:vMerge w:val="continue"/>
            <w:textDirection w:val="lrTb"/>
            <w:noWrap w:val="false"/>
          </w:tcPr>
          <w:p>
            <w:pPr>
              <w:jc w:val="left"/>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r>
            <w:r/>
          </w:p>
        </w:tc>
        <w:tc>
          <w:tcPr>
            <w:tcW w:w="6299" w:type="dxa"/>
            <w:vAlign w:val="center"/>
            <w:textDirection w:val="lrTb"/>
            <w:noWrap w:val="false"/>
          </w:tcPr>
          <w:p>
            <w:pPr>
              <w:ind w:firstLine="440"/>
              <w:jc w:val="left"/>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t xml:space="preserve">投标供应商拟派项目组成员（不含项目负责人）有经过省（部）级及以上行业部门（或行业协会）组织的环保管家相关培训，并取得证书的，每提供一份有效的培训证书的得2分，最多得4分。</w:t>
            </w:r>
            <w:r>
              <w:rPr>
                <w:rFonts w:hint="eastAsia" w:ascii="宋体" w:hAnsi="宋体" w:eastAsia="宋体" w:cs="宋体"/>
                <w:sz w:val="22"/>
                <w:szCs w:val="22"/>
                <w14:ligatures w14:val="standardContextual"/>
              </w:rPr>
              <w:br/>
            </w:r>
            <w:r>
              <w:rPr>
                <w:rFonts w:hint="eastAsia" w:ascii="宋体" w:hAnsi="宋体" w:eastAsia="宋体" w:cs="宋体"/>
                <w:sz w:val="22"/>
                <w:szCs w:val="22"/>
                <w14:ligatures w14:val="standardContextual"/>
              </w:rPr>
              <w:t xml:space="preserve">注：本项须提供相关证书扫描件，未提供不得分。</w:t>
            </w:r>
            <w:r/>
          </w:p>
        </w:tc>
        <w:tc>
          <w:tcPr>
            <w:tcBorders>
              <w:right w:val="single" w:color="auto" w:sz="4" w:space="0"/>
            </w:tcBorders>
            <w:tcW w:w="656" w:type="dxa"/>
            <w:vAlign w:val="center"/>
            <w:textDirection w:val="lrTb"/>
            <w:noWrap w:val="false"/>
          </w:tcPr>
          <w:p>
            <w:pPr>
              <w:jc w:val="center"/>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t xml:space="preserve">4</w:t>
            </w:r>
            <w:r/>
          </w:p>
        </w:tc>
      </w:tr>
      <w:tr>
        <w:trPr/>
        <w:tc>
          <w:tcPr>
            <w:gridSpan w:val="3"/>
            <w:tcBorders>
              <w:left w:val="single" w:color="auto" w:sz="4" w:space="0"/>
            </w:tcBorders>
            <w:tcW w:w="8399" w:type="dxa"/>
            <w:vAlign w:val="center"/>
            <w:textDirection w:val="lrTb"/>
            <w:noWrap w:val="false"/>
          </w:tcPr>
          <w:p>
            <w:pPr>
              <w:jc w:val="center"/>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t xml:space="preserve">　</w:t>
            </w:r>
            <w:r/>
          </w:p>
        </w:tc>
        <w:tc>
          <w:tcPr>
            <w:tcBorders>
              <w:right w:val="single" w:color="auto" w:sz="4" w:space="0"/>
            </w:tcBorders>
            <w:tcW w:w="656" w:type="dxa"/>
            <w:vAlign w:val="center"/>
            <w:textDirection w:val="lrTb"/>
            <w:noWrap w:val="false"/>
          </w:tcPr>
          <w:p>
            <w:pPr>
              <w:jc w:val="center"/>
              <w:widowControl/>
              <w:rPr>
                <w:rFonts w:hint="eastAsia" w:ascii="宋体" w:hAnsi="宋体" w:eastAsia="宋体" w:cs="宋体"/>
                <w:sz w:val="22"/>
                <w:szCs w:val="22"/>
                <w14:ligatures w14:val="standardContextual"/>
              </w:rPr>
            </w:pPr>
            <w:r>
              <w:rPr>
                <w:rFonts w:hint="eastAsia" w:ascii="宋体" w:hAnsi="宋体" w:eastAsia="宋体" w:cs="宋体"/>
                <w:sz w:val="22"/>
                <w:szCs w:val="22"/>
                <w14:ligatures w14:val="standardContextual"/>
              </w:rPr>
              <w:t xml:space="preserve">100</w:t>
            </w:r>
            <w:r/>
          </w:p>
        </w:tc>
      </w:tr>
    </w:tbl>
    <w:p>
      <w:pPr>
        <w:pStyle w:val="634"/>
        <w:spacing w:beforeAutospacing="0" w:afterAutospacing="0"/>
        <w:rPr>
          <w:rFonts w:hint="eastAsia" w:ascii="宋体" w:hAnsi="宋体" w:eastAsia="宋体"/>
        </w:rPr>
      </w:pPr>
      <w:r>
        <w:rPr>
          <w:rFonts w:hint="eastAsia" w:ascii="宋体" w:hAnsi="宋体" w:eastAsia="宋体"/>
        </w:rPr>
      </w:r>
      <w:r/>
    </w:p>
    <w:p>
      <w:pPr>
        <w:pStyle w:val="634"/>
        <w:ind w:firstLine="2249"/>
        <w:spacing w:beforeAutospacing="0" w:afterAutospacing="0"/>
        <w:rPr>
          <w:rFonts w:hint="eastAsia" w:ascii="黑体" w:hAnsi="宋体" w:eastAsia="黑体" w:cs="黑体"/>
          <w:sz w:val="44"/>
          <w:szCs w:val="44"/>
        </w:rPr>
      </w:pPr>
      <w:r>
        <w:t xml:space="preserve"> </w:t>
      </w:r>
      <w:r/>
    </w:p>
    <w:p>
      <w:pPr>
        <w:jc w:val="left"/>
        <w:widowControl/>
        <w:rPr>
          <w:rFonts w:hint="eastAsia" w:ascii="黑体" w:hAnsi="宋体" w:eastAsia="黑体" w:cs="黑体"/>
          <w:sz w:val="44"/>
          <w:szCs w:val="44"/>
        </w:rPr>
      </w:pPr>
      <w:r>
        <w:rPr>
          <w:rFonts w:hint="eastAsia" w:ascii="黑体" w:hAnsi="宋体" w:eastAsia="黑体" w:cs="黑体"/>
          <w:sz w:val="44"/>
          <w:szCs w:val="44"/>
        </w:rPr>
        <w:br w:type="page" w:clear="all"/>
      </w:r>
      <w:r/>
    </w:p>
    <w:p>
      <w:pPr>
        <w:pStyle w:val="634"/>
        <w:ind w:firstLine="2200"/>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634"/>
        <w:ind w:firstLine="2200"/>
        <w:keepNext/>
        <w:spacing w:beforeAutospacing="0" w:afterAutospacing="0"/>
      </w:pPr>
      <w:r>
        <w:rPr>
          <w:rFonts w:hint="eastAsia" w:ascii="黑体" w:hAnsi="宋体" w:eastAsia="黑体" w:cs="黑体"/>
          <w:sz w:val="44"/>
          <w:szCs w:val="44"/>
        </w:rPr>
        <w:t xml:space="preserve">第六章  投标文件格式 </w:t>
      </w:r>
      <w:r/>
    </w:p>
    <w:p>
      <w:pPr>
        <w:pStyle w:val="634"/>
        <w:ind w:firstLine="5040"/>
        <w:spacing w:beforeAutospacing="0" w:afterAutospacing="0"/>
        <w:rPr>
          <w:rFonts w:hint="eastAsia" w:ascii="宋体" w:hAnsi="宋体" w:eastAsia="宋体" w:cs="宋体"/>
          <w:b/>
          <w:sz w:val="72"/>
          <w:szCs w:val="72"/>
        </w:rPr>
      </w:pPr>
      <w:r/>
      <w:bookmarkStart w:id="185" w:name="_Toc26554094"/>
      <w:r/>
      <w:bookmarkEnd w:id="185"/>
      <w:r/>
      <w:bookmarkStart w:id="186" w:name="_Hlt26671244"/>
      <w:r/>
      <w:bookmarkEnd w:id="186"/>
      <w:r/>
      <w:bookmarkStart w:id="187" w:name="_Hlt26955039"/>
      <w:r/>
      <w:bookmarkEnd w:id="187"/>
      <w:r/>
      <w:bookmarkStart w:id="188" w:name="_Toc120614282"/>
      <w:r/>
      <w:bookmarkStart w:id="189" w:name="_Toc49090576"/>
      <w:r/>
      <w:r/>
    </w:p>
    <w:p>
      <w:pPr>
        <w:pStyle w:val="634"/>
        <w:ind w:firstLine="5040"/>
        <w:spacing w:beforeAutospacing="0" w:afterAutospacing="0"/>
        <w:rPr>
          <w:rFonts w:hint="eastAsia" w:ascii="宋体" w:hAnsi="宋体" w:eastAsia="宋体" w:cs="宋体"/>
          <w:b/>
          <w:sz w:val="72"/>
          <w:szCs w:val="72"/>
        </w:rPr>
      </w:pPr>
      <w:r>
        <w:rPr>
          <w:rFonts w:hint="eastAsia" w:ascii="宋体" w:hAnsi="宋体" w:eastAsia="宋体" w:cs="宋体"/>
          <w:b/>
          <w:sz w:val="72"/>
          <w:szCs w:val="72"/>
        </w:rPr>
      </w:r>
      <w:r/>
    </w:p>
    <w:p>
      <w:pPr>
        <w:pStyle w:val="634"/>
        <w:ind w:firstLine="2168"/>
        <w:spacing w:beforeAutospacing="0" w:afterAutospacing="0"/>
      </w:pPr>
      <w:r>
        <w:rPr>
          <w:rFonts w:hint="eastAsia" w:ascii="宋体" w:hAnsi="宋体" w:eastAsia="宋体" w:cs="宋体"/>
          <w:b/>
          <w:sz w:val="72"/>
          <w:szCs w:val="72"/>
        </w:rPr>
        <w:t xml:space="preserve">投  标  文  件</w:t>
      </w:r>
      <w:r/>
    </w:p>
    <w:p>
      <w:pPr>
        <w:pStyle w:val="634"/>
        <w:ind w:firstLine="2249"/>
        <w:spacing w:beforeAutospacing="0" w:afterAutospacing="0"/>
      </w:pPr>
      <w:r>
        <w:t xml:space="preserve"> </w:t>
      </w:r>
      <w:r/>
    </w:p>
    <w:p>
      <w:pPr>
        <w:pStyle w:val="634"/>
        <w:ind w:firstLine="2249"/>
        <w:spacing w:beforeAutospacing="0" w:afterAutospacing="0"/>
      </w:pPr>
      <w:r>
        <w:t xml:space="preserve"> </w:t>
      </w:r>
      <w:r/>
    </w:p>
    <w:p>
      <w:pPr>
        <w:pStyle w:val="634"/>
        <w:ind w:firstLine="2249"/>
        <w:spacing w:beforeAutospacing="0" w:afterAutospacing="0"/>
      </w:pPr>
      <w:r>
        <w:t xml:space="preserve"> </w:t>
      </w:r>
      <w:r/>
    </w:p>
    <w:p>
      <w:pPr>
        <w:pStyle w:val="634"/>
        <w:ind w:firstLine="2249"/>
        <w:spacing w:beforeAutospacing="0" w:afterAutospacing="0"/>
      </w:pPr>
      <w:r>
        <w:t xml:space="preserve"> </w:t>
      </w:r>
      <w:r/>
    </w:p>
    <w:p>
      <w:pPr>
        <w:pStyle w:val="634"/>
        <w:ind w:firstLine="2249"/>
        <w:spacing w:beforeAutospacing="0" w:afterAutospacing="0"/>
      </w:pPr>
      <w:r>
        <w:t xml:space="preserve"> </w:t>
      </w:r>
      <w:r/>
    </w:p>
    <w:p>
      <w:pPr>
        <w:pStyle w:val="634"/>
        <w:ind w:firstLine="723"/>
        <w:spacing w:beforeAutospacing="0" w:afterAutospacing="0"/>
      </w:pPr>
      <w:r>
        <w:rPr>
          <w:rFonts w:hint="eastAsia" w:ascii="宋体" w:hAnsi="宋体" w:eastAsia="宋体" w:cs="宋体"/>
          <w:b/>
          <w:sz w:val="36"/>
          <w:szCs w:val="36"/>
        </w:rPr>
        <w:t xml:space="preserve">项目名称：</w:t>
      </w:r>
      <w:r>
        <w:rPr>
          <w:rFonts w:hint="eastAsia" w:ascii="宋体" w:hAnsi="宋体" w:eastAsia="宋体" w:cs="宋体"/>
          <w:b/>
          <w:sz w:val="36"/>
          <w:szCs w:val="36"/>
          <w:u w:val="single"/>
        </w:rPr>
        <w:t xml:space="preserve">               </w:t>
      </w:r>
      <w:r/>
    </w:p>
    <w:p>
      <w:pPr>
        <w:pStyle w:val="634"/>
        <w:ind w:firstLine="723"/>
        <w:spacing w:beforeAutospacing="0" w:afterAutospacing="0"/>
      </w:pPr>
      <w:r>
        <w:rPr>
          <w:rFonts w:hint="eastAsia" w:ascii="宋体" w:hAnsi="宋体" w:eastAsia="宋体" w:cs="宋体"/>
          <w:b/>
          <w:sz w:val="36"/>
          <w:szCs w:val="36"/>
        </w:rPr>
        <w:t xml:space="preserve">项目编号：</w:t>
      </w:r>
      <w:r>
        <w:rPr>
          <w:rFonts w:hint="eastAsia" w:ascii="宋体" w:hAnsi="宋体" w:eastAsia="宋体" w:cs="宋体"/>
          <w:b/>
          <w:sz w:val="36"/>
          <w:szCs w:val="36"/>
          <w:u w:val="single"/>
        </w:rPr>
        <w:t xml:space="preserve">               </w:t>
      </w:r>
      <w:r/>
    </w:p>
    <w:p>
      <w:pPr>
        <w:pStyle w:val="634"/>
        <w:ind w:firstLine="723"/>
        <w:spacing w:beforeAutospacing="0" w:afterAutospacing="0"/>
      </w:pPr>
      <w:r>
        <w:rPr>
          <w:rFonts w:hint="eastAsia" w:ascii="宋体" w:hAnsi="宋体" w:eastAsia="宋体" w:cs="宋体"/>
          <w:b/>
          <w:sz w:val="36"/>
          <w:szCs w:val="36"/>
        </w:rPr>
        <w:t xml:space="preserve">投标人名称 ：</w:t>
      </w:r>
      <w:r>
        <w:rPr>
          <w:rFonts w:hint="eastAsia" w:ascii="宋体" w:hAnsi="宋体" w:eastAsia="宋体" w:cs="宋体"/>
          <w:b/>
          <w:sz w:val="36"/>
          <w:szCs w:val="36"/>
          <w:u w:val="single"/>
        </w:rPr>
        <w:t xml:space="preserve">（加盖CA电子公章）        </w:t>
      </w:r>
      <w:r/>
    </w:p>
    <w:p>
      <w:pPr>
        <w:pStyle w:val="634"/>
        <w:ind w:firstLine="1084"/>
        <w:spacing w:beforeAutospacing="0" w:afterAutospacing="0"/>
      </w:pPr>
      <w:r>
        <w:rPr>
          <w:rFonts w:hint="eastAsia" w:ascii="宋体" w:hAnsi="宋体" w:eastAsia="宋体" w:cs="宋体"/>
          <w:b/>
          <w:sz w:val="36"/>
          <w:szCs w:val="36"/>
        </w:rPr>
        <w:t xml:space="preserve">日期 ：</w:t>
      </w:r>
      <w:r>
        <w:rPr>
          <w:rFonts w:hint="eastAsia" w:ascii="宋体" w:hAnsi="宋体" w:eastAsia="宋体" w:cs="宋体"/>
          <w:b/>
          <w:sz w:val="36"/>
          <w:szCs w:val="36"/>
          <w:u w:val="single"/>
        </w:rPr>
        <w:t xml:space="preserve">                     </w:t>
      </w:r>
      <w:r/>
    </w:p>
    <w:p>
      <w:pPr>
        <w:pStyle w:val="634"/>
        <w:ind w:firstLine="2249"/>
        <w:spacing w:beforeAutospacing="0" w:afterAutospacing="0" w:line="0" w:lineRule="atLeast"/>
      </w:pPr>
      <w:r>
        <w:t xml:space="preserve"> </w:t>
      </w:r>
      <w:r/>
    </w:p>
    <w:p>
      <w:pPr>
        <w:pStyle w:val="634"/>
        <w:ind w:firstLine="2249"/>
        <w:spacing w:beforeAutospacing="0" w:afterAutospacing="0" w:line="0" w:lineRule="atLeast"/>
      </w:pPr>
      <w:r>
        <w:t xml:space="preserve"> </w:t>
      </w:r>
      <w:r/>
    </w:p>
    <w:p>
      <w:pPr>
        <w:pStyle w:val="634"/>
        <w:ind w:firstLine="2520"/>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634"/>
        <w:ind w:firstLine="2520"/>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634"/>
        <w:ind w:firstLine="2520"/>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634"/>
        <w:ind w:firstLine="2520"/>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634"/>
        <w:ind w:firstLine="2520"/>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634"/>
        <w:ind w:firstLine="2520"/>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634"/>
        <w:ind w:firstLine="2520"/>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634"/>
        <w:ind w:firstLine="2520"/>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634"/>
        <w:ind w:firstLine="3213"/>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634"/>
        <w:ind w:firstLine="3213"/>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634"/>
        <w:ind w:firstLine="3213"/>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634"/>
        <w:ind w:firstLine="3213"/>
        <w:spacing w:beforeAutospacing="0" w:afterAutospacing="0" w:line="0" w:lineRule="atLeast"/>
      </w:pPr>
      <w:r>
        <w:rPr>
          <w:rFonts w:hint="eastAsia" w:ascii="宋体" w:hAnsi="宋体" w:eastAsia="宋体" w:cs="宋体"/>
          <w:b/>
          <w:sz w:val="32"/>
          <w:szCs w:val="32"/>
        </w:rPr>
        <w:t xml:space="preserve">投标文件目录</w:t>
      </w:r>
      <w:r/>
    </w:p>
    <w:p>
      <w:pPr>
        <w:pStyle w:val="634"/>
        <w:ind w:firstLine="2249"/>
        <w:spacing w:beforeAutospacing="0" w:afterAutospacing="0" w:line="0" w:lineRule="atLeast"/>
      </w:pPr>
      <w:r>
        <w:t xml:space="preserve"> </w:t>
      </w:r>
      <w:r/>
    </w:p>
    <w:p>
      <w:pPr>
        <w:pStyle w:val="634"/>
        <w:ind w:firstLine="480"/>
        <w:spacing w:beforeAutospacing="0" w:afterAutospacing="0"/>
        <w:rPr>
          <w:rFonts w:hint="eastAsia" w:ascii="宋体" w:hAnsi="宋体" w:eastAsia="宋体" w:cs="宋体"/>
          <w:iCs/>
        </w:rPr>
      </w:pPr>
      <w:r>
        <w:rPr>
          <w:rFonts w:hint="eastAsia" w:ascii="宋体" w:hAnsi="宋体" w:eastAsia="宋体" w:cs="宋体"/>
          <w:iCs/>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Cs/>
          <w:sz w:val="24"/>
        </w:rPr>
      </w:pPr>
      <w:r>
        <w:rPr>
          <w:rFonts w:hint="eastAsia" w:ascii="宋体" w:hAnsi="宋体" w:eastAsia="宋体" w:cs="宋体"/>
          <w:iCs/>
          <w:sz w:val="24"/>
        </w:rPr>
        <w:t xml:space="preserve">二、上一年度的财务状况报告（至少提供资产负债表、利润表、现金流量表，</w:t>
      </w:r>
      <w:r/>
    </w:p>
    <w:p>
      <w:pPr>
        <w:pStyle w:val="634"/>
        <w:spacing w:beforeAutospacing="0" w:afterAutospacing="0"/>
        <w:rPr>
          <w:rFonts w:hint="eastAsia" w:ascii="宋体" w:hAnsi="宋体" w:eastAsia="宋体" w:cs="宋体"/>
          <w:iCs/>
        </w:rPr>
      </w:pPr>
      <w:r>
        <w:rPr>
          <w:rFonts w:hint="eastAsia" w:ascii="宋体" w:hAnsi="宋体" w:eastAsia="宋体" w:cs="宋体"/>
          <w:iCs/>
        </w:rPr>
        <w:t xml:space="preserve">投标人成立不满一年无需提供）</w:t>
      </w:r>
      <w:r/>
    </w:p>
    <w:p>
      <w:pPr>
        <w:pStyle w:val="634"/>
        <w:ind w:firstLine="480"/>
        <w:spacing w:beforeAutospacing="0" w:afterAutospacing="0"/>
        <w:rPr>
          <w:rFonts w:hint="eastAsia" w:ascii="宋体" w:hAnsi="宋体" w:eastAsia="宋体" w:cs="宋体"/>
          <w:iCs/>
        </w:rPr>
      </w:pPr>
      <w:r>
        <w:rPr>
          <w:rFonts w:hint="eastAsia" w:ascii="宋体" w:hAnsi="宋体" w:eastAsia="宋体" w:cs="宋体"/>
          <w:iCs/>
        </w:rPr>
        <w:t xml:space="preserve">三、具备履行合同所必需的设备和专业技术能力的书面声明</w:t>
      </w:r>
      <w:r/>
    </w:p>
    <w:p>
      <w:pPr>
        <w:pStyle w:val="634"/>
        <w:ind w:firstLine="480"/>
        <w:spacing w:beforeAutospacing="0" w:afterAutospacing="0"/>
        <w:rPr>
          <w:rFonts w:hint="eastAsia" w:ascii="宋体" w:hAnsi="宋体" w:eastAsia="宋体" w:cs="宋体"/>
          <w:iCs/>
        </w:rPr>
      </w:pPr>
      <w:r>
        <w:rPr>
          <w:rFonts w:hint="eastAsia" w:ascii="宋体" w:hAnsi="宋体" w:eastAsia="宋体" w:cs="宋体"/>
          <w:iCs/>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34"/>
        <w:ind w:firstLine="480"/>
        <w:spacing w:beforeAutospacing="0" w:afterAutospacing="0"/>
        <w:rPr>
          <w:rFonts w:hint="eastAsia" w:ascii="宋体" w:hAnsi="宋体" w:eastAsia="宋体" w:cs="宋体"/>
          <w:iCs/>
        </w:rPr>
      </w:pPr>
      <w:r>
        <w:rPr>
          <w:rFonts w:hint="eastAsia" w:ascii="宋体" w:hAnsi="宋体" w:eastAsia="宋体" w:cs="宋体"/>
          <w:iCs/>
        </w:rPr>
        <w:t xml:space="preserve">五、参加政府采购活动前 3 年内在经营活动中没有重大违法记录的书面声明</w:t>
      </w:r>
      <w:r/>
    </w:p>
    <w:p>
      <w:pPr>
        <w:pStyle w:val="634"/>
        <w:ind w:firstLine="480"/>
        <w:spacing w:beforeAutospacing="0" w:afterAutospacing="0"/>
        <w:rPr>
          <w:rFonts w:hint="eastAsia" w:ascii="宋体" w:hAnsi="宋体" w:eastAsia="宋体" w:cs="宋体"/>
          <w:iCs/>
        </w:rPr>
      </w:pPr>
      <w:r>
        <w:rPr>
          <w:rFonts w:hint="eastAsia" w:ascii="宋体" w:hAnsi="宋体" w:eastAsia="宋体" w:cs="宋体"/>
          <w:iCs/>
        </w:rPr>
        <w:t xml:space="preserve">六、特定资格要求的证明文件（如果本项目设置特定资格要求，则需要提供）</w:t>
      </w:r>
      <w:r/>
    </w:p>
    <w:p>
      <w:pPr>
        <w:pStyle w:val="634"/>
        <w:ind w:firstLine="480"/>
        <w:spacing w:beforeAutospacing="0" w:afterAutospacing="0"/>
        <w:rPr>
          <w:rFonts w:hint="eastAsia" w:ascii="宋体" w:hAnsi="宋体" w:eastAsia="宋体" w:cs="宋体"/>
          <w:iCs/>
        </w:rPr>
      </w:pPr>
      <w:r>
        <w:rPr>
          <w:rFonts w:hint="eastAsia" w:ascii="宋体" w:hAnsi="宋体" w:eastAsia="宋体" w:cs="宋体"/>
          <w:iCs/>
        </w:rPr>
        <w:t xml:space="preserve">七、法人授权书</w:t>
      </w:r>
      <w:r/>
    </w:p>
    <w:p>
      <w:pPr>
        <w:pStyle w:val="634"/>
        <w:ind w:firstLine="480"/>
        <w:spacing w:beforeAutospacing="0" w:afterAutospacing="0"/>
        <w:rPr>
          <w:rFonts w:hint="eastAsia" w:ascii="宋体" w:hAnsi="宋体" w:eastAsia="宋体" w:cs="宋体"/>
          <w:iCs/>
        </w:rPr>
      </w:pPr>
      <w:r>
        <w:rPr>
          <w:rFonts w:hint="eastAsia" w:ascii="宋体" w:hAnsi="宋体" w:eastAsia="宋体" w:cs="宋体"/>
          <w:iCs/>
        </w:rPr>
        <w:t xml:space="preserve">八、投标函</w:t>
      </w:r>
      <w:r/>
    </w:p>
    <w:p>
      <w:pPr>
        <w:pStyle w:val="634"/>
        <w:ind w:firstLine="480"/>
        <w:spacing w:beforeAutospacing="0" w:afterAutospacing="0" w:line="0" w:lineRule="atLeast"/>
        <w:rPr>
          <w:rFonts w:hint="eastAsia" w:ascii="宋体" w:hAnsi="宋体" w:eastAsia="宋体" w:cs="宋体"/>
          <w:iCs/>
        </w:rPr>
      </w:pPr>
      <w:r>
        <w:rPr>
          <w:rFonts w:hint="eastAsia" w:ascii="宋体" w:hAnsi="宋体" w:eastAsia="宋体" w:cs="宋体"/>
          <w:iCs/>
        </w:rPr>
        <w:t xml:space="preserve">九、中小企业声明函</w:t>
      </w:r>
      <w:r/>
    </w:p>
    <w:p>
      <w:pPr>
        <w:pStyle w:val="634"/>
        <w:ind w:firstLine="480"/>
        <w:spacing w:beforeAutospacing="0" w:afterAutospacing="0" w:line="0" w:lineRule="atLeast"/>
        <w:rPr>
          <w:rFonts w:hint="eastAsia" w:ascii="宋体" w:hAnsi="宋体" w:eastAsia="宋体" w:cs="宋体"/>
          <w:iCs/>
        </w:rPr>
      </w:pPr>
      <w:r>
        <w:rPr>
          <w:rFonts w:hint="eastAsia" w:ascii="宋体" w:hAnsi="宋体" w:eastAsia="宋体" w:cs="宋体"/>
          <w:iCs/>
        </w:rPr>
        <w:t xml:space="preserve">十、残疾人福利性单位声明函</w:t>
      </w:r>
      <w:r/>
    </w:p>
    <w:p>
      <w:pPr>
        <w:pStyle w:val="634"/>
        <w:ind w:firstLine="480"/>
        <w:spacing w:beforeAutospacing="0" w:afterAutospacing="0" w:line="0" w:lineRule="atLeast"/>
        <w:rPr>
          <w:rFonts w:hint="eastAsia" w:ascii="宋体" w:hAnsi="宋体" w:eastAsia="宋体" w:cs="宋体"/>
          <w:iCs/>
        </w:rPr>
      </w:pPr>
      <w:r>
        <w:rPr>
          <w:rFonts w:hint="eastAsia" w:ascii="宋体" w:hAnsi="宋体" w:eastAsia="宋体" w:cs="宋体"/>
          <w:iCs/>
        </w:rPr>
        <w:t xml:space="preserve">十一、投标分项报价表</w:t>
      </w:r>
      <w:r/>
    </w:p>
    <w:p>
      <w:pPr>
        <w:pStyle w:val="634"/>
        <w:ind w:firstLine="480"/>
        <w:spacing w:beforeAutospacing="0" w:afterAutospacing="0" w:line="0" w:lineRule="atLeast"/>
        <w:rPr>
          <w:rFonts w:hint="eastAsia" w:ascii="宋体" w:hAnsi="宋体" w:eastAsia="宋体" w:cs="宋体"/>
          <w:iCs/>
        </w:rPr>
      </w:pPr>
      <w:r>
        <w:rPr>
          <w:rFonts w:hint="eastAsia" w:ascii="宋体" w:hAnsi="宋体" w:eastAsia="宋体" w:cs="宋体"/>
          <w:iCs/>
        </w:rPr>
        <w:t xml:space="preserve">十二、拟投入人员一览表</w:t>
      </w:r>
      <w:r/>
    </w:p>
    <w:p>
      <w:pPr>
        <w:pStyle w:val="634"/>
        <w:ind w:firstLine="480"/>
        <w:spacing w:beforeAutospacing="0" w:afterAutospacing="0" w:line="0" w:lineRule="atLeast"/>
        <w:rPr>
          <w:rFonts w:hint="eastAsia" w:ascii="宋体" w:hAnsi="宋体" w:eastAsia="宋体" w:cs="宋体"/>
          <w:iCs/>
        </w:rPr>
      </w:pPr>
      <w:r>
        <w:rPr>
          <w:rFonts w:hint="eastAsia" w:ascii="宋体" w:hAnsi="宋体" w:eastAsia="宋体" w:cs="宋体"/>
          <w:iCs/>
        </w:rPr>
        <w:t xml:space="preserve">十三、技术要求响应及偏离表</w:t>
      </w:r>
      <w:r/>
    </w:p>
    <w:p>
      <w:pPr>
        <w:pStyle w:val="634"/>
        <w:ind w:firstLine="480"/>
        <w:spacing w:beforeAutospacing="0" w:afterAutospacing="0" w:line="0" w:lineRule="atLeast"/>
        <w:rPr>
          <w:rFonts w:hint="eastAsia" w:ascii="宋体" w:hAnsi="宋体" w:eastAsia="宋体" w:cs="宋体"/>
          <w:iCs/>
        </w:rPr>
      </w:pPr>
      <w:r>
        <w:rPr>
          <w:rFonts w:hint="eastAsia" w:ascii="宋体" w:hAnsi="宋体" w:eastAsia="宋体" w:cs="宋体"/>
          <w:iCs/>
        </w:rPr>
        <w:t xml:space="preserve">十四、商务要求响应及偏离表</w:t>
      </w:r>
      <w:r/>
    </w:p>
    <w:p>
      <w:pPr>
        <w:pStyle w:val="634"/>
        <w:ind w:firstLine="480"/>
        <w:spacing w:beforeAutospacing="0" w:afterAutospacing="0"/>
        <w:rPr>
          <w:rFonts w:hint="eastAsia" w:ascii="宋体" w:hAnsi="宋体" w:eastAsia="宋体" w:cs="宋体"/>
          <w:iCs/>
        </w:rPr>
      </w:pPr>
      <w:r>
        <w:rPr>
          <w:rFonts w:hint="eastAsia" w:ascii="宋体" w:hAnsi="宋体" w:eastAsia="宋体" w:cs="宋体"/>
          <w:iCs/>
        </w:rPr>
        <w:t xml:space="preserve">十五、开标一览表</w:t>
      </w:r>
      <w:r/>
    </w:p>
    <w:p>
      <w:pPr>
        <w:ind w:firstLine="480"/>
        <w:jc w:val="left"/>
        <w:spacing w:before="50" w:after="50"/>
        <w:widowControl/>
        <w:rPr>
          <w:rFonts w:hint="eastAsia" w:ascii="宋体" w:hAnsi="宋体" w:eastAsia="宋体" w:cs="宋体"/>
          <w:iCs/>
          <w:sz w:val="24"/>
        </w:rPr>
      </w:pPr>
      <w:r>
        <w:rPr>
          <w:rFonts w:hint="eastAsia" w:ascii="宋体" w:hAnsi="宋体" w:eastAsia="宋体" w:cs="宋体"/>
          <w:iCs/>
          <w:sz w:val="24"/>
        </w:rPr>
        <w:t xml:space="preserve">十六、技术方案、服务承诺、培训承诺等</w:t>
      </w:r>
      <w:r/>
    </w:p>
    <w:p>
      <w:pPr>
        <w:pStyle w:val="634"/>
        <w:ind w:firstLine="480"/>
        <w:spacing w:beforeAutospacing="0" w:afterAutospacing="0" w:line="360" w:lineRule="auto"/>
        <w:rPr>
          <w:rFonts w:hint="eastAsia" w:ascii="宋体" w:hAnsi="宋体" w:eastAsia="宋体" w:cs="宋体"/>
          <w:iCs/>
        </w:rPr>
      </w:pPr>
      <w:r>
        <w:rPr>
          <w:rFonts w:hint="eastAsia" w:ascii="宋体" w:hAnsi="宋体" w:eastAsia="宋体" w:cs="宋体"/>
          <w:iCs/>
        </w:rPr>
        <w:t xml:space="preserve">十七、盐城市政府采购事前信用承诺书</w:t>
      </w:r>
      <w:r/>
    </w:p>
    <w:p>
      <w:pPr>
        <w:pStyle w:val="634"/>
        <w:ind w:firstLine="2249"/>
        <w:spacing w:beforeAutospacing="0" w:afterAutospacing="0" w:line="0" w:lineRule="atLeast"/>
        <w:rPr>
          <w:rFonts w:hint="eastAsia" w:ascii="宋体" w:hAnsi="宋体" w:eastAsia="宋体" w:cs="宋体"/>
        </w:rPr>
      </w:pPr>
      <w:r>
        <w:rPr>
          <w:rFonts w:hint="eastAsia" w:ascii="宋体" w:hAnsi="宋体" w:eastAsia="宋体" w:cs="宋体"/>
        </w:rPr>
      </w:r>
      <w:r/>
    </w:p>
    <w:p>
      <w:pPr>
        <w:pStyle w:val="634"/>
        <w:ind w:firstLine="2249"/>
        <w:spacing w:beforeAutospacing="0" w:afterAutospacing="0" w:line="0" w:lineRule="atLeast"/>
        <w:rPr>
          <w:rFonts w:hint="eastAsia" w:ascii="宋体" w:hAnsi="宋体" w:eastAsia="宋体" w:cs="宋体"/>
        </w:rPr>
      </w:pPr>
      <w:r>
        <w:rPr>
          <w:rFonts w:hint="eastAsia" w:ascii="宋体" w:hAnsi="宋体" w:eastAsia="宋体" w:cs="宋体"/>
        </w:rPr>
      </w:r>
      <w:r/>
    </w:p>
    <w:p>
      <w:pPr>
        <w:pStyle w:val="634"/>
        <w:ind w:firstLine="2249"/>
        <w:spacing w:beforeAutospacing="0" w:afterAutospacing="0" w:line="0" w:lineRule="atLeast"/>
      </w:pPr>
      <w:r>
        <w:t xml:space="preserve"> </w:t>
      </w:r>
      <w:r/>
    </w:p>
    <w:p>
      <w:pPr>
        <w:pStyle w:val="634"/>
        <w:ind w:firstLine="2249"/>
        <w:spacing w:beforeAutospacing="0" w:afterAutospacing="0" w:line="0" w:lineRule="atLeast"/>
      </w:pPr>
      <w:r>
        <w:t xml:space="preserve"> </w:t>
      </w:r>
      <w:r/>
    </w:p>
    <w:p>
      <w:pPr>
        <w:pStyle w:val="634"/>
        <w:ind w:firstLine="2249"/>
        <w:spacing w:beforeAutospacing="0" w:afterAutospacing="0" w:line="0" w:lineRule="atLeast"/>
      </w:pPr>
      <w:r>
        <w:t xml:space="preserve"> </w:t>
      </w:r>
      <w:r/>
    </w:p>
    <w:p>
      <w:pPr>
        <w:pStyle w:val="634"/>
        <w:ind w:firstLine="2249"/>
        <w:spacing w:beforeAutospacing="0" w:afterAutospacing="0" w:line="0" w:lineRule="atLeast"/>
      </w:pPr>
      <w:r>
        <w:t xml:space="preserve"> </w:t>
      </w:r>
      <w:r/>
    </w:p>
    <w:p>
      <w:pPr>
        <w:pStyle w:val="634"/>
        <w:ind w:firstLine="2249"/>
        <w:spacing w:beforeAutospacing="0" w:afterAutospacing="0" w:line="0" w:lineRule="atLeast"/>
      </w:pPr>
      <w:r/>
      <w:r/>
    </w:p>
    <w:p>
      <w:pPr>
        <w:pStyle w:val="634"/>
        <w:ind w:firstLine="2249"/>
        <w:spacing w:beforeAutospacing="0" w:afterAutospacing="0" w:line="0" w:lineRule="atLeast"/>
      </w:pPr>
      <w:r/>
      <w:r/>
    </w:p>
    <w:p>
      <w:pPr>
        <w:pStyle w:val="634"/>
        <w:ind w:firstLine="2249"/>
        <w:spacing w:beforeAutospacing="0" w:afterAutospacing="0" w:line="0" w:lineRule="atLeast"/>
      </w:pPr>
      <w:r/>
      <w:r/>
    </w:p>
    <w:p>
      <w:pPr>
        <w:pStyle w:val="634"/>
        <w:ind w:firstLine="2249"/>
        <w:spacing w:beforeAutospacing="0" w:afterAutospacing="0" w:line="0" w:lineRule="atLeast"/>
      </w:pPr>
      <w:r/>
      <w:r/>
    </w:p>
    <w:p>
      <w:pPr>
        <w:pStyle w:val="634"/>
        <w:ind w:firstLine="2249"/>
        <w:spacing w:beforeAutospacing="0" w:afterAutospacing="0" w:line="0" w:lineRule="atLeast"/>
      </w:pPr>
      <w:r/>
      <w:r/>
    </w:p>
    <w:p>
      <w:pPr>
        <w:pStyle w:val="634"/>
        <w:ind w:firstLine="2249"/>
        <w:spacing w:beforeAutospacing="0" w:afterAutospacing="0" w:line="0" w:lineRule="atLeast"/>
      </w:pPr>
      <w:r/>
      <w:r/>
    </w:p>
    <w:p>
      <w:pPr>
        <w:pStyle w:val="634"/>
        <w:ind w:firstLine="2249"/>
        <w:spacing w:beforeAutospacing="0" w:afterAutospacing="0" w:line="0" w:lineRule="atLeast"/>
      </w:pPr>
      <w:r/>
      <w:r/>
    </w:p>
    <w:p>
      <w:pPr>
        <w:pStyle w:val="634"/>
        <w:ind w:firstLine="2249"/>
        <w:spacing w:beforeAutospacing="0" w:afterAutospacing="0" w:line="0" w:lineRule="atLeast"/>
      </w:pPr>
      <w:r/>
      <w:r/>
    </w:p>
    <w:p>
      <w:pPr>
        <w:pStyle w:val="634"/>
        <w:ind w:firstLine="2249"/>
        <w:spacing w:beforeAutospacing="0" w:afterAutospacing="0" w:line="0" w:lineRule="atLeast"/>
      </w:pPr>
      <w:r/>
      <w:r/>
    </w:p>
    <w:p>
      <w:pPr>
        <w:pStyle w:val="634"/>
        <w:ind w:firstLine="2249"/>
        <w:spacing w:beforeAutospacing="0" w:afterAutospacing="0" w:line="0" w:lineRule="atLeast"/>
      </w:pPr>
      <w:r/>
      <w:r/>
    </w:p>
    <w:p>
      <w:pPr>
        <w:pStyle w:val="634"/>
        <w:ind w:firstLine="2249"/>
        <w:spacing w:beforeAutospacing="0" w:afterAutospacing="0" w:line="0" w:lineRule="atLeast"/>
      </w:pPr>
      <w:r/>
      <w:r/>
    </w:p>
    <w:p>
      <w:pPr>
        <w:pStyle w:val="634"/>
        <w:ind w:firstLine="2249"/>
        <w:spacing w:beforeAutospacing="0" w:afterAutospacing="0" w:line="0" w:lineRule="atLeast"/>
      </w:pPr>
      <w:r/>
      <w:r/>
    </w:p>
    <w:p>
      <w:pPr>
        <w:pStyle w:val="634"/>
        <w:ind w:firstLine="2249"/>
        <w:spacing w:beforeAutospacing="0" w:afterAutospacing="0" w:line="0" w:lineRule="atLeast"/>
      </w:pPr>
      <w:r/>
      <w:r/>
    </w:p>
    <w:p>
      <w:pPr>
        <w:pStyle w:val="634"/>
        <w:ind w:firstLine="2249"/>
        <w:spacing w:beforeAutospacing="0" w:afterAutospacing="0" w:line="0" w:lineRule="atLeast"/>
      </w:pPr>
      <w:r/>
      <w:r/>
    </w:p>
    <w:p>
      <w:pPr>
        <w:pStyle w:val="634"/>
        <w:ind w:firstLine="2249"/>
        <w:spacing w:beforeAutospacing="0" w:afterAutospacing="0" w:line="0" w:lineRule="atLeast"/>
      </w:pPr>
      <w:r>
        <w:t xml:space="preserve"> </w:t>
      </w:r>
      <w:r/>
    </w:p>
    <w:p>
      <w:pPr>
        <w:pStyle w:val="634"/>
        <w:ind w:firstLine="2249"/>
        <w:spacing w:beforeAutospacing="0" w:afterAutospacing="0" w:line="0" w:lineRule="atLeast"/>
      </w:pPr>
      <w:r/>
      <w:r/>
    </w:p>
    <w:p>
      <w:pPr>
        <w:pStyle w:val="634"/>
        <w:spacing w:beforeAutospacing="0" w:afterAutospacing="0"/>
      </w:pPr>
      <w:r>
        <w:rPr>
          <w:rFonts w:hint="eastAsia" w:ascii="黑体" w:hAnsi="宋体" w:eastAsia="黑体" w:cs="黑体"/>
          <w:i/>
          <w:sz w:val="32"/>
          <w:szCs w:val="32"/>
          <w:u w:val="single"/>
        </w:rPr>
        <w:t xml:space="preserve">一、法人或者其他组织的营业执照等证明文件，自然人的身份证明</w:t>
      </w:r>
      <w:r/>
    </w:p>
    <w:p>
      <w:pPr>
        <w:pStyle w:val="634"/>
        <w:ind w:firstLine="2249"/>
        <w:spacing w:beforeAutospacing="0" w:afterAutospacing="0" w:line="0" w:lineRule="atLeast"/>
      </w:pPr>
      <w:r>
        <w:t xml:space="preserve"> </w:t>
      </w:r>
      <w:r/>
    </w:p>
    <w:p>
      <w:pPr>
        <w:pStyle w:val="634"/>
        <w:spacing w:beforeAutospacing="0" w:afterAutospacing="0"/>
        <w:rPr>
          <w:rFonts w:eastAsia="黑体"/>
        </w:rPr>
      </w:pPr>
      <w:r>
        <w:rPr>
          <w:rFonts w:hint="eastAsia" w:ascii="黑体" w:hAnsi="宋体" w:eastAsia="黑体" w:cs="黑体"/>
          <w:i/>
          <w:sz w:val="32"/>
          <w:szCs w:val="32"/>
          <w:u w:val="single"/>
        </w:rPr>
        <w:t xml:space="preserve">二、上一年度的财务状况报告</w:t>
      </w:r>
      <w:r/>
    </w:p>
    <w:p>
      <w:pPr>
        <w:ind w:firstLine="720"/>
        <w:jc w:val="left"/>
        <w:tabs>
          <w:tab w:val="left" w:pos="1331" w:leader="none"/>
        </w:tabs>
        <w:rPr>
          <w:rFonts w:hint="eastAsia" w:ascii="宋体" w:hAnsi="宋体" w:eastAsia="宋体" w:cs="宋体"/>
          <w:iCs/>
          <w:sz w:val="24"/>
        </w:rPr>
      </w:pPr>
      <w:r>
        <w:rPr>
          <w:rFonts w:hint="eastAsia" w:ascii="宋体" w:hAnsi="宋体" w:eastAsia="宋体" w:cs="宋体"/>
          <w:iCs/>
          <w:sz w:val="24"/>
        </w:rPr>
        <w:t xml:space="preserve">（至少提供资产负债表、利润表、现金流量表，投标人成立不满一年无需提供）</w:t>
      </w:r>
      <w:r/>
    </w:p>
    <w:p>
      <w:pPr>
        <w:pStyle w:val="634"/>
        <w:ind w:firstLine="2249"/>
        <w:spacing w:beforeAutospacing="0" w:afterAutospacing="0" w:line="0" w:lineRule="atLeast"/>
      </w:pPr>
      <w:r/>
      <w:r/>
    </w:p>
    <w:p>
      <w:pPr>
        <w:pStyle w:val="634"/>
        <w:ind w:firstLine="2249"/>
        <w:spacing w:beforeAutospacing="0" w:afterAutospacing="0"/>
      </w:pPr>
      <w:r>
        <w:t xml:space="preserve">  </w:t>
      </w:r>
      <w:r/>
    </w:p>
    <w:p>
      <w:pPr>
        <w:pStyle w:val="634"/>
        <w:spacing w:beforeAutospacing="0" w:afterAutospacing="0"/>
      </w:pPr>
      <w:r>
        <w:rPr>
          <w:rFonts w:hint="eastAsia" w:ascii="黑体" w:hAnsi="宋体" w:eastAsia="黑体" w:cs="黑体"/>
          <w:i/>
          <w:sz w:val="32"/>
          <w:szCs w:val="32"/>
          <w:u w:val="single"/>
        </w:rPr>
        <w:t xml:space="preserve">三、具备履行合同所必需的设备和专业技术能力的书面声明</w:t>
      </w:r>
      <w:r/>
    </w:p>
    <w:p>
      <w:pPr>
        <w:pStyle w:val="634"/>
        <w:ind w:firstLine="480"/>
        <w:spacing w:beforeAutospacing="0" w:afterAutospacing="0" w:line="0" w:lineRule="atLeast"/>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634"/>
        <w:ind w:firstLine="2249"/>
        <w:spacing w:beforeAutospacing="0" w:afterAutospacing="0" w:line="0" w:lineRule="atLeast"/>
      </w:pPr>
      <w:r>
        <w:rPr>
          <w:rFonts w:hint="eastAsia" w:ascii="宋体" w:hAnsi="宋体" w:eastAsia="宋体" w:cs="宋体"/>
        </w:rPr>
        <w:t xml:space="preserve">主要设备有：</w:t>
      </w:r>
      <w:r>
        <w:rPr>
          <w:rFonts w:hint="eastAsia" w:ascii="宋体" w:hAnsi="宋体" w:eastAsia="宋体" w:cs="宋体"/>
          <w:u w:val="single"/>
        </w:rPr>
        <w:t xml:space="preserve">  </w:t>
      </w:r>
      <w:r>
        <w:rPr>
          <w:rFonts w:hint="eastAsia" w:ascii="宋体" w:hAnsi="宋体" w:eastAsia="宋体" w:cs="宋体"/>
        </w:rPr>
        <w:t xml:space="preserve">。</w:t>
      </w:r>
      <w:r/>
    </w:p>
    <w:p>
      <w:pPr>
        <w:pStyle w:val="634"/>
        <w:ind w:firstLine="2249"/>
        <w:spacing w:beforeAutospacing="0" w:afterAutospacing="0"/>
        <w:rPr>
          <w:rFonts w:hint="eastAsia" w:ascii="宋体" w:hAnsi="宋体" w:eastAsia="宋体" w:cs="宋体"/>
        </w:rPr>
      </w:pPr>
      <w:r>
        <w:rPr>
          <w:rFonts w:hint="eastAsia" w:ascii="宋体" w:hAnsi="宋体" w:eastAsia="宋体" w:cs="宋体"/>
        </w:rPr>
        <w:t xml:space="preserve">主要专业技术能力有：</w:t>
      </w:r>
      <w:r>
        <w:rPr>
          <w:rFonts w:hint="eastAsia" w:ascii="宋体" w:hAnsi="宋体" w:eastAsia="宋体" w:cs="宋体"/>
          <w:u w:val="single"/>
        </w:rPr>
        <w:t xml:space="preserve">   </w:t>
      </w:r>
      <w:r>
        <w:rPr>
          <w:rFonts w:hint="eastAsia" w:ascii="宋体" w:hAnsi="宋体" w:eastAsia="宋体" w:cs="宋体"/>
        </w:rPr>
        <w:t xml:space="preserve">。</w:t>
      </w:r>
      <w:r/>
    </w:p>
    <w:p>
      <w:pPr>
        <w:pStyle w:val="634"/>
        <w:spacing w:beforeAutospacing="0" w:afterAutospacing="0"/>
      </w:pPr>
      <w:r>
        <w:rPr>
          <w:rFonts w:hint="eastAsia" w:ascii="黑体" w:hAnsi="宋体" w:eastAsia="黑体" w:cs="黑体"/>
          <w:i/>
          <w:sz w:val="32"/>
          <w:szCs w:val="32"/>
          <w:u w:val="single"/>
        </w:rPr>
        <w:t xml:space="preserve">四、依法缴纳税收和社会保障资金的相关材料</w:t>
      </w:r>
      <w:r/>
    </w:p>
    <w:p>
      <w:pPr>
        <w:pStyle w:val="634"/>
        <w:ind w:firstLine="480"/>
        <w:spacing w:beforeAutospacing="0" w:afterAutospacing="0"/>
      </w:pPr>
      <w:r/>
      <w:bookmarkStart w:id="190" w:name="_Toc120614284"/>
      <w:r>
        <w:rPr>
          <w:rFonts w:hint="eastAsia" w:ascii="宋体" w:hAnsi="宋体" w:eastAsia="宋体" w:cs="宋体"/>
        </w:rPr>
        <w:t xml:space="preserve">提供提交投标文件截止时间前一年内至少一个月依法缴纳税收及缴纳社会保障资金的证明材料。投标人依法享受缓缴、免缴税收、社会保障资金的提供证明材料。</w:t>
      </w:r>
      <w:bookmarkEnd w:id="190"/>
      <w:r/>
      <w:r/>
    </w:p>
    <w:p>
      <w:pPr>
        <w:pStyle w:val="634"/>
        <w:ind w:firstLine="640"/>
        <w:spacing w:beforeAutospacing="0" w:afterAutospacing="0"/>
      </w:pPr>
      <w:r>
        <w:rPr>
          <w:rFonts w:hint="eastAsia" w:ascii="黑体" w:hAnsi="宋体" w:eastAsia="黑体" w:cs="黑体"/>
          <w:i/>
          <w:sz w:val="32"/>
          <w:szCs w:val="32"/>
          <w:u w:val="single"/>
        </w:rPr>
        <w:t xml:space="preserve">五、参加政府采购活动前 3 年内在经营活动中没有重大违法记录的书面声明</w:t>
      </w:r>
      <w:r/>
    </w:p>
    <w:p>
      <w:pPr>
        <w:pStyle w:val="634"/>
        <w:ind w:firstLine="3092"/>
        <w:spacing w:beforeAutospacing="0" w:afterAutospacing="0" w:line="0" w:lineRule="atLeast"/>
      </w:pPr>
      <w:r>
        <w:rPr>
          <w:rFonts w:hint="eastAsia" w:ascii="宋体" w:hAnsi="宋体" w:eastAsia="宋体" w:cs="宋体"/>
          <w:b/>
          <w:sz w:val="44"/>
          <w:szCs w:val="44"/>
        </w:rPr>
        <w:t xml:space="preserve"> 声  明</w:t>
      </w:r>
      <w:r/>
    </w:p>
    <w:p>
      <w:pPr>
        <w:pStyle w:val="634"/>
        <w:ind w:firstLine="480"/>
        <w:spacing w:beforeAutospacing="0" w:afterAutospacing="0" w:line="0" w:lineRule="atLeast"/>
      </w:pPr>
      <w:r>
        <w:rPr>
          <w:rFonts w:hint="eastAsia" w:ascii="宋体" w:hAnsi="宋体" w:eastAsia="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634"/>
        <w:ind w:firstLine="2249"/>
        <w:spacing w:beforeAutospacing="0" w:afterAutospacing="0"/>
      </w:pPr>
      <w:r>
        <w:t xml:space="preserve"> </w:t>
      </w:r>
      <w:r/>
    </w:p>
    <w:p>
      <w:pPr>
        <w:pStyle w:val="634"/>
        <w:ind w:firstLine="2249"/>
        <w:spacing w:beforeAutospacing="0" w:afterAutospacing="0"/>
      </w:pPr>
      <w:r>
        <w:rPr>
          <w:rFonts w:hint="eastAsia" w:ascii="黑体" w:hAnsi="宋体" w:eastAsia="黑体" w:cs="黑体"/>
          <w:i/>
          <w:sz w:val="32"/>
          <w:szCs w:val="32"/>
          <w:u w:val="single"/>
        </w:rPr>
        <w:t xml:space="preserve">六、特定资格要求的证明文件</w:t>
      </w:r>
      <w:r/>
    </w:p>
    <w:p>
      <w:pPr>
        <w:pStyle w:val="634"/>
        <w:spacing w:beforeAutospacing="0" w:afterAutospacing="0"/>
      </w:pPr>
      <w:r>
        <w:rPr>
          <w:rFonts w:hint="eastAsia" w:ascii="宋体" w:hAnsi="宋体" w:eastAsia="宋体" w:cs="宋体"/>
        </w:rPr>
        <w:t xml:space="preserve"> 如果本项目申请人的特定资格要求中要求提供的，必须提供。</w:t>
      </w:r>
      <w:r/>
    </w:p>
    <w:p>
      <w:pPr>
        <w:pStyle w:val="634"/>
        <w:ind w:firstLine="2249"/>
        <w:spacing w:beforeAutospacing="0" w:afterAutospacing="0" w:line="0" w:lineRule="atLeast"/>
      </w:pPr>
      <w:r>
        <w:t xml:space="preserve"> </w:t>
      </w:r>
      <w:r/>
    </w:p>
    <w:p>
      <w:pPr>
        <w:pStyle w:val="634"/>
        <w:ind w:firstLine="2249"/>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jc w:val="left"/>
        <w:widowControl/>
        <w:rPr>
          <w:rFonts w:hint="eastAsia" w:ascii="黑体" w:hAnsi="宋体" w:eastAsia="黑体" w:cs="黑体"/>
          <w:i/>
          <w:sz w:val="32"/>
          <w:szCs w:val="32"/>
          <w:u w:val="single"/>
        </w:rPr>
      </w:pPr>
      <w:r>
        <w:rPr>
          <w:rFonts w:hint="eastAsia" w:ascii="黑体" w:hAnsi="宋体" w:eastAsia="黑体" w:cs="黑体"/>
          <w:i/>
          <w:sz w:val="32"/>
          <w:szCs w:val="32"/>
          <w:u w:val="single"/>
        </w:rPr>
      </w:r>
      <w:r/>
    </w:p>
    <w:p>
      <w:pPr>
        <w:jc w:val="left"/>
        <w:widowControl/>
        <w:rPr>
          <w:rFonts w:hint="eastAsia" w:ascii="黑体" w:hAnsi="宋体" w:eastAsia="黑体" w:cs="黑体"/>
          <w:i/>
          <w:sz w:val="32"/>
          <w:szCs w:val="32"/>
          <w:u w:val="single"/>
        </w:rPr>
      </w:pPr>
      <w:r>
        <w:rPr>
          <w:rFonts w:hint="eastAsia" w:ascii="黑体" w:hAnsi="宋体" w:eastAsia="黑体" w:cs="黑体"/>
          <w:i/>
          <w:sz w:val="32"/>
          <w:szCs w:val="32"/>
          <w:u w:val="single"/>
        </w:rPr>
      </w:r>
      <w:r/>
    </w:p>
    <w:p>
      <w:pPr>
        <w:jc w:val="left"/>
        <w:widowControl/>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634"/>
        <w:ind w:firstLine="2249"/>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634"/>
        <w:ind w:firstLine="2249"/>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634"/>
        <w:ind w:firstLine="2249"/>
        <w:spacing w:beforeAutospacing="0" w:afterAutospacing="0"/>
      </w:pPr>
      <w:r>
        <w:rPr>
          <w:rFonts w:hint="eastAsia" w:ascii="黑体" w:hAnsi="宋体" w:eastAsia="黑体" w:cs="黑体"/>
          <w:i/>
          <w:sz w:val="32"/>
          <w:szCs w:val="32"/>
          <w:u w:val="single"/>
        </w:rPr>
        <w:t xml:space="preserve">七、法人授权书</w:t>
      </w:r>
      <w:r/>
    </w:p>
    <w:p>
      <w:pPr>
        <w:pStyle w:val="634"/>
        <w:ind w:firstLine="482"/>
        <w:spacing w:beforeAutospacing="0" w:afterAutospacing="0" w:line="360" w:lineRule="auto"/>
        <w:tabs>
          <w:tab w:val="left" w:pos="360" w:leader="none"/>
        </w:tabs>
        <w:rPr>
          <w:rFonts w:ascii="Times New Roman" w:hAnsi="Times New Roman"/>
        </w:rPr>
      </w:pPr>
      <w:r>
        <w:rPr>
          <w:rFonts w:ascii="Times New Roman" w:hAnsi="Times New Roman"/>
        </w:rPr>
      </w:r>
      <w:r/>
    </w:p>
    <w:p>
      <w:pPr>
        <w:pStyle w:val="634"/>
        <w:ind w:firstLine="482"/>
        <w:spacing w:beforeAutospacing="0" w:afterAutospacing="0" w:line="360" w:lineRule="auto"/>
        <w:tabs>
          <w:tab w:val="left" w:pos="360" w:leader="none"/>
        </w:tabs>
      </w:pPr>
      <w:r>
        <w:rPr>
          <w:rFonts w:ascii="Times New Roman" w:hAnsi="Times New Roman"/>
        </w:rPr>
        <w:t xml:space="preserve">本授权书声明：____________（投标人名称）授权________（被授权人的姓名）为我方就JSZC-</w:t>
      </w:r>
      <w:r>
        <w:rPr>
          <w:rFonts w:ascii="Times New Roman" w:hAnsi="Times New Roman"/>
          <w:u w:val="single"/>
        </w:rPr>
        <w:t xml:space="preserve">        </w:t>
      </w:r>
      <w:r>
        <w:rPr>
          <w:rFonts w:hint="eastAsia" w:ascii="Times New Roman" w:hAnsi="Times New Roman"/>
          <w:u w:val="single"/>
        </w:rPr>
        <w:t xml:space="preserve">  </w:t>
      </w:r>
      <w:r>
        <w:rPr>
          <w:rFonts w:ascii="Times New Roman" w:hAnsi="Times New Roman"/>
        </w:rPr>
        <w:t xml:space="preserve">号</w:t>
      </w:r>
      <w:r>
        <w:rPr>
          <w:rFonts w:hint="eastAsia" w:ascii="Times New Roman" w:hAnsi="Times New Roman"/>
          <w:u w:val="single"/>
        </w:rPr>
        <w:t xml:space="preserve">      （</w:t>
      </w:r>
      <w:r>
        <w:rPr>
          <w:rFonts w:ascii="Times New Roman" w:hAnsi="Times New Roman"/>
          <w:u w:val="single"/>
        </w:rPr>
        <w:t xml:space="preserve">项目</w:t>
      </w:r>
      <w:r>
        <w:rPr>
          <w:rFonts w:hint="eastAsia" w:ascii="Times New Roman" w:hAnsi="Times New Roman"/>
          <w:u w:val="single"/>
        </w:rPr>
        <w:t xml:space="preserve">名称）   </w:t>
      </w:r>
      <w:r>
        <w:rPr>
          <w:rFonts w:ascii="Times New Roman" w:hAnsi="Times New Roman"/>
        </w:rPr>
        <w:t xml:space="preserve">采购活动的合法代理人，以本单位名义全权处理一切与该项目采购有关的事务。</w:t>
      </w:r>
      <w:r/>
    </w:p>
    <w:p>
      <w:pPr>
        <w:pStyle w:val="634"/>
        <w:ind w:firstLine="482"/>
        <w:spacing w:beforeAutospacing="0" w:afterAutospacing="0" w:line="360" w:lineRule="auto"/>
        <w:tabs>
          <w:tab w:val="left" w:pos="360" w:leader="none"/>
        </w:tabs>
      </w:pPr>
      <w:r>
        <w:rPr>
          <w:rFonts w:ascii="Times New Roman" w:hAnsi="Times New Roman"/>
        </w:rPr>
        <w:t xml:space="preserve">本授权书于______年____月____日起生效，特此声明。</w:t>
      </w:r>
      <w:r/>
    </w:p>
    <w:p>
      <w:pPr>
        <w:pStyle w:val="634"/>
        <w:ind w:firstLine="482"/>
        <w:spacing w:beforeAutospacing="0" w:afterAutospacing="0" w:line="360" w:lineRule="auto"/>
        <w:tabs>
          <w:tab w:val="left" w:pos="360" w:leader="none"/>
        </w:tabs>
      </w:pPr>
      <w:r>
        <w:rPr>
          <w:rFonts w:ascii="Times New Roman" w:hAnsi="Times New Roman"/>
        </w:rPr>
        <w:t xml:space="preserve">          被授权人身份证号码：</w:t>
      </w:r>
      <w:r>
        <w:rPr>
          <w:rFonts w:ascii="Times New Roman" w:hAnsi="Times New Roman"/>
          <w:u w:val="single"/>
        </w:rPr>
        <w:t xml:space="preserve">                              </w:t>
      </w:r>
      <w:r/>
    </w:p>
    <w:p>
      <w:pPr>
        <w:pStyle w:val="634"/>
        <w:ind w:firstLine="482"/>
        <w:spacing w:beforeAutospacing="0" w:afterAutospacing="0" w:line="360" w:lineRule="auto"/>
        <w:tabs>
          <w:tab w:val="left" w:pos="360" w:leader="none"/>
        </w:tabs>
      </w:pPr>
      <w:r>
        <w:rPr>
          <w:rFonts w:ascii="Times New Roman" w:hAnsi="Times New Roman"/>
        </w:rPr>
        <w:t xml:space="preserve">          被授权人联系电话：（手机）</w:t>
      </w:r>
      <w:r>
        <w:rPr>
          <w:rFonts w:ascii="Times New Roman" w:hAnsi="Times New Roman"/>
          <w:u w:val="single"/>
        </w:rPr>
        <w:t xml:space="preserve">                          </w:t>
      </w:r>
      <w:r/>
    </w:p>
    <w:p>
      <w:pPr>
        <w:pStyle w:val="634"/>
        <w:ind w:firstLine="2249"/>
        <w:spacing w:beforeAutospacing="0" w:afterAutospacing="0" w:line="360" w:lineRule="auto"/>
        <w:tabs>
          <w:tab w:val="left" w:pos="360" w:leader="none"/>
        </w:tabs>
        <w:rPr>
          <w:rFonts w:ascii="Times New Roman" w:hAnsi="Times New Roman"/>
        </w:rPr>
      </w:pPr>
      <w:r>
        <w:rPr>
          <w:rFonts w:ascii="Times New Roman" w:hAnsi="Times New Roman"/>
        </w:rPr>
      </w:r>
      <w:r/>
    </w:p>
    <w:p>
      <w:pPr>
        <w:pStyle w:val="634"/>
        <w:ind w:firstLine="960"/>
        <w:spacing w:beforeAutospacing="0" w:afterAutospacing="0" w:line="360" w:lineRule="auto"/>
        <w:tabs>
          <w:tab w:val="left" w:pos="360" w:leader="none"/>
        </w:tabs>
      </w:pPr>
      <w:r>
        <w:rPr>
          <w:rFonts w:ascii="Times New Roman" w:hAnsi="Times New Roman"/>
        </w:rPr>
        <w:t xml:space="preserve">授权单位名称：</w:t>
      </w:r>
      <w:r>
        <w:rPr>
          <w:rFonts w:ascii="Times New Roman" w:hAnsi="Times New Roman"/>
          <w:u w:val="single"/>
        </w:rPr>
        <w:t xml:space="preserve">（加盖CA电子公章）</w:t>
      </w:r>
      <w:r/>
    </w:p>
    <w:p>
      <w:pPr>
        <w:pStyle w:val="634"/>
        <w:ind w:firstLine="482"/>
        <w:spacing w:beforeAutospacing="0" w:afterAutospacing="0" w:line="360" w:lineRule="auto"/>
        <w:tabs>
          <w:tab w:val="left" w:pos="360" w:leader="none"/>
        </w:tabs>
      </w:pPr>
      <w:r>
        <w:rPr>
          <w:rFonts w:ascii="Times New Roman" w:hAnsi="Times New Roman"/>
        </w:rPr>
        <w:t xml:space="preserve">      单位地址：</w:t>
      </w:r>
      <w:r>
        <w:rPr>
          <w:rFonts w:ascii="Times New Roman" w:hAnsi="Times New Roman"/>
          <w:u w:val="single"/>
        </w:rPr>
        <w:t xml:space="preserve">                                         </w:t>
      </w:r>
      <w:r/>
    </w:p>
    <w:p>
      <w:pPr>
        <w:pStyle w:val="634"/>
        <w:ind w:firstLine="482"/>
        <w:spacing w:beforeAutospacing="0" w:afterAutospacing="0" w:line="360" w:lineRule="auto"/>
        <w:tabs>
          <w:tab w:val="left" w:pos="360" w:leader="none"/>
        </w:tabs>
      </w:pPr>
      <w:r>
        <w:rPr>
          <w:rFonts w:ascii="Times New Roman" w:hAnsi="Times New Roman"/>
        </w:rPr>
        <w:t xml:space="preserve">      日期：</w:t>
      </w:r>
      <w:bookmarkStart w:id="191" w:name="_Hlt26955070"/>
      <w:r/>
      <w:bookmarkStart w:id="192" w:name="_格式3__银行出具的资信证明"/>
      <w:r/>
      <w:bookmarkStart w:id="193" w:name="_Hlt26671380"/>
      <w:r>
        <w:rPr>
          <w:rFonts w:ascii="Times New Roman" w:hAnsi="Times New Roman"/>
          <w:u w:val="single"/>
        </w:rPr>
        <w:t xml:space="preserve">                                         </w:t>
      </w:r>
      <w:r/>
    </w:p>
    <w:p>
      <w:pPr>
        <w:pStyle w:val="634"/>
        <w:ind w:firstLine="482"/>
        <w:spacing w:beforeAutospacing="0" w:afterAutospacing="0" w:line="360" w:lineRule="auto"/>
      </w:pPr>
      <w:r>
        <w:t xml:space="preserve"> </w:t>
      </w:r>
      <w:r/>
    </w:p>
    <w:p>
      <w:pPr>
        <w:pStyle w:val="634"/>
        <w:ind w:firstLine="2249"/>
        <w:spacing w:beforeAutospacing="0" w:afterAutospacing="0"/>
      </w:pPr>
      <w:r>
        <w:t xml:space="preserve"> </w:t>
      </w:r>
      <w:r/>
    </w:p>
    <w:p>
      <w:pPr>
        <w:pStyle w:val="634"/>
        <w:ind w:firstLine="2249"/>
        <w:spacing w:beforeAutospacing="0" w:afterAutospacing="0" w:line="0" w:lineRule="atLeast"/>
      </w:pPr>
      <w:r>
        <w:t xml:space="preserve"> </w:t>
      </w:r>
      <w:r/>
    </w:p>
    <w:p>
      <w:pPr>
        <w:pStyle w:val="634"/>
        <w:ind w:firstLine="2249"/>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634"/>
        <w:ind w:firstLine="2249"/>
        <w:spacing w:beforeAutospacing="0" w:afterAutospacing="0" w:line="0" w:lineRule="atLeast"/>
      </w:pPr>
      <w:r>
        <w:t xml:space="preserve"> </w:t>
      </w:r>
      <w:r/>
    </w:p>
    <w:p>
      <w:pPr>
        <w:pStyle w:val="634"/>
        <w:ind w:firstLine="2891"/>
        <w:keepLines/>
        <w:keepNext/>
        <w:spacing w:before="260" w:beforeAutospacing="0" w:after="260" w:afterAutospacing="0" w:line="415" w:lineRule="auto"/>
        <w:rPr>
          <w:rFonts w:hint="eastAsia" w:ascii="黑体" w:hAnsi="宋体" w:eastAsia="黑体" w:cs="黑体"/>
          <w:b/>
          <w:sz w:val="32"/>
          <w:szCs w:val="32"/>
        </w:rPr>
      </w:pPr>
      <w:r>
        <w:rPr>
          <w:rFonts w:hint="eastAsia" w:ascii="宋体" w:hAnsi="宋体" w:eastAsia="宋体" w:cs="宋体"/>
          <w:b/>
        </w:rPr>
        <w:br w:type="page" w:clear="all"/>
      </w:r>
      <w:r>
        <w:rPr>
          <w:rFonts w:hint="eastAsia" w:ascii="黑体" w:hAnsi="宋体" w:eastAsia="黑体" w:cs="黑体"/>
          <w:b/>
          <w:sz w:val="32"/>
          <w:szCs w:val="32"/>
        </w:rPr>
        <w:t xml:space="preserve">八、投标函（包件号）</w:t>
      </w:r>
      <w:r/>
    </w:p>
    <w:p>
      <w:pPr>
        <w:pStyle w:val="634"/>
        <w:ind w:firstLine="482"/>
        <w:spacing w:beforeAutospacing="0" w:afterAutospacing="0" w:line="360" w:lineRule="auto"/>
      </w:pPr>
      <w:r>
        <w:rPr>
          <w:rFonts w:hint="eastAsia" w:ascii="宋体" w:hAnsi="宋体" w:eastAsia="宋体" w:cs="宋体"/>
        </w:rPr>
        <w:t xml:space="preserve">致：江苏滨海经济开发区沿海工业园管理委员会</w:t>
      </w:r>
      <w:r/>
    </w:p>
    <w:p>
      <w:pPr>
        <w:pStyle w:val="634"/>
        <w:ind w:firstLine="482"/>
        <w:spacing w:beforeAutospacing="0" w:afterAutospacing="0" w:line="360" w:lineRule="auto"/>
      </w:pPr>
      <w:r>
        <w:rPr>
          <w:rFonts w:hint="eastAsia" w:ascii="宋体" w:hAnsi="宋体" w:eastAsia="宋体" w:cs="宋体"/>
        </w:rPr>
        <w:t xml:space="preserve">根据贵方的</w:t>
      </w:r>
      <w:r>
        <w:rPr>
          <w:rFonts w:hint="eastAsia" w:ascii="宋体" w:hAnsi="宋体" w:eastAsia="宋体" w:cs="宋体"/>
          <w:u w:val="single"/>
        </w:rPr>
        <w:t xml:space="preserve">JSZC-*** -***号    （  项目名称）  </w:t>
      </w:r>
      <w:r>
        <w:rPr>
          <w:rFonts w:hint="eastAsia" w:ascii="宋体" w:hAnsi="宋体" w:eastAsia="宋体" w:cs="宋体"/>
        </w:rPr>
        <w:t xml:space="preserve">招标文件，正式授权下述签字人______(姓名)代表我方______________（投标人的名称），全权处理本次项目投标的有关事宜。</w:t>
      </w:r>
      <w:r/>
    </w:p>
    <w:p>
      <w:pPr>
        <w:pStyle w:val="634"/>
        <w:ind w:firstLine="482"/>
        <w:spacing w:beforeAutospacing="0" w:afterAutospacing="0" w:line="360" w:lineRule="auto"/>
      </w:pPr>
      <w:r>
        <w:rPr>
          <w:rFonts w:hint="eastAsia" w:ascii="宋体" w:hAnsi="宋体" w:eastAsia="宋体" w:cs="宋体"/>
        </w:rPr>
        <w:t xml:space="preserve">据此函，__________签字人兹宣布同意如下：</w:t>
      </w:r>
      <w:r/>
    </w:p>
    <w:p>
      <w:pPr>
        <w:pStyle w:val="634"/>
        <w:ind w:firstLine="482"/>
        <w:spacing w:beforeAutospacing="0" w:afterAutospacing="0" w:line="360" w:lineRule="auto"/>
      </w:pPr>
      <w:r>
        <w:rPr>
          <w:rFonts w:hint="eastAsia" w:ascii="宋体" w:hAnsi="宋体" w:eastAsia="宋体" w:cs="宋体"/>
        </w:rPr>
        <w:t xml:space="preserve">1.按招标文件规定的各项要求，向买方提供所需服务（包含与服务相关的货物）。</w:t>
      </w:r>
      <w:r/>
    </w:p>
    <w:p>
      <w:pPr>
        <w:pStyle w:val="634"/>
        <w:ind w:firstLine="482"/>
        <w:spacing w:beforeAutospacing="0" w:afterAutospacing="0" w:line="360" w:lineRule="auto"/>
      </w:pPr>
      <w:r>
        <w:rPr>
          <w:rFonts w:hint="eastAsia" w:ascii="宋体" w:hAnsi="宋体" w:eastAsia="宋体" w:cs="宋体"/>
        </w:rPr>
        <w:t xml:space="preserve">2.我们完全理解贵方不一定将合同授予最低报价的投标人。</w:t>
      </w:r>
      <w:r/>
    </w:p>
    <w:p>
      <w:pPr>
        <w:pStyle w:val="634"/>
        <w:ind w:firstLine="482"/>
        <w:spacing w:beforeAutospacing="0" w:afterAutospacing="0" w:line="360" w:lineRule="auto"/>
      </w:pPr>
      <w:r>
        <w:rPr>
          <w:rFonts w:hint="eastAsia" w:ascii="宋体" w:hAnsi="宋体" w:eastAsia="宋体" w:cs="宋体"/>
        </w:rPr>
        <w:t xml:space="preserve">3.我们已详细审核全部招标文件及其有效补充文件，我们知道必须放弃提出含糊不清或误解问题的权利。</w:t>
      </w:r>
      <w:r/>
    </w:p>
    <w:p>
      <w:pPr>
        <w:pStyle w:val="634"/>
        <w:ind w:firstLine="482"/>
        <w:spacing w:beforeAutospacing="0" w:afterAutospacing="0" w:line="360" w:lineRule="auto"/>
      </w:pPr>
      <w:r>
        <w:rPr>
          <w:rFonts w:hint="eastAsia" w:ascii="宋体" w:hAnsi="宋体" w:eastAsia="宋体" w:cs="宋体"/>
        </w:rPr>
        <w:t xml:space="preserve">4.我们同意从规定的开标日期起遵循本投标文件，并在规定的投标有效期期满之前均具有约束力。</w:t>
      </w:r>
      <w:r/>
    </w:p>
    <w:p>
      <w:pPr>
        <w:pStyle w:val="634"/>
        <w:ind w:firstLine="482"/>
        <w:spacing w:beforeAutospacing="0" w:afterAutospacing="0" w:line="360" w:lineRule="auto"/>
      </w:pPr>
      <w:r>
        <w:rPr>
          <w:rFonts w:hint="eastAsia" w:ascii="宋体" w:hAnsi="宋体" w:eastAsia="宋体" w:cs="宋体"/>
        </w:rPr>
        <w:t xml:space="preserve">5.同意向贵方提供贵方可能另外要求的与投标有关的任何证据或资料，并保证我方已提供和将要提供的文件是真实的、准确的。</w:t>
      </w:r>
      <w:r/>
    </w:p>
    <w:p>
      <w:pPr>
        <w:pStyle w:val="634"/>
        <w:ind w:firstLine="482"/>
        <w:spacing w:beforeAutospacing="0" w:afterAutospacing="0" w:line="360" w:lineRule="auto"/>
      </w:pPr>
      <w:r>
        <w:rPr>
          <w:rFonts w:hint="eastAsia" w:ascii="宋体" w:hAnsi="宋体" w:eastAsia="宋体" w:cs="宋体"/>
        </w:rPr>
        <w:t xml:space="preserve">6.一旦我方中标,我方将根据招标文件的规定，严格履行合同的责任和义务,并保证在招标文件规定的时间完成项目，交付买方验收、使用。</w:t>
      </w:r>
      <w:r/>
    </w:p>
    <w:p>
      <w:pPr>
        <w:pStyle w:val="634"/>
        <w:ind w:firstLine="482"/>
        <w:spacing w:beforeAutospacing="0" w:afterAutospacing="0" w:line="360" w:lineRule="auto"/>
      </w:pPr>
      <w:r>
        <w:rPr>
          <w:rFonts w:hint="eastAsia" w:ascii="宋体" w:hAnsi="宋体" w:eastAsia="宋体" w:cs="宋体"/>
        </w:rPr>
        <w:t xml:space="preserve">7.与本投标有关的正式通讯地址为：</w:t>
      </w:r>
      <w:r/>
    </w:p>
    <w:p>
      <w:pPr>
        <w:pStyle w:val="634"/>
        <w:ind w:left="420" w:firstLine="2249"/>
        <w:spacing w:beforeAutospacing="0" w:afterAutospacing="0" w:line="0" w:lineRule="atLeast"/>
        <w:rPr>
          <w:rFonts w:hint="eastAsia" w:ascii="宋体" w:hAnsi="宋体" w:eastAsia="宋体" w:cs="宋体"/>
        </w:rPr>
      </w:pPr>
      <w:r>
        <w:rPr>
          <w:rFonts w:hint="eastAsia" w:ascii="宋体" w:hAnsi="宋体" w:eastAsia="宋体" w:cs="宋体"/>
        </w:rPr>
      </w:r>
      <w:r/>
    </w:p>
    <w:p>
      <w:pPr>
        <w:pStyle w:val="634"/>
        <w:ind w:left="420" w:firstLine="2249"/>
        <w:spacing w:beforeAutospacing="0" w:afterAutospacing="0" w:line="0" w:lineRule="atLeast"/>
      </w:pPr>
      <w:r>
        <w:rPr>
          <w:rFonts w:hint="eastAsia" w:ascii="宋体" w:hAnsi="宋体" w:eastAsia="宋体" w:cs="宋体"/>
        </w:rPr>
        <w:t xml:space="preserve">地址：</w:t>
      </w:r>
      <w:r/>
    </w:p>
    <w:p>
      <w:pPr>
        <w:pStyle w:val="634"/>
        <w:ind w:left="420" w:firstLine="2249"/>
        <w:spacing w:beforeAutospacing="0" w:afterAutospacing="0" w:line="0" w:lineRule="atLeast"/>
      </w:pPr>
      <w:r>
        <w:rPr>
          <w:rFonts w:hint="eastAsia" w:ascii="宋体" w:hAnsi="宋体" w:eastAsia="宋体" w:cs="宋体"/>
        </w:rPr>
        <w:t xml:space="preserve">邮编：</w:t>
      </w:r>
      <w:r/>
    </w:p>
    <w:p>
      <w:pPr>
        <w:pStyle w:val="634"/>
        <w:ind w:left="420" w:firstLine="2249"/>
        <w:spacing w:beforeAutospacing="0" w:afterAutospacing="0" w:line="0" w:lineRule="atLeast"/>
      </w:pPr>
      <w:r>
        <w:rPr>
          <w:rFonts w:hint="eastAsia" w:ascii="宋体" w:hAnsi="宋体" w:eastAsia="宋体" w:cs="宋体"/>
        </w:rPr>
        <w:t xml:space="preserve">电话：</w:t>
      </w:r>
      <w:r/>
    </w:p>
    <w:p>
      <w:pPr>
        <w:pStyle w:val="634"/>
        <w:ind w:left="420" w:firstLine="2249"/>
        <w:spacing w:beforeAutospacing="0" w:afterAutospacing="0" w:line="0" w:lineRule="atLeast"/>
      </w:pPr>
      <w:r>
        <w:rPr>
          <w:rFonts w:hint="eastAsia" w:ascii="宋体" w:hAnsi="宋体" w:eastAsia="宋体" w:cs="宋体"/>
        </w:rPr>
        <w:t xml:space="preserve">投标人开户行：</w:t>
      </w:r>
      <w:r/>
    </w:p>
    <w:p>
      <w:pPr>
        <w:pStyle w:val="634"/>
        <w:ind w:left="420" w:firstLine="2249"/>
        <w:spacing w:beforeAutospacing="0" w:afterAutospacing="0" w:line="0" w:lineRule="atLeast"/>
      </w:pPr>
      <w:r>
        <w:rPr>
          <w:rFonts w:hint="eastAsia" w:ascii="宋体" w:hAnsi="宋体" w:eastAsia="宋体" w:cs="宋体"/>
        </w:rPr>
        <w:t xml:space="preserve">账 号： </w:t>
      </w:r>
      <w:r/>
    </w:p>
    <w:p>
      <w:pPr>
        <w:pStyle w:val="634"/>
        <w:ind w:left="420" w:firstLine="2249"/>
        <w:spacing w:beforeAutospacing="0" w:afterAutospacing="0" w:line="0" w:lineRule="atLeast"/>
        <w:rPr>
          <w:rFonts w:hint="eastAsia" w:ascii="宋体" w:hAnsi="宋体" w:eastAsia="宋体" w:cs="宋体"/>
        </w:rPr>
      </w:pPr>
      <w:r>
        <w:rPr>
          <w:rFonts w:hint="eastAsia" w:ascii="Times New Roman" w:hAnsi="Times New Roman"/>
        </w:rPr>
        <w:t xml:space="preserve">投标人：</w:t>
      </w:r>
      <w:r>
        <w:rPr>
          <w:rFonts w:ascii="Times New Roman" w:hAnsi="Times New Roman"/>
          <w:u w:val="single"/>
        </w:rPr>
        <w:t xml:space="preserve">（加盖CA电子公章）</w:t>
      </w:r>
      <w:r/>
    </w:p>
    <w:p>
      <w:pPr>
        <w:pStyle w:val="634"/>
        <w:ind w:left="420" w:firstLine="2249"/>
        <w:spacing w:beforeAutospacing="0" w:afterAutospacing="0" w:line="0" w:lineRule="atLeast"/>
      </w:pPr>
      <w:r>
        <w:rPr>
          <w:rFonts w:hint="eastAsia" w:ascii="宋体" w:hAnsi="宋体" w:eastAsia="宋体" w:cs="宋体"/>
        </w:rPr>
        <w:t xml:space="preserve">日 期：________年____月____日</w:t>
      </w:r>
      <w:r/>
    </w:p>
    <w:p>
      <w:pPr>
        <w:pStyle w:val="634"/>
        <w:ind w:firstLine="2249"/>
        <w:spacing w:beforeAutospacing="0" w:afterAutospacing="0" w:line="0" w:lineRule="atLeast"/>
      </w:pPr>
      <w:r>
        <w:t xml:space="preserve"> </w:t>
      </w:r>
      <w:r/>
    </w:p>
    <w:p>
      <w:pPr>
        <w:pStyle w:val="634"/>
        <w:ind w:firstLine="2249"/>
        <w:spacing w:beforeAutospacing="0" w:afterAutospacing="0" w:line="0" w:lineRule="atLeast"/>
      </w:pPr>
      <w:r>
        <w:t xml:space="preserve"> </w:t>
      </w:r>
      <w:r/>
    </w:p>
    <w:p>
      <w:pPr>
        <w:pStyle w:val="634"/>
        <w:ind w:firstLine="2249"/>
        <w:spacing w:beforeAutospacing="0" w:afterAutospacing="0" w:line="0" w:lineRule="atLeast"/>
      </w:pPr>
      <w:r>
        <w:t xml:space="preserve"> </w:t>
      </w:r>
      <w:r/>
    </w:p>
    <w:p>
      <w:pPr>
        <w:pStyle w:val="634"/>
        <w:ind w:firstLine="2249"/>
        <w:spacing w:beforeAutospacing="0" w:afterAutospacing="0" w:line="0" w:lineRule="atLeast"/>
      </w:pPr>
      <w:r>
        <w:t xml:space="preserve"> </w:t>
      </w:r>
      <w:r/>
    </w:p>
    <w:p>
      <w:pPr>
        <w:pStyle w:val="634"/>
        <w:ind w:firstLine="2249"/>
        <w:spacing w:beforeAutospacing="0" w:afterAutospacing="0" w:line="0" w:lineRule="atLeast"/>
      </w:pPr>
      <w:r>
        <w:t xml:space="preserve"> </w:t>
      </w:r>
      <w:r/>
    </w:p>
    <w:p>
      <w:pPr>
        <w:pStyle w:val="634"/>
        <w:ind w:firstLine="2249"/>
        <w:spacing w:beforeAutospacing="0" w:afterAutospacing="0" w:line="0" w:lineRule="atLeast"/>
      </w:pPr>
      <w:r/>
      <w:r/>
    </w:p>
    <w:p>
      <w:pPr>
        <w:pStyle w:val="634"/>
        <w:ind w:firstLine="2249"/>
        <w:spacing w:beforeAutospacing="0" w:afterAutospacing="0" w:line="0" w:lineRule="atLeast"/>
      </w:pPr>
      <w:r/>
      <w:r/>
    </w:p>
    <w:p>
      <w:pPr>
        <w:pStyle w:val="634"/>
        <w:ind w:firstLine="2249"/>
        <w:spacing w:beforeAutospacing="0" w:afterAutospacing="0" w:line="0" w:lineRule="atLeast"/>
      </w:pPr>
      <w:r>
        <w:rPr>
          <w:rFonts w:hint="eastAsia" w:ascii="黑体" w:hAnsi="宋体" w:eastAsia="黑体" w:cs="黑体"/>
          <w:b/>
          <w:sz w:val="32"/>
          <w:szCs w:val="32"/>
        </w:rPr>
        <w:t xml:space="preserve">九、中小企业声明函（服务）</w:t>
      </w:r>
      <w:r/>
    </w:p>
    <w:p>
      <w:pPr>
        <w:ind w:firstLine="720"/>
        <w:jc w:val="left"/>
        <w:spacing w:line="500" w:lineRule="exact"/>
        <w:rPr>
          <w:sz w:val="24"/>
        </w:rPr>
      </w:pPr>
      <w:r>
        <w:rPr>
          <w:rFonts w:hint="eastAsia"/>
          <w:sz w:val="24"/>
        </w:rPr>
        <w:t xml:space="preserve">本公司（联合体）郑重声明，根据《政府采购促进中小企业发展管理办法》（财库﹝2020﹞46 号）的规定，本公司（联合体）参加滨海县政府采购中心组织的</w:t>
      </w:r>
      <w:r>
        <w:rPr>
          <w:rFonts w:hint="eastAsia"/>
          <w:i/>
          <w:iCs/>
          <w:sz w:val="24"/>
          <w:u w:val="single"/>
        </w:rPr>
        <w:t xml:space="preserve">江苏滨海经济开发区沿海工业园管理委员会 </w:t>
      </w:r>
      <w:r>
        <w:rPr>
          <w:rFonts w:hint="eastAsia"/>
          <w:sz w:val="24"/>
          <w:szCs w:val="20"/>
        </w:rPr>
        <w:t xml:space="preserve">，</w:t>
      </w:r>
      <w:r>
        <w:rPr>
          <w:rFonts w:hint="eastAsia"/>
          <w:sz w:val="24"/>
        </w:rPr>
        <w:t xml:space="preserve">采购编号为</w:t>
      </w:r>
      <w:r>
        <w:rPr>
          <w:rFonts w:hint="eastAsia"/>
          <w:sz w:val="24"/>
          <w:u w:val="single"/>
        </w:rPr>
        <w:t xml:space="preserve">      </w:t>
      </w:r>
      <w:r>
        <w:rPr>
          <w:rFonts w:hint="eastAsia"/>
          <w:sz w:val="24"/>
        </w:rPr>
        <w:t xml:space="preserve">的</w:t>
      </w:r>
      <w:r>
        <w:rPr>
          <w:rFonts w:hint="eastAsia"/>
          <w:i/>
          <w:iCs/>
          <w:sz w:val="24"/>
          <w:u w:val="single"/>
        </w:rPr>
        <w:t xml:space="preserve">（项目名称）</w:t>
      </w:r>
      <w:r>
        <w:rPr>
          <w:rFonts w:hint="eastAsia"/>
          <w:sz w:val="24"/>
        </w:rPr>
        <w:t xml:space="preserve">的采购活动，服务全部由符合政策要求的中小企业承接。相关企业（含联合体中的中小企业、签订分包意向协议的中小企业）的具体情况如下：</w:t>
      </w:r>
      <w:r/>
    </w:p>
    <w:p>
      <w:pPr>
        <w:numPr>
          <w:ilvl w:val="0"/>
          <w:numId w:val="1"/>
        </w:numPr>
        <w:ind w:firstLine="720"/>
        <w:jc w:val="left"/>
        <w:spacing w:line="500" w:lineRule="exact"/>
        <w:rPr>
          <w:sz w:val="24"/>
        </w:rPr>
      </w:pPr>
      <w:r>
        <w:rPr>
          <w:rFonts w:hint="eastAsia"/>
          <w:i/>
          <w:iCs/>
          <w:sz w:val="24"/>
          <w:u w:val="single"/>
        </w:rPr>
        <w:t xml:space="preserve">（标的名称）</w:t>
      </w:r>
      <w:r>
        <w:rPr>
          <w:rFonts w:hint="eastAsia"/>
          <w:sz w:val="24"/>
        </w:rPr>
        <w:t xml:space="preserve"> ，属于</w:t>
      </w:r>
      <w:r>
        <w:rPr>
          <w:rFonts w:hint="eastAsia" w:ascii="宋体" w:hAnsi="宋体" w:cs="宋体"/>
          <w:i/>
          <w:iCs/>
          <w:sz w:val="24"/>
          <w:u w:val="single"/>
        </w:rPr>
        <w:t xml:space="preserve">其他未列明行业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p>
    <w:p>
      <w:pPr>
        <w:numPr>
          <w:ilvl w:val="0"/>
          <w:numId w:val="1"/>
        </w:numPr>
        <w:ind w:firstLine="720"/>
        <w:jc w:val="left"/>
        <w:spacing w:line="500" w:lineRule="exact"/>
        <w:rPr>
          <w:sz w:val="24"/>
        </w:rPr>
      </w:pPr>
      <w:r>
        <w:rPr>
          <w:rFonts w:hint="eastAsia"/>
          <w:i/>
          <w:iCs/>
          <w:sz w:val="24"/>
          <w:u w:val="single"/>
        </w:rPr>
        <w:t xml:space="preserve">（标的名称）</w:t>
      </w:r>
      <w:r>
        <w:rPr>
          <w:rFonts w:hint="eastAsia"/>
          <w:sz w:val="24"/>
        </w:rPr>
        <w:t xml:space="preserve"> ，属于</w:t>
      </w:r>
      <w:r>
        <w:rPr>
          <w:rFonts w:hint="eastAsia" w:ascii="宋体" w:hAnsi="宋体" w:cs="宋体"/>
          <w:i/>
          <w:iCs/>
          <w:sz w:val="24"/>
          <w:u w:val="single"/>
        </w:rPr>
        <w:t xml:space="preserve">其他未列明行业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p>
    <w:p>
      <w:pPr>
        <w:ind w:firstLine="480"/>
        <w:jc w:val="left"/>
        <w:spacing w:line="500" w:lineRule="exact"/>
        <w:rPr>
          <w:sz w:val="24"/>
        </w:rPr>
      </w:pPr>
      <w:r>
        <w:rPr>
          <w:rFonts w:hint="eastAsia"/>
          <w:sz w:val="24"/>
        </w:rPr>
        <w:t xml:space="preserve">……</w:t>
      </w:r>
      <w:r/>
    </w:p>
    <w:p>
      <w:pPr>
        <w:ind w:firstLine="480"/>
        <w:jc w:val="left"/>
        <w:spacing w:line="500" w:lineRule="exact"/>
        <w:rPr>
          <w:sz w:val="24"/>
        </w:rPr>
      </w:pPr>
      <w:r>
        <w:rPr>
          <w:rFonts w:hint="eastAsia"/>
          <w:sz w:val="24"/>
        </w:rPr>
        <w:t xml:space="preserve">以上企业，不属于大企业的分支机构，不存在控股股东为大企业的情形，也不存在与大企业的负责人为同一人的情形。</w:t>
      </w:r>
      <w:r/>
    </w:p>
    <w:p>
      <w:pPr>
        <w:ind w:firstLine="480"/>
        <w:jc w:val="left"/>
        <w:spacing w:line="500" w:lineRule="exact"/>
        <w:rPr>
          <w:sz w:val="24"/>
        </w:rPr>
      </w:pPr>
      <w:r>
        <w:rPr>
          <w:rFonts w:hint="eastAsia"/>
          <w:sz w:val="24"/>
        </w:rPr>
        <w:t xml:space="preserve">本企业对上述声明内容的真实性负责。如有虚假，将依法承担相应责任。</w:t>
      </w:r>
      <w:r/>
    </w:p>
    <w:p>
      <w:pPr>
        <w:pStyle w:val="634"/>
        <w:ind w:right="720" w:firstLine="2249"/>
        <w:spacing w:beforeAutospacing="0" w:afterAutospacing="0" w:line="0" w:lineRule="atLeast"/>
      </w:pPr>
      <w:r>
        <w:t xml:space="preserve"> </w:t>
      </w:r>
      <w:r/>
    </w:p>
    <w:p>
      <w:pPr>
        <w:pStyle w:val="634"/>
        <w:ind w:right="180" w:firstLine="2249"/>
        <w:spacing w:beforeAutospacing="0" w:afterAutospacing="0" w:line="0" w:lineRule="atLeast"/>
      </w:pPr>
      <w:r>
        <w:rPr>
          <w:rFonts w:hint="eastAsia" w:ascii="宋体" w:hAnsi="宋体" w:eastAsia="宋体" w:cs="宋体"/>
        </w:rPr>
        <w:t xml:space="preserve">企业名称（加盖CA电子公章）：</w:t>
      </w:r>
      <w:r/>
    </w:p>
    <w:p>
      <w:pPr>
        <w:pStyle w:val="634"/>
        <w:ind w:right="480" w:firstLine="2249"/>
        <w:spacing w:beforeAutospacing="0" w:afterAutospacing="0" w:line="0" w:lineRule="atLeast"/>
      </w:pPr>
      <w:r>
        <w:rPr>
          <w:rFonts w:hint="eastAsia" w:ascii="宋体" w:hAnsi="宋体" w:eastAsia="宋体" w:cs="宋体"/>
        </w:rPr>
        <w:t xml:space="preserve">日  期：</w:t>
      </w:r>
      <w:r/>
    </w:p>
    <w:p>
      <w:pPr>
        <w:pStyle w:val="634"/>
        <w:ind w:firstLine="2249"/>
        <w:spacing w:beforeAutospacing="0" w:afterAutospacing="0" w:line="0" w:lineRule="atLeast"/>
      </w:pPr>
      <w:r>
        <w:t xml:space="preserve"> </w:t>
      </w:r>
      <w:r/>
    </w:p>
    <w:p>
      <w:pPr>
        <w:pStyle w:val="634"/>
        <w:ind w:firstLine="480"/>
        <w:spacing w:beforeAutospacing="0" w:afterAutospacing="0" w:line="0" w:lineRule="atLeast"/>
      </w:pPr>
      <w:r>
        <w:rPr>
          <w:rFonts w:hint="eastAsia" w:ascii="宋体" w:hAnsi="宋体" w:eastAsia="宋体" w:cs="宋体"/>
        </w:rPr>
        <w:t xml:space="preserve">备注1：从业人员、营业收入、资产总额填报上一年度数据，无上一年度数据的新成立企业可不填报。</w:t>
      </w:r>
      <w:r/>
    </w:p>
    <w:p>
      <w:pPr>
        <w:pStyle w:val="634"/>
        <w:ind w:firstLine="480"/>
        <w:spacing w:beforeAutospacing="0" w:afterAutospacing="0" w:line="0" w:lineRule="atLeast"/>
      </w:pPr>
      <w:r>
        <w:rPr>
          <w:rFonts w:hint="eastAsia" w:ascii="宋体" w:hAnsi="宋体" w:eastAsia="宋体" w:cs="宋体"/>
        </w:rPr>
        <w:t xml:space="preserve">备注2：供应商如不提供此声明函，价格将不做相应扣除（如项目全面面向中小企业，则资格审查不通过）。</w:t>
      </w:r>
      <w:r/>
    </w:p>
    <w:p>
      <w:pPr>
        <w:pStyle w:val="634"/>
        <w:ind w:firstLine="2891"/>
        <w:spacing w:beforeAutospacing="0" w:afterAutospacing="0" w:line="0" w:lineRule="atLeast"/>
      </w:pPr>
      <w:r>
        <w:rPr>
          <w:rFonts w:hint="eastAsia" w:ascii="黑体" w:hAnsi="宋体" w:eastAsia="黑体" w:cs="黑体"/>
          <w:b/>
          <w:sz w:val="32"/>
          <w:szCs w:val="32"/>
        </w:rPr>
        <w:br w:type="page" w:clear="all"/>
      </w:r>
      <w:r>
        <w:rPr>
          <w:rFonts w:hint="eastAsia" w:ascii="黑体" w:hAnsi="宋体" w:eastAsia="黑体" w:cs="黑体"/>
          <w:b/>
          <w:sz w:val="32"/>
          <w:szCs w:val="32"/>
        </w:rPr>
        <w:t xml:space="preserve">十、残疾人福利性单位声明函</w:t>
      </w:r>
      <w:r/>
    </w:p>
    <w:p>
      <w:pPr>
        <w:pStyle w:val="634"/>
        <w:ind w:firstLine="2249"/>
        <w:spacing w:beforeAutospacing="0" w:afterAutospacing="0" w:line="0" w:lineRule="atLeast"/>
        <w:rPr>
          <w:rFonts w:hint="eastAsia" w:ascii="宋体" w:hAnsi="宋体" w:eastAsia="宋体" w:cs="宋体"/>
        </w:rPr>
      </w:pPr>
      <w:r>
        <w:rPr>
          <w:rFonts w:hint="eastAsia" w:ascii="宋体" w:hAnsi="宋体" w:eastAsia="宋体" w:cs="宋体"/>
        </w:rPr>
      </w:r>
      <w:r/>
    </w:p>
    <w:p>
      <w:pPr>
        <w:pStyle w:val="634"/>
        <w:ind w:firstLine="480"/>
        <w:spacing w:beforeAutospacing="0" w:afterAutospacing="0" w:line="360" w:lineRule="auto"/>
      </w:pPr>
      <w:r>
        <w:rPr>
          <w:rFonts w:hint="eastAsia" w:ascii="宋体" w:hAnsi="宋体" w:eastAsia="宋体" w:cs="宋体"/>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u w:val="single"/>
        </w:rPr>
        <w:t xml:space="preserve">       </w:t>
      </w:r>
      <w:r>
        <w:rPr>
          <w:rFonts w:hint="eastAsia" w:ascii="宋体" w:hAnsi="宋体" w:eastAsia="宋体" w:cs="宋体"/>
        </w:rPr>
        <w:t xml:space="preserve">项目采购活动由本单位提供服务。</w:t>
      </w:r>
      <w:r/>
    </w:p>
    <w:p>
      <w:pPr>
        <w:pStyle w:val="634"/>
        <w:ind w:firstLine="720"/>
        <w:spacing w:beforeAutospacing="0" w:afterAutospacing="0" w:line="360" w:lineRule="auto"/>
      </w:pPr>
      <w:r>
        <w:rPr>
          <w:rFonts w:hint="eastAsia" w:ascii="宋体" w:hAnsi="宋体" w:eastAsia="宋体" w:cs="宋体"/>
        </w:rPr>
        <w:t xml:space="preserve">本单位对上述声明的真实性负责。如有虚假，将依法承担相应责任。</w:t>
      </w:r>
      <w:r/>
    </w:p>
    <w:p>
      <w:pPr>
        <w:pStyle w:val="634"/>
        <w:ind w:firstLine="2249"/>
        <w:spacing w:beforeAutospacing="0" w:afterAutospacing="0" w:line="360" w:lineRule="auto"/>
      </w:pPr>
      <w:r>
        <w:t xml:space="preserve"> </w:t>
      </w:r>
      <w:r/>
    </w:p>
    <w:p>
      <w:pPr>
        <w:pStyle w:val="634"/>
        <w:ind w:firstLine="480"/>
        <w:spacing w:beforeAutospacing="0" w:afterAutospacing="0" w:line="360" w:lineRule="auto"/>
        <w:rPr>
          <w:rFonts w:eastAsia="宋体"/>
        </w:rPr>
      </w:pPr>
      <w:r>
        <w:rPr>
          <w:rFonts w:hint="eastAsia" w:ascii="宋体" w:hAnsi="宋体" w:eastAsia="宋体" w:cs="宋体"/>
        </w:rPr>
        <w:t xml:space="preserve">备注：1、供应商如不提供此声明函，价格将不做相应扣除（如项目全面面向中小企业，则资格审查不通过）。</w:t>
      </w:r>
      <w:r/>
    </w:p>
    <w:p>
      <w:pPr>
        <w:pStyle w:val="634"/>
        <w:ind w:firstLine="480"/>
        <w:spacing w:beforeAutospacing="0" w:afterAutospacing="0" w:line="360" w:lineRule="auto"/>
      </w:pPr>
      <w:r>
        <w:rPr>
          <w:rFonts w:hint="eastAsia" w:ascii="宋体" w:hAnsi="宋体" w:eastAsia="宋体" w:cs="宋体"/>
        </w:rPr>
        <w:t xml:space="preserve">2、中标人为残疾人福利单位的，此声明函将随中标结果同时公告，接受社会监督</w:t>
      </w:r>
      <w:r/>
    </w:p>
    <w:p>
      <w:pPr>
        <w:pStyle w:val="634"/>
        <w:ind w:firstLine="2249"/>
        <w:spacing w:beforeAutospacing="0" w:afterAutospacing="0" w:line="360" w:lineRule="auto"/>
      </w:pPr>
      <w:r>
        <w:t xml:space="preserve"> </w:t>
      </w:r>
      <w:r/>
    </w:p>
    <w:p>
      <w:pPr>
        <w:pStyle w:val="634"/>
        <w:ind w:right="1560" w:firstLine="2108"/>
        <w:spacing w:beforeAutospacing="0" w:afterAutospacing="0" w:line="360" w:lineRule="auto"/>
        <w:tabs>
          <w:tab w:val="left" w:pos="4864" w:leader="none"/>
        </w:tabs>
      </w:pPr>
      <w:r>
        <w:rPr>
          <w:rFonts w:ascii="仿宋_GB2312" w:eastAsia="仿宋_GB2312" w:cs="仿宋_GB2312"/>
          <w:sz w:val="30"/>
          <w:szCs w:val="30"/>
        </w:rPr>
        <w:t xml:space="preserve">             </w:t>
      </w:r>
      <w:r>
        <w:rPr>
          <w:rFonts w:hint="eastAsia" w:ascii="宋体" w:hAnsi="宋体" w:eastAsia="宋体" w:cs="宋体"/>
        </w:rPr>
        <w:t xml:space="preserve">  供应商全称</w:t>
      </w:r>
      <w:bookmarkStart w:id="194" w:name="_Hlk222904760"/>
      <w:r>
        <w:rPr>
          <w:rFonts w:hint="eastAsia" w:ascii="宋体" w:hAnsi="宋体" w:eastAsia="宋体" w:cs="宋体"/>
        </w:rPr>
        <w:t xml:space="preserve">（加盖CA电子公章）</w:t>
      </w:r>
      <w:bookmarkEnd w:id="194"/>
      <w:r>
        <w:rPr>
          <w:rFonts w:hint="eastAsia" w:ascii="宋体" w:hAnsi="宋体" w:eastAsia="宋体" w:cs="宋体"/>
        </w:rPr>
        <w:t xml:space="preserve">：</w:t>
      </w:r>
      <w:r/>
    </w:p>
    <w:p>
      <w:pPr>
        <w:pStyle w:val="634"/>
        <w:ind w:right="1560" w:firstLine="2249"/>
        <w:spacing w:beforeAutospacing="0" w:afterAutospacing="0" w:line="360" w:lineRule="auto"/>
        <w:tabs>
          <w:tab w:val="left" w:pos="4864" w:leader="none"/>
        </w:tabs>
      </w:pPr>
      <w:r>
        <w:rPr>
          <w:rFonts w:hint="eastAsia" w:ascii="宋体" w:hAnsi="宋体" w:eastAsia="宋体" w:cs="宋体"/>
        </w:rPr>
        <w:t xml:space="preserve">        日  期：</w:t>
      </w:r>
      <w:r/>
    </w:p>
    <w:p>
      <w:pPr>
        <w:pStyle w:val="634"/>
        <w:ind w:firstLine="2249"/>
        <w:spacing w:beforeAutospacing="0" w:afterAutospacing="0" w:line="360" w:lineRule="auto"/>
      </w:pPr>
      <w:r>
        <w:t xml:space="preserve"> </w:t>
      </w:r>
      <w:r/>
    </w:p>
    <w:p>
      <w:pPr>
        <w:pStyle w:val="634"/>
        <w:ind w:firstLine="2249"/>
        <w:spacing w:beforeAutospacing="0" w:afterAutospacing="0" w:line="360" w:lineRule="auto"/>
      </w:pPr>
      <w:r>
        <w:t xml:space="preserve"> </w:t>
      </w:r>
      <w:r/>
    </w:p>
    <w:p>
      <w:pPr>
        <w:pStyle w:val="634"/>
        <w:ind w:firstLine="2249"/>
        <w:spacing w:beforeAutospacing="0" w:afterAutospacing="0" w:line="0" w:lineRule="atLeast"/>
      </w:pPr>
      <w:r>
        <w:t xml:space="preserve"> </w:t>
      </w:r>
      <w:r/>
    </w:p>
    <w:p>
      <w:pPr>
        <w:pStyle w:val="634"/>
        <w:ind w:firstLine="2249"/>
        <w:spacing w:beforeAutospacing="0" w:afterAutospacing="0" w:line="0" w:lineRule="atLeast"/>
      </w:pPr>
      <w:r>
        <w:t xml:space="preserve"> </w:t>
      </w:r>
      <w:r/>
    </w:p>
    <w:p>
      <w:pPr>
        <w:pStyle w:val="634"/>
        <w:ind w:firstLine="2249"/>
        <w:spacing w:beforeAutospacing="0" w:afterAutospacing="0" w:line="0" w:lineRule="atLeast"/>
      </w:pPr>
      <w:r>
        <w:t xml:space="preserve"> </w:t>
      </w:r>
      <w:r/>
    </w:p>
    <w:p>
      <w:pPr>
        <w:pStyle w:val="634"/>
        <w:ind w:firstLine="2249"/>
        <w:spacing w:beforeAutospacing="0" w:afterAutospacing="0" w:line="0" w:lineRule="atLeast"/>
      </w:pPr>
      <w:r>
        <w:t xml:space="preserve"> </w:t>
      </w:r>
      <w:r/>
    </w:p>
    <w:p>
      <w:pPr>
        <w:pStyle w:val="634"/>
        <w:ind w:firstLine="2249"/>
        <w:spacing w:beforeAutospacing="0" w:afterAutospacing="0" w:line="0" w:lineRule="atLeast"/>
      </w:pPr>
      <w:r>
        <w:t xml:space="preserve"> </w:t>
      </w:r>
      <w:r/>
    </w:p>
    <w:p>
      <w:pPr>
        <w:pStyle w:val="634"/>
        <w:ind w:firstLine="2249"/>
        <w:spacing w:beforeAutospacing="0" w:afterAutospacing="0" w:line="0" w:lineRule="atLeast"/>
      </w:pPr>
      <w:r>
        <w:t xml:space="preserve"> </w:t>
      </w:r>
      <w:r/>
    </w:p>
    <w:p>
      <w:pPr>
        <w:pStyle w:val="634"/>
        <w:ind w:firstLine="2249"/>
        <w:spacing w:beforeAutospacing="0" w:afterAutospacing="0" w:line="0" w:lineRule="atLeast"/>
      </w:pPr>
      <w:r/>
      <w:r/>
    </w:p>
    <w:p>
      <w:pPr>
        <w:pStyle w:val="634"/>
        <w:ind w:firstLine="2249"/>
        <w:spacing w:beforeAutospacing="0" w:afterAutospacing="0" w:line="0" w:lineRule="atLeast"/>
      </w:pPr>
      <w:r/>
      <w:r/>
    </w:p>
    <w:p>
      <w:pPr>
        <w:pStyle w:val="634"/>
        <w:ind w:firstLine="2249"/>
        <w:spacing w:beforeAutospacing="0" w:afterAutospacing="0" w:line="0" w:lineRule="atLeast"/>
      </w:pPr>
      <w:r/>
      <w:r/>
    </w:p>
    <w:p>
      <w:pPr>
        <w:pStyle w:val="634"/>
        <w:ind w:firstLine="2249"/>
        <w:spacing w:beforeAutospacing="0" w:afterAutospacing="0" w:line="0" w:lineRule="atLeast"/>
      </w:pPr>
      <w:r/>
      <w:r/>
    </w:p>
    <w:p>
      <w:pPr>
        <w:pStyle w:val="634"/>
        <w:ind w:firstLine="2249"/>
        <w:spacing w:beforeAutospacing="0" w:afterAutospacing="0" w:line="0" w:lineRule="atLeast"/>
      </w:pPr>
      <w:r/>
      <w:r/>
    </w:p>
    <w:p>
      <w:pPr>
        <w:pStyle w:val="634"/>
        <w:ind w:firstLine="2249"/>
        <w:spacing w:beforeAutospacing="0" w:afterAutospacing="0" w:line="0" w:lineRule="atLeast"/>
      </w:pPr>
      <w:r/>
      <w:r/>
    </w:p>
    <w:p>
      <w:pPr>
        <w:pStyle w:val="634"/>
        <w:ind w:firstLine="2249"/>
        <w:spacing w:beforeAutospacing="0" w:afterAutospacing="0" w:line="0" w:lineRule="atLeast"/>
      </w:pPr>
      <w:r/>
      <w:r/>
    </w:p>
    <w:p>
      <w:pPr>
        <w:pStyle w:val="634"/>
        <w:ind w:firstLine="2249"/>
        <w:spacing w:beforeAutospacing="0" w:afterAutospacing="0" w:line="0" w:lineRule="atLeast"/>
      </w:pPr>
      <w:r/>
      <w:r/>
    </w:p>
    <w:p>
      <w:pPr>
        <w:pStyle w:val="634"/>
        <w:ind w:firstLine="2249"/>
        <w:spacing w:beforeAutospacing="0" w:afterAutospacing="0" w:line="0" w:lineRule="atLeast"/>
      </w:pPr>
      <w:r/>
      <w:r/>
    </w:p>
    <w:p>
      <w:pPr>
        <w:pStyle w:val="634"/>
        <w:ind w:firstLine="2249"/>
        <w:spacing w:beforeAutospacing="0" w:afterAutospacing="0" w:line="0" w:lineRule="atLeast"/>
      </w:pPr>
      <w:r/>
      <w:r/>
    </w:p>
    <w:p>
      <w:pPr>
        <w:pStyle w:val="634"/>
        <w:ind w:firstLine="2249"/>
        <w:spacing w:beforeAutospacing="0" w:afterAutospacing="0" w:line="0" w:lineRule="atLeast"/>
      </w:pPr>
      <w:r/>
      <w:r/>
    </w:p>
    <w:p>
      <w:pPr>
        <w:pStyle w:val="634"/>
        <w:ind w:firstLine="2249"/>
        <w:spacing w:beforeAutospacing="0" w:afterAutospacing="0" w:line="0" w:lineRule="atLeast"/>
      </w:pPr>
      <w:r/>
      <w:r/>
    </w:p>
    <w:p>
      <w:pPr>
        <w:pStyle w:val="634"/>
        <w:ind w:firstLine="2249"/>
        <w:spacing w:beforeAutospacing="0" w:afterAutospacing="0" w:line="0" w:lineRule="atLeast"/>
      </w:pPr>
      <w:r/>
      <w:r/>
    </w:p>
    <w:p>
      <w:pPr>
        <w:pStyle w:val="634"/>
        <w:ind w:firstLine="2249"/>
        <w:spacing w:beforeAutospacing="0" w:afterAutospacing="0" w:line="0" w:lineRule="atLeast"/>
      </w:pPr>
      <w:r/>
      <w:r/>
    </w:p>
    <w:p>
      <w:pPr>
        <w:pStyle w:val="634"/>
        <w:ind w:firstLine="2249"/>
        <w:spacing w:beforeAutospacing="0" w:afterAutospacing="0" w:line="0" w:lineRule="atLeast"/>
      </w:pPr>
      <w:r/>
      <w:r/>
    </w:p>
    <w:p>
      <w:pPr>
        <w:pStyle w:val="634"/>
        <w:ind w:firstLine="2249"/>
        <w:spacing w:beforeAutospacing="0" w:afterAutospacing="0"/>
      </w:pPr>
      <w:r>
        <w:rPr>
          <w:rFonts w:hint="eastAsia" w:ascii="黑体" w:hAnsi="宋体" w:eastAsia="黑体" w:cs="黑体"/>
          <w:b/>
          <w:sz w:val="32"/>
          <w:szCs w:val="32"/>
        </w:rPr>
        <w:t xml:space="preserve">十一、投标分项报价表</w:t>
      </w:r>
      <w:r/>
    </w:p>
    <w:p>
      <w:pPr>
        <w:ind w:firstLine="240"/>
        <w:jc w:val="left"/>
        <w:rPr>
          <w:rFonts w:hint="eastAsia" w:ascii="宋体" w:hAnsi="宋体" w:eastAsia="宋体" w:cs="Times New Roman"/>
          <w:sz w:val="24"/>
          <w:u w:val="single"/>
        </w:rPr>
      </w:pPr>
      <w:r>
        <w:rPr>
          <w:rFonts w:hint="eastAsia" w:ascii="宋体" w:hAnsi="宋体" w:eastAsia="宋体" w:cs="Times New Roman"/>
          <w:sz w:val="24"/>
        </w:rPr>
        <w:t xml:space="preserve">项目名称：</w:t>
      </w:r>
      <w:r>
        <w:rPr>
          <w:rFonts w:hint="eastAsia" w:ascii="宋体" w:hAnsi="宋体" w:eastAsia="宋体" w:cs="Times New Roman"/>
          <w:sz w:val="24"/>
          <w:u w:val="single"/>
        </w:rPr>
        <w:t xml:space="preserve">沿海工业园环保管家综合服务项目        </w:t>
      </w:r>
      <w:r/>
    </w:p>
    <w:p>
      <w:pPr>
        <w:ind w:firstLine="240"/>
        <w:jc w:val="left"/>
        <w:rPr>
          <w:rFonts w:hint="eastAsia" w:ascii="宋体" w:hAnsi="宋体" w:eastAsia="宋体" w:cs="Times New Roman"/>
          <w:sz w:val="24"/>
        </w:rPr>
      </w:pPr>
      <w:r>
        <w:rPr>
          <w:rFonts w:hint="eastAsia" w:ascii="宋体" w:hAnsi="宋体" w:eastAsia="宋体" w:cs="Times New Roman"/>
          <w:sz w:val="24"/>
        </w:rPr>
      </w:r>
      <w:r/>
    </w:p>
    <w:tbl>
      <w:tblPr>
        <w:tblStyle w:val="647"/>
        <w:tblW w:w="5000" w:type="pct"/>
        <w:tblInd w:w="5"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0"/>
        <w:gridCol w:w="1298"/>
        <w:gridCol w:w="4934"/>
        <w:gridCol w:w="944"/>
        <w:gridCol w:w="797"/>
        <w:gridCol w:w="873"/>
      </w:tblGrid>
      <w:tr>
        <w:trPr>
          <w:trHeight w:val="20"/>
        </w:trPr>
        <w:tc>
          <w:tcPr>
            <w:tcBorders>
              <w:left w:val="single" w:color="auto" w:sz="4" w:space="0"/>
            </w:tcBorders>
            <w:tcW w:w="429" w:type="dxa"/>
            <w:vAlign w:val="center"/>
            <w:textDirection w:val="lrTb"/>
            <w:noWrap w:val="false"/>
          </w:tcPr>
          <w:p>
            <w:pPr>
              <w:pStyle w:val="648"/>
              <w:rPr>
                <w:b w:val="0"/>
                <w14:ligatures w14:val="standardContextual"/>
              </w:rPr>
            </w:pPr>
            <w:r>
              <w:rPr>
                <w:rFonts w:hint="eastAsia"/>
                <w:b/>
                <w14:ligatures w14:val="standardContextual"/>
              </w:rPr>
              <w:t xml:space="preserve">序号</w:t>
            </w:r>
            <w:r/>
          </w:p>
        </w:tc>
        <w:tc>
          <w:tcPr>
            <w:gridSpan w:val="2"/>
            <w:tcW w:w="6080" w:type="dxa"/>
            <w:vAlign w:val="center"/>
            <w:textDirection w:val="lrTb"/>
            <w:noWrap w:val="false"/>
          </w:tcPr>
          <w:p>
            <w:pPr>
              <w:pStyle w:val="648"/>
              <w:rPr>
                <w:b w:val="0"/>
                <w14:ligatures w14:val="standardContextual"/>
              </w:rPr>
            </w:pPr>
            <w:r>
              <w:rPr>
                <w:rFonts w:hint="eastAsia"/>
                <w:b/>
                <w14:ligatures w14:val="standardContextual"/>
              </w:rPr>
              <w:t xml:space="preserve">产品名称</w:t>
            </w:r>
            <w:r/>
          </w:p>
        </w:tc>
        <w:tc>
          <w:tcPr>
            <w:tcW w:w="921" w:type="dxa"/>
            <w:vAlign w:val="center"/>
            <w:textDirection w:val="lrTb"/>
            <w:noWrap w:val="false"/>
          </w:tcPr>
          <w:p>
            <w:pPr>
              <w:pStyle w:val="648"/>
              <w:rPr>
                <w:b w:val="0"/>
                <w14:ligatures w14:val="standardContextual"/>
              </w:rPr>
            </w:pPr>
            <w:r>
              <w:rPr>
                <w:rFonts w:hint="eastAsia"/>
                <w:b w:val="0"/>
                <w:bCs/>
                <w:sz w:val="20"/>
                <w:szCs w:val="20"/>
                <w14:ligatures w14:val="standardContextual"/>
              </w:rPr>
              <w:t xml:space="preserve">服务年限（年）</w:t>
            </w:r>
            <w:r/>
          </w:p>
        </w:tc>
        <w:tc>
          <w:tcPr>
            <w:tcW w:w="778" w:type="dxa"/>
            <w:vAlign w:val="center"/>
            <w:textDirection w:val="lrTb"/>
            <w:noWrap w:val="false"/>
          </w:tcPr>
          <w:p>
            <w:pPr>
              <w:pStyle w:val="648"/>
              <w:rPr>
                <w:b w:val="0"/>
                <w14:ligatures w14:val="standardContextual"/>
              </w:rPr>
            </w:pPr>
            <w:r>
              <w:rPr>
                <w:rFonts w:hint="eastAsia"/>
                <w:b w:val="0"/>
                <w:bCs/>
                <w:sz w:val="20"/>
                <w:szCs w:val="20"/>
                <w14:ligatures w14:val="standardContextual"/>
              </w:rPr>
              <w:t xml:space="preserve">单价（元）</w:t>
            </w:r>
            <w:r/>
          </w:p>
        </w:tc>
        <w:tc>
          <w:tcPr>
            <w:tcBorders>
              <w:right w:val="single" w:color="auto" w:sz="4" w:space="0"/>
            </w:tcBorders>
            <w:tcW w:w="852" w:type="dxa"/>
            <w:vAlign w:val="center"/>
            <w:textDirection w:val="lrTb"/>
            <w:noWrap w:val="false"/>
          </w:tcPr>
          <w:p>
            <w:pPr>
              <w:pStyle w:val="648"/>
              <w:rPr>
                <w:b w:val="0"/>
                <w14:ligatures w14:val="standardContextual"/>
              </w:rPr>
            </w:pPr>
            <w:r>
              <w:rPr>
                <w:rFonts w:hint="eastAsia"/>
                <w:b w:val="0"/>
                <w:bCs/>
                <w:sz w:val="20"/>
                <w:szCs w:val="20"/>
                <w14:ligatures w14:val="standardContextual"/>
              </w:rPr>
              <w:t xml:space="preserve">合价</w:t>
            </w:r>
            <w:r>
              <w:rPr>
                <w:rFonts w:hint="eastAsia"/>
                <w:b w:val="0"/>
                <w:bCs/>
                <w:sz w:val="20"/>
                <w:szCs w:val="20"/>
                <w14:ligatures w14:val="standardContextual"/>
              </w:rPr>
              <w:br/>
            </w:r>
            <w:r>
              <w:rPr>
                <w:rFonts w:hint="eastAsia"/>
                <w:b w:val="0"/>
                <w:bCs/>
                <w:sz w:val="20"/>
                <w:szCs w:val="20"/>
                <w14:ligatures w14:val="standardContextual"/>
              </w:rPr>
              <w:t xml:space="preserve">（元）</w:t>
            </w:r>
            <w:r/>
          </w:p>
        </w:tc>
      </w:tr>
      <w:tr>
        <w:trPr>
          <w:trHeight w:val="20"/>
        </w:trPr>
        <w:tc>
          <w:tcPr>
            <w:tcBorders>
              <w:left w:val="single" w:color="auto" w:sz="4" w:space="0"/>
            </w:tcBorders>
            <w:tcW w:w="429" w:type="dxa"/>
            <w:vAlign w:val="center"/>
            <w:textDirection w:val="lrTb"/>
            <w:noWrap w:val="false"/>
          </w:tcPr>
          <w:p>
            <w:pPr>
              <w:pStyle w:val="648"/>
              <w:rPr>
                <w14:ligatures w14:val="standardContextual"/>
              </w:rPr>
            </w:pPr>
            <w:r/>
            <w:bookmarkStart w:id="195" w:name="_Hlk221531369"/>
            <w:r>
              <w:rPr>
                <w:rFonts w:hint="eastAsia"/>
                <w14:ligatures w14:val="standardContextual"/>
              </w:rPr>
              <w:t xml:space="preserve">1</w:t>
            </w:r>
            <w:r/>
          </w:p>
        </w:tc>
        <w:tc>
          <w:tcPr>
            <w:tcW w:w="1266" w:type="dxa"/>
            <w:vAlign w:val="center"/>
            <w:textDirection w:val="lrTb"/>
            <w:noWrap w:val="false"/>
          </w:tcPr>
          <w:p>
            <w:pPr>
              <w:pStyle w:val="648"/>
              <w:rPr>
                <w14:ligatures w14:val="standardContextual"/>
              </w:rPr>
            </w:pPr>
            <w:r>
              <w:rPr>
                <w:rFonts w:hint="eastAsia"/>
                <w14:ligatures w14:val="standardContextual"/>
              </w:rPr>
              <w:t xml:space="preserve">园区及在产企业环境隐患排查</w:t>
            </w:r>
            <w:r>
              <w:rPr>
                <w14:ligatures w14:val="standardContextual"/>
              </w:rPr>
              <w:t xml:space="preserve"> </w:t>
            </w:r>
            <w:r/>
          </w:p>
        </w:tc>
        <w:tc>
          <w:tcPr>
            <w:tcW w:w="4814" w:type="dxa"/>
            <w:vAlign w:val="center"/>
            <w:textDirection w:val="lrTb"/>
            <w:noWrap w:val="false"/>
          </w:tcPr>
          <w:p>
            <w:pPr>
              <w:pStyle w:val="648"/>
              <w:jc w:val="left"/>
              <w:rPr>
                <w:szCs w:val="21"/>
                <w14:ligatures w14:val="standardContextual"/>
              </w:rPr>
            </w:pPr>
            <w:r>
              <w:rPr>
                <w:rFonts w:hint="eastAsia"/>
                <w14:ligatures w14:val="standardContextual"/>
              </w:rPr>
              <w:t xml:space="preserve">成立不少于</w:t>
            </w:r>
            <w:r>
              <w:rPr>
                <w:rFonts w:hint="eastAsia"/>
                <w:szCs w:val="21"/>
                <w14:ligatures w14:val="standardContextual"/>
              </w:rPr>
              <w:t xml:space="preserve">10人技术团队，包含废气废水各方向技术专家，其中4人提供长期驻点服务，驻点人员要求环保或化工类专业。服务期间提供1辆驻点车辆。开展园区及在产企业环境隐患排查并提供以下成果：</w:t>
            </w:r>
            <w:r>
              <w:rPr>
                <w:rFonts w:hint="eastAsia"/>
                <w:szCs w:val="21"/>
                <w14:ligatures w14:val="standardContextual"/>
              </w:rPr>
              <w:br/>
            </w:r>
            <w:r>
              <w:rPr>
                <w:rFonts w:hint="eastAsia"/>
                <w:szCs w:val="21"/>
                <w14:ligatures w14:val="standardContextual"/>
              </w:rPr>
              <w:t xml:space="preserve">（1）环境风险隐患排查表（年度）（包括手续、大气、废水、固废、污染防治及风险应急）</w:t>
            </w:r>
            <w:r>
              <w:rPr>
                <w:rFonts w:hint="eastAsia"/>
                <w:szCs w:val="21"/>
                <w14:ligatures w14:val="standardContextual"/>
              </w:rPr>
              <w:br/>
            </w:r>
            <w:r>
              <w:rPr>
                <w:rFonts w:hint="eastAsia"/>
                <w:szCs w:val="21"/>
                <w14:ligatures w14:val="standardContextual"/>
              </w:rPr>
              <w:t xml:space="preserve">（2）滨海沿海工业园环境隐患排查问题清单（年度）</w:t>
            </w:r>
            <w:r>
              <w:rPr>
                <w:rFonts w:hint="eastAsia"/>
                <w:szCs w:val="21"/>
                <w14:ligatures w14:val="standardContextual"/>
              </w:rPr>
              <w:br/>
            </w:r>
            <w:r>
              <w:rPr>
                <w:rFonts w:hint="eastAsia"/>
                <w:szCs w:val="21"/>
                <w14:ligatures w14:val="standardContextual"/>
              </w:rPr>
              <w:t xml:space="preserve">（3）滨海沿海工业园环境隐患整改方案（年度）</w:t>
            </w:r>
            <w:r/>
          </w:p>
          <w:p>
            <w:pPr>
              <w:jc w:val="left"/>
              <w:rPr>
                <w14:ligatures w14:val="standardContextual"/>
              </w:rPr>
            </w:pPr>
            <w:r>
              <w:rPr>
                <w:rFonts w:hint="eastAsia" w:ascii="Times New Roman" w:hAnsi="Times New Roman" w:cs="Times New Roman"/>
                <w14:ligatures w14:val="none"/>
              </w:rPr>
              <w:t xml:space="preserve">（4）做好园区大气环境排查治理工作：对影响厂界外的重点废气企业，开展“无异味”工厂排查治理，每季度安排省内外知名废气专家、建立问题清单，并督促完成整改验收。</w:t>
            </w:r>
            <w:r/>
          </w:p>
        </w:tc>
        <w:tc>
          <w:tcPr>
            <w:tcW w:w="921" w:type="dxa"/>
            <w:vAlign w:val="top"/>
            <w:textDirection w:val="lrTb"/>
            <w:noWrap w:val="false"/>
          </w:tcPr>
          <w:p>
            <w:pPr>
              <w:pStyle w:val="648"/>
              <w:rPr>
                <w14:ligatures w14:val="standardContextual"/>
              </w:rPr>
            </w:pPr>
            <w:r>
              <w:rPr>
                <w:rFonts w:hint="eastAsia"/>
                <w14:ligatures w14:val="standardContextual"/>
              </w:rPr>
              <w:t xml:space="preserve">2</w:t>
            </w:r>
            <w:r/>
          </w:p>
        </w:tc>
        <w:tc>
          <w:tcPr>
            <w:tcW w:w="778" w:type="dxa"/>
            <w:vAlign w:val="top"/>
            <w:textDirection w:val="lrTb"/>
            <w:noWrap w:val="false"/>
          </w:tcPr>
          <w:p>
            <w:pPr>
              <w:pStyle w:val="648"/>
              <w:rPr>
                <w14:ligatures w14:val="standardContextual"/>
              </w:rPr>
            </w:pPr>
            <w:r>
              <w:rPr>
                <w14:ligatures w14:val="standardContextual"/>
              </w:rPr>
            </w:r>
            <w:r/>
          </w:p>
        </w:tc>
        <w:tc>
          <w:tcPr>
            <w:tcBorders>
              <w:right w:val="single" w:color="auto" w:sz="4" w:space="0"/>
            </w:tcBorders>
            <w:tcW w:w="852" w:type="dxa"/>
            <w:vAlign w:val="center"/>
            <w:textDirection w:val="lrTb"/>
            <w:noWrap w:val="false"/>
          </w:tcPr>
          <w:p>
            <w:pPr>
              <w:pStyle w:val="648"/>
              <w:rPr>
                <w14:ligatures w14:val="standardContextual"/>
              </w:rPr>
            </w:pPr>
            <w:r>
              <w:rPr>
                <w14:ligatures w14:val="standardContextual"/>
              </w:rPr>
            </w:r>
            <w:r/>
          </w:p>
        </w:tc>
      </w:tr>
      <w:tr>
        <w:trPr>
          <w:trHeight w:val="20"/>
        </w:trPr>
        <w:tc>
          <w:tcPr>
            <w:tcBorders>
              <w:left w:val="single" w:color="auto" w:sz="4" w:space="0"/>
            </w:tcBorders>
            <w:tcW w:w="429" w:type="dxa"/>
            <w:vAlign w:val="center"/>
            <w:textDirection w:val="lrTb"/>
            <w:noWrap w:val="false"/>
          </w:tcPr>
          <w:p>
            <w:pPr>
              <w:pStyle w:val="648"/>
              <w:rPr>
                <w14:ligatures w14:val="standardContextual"/>
              </w:rPr>
            </w:pPr>
            <w:r>
              <w:rPr>
                <w:rFonts w:hint="eastAsia"/>
                <w14:ligatures w14:val="standardContextual"/>
              </w:rPr>
              <w:t xml:space="preserve">2</w:t>
            </w:r>
            <w:r/>
          </w:p>
        </w:tc>
        <w:tc>
          <w:tcPr>
            <w:tcW w:w="1266" w:type="dxa"/>
            <w:vAlign w:val="center"/>
            <w:textDirection w:val="lrTb"/>
            <w:noWrap w:val="false"/>
          </w:tcPr>
          <w:p>
            <w:pPr>
              <w:pStyle w:val="648"/>
              <w:rPr>
                <w14:ligatures w14:val="standardContextual"/>
              </w:rPr>
            </w:pPr>
            <w:r>
              <w:rPr>
                <w:rFonts w:hint="eastAsia"/>
                <w14:ligatures w14:val="standardContextual"/>
              </w:rPr>
              <w:t xml:space="preserve">协助园区对上级环保部门督查及信访事件问题开展核查整改</w:t>
            </w:r>
            <w:r/>
          </w:p>
        </w:tc>
        <w:tc>
          <w:tcPr>
            <w:tcW w:w="4814" w:type="dxa"/>
            <w:vAlign w:val="center"/>
            <w:textDirection w:val="lrTb"/>
            <w:noWrap w:val="false"/>
          </w:tcPr>
          <w:p>
            <w:pPr>
              <w:pStyle w:val="648"/>
              <w:jc w:val="left"/>
              <w:rPr>
                <w14:ligatures w14:val="standardContextual"/>
              </w:rPr>
            </w:pPr>
            <w:r>
              <w:rPr>
                <w:rFonts w:hint="eastAsia"/>
                <w14:ligatures w14:val="standardContextual"/>
              </w:rPr>
              <w:t xml:space="preserve">1</w:t>
            </w:r>
            <w:r>
              <w:rPr>
                <w:rFonts w:hint="eastAsia"/>
                <w:szCs w:val="21"/>
                <w14:ligatures w14:val="standardContextual"/>
              </w:rPr>
              <w:t xml:space="preserve">、协助完成上级督察及整治验收工作，收集汇总督查问题清单及整改落实情况表，并协助开展跟踪复核形成简报。</w:t>
            </w:r>
            <w:r>
              <w:rPr>
                <w:rFonts w:hint="eastAsia"/>
                <w:szCs w:val="21"/>
                <w14:ligatures w14:val="standardContextual"/>
              </w:rPr>
              <w:br/>
            </w:r>
            <w:r>
              <w:rPr>
                <w:rFonts w:hint="eastAsia"/>
                <w14:ligatures w14:val="standardContextual"/>
              </w:rPr>
              <w:t xml:space="preserve">2、协助园区应对及群众信访案件等，必要时组织专家对相关问题进行现场诊断并提供针对性解决方案。</w:t>
            </w:r>
            <w:r/>
          </w:p>
        </w:tc>
        <w:tc>
          <w:tcPr>
            <w:tcW w:w="921" w:type="dxa"/>
            <w:vAlign w:val="top"/>
            <w:textDirection w:val="lrTb"/>
            <w:noWrap w:val="false"/>
          </w:tcPr>
          <w:p>
            <w:pPr>
              <w:pStyle w:val="648"/>
              <w:rPr>
                <w14:ligatures w14:val="standardContextual"/>
              </w:rPr>
            </w:pPr>
            <w:r>
              <w:rPr>
                <w:rFonts w:hint="eastAsia"/>
                <w14:ligatures w14:val="standardContextual"/>
              </w:rPr>
              <w:t xml:space="preserve">2</w:t>
            </w:r>
            <w:r/>
          </w:p>
        </w:tc>
        <w:tc>
          <w:tcPr>
            <w:tcW w:w="778" w:type="dxa"/>
            <w:vAlign w:val="center"/>
            <w:textDirection w:val="lrTb"/>
            <w:noWrap w:val="false"/>
          </w:tcPr>
          <w:p>
            <w:pPr>
              <w:pStyle w:val="648"/>
              <w:rPr>
                <w14:ligatures w14:val="standardContextual"/>
              </w:rPr>
            </w:pPr>
            <w:r>
              <w:rPr>
                <w14:ligatures w14:val="standardContextual"/>
              </w:rPr>
            </w:r>
            <w:r/>
          </w:p>
        </w:tc>
        <w:tc>
          <w:tcPr>
            <w:tcBorders>
              <w:right w:val="single" w:color="auto" w:sz="4" w:space="0"/>
            </w:tcBorders>
            <w:tcW w:w="852" w:type="dxa"/>
            <w:vAlign w:val="center"/>
            <w:textDirection w:val="lrTb"/>
            <w:noWrap w:val="false"/>
          </w:tcPr>
          <w:p>
            <w:pPr>
              <w:pStyle w:val="648"/>
              <w:rPr>
                <w14:ligatures w14:val="standardContextual"/>
              </w:rPr>
            </w:pPr>
            <w:r>
              <w:rPr>
                <w14:ligatures w14:val="standardContextual"/>
              </w:rPr>
            </w:r>
            <w:r/>
          </w:p>
        </w:tc>
      </w:tr>
      <w:tr>
        <w:trPr>
          <w:trHeight w:val="20"/>
        </w:trPr>
        <w:tc>
          <w:tcPr>
            <w:tcBorders>
              <w:left w:val="single" w:color="auto" w:sz="4" w:space="0"/>
            </w:tcBorders>
            <w:tcW w:w="429" w:type="dxa"/>
            <w:vAlign w:val="center"/>
            <w:textDirection w:val="lrTb"/>
            <w:noWrap w:val="false"/>
          </w:tcPr>
          <w:p>
            <w:pPr>
              <w:pStyle w:val="648"/>
              <w:rPr>
                <w14:ligatures w14:val="standardContextual"/>
              </w:rPr>
            </w:pPr>
            <w:r>
              <w:rPr>
                <w:rFonts w:hint="eastAsia"/>
                <w14:ligatures w14:val="standardContextual"/>
              </w:rPr>
              <w:t xml:space="preserve">3</w:t>
            </w:r>
            <w:r/>
          </w:p>
        </w:tc>
        <w:tc>
          <w:tcPr>
            <w:tcW w:w="1266" w:type="dxa"/>
            <w:vAlign w:val="center"/>
            <w:textDirection w:val="lrTb"/>
            <w:noWrap w:val="false"/>
          </w:tcPr>
          <w:p>
            <w:pPr>
              <w:pStyle w:val="648"/>
              <w:rPr>
                <w14:ligatures w14:val="standardContextual"/>
              </w:rPr>
            </w:pPr>
            <w:r>
              <w:rPr>
                <w:rFonts w:hint="eastAsia"/>
                <w14:ligatures w14:val="standardContextual"/>
              </w:rPr>
              <w:t xml:space="preserve">为招商引资、结构调整、转型升级等提供环保服务提供咨询和建议</w:t>
            </w:r>
            <w:r/>
          </w:p>
        </w:tc>
        <w:tc>
          <w:tcPr>
            <w:tcW w:w="4814" w:type="dxa"/>
            <w:vAlign w:val="center"/>
            <w:textDirection w:val="lrTb"/>
            <w:noWrap w:val="false"/>
          </w:tcPr>
          <w:p>
            <w:pPr>
              <w:pStyle w:val="648"/>
              <w:rPr>
                <w14:ligatures w14:val="standardContextual"/>
              </w:rPr>
            </w:pPr>
            <w:r>
              <w:rPr>
                <w:rFonts w:hint="eastAsia"/>
                <w14:ligatures w14:val="standardContextual"/>
              </w:rPr>
              <w:t xml:space="preserve">根据园区需要，对拟入园企业提供环保咨询建议</w:t>
            </w:r>
            <w:r/>
          </w:p>
        </w:tc>
        <w:tc>
          <w:tcPr>
            <w:tcW w:w="921" w:type="dxa"/>
            <w:vAlign w:val="top"/>
            <w:textDirection w:val="lrTb"/>
            <w:noWrap w:val="false"/>
          </w:tcPr>
          <w:p>
            <w:pPr>
              <w:pStyle w:val="648"/>
              <w:rPr>
                <w14:ligatures w14:val="standardContextual"/>
              </w:rPr>
            </w:pPr>
            <w:r>
              <w:rPr>
                <w:rFonts w:hint="eastAsia"/>
                <w14:ligatures w14:val="standardContextual"/>
              </w:rPr>
              <w:t xml:space="preserve">2</w:t>
            </w:r>
            <w:r/>
          </w:p>
        </w:tc>
        <w:tc>
          <w:tcPr>
            <w:tcW w:w="778" w:type="dxa"/>
            <w:vAlign w:val="center"/>
            <w:textDirection w:val="lrTb"/>
            <w:noWrap w:val="false"/>
          </w:tcPr>
          <w:p>
            <w:pPr>
              <w:pStyle w:val="648"/>
              <w:rPr>
                <w14:ligatures w14:val="standardContextual"/>
              </w:rPr>
            </w:pPr>
            <w:r>
              <w:rPr>
                <w14:ligatures w14:val="standardContextual"/>
              </w:rPr>
            </w:r>
            <w:r/>
          </w:p>
        </w:tc>
        <w:tc>
          <w:tcPr>
            <w:tcBorders>
              <w:right w:val="single" w:color="auto" w:sz="4" w:space="0"/>
            </w:tcBorders>
            <w:tcW w:w="852" w:type="dxa"/>
            <w:vAlign w:val="center"/>
            <w:textDirection w:val="lrTb"/>
            <w:noWrap w:val="false"/>
          </w:tcPr>
          <w:p>
            <w:pPr>
              <w:pStyle w:val="648"/>
              <w:rPr>
                <w14:ligatures w14:val="standardContextual"/>
              </w:rPr>
            </w:pPr>
            <w:r>
              <w:rPr>
                <w14:ligatures w14:val="standardContextual"/>
              </w:rPr>
            </w:r>
            <w:r/>
          </w:p>
        </w:tc>
      </w:tr>
      <w:tr>
        <w:trPr>
          <w:trHeight w:val="20"/>
        </w:trPr>
        <w:tc>
          <w:tcPr>
            <w:tcBorders>
              <w:left w:val="single" w:color="auto" w:sz="4" w:space="0"/>
            </w:tcBorders>
            <w:tcW w:w="429" w:type="dxa"/>
            <w:vAlign w:val="center"/>
            <w:textDirection w:val="lrTb"/>
            <w:noWrap w:val="false"/>
          </w:tcPr>
          <w:p>
            <w:pPr>
              <w:pStyle w:val="648"/>
              <w:rPr>
                <w14:ligatures w14:val="standardContextual"/>
              </w:rPr>
            </w:pPr>
            <w:r>
              <w:rPr>
                <w:rFonts w:hint="eastAsia"/>
                <w14:ligatures w14:val="standardContextual"/>
              </w:rPr>
              <w:t xml:space="preserve">4</w:t>
            </w:r>
            <w:r/>
          </w:p>
        </w:tc>
        <w:tc>
          <w:tcPr>
            <w:tcW w:w="1266" w:type="dxa"/>
            <w:vAlign w:val="center"/>
            <w:textDirection w:val="lrTb"/>
            <w:noWrap w:val="false"/>
          </w:tcPr>
          <w:p>
            <w:pPr>
              <w:pStyle w:val="648"/>
              <w:rPr>
                <w14:ligatures w14:val="standardContextual"/>
              </w:rPr>
            </w:pPr>
            <w:r>
              <w:rPr>
                <w:rFonts w:hint="eastAsia"/>
                <w14:ligatures w14:val="standardContextual"/>
              </w:rPr>
              <w:t xml:space="preserve">为智慧园区运行提升提供技术建议。</w:t>
            </w:r>
            <w:r/>
          </w:p>
        </w:tc>
        <w:tc>
          <w:tcPr>
            <w:tcW w:w="4814" w:type="dxa"/>
            <w:vAlign w:val="center"/>
            <w:textDirection w:val="lrTb"/>
            <w:noWrap w:val="false"/>
          </w:tcPr>
          <w:p>
            <w:pPr>
              <w:pStyle w:val="648"/>
              <w:jc w:val="left"/>
              <w:rPr>
                <w14:ligatures w14:val="standardContextual"/>
              </w:rPr>
            </w:pPr>
            <w:r>
              <w:rPr>
                <w:rFonts w:hint="eastAsia"/>
                <w14:ligatures w14:val="standardContextual"/>
              </w:rPr>
              <w:t xml:space="preserve">根据园区需要，和为智慧园区对接，对园区智慧平台运行提升提供技术建议。</w:t>
            </w:r>
            <w:r/>
          </w:p>
        </w:tc>
        <w:tc>
          <w:tcPr>
            <w:tcW w:w="921" w:type="dxa"/>
            <w:vAlign w:val="top"/>
            <w:textDirection w:val="lrTb"/>
            <w:noWrap w:val="false"/>
          </w:tcPr>
          <w:p>
            <w:pPr>
              <w:pStyle w:val="648"/>
              <w:rPr>
                <w14:ligatures w14:val="standardContextual"/>
              </w:rPr>
            </w:pPr>
            <w:r>
              <w:rPr>
                <w:rFonts w:hint="eastAsia"/>
                <w14:ligatures w14:val="standardContextual"/>
              </w:rPr>
              <w:t xml:space="preserve">2</w:t>
            </w:r>
            <w:r/>
          </w:p>
        </w:tc>
        <w:tc>
          <w:tcPr>
            <w:tcW w:w="778" w:type="dxa"/>
            <w:vAlign w:val="center"/>
            <w:textDirection w:val="lrTb"/>
            <w:noWrap w:val="false"/>
          </w:tcPr>
          <w:p>
            <w:pPr>
              <w:pStyle w:val="648"/>
              <w:rPr>
                <w14:ligatures w14:val="standardContextual"/>
              </w:rPr>
            </w:pPr>
            <w:r>
              <w:rPr>
                <w14:ligatures w14:val="standardContextual"/>
              </w:rPr>
            </w:r>
            <w:r/>
          </w:p>
        </w:tc>
        <w:tc>
          <w:tcPr>
            <w:tcBorders>
              <w:right w:val="single" w:color="auto" w:sz="4" w:space="0"/>
            </w:tcBorders>
            <w:tcW w:w="852" w:type="dxa"/>
            <w:vAlign w:val="center"/>
            <w:textDirection w:val="lrTb"/>
            <w:noWrap w:val="false"/>
          </w:tcPr>
          <w:p>
            <w:pPr>
              <w:pStyle w:val="648"/>
              <w:rPr>
                <w14:ligatures w14:val="standardContextual"/>
              </w:rPr>
            </w:pPr>
            <w:r>
              <w:rPr>
                <w14:ligatures w14:val="standardContextual"/>
              </w:rPr>
            </w:r>
            <w:r/>
          </w:p>
        </w:tc>
      </w:tr>
      <w:tr>
        <w:trPr>
          <w:trHeight w:val="20"/>
        </w:trPr>
        <w:tc>
          <w:tcPr>
            <w:tcBorders>
              <w:left w:val="single" w:color="auto" w:sz="4" w:space="0"/>
            </w:tcBorders>
            <w:tcW w:w="429" w:type="dxa"/>
            <w:vAlign w:val="center"/>
            <w:textDirection w:val="lrTb"/>
            <w:noWrap w:val="false"/>
          </w:tcPr>
          <w:p>
            <w:pPr>
              <w:pStyle w:val="648"/>
              <w:rPr>
                <w14:ligatures w14:val="standardContextual"/>
              </w:rPr>
            </w:pPr>
            <w:r>
              <w:rPr>
                <w:rFonts w:hint="eastAsia"/>
                <w14:ligatures w14:val="standardContextual"/>
              </w:rPr>
              <w:t xml:space="preserve">5</w:t>
            </w:r>
            <w:r/>
          </w:p>
        </w:tc>
        <w:tc>
          <w:tcPr>
            <w:tcW w:w="1266" w:type="dxa"/>
            <w:vAlign w:val="center"/>
            <w:textDirection w:val="lrTb"/>
            <w:noWrap w:val="false"/>
          </w:tcPr>
          <w:p>
            <w:pPr>
              <w:pStyle w:val="648"/>
              <w:rPr>
                <w14:ligatures w14:val="standardContextual"/>
              </w:rPr>
            </w:pPr>
            <w:r>
              <w:rPr>
                <w:rFonts w:hint="eastAsia"/>
                <w14:ligatures w14:val="standardContextual"/>
              </w:rPr>
              <w:t xml:space="preserve">为园区管委会及企业提供环保宣传培训服务</w:t>
            </w:r>
            <w:r/>
          </w:p>
        </w:tc>
        <w:tc>
          <w:tcPr>
            <w:tcW w:w="4814" w:type="dxa"/>
            <w:vAlign w:val="center"/>
            <w:textDirection w:val="lrTb"/>
            <w:noWrap w:val="false"/>
          </w:tcPr>
          <w:p>
            <w:pPr>
              <w:pStyle w:val="648"/>
              <w:jc w:val="left"/>
              <w:rPr>
                <w14:ligatures w14:val="standardContextual"/>
              </w:rPr>
            </w:pPr>
            <w:r>
              <w:rPr>
                <w:rFonts w:hint="eastAsia"/>
                <w14:ligatures w14:val="standardContextual"/>
              </w:rPr>
              <w:t xml:space="preserve">根据园区需要开展环保法律、技术规范等方面的培训（</w:t>
            </w:r>
            <w:r>
              <w:rPr>
                <w:rFonts w:hint="eastAsia"/>
                <w:szCs w:val="21"/>
                <w14:ligatures w14:val="standardContextual"/>
              </w:rPr>
              <w:t xml:space="preserve">2次/年，共4次）对培训优秀学员，适当给予小奖品（定制记录笔、培训本、玻璃口杯等）</w:t>
            </w:r>
            <w:r/>
          </w:p>
        </w:tc>
        <w:tc>
          <w:tcPr>
            <w:tcW w:w="921" w:type="dxa"/>
            <w:vAlign w:val="top"/>
            <w:textDirection w:val="lrTb"/>
            <w:noWrap w:val="false"/>
          </w:tcPr>
          <w:p>
            <w:pPr>
              <w:pStyle w:val="648"/>
              <w:rPr>
                <w14:ligatures w14:val="standardContextual"/>
              </w:rPr>
            </w:pPr>
            <w:r>
              <w:rPr>
                <w:rFonts w:hint="eastAsia"/>
                <w14:ligatures w14:val="standardContextual"/>
              </w:rPr>
              <w:t xml:space="preserve">2</w:t>
            </w:r>
            <w:r/>
          </w:p>
        </w:tc>
        <w:tc>
          <w:tcPr>
            <w:tcW w:w="778" w:type="dxa"/>
            <w:vAlign w:val="center"/>
            <w:textDirection w:val="lrTb"/>
            <w:noWrap w:val="false"/>
          </w:tcPr>
          <w:p>
            <w:pPr>
              <w:pStyle w:val="648"/>
              <w:rPr>
                <w14:ligatures w14:val="standardContextual"/>
              </w:rPr>
            </w:pPr>
            <w:r>
              <w:rPr>
                <w14:ligatures w14:val="standardContextual"/>
              </w:rPr>
            </w:r>
            <w:r/>
          </w:p>
        </w:tc>
        <w:tc>
          <w:tcPr>
            <w:tcBorders>
              <w:right w:val="single" w:color="auto" w:sz="4" w:space="0"/>
            </w:tcBorders>
            <w:tcW w:w="852" w:type="dxa"/>
            <w:vAlign w:val="center"/>
            <w:textDirection w:val="lrTb"/>
            <w:noWrap w:val="false"/>
          </w:tcPr>
          <w:p>
            <w:pPr>
              <w:pStyle w:val="648"/>
              <w:rPr>
                <w14:ligatures w14:val="standardContextual"/>
              </w:rPr>
            </w:pPr>
            <w:r>
              <w:rPr>
                <w14:ligatures w14:val="standardContextual"/>
              </w:rPr>
            </w:r>
            <w:r/>
          </w:p>
        </w:tc>
      </w:tr>
      <w:tr>
        <w:trPr>
          <w:trHeight w:val="20"/>
        </w:trPr>
        <w:tc>
          <w:tcPr>
            <w:tcBorders>
              <w:left w:val="single" w:color="auto" w:sz="4" w:space="0"/>
            </w:tcBorders>
            <w:tcW w:w="429" w:type="dxa"/>
            <w:vAlign w:val="center"/>
            <w:textDirection w:val="lrTb"/>
            <w:noWrap w:val="false"/>
          </w:tcPr>
          <w:p>
            <w:pPr>
              <w:pStyle w:val="648"/>
              <w:rPr>
                <w14:ligatures w14:val="standardContextual"/>
              </w:rPr>
            </w:pPr>
            <w:r>
              <w:rPr>
                <w:rFonts w:hint="eastAsia"/>
                <w14:ligatures w14:val="standardContextual"/>
              </w:rPr>
              <w:t xml:space="preserve">6</w:t>
            </w:r>
            <w:r/>
          </w:p>
        </w:tc>
        <w:tc>
          <w:tcPr>
            <w:tcW w:w="1266" w:type="dxa"/>
            <w:vAlign w:val="center"/>
            <w:textDirection w:val="lrTb"/>
            <w:noWrap w:val="false"/>
          </w:tcPr>
          <w:p>
            <w:pPr>
              <w:pStyle w:val="648"/>
              <w:rPr>
                <w14:ligatures w14:val="standardContextual"/>
              </w:rPr>
            </w:pPr>
            <w:r>
              <w:rPr>
                <w:rFonts w:hint="eastAsia"/>
                <w14:ligatures w14:val="standardContextual"/>
              </w:rPr>
              <w:t xml:space="preserve">协助重大事项协调推进及重大项目攻关</w:t>
            </w:r>
            <w:r/>
          </w:p>
        </w:tc>
        <w:tc>
          <w:tcPr>
            <w:tcW w:w="4814" w:type="dxa"/>
            <w:vAlign w:val="center"/>
            <w:textDirection w:val="lrTb"/>
            <w:noWrap w:val="false"/>
          </w:tcPr>
          <w:p>
            <w:pPr>
              <w:pStyle w:val="648"/>
              <w:jc w:val="left"/>
              <w:rPr>
                <w14:ligatures w14:val="standardContextual"/>
              </w:rPr>
            </w:pPr>
            <w:r>
              <w:rPr>
                <w:rFonts w:hint="eastAsia"/>
                <w14:ligatures w14:val="standardContextual"/>
              </w:rPr>
              <w:t xml:space="preserve">依据园区管理需要，提供技术支撑，帮助园区对接上级环保部门协调相关环保事项</w:t>
            </w:r>
            <w:r/>
          </w:p>
        </w:tc>
        <w:tc>
          <w:tcPr>
            <w:tcW w:w="921" w:type="dxa"/>
            <w:vAlign w:val="top"/>
            <w:textDirection w:val="lrTb"/>
            <w:noWrap w:val="false"/>
          </w:tcPr>
          <w:p>
            <w:pPr>
              <w:pStyle w:val="648"/>
              <w:rPr>
                <w14:ligatures w14:val="standardContextual"/>
              </w:rPr>
            </w:pPr>
            <w:r>
              <w:rPr>
                <w:rFonts w:hint="eastAsia"/>
                <w14:ligatures w14:val="standardContextual"/>
              </w:rPr>
              <w:t xml:space="preserve">2</w:t>
            </w:r>
            <w:r/>
          </w:p>
        </w:tc>
        <w:tc>
          <w:tcPr>
            <w:tcW w:w="778" w:type="dxa"/>
            <w:vAlign w:val="center"/>
            <w:textDirection w:val="lrTb"/>
            <w:noWrap w:val="false"/>
          </w:tcPr>
          <w:p>
            <w:pPr>
              <w:pStyle w:val="648"/>
              <w:rPr>
                <w14:ligatures w14:val="standardContextual"/>
              </w:rPr>
            </w:pPr>
            <w:r>
              <w:rPr>
                <w14:ligatures w14:val="standardContextual"/>
              </w:rPr>
            </w:r>
            <w:r/>
          </w:p>
        </w:tc>
        <w:tc>
          <w:tcPr>
            <w:tcBorders>
              <w:right w:val="single" w:color="auto" w:sz="4" w:space="0"/>
            </w:tcBorders>
            <w:tcW w:w="852" w:type="dxa"/>
            <w:vAlign w:val="center"/>
            <w:textDirection w:val="lrTb"/>
            <w:noWrap w:val="false"/>
          </w:tcPr>
          <w:p>
            <w:pPr>
              <w:pStyle w:val="648"/>
              <w:rPr>
                <w14:ligatures w14:val="standardContextual"/>
              </w:rPr>
            </w:pPr>
            <w:r>
              <w:rPr>
                <w14:ligatures w14:val="standardContextual"/>
              </w:rPr>
            </w:r>
            <w:r/>
          </w:p>
        </w:tc>
      </w:tr>
      <w:tr>
        <w:trPr>
          <w:trHeight w:val="20"/>
        </w:trPr>
        <w:tc>
          <w:tcPr>
            <w:tcBorders>
              <w:left w:val="single" w:color="auto" w:sz="4" w:space="0"/>
            </w:tcBorders>
            <w:tcW w:w="429" w:type="dxa"/>
            <w:vAlign w:val="center"/>
            <w:textDirection w:val="lrTb"/>
            <w:noWrap w:val="false"/>
          </w:tcPr>
          <w:p>
            <w:pPr>
              <w:pStyle w:val="648"/>
              <w:rPr>
                <w14:ligatures w14:val="standardContextual"/>
              </w:rPr>
            </w:pPr>
            <w:r>
              <w:rPr>
                <w:rFonts w:hint="eastAsia"/>
                <w14:ligatures w14:val="standardContextual"/>
              </w:rPr>
              <w:t xml:space="preserve">7</w:t>
            </w:r>
            <w:r/>
          </w:p>
        </w:tc>
        <w:tc>
          <w:tcPr>
            <w:tcW w:w="1266" w:type="dxa"/>
            <w:vAlign w:val="center"/>
            <w:textDirection w:val="lrTb"/>
            <w:noWrap w:val="false"/>
          </w:tcPr>
          <w:p>
            <w:pPr>
              <w:pStyle w:val="648"/>
              <w:rPr>
                <w14:ligatures w14:val="standardContextual"/>
              </w:rPr>
            </w:pPr>
            <w:r>
              <w:rPr>
                <w:rFonts w:hint="eastAsia"/>
                <w14:ligatures w14:val="standardContextual"/>
              </w:rPr>
              <w:t xml:space="preserve">协助突发环境事件处置</w:t>
            </w:r>
            <w:r/>
          </w:p>
        </w:tc>
        <w:tc>
          <w:tcPr>
            <w:tcW w:w="4814" w:type="dxa"/>
            <w:vAlign w:val="center"/>
            <w:textDirection w:val="lrTb"/>
            <w:noWrap w:val="false"/>
          </w:tcPr>
          <w:p>
            <w:pPr>
              <w:pStyle w:val="648"/>
              <w:jc w:val="left"/>
              <w:rPr>
                <w14:ligatures w14:val="standardContextual"/>
              </w:rPr>
            </w:pPr>
            <w:r>
              <w:rPr>
                <w:rFonts w:hint="eastAsia"/>
                <w14:ligatures w14:val="standardContextual"/>
              </w:rPr>
              <w:t xml:space="preserve">一事一议</w:t>
            </w:r>
            <w:r/>
          </w:p>
        </w:tc>
        <w:tc>
          <w:tcPr>
            <w:tcW w:w="921" w:type="dxa"/>
            <w:vAlign w:val="top"/>
            <w:textDirection w:val="lrTb"/>
            <w:noWrap w:val="false"/>
          </w:tcPr>
          <w:p>
            <w:pPr>
              <w:pStyle w:val="648"/>
              <w:rPr>
                <w14:ligatures w14:val="standardContextual"/>
              </w:rPr>
            </w:pPr>
            <w:r>
              <w:rPr>
                <w:rFonts w:hint="eastAsia"/>
                <w14:ligatures w14:val="standardContextual"/>
              </w:rPr>
              <w:t xml:space="preserve">2</w:t>
            </w:r>
            <w:r/>
          </w:p>
        </w:tc>
        <w:tc>
          <w:tcPr>
            <w:tcW w:w="778" w:type="dxa"/>
            <w:vAlign w:val="center"/>
            <w:textDirection w:val="lrTb"/>
            <w:noWrap w:val="false"/>
          </w:tcPr>
          <w:p>
            <w:pPr>
              <w:pStyle w:val="648"/>
              <w:rPr>
                <w14:ligatures w14:val="standardContextual"/>
              </w:rPr>
            </w:pPr>
            <w:r>
              <w:rPr>
                <w14:ligatures w14:val="standardContextual"/>
              </w:rPr>
            </w:r>
            <w:r/>
          </w:p>
        </w:tc>
        <w:tc>
          <w:tcPr>
            <w:tcBorders>
              <w:right w:val="single" w:color="auto" w:sz="4" w:space="0"/>
            </w:tcBorders>
            <w:tcW w:w="852" w:type="dxa"/>
            <w:vAlign w:val="center"/>
            <w:textDirection w:val="lrTb"/>
            <w:noWrap w:val="false"/>
          </w:tcPr>
          <w:p>
            <w:pPr>
              <w:pStyle w:val="648"/>
              <w:rPr>
                <w14:ligatures w14:val="standardContextual"/>
              </w:rPr>
            </w:pPr>
            <w:r>
              <w:rPr>
                <w14:ligatures w14:val="standardContextual"/>
              </w:rPr>
            </w:r>
            <w:r/>
          </w:p>
        </w:tc>
      </w:tr>
      <w:tr>
        <w:trPr>
          <w:trHeight w:val="20"/>
        </w:trPr>
        <w:tc>
          <w:tcPr>
            <w:tcBorders>
              <w:left w:val="single" w:color="auto" w:sz="4" w:space="0"/>
            </w:tcBorders>
            <w:tcW w:w="429" w:type="dxa"/>
            <w:vAlign w:val="center"/>
            <w:textDirection w:val="lrTb"/>
            <w:noWrap/>
          </w:tcPr>
          <w:p>
            <w:pPr>
              <w:pStyle w:val="648"/>
              <w:rPr>
                <w:sz w:val="22"/>
                <w:szCs w:val="22"/>
                <w14:ligatures w14:val="standardContextual"/>
              </w:rPr>
            </w:pPr>
            <w:r>
              <w:rPr>
                <w:rFonts w:hint="eastAsia"/>
                <w:sz w:val="22"/>
                <w:szCs w:val="22"/>
                <w14:ligatures w14:val="standardContextual"/>
              </w:rPr>
              <w:t xml:space="preserve">8</w:t>
            </w:r>
            <w:r/>
          </w:p>
        </w:tc>
        <w:tc>
          <w:tcPr>
            <w:tcW w:w="1266" w:type="dxa"/>
            <w:vAlign w:val="center"/>
            <w:textDirection w:val="lrTb"/>
            <w:noWrap w:val="false"/>
          </w:tcPr>
          <w:p>
            <w:pPr>
              <w:pStyle w:val="648"/>
              <w:rPr>
                <w14:ligatures w14:val="standardContextual"/>
              </w:rPr>
            </w:pPr>
            <w:r>
              <w:rPr>
                <w:rFonts w:hint="eastAsia"/>
                <w14:ligatures w14:val="standardContextual"/>
              </w:rPr>
              <w:t xml:space="preserve">协助园区资金申报项目开展</w:t>
            </w:r>
            <w:r/>
          </w:p>
        </w:tc>
        <w:tc>
          <w:tcPr>
            <w:tcW w:w="4814" w:type="dxa"/>
            <w:vAlign w:val="center"/>
            <w:textDirection w:val="lrTb"/>
            <w:noWrap w:val="false"/>
          </w:tcPr>
          <w:p>
            <w:pPr>
              <w:pStyle w:val="648"/>
              <w:jc w:val="left"/>
              <w:rPr>
                <w14:ligatures w14:val="standardContextual"/>
              </w:rPr>
            </w:pPr>
            <w:r>
              <w:rPr>
                <w:rFonts w:hint="eastAsia"/>
                <w14:ligatures w14:val="standardContextual"/>
              </w:rPr>
              <w:t xml:space="preserve">协助园区资金申报项目开展，材料收集整理与对接</w:t>
            </w:r>
            <w:r/>
          </w:p>
        </w:tc>
        <w:tc>
          <w:tcPr>
            <w:tcW w:w="921" w:type="dxa"/>
            <w:vAlign w:val="top"/>
            <w:textDirection w:val="lrTb"/>
            <w:noWrap w:val="false"/>
          </w:tcPr>
          <w:p>
            <w:pPr>
              <w:pStyle w:val="648"/>
              <w:rPr>
                <w14:ligatures w14:val="standardContextual"/>
              </w:rPr>
            </w:pPr>
            <w:r>
              <w:rPr>
                <w:rFonts w:hint="eastAsia"/>
                <w14:ligatures w14:val="standardContextual"/>
              </w:rPr>
              <w:t xml:space="preserve">2</w:t>
            </w:r>
            <w:r/>
          </w:p>
        </w:tc>
        <w:tc>
          <w:tcPr>
            <w:tcW w:w="778" w:type="dxa"/>
            <w:vAlign w:val="center"/>
            <w:textDirection w:val="lrTb"/>
            <w:noWrap w:val="false"/>
          </w:tcPr>
          <w:p>
            <w:pPr>
              <w:pStyle w:val="648"/>
              <w:rPr>
                <w14:ligatures w14:val="standardContextual"/>
              </w:rPr>
            </w:pPr>
            <w:r>
              <w:rPr>
                <w14:ligatures w14:val="standardContextual"/>
              </w:rPr>
            </w:r>
            <w:r/>
          </w:p>
        </w:tc>
        <w:tc>
          <w:tcPr>
            <w:tcBorders>
              <w:right w:val="single" w:color="auto" w:sz="4" w:space="0"/>
            </w:tcBorders>
            <w:tcW w:w="852" w:type="dxa"/>
            <w:vAlign w:val="center"/>
            <w:textDirection w:val="lrTb"/>
            <w:noWrap w:val="false"/>
          </w:tcPr>
          <w:p>
            <w:pPr>
              <w:pStyle w:val="648"/>
              <w:rPr>
                <w14:ligatures w14:val="standardContextual"/>
              </w:rPr>
            </w:pPr>
            <w:r>
              <w:rPr>
                <w14:ligatures w14:val="standardContextual"/>
              </w:rPr>
            </w:r>
            <w:r/>
          </w:p>
        </w:tc>
      </w:tr>
      <w:tr>
        <w:trPr>
          <w:trHeight w:val="20"/>
        </w:trPr>
        <w:tc>
          <w:tcPr>
            <w:tcBorders>
              <w:left w:val="single" w:color="auto" w:sz="4" w:space="0"/>
            </w:tcBorders>
            <w:tcW w:w="429" w:type="dxa"/>
            <w:vAlign w:val="center"/>
            <w:textDirection w:val="lrTb"/>
            <w:noWrap w:val="false"/>
          </w:tcPr>
          <w:p>
            <w:pPr>
              <w:pStyle w:val="648"/>
              <w:rPr>
                <w14:ligatures w14:val="standardContextual"/>
              </w:rPr>
            </w:pPr>
            <w:r>
              <w:rPr>
                <w:rFonts w:hint="eastAsia"/>
                <w14:ligatures w14:val="standardContextual"/>
              </w:rPr>
              <w:t xml:space="preserve">9</w:t>
            </w:r>
            <w:r/>
          </w:p>
        </w:tc>
        <w:tc>
          <w:tcPr>
            <w:tcW w:w="1266" w:type="dxa"/>
            <w:vAlign w:val="center"/>
            <w:textDirection w:val="lrTb"/>
            <w:noWrap w:val="false"/>
          </w:tcPr>
          <w:p>
            <w:pPr>
              <w:pStyle w:val="648"/>
              <w:rPr>
                <w14:ligatures w14:val="standardContextual"/>
              </w:rPr>
            </w:pPr>
            <w:r>
              <w:rPr>
                <w:rFonts w:hint="eastAsia"/>
                <w14:ligatures w14:val="standardContextual"/>
              </w:rPr>
              <w:t xml:space="preserve">沿海工业园年度污染物实际排放总量核算技术服务</w:t>
            </w:r>
            <w:r/>
          </w:p>
        </w:tc>
        <w:tc>
          <w:tcPr>
            <w:tcW w:w="4814" w:type="dxa"/>
            <w:vAlign w:val="center"/>
            <w:textDirection w:val="lrTb"/>
            <w:noWrap w:val="false"/>
          </w:tcPr>
          <w:p>
            <w:pPr>
              <w:pStyle w:val="648"/>
              <w:jc w:val="left"/>
              <w:rPr>
                <w14:ligatures w14:val="standardContextual"/>
              </w:rPr>
            </w:pPr>
            <w:r>
              <w:rPr>
                <w:rFonts w:hint="eastAsia"/>
                <w14:ligatures w14:val="standardContextual"/>
              </w:rPr>
              <w:t xml:space="preserve">根据《江苏省工业源排放总量统计实施方案(试行)》全面开展江苏滨海经济开发区沿海工业园工业源大气、水污染物排放总量统计工作。收集园区企业每年度半年及全年自动监测、手工监测数据、生产状况、环评及排污许可证等文件，以及园区工业污水厂接管和排放数据，严格按照《实施方案》要求，采用实测法、根据《排放源统计调查产排污核算方法和系数手册》采用产排污系数法等方式核算园区大气、水污染物排放总量。（2次/年，共4次）</w:t>
            </w:r>
            <w:r/>
          </w:p>
        </w:tc>
        <w:tc>
          <w:tcPr>
            <w:tcW w:w="921" w:type="dxa"/>
            <w:vAlign w:val="top"/>
            <w:textDirection w:val="lrTb"/>
            <w:noWrap w:val="false"/>
          </w:tcPr>
          <w:p>
            <w:pPr>
              <w:pStyle w:val="648"/>
              <w:rPr>
                <w14:ligatures w14:val="standardContextual"/>
              </w:rPr>
            </w:pPr>
            <w:r>
              <w:rPr>
                <w:rFonts w:hint="eastAsia"/>
                <w14:ligatures w14:val="standardContextual"/>
              </w:rPr>
              <w:t xml:space="preserve">2</w:t>
            </w:r>
            <w:r/>
          </w:p>
        </w:tc>
        <w:tc>
          <w:tcPr>
            <w:tcW w:w="778" w:type="dxa"/>
            <w:vAlign w:val="center"/>
            <w:textDirection w:val="lrTb"/>
            <w:noWrap w:val="false"/>
          </w:tcPr>
          <w:p>
            <w:pPr>
              <w:pStyle w:val="648"/>
              <w:rPr>
                <w14:ligatures w14:val="standardContextual"/>
              </w:rPr>
            </w:pPr>
            <w:r>
              <w:rPr>
                <w14:ligatures w14:val="standardContextual"/>
              </w:rPr>
            </w:r>
            <w:r/>
          </w:p>
        </w:tc>
        <w:tc>
          <w:tcPr>
            <w:tcBorders>
              <w:right w:val="single" w:color="auto" w:sz="4" w:space="0"/>
            </w:tcBorders>
            <w:tcW w:w="852" w:type="dxa"/>
            <w:vAlign w:val="center"/>
            <w:textDirection w:val="lrTb"/>
            <w:noWrap w:val="false"/>
          </w:tcPr>
          <w:p>
            <w:pPr>
              <w:pStyle w:val="648"/>
              <w:rPr>
                <w14:ligatures w14:val="standardContextual"/>
              </w:rPr>
            </w:pPr>
            <w:r>
              <w:rPr>
                <w14:ligatures w14:val="standardContextual"/>
              </w:rPr>
            </w:r>
            <w:r/>
          </w:p>
        </w:tc>
      </w:tr>
      <w:tr>
        <w:trPr>
          <w:trHeight w:val="20"/>
        </w:trPr>
        <w:tc>
          <w:tcPr>
            <w:tcBorders>
              <w:left w:val="single" w:color="auto" w:sz="4" w:space="0"/>
            </w:tcBorders>
            <w:tcW w:w="429" w:type="dxa"/>
            <w:vAlign w:val="center"/>
            <w:textDirection w:val="lrTb"/>
            <w:noWrap w:val="false"/>
          </w:tcPr>
          <w:p>
            <w:pPr>
              <w:pStyle w:val="648"/>
              <w:rPr>
                <w14:ligatures w14:val="standardContextual"/>
              </w:rPr>
            </w:pPr>
            <w:r>
              <w:rPr>
                <w:rFonts w:hint="eastAsia"/>
                <w14:ligatures w14:val="standardContextual"/>
              </w:rPr>
              <w:t xml:space="preserve">10</w:t>
            </w:r>
            <w:r/>
          </w:p>
        </w:tc>
        <w:tc>
          <w:tcPr>
            <w:tcW w:w="1266" w:type="dxa"/>
            <w:vAlign w:val="center"/>
            <w:textDirection w:val="lrTb"/>
            <w:noWrap w:val="false"/>
          </w:tcPr>
          <w:p>
            <w:pPr>
              <w:pStyle w:val="648"/>
              <w:rPr>
                <w14:ligatures w14:val="standardContextual"/>
              </w:rPr>
            </w:pPr>
            <w:r>
              <w:rPr>
                <w:rFonts w:hint="eastAsia"/>
                <w14:ligatures w14:val="standardContextual"/>
              </w:rPr>
              <w:t xml:space="preserve">沿海工业园第三方园区总量库服务项目</w:t>
            </w:r>
            <w:r/>
          </w:p>
        </w:tc>
        <w:tc>
          <w:tcPr>
            <w:tcW w:w="4814" w:type="dxa"/>
            <w:vAlign w:val="center"/>
            <w:textDirection w:val="lrTb"/>
            <w:noWrap w:val="false"/>
          </w:tcPr>
          <w:p>
            <w:pPr>
              <w:pStyle w:val="648"/>
              <w:jc w:val="left"/>
              <w:rPr>
                <w14:ligatures w14:val="standardContextual"/>
              </w:rPr>
            </w:pPr>
            <w:r>
              <w:rPr>
                <w:rFonts w:hint="eastAsia"/>
                <w14:ligatures w14:val="standardContextual"/>
              </w:rPr>
              <w:t xml:space="preserve">根据江苏省排污总量指标储备库管理办法，核算园区可纳入储备库的关停企、项目以及企业减排工程、园区减排工程等形成的减排量，填报江苏省总量指标储备库系统，并配合完成修改。（服务期2年）</w:t>
            </w:r>
            <w:r/>
          </w:p>
        </w:tc>
        <w:tc>
          <w:tcPr>
            <w:tcW w:w="921" w:type="dxa"/>
            <w:vAlign w:val="top"/>
            <w:textDirection w:val="lrTb"/>
            <w:noWrap w:val="false"/>
          </w:tcPr>
          <w:p>
            <w:pPr>
              <w:pStyle w:val="648"/>
              <w:rPr>
                <w14:ligatures w14:val="standardContextual"/>
              </w:rPr>
            </w:pPr>
            <w:r>
              <w:rPr>
                <w:rFonts w:hint="eastAsia"/>
                <w14:ligatures w14:val="standardContextual"/>
              </w:rPr>
              <w:t xml:space="preserve">2</w:t>
            </w:r>
            <w:r/>
          </w:p>
        </w:tc>
        <w:tc>
          <w:tcPr>
            <w:tcW w:w="778" w:type="dxa"/>
            <w:vAlign w:val="center"/>
            <w:textDirection w:val="lrTb"/>
            <w:noWrap w:val="false"/>
          </w:tcPr>
          <w:p>
            <w:pPr>
              <w:pStyle w:val="648"/>
              <w:rPr>
                <w14:ligatures w14:val="standardContextual"/>
              </w:rPr>
            </w:pPr>
            <w:r>
              <w:rPr>
                <w14:ligatures w14:val="standardContextual"/>
              </w:rPr>
            </w:r>
            <w:r/>
          </w:p>
        </w:tc>
        <w:tc>
          <w:tcPr>
            <w:tcBorders>
              <w:right w:val="single" w:color="auto" w:sz="4" w:space="0"/>
            </w:tcBorders>
            <w:tcW w:w="852" w:type="dxa"/>
            <w:vAlign w:val="center"/>
            <w:textDirection w:val="lrTb"/>
            <w:noWrap w:val="false"/>
          </w:tcPr>
          <w:p>
            <w:pPr>
              <w:pStyle w:val="648"/>
              <w:rPr>
                <w14:ligatures w14:val="standardContextual"/>
              </w:rPr>
            </w:pPr>
            <w:r>
              <w:rPr>
                <w14:ligatures w14:val="standardContextual"/>
              </w:rPr>
            </w:r>
            <w:r/>
          </w:p>
        </w:tc>
      </w:tr>
      <w:tr>
        <w:trPr>
          <w:trHeight w:val="20"/>
        </w:trPr>
        <w:tc>
          <w:tcPr>
            <w:tcBorders>
              <w:left w:val="single" w:color="auto" w:sz="4" w:space="0"/>
            </w:tcBorders>
            <w:tcW w:w="429" w:type="dxa"/>
            <w:vAlign w:val="center"/>
            <w:textDirection w:val="lrTb"/>
            <w:noWrap w:val="false"/>
          </w:tcPr>
          <w:p>
            <w:pPr>
              <w:pStyle w:val="648"/>
              <w:rPr>
                <w14:ligatures w14:val="standardContextual"/>
              </w:rPr>
            </w:pPr>
            <w:r>
              <w:rPr>
                <w:rFonts w:hint="eastAsia"/>
                <w14:ligatures w14:val="standardContextual"/>
              </w:rPr>
              <w:t xml:space="preserve">11</w:t>
            </w:r>
            <w:r/>
          </w:p>
        </w:tc>
        <w:tc>
          <w:tcPr>
            <w:tcW w:w="1266" w:type="dxa"/>
            <w:vAlign w:val="center"/>
            <w:textDirection w:val="lrTb"/>
            <w:noWrap w:val="false"/>
          </w:tcPr>
          <w:p>
            <w:pPr>
              <w:pStyle w:val="648"/>
              <w:rPr>
                <w14:ligatures w14:val="standardContextual"/>
              </w:rPr>
            </w:pPr>
            <w:r>
              <w:rPr>
                <w:rFonts w:hint="eastAsia"/>
                <w14:ligatures w14:val="standardContextual"/>
              </w:rPr>
              <w:t xml:space="preserve">土壤隐患排查审核</w:t>
            </w:r>
            <w:r/>
          </w:p>
        </w:tc>
        <w:tc>
          <w:tcPr>
            <w:tcW w:w="4814" w:type="dxa"/>
            <w:vAlign w:val="center"/>
            <w:textDirection w:val="lrTb"/>
            <w:noWrap w:val="false"/>
          </w:tcPr>
          <w:p>
            <w:pPr>
              <w:pStyle w:val="648"/>
              <w:jc w:val="left"/>
              <w:rPr>
                <w14:ligatures w14:val="standardContextual"/>
              </w:rPr>
            </w:pPr>
            <w:r>
              <w:rPr>
                <w:rFonts w:hint="eastAsia"/>
                <w14:ligatures w14:val="standardContextual"/>
              </w:rPr>
              <w:t xml:space="preserve">为进一步规范重点监管单位土壤污染隐患排查工作，协助对接上级主管部门开展隐患排查“回头看”工作，开展园区重点监管单位土壤污染隐患排查报告审核工作（服务期2年）</w:t>
            </w:r>
            <w:r/>
          </w:p>
        </w:tc>
        <w:tc>
          <w:tcPr>
            <w:tcW w:w="921" w:type="dxa"/>
            <w:vAlign w:val="top"/>
            <w:textDirection w:val="lrTb"/>
            <w:noWrap w:val="false"/>
          </w:tcPr>
          <w:p>
            <w:pPr>
              <w:pStyle w:val="648"/>
              <w:rPr>
                <w14:ligatures w14:val="standardContextual"/>
              </w:rPr>
            </w:pPr>
            <w:r>
              <w:rPr>
                <w:rFonts w:hint="eastAsia"/>
                <w14:ligatures w14:val="standardContextual"/>
              </w:rPr>
              <w:t xml:space="preserve">2</w:t>
            </w:r>
            <w:r/>
          </w:p>
        </w:tc>
        <w:tc>
          <w:tcPr>
            <w:tcW w:w="778" w:type="dxa"/>
            <w:vAlign w:val="center"/>
            <w:textDirection w:val="lrTb"/>
            <w:noWrap w:val="false"/>
          </w:tcPr>
          <w:p>
            <w:pPr>
              <w:pStyle w:val="648"/>
              <w:rPr>
                <w14:ligatures w14:val="standardContextual"/>
              </w:rPr>
            </w:pPr>
            <w:r>
              <w:rPr>
                <w14:ligatures w14:val="standardContextual"/>
              </w:rPr>
            </w:r>
            <w:r/>
          </w:p>
        </w:tc>
        <w:tc>
          <w:tcPr>
            <w:tcBorders>
              <w:right w:val="single" w:color="auto" w:sz="4" w:space="0"/>
            </w:tcBorders>
            <w:tcW w:w="852" w:type="dxa"/>
            <w:vAlign w:val="center"/>
            <w:textDirection w:val="lrTb"/>
            <w:noWrap w:val="false"/>
          </w:tcPr>
          <w:p>
            <w:pPr>
              <w:pStyle w:val="648"/>
              <w:rPr>
                <w14:ligatures w14:val="standardContextual"/>
              </w:rPr>
            </w:pPr>
            <w:r>
              <w:rPr>
                <w14:ligatures w14:val="standardContextual"/>
              </w:rPr>
            </w:r>
            <w:r/>
          </w:p>
        </w:tc>
      </w:tr>
      <w:tr>
        <w:trPr>
          <w:trHeight w:val="20"/>
        </w:trPr>
        <w:tc>
          <w:tcPr>
            <w:tcBorders>
              <w:left w:val="single" w:color="auto" w:sz="4" w:space="0"/>
            </w:tcBorders>
            <w:tcW w:w="429" w:type="dxa"/>
            <w:vAlign w:val="center"/>
            <w:textDirection w:val="lrTb"/>
            <w:noWrap w:val="false"/>
          </w:tcPr>
          <w:p>
            <w:pPr>
              <w:pStyle w:val="648"/>
              <w:rPr>
                <w14:ligatures w14:val="standardContextual"/>
              </w:rPr>
            </w:pPr>
            <w:r>
              <w:rPr>
                <w:rFonts w:hint="eastAsia"/>
                <w14:ligatures w14:val="standardContextual"/>
              </w:rPr>
              <w:t xml:space="preserve">12</w:t>
            </w:r>
            <w:r/>
          </w:p>
        </w:tc>
        <w:tc>
          <w:tcPr>
            <w:tcW w:w="1266" w:type="dxa"/>
            <w:vAlign w:val="center"/>
            <w:textDirection w:val="lrTb"/>
            <w:noWrap w:val="false"/>
          </w:tcPr>
          <w:p>
            <w:pPr>
              <w:pStyle w:val="648"/>
              <w:rPr>
                <w14:ligatures w14:val="standardContextual"/>
              </w:rPr>
            </w:pPr>
            <w:r>
              <w:rPr>
                <w:rFonts w:hint="eastAsia"/>
                <w14:ligatures w14:val="standardContextual"/>
              </w:rPr>
              <w:t xml:space="preserve">园区碳排放核算</w:t>
            </w:r>
            <w:r/>
          </w:p>
        </w:tc>
        <w:tc>
          <w:tcPr>
            <w:tcW w:w="4814" w:type="dxa"/>
            <w:vAlign w:val="center"/>
            <w:textDirection w:val="lrTb"/>
            <w:noWrap w:val="false"/>
          </w:tcPr>
          <w:p>
            <w:pPr>
              <w:pStyle w:val="648"/>
              <w:jc w:val="left"/>
              <w:rPr>
                <w14:ligatures w14:val="standardContextual"/>
              </w:rPr>
            </w:pPr>
            <w:r>
              <w:rPr>
                <w:rFonts w:hint="eastAsia"/>
                <w14:ligatures w14:val="standardContextual"/>
              </w:rPr>
              <w:t xml:space="preserve">参照《工业园区碳排放核算指南（征求意见稿）》、《企业温室气体排放报告核查指南（试行）》要求，核算年度园区碳排放数据。（服务期2年）</w:t>
            </w:r>
            <w:r/>
          </w:p>
        </w:tc>
        <w:tc>
          <w:tcPr>
            <w:tcW w:w="921" w:type="dxa"/>
            <w:vAlign w:val="top"/>
            <w:textDirection w:val="lrTb"/>
            <w:noWrap w:val="false"/>
          </w:tcPr>
          <w:p>
            <w:pPr>
              <w:pStyle w:val="648"/>
              <w:rPr>
                <w14:ligatures w14:val="standardContextual"/>
              </w:rPr>
            </w:pPr>
            <w:r>
              <w:rPr>
                <w:rFonts w:hint="eastAsia"/>
                <w14:ligatures w14:val="standardContextual"/>
              </w:rPr>
              <w:t xml:space="preserve">2</w:t>
            </w:r>
            <w:r/>
          </w:p>
        </w:tc>
        <w:tc>
          <w:tcPr>
            <w:tcW w:w="778" w:type="dxa"/>
            <w:vAlign w:val="center"/>
            <w:textDirection w:val="lrTb"/>
            <w:noWrap w:val="false"/>
          </w:tcPr>
          <w:p>
            <w:pPr>
              <w:pStyle w:val="648"/>
              <w:rPr>
                <w14:ligatures w14:val="standardContextual"/>
              </w:rPr>
            </w:pPr>
            <w:r>
              <w:rPr>
                <w14:ligatures w14:val="standardContextual"/>
              </w:rPr>
            </w:r>
            <w:r/>
          </w:p>
        </w:tc>
        <w:tc>
          <w:tcPr>
            <w:tcBorders>
              <w:right w:val="single" w:color="auto" w:sz="4" w:space="0"/>
            </w:tcBorders>
            <w:tcW w:w="852" w:type="dxa"/>
            <w:vAlign w:val="center"/>
            <w:textDirection w:val="lrTb"/>
            <w:noWrap w:val="false"/>
          </w:tcPr>
          <w:p>
            <w:pPr>
              <w:pStyle w:val="648"/>
              <w:rPr>
                <w14:ligatures w14:val="standardContextual"/>
              </w:rPr>
            </w:pPr>
            <w:r>
              <w:rPr>
                <w14:ligatures w14:val="standardContextual"/>
              </w:rPr>
            </w:r>
            <w:r/>
          </w:p>
        </w:tc>
      </w:tr>
      <w:tr>
        <w:trPr>
          <w:trHeight w:val="20"/>
        </w:trPr>
        <w:tc>
          <w:tcPr>
            <w:tcBorders>
              <w:left w:val="single" w:color="auto" w:sz="4" w:space="0"/>
            </w:tcBorders>
            <w:tcW w:w="429" w:type="dxa"/>
            <w:vAlign w:val="center"/>
            <w:textDirection w:val="lrTb"/>
            <w:noWrap w:val="false"/>
          </w:tcPr>
          <w:p>
            <w:pPr>
              <w:pStyle w:val="648"/>
              <w:rPr>
                <w14:ligatures w14:val="standardContextual"/>
              </w:rPr>
            </w:pPr>
            <w:r>
              <w:rPr>
                <w:rFonts w:hint="eastAsia"/>
                <w14:ligatures w14:val="standardContextual"/>
              </w:rPr>
              <w:t xml:space="preserve">13</w:t>
            </w:r>
            <w:r/>
          </w:p>
        </w:tc>
        <w:tc>
          <w:tcPr>
            <w:tcW w:w="1266" w:type="dxa"/>
            <w:vAlign w:val="center"/>
            <w:textDirection w:val="lrTb"/>
            <w:noWrap w:val="false"/>
          </w:tcPr>
          <w:p>
            <w:pPr>
              <w:pStyle w:val="648"/>
              <w:rPr>
                <w14:ligatures w14:val="standardContextual"/>
              </w:rPr>
            </w:pPr>
            <w:r>
              <w:rPr>
                <w:rFonts w:hint="eastAsia"/>
                <w14:ligatures w14:val="standardContextual"/>
              </w:rPr>
              <w:t xml:space="preserve">危废核查</w:t>
            </w:r>
            <w:r/>
          </w:p>
        </w:tc>
        <w:tc>
          <w:tcPr>
            <w:tcW w:w="4814" w:type="dxa"/>
            <w:vAlign w:val="center"/>
            <w:textDirection w:val="lrTb"/>
            <w:noWrap w:val="false"/>
          </w:tcPr>
          <w:p>
            <w:pPr>
              <w:pStyle w:val="648"/>
              <w:jc w:val="left"/>
              <w:rPr>
                <w14:ligatures w14:val="standardContextual"/>
              </w:rPr>
            </w:pPr>
            <w:r/>
            <w:bookmarkStart w:id="196" w:name="OLE_LINK1"/>
            <w:r>
              <w:rPr>
                <w:rFonts w:hint="eastAsia"/>
                <w14:ligatures w14:val="standardContextual"/>
              </w:rPr>
              <w:t xml:space="preserve">根据《关于印发“十四五”江苏省危险废物规范化环境管理评估工作方案的通知》要求，按照《“十四五"全国危险废物规范化环境管理评估工作方案（环办固体[2021]20号）》工作方案开展危废核查评估工作。</w:t>
            </w:r>
            <w:bookmarkEnd w:id="196"/>
            <w:r/>
            <w:r/>
          </w:p>
        </w:tc>
        <w:tc>
          <w:tcPr>
            <w:tcW w:w="921" w:type="dxa"/>
            <w:vAlign w:val="top"/>
            <w:textDirection w:val="lrTb"/>
            <w:noWrap w:val="false"/>
          </w:tcPr>
          <w:p>
            <w:pPr>
              <w:pStyle w:val="648"/>
              <w:rPr>
                <w14:ligatures w14:val="standardContextual"/>
              </w:rPr>
            </w:pPr>
            <w:r>
              <w:rPr>
                <w:rFonts w:hint="eastAsia"/>
                <w14:ligatures w14:val="standardContextual"/>
              </w:rPr>
              <w:t xml:space="preserve">2</w:t>
            </w:r>
            <w:r/>
          </w:p>
        </w:tc>
        <w:tc>
          <w:tcPr>
            <w:tcW w:w="778" w:type="dxa"/>
            <w:vAlign w:val="center"/>
            <w:textDirection w:val="lrTb"/>
            <w:noWrap w:val="false"/>
          </w:tcPr>
          <w:p>
            <w:pPr>
              <w:pStyle w:val="648"/>
              <w:rPr>
                <w14:ligatures w14:val="standardContextual"/>
              </w:rPr>
            </w:pPr>
            <w:r>
              <w:rPr>
                <w14:ligatures w14:val="standardContextual"/>
              </w:rPr>
            </w:r>
            <w:r/>
          </w:p>
        </w:tc>
        <w:tc>
          <w:tcPr>
            <w:tcBorders>
              <w:right w:val="single" w:color="auto" w:sz="4" w:space="0"/>
            </w:tcBorders>
            <w:tcW w:w="852" w:type="dxa"/>
            <w:vAlign w:val="center"/>
            <w:textDirection w:val="lrTb"/>
            <w:noWrap w:val="false"/>
          </w:tcPr>
          <w:p>
            <w:pPr>
              <w:pStyle w:val="648"/>
              <w:rPr>
                <w14:ligatures w14:val="standardContextual"/>
              </w:rPr>
            </w:pPr>
            <w:r>
              <w:rPr>
                <w14:ligatures w14:val="standardContextual"/>
              </w:rPr>
            </w:r>
            <w:r/>
          </w:p>
        </w:tc>
      </w:tr>
      <w:tr>
        <w:trPr>
          <w:trHeight w:val="1044"/>
        </w:trPr>
        <w:tc>
          <w:tcPr>
            <w:gridSpan w:val="2"/>
            <w:tcBorders>
              <w:left w:val="single" w:color="auto" w:sz="4" w:space="0"/>
            </w:tcBorders>
            <w:tcW w:w="1695" w:type="dxa"/>
            <w:vAlign w:val="center"/>
            <w:textDirection w:val="lrTb"/>
            <w:noWrap w:val="false"/>
          </w:tcPr>
          <w:p>
            <w:pPr>
              <w:pStyle w:val="648"/>
              <w:rPr>
                <w14:ligatures w14:val="standardContextual"/>
              </w:rPr>
            </w:pPr>
            <w:r>
              <w:rPr>
                <w:rFonts w:hint="eastAsia"/>
                <w14:ligatures w14:val="standardContextual"/>
              </w:rPr>
              <w:t xml:space="preserve">总价</w:t>
            </w:r>
            <w:r/>
          </w:p>
        </w:tc>
        <w:tc>
          <w:tcPr>
            <w:gridSpan w:val="4"/>
            <w:tcBorders>
              <w:right w:val="single" w:color="auto" w:sz="4" w:space="0"/>
            </w:tcBorders>
            <w:tcW w:w="7365" w:type="dxa"/>
            <w:vAlign w:val="center"/>
            <w:textDirection w:val="lrTb"/>
            <w:noWrap w:val="false"/>
          </w:tcPr>
          <w:p>
            <w:pPr>
              <w:pStyle w:val="648"/>
              <w:jc w:val="left"/>
              <w:rPr>
                <w14:ligatures w14:val="standardContextual"/>
              </w:rPr>
            </w:pPr>
            <w:r>
              <w:rPr>
                <w:rFonts w:hint="eastAsia"/>
                <w14:ligatures w14:val="standardContextual"/>
              </w:rPr>
              <w:t xml:space="preserve">大写：                 小写：</w:t>
            </w:r>
            <w:bookmarkEnd w:id="195"/>
            <w:r/>
          </w:p>
        </w:tc>
      </w:tr>
    </w:tbl>
    <w:p>
      <w:pPr>
        <w:ind w:firstLine="480"/>
        <w:spacing w:line="0" w:lineRule="atLeast"/>
        <w:rPr>
          <w:rFonts w:hint="eastAsia" w:ascii="宋体" w:hAnsi="宋体" w:eastAsia="宋体" w:cs="宋体"/>
          <w:sz w:val="24"/>
        </w:rPr>
      </w:pPr>
      <w:r>
        <w:rPr>
          <w:rFonts w:hint="eastAsia" w:ascii="仿宋" w:hAnsi="仿宋" w:eastAsia="仿宋" w:cs="宋体"/>
          <w:sz w:val="24"/>
        </w:rPr>
        <w:t xml:space="preserve">备注：</w:t>
      </w:r>
      <w:r/>
    </w:p>
    <w:p>
      <w:pPr>
        <w:ind w:firstLine="480"/>
        <w:spacing w:line="0" w:lineRule="atLeast"/>
        <w:rPr>
          <w:rFonts w:hint="eastAsia" w:ascii="宋体" w:hAnsi="宋体" w:eastAsia="宋体" w:cs="宋体"/>
          <w:sz w:val="24"/>
        </w:rPr>
      </w:pPr>
      <w:r>
        <w:rPr>
          <w:rFonts w:hint="eastAsia" w:ascii="仿宋" w:hAnsi="仿宋" w:eastAsia="仿宋" w:cs="宋体"/>
          <w:sz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ind w:firstLine="480"/>
        <w:spacing w:line="0" w:lineRule="atLeast"/>
        <w:rPr>
          <w:rFonts w:hint="eastAsia" w:ascii="宋体" w:hAnsi="宋体" w:eastAsia="宋体" w:cs="宋体"/>
          <w:sz w:val="24"/>
        </w:rPr>
      </w:pPr>
      <w:r>
        <w:rPr>
          <w:rFonts w:hint="eastAsia" w:ascii="仿宋" w:hAnsi="仿宋" w:eastAsia="仿宋" w:cs="宋体"/>
          <w:sz w:val="24"/>
        </w:rPr>
        <w:t xml:space="preserve">2.“投标分项报价表”中“投标总报价”数额应当与“开标一览表”中“投标总报价”数额一致。</w:t>
      </w:r>
      <w:r/>
    </w:p>
    <w:p>
      <w:pPr>
        <w:ind w:firstLine="480"/>
        <w:spacing w:line="0" w:lineRule="atLeast"/>
        <w:rPr>
          <w:rFonts w:hint="eastAsia" w:ascii="宋体" w:hAnsi="宋体" w:eastAsia="宋体" w:cs="宋体"/>
          <w:sz w:val="24"/>
        </w:rPr>
      </w:pPr>
      <w:r>
        <w:rPr>
          <w:rFonts w:hint="eastAsia" w:ascii="仿宋" w:hAnsi="仿宋" w:eastAsia="仿宋" w:cs="宋体"/>
          <w:sz w:val="24"/>
        </w:rPr>
        <w:t xml:space="preserve">3.行数不够，投标人自行增加。</w:t>
      </w:r>
      <w:r/>
    </w:p>
    <w:p>
      <w:pPr>
        <w:ind w:firstLine="480"/>
        <w:spacing w:line="0" w:lineRule="atLeast"/>
        <w:rPr>
          <w:rFonts w:hint="eastAsia" w:ascii="宋体" w:hAnsi="宋体" w:eastAsia="宋体" w:cs="宋体"/>
          <w:sz w:val="24"/>
        </w:rPr>
      </w:pPr>
      <w:r>
        <w:rPr>
          <w:rFonts w:ascii="Calibri" w:hAnsi="Calibri" w:eastAsia="宋体" w:cs="Calibri"/>
          <w:sz w:val="24"/>
        </w:rPr>
        <w:t xml:space="preserve"> </w:t>
      </w:r>
      <w:r/>
    </w:p>
    <w:p>
      <w:pPr>
        <w:jc w:val="center"/>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Times New Roman"/>
          <w:sz w:val="24"/>
        </w:rPr>
      </w:pPr>
      <w:r>
        <w:rPr>
          <w:rFonts w:hint="eastAsia" w:ascii="宋体" w:hAnsi="宋体" w:eastAsia="宋体" w:cs="Times New Roman"/>
          <w:sz w:val="24"/>
        </w:rPr>
        <w:t xml:space="preserve">投标人全称（加盖CA电子公章）：</w:t>
      </w:r>
      <w:r/>
    </w:p>
    <w:p>
      <w:pPr>
        <w:jc w:val="center"/>
        <w:rPr>
          <w:rFonts w:hint="eastAsia" w:ascii="宋体" w:hAnsi="宋体" w:eastAsia="宋体" w:cs="Times New Roman"/>
          <w:sz w:val="24"/>
        </w:rPr>
      </w:pPr>
      <w:r>
        <w:rPr>
          <w:rFonts w:hint="eastAsia" w:ascii="宋体" w:hAnsi="宋体" w:eastAsia="宋体" w:cs="Times New Roman"/>
          <w:sz w:val="24"/>
        </w:rPr>
        <w:t xml:space="preserve">法定代表人或授权代表签字：</w:t>
      </w:r>
      <w:r/>
    </w:p>
    <w:p>
      <w:pPr>
        <w:ind w:left="1470" w:right="1470" w:firstLine="158"/>
        <w:jc w:val="center"/>
        <w:spacing w:line="360" w:lineRule="auto"/>
        <w:rPr>
          <w:rFonts w:ascii="仿宋_GB2312" w:hAnsi="Times New Roman" w:eastAsia="仿宋_GB2312" w:cs="Times New Roman"/>
          <w:sz w:val="24"/>
        </w:rPr>
      </w:pPr>
      <w:r>
        <w:rPr>
          <w:rFonts w:hint="eastAsia" w:ascii="仿宋_GB2312" w:hAnsi="Times New Roman" w:eastAsia="仿宋_GB2312" w:cs="Times New Roman"/>
          <w:sz w:val="24"/>
        </w:rPr>
        <w:t xml:space="preserve">日期：</w:t>
      </w:r>
      <w:r/>
    </w:p>
    <w:p>
      <w:pPr>
        <w:ind w:firstLine="840"/>
        <w:jc w:val="left"/>
        <w:rPr>
          <w:rFonts w:hint="eastAsia" w:ascii="宋体" w:hAnsi="宋体" w:eastAsia="宋体" w:cs="Times New Roman"/>
          <w:sz w:val="28"/>
          <w:szCs w:val="28"/>
        </w:rPr>
      </w:pPr>
      <w:r>
        <w:rPr>
          <w:rFonts w:hint="eastAsia" w:ascii="宋体" w:hAnsi="宋体" w:eastAsia="宋体" w:cs="Times New Roman"/>
          <w:sz w:val="28"/>
          <w:szCs w:val="28"/>
        </w:rPr>
      </w:r>
      <w:r/>
    </w:p>
    <w:p>
      <w:pPr>
        <w:ind w:firstLine="840"/>
        <w:jc w:val="left"/>
        <w:rPr>
          <w:rFonts w:hint="eastAsia" w:ascii="宋体" w:hAnsi="宋体" w:eastAsia="宋体" w:cs="Times New Roman"/>
          <w:sz w:val="28"/>
          <w:szCs w:val="28"/>
        </w:rPr>
      </w:pPr>
      <w:r>
        <w:rPr>
          <w:rFonts w:hint="eastAsia" w:ascii="宋体" w:hAnsi="宋体" w:eastAsia="宋体" w:cs="Times New Roman"/>
          <w:sz w:val="28"/>
          <w:szCs w:val="28"/>
        </w:rPr>
      </w:r>
      <w:r/>
    </w:p>
    <w:p>
      <w:pPr>
        <w:ind w:left="1470" w:right="1470" w:firstLine="600"/>
        <w:jc w:val="left"/>
        <w:spacing w:line="360" w:lineRule="auto"/>
        <w:rPr>
          <w:rFonts w:ascii="仿宋_GB2312" w:hAnsi="Times New Roman" w:eastAsia="仿宋_GB2312" w:cs="Times New Roman"/>
          <w:sz w:val="30"/>
          <w:szCs w:val="30"/>
        </w:rPr>
      </w:pPr>
      <w:r>
        <w:rPr>
          <w:rFonts w:ascii="仿宋_GB2312" w:hAnsi="Times New Roman" w:eastAsia="仿宋_GB2312" w:cs="Times New Roman"/>
          <w:sz w:val="30"/>
          <w:szCs w:val="30"/>
        </w:rPr>
      </w:r>
      <w:r/>
    </w:p>
    <w:p>
      <w:pPr>
        <w:ind w:left="1470" w:right="1470" w:firstLine="1084"/>
        <w:jc w:val="left"/>
        <w:spacing w:after="120"/>
        <w:rPr>
          <w:rFonts w:hint="eastAsia" w:ascii="宋体" w:hAnsi="宋体" w:eastAsia="宋体" w:cs="Times New Roman"/>
          <w:b/>
          <w:sz w:val="36"/>
          <w:szCs w:val="36"/>
        </w:rPr>
      </w:pPr>
      <w:r>
        <w:rPr>
          <w:rFonts w:ascii="宋体" w:hAnsi="宋体" w:eastAsia="宋体" w:cs="Times New Roman"/>
          <w:b/>
          <w:sz w:val="36"/>
          <w:szCs w:val="36"/>
        </w:rPr>
        <w:br w:type="page" w:clear="all"/>
      </w:r>
      <w:r>
        <w:rPr>
          <w:rFonts w:hint="eastAsia" w:ascii="宋体" w:hAnsi="宋体" w:eastAsia="宋体" w:cs="Times New Roman"/>
          <w:b/>
          <w:sz w:val="36"/>
          <w:szCs w:val="36"/>
        </w:rPr>
        <w:t xml:space="preserve">十二、</w:t>
      </w:r>
      <w:r>
        <w:rPr>
          <w:rFonts w:ascii="宋体" w:hAnsi="宋体" w:eastAsia="宋体" w:cs="Times New Roman"/>
          <w:b/>
          <w:sz w:val="36"/>
          <w:szCs w:val="36"/>
        </w:rPr>
        <w:t xml:space="preserve">拟投入人员一览表</w:t>
      </w:r>
      <w:r/>
    </w:p>
    <w:tbl>
      <w:tblPr>
        <w:tblStyle w:val="6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46"/>
        <w:gridCol w:w="1287"/>
        <w:gridCol w:w="1217"/>
        <w:gridCol w:w="997"/>
        <w:gridCol w:w="2618"/>
        <w:gridCol w:w="1451"/>
      </w:tblGrid>
      <w:tr>
        <w:trPr>
          <w:jc w:val="center"/>
          <w:trHeight w:val="584"/>
        </w:trPr>
        <w:tc>
          <w:tcPr>
            <w:tcW w:w="746" w:type="dxa"/>
            <w:vAlign w:val="center"/>
            <w:textDirection w:val="lrTb"/>
            <w:noWrap w:val="false"/>
          </w:tcPr>
          <w:p>
            <w:pPr>
              <w:ind w:firstLine="210"/>
              <w:jc w:val="left"/>
              <w:rPr>
                <w:rFonts w:hint="eastAsia" w:ascii="宋体" w:hAnsi="宋体" w:eastAsia="宋体" w:cs="Times New Roman"/>
                <w:szCs w:val="21"/>
              </w:rPr>
            </w:pPr>
            <w:r>
              <w:rPr>
                <w:rFonts w:hint="eastAsia" w:ascii="宋体" w:hAnsi="宋体" w:eastAsia="宋体" w:cs="Times New Roman"/>
                <w:szCs w:val="21"/>
              </w:rPr>
              <w:t xml:space="preserve">序号</w:t>
            </w:r>
            <w:r/>
          </w:p>
        </w:tc>
        <w:tc>
          <w:tcPr>
            <w:tcW w:w="1287"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   姓名</w:t>
            </w:r>
            <w:r/>
          </w:p>
        </w:tc>
        <w:tc>
          <w:tcPr>
            <w:tcBorders>
              <w:right w:val="single" w:color="auto" w:sz="4" w:space="0"/>
            </w:tcBorders>
            <w:tcW w:w="1217" w:type="dxa"/>
            <w:vAlign w:val="center"/>
            <w:textDirection w:val="lrTb"/>
            <w:noWrap w:val="false"/>
          </w:tcPr>
          <w:p>
            <w:pPr>
              <w:ind w:firstLine="210"/>
              <w:jc w:val="left"/>
              <w:rPr>
                <w:rFonts w:hint="eastAsia" w:ascii="宋体" w:hAnsi="宋体" w:eastAsia="宋体" w:cs="Times New Roman"/>
                <w:szCs w:val="21"/>
              </w:rPr>
            </w:pPr>
            <w:r>
              <w:rPr>
                <w:rFonts w:hint="eastAsia" w:ascii="宋体" w:hAnsi="宋体" w:eastAsia="宋体" w:cs="Times New Roman"/>
                <w:szCs w:val="21"/>
              </w:rPr>
              <w:t xml:space="preserve">岗位名称</w:t>
            </w:r>
            <w:r/>
          </w:p>
        </w:tc>
        <w:tc>
          <w:tcPr>
            <w:tcBorders>
              <w:left w:val="single" w:color="auto" w:sz="4" w:space="0"/>
            </w:tcBorders>
            <w:tcW w:w="997" w:type="dxa"/>
            <w:vAlign w:val="center"/>
            <w:textDirection w:val="lrTb"/>
            <w:noWrap w:val="false"/>
          </w:tcPr>
          <w:p>
            <w:pPr>
              <w:ind w:firstLine="210"/>
              <w:jc w:val="left"/>
              <w:rPr>
                <w:rFonts w:hint="eastAsia" w:ascii="宋体" w:hAnsi="宋体" w:eastAsia="宋体" w:cs="Times New Roman"/>
                <w:szCs w:val="21"/>
              </w:rPr>
            </w:pPr>
            <w:r>
              <w:rPr>
                <w:rFonts w:hint="eastAsia" w:ascii="宋体" w:hAnsi="宋体" w:eastAsia="宋体" w:cs="Times New Roman"/>
                <w:szCs w:val="21"/>
              </w:rPr>
              <w:t xml:space="preserve">年 龄</w:t>
            </w:r>
            <w:r/>
          </w:p>
        </w:tc>
        <w:tc>
          <w:tcPr>
            <w:tcW w:w="2618"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资格或技能证书名称及等级</w:t>
            </w:r>
            <w:r/>
          </w:p>
        </w:tc>
        <w:tc>
          <w:tcPr>
            <w:tcW w:w="1451"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    学历</w:t>
            </w:r>
            <w:r/>
          </w:p>
        </w:tc>
      </w:tr>
      <w:tr>
        <w:trPr>
          <w:jc w:val="center"/>
          <w:trHeight w:val="680" w:hRule="exact"/>
        </w:trPr>
        <w:tc>
          <w:tcPr>
            <w:tcW w:w="746"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W w:w="1287"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Borders>
              <w:right w:val="single" w:color="auto" w:sz="4" w:space="0"/>
            </w:tcBorders>
            <w:tcW w:w="1217"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Borders>
              <w:left w:val="single" w:color="auto" w:sz="4" w:space="0"/>
            </w:tcBorders>
            <w:tcW w:w="997"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W w:w="2618"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W w:w="1451"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r>
      <w:tr>
        <w:trPr>
          <w:jc w:val="center"/>
          <w:trHeight w:val="680" w:hRule="exact"/>
        </w:trPr>
        <w:tc>
          <w:tcPr>
            <w:tcW w:w="746"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W w:w="1287"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Borders>
              <w:right w:val="single" w:color="auto" w:sz="4" w:space="0"/>
            </w:tcBorders>
            <w:tcW w:w="1217"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Borders>
              <w:left w:val="single" w:color="auto" w:sz="4" w:space="0"/>
            </w:tcBorders>
            <w:tcW w:w="997"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W w:w="2618"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W w:w="1451"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r>
      <w:tr>
        <w:trPr>
          <w:jc w:val="center"/>
          <w:trHeight w:val="680" w:hRule="exact"/>
        </w:trPr>
        <w:tc>
          <w:tcPr>
            <w:tcW w:w="746"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W w:w="1287"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Borders>
              <w:right w:val="single" w:color="auto" w:sz="4" w:space="0"/>
            </w:tcBorders>
            <w:tcW w:w="1217"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Borders>
              <w:left w:val="single" w:color="auto" w:sz="4" w:space="0"/>
            </w:tcBorders>
            <w:tcW w:w="997"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W w:w="2618"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W w:w="1451"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r>
      <w:tr>
        <w:trPr>
          <w:jc w:val="center"/>
          <w:trHeight w:val="680" w:hRule="exact"/>
        </w:trPr>
        <w:tc>
          <w:tcPr>
            <w:tcW w:w="746"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W w:w="1287"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Borders>
              <w:right w:val="single" w:color="auto" w:sz="4" w:space="0"/>
            </w:tcBorders>
            <w:tcW w:w="1217"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Borders>
              <w:left w:val="single" w:color="auto" w:sz="4" w:space="0"/>
            </w:tcBorders>
            <w:tcW w:w="997"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W w:w="2618"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W w:w="1451"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r>
      <w:tr>
        <w:trPr>
          <w:jc w:val="center"/>
          <w:trHeight w:val="680" w:hRule="exact"/>
        </w:trPr>
        <w:tc>
          <w:tcPr>
            <w:tcW w:w="746"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W w:w="1287"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Borders>
              <w:right w:val="single" w:color="auto" w:sz="4" w:space="0"/>
            </w:tcBorders>
            <w:tcW w:w="1217"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Borders>
              <w:left w:val="single" w:color="auto" w:sz="4" w:space="0"/>
            </w:tcBorders>
            <w:tcW w:w="997"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W w:w="2618"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W w:w="1451"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r>
      <w:tr>
        <w:trPr>
          <w:jc w:val="center"/>
          <w:trHeight w:val="680" w:hRule="exact"/>
        </w:trPr>
        <w:tc>
          <w:tcPr>
            <w:tcW w:w="746"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W w:w="1287"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Borders>
              <w:right w:val="single" w:color="auto" w:sz="4" w:space="0"/>
            </w:tcBorders>
            <w:tcW w:w="1217"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Borders>
              <w:left w:val="single" w:color="auto" w:sz="4" w:space="0"/>
            </w:tcBorders>
            <w:tcW w:w="997"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W w:w="2618"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W w:w="1451"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r>
      <w:tr>
        <w:trPr>
          <w:jc w:val="center"/>
          <w:trHeight w:val="680" w:hRule="exact"/>
        </w:trPr>
        <w:tc>
          <w:tcPr>
            <w:tcW w:w="746"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W w:w="1287"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Borders>
              <w:right w:val="single" w:color="auto" w:sz="4" w:space="0"/>
            </w:tcBorders>
            <w:tcW w:w="1217"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Borders>
              <w:left w:val="single" w:color="auto" w:sz="4" w:space="0"/>
            </w:tcBorders>
            <w:tcW w:w="997"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W w:w="2618"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W w:w="1451"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r>
      <w:tr>
        <w:trPr>
          <w:jc w:val="center"/>
          <w:trHeight w:val="680" w:hRule="exact"/>
        </w:trPr>
        <w:tc>
          <w:tcPr>
            <w:tcW w:w="746"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W w:w="1287"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Borders>
              <w:right w:val="single" w:color="auto" w:sz="4" w:space="0"/>
            </w:tcBorders>
            <w:tcW w:w="1217"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Borders>
              <w:left w:val="single" w:color="auto" w:sz="4" w:space="0"/>
            </w:tcBorders>
            <w:tcW w:w="997"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W w:w="2618"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W w:w="1451"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r>
      <w:tr>
        <w:trPr>
          <w:jc w:val="center"/>
          <w:trHeight w:val="680" w:hRule="exact"/>
        </w:trPr>
        <w:tc>
          <w:tcPr>
            <w:tcW w:w="746"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W w:w="1287"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Borders>
              <w:right w:val="single" w:color="auto" w:sz="4" w:space="0"/>
            </w:tcBorders>
            <w:tcW w:w="1217"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Borders>
              <w:left w:val="single" w:color="auto" w:sz="4" w:space="0"/>
            </w:tcBorders>
            <w:tcW w:w="997"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W w:w="2618"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W w:w="1451"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r>
      <w:tr>
        <w:trPr>
          <w:jc w:val="center"/>
          <w:trHeight w:val="680" w:hRule="exact"/>
        </w:trPr>
        <w:tc>
          <w:tcPr>
            <w:tcW w:w="746"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W w:w="1287"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Borders>
              <w:right w:val="single" w:color="auto" w:sz="4" w:space="0"/>
            </w:tcBorders>
            <w:tcW w:w="1217"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Borders>
              <w:left w:val="single" w:color="auto" w:sz="4" w:space="0"/>
            </w:tcBorders>
            <w:tcW w:w="997"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W w:w="2618"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W w:w="1451"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r>
    </w:tbl>
    <w:p>
      <w:pPr>
        <w:ind w:firstLine="482"/>
        <w:jc w:val="left"/>
        <w:spacing w:line="420" w:lineRule="exact"/>
        <w:rPr>
          <w:rFonts w:hint="eastAsia" w:ascii="宋体" w:hAnsi="宋体" w:eastAsia="宋体" w:cs="Times New Roman"/>
          <w:b/>
          <w:bCs/>
          <w:sz w:val="24"/>
        </w:rPr>
      </w:pPr>
      <w:r>
        <w:rPr>
          <w:rFonts w:ascii="宋体" w:hAnsi="宋体" w:eastAsia="宋体" w:cs="Times New Roman"/>
          <w:b/>
          <w:bCs/>
          <w:sz w:val="24"/>
        </w:rPr>
        <w:t xml:space="preserve">备注：</w:t>
      </w:r>
      <w:r>
        <w:rPr>
          <w:rFonts w:hint="eastAsia" w:ascii="Times New Roman" w:hAnsi="Times New Roman" w:eastAsia="宋体" w:cs="宋体"/>
          <w:b/>
          <w:bCs/>
          <w:sz w:val="24"/>
        </w:rPr>
        <w:t xml:space="preserve">投标人投标时</w:t>
      </w:r>
      <w:r>
        <w:rPr>
          <w:rFonts w:ascii="宋体" w:hAnsi="宋体" w:eastAsia="宋体" w:cs="Times New Roman"/>
          <w:b/>
          <w:bCs/>
          <w:sz w:val="24"/>
        </w:rPr>
        <w:t xml:space="preserve">按</w:t>
      </w:r>
      <w:r>
        <w:rPr>
          <w:rFonts w:hint="eastAsia" w:ascii="宋体" w:hAnsi="宋体" w:eastAsia="宋体" w:cs="Times New Roman"/>
          <w:b/>
          <w:bCs/>
          <w:sz w:val="24"/>
        </w:rPr>
        <w:t xml:space="preserve">拟投入人</w:t>
      </w:r>
      <w:r>
        <w:rPr>
          <w:rFonts w:ascii="宋体" w:hAnsi="宋体" w:eastAsia="宋体" w:cs="Times New Roman"/>
          <w:b/>
          <w:bCs/>
          <w:sz w:val="24"/>
        </w:rPr>
        <w:t xml:space="preserve">员序号顺序</w:t>
      </w:r>
      <w:r>
        <w:rPr>
          <w:rFonts w:hint="eastAsia" w:ascii="Times New Roman" w:hAnsi="Times New Roman" w:eastAsia="宋体" w:cs="宋体"/>
          <w:b/>
          <w:bCs/>
          <w:sz w:val="24"/>
        </w:rPr>
        <w:t xml:space="preserve">提供本项运营团队成员身份证、职称、职业资格证、执业资格证书等的扫描件。</w:t>
      </w:r>
      <w:r/>
    </w:p>
    <w:p>
      <w:pPr>
        <w:ind w:firstLine="840"/>
        <w:jc w:val="left"/>
        <w:spacing w:line="560" w:lineRule="exact"/>
        <w:rPr>
          <w:rFonts w:hint="eastAsia" w:ascii="宋体" w:hAnsi="宋体" w:eastAsia="宋体" w:cs="Times New Roman"/>
          <w:sz w:val="28"/>
          <w:szCs w:val="28"/>
        </w:rPr>
      </w:pPr>
      <w:r>
        <w:rPr>
          <w:rFonts w:hint="eastAsia" w:ascii="宋体" w:hAnsi="宋体" w:eastAsia="宋体" w:cs="Times New Roman"/>
          <w:sz w:val="28"/>
          <w:szCs w:val="28"/>
        </w:rPr>
      </w:r>
      <w:r/>
    </w:p>
    <w:p>
      <w:pPr>
        <w:ind w:firstLine="2400"/>
        <w:jc w:val="left"/>
        <w:spacing w:line="560" w:lineRule="exact"/>
        <w:rPr>
          <w:rFonts w:hint="eastAsia" w:ascii="宋体" w:hAnsi="宋体" w:eastAsia="宋体" w:cs="Times New Roman"/>
          <w:sz w:val="24"/>
        </w:rPr>
      </w:pPr>
      <w:r>
        <w:rPr>
          <w:rFonts w:hint="eastAsia" w:ascii="宋体" w:hAnsi="宋体" w:eastAsia="宋体" w:cs="Times New Roman"/>
          <w:sz w:val="24"/>
        </w:rPr>
        <w:t xml:space="preserve">供应商全称（加盖CA电子公章）：</w:t>
      </w:r>
      <w:r>
        <w:rPr>
          <w:rFonts w:ascii="宋体" w:hAnsi="宋体" w:eastAsia="宋体" w:cs="Times New Roman"/>
          <w:sz w:val="24"/>
        </w:rPr>
        <w:t xml:space="preserve">     </w:t>
      </w:r>
      <w:r/>
    </w:p>
    <w:p>
      <w:pPr>
        <w:ind w:firstLine="720"/>
        <w:jc w:val="left"/>
        <w:spacing w:line="560" w:lineRule="exact"/>
        <w:rPr>
          <w:rFonts w:hint="eastAsia" w:ascii="宋体" w:hAnsi="宋体" w:eastAsia="宋体" w:cs="Times New Roman"/>
          <w:sz w:val="24"/>
        </w:rPr>
      </w:pPr>
      <w:r>
        <w:rPr>
          <w:rFonts w:ascii="宋体" w:hAnsi="宋体" w:eastAsia="宋体" w:cs="Times New Roman"/>
          <w:sz w:val="24"/>
        </w:rPr>
        <w:t xml:space="preserve">        </w:t>
      </w:r>
      <w:r>
        <w:rPr>
          <w:rFonts w:hint="eastAsia" w:ascii="宋体" w:hAnsi="宋体" w:eastAsia="宋体" w:cs="Times New Roman"/>
          <w:sz w:val="24"/>
        </w:rPr>
        <w:t xml:space="preserve">法定代表人或授权代表（签字）：</w:t>
      </w:r>
      <w:r>
        <w:rPr>
          <w:rFonts w:ascii="宋体" w:hAnsi="宋体" w:eastAsia="宋体" w:cs="Times New Roman"/>
          <w:sz w:val="24"/>
        </w:rPr>
        <w:t xml:space="preserve">  </w:t>
      </w:r>
      <w:r/>
    </w:p>
    <w:p>
      <w:pPr>
        <w:ind w:right="640" w:firstLine="2640"/>
        <w:jc w:val="left"/>
        <w:spacing w:line="560" w:lineRule="exact"/>
        <w:rPr>
          <w:rFonts w:hint="eastAsia" w:ascii="宋体" w:hAnsi="宋体" w:eastAsia="宋体" w:cs="Times New Roman"/>
          <w:sz w:val="24"/>
        </w:rPr>
      </w:pPr>
      <w:r>
        <w:rPr>
          <w:rFonts w:hint="eastAsia" w:ascii="宋体" w:hAnsi="宋体" w:eastAsia="宋体" w:cs="Times New Roman"/>
          <w:sz w:val="24"/>
        </w:rPr>
        <w:t xml:space="preserve">日期：</w:t>
      </w:r>
      <w:r/>
    </w:p>
    <w:p>
      <w:pPr>
        <w:pStyle w:val="634"/>
        <w:ind w:firstLine="1476"/>
        <w:spacing w:beforeAutospacing="0" w:afterAutospacing="0"/>
      </w:pPr>
      <w:r>
        <w:rPr>
          <w:rFonts w:ascii="宋体" w:hAnsi="宋体" w:eastAsia="宋体"/>
          <w:sz w:val="21"/>
          <w:szCs w:val="21"/>
        </w:rPr>
        <w:br w:type="page" w:clear="all"/>
      </w:r>
      <w:r>
        <w:t xml:space="preserve"> </w:t>
      </w:r>
      <w:r>
        <w:rPr>
          <w:rFonts w:hint="eastAsia"/>
        </w:rPr>
        <w:t xml:space="preserve">   </w:t>
      </w:r>
      <w:r>
        <w:rPr>
          <w:rFonts w:hint="eastAsia" w:ascii="黑体" w:hAnsi="宋体" w:eastAsia="黑体" w:cs="黑体"/>
          <w:b/>
          <w:sz w:val="32"/>
          <w:szCs w:val="32"/>
        </w:rPr>
        <w:t xml:space="preserve">十三、技术要求响应及偏离表</w:t>
      </w:r>
      <w:r/>
    </w:p>
    <w:tbl>
      <w:tblPr>
        <w:tblStyle w:val="62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2264"/>
        <w:gridCol w:w="1984"/>
        <w:gridCol w:w="2268"/>
        <w:gridCol w:w="1466"/>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34"/>
              <w:ind w:firstLine="2249"/>
              <w:spacing w:beforeAutospacing="0" w:afterAutospacing="0"/>
            </w:pPr>
            <w:r>
              <w:rPr>
                <w:rFonts w:hint="eastAsia" w:ascii="宋体" w:hAnsi="宋体" w:eastAsia="宋体" w:cs="宋体"/>
              </w:rPr>
              <w:t xml:space="preserve">序号</w:t>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pStyle w:val="634"/>
              <w:spacing w:beforeAutospacing="0" w:afterAutospacing="0"/>
            </w:pPr>
            <w:r>
              <w:rPr>
                <w:rFonts w:hint="eastAsia" w:ascii="宋体" w:hAnsi="宋体" w:eastAsia="宋体" w:cs="宋体"/>
              </w:rPr>
              <w:t xml:space="preserve">招标文件要求</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634"/>
              <w:spacing w:beforeAutospacing="0" w:afterAutospacing="0"/>
            </w:pPr>
            <w:r>
              <w:rPr>
                <w:rFonts w:hint="eastAsia" w:ascii="宋体" w:hAnsi="宋体" w:eastAsia="宋体" w:cs="宋体"/>
              </w:rPr>
              <w:t xml:space="preserve">投标响应情况</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34"/>
              <w:spacing w:beforeAutospacing="0" w:afterAutospacing="0"/>
            </w:pPr>
            <w:r>
              <w:rPr>
                <w:rFonts w:hint="eastAsia" w:ascii="宋体" w:hAnsi="宋体" w:eastAsia="宋体" w:cs="宋体"/>
              </w:rPr>
              <w:t xml:space="preserve">超出、符合或偏离</w:t>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pStyle w:val="634"/>
              <w:spacing w:beforeAutospacing="0" w:afterAutospacing="0" w:line="400" w:lineRule="exact"/>
            </w:pPr>
            <w:r>
              <w:rPr>
                <w:rFonts w:hint="eastAsia" w:ascii="宋体" w:hAnsi="宋体" w:eastAsia="宋体" w:cs="宋体"/>
              </w:rPr>
              <w:t xml:space="preserve">证明</w:t>
            </w:r>
            <w:r/>
          </w:p>
          <w:p>
            <w:pPr>
              <w:pStyle w:val="634"/>
              <w:spacing w:beforeAutospacing="0" w:afterAutospacing="0" w:line="400" w:lineRule="exact"/>
            </w:pPr>
            <w:r>
              <w:rPr>
                <w:rFonts w:hint="eastAsia" w:ascii="宋体" w:hAnsi="宋体" w:eastAsia="宋体" w:cs="宋体"/>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34"/>
              <w:ind w:firstLine="2249"/>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pStyle w:val="634"/>
              <w:ind w:firstLine="2249"/>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634"/>
              <w:ind w:firstLine="2249"/>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34"/>
              <w:ind w:firstLine="2249"/>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pStyle w:val="634"/>
              <w:ind w:firstLine="2249"/>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34"/>
              <w:ind w:firstLine="2249"/>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pStyle w:val="634"/>
              <w:ind w:firstLine="2249"/>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634"/>
              <w:ind w:firstLine="2249"/>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34"/>
              <w:ind w:firstLine="2249"/>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pStyle w:val="634"/>
              <w:ind w:firstLine="2249"/>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34"/>
              <w:ind w:firstLine="2249"/>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pStyle w:val="634"/>
              <w:ind w:firstLine="2249"/>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634"/>
              <w:ind w:firstLine="2249"/>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34"/>
              <w:ind w:firstLine="2249"/>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pStyle w:val="634"/>
              <w:ind w:firstLine="2249"/>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34"/>
              <w:ind w:firstLine="2249"/>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pStyle w:val="634"/>
              <w:ind w:firstLine="2249"/>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634"/>
              <w:ind w:firstLine="2249"/>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34"/>
              <w:ind w:firstLine="2249"/>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pStyle w:val="634"/>
              <w:ind w:firstLine="2249"/>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34"/>
              <w:ind w:firstLine="2249"/>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pStyle w:val="634"/>
              <w:ind w:firstLine="2249"/>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634"/>
              <w:ind w:firstLine="2249"/>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34"/>
              <w:ind w:firstLine="2249"/>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pStyle w:val="634"/>
              <w:ind w:firstLine="2249"/>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34"/>
              <w:ind w:firstLine="2249"/>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pStyle w:val="634"/>
              <w:ind w:firstLine="2249"/>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634"/>
              <w:ind w:firstLine="2249"/>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34"/>
              <w:ind w:firstLine="2249"/>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pStyle w:val="634"/>
              <w:ind w:firstLine="2249"/>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34"/>
              <w:ind w:firstLine="2249"/>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pStyle w:val="634"/>
              <w:ind w:firstLine="2249"/>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634"/>
              <w:ind w:firstLine="2249"/>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34"/>
              <w:ind w:firstLine="2249"/>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pStyle w:val="634"/>
              <w:ind w:firstLine="2249"/>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34"/>
              <w:ind w:firstLine="2249"/>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pStyle w:val="634"/>
              <w:ind w:firstLine="2249"/>
              <w:spacing w:beforeAutospacing="0" w:afterAutospacing="0"/>
            </w:pPr>
            <w:r>
              <w:rPr>
                <w:rFonts w:hint="eastAsia" w:ascii="宋体" w:hAnsi="宋体" w:eastAsia="宋体" w:cs="宋体"/>
              </w:rPr>
              <w:t xml:space="preserve">……</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634"/>
              <w:ind w:firstLine="2249"/>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34"/>
              <w:ind w:firstLine="2249"/>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pStyle w:val="634"/>
              <w:ind w:firstLine="2249"/>
              <w:spacing w:beforeAutospacing="0" w:afterAutospacing="0"/>
            </w:pPr>
            <w:r>
              <w:t xml:space="preserve"> </w:t>
            </w:r>
            <w:r/>
          </w:p>
        </w:tc>
      </w:tr>
    </w:tbl>
    <w:p>
      <w:pPr>
        <w:pStyle w:val="634"/>
        <w:ind w:firstLine="2249"/>
        <w:spacing w:beforeAutospacing="0" w:afterAutospacing="0"/>
      </w:pPr>
      <w:r>
        <w:rPr>
          <w:rFonts w:hint="eastAsia" w:ascii="宋体" w:hAnsi="宋体" w:eastAsia="宋体" w:cs="宋体"/>
        </w:rPr>
        <w:t xml:space="preserve">注： 行数不够，可自行添加。</w:t>
      </w:r>
      <w:r/>
    </w:p>
    <w:p>
      <w:pPr>
        <w:pStyle w:val="634"/>
        <w:ind w:firstLine="2249"/>
        <w:spacing w:beforeAutospacing="0" w:afterAutospacing="0"/>
      </w:pPr>
      <w:r>
        <w:t xml:space="preserve"> </w:t>
      </w:r>
      <w:r/>
    </w:p>
    <w:p>
      <w:pPr>
        <w:pStyle w:val="634"/>
        <w:ind w:firstLine="2249"/>
        <w:spacing w:beforeAutospacing="0" w:afterAutospacing="0"/>
      </w:pPr>
      <w:r>
        <w:t xml:space="preserve"> </w:t>
      </w:r>
      <w:r/>
    </w:p>
    <w:p>
      <w:pPr>
        <w:ind w:firstLine="2400"/>
        <w:jc w:val="left"/>
        <w:spacing w:line="560" w:lineRule="exact"/>
        <w:rPr>
          <w:rFonts w:hint="eastAsia" w:ascii="宋体" w:hAnsi="宋体" w:eastAsia="宋体" w:cs="Times New Roman"/>
          <w:sz w:val="24"/>
        </w:rPr>
      </w:pPr>
      <w:r>
        <w:rPr>
          <w:rFonts w:hint="eastAsia" w:ascii="宋体" w:hAnsi="宋体" w:eastAsia="宋体" w:cs="Times New Roman"/>
          <w:sz w:val="24"/>
        </w:rPr>
        <w:t xml:space="preserve">供应商全称（加盖CA电子公章）：</w:t>
      </w:r>
      <w:r>
        <w:rPr>
          <w:rFonts w:ascii="宋体" w:hAnsi="宋体" w:eastAsia="宋体" w:cs="Times New Roman"/>
          <w:sz w:val="24"/>
        </w:rPr>
        <w:t xml:space="preserve">     </w:t>
      </w:r>
      <w:r/>
    </w:p>
    <w:p>
      <w:pPr>
        <w:ind w:firstLine="720"/>
        <w:jc w:val="left"/>
        <w:spacing w:line="560" w:lineRule="exact"/>
        <w:rPr>
          <w:rFonts w:hint="eastAsia" w:ascii="宋体" w:hAnsi="宋体" w:eastAsia="宋体" w:cs="Times New Roman"/>
          <w:sz w:val="24"/>
        </w:rPr>
      </w:pPr>
      <w:r>
        <w:rPr>
          <w:rFonts w:ascii="宋体" w:hAnsi="宋体" w:eastAsia="宋体" w:cs="Times New Roman"/>
          <w:sz w:val="24"/>
        </w:rPr>
        <w:t xml:space="preserve">      </w:t>
      </w:r>
      <w:r/>
    </w:p>
    <w:p>
      <w:pPr>
        <w:ind w:right="640" w:firstLine="2640"/>
        <w:jc w:val="left"/>
        <w:spacing w:line="560" w:lineRule="exact"/>
        <w:rPr>
          <w:rFonts w:hint="eastAsia" w:ascii="宋体" w:hAnsi="宋体" w:eastAsia="宋体" w:cs="Times New Roman"/>
          <w:sz w:val="24"/>
        </w:rPr>
      </w:pPr>
      <w:r>
        <w:rPr>
          <w:rFonts w:hint="eastAsia" w:ascii="宋体" w:hAnsi="宋体" w:eastAsia="宋体" w:cs="Times New Roman"/>
          <w:sz w:val="24"/>
        </w:rPr>
        <w:t xml:space="preserve">日期：</w:t>
      </w:r>
      <w:r/>
    </w:p>
    <w:p>
      <w:pPr>
        <w:pStyle w:val="634"/>
        <w:ind w:firstLine="2249"/>
        <w:spacing w:beforeAutospacing="0" w:afterAutospacing="0"/>
      </w:pPr>
      <w:r>
        <w:t xml:space="preserve"> </w:t>
      </w:r>
      <w:r/>
    </w:p>
    <w:p>
      <w:pPr>
        <w:pStyle w:val="634"/>
        <w:ind w:firstLine="2249"/>
        <w:spacing w:beforeAutospacing="0" w:afterAutospacing="0"/>
      </w:pPr>
      <w:r>
        <w:t xml:space="preserve"> </w:t>
      </w:r>
      <w:r/>
    </w:p>
    <w:p>
      <w:pPr>
        <w:pStyle w:val="634"/>
        <w:ind w:firstLine="2249"/>
        <w:spacing w:beforeAutospacing="0" w:afterAutospacing="0"/>
      </w:pPr>
      <w:r>
        <w:t xml:space="preserve"> </w:t>
      </w:r>
      <w:r/>
    </w:p>
    <w:p>
      <w:pPr>
        <w:pStyle w:val="634"/>
        <w:ind w:firstLine="2249"/>
        <w:spacing w:beforeAutospacing="0" w:afterAutospacing="0"/>
      </w:pPr>
      <w:r>
        <w:t xml:space="preserve"> </w:t>
      </w:r>
      <w:r/>
    </w:p>
    <w:p>
      <w:pPr>
        <w:pStyle w:val="634"/>
        <w:ind w:firstLine="2249"/>
        <w:spacing w:beforeAutospacing="0" w:afterAutospacing="0"/>
      </w:pPr>
      <w:r/>
      <w:r/>
    </w:p>
    <w:p>
      <w:pPr>
        <w:pStyle w:val="634"/>
        <w:ind w:firstLine="2249"/>
        <w:spacing w:beforeAutospacing="0" w:afterAutospacing="0"/>
      </w:pPr>
      <w:r/>
      <w:r/>
    </w:p>
    <w:p>
      <w:pPr>
        <w:pStyle w:val="634"/>
        <w:ind w:firstLine="2249"/>
        <w:spacing w:beforeAutospacing="0" w:afterAutospacing="0"/>
      </w:pPr>
      <w:r/>
      <w:r/>
    </w:p>
    <w:p>
      <w:pPr>
        <w:pStyle w:val="634"/>
        <w:ind w:firstLine="2249"/>
        <w:spacing w:beforeAutospacing="0" w:afterAutospacing="0"/>
      </w:pPr>
      <w:r/>
      <w:r/>
    </w:p>
    <w:p>
      <w:pPr>
        <w:pStyle w:val="634"/>
        <w:ind w:firstLine="2249"/>
        <w:spacing w:beforeAutospacing="0" w:afterAutospacing="0"/>
      </w:pPr>
      <w:r/>
      <w:r/>
    </w:p>
    <w:p>
      <w:pPr>
        <w:pStyle w:val="634"/>
        <w:ind w:firstLine="2249"/>
        <w:spacing w:beforeAutospacing="0" w:afterAutospacing="0"/>
      </w:pPr>
      <w:r/>
      <w:r/>
    </w:p>
    <w:p>
      <w:pPr>
        <w:pStyle w:val="634"/>
        <w:ind w:firstLine="2249"/>
        <w:spacing w:beforeAutospacing="0" w:afterAutospacing="0"/>
      </w:pPr>
      <w:r/>
      <w:r/>
    </w:p>
    <w:p>
      <w:pPr>
        <w:pStyle w:val="634"/>
        <w:ind w:firstLine="2249"/>
        <w:spacing w:beforeAutospacing="0" w:afterAutospacing="0"/>
      </w:pPr>
      <w:r/>
      <w:r/>
    </w:p>
    <w:p>
      <w:pPr>
        <w:pStyle w:val="634"/>
        <w:ind w:firstLine="2249"/>
        <w:spacing w:beforeAutospacing="0" w:afterAutospacing="0"/>
      </w:pPr>
      <w:r>
        <w:t xml:space="preserve"> </w:t>
      </w:r>
      <w:r/>
    </w:p>
    <w:p>
      <w:pPr>
        <w:pStyle w:val="634"/>
        <w:ind w:firstLine="2249"/>
        <w:spacing w:beforeAutospacing="0" w:afterAutospacing="0"/>
      </w:pPr>
      <w:r/>
      <w:r/>
    </w:p>
    <w:p>
      <w:pPr>
        <w:pStyle w:val="634"/>
        <w:ind w:firstLine="1928"/>
        <w:spacing w:beforeAutospacing="0" w:afterAutospacing="0"/>
      </w:pPr>
      <w:r/>
      <w:bookmarkStart w:id="197" w:name="_Hlt26955054"/>
      <w:r>
        <w:rPr>
          <w:rFonts w:hint="eastAsia" w:ascii="黑体" w:hAnsi="宋体" w:eastAsia="黑体" w:cs="黑体"/>
          <w:b/>
          <w:sz w:val="32"/>
          <w:szCs w:val="32"/>
        </w:rPr>
        <w:t xml:space="preserve">十五、商务要求响应及偏离表</w:t>
      </w:r>
      <w:r/>
    </w:p>
    <w:tbl>
      <w:tblPr>
        <w:tblStyle w:val="62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365"/>
        <w:gridCol w:w="1276"/>
        <w:gridCol w:w="1749"/>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34"/>
              <w:ind w:firstLine="2249"/>
              <w:spacing w:beforeAutospacing="0" w:afterAutospacing="0"/>
            </w:pPr>
            <w:r/>
            <w:bookmarkStart w:id="198" w:name="_Hlt26580838"/>
            <w:r/>
            <w:bookmarkStart w:id="199" w:name="_Hlt26955056"/>
            <w:r/>
            <w:bookmarkStart w:id="200" w:name="_Hlt26671343"/>
            <w:r/>
            <w:bookmarkStart w:id="201" w:name="_Hlt26609391"/>
            <w:r/>
            <w:bookmarkStart w:id="202" w:name="_Hlt26782999"/>
            <w:r/>
            <w:bookmarkStart w:id="203" w:name="_Hlt26671372"/>
            <w:r/>
            <w:bookmarkStart w:id="204" w:name="_Hlt26955064"/>
            <w:r/>
            <w:bookmarkStart w:id="205" w:name="_Hlt24879081"/>
            <w:r>
              <w:rPr>
                <w:rFonts w:hint="eastAsia" w:ascii="宋体" w:hAnsi="宋体" w:eastAsia="宋体" w:cs="宋体"/>
              </w:rPr>
              <w:t xml:space="preserve">序序号</w:t>
            </w:r>
            <w:bookmarkEnd w:id="198"/>
            <w:bookmarkEnd w:id="199"/>
            <w:bookmarkEnd w:id="200"/>
            <w:bookmarkEnd w:id="201"/>
            <w:bookmarkEnd w:id="202"/>
            <w:bookmarkEnd w:id="203"/>
            <w:bookmarkEnd w:id="204"/>
            <w:bookmarkEnd w:id="205"/>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34"/>
              <w:spacing w:beforeAutospacing="0" w:afterAutospacing="0"/>
            </w:pPr>
            <w:r>
              <w:rPr>
                <w:rFonts w:hint="eastAsia" w:ascii="宋体" w:hAnsi="宋体" w:eastAsia="宋体" w:cs="宋体"/>
              </w:rPr>
              <w:t xml:space="preserve">招标文件要求</w:t>
            </w:r>
            <w:r/>
          </w:p>
        </w:tc>
        <w:tc>
          <w:tcPr>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pStyle w:val="634"/>
              <w:spacing w:beforeAutospacing="0" w:afterAutospacing="0"/>
            </w:pPr>
            <w:r>
              <w:rPr>
                <w:rFonts w:hint="eastAsia" w:ascii="宋体" w:hAnsi="宋体" w:eastAsia="宋体" w:cs="宋体"/>
              </w:rPr>
              <w:t xml:space="preserve">投标响应情况</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34"/>
              <w:ind w:firstLine="2249"/>
              <w:spacing w:beforeAutospacing="0" w:afterAutospacing="0"/>
            </w:pPr>
            <w:r>
              <w:rPr>
                <w:rFonts w:hint="eastAsia" w:ascii="宋体" w:hAnsi="宋体" w:eastAsia="宋体" w:cs="宋体"/>
              </w:rPr>
              <w:t xml:space="preserve">超出、符合或偏离</w:t>
            </w:r>
            <w:r/>
          </w:p>
        </w:tc>
        <w:tc>
          <w:tcPr>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pStyle w:val="634"/>
              <w:spacing w:beforeAutospacing="0" w:afterAutospacing="0" w:line="400" w:lineRule="exact"/>
            </w:pPr>
            <w:r>
              <w:rPr>
                <w:rFonts w:hint="eastAsia" w:ascii="宋体" w:hAnsi="宋体" w:eastAsia="宋体" w:cs="宋体"/>
              </w:rPr>
              <w:t xml:space="preserve">证明</w:t>
            </w:r>
            <w:r/>
          </w:p>
          <w:p>
            <w:pPr>
              <w:pStyle w:val="634"/>
              <w:spacing w:beforeAutospacing="0" w:afterAutospacing="0" w:line="400" w:lineRule="exact"/>
            </w:pPr>
            <w:r>
              <w:rPr>
                <w:rFonts w:hint="eastAsia" w:ascii="宋体" w:hAnsi="宋体" w:eastAsia="宋体" w:cs="宋体"/>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34"/>
              <w:ind w:firstLine="2249"/>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34"/>
              <w:ind w:firstLine="2249"/>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pStyle w:val="634"/>
              <w:ind w:firstLine="2249"/>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34"/>
              <w:ind w:firstLine="2249"/>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pStyle w:val="634"/>
              <w:ind w:firstLine="2249"/>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34"/>
              <w:ind w:firstLine="2249"/>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34"/>
              <w:ind w:firstLine="2249"/>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pStyle w:val="634"/>
              <w:ind w:firstLine="2249"/>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34"/>
              <w:ind w:firstLine="2249"/>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pStyle w:val="634"/>
              <w:ind w:firstLine="2249"/>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34"/>
              <w:ind w:firstLine="2249"/>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34"/>
              <w:ind w:firstLine="2249"/>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pStyle w:val="634"/>
              <w:ind w:firstLine="2249"/>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34"/>
              <w:ind w:firstLine="2249"/>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pStyle w:val="634"/>
              <w:ind w:firstLine="2249"/>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34"/>
              <w:ind w:firstLine="2249"/>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34"/>
              <w:ind w:firstLine="2249"/>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pStyle w:val="634"/>
              <w:ind w:firstLine="2249"/>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34"/>
              <w:ind w:firstLine="2249"/>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pStyle w:val="634"/>
              <w:ind w:firstLine="2249"/>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34"/>
              <w:ind w:firstLine="2249"/>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34"/>
              <w:ind w:firstLine="2249"/>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pStyle w:val="634"/>
              <w:ind w:firstLine="2249"/>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34"/>
              <w:ind w:firstLine="2249"/>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pStyle w:val="634"/>
              <w:ind w:firstLine="2249"/>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34"/>
              <w:ind w:firstLine="2249"/>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34"/>
              <w:ind w:firstLine="2249"/>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pStyle w:val="634"/>
              <w:ind w:firstLine="2249"/>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34"/>
              <w:ind w:firstLine="2249"/>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pStyle w:val="634"/>
              <w:ind w:firstLine="2249"/>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34"/>
              <w:ind w:firstLine="2249"/>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34"/>
              <w:ind w:firstLine="2249"/>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pStyle w:val="634"/>
              <w:ind w:firstLine="2249"/>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34"/>
              <w:ind w:firstLine="2249"/>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pStyle w:val="634"/>
              <w:ind w:firstLine="2249"/>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34"/>
              <w:ind w:firstLine="2249"/>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34"/>
              <w:ind w:firstLine="2249"/>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pStyle w:val="634"/>
              <w:ind w:firstLine="2249"/>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34"/>
              <w:ind w:firstLine="2249"/>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pStyle w:val="634"/>
              <w:ind w:firstLine="2249"/>
              <w:spacing w:beforeAutospacing="0" w:afterAutospacing="0"/>
            </w:pPr>
            <w:r>
              <w:t xml:space="preserve"> </w:t>
            </w:r>
            <w:r/>
          </w:p>
        </w:tc>
      </w:tr>
    </w:tbl>
    <w:p>
      <w:pPr>
        <w:pStyle w:val="634"/>
        <w:ind w:firstLine="2249"/>
        <w:spacing w:beforeAutospacing="0" w:afterAutospacing="0"/>
      </w:pPr>
      <w:r>
        <w:rPr>
          <w:rFonts w:hint="eastAsia" w:ascii="宋体" w:hAnsi="宋体" w:eastAsia="宋体" w:cs="宋体"/>
        </w:rPr>
        <w:t xml:space="preserve">注： 行数不够，可自行添加。</w:t>
      </w:r>
      <w:r/>
    </w:p>
    <w:p>
      <w:pPr>
        <w:pStyle w:val="634"/>
        <w:ind w:firstLine="2249"/>
        <w:spacing w:beforeAutospacing="0" w:afterAutospacing="0" w:line="480" w:lineRule="auto"/>
      </w:pPr>
      <w:r>
        <w:t xml:space="preserve"> </w:t>
      </w:r>
      <w:r/>
    </w:p>
    <w:p>
      <w:pPr>
        <w:ind w:firstLine="2100"/>
        <w:jc w:val="left"/>
        <w:spacing w:line="560" w:lineRule="exact"/>
        <w:rPr>
          <w:rFonts w:hint="eastAsia" w:ascii="宋体" w:hAnsi="宋体" w:eastAsia="宋体" w:cs="Times New Roman"/>
          <w:sz w:val="24"/>
        </w:rPr>
      </w:pPr>
      <w:r>
        <w:t xml:space="preserve"> </w:t>
      </w:r>
      <w:r>
        <w:rPr>
          <w:rFonts w:hint="eastAsia" w:ascii="宋体" w:hAnsi="宋体" w:eastAsia="宋体" w:cs="Times New Roman"/>
          <w:sz w:val="24"/>
        </w:rPr>
        <w:t xml:space="preserve">供应商全称（加盖CA电子公章）：</w:t>
      </w:r>
      <w:r>
        <w:rPr>
          <w:rFonts w:ascii="宋体" w:hAnsi="宋体" w:eastAsia="宋体" w:cs="Times New Roman"/>
          <w:sz w:val="24"/>
        </w:rPr>
        <w:t xml:space="preserve">     </w:t>
      </w:r>
      <w:r/>
    </w:p>
    <w:p>
      <w:pPr>
        <w:ind w:firstLine="720"/>
        <w:jc w:val="left"/>
        <w:spacing w:line="560" w:lineRule="exact"/>
        <w:rPr>
          <w:rFonts w:hint="eastAsia" w:ascii="宋体" w:hAnsi="宋体" w:eastAsia="宋体" w:cs="Times New Roman"/>
          <w:sz w:val="24"/>
        </w:rPr>
      </w:pPr>
      <w:r>
        <w:rPr>
          <w:rFonts w:ascii="宋体" w:hAnsi="宋体" w:eastAsia="宋体" w:cs="Times New Roman"/>
          <w:sz w:val="24"/>
        </w:rPr>
        <w:t xml:space="preserve">       </w:t>
      </w:r>
      <w:r/>
    </w:p>
    <w:p>
      <w:pPr>
        <w:ind w:right="640" w:firstLine="2640"/>
        <w:jc w:val="left"/>
        <w:spacing w:line="560" w:lineRule="exact"/>
        <w:rPr>
          <w:rFonts w:hint="eastAsia" w:ascii="宋体" w:hAnsi="宋体" w:eastAsia="宋体" w:cs="Times New Roman"/>
          <w:sz w:val="24"/>
        </w:rPr>
      </w:pPr>
      <w:r>
        <w:rPr>
          <w:rFonts w:hint="eastAsia" w:ascii="宋体" w:hAnsi="宋体" w:eastAsia="宋体" w:cs="Times New Roman"/>
          <w:sz w:val="24"/>
        </w:rPr>
        <w:t xml:space="preserve">日期：</w:t>
      </w:r>
      <w:r/>
    </w:p>
    <w:p>
      <w:pPr>
        <w:pStyle w:val="634"/>
        <w:ind w:firstLine="2249"/>
        <w:spacing w:beforeAutospacing="0" w:afterAutospacing="0" w:line="480" w:lineRule="auto"/>
      </w:pPr>
      <w:r/>
      <w:r/>
    </w:p>
    <w:p>
      <w:pPr>
        <w:pStyle w:val="634"/>
        <w:ind w:firstLine="2249"/>
        <w:spacing w:beforeAutospacing="0" w:afterAutospacing="0"/>
      </w:pPr>
      <w:r/>
      <w:bookmarkStart w:id="206" w:name="_Hlt26671374"/>
      <w:r/>
      <w:bookmarkStart w:id="207" w:name="_Hlt26609389"/>
      <w:r/>
      <w:bookmarkStart w:id="208" w:name="_Toc462564146"/>
      <w:r/>
      <w:bookmarkStart w:id="209" w:name="_Hlt26955066"/>
      <w:r/>
      <w:bookmarkStart w:id="210" w:name="_格式2__法定代表人授权书"/>
      <w:r>
        <w:t xml:space="preserve"> </w:t>
      </w:r>
      <w:r/>
    </w:p>
    <w:p>
      <w:pPr>
        <w:pStyle w:val="634"/>
        <w:ind w:firstLine="2249"/>
        <w:spacing w:beforeAutospacing="0" w:afterAutospacing="0"/>
      </w:pPr>
      <w:r>
        <w:t xml:space="preserve"> </w:t>
      </w:r>
      <w:r/>
    </w:p>
    <w:p>
      <w:pPr>
        <w:pStyle w:val="634"/>
        <w:ind w:firstLine="2249"/>
        <w:spacing w:beforeAutospacing="0" w:afterAutospacing="0"/>
      </w:pPr>
      <w:r>
        <w:t xml:space="preserve"> </w:t>
      </w:r>
      <w:r/>
    </w:p>
    <w:p>
      <w:pPr>
        <w:pStyle w:val="634"/>
        <w:ind w:firstLine="2249"/>
        <w:spacing w:beforeAutospacing="0" w:afterAutospacing="0"/>
      </w:pPr>
      <w:r/>
      <w:r/>
    </w:p>
    <w:p>
      <w:pPr>
        <w:pStyle w:val="634"/>
        <w:ind w:firstLine="2249"/>
        <w:spacing w:beforeAutospacing="0" w:afterAutospacing="0"/>
      </w:pPr>
      <w:r/>
      <w:r/>
    </w:p>
    <w:p>
      <w:pPr>
        <w:pStyle w:val="634"/>
        <w:ind w:firstLine="2249"/>
        <w:spacing w:beforeAutospacing="0" w:afterAutospacing="0"/>
      </w:pPr>
      <w:r/>
      <w:r/>
    </w:p>
    <w:p>
      <w:pPr>
        <w:pStyle w:val="634"/>
        <w:ind w:firstLine="2249"/>
        <w:spacing w:beforeAutospacing="0" w:afterAutospacing="0"/>
      </w:pPr>
      <w:r/>
      <w:r/>
    </w:p>
    <w:p>
      <w:pPr>
        <w:pStyle w:val="634"/>
        <w:ind w:firstLine="2249"/>
        <w:spacing w:beforeAutospacing="0" w:afterAutospacing="0"/>
      </w:pPr>
      <w:r/>
      <w:r/>
    </w:p>
    <w:p>
      <w:pPr>
        <w:pStyle w:val="634"/>
        <w:ind w:firstLine="2249"/>
        <w:spacing w:beforeAutospacing="0" w:afterAutospacing="0"/>
      </w:pPr>
      <w:r/>
      <w:r/>
    </w:p>
    <w:p>
      <w:pPr>
        <w:pStyle w:val="634"/>
        <w:ind w:firstLine="2249"/>
        <w:spacing w:beforeAutospacing="0" w:afterAutospacing="0"/>
      </w:pPr>
      <w:r/>
      <w:r/>
    </w:p>
    <w:p>
      <w:pPr>
        <w:pStyle w:val="634"/>
        <w:ind w:firstLine="2249"/>
        <w:spacing w:beforeAutospacing="0" w:afterAutospacing="0"/>
      </w:pPr>
      <w:r/>
      <w:r/>
    </w:p>
    <w:p>
      <w:pPr>
        <w:pStyle w:val="634"/>
        <w:ind w:firstLine="720"/>
        <w:spacing w:beforeAutospacing="0" w:afterAutospacing="0"/>
      </w:pPr>
      <w:r/>
      <w:r/>
    </w:p>
    <w:p>
      <w:pPr>
        <w:pStyle w:val="634"/>
        <w:ind w:firstLine="2891"/>
        <w:spacing w:beforeAutospacing="0" w:afterAutospacing="0"/>
      </w:pPr>
      <w:r>
        <w:rPr>
          <w:rFonts w:hint="eastAsia" w:ascii="黑体" w:hAnsi="宋体" w:eastAsia="黑体" w:cs="黑体"/>
          <w:b/>
          <w:i/>
          <w:sz w:val="32"/>
          <w:szCs w:val="32"/>
        </w:rPr>
        <w:t xml:space="preserve">十六、开标一览表</w:t>
      </w:r>
      <w:r/>
    </w:p>
    <w:p>
      <w:pPr>
        <w:pStyle w:val="634"/>
        <w:spacing w:beforeAutospacing="0" w:afterAutospacing="0"/>
        <w:rPr>
          <w:rFonts w:hint="eastAsia" w:ascii="宋体" w:hAnsi="宋体" w:eastAsia="宋体" w:cs="宋体"/>
        </w:rPr>
      </w:pPr>
      <w:r>
        <w:rPr>
          <w:rFonts w:hint="eastAsia" w:ascii="宋体" w:hAnsi="宋体" w:eastAsia="宋体" w:cs="宋体"/>
        </w:rPr>
      </w:r>
      <w:r/>
    </w:p>
    <w:p>
      <w:pPr>
        <w:pStyle w:val="634"/>
        <w:spacing w:beforeAutospacing="0" w:afterAutospacing="0"/>
      </w:pPr>
      <w:r>
        <w:rPr>
          <w:rFonts w:hint="eastAsia" w:ascii="宋体" w:hAnsi="宋体" w:eastAsia="宋体" w:cs="宋体"/>
        </w:rPr>
        <w:t xml:space="preserve">投标人全称（加盖CA电子签章）：</w:t>
      </w:r>
      <w:r/>
    </w:p>
    <w:p>
      <w:pPr>
        <w:pStyle w:val="634"/>
        <w:spacing w:beforeAutospacing="0" w:afterAutospacing="0"/>
      </w:pPr>
      <w:r>
        <w:rPr>
          <w:rFonts w:hint="eastAsia" w:ascii="宋体" w:hAnsi="宋体" w:eastAsia="宋体" w:cs="宋体"/>
        </w:rPr>
        <w:t xml:space="preserve">项目名称：</w:t>
      </w:r>
      <w:r/>
    </w:p>
    <w:p>
      <w:pPr>
        <w:pStyle w:val="634"/>
        <w:spacing w:beforeAutospacing="0" w:afterAutospacing="0"/>
        <w:rPr>
          <w:rFonts w:hint="eastAsia" w:ascii="宋体" w:hAnsi="宋体" w:eastAsia="宋体" w:cs="宋体"/>
        </w:rPr>
      </w:pPr>
      <w:r>
        <w:rPr>
          <w:rFonts w:hint="eastAsia" w:ascii="宋体" w:hAnsi="宋体" w:eastAsia="宋体" w:cs="宋体"/>
        </w:rPr>
        <w:t xml:space="preserve">项目编号：</w:t>
      </w:r>
      <w:r/>
    </w:p>
    <w:p>
      <w:pPr>
        <w:pStyle w:val="634"/>
        <w:spacing w:beforeAutospacing="0" w:afterAutospacing="0"/>
      </w:pPr>
      <w:r/>
      <w:r/>
    </w:p>
    <w:tbl>
      <w:tblPr>
        <w:tblStyle w:val="628"/>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34"/>
              <w:ind w:firstLine="2249"/>
              <w:spacing w:beforeAutospacing="0" w:afterAutospacing="0"/>
            </w:pPr>
            <w:r>
              <w:rPr>
                <w:rFonts w:hint="eastAsia" w:ascii="宋体" w:hAnsi="宋体" w:eastAsia="宋体" w:cs="宋体"/>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34"/>
              <w:spacing w:beforeAutospacing="0" w:afterAutospacing="0" w:line="0" w:lineRule="atLeast"/>
              <w:rPr>
                <w:rFonts w:hint="eastAsia" w:ascii="宋体" w:hAnsi="宋体" w:eastAsia="宋体" w:cs="宋体"/>
              </w:rPr>
            </w:pPr>
            <w:r>
              <w:rPr>
                <w:rFonts w:hint="eastAsia" w:ascii="宋体" w:hAnsi="宋体" w:eastAsia="宋体" w:cs="宋体"/>
              </w:rPr>
              <w:t xml:space="preserve">大写：</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34"/>
              <w:spacing w:beforeAutospacing="0" w:afterAutospacing="0" w:line="0" w:lineRule="atLeast"/>
            </w:pPr>
            <w:r>
              <w:rPr>
                <w:rFonts w:hint="eastAsia" w:ascii="宋体" w:hAnsi="宋体" w:eastAsia="宋体" w:cs="宋体"/>
              </w:rPr>
              <w:t xml:space="preserve">小写：           （人民币：元）</w:t>
            </w:r>
            <w:r/>
          </w:p>
        </w:tc>
      </w:tr>
    </w:tbl>
    <w:p>
      <w:pPr>
        <w:pStyle w:val="634"/>
        <w:ind w:firstLine="2249"/>
        <w:spacing w:beforeAutospacing="0" w:afterAutospacing="0"/>
      </w:pPr>
      <w:r>
        <w:t xml:space="preserve"> </w:t>
      </w:r>
      <w:r/>
    </w:p>
    <w:p>
      <w:pPr>
        <w:pStyle w:val="634"/>
        <w:ind w:firstLine="2249"/>
        <w:spacing w:beforeAutospacing="0" w:afterAutospacing="0"/>
      </w:pPr>
      <w:r>
        <w:rPr>
          <w:rFonts w:hint="eastAsia" w:ascii="宋体" w:hAnsi="宋体" w:eastAsia="宋体" w:cs="宋体"/>
        </w:rPr>
        <w:t xml:space="preserve">                                              日期：  </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634"/>
        <w:ind w:firstLine="2249"/>
        <w:spacing w:beforeAutospacing="0" w:afterAutospacing="0"/>
      </w:pPr>
      <w:r>
        <w:t xml:space="preserve"> </w:t>
      </w:r>
      <w:r/>
    </w:p>
    <w:p>
      <w:pPr>
        <w:jc w:val="left"/>
        <w:spacing w:before="50" w:after="50"/>
        <w:widowControl/>
      </w:pPr>
      <w:r>
        <w:tab/>
      </w:r>
      <w:r/>
    </w:p>
    <w:p>
      <w:pPr>
        <w:jc w:val="left"/>
        <w:spacing w:before="50" w:after="50"/>
        <w:widowControl/>
      </w:pPr>
      <w:r/>
      <w:r/>
    </w:p>
    <w:p>
      <w:pPr>
        <w:jc w:val="left"/>
        <w:spacing w:before="50" w:after="50"/>
        <w:widowControl/>
      </w:pPr>
      <w:r/>
      <w:r/>
    </w:p>
    <w:p>
      <w:pPr>
        <w:jc w:val="left"/>
        <w:spacing w:before="50" w:after="50"/>
        <w:widowControl/>
      </w:pPr>
      <w:r/>
      <w:r/>
    </w:p>
    <w:p>
      <w:pPr>
        <w:pStyle w:val="637"/>
        <w:ind w:firstLine="720"/>
        <w:rPr>
          <w:color w:val="auto"/>
        </w:rPr>
      </w:pPr>
      <w:r>
        <w:rPr>
          <w:color w:val="auto"/>
        </w:rPr>
      </w:r>
      <w:r/>
    </w:p>
    <w:p>
      <w:pPr>
        <w:pStyle w:val="637"/>
        <w:ind w:firstLine="720"/>
        <w:rPr>
          <w:color w:val="auto"/>
        </w:rPr>
      </w:pPr>
      <w:r>
        <w:rPr>
          <w:color w:val="auto"/>
        </w:rPr>
      </w:r>
      <w:r/>
    </w:p>
    <w:p>
      <w:pPr>
        <w:pStyle w:val="637"/>
        <w:ind w:firstLine="720"/>
        <w:rPr>
          <w:color w:val="auto"/>
        </w:rPr>
      </w:pPr>
      <w:r>
        <w:rPr>
          <w:color w:val="auto"/>
        </w:rPr>
      </w:r>
      <w:r/>
    </w:p>
    <w:p>
      <w:pPr>
        <w:jc w:val="left"/>
        <w:spacing w:before="50" w:after="50"/>
        <w:widowControl/>
      </w:pPr>
      <w:r/>
      <w:r/>
    </w:p>
    <w:p>
      <w:pPr>
        <w:jc w:val="left"/>
        <w:spacing w:before="50" w:after="50"/>
        <w:widowControl/>
      </w:pPr>
      <w:r/>
      <w:r/>
    </w:p>
    <w:p>
      <w:pPr>
        <w:jc w:val="left"/>
        <w:spacing w:before="50" w:after="50"/>
        <w:widowControl/>
      </w:pPr>
      <w:r/>
      <w:r/>
    </w:p>
    <w:p>
      <w:pPr>
        <w:jc w:val="left"/>
        <w:widowControl/>
        <w:rPr>
          <w:rFonts w:hint="eastAsia" w:ascii="宋体" w:hAnsi="宋体" w:eastAsia="宋体" w:cs="宋体"/>
          <w:b/>
          <w:bCs/>
          <w:sz w:val="32"/>
          <w:szCs w:val="32"/>
        </w:rPr>
      </w:pPr>
      <w:r>
        <w:rPr>
          <w:rFonts w:hint="eastAsia" w:ascii="宋体" w:hAnsi="宋体" w:eastAsia="宋体" w:cs="宋体"/>
          <w:b/>
          <w:bCs/>
          <w:sz w:val="32"/>
          <w:szCs w:val="32"/>
        </w:rPr>
        <w:br w:type="page" w:clear="all"/>
      </w:r>
      <w:r/>
    </w:p>
    <w:p>
      <w:pPr>
        <w:ind w:firstLine="315"/>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ind w:firstLine="315"/>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十七、</w:t>
      </w:r>
      <w:r>
        <w:rPr>
          <w:rFonts w:hint="eastAsia" w:ascii="宋体" w:hAnsi="宋体" w:eastAsia="宋体" w:cs="宋体"/>
          <w:b/>
          <w:bCs/>
          <w:sz w:val="28"/>
          <w:szCs w:val="28"/>
        </w:rPr>
        <w:t xml:space="preserve">、</w:t>
      </w:r>
      <w:r>
        <w:rPr>
          <w:rFonts w:hint="eastAsia" w:ascii="宋体" w:hAnsi="宋体" w:eastAsia="宋体" w:cs="宋体"/>
          <w:b/>
          <w:bCs/>
          <w:sz w:val="32"/>
          <w:szCs w:val="32"/>
        </w:rPr>
        <w:t xml:space="preserve">技术方案、服务承诺、培训承诺等</w:t>
      </w:r>
      <w:r/>
    </w:p>
    <w:p>
      <w:pPr>
        <w:ind w:firstLine="313"/>
        <w:jc w:val="center"/>
        <w:spacing w:line="360" w:lineRule="auto"/>
        <w:rPr>
          <w:rFonts w:hint="eastAsia" w:ascii="宋体" w:hAnsi="宋体" w:eastAsia="宋体" w:cs="宋体"/>
          <w:sz w:val="28"/>
          <w:szCs w:val="28"/>
        </w:rPr>
      </w:pPr>
      <w:r>
        <w:rPr>
          <w:rFonts w:hint="eastAsia" w:ascii="宋体" w:hAnsi="宋体" w:eastAsia="宋体" w:cs="宋体"/>
          <w:sz w:val="28"/>
          <w:szCs w:val="28"/>
        </w:rPr>
      </w:r>
      <w:r/>
    </w:p>
    <w:p>
      <w:pPr>
        <w:ind w:firstLine="960"/>
        <w:jc w:val="left"/>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960"/>
        <w:jc w:val="left"/>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960"/>
        <w:jc w:val="left"/>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960"/>
        <w:jc w:val="left"/>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960"/>
        <w:jc w:val="left"/>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964"/>
        <w:jc w:val="left"/>
        <w:spacing w:line="499" w:lineRule="atLeast"/>
        <w:widowControl/>
        <w:rPr>
          <w:rFonts w:hint="eastAsia" w:ascii="宋体" w:hAnsi="宋体" w:eastAsia="宋体" w:cs="宋体"/>
          <w:b/>
          <w:bCs/>
          <w:sz w:val="32"/>
          <w:szCs w:val="32"/>
        </w:rPr>
      </w:pPr>
      <w:r>
        <w:rPr>
          <w:rFonts w:hint="eastAsia" w:ascii="宋体" w:hAnsi="宋体" w:eastAsia="宋体" w:cs="宋体"/>
          <w:b/>
          <w:bCs/>
          <w:sz w:val="32"/>
          <w:szCs w:val="32"/>
        </w:rPr>
      </w:r>
      <w:r/>
    </w:p>
    <w:p>
      <w:pPr>
        <w:jc w:val="left"/>
        <w:widowControl/>
        <w:rPr>
          <w:rFonts w:hint="eastAsia" w:ascii="宋体" w:hAnsi="宋体" w:eastAsia="宋体" w:cs="宋体"/>
          <w:b/>
          <w:bCs/>
          <w:sz w:val="32"/>
          <w:szCs w:val="32"/>
        </w:rPr>
      </w:pPr>
      <w:r>
        <w:rPr>
          <w:rFonts w:hint="eastAsia" w:ascii="宋体" w:hAnsi="宋体" w:eastAsia="宋体" w:cs="宋体"/>
          <w:b/>
          <w:bCs/>
          <w:sz w:val="32"/>
          <w:szCs w:val="32"/>
        </w:rPr>
        <w:br w:type="page" w:clear="all"/>
      </w:r>
      <w:r/>
    </w:p>
    <w:p>
      <w:pPr>
        <w:ind w:firstLine="1285"/>
        <w:jc w:val="left"/>
        <w:spacing w:line="499" w:lineRule="atLeast"/>
        <w:widowControl/>
        <w:rPr>
          <w:rFonts w:hint="eastAsia" w:ascii="宋体" w:hAnsi="宋体" w:eastAsia="宋体" w:cs="宋体"/>
          <w:b/>
          <w:bCs/>
          <w:sz w:val="24"/>
        </w:rPr>
      </w:pPr>
      <w:r>
        <w:rPr>
          <w:rFonts w:hint="eastAsia" w:ascii="宋体" w:hAnsi="宋体" w:eastAsia="宋体" w:cs="宋体"/>
          <w:b/>
          <w:bCs/>
          <w:sz w:val="32"/>
          <w:szCs w:val="32"/>
        </w:rPr>
        <w:t xml:space="preserve">十八、盐城市政府采购事前信用承诺书</w:t>
      </w:r>
      <w:r/>
    </w:p>
    <w:p>
      <w:pPr>
        <w:ind w:firstLine="480"/>
        <w:jc w:val="left"/>
        <w:spacing w:line="460" w:lineRule="exact"/>
        <w:widowControl/>
        <w:rPr>
          <w:rFonts w:hint="eastAsia" w:ascii="宋体" w:hAnsi="宋体" w:eastAsia="宋体" w:cs="宋体"/>
          <w:sz w:val="24"/>
        </w:rPr>
      </w:pPr>
      <w:r>
        <w:rPr>
          <w:rFonts w:hint="eastAsia" w:ascii="宋体" w:hAnsi="宋体" w:eastAsia="宋体" w:cs="宋体"/>
          <w:sz w:val="24"/>
        </w:rPr>
        <w:t xml:space="preserve">为营造我市公开、公平、公正、诚实守信的政府采购交易环境，树立诚信守法的投标人形象，本人代表本单位作出以下承诺：</w:t>
      </w:r>
      <w:r/>
    </w:p>
    <w:p>
      <w:pPr>
        <w:ind w:firstLine="480"/>
        <w:jc w:val="left"/>
        <w:spacing w:line="460" w:lineRule="exact"/>
        <w:widowControl/>
        <w:rPr>
          <w:rFonts w:hint="eastAsia" w:ascii="宋体" w:hAnsi="宋体" w:eastAsia="宋体" w:cs="宋体"/>
          <w:sz w:val="24"/>
        </w:rPr>
      </w:pPr>
      <w:r>
        <w:rPr>
          <w:rFonts w:hint="eastAsia" w:ascii="宋体" w:hAnsi="宋体" w:eastAsia="宋体" w:cs="宋体"/>
          <w:sz w:val="24"/>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60" w:lineRule="exact"/>
        <w:widowControl/>
        <w:rPr>
          <w:rFonts w:hint="eastAsia" w:ascii="宋体" w:hAnsi="宋体" w:eastAsia="宋体" w:cs="宋体"/>
          <w:sz w:val="24"/>
        </w:rPr>
      </w:pPr>
      <w:r>
        <w:rPr>
          <w:rFonts w:hint="eastAsia" w:ascii="宋体" w:hAnsi="宋体" w:eastAsia="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60" w:lineRule="exact"/>
        <w:widowControl/>
        <w:rPr>
          <w:rFonts w:hint="eastAsia" w:ascii="宋体" w:hAnsi="宋体" w:eastAsia="宋体" w:cs="宋体"/>
          <w:sz w:val="24"/>
        </w:rPr>
      </w:pPr>
      <w:r>
        <w:rPr>
          <w:rFonts w:hint="eastAsia" w:ascii="宋体" w:hAnsi="宋体" w:eastAsia="宋体" w:cs="宋体"/>
          <w:sz w:val="24"/>
        </w:rPr>
        <w:t xml:space="preserve">（三）严格依照国家和省、市关于政府采购的法律、法规、规章、规范性文件，参加政府采购投标活动；积极履行社会责任，促进廉政建设； </w:t>
      </w:r>
      <w:r/>
    </w:p>
    <w:p>
      <w:pPr>
        <w:ind w:firstLine="480"/>
        <w:jc w:val="left"/>
        <w:spacing w:line="460" w:lineRule="exact"/>
        <w:widowControl/>
        <w:rPr>
          <w:rFonts w:hint="eastAsia" w:ascii="宋体" w:hAnsi="宋体" w:eastAsia="宋体" w:cs="宋体"/>
          <w:sz w:val="24"/>
        </w:rPr>
      </w:pPr>
      <w:r>
        <w:rPr>
          <w:rFonts w:hint="eastAsia" w:ascii="宋体" w:hAnsi="宋体" w:eastAsia="宋体" w:cs="宋体"/>
          <w:sz w:val="24"/>
        </w:rPr>
        <w:t xml:space="preserve">（四）严格遵守即时信息公示规定，及时维护和更新盐城市政府采购网中与本单位相关的信息；</w:t>
      </w:r>
      <w:r/>
    </w:p>
    <w:p>
      <w:pPr>
        <w:ind w:firstLine="480"/>
        <w:jc w:val="left"/>
        <w:spacing w:line="460" w:lineRule="exact"/>
        <w:widowControl/>
        <w:rPr>
          <w:rFonts w:hint="eastAsia" w:ascii="宋体" w:hAnsi="宋体" w:eastAsia="宋体" w:cs="宋体"/>
          <w:sz w:val="24"/>
        </w:rPr>
      </w:pPr>
      <w:r>
        <w:rPr>
          <w:rFonts w:hint="eastAsia" w:ascii="宋体" w:hAnsi="宋体" w:eastAsia="宋体" w:cs="宋体"/>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60" w:lineRule="exact"/>
        <w:widowControl/>
        <w:rPr>
          <w:rFonts w:hint="eastAsia" w:ascii="宋体" w:hAnsi="宋体" w:eastAsia="宋体" w:cs="宋体"/>
          <w:sz w:val="24"/>
        </w:rPr>
      </w:pPr>
      <w:r>
        <w:rPr>
          <w:rFonts w:hint="eastAsia" w:ascii="宋体" w:hAnsi="宋体" w:eastAsia="宋体" w:cs="宋体"/>
          <w:sz w:val="24"/>
        </w:rPr>
        <w:t xml:space="preserve">（六）自觉接受政府、行业组织、社会公众、新闻舆论的监督；</w:t>
      </w:r>
      <w:r/>
    </w:p>
    <w:p>
      <w:pPr>
        <w:ind w:firstLine="480"/>
        <w:jc w:val="left"/>
        <w:spacing w:line="460" w:lineRule="exact"/>
        <w:widowControl/>
        <w:rPr>
          <w:rFonts w:hint="eastAsia" w:ascii="宋体" w:hAnsi="宋体" w:eastAsia="宋体" w:cs="宋体"/>
          <w:sz w:val="24"/>
        </w:rPr>
      </w:pPr>
      <w:r>
        <w:rPr>
          <w:rFonts w:hint="eastAsia" w:ascii="宋体" w:hAnsi="宋体" w:eastAsia="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60" w:lineRule="exact"/>
        <w:widowControl/>
        <w:rPr>
          <w:rFonts w:hint="eastAsia" w:ascii="宋体" w:hAnsi="宋体" w:eastAsia="宋体" w:cs="宋体"/>
          <w:sz w:val="24"/>
        </w:rPr>
      </w:pPr>
      <w:r>
        <w:rPr>
          <w:rFonts w:hint="eastAsia" w:ascii="宋体" w:hAnsi="宋体" w:eastAsia="宋体" w:cs="宋体"/>
          <w:sz w:val="24"/>
        </w:rPr>
        <w:t xml:space="preserve">（八）本人已认真阅读了上述承诺，并向本单位员工作了宣传教育。</w:t>
      </w:r>
      <w:r/>
    </w:p>
    <w:p>
      <w:pPr>
        <w:ind w:firstLine="72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法定代表人签名：</w:t>
      </w:r>
      <w:r/>
    </w:p>
    <w:p>
      <w:pPr>
        <w:ind w:firstLine="72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单位名称（加盖CA电子公章）：</w:t>
      </w:r>
      <w:r/>
    </w:p>
    <w:p>
      <w:pPr>
        <w:ind w:firstLine="72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年月日</w:t>
      </w:r>
      <w:r/>
    </w:p>
    <w:p>
      <w:pPr>
        <w:pStyle w:val="634"/>
        <w:ind w:firstLine="2249"/>
        <w:spacing w:beforeAutospacing="0" w:afterAutospacing="0"/>
      </w:pPr>
      <w:r/>
      <w:bookmarkEnd w:id="32"/>
      <w:bookmarkEnd w:id="47"/>
      <w:bookmarkEnd w:id="92"/>
      <w:bookmarkEnd w:id="93"/>
      <w:bookmarkEnd w:id="94"/>
      <w:bookmarkEnd w:id="97"/>
      <w:bookmarkEnd w:id="98"/>
      <w:bookmarkEnd w:id="99"/>
      <w:bookmarkEnd w:id="100"/>
      <w:bookmarkEnd w:id="101"/>
      <w:bookmarkEnd w:id="102"/>
      <w:bookmarkEnd w:id="103"/>
      <w:bookmarkEnd w:id="104"/>
      <w:bookmarkEnd w:id="105"/>
      <w:bookmarkEnd w:id="106"/>
      <w:bookmarkEnd w:id="107"/>
      <w:bookmarkEnd w:id="108"/>
      <w:bookmarkEnd w:id="109"/>
      <w:bookmarkEnd w:id="114"/>
      <w:bookmarkEnd w:id="115"/>
      <w:bookmarkEnd w:id="116"/>
      <w:bookmarkEnd w:id="121"/>
      <w:bookmarkEnd w:id="122"/>
      <w:bookmarkEnd w:id="129"/>
      <w:bookmarkEnd w:id="180"/>
      <w:bookmarkEnd w:id="183"/>
      <w:bookmarkEnd w:id="188"/>
      <w:bookmarkEnd w:id="189"/>
      <w:bookmarkEnd w:id="191"/>
      <w:bookmarkEnd w:id="192"/>
      <w:bookmarkEnd w:id="193"/>
      <w:bookmarkEnd w:id="197"/>
      <w:bookmarkEnd w:id="206"/>
      <w:bookmarkEnd w:id="207"/>
      <w:bookmarkEnd w:id="208"/>
      <w:bookmarkEnd w:id="209"/>
      <w:bookmarkEnd w:id="210"/>
      <w:r/>
    </w:p>
    <w:p>
      <w:pPr>
        <w:jc w:val="left"/>
      </w:pPr>
      <w:r/>
      <w:r/>
    </w:p>
    <w:p>
      <w:pPr>
        <w:pStyle w:val="634"/>
        <w:ind w:firstLine="2249"/>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634"/>
        <w:ind w:firstLine="2249"/>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634"/>
        <w:ind w:firstLine="2249"/>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634"/>
        <w:ind w:firstLine="3213"/>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t xml:space="preserve">质疑函范本</w:t>
      </w:r>
      <w:r/>
    </w:p>
    <w:p>
      <w:pPr>
        <w:pStyle w:val="634"/>
        <w:spacing w:before="290" w:beforeAutospacing="0" w:afterAutospacing="0" w:line="360" w:lineRule="auto"/>
        <w:rPr>
          <w:rFonts w:hint="eastAsia" w:ascii="宋体" w:hAnsi="宋体" w:eastAsia="宋体" w:cs="宋体"/>
        </w:rPr>
      </w:pPr>
      <w:r>
        <w:rPr>
          <w:rFonts w:hint="eastAsia" w:ascii="宋体" w:hAnsi="宋体" w:eastAsia="宋体" w:cs="宋体"/>
        </w:rPr>
        <w:t xml:space="preserve">一、质疑供应商基本信息</w:t>
      </w:r>
      <w:r/>
    </w:p>
    <w:p>
      <w:pPr>
        <w:pStyle w:val="634"/>
        <w:spacing w:beforeAutospacing="0" w:afterAutospacing="0" w:line="360" w:lineRule="auto"/>
        <w:rPr>
          <w:rFonts w:hint="eastAsia" w:ascii="宋体" w:hAnsi="宋体" w:eastAsia="宋体" w:cs="宋体"/>
        </w:rPr>
      </w:pPr>
      <w:r>
        <w:rPr>
          <w:rFonts w:hint="eastAsia" w:ascii="宋体" w:hAnsi="宋体" w:eastAsia="宋体" w:cs="宋体"/>
        </w:rPr>
        <w:t xml:space="preserve">质疑供应商：</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 xml:space="preserve">       </w:t>
      </w:r>
      <w:r/>
    </w:p>
    <w:p>
      <w:pPr>
        <w:pStyle w:val="634"/>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34"/>
        <w:spacing w:beforeAutospacing="0" w:afterAutospacing="0" w:line="360" w:lineRule="auto"/>
        <w:rPr>
          <w:rFonts w:hint="eastAsia"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34"/>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联系人：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34"/>
        <w:spacing w:beforeAutospacing="0" w:afterAutospacing="0" w:line="360" w:lineRule="auto"/>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p>
    <w:p>
      <w:pPr>
        <w:pStyle w:val="634"/>
        <w:spacing w:beforeAutospacing="0" w:afterAutospacing="0" w:line="360" w:lineRule="auto"/>
        <w:rPr>
          <w:rFonts w:hint="eastAsia" w:ascii="宋体" w:hAnsi="宋体" w:eastAsia="宋体" w:cs="宋体"/>
        </w:rPr>
      </w:pPr>
      <w:r>
        <w:rPr>
          <w:rFonts w:hint="eastAsia" w:ascii="宋体" w:hAnsi="宋体" w:eastAsia="宋体" w:cs="宋体"/>
        </w:rPr>
        <w:t xml:space="preserve">授权代表：</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34"/>
        <w:spacing w:beforeAutospacing="0" w:afterAutospacing="0" w:line="360" w:lineRule="auto"/>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34"/>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地址： </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34"/>
        <w:spacing w:beforeAutospacing="0" w:afterAutospacing="0" w:line="360" w:lineRule="auto"/>
        <w:rPr>
          <w:rFonts w:hint="eastAsia"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p>
    <w:p>
      <w:pPr>
        <w:pStyle w:val="634"/>
        <w:spacing w:beforeAutospacing="0" w:afterAutospacing="0" w:line="360" w:lineRule="auto"/>
        <w:rPr>
          <w:rFonts w:hint="eastAsia" w:ascii="宋体" w:hAnsi="宋体" w:eastAsia="宋体" w:cs="宋体"/>
        </w:rPr>
      </w:pPr>
      <w:r>
        <w:rPr>
          <w:rFonts w:hint="eastAsia" w:ascii="宋体" w:hAnsi="宋体" w:eastAsia="宋体" w:cs="宋体"/>
        </w:rPr>
        <w:t xml:space="preserve">二、质疑项目基本情况</w:t>
      </w:r>
      <w:r/>
    </w:p>
    <w:p>
      <w:pPr>
        <w:pStyle w:val="634"/>
        <w:spacing w:beforeAutospacing="0" w:afterAutospacing="0" w:line="360" w:lineRule="auto"/>
        <w:rPr>
          <w:rFonts w:hint="eastAsia" w:ascii="宋体" w:hAnsi="宋体" w:eastAsia="宋体" w:cs="宋体"/>
        </w:rPr>
      </w:pPr>
      <w:r>
        <w:rPr>
          <w:rFonts w:hint="eastAsia" w:ascii="宋体" w:hAnsi="宋体" w:eastAsia="宋体" w:cs="宋体"/>
        </w:rPr>
        <w:t xml:space="preserve">质疑项目的名称：</w:t>
      </w:r>
      <w:r>
        <w:rPr>
          <w:rFonts w:hint="eastAsia" w:ascii="宋体" w:hAnsi="宋体" w:eastAsia="宋体" w:cs="宋体"/>
          <w:u w:val="single"/>
        </w:rPr>
        <w:t xml:space="preserve">                            </w:t>
      </w:r>
      <w:r/>
    </w:p>
    <w:p>
      <w:pPr>
        <w:pStyle w:val="634"/>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质疑项目的编号：</w:t>
      </w:r>
      <w:r>
        <w:rPr>
          <w:rFonts w:hint="eastAsia" w:ascii="宋体" w:hAnsi="宋体" w:eastAsia="宋体" w:cs="宋体"/>
          <w:u w:val="single"/>
        </w:rPr>
        <w:t xml:space="preserve">                          </w:t>
      </w:r>
      <w:r/>
    </w:p>
    <w:p>
      <w:pPr>
        <w:pStyle w:val="634"/>
        <w:spacing w:beforeAutospacing="0" w:afterAutospacing="0" w:line="360" w:lineRule="auto"/>
        <w:rPr>
          <w:rFonts w:hint="eastAsia" w:ascii="宋体" w:hAnsi="宋体" w:eastAsia="宋体" w:cs="宋体"/>
        </w:rPr>
      </w:pPr>
      <w:r>
        <w:rPr>
          <w:rFonts w:hint="eastAsia" w:ascii="宋体" w:hAnsi="宋体" w:eastAsia="宋体" w:cs="宋体"/>
        </w:rPr>
        <w:t xml:space="preserve">包号：</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34"/>
        <w:spacing w:beforeAutospacing="0" w:afterAutospacing="0" w:line="360" w:lineRule="auto"/>
        <w:rPr>
          <w:rFonts w:hint="eastAsia" w:ascii="宋体" w:hAnsi="宋体" w:eastAsia="宋体" w:cs="宋体"/>
        </w:rPr>
      </w:pPr>
      <w:r>
        <w:rPr>
          <w:rFonts w:hint="eastAsia" w:ascii="宋体" w:hAnsi="宋体" w:eastAsia="宋体" w:cs="宋体"/>
        </w:rPr>
        <w:t xml:space="preserve">采购人名称：</w:t>
      </w:r>
      <w:r>
        <w:rPr>
          <w:rFonts w:hint="eastAsia" w:ascii="宋体" w:hAnsi="宋体" w:eastAsia="宋体" w:cs="宋体"/>
          <w:u w:val="single"/>
        </w:rPr>
        <w:t xml:space="preserve">                            </w:t>
      </w:r>
      <w:r/>
    </w:p>
    <w:p>
      <w:pPr>
        <w:pStyle w:val="634"/>
        <w:spacing w:beforeAutospacing="0" w:afterAutospacing="0" w:line="360" w:lineRule="auto"/>
        <w:rPr>
          <w:rFonts w:hint="eastAsia" w:ascii="宋体" w:hAnsi="宋体" w:eastAsia="宋体" w:cs="宋体"/>
        </w:rPr>
      </w:pPr>
      <w:r>
        <w:rPr>
          <w:rFonts w:hint="eastAsia" w:ascii="宋体" w:hAnsi="宋体" w:eastAsia="宋体" w:cs="宋体"/>
        </w:rPr>
        <w:t xml:space="preserve">采购文件获取日期：</w:t>
      </w:r>
      <w:r>
        <w:rPr>
          <w:rFonts w:hint="eastAsia" w:ascii="宋体" w:hAnsi="宋体" w:eastAsia="宋体" w:cs="宋体"/>
          <w:u w:val="single"/>
        </w:rPr>
        <w:t xml:space="preserve">                             </w:t>
      </w:r>
      <w:r/>
    </w:p>
    <w:p>
      <w:pPr>
        <w:pStyle w:val="634"/>
        <w:spacing w:beforeAutospacing="0" w:afterAutospacing="0" w:line="360" w:lineRule="auto"/>
        <w:rPr>
          <w:rFonts w:hint="eastAsia" w:ascii="宋体" w:hAnsi="宋体" w:eastAsia="宋体" w:cs="宋体"/>
        </w:rPr>
      </w:pPr>
      <w:r>
        <w:rPr>
          <w:rFonts w:hint="eastAsia" w:ascii="宋体" w:hAnsi="宋体" w:eastAsia="宋体" w:cs="宋体"/>
        </w:rPr>
        <w:t xml:space="preserve">三、质疑事项具体内容</w:t>
      </w:r>
      <w:r/>
    </w:p>
    <w:p>
      <w:pPr>
        <w:pStyle w:val="634"/>
        <w:spacing w:beforeAutospacing="0" w:afterAutospacing="0" w:line="360" w:lineRule="auto"/>
        <w:rPr>
          <w:rFonts w:hint="eastAsia" w:ascii="宋体" w:hAnsi="宋体" w:eastAsia="宋体" w:cs="宋体"/>
        </w:rPr>
      </w:pPr>
      <w:r>
        <w:rPr>
          <w:rFonts w:hint="eastAsia" w:ascii="宋体" w:hAnsi="宋体" w:eastAsia="宋体" w:cs="宋体"/>
        </w:rPr>
        <w:t xml:space="preserve">质疑事项1：</w:t>
      </w:r>
      <w:r>
        <w:rPr>
          <w:rFonts w:hint="eastAsia" w:ascii="宋体" w:hAnsi="宋体" w:eastAsia="宋体" w:cs="宋体"/>
          <w:u w:val="single"/>
        </w:rPr>
        <w:t xml:space="preserve">                             </w:t>
      </w:r>
      <w:r/>
    </w:p>
    <w:p>
      <w:pPr>
        <w:pStyle w:val="634"/>
        <w:spacing w:beforeAutospacing="0" w:afterAutospacing="0" w:line="360" w:lineRule="auto"/>
        <w:rPr>
          <w:rFonts w:hint="eastAsia" w:ascii="宋体" w:hAnsi="宋体" w:eastAsia="宋体" w:cs="宋体"/>
        </w:rPr>
      </w:pPr>
      <w:r>
        <w:rPr>
          <w:rFonts w:hint="eastAsia" w:ascii="宋体" w:hAnsi="宋体" w:eastAsia="宋体" w:cs="宋体"/>
        </w:rPr>
        <w:t xml:space="preserve">事实依据：</w:t>
      </w:r>
      <w:r>
        <w:rPr>
          <w:rFonts w:hint="eastAsia" w:ascii="宋体" w:hAnsi="宋体" w:eastAsia="宋体" w:cs="宋体"/>
          <w:u w:val="single"/>
        </w:rPr>
        <w:t xml:space="preserve">                                                   </w:t>
      </w:r>
      <w:r/>
    </w:p>
    <w:p>
      <w:pPr>
        <w:pStyle w:val="634"/>
        <w:spacing w:beforeAutospacing="0" w:afterAutospacing="0" w:line="360" w:lineRule="auto"/>
        <w:rPr>
          <w:rFonts w:hint="eastAsia" w:ascii="宋体" w:hAnsi="宋体" w:eastAsia="宋体" w:cs="宋体"/>
        </w:rPr>
      </w:pPr>
      <w:r>
        <w:rPr>
          <w:rFonts w:hint="eastAsia" w:ascii="宋体" w:hAnsi="宋体" w:eastAsia="宋体" w:cs="宋体"/>
        </w:rPr>
        <w:t xml:space="preserve">法律依据：</w:t>
      </w:r>
      <w:r>
        <w:rPr>
          <w:rFonts w:hint="eastAsia" w:ascii="宋体" w:hAnsi="宋体" w:eastAsia="宋体" w:cs="宋体"/>
          <w:u w:val="single"/>
        </w:rPr>
        <w:t xml:space="preserve">                                                    </w:t>
      </w:r>
      <w:r/>
    </w:p>
    <w:p>
      <w:pPr>
        <w:pStyle w:val="634"/>
        <w:spacing w:beforeAutospacing="0" w:afterAutospacing="0" w:line="360" w:lineRule="auto"/>
        <w:rPr>
          <w:rFonts w:hint="eastAsia" w:ascii="宋体" w:hAnsi="宋体" w:eastAsia="宋体" w:cs="宋体"/>
        </w:rPr>
      </w:pPr>
      <w:r>
        <w:rPr>
          <w:rFonts w:hint="eastAsia" w:ascii="宋体" w:hAnsi="宋体" w:eastAsia="宋体" w:cs="宋体"/>
        </w:rPr>
        <w:t xml:space="preserve">质疑事项2</w:t>
      </w:r>
      <w:r/>
    </w:p>
    <w:p>
      <w:pPr>
        <w:pStyle w:val="634"/>
        <w:ind w:firstLine="2249"/>
        <w:spacing w:beforeAutospacing="0" w:afterAutospacing="0" w:line="360" w:lineRule="auto"/>
        <w:rPr>
          <w:rFonts w:hint="eastAsia" w:ascii="宋体" w:hAnsi="宋体" w:eastAsia="宋体" w:cs="宋体"/>
        </w:rPr>
      </w:pPr>
      <w:r>
        <w:rPr>
          <w:rFonts w:hint="eastAsia" w:ascii="宋体" w:hAnsi="宋体" w:eastAsia="宋体" w:cs="宋体"/>
        </w:rPr>
        <w:t xml:space="preserve">……</w:t>
      </w:r>
      <w:r/>
    </w:p>
    <w:p>
      <w:pPr>
        <w:pStyle w:val="634"/>
        <w:spacing w:beforeAutospacing="0" w:afterAutospacing="0" w:line="360" w:lineRule="auto"/>
        <w:rPr>
          <w:rFonts w:hint="eastAsia" w:ascii="宋体" w:hAnsi="宋体" w:eastAsia="宋体" w:cs="宋体"/>
        </w:rPr>
      </w:pPr>
      <w:r>
        <w:rPr>
          <w:rFonts w:hint="eastAsia" w:ascii="宋体" w:hAnsi="宋体" w:eastAsia="宋体" w:cs="宋体"/>
        </w:rPr>
        <w:t xml:space="preserve">四、与质疑事项相关的质疑请求</w:t>
      </w:r>
      <w:r/>
    </w:p>
    <w:p>
      <w:pPr>
        <w:pStyle w:val="634"/>
        <w:spacing w:beforeAutospacing="0" w:afterAutospacing="0" w:line="360" w:lineRule="auto"/>
        <w:rPr>
          <w:rFonts w:hint="eastAsia" w:ascii="宋体" w:hAnsi="宋体" w:eastAsia="宋体" w:cs="宋体"/>
        </w:rPr>
      </w:pPr>
      <w:r>
        <w:rPr>
          <w:rFonts w:hint="eastAsia" w:ascii="宋体" w:hAnsi="宋体" w:eastAsia="宋体" w:cs="宋体"/>
        </w:rPr>
        <w:t xml:space="preserve">请求：</w:t>
      </w:r>
      <w:r>
        <w:rPr>
          <w:rFonts w:hint="eastAsia" w:ascii="宋体" w:hAnsi="宋体" w:eastAsia="宋体" w:cs="宋体"/>
          <w:u w:val="single"/>
        </w:rPr>
        <w:t xml:space="preserve">                                                          </w:t>
      </w:r>
      <w:r/>
    </w:p>
    <w:p>
      <w:pPr>
        <w:pStyle w:val="634"/>
        <w:spacing w:beforeAutospacing="0" w:afterAutospacing="0"/>
        <w:rPr>
          <w:rFonts w:hint="eastAsia" w:ascii="宋体" w:hAnsi="宋体" w:eastAsia="宋体" w:cs="宋体"/>
        </w:rPr>
      </w:pPr>
      <w:r>
        <w:rPr>
          <w:rFonts w:hint="eastAsia" w:ascii="宋体" w:hAnsi="宋体" w:eastAsia="宋体" w:cs="宋体"/>
        </w:rPr>
        <w:t xml:space="preserve">签字(签章)：                 公章：               日期：    </w:t>
      </w:r>
      <w:r/>
    </w:p>
    <w:p>
      <w:pPr>
        <w:pStyle w:val="634"/>
        <w:ind w:firstLine="2249"/>
        <w:spacing w:beforeAutospacing="0" w:afterAutospacing="0" w:line="0" w:lineRule="atLeast"/>
        <w:rPr>
          <w:rFonts w:hint="eastAsia" w:ascii="宋体" w:hAnsi="宋体" w:eastAsia="宋体" w:cs="宋体"/>
        </w:rPr>
      </w:pPr>
      <w:r>
        <w:rPr>
          <w:rFonts w:hint="eastAsia" w:ascii="宋体" w:hAnsi="宋体" w:eastAsia="宋体" w:cs="宋体"/>
          <w:b/>
        </w:rPr>
        <w:t xml:space="preserve">质疑函制作说明：</w:t>
      </w:r>
      <w:r/>
    </w:p>
    <w:p>
      <w:pPr>
        <w:pStyle w:val="634"/>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1.供应商提出质疑时，应提交质疑函和必要的证明材料。</w:t>
      </w:r>
      <w:r/>
    </w:p>
    <w:p>
      <w:pPr>
        <w:pStyle w:val="634"/>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34"/>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3.质疑供应商若对项目的某一分包进行质疑，质疑函中应列明具体分包号。</w:t>
      </w:r>
      <w:r/>
    </w:p>
    <w:p>
      <w:pPr>
        <w:pStyle w:val="634"/>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4.质疑函的质疑事项应具体、明确，并有必要的事实依据和法律依据。</w:t>
      </w:r>
      <w:r/>
    </w:p>
    <w:p>
      <w:pPr>
        <w:pStyle w:val="634"/>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5.质疑函的质疑请求应与质疑事项相关。</w:t>
      </w:r>
      <w:r/>
    </w:p>
    <w:p>
      <w:pPr>
        <w:pStyle w:val="634"/>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6.质疑供应商为自然人的，质疑函应由本人签字；质疑供应商为法人或者其他组织的，质疑函应由法定代表人、主要负责人，或者其授权代表签字或者盖章，并加盖公章。</w:t>
      </w:r>
      <w:r/>
    </w:p>
    <w:p>
      <w:pPr>
        <w:pStyle w:val="634"/>
        <w:ind w:firstLine="2249"/>
        <w:spacing w:beforeAutospacing="0" w:afterAutospacing="0"/>
        <w:rPr>
          <w:rFonts w:hint="eastAsia" w:ascii="宋体" w:hAnsi="宋体" w:eastAsia="宋体" w:cs="宋体"/>
        </w:rPr>
      </w:pPr>
      <w:r>
        <w:rPr>
          <w:rFonts w:hint="eastAsia" w:ascii="宋体" w:hAnsi="宋体" w:eastAsia="宋体" w:cs="宋体"/>
        </w:rPr>
        <w:t xml:space="preserve"> </w:t>
      </w:r>
      <w:r/>
    </w:p>
    <w:p>
      <w:pPr>
        <w:jc w:val="left"/>
      </w:pPr>
      <w:r/>
      <w:r/>
    </w:p>
    <w:sectPr>
      <w:footerReference w:type="default" r:id="rId9"/>
      <w:footnotePr/>
      <w:endnotePr/>
      <w:type w:val="nextPage"/>
      <w:pgSz w:w="11906" w:h="16838" w:orient="portrait"/>
      <w:pgMar w:top="1474" w:right="1418" w:bottom="1440" w:left="1418"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楷体">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Calibri">
    <w:panose1 w:val="020F0502020204030204"/>
  </w:font>
  <w:font w:name="等线">
    <w:panose1 w:val="02010600030101010101"/>
  </w:font>
  <w:font w:name="仿宋">
    <w:panose1 w:val="02010609060101010101"/>
  </w:font>
  <w:font w:name="Arial">
    <w:panose1 w:val="020B0604020202020204"/>
  </w:font>
  <w:font w:name="SimSun">
    <w:panose1 w:val="02010600030101010101"/>
  </w:font>
  <w:font w:name="Helvetica">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45766052"/>
      <w:rPr/>
    </w:sdtPr>
    <w:sdtContent>
      <w:p>
        <w:pPr>
          <w:pStyle w:val="632"/>
          <w:jc w:val="center"/>
        </w:pPr>
        <w:r>
          <w:fldChar w:fldCharType="begin"/>
        </w:r>
        <w:r>
          <w:instrText xml:space="preserve">PAGE   \* MERGEFORMAT</w:instrText>
        </w:r>
        <w:r>
          <w:fldChar w:fldCharType="separate"/>
        </w:r>
        <w:r>
          <w:rPr>
            <w:lang w:val="zh-CN"/>
          </w:rPr>
          <w:t xml:space="preserve">2</w:t>
        </w:r>
        <w:r>
          <w:fldChar w:fldCharType="end"/>
        </w:r>
        <w:r/>
      </w:p>
    </w:sdtContent>
  </w:sdt>
  <w:p>
    <w:pPr>
      <w:pStyle w:val="6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27"/>
    <w:link w:val="625"/>
    <w:uiPriority w:val="9"/>
    <w:rPr>
      <w:rFonts w:ascii="Arial" w:hAnsi="Arial" w:eastAsia="Arial" w:cs="Arial"/>
      <w:sz w:val="40"/>
      <w:szCs w:val="40"/>
    </w:rPr>
  </w:style>
  <w:style w:type="character" w:styleId="15">
    <w:name w:val="Heading 2 Char"/>
    <w:basedOn w:val="627"/>
    <w:link w:val="626"/>
    <w:uiPriority w:val="9"/>
    <w:rPr>
      <w:rFonts w:ascii="Arial" w:hAnsi="Arial" w:eastAsia="Arial" w:cs="Arial"/>
      <w:sz w:val="34"/>
    </w:rPr>
  </w:style>
  <w:style w:type="paragraph" w:styleId="16">
    <w:name w:val="Heading 3"/>
    <w:basedOn w:val="624"/>
    <w:next w:val="62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27"/>
    <w:link w:val="16"/>
    <w:uiPriority w:val="9"/>
    <w:rPr>
      <w:rFonts w:ascii="Arial" w:hAnsi="Arial" w:eastAsia="Arial" w:cs="Arial"/>
      <w:sz w:val="30"/>
      <w:szCs w:val="30"/>
    </w:rPr>
  </w:style>
  <w:style w:type="paragraph" w:styleId="18">
    <w:name w:val="Heading 4"/>
    <w:basedOn w:val="624"/>
    <w:next w:val="62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27"/>
    <w:link w:val="18"/>
    <w:uiPriority w:val="9"/>
    <w:rPr>
      <w:rFonts w:ascii="Arial" w:hAnsi="Arial" w:eastAsia="Arial" w:cs="Arial"/>
      <w:b/>
      <w:bCs/>
      <w:sz w:val="26"/>
      <w:szCs w:val="26"/>
    </w:rPr>
  </w:style>
  <w:style w:type="paragraph" w:styleId="20">
    <w:name w:val="Heading 5"/>
    <w:basedOn w:val="624"/>
    <w:next w:val="62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27"/>
    <w:link w:val="20"/>
    <w:uiPriority w:val="9"/>
    <w:rPr>
      <w:rFonts w:ascii="Arial" w:hAnsi="Arial" w:eastAsia="Arial" w:cs="Arial"/>
      <w:b/>
      <w:bCs/>
      <w:sz w:val="24"/>
      <w:szCs w:val="24"/>
    </w:rPr>
  </w:style>
  <w:style w:type="paragraph" w:styleId="22">
    <w:name w:val="Heading 6"/>
    <w:basedOn w:val="624"/>
    <w:next w:val="62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27"/>
    <w:link w:val="22"/>
    <w:uiPriority w:val="9"/>
    <w:rPr>
      <w:rFonts w:ascii="Arial" w:hAnsi="Arial" w:eastAsia="Arial" w:cs="Arial"/>
      <w:b/>
      <w:bCs/>
      <w:sz w:val="22"/>
      <w:szCs w:val="22"/>
    </w:rPr>
  </w:style>
  <w:style w:type="paragraph" w:styleId="24">
    <w:name w:val="Heading 7"/>
    <w:basedOn w:val="624"/>
    <w:next w:val="62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27"/>
    <w:link w:val="24"/>
    <w:uiPriority w:val="9"/>
    <w:rPr>
      <w:rFonts w:ascii="Arial" w:hAnsi="Arial" w:eastAsia="Arial" w:cs="Arial"/>
      <w:b/>
      <w:bCs/>
      <w:i/>
      <w:iCs/>
      <w:sz w:val="22"/>
      <w:szCs w:val="22"/>
    </w:rPr>
  </w:style>
  <w:style w:type="paragraph" w:styleId="26">
    <w:name w:val="Heading 8"/>
    <w:basedOn w:val="624"/>
    <w:next w:val="62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27"/>
    <w:link w:val="26"/>
    <w:uiPriority w:val="9"/>
    <w:rPr>
      <w:rFonts w:ascii="Arial" w:hAnsi="Arial" w:eastAsia="Arial" w:cs="Arial"/>
      <w:i/>
      <w:iCs/>
      <w:sz w:val="22"/>
      <w:szCs w:val="22"/>
    </w:rPr>
  </w:style>
  <w:style w:type="paragraph" w:styleId="28">
    <w:name w:val="Heading 9"/>
    <w:basedOn w:val="624"/>
    <w:next w:val="62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27"/>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24"/>
    <w:next w:val="624"/>
    <w:link w:val="34"/>
    <w:uiPriority w:val="10"/>
    <w:qFormat/>
    <w:pPr>
      <w:contextualSpacing/>
      <w:spacing w:before="300" w:after="200"/>
    </w:pPr>
    <w:rPr>
      <w:sz w:val="48"/>
      <w:szCs w:val="48"/>
    </w:rPr>
  </w:style>
  <w:style w:type="character" w:styleId="34">
    <w:name w:val="Title Char"/>
    <w:basedOn w:val="627"/>
    <w:link w:val="33"/>
    <w:uiPriority w:val="10"/>
    <w:rPr>
      <w:sz w:val="48"/>
      <w:szCs w:val="48"/>
    </w:rPr>
  </w:style>
  <w:style w:type="paragraph" w:styleId="35">
    <w:name w:val="Subtitle"/>
    <w:basedOn w:val="624"/>
    <w:next w:val="624"/>
    <w:link w:val="36"/>
    <w:uiPriority w:val="11"/>
    <w:qFormat/>
    <w:pPr>
      <w:spacing w:before="200" w:after="200"/>
    </w:pPr>
    <w:rPr>
      <w:sz w:val="24"/>
      <w:szCs w:val="24"/>
    </w:rPr>
  </w:style>
  <w:style w:type="character" w:styleId="36">
    <w:name w:val="Subtitle Char"/>
    <w:basedOn w:val="627"/>
    <w:link w:val="35"/>
    <w:uiPriority w:val="11"/>
    <w:rPr>
      <w:sz w:val="24"/>
      <w:szCs w:val="24"/>
    </w:rPr>
  </w:style>
  <w:style w:type="paragraph" w:styleId="37">
    <w:name w:val="Quote"/>
    <w:basedOn w:val="624"/>
    <w:next w:val="624"/>
    <w:link w:val="38"/>
    <w:uiPriority w:val="29"/>
    <w:qFormat/>
    <w:pPr>
      <w:ind w:left="720" w:right="720"/>
    </w:pPr>
    <w:rPr>
      <w:i/>
    </w:rPr>
  </w:style>
  <w:style w:type="character" w:styleId="38">
    <w:name w:val="Quote Char"/>
    <w:link w:val="37"/>
    <w:uiPriority w:val="29"/>
    <w:rPr>
      <w:i/>
    </w:rPr>
  </w:style>
  <w:style w:type="paragraph" w:styleId="39">
    <w:name w:val="Intense Quote"/>
    <w:basedOn w:val="624"/>
    <w:next w:val="62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27"/>
    <w:link w:val="633"/>
    <w:uiPriority w:val="99"/>
  </w:style>
  <w:style w:type="character" w:styleId="44">
    <w:name w:val="Footer Char"/>
    <w:basedOn w:val="627"/>
    <w:link w:val="632"/>
    <w:uiPriority w:val="99"/>
  </w:style>
  <w:style w:type="paragraph" w:styleId="45">
    <w:name w:val="Caption"/>
    <w:basedOn w:val="624"/>
    <w:next w:val="624"/>
    <w:uiPriority w:val="35"/>
    <w:semiHidden/>
    <w:unhideWhenUsed/>
    <w:qFormat/>
    <w:pPr>
      <w:spacing w:line="276" w:lineRule="auto"/>
    </w:pPr>
    <w:rPr>
      <w:b/>
      <w:bCs/>
      <w:color w:val="4f81bd" w:themeColor="accent1"/>
      <w:sz w:val="18"/>
      <w:szCs w:val="18"/>
    </w:rPr>
  </w:style>
  <w:style w:type="character" w:styleId="46">
    <w:name w:val="Caption Char"/>
    <w:basedOn w:val="45"/>
    <w:link w:val="632"/>
    <w:uiPriority w:val="99"/>
  </w:style>
  <w:style w:type="table" w:styleId="47">
    <w:name w:val="Table Grid"/>
    <w:basedOn w:val="62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2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2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2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2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2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2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2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2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2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2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2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2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2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2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2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2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2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2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2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2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2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2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2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2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2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2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2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2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2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2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2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2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2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2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2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2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2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2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2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2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2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2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2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2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2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2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2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2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2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2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2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2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2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2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2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2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2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2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2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2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2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2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2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2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2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2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2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2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2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2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2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2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2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2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2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2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2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2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2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2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2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2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2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2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2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2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2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2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2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2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2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2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2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2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2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2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2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2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2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2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2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2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2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27"/>
    <w:uiPriority w:val="99"/>
    <w:unhideWhenUsed/>
    <w:rPr>
      <w:vertAlign w:val="superscript"/>
    </w:rPr>
  </w:style>
  <w:style w:type="paragraph" w:styleId="177">
    <w:name w:val="endnote text"/>
    <w:basedOn w:val="62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27"/>
    <w:uiPriority w:val="99"/>
    <w:semiHidden/>
    <w:unhideWhenUsed/>
    <w:rPr>
      <w:vertAlign w:val="superscript"/>
    </w:rPr>
  </w:style>
  <w:style w:type="paragraph" w:styleId="180">
    <w:name w:val="toc 1"/>
    <w:basedOn w:val="624"/>
    <w:next w:val="624"/>
    <w:uiPriority w:val="39"/>
    <w:unhideWhenUsed/>
    <w:pPr>
      <w:ind w:left="0" w:right="0" w:firstLine="0"/>
      <w:spacing w:after="57"/>
    </w:pPr>
  </w:style>
  <w:style w:type="paragraph" w:styleId="181">
    <w:name w:val="toc 2"/>
    <w:basedOn w:val="624"/>
    <w:next w:val="624"/>
    <w:uiPriority w:val="39"/>
    <w:unhideWhenUsed/>
    <w:pPr>
      <w:ind w:left="283" w:right="0" w:firstLine="0"/>
      <w:spacing w:after="57"/>
    </w:pPr>
  </w:style>
  <w:style w:type="paragraph" w:styleId="182">
    <w:name w:val="toc 3"/>
    <w:basedOn w:val="624"/>
    <w:next w:val="624"/>
    <w:uiPriority w:val="39"/>
    <w:unhideWhenUsed/>
    <w:pPr>
      <w:ind w:left="567" w:right="0" w:firstLine="0"/>
      <w:spacing w:after="57"/>
    </w:pPr>
  </w:style>
  <w:style w:type="paragraph" w:styleId="183">
    <w:name w:val="toc 4"/>
    <w:basedOn w:val="624"/>
    <w:next w:val="624"/>
    <w:uiPriority w:val="39"/>
    <w:unhideWhenUsed/>
    <w:pPr>
      <w:ind w:left="850" w:right="0" w:firstLine="0"/>
      <w:spacing w:after="57"/>
    </w:pPr>
  </w:style>
  <w:style w:type="paragraph" w:styleId="184">
    <w:name w:val="toc 5"/>
    <w:basedOn w:val="624"/>
    <w:next w:val="624"/>
    <w:uiPriority w:val="39"/>
    <w:unhideWhenUsed/>
    <w:pPr>
      <w:ind w:left="1134" w:right="0" w:firstLine="0"/>
      <w:spacing w:after="57"/>
    </w:pPr>
  </w:style>
  <w:style w:type="paragraph" w:styleId="185">
    <w:name w:val="toc 6"/>
    <w:basedOn w:val="624"/>
    <w:next w:val="624"/>
    <w:uiPriority w:val="39"/>
    <w:unhideWhenUsed/>
    <w:pPr>
      <w:ind w:left="1417" w:right="0" w:firstLine="0"/>
      <w:spacing w:after="57"/>
    </w:pPr>
  </w:style>
  <w:style w:type="paragraph" w:styleId="186">
    <w:name w:val="toc 7"/>
    <w:basedOn w:val="624"/>
    <w:next w:val="624"/>
    <w:uiPriority w:val="39"/>
    <w:unhideWhenUsed/>
    <w:pPr>
      <w:ind w:left="1701" w:right="0" w:firstLine="0"/>
      <w:spacing w:after="57"/>
    </w:pPr>
  </w:style>
  <w:style w:type="paragraph" w:styleId="187">
    <w:name w:val="toc 8"/>
    <w:basedOn w:val="624"/>
    <w:next w:val="624"/>
    <w:uiPriority w:val="39"/>
    <w:unhideWhenUsed/>
    <w:pPr>
      <w:ind w:left="1984" w:right="0" w:firstLine="0"/>
      <w:spacing w:after="57"/>
    </w:pPr>
  </w:style>
  <w:style w:type="paragraph" w:styleId="188">
    <w:name w:val="toc 9"/>
    <w:basedOn w:val="624"/>
    <w:next w:val="62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24"/>
    <w:next w:val="624"/>
    <w:uiPriority w:val="99"/>
    <w:unhideWhenUsed/>
    <w:pPr>
      <w:spacing w:after="0" w:afterAutospacing="0"/>
    </w:pPr>
  </w:style>
  <w:style w:type="paragraph" w:styleId="624"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25">
    <w:name w:val="Heading 1"/>
    <w:basedOn w:val="624"/>
    <w:next w:val="624"/>
    <w:link w:val="645"/>
    <w:uiPriority w:val="0"/>
    <w:qFormat/>
    <w:pPr>
      <w:keepLines/>
      <w:keepNext/>
      <w:spacing w:before="340" w:after="330" w:line="578" w:lineRule="auto"/>
      <w:outlineLvl w:val="0"/>
    </w:pPr>
    <w:rPr>
      <w:b/>
      <w:bCs/>
      <w:sz w:val="44"/>
      <w:szCs w:val="44"/>
    </w:rPr>
  </w:style>
  <w:style w:type="paragraph" w:styleId="626">
    <w:name w:val="Heading 2"/>
    <w:basedOn w:val="624"/>
    <w:next w:val="624"/>
    <w:uiPriority w:val="0"/>
    <w:unhideWhenUsed/>
    <w:qFormat/>
    <w:pPr>
      <w:ind w:firstLine="480"/>
      <w:jc w:val="left"/>
      <w:spacing w:line="500" w:lineRule="exact"/>
      <w:shd w:val="clear" w:color="auto" w:fill="ffffff"/>
      <w:widowControl/>
      <w:outlineLvl w:val="1"/>
    </w:pPr>
    <w:rPr>
      <w:rFonts w:ascii="宋体" w:hAnsi="宋体" w:eastAsia="宋体" w:cs="宋体"/>
      <w:sz w:val="24"/>
      <w:shd w:val="clear" w:color="auto" w:fill="ffffff"/>
    </w:rPr>
  </w:style>
  <w:style w:type="character" w:styleId="627" w:default="1">
    <w:name w:val="Default Paragraph Font"/>
    <w:uiPriority w:val="1"/>
    <w:semiHidden/>
    <w:unhideWhenUsed/>
  </w:style>
  <w:style w:type="table" w:styleId="628" w:default="1">
    <w:name w:val="Normal Table"/>
    <w:uiPriority w:val="99"/>
    <w:semiHidden/>
    <w:unhideWhenUsed/>
    <w:tblPr>
      <w:tblCellMar>
        <w:left w:w="108" w:type="dxa"/>
        <w:top w:w="0" w:type="dxa"/>
        <w:right w:w="108" w:type="dxa"/>
        <w:bottom w:w="0" w:type="dxa"/>
      </w:tblCellMar>
    </w:tblPr>
  </w:style>
  <w:style w:type="paragraph" w:styleId="629">
    <w:name w:val="List 3"/>
    <w:basedOn w:val="624"/>
    <w:uiPriority w:val="0"/>
    <w:qFormat/>
    <w:pPr>
      <w:contextualSpacing/>
      <w:ind w:left="100" w:hanging="200"/>
    </w:pPr>
  </w:style>
  <w:style w:type="paragraph" w:styleId="630">
    <w:name w:val="annotation text"/>
    <w:basedOn w:val="624"/>
    <w:uiPriority w:val="0"/>
    <w:qFormat/>
    <w:pPr>
      <w:jc w:val="left"/>
    </w:pPr>
  </w:style>
  <w:style w:type="paragraph" w:styleId="631">
    <w:name w:val="Body Text"/>
    <w:basedOn w:val="624"/>
    <w:link w:val="643"/>
    <w:uiPriority w:val="0"/>
    <w:semiHidden/>
    <w:qFormat/>
    <w:rPr>
      <w:rFonts w:ascii="仿宋" w:hAnsi="仿宋" w:eastAsia="仿宋" w:cs="仿宋"/>
      <w:sz w:val="31"/>
      <w:szCs w:val="31"/>
      <w:lang w:eastAsia="en-US"/>
    </w:rPr>
  </w:style>
  <w:style w:type="paragraph" w:styleId="632">
    <w:name w:val="Footer"/>
    <w:basedOn w:val="624"/>
    <w:link w:val="639"/>
    <w:uiPriority w:val="99"/>
    <w:qFormat/>
    <w:pPr>
      <w:jc w:val="left"/>
      <w:tabs>
        <w:tab w:val="center" w:pos="4153" w:leader="none"/>
        <w:tab w:val="right" w:pos="8306" w:leader="none"/>
      </w:tabs>
    </w:pPr>
    <w:rPr>
      <w:sz w:val="18"/>
      <w:szCs w:val="18"/>
    </w:rPr>
  </w:style>
  <w:style w:type="paragraph" w:styleId="633">
    <w:name w:val="Header"/>
    <w:basedOn w:val="624"/>
    <w:link w:val="638"/>
    <w:uiPriority w:val="0"/>
    <w:qFormat/>
    <w:pPr>
      <w:jc w:val="center"/>
      <w:tabs>
        <w:tab w:val="center" w:pos="4153" w:leader="none"/>
        <w:tab w:val="right" w:pos="8306" w:leader="none"/>
      </w:tabs>
      <w:pBdr>
        <w:bottom w:val="single" w:color="auto" w:sz="6" w:space="1"/>
      </w:pBdr>
    </w:pPr>
    <w:rPr>
      <w:sz w:val="18"/>
      <w:szCs w:val="18"/>
    </w:rPr>
  </w:style>
  <w:style w:type="paragraph" w:styleId="634">
    <w:name w:val="Normal (Web)"/>
    <w:basedOn w:val="624"/>
    <w:uiPriority w:val="99"/>
    <w:qFormat/>
    <w:pPr>
      <w:jc w:val="left"/>
      <w:spacing w:beforeAutospacing="1" w:afterAutospacing="1"/>
    </w:pPr>
    <w:rPr>
      <w:rFonts w:cs="Times New Roman"/>
      <w:sz w:val="24"/>
    </w:rPr>
  </w:style>
  <w:style w:type="paragraph" w:styleId="635">
    <w:name w:val="Body Text First Indent"/>
    <w:basedOn w:val="631"/>
    <w:link w:val="644"/>
    <w:uiPriority w:val="0"/>
    <w:qFormat/>
    <w:pPr>
      <w:ind w:firstLine="420"/>
      <w:spacing w:after="120"/>
    </w:pPr>
    <w:rPr>
      <w:rFonts w:asciiTheme="minorHAnsi" w:hAnsiTheme="minorHAnsi" w:eastAsiaTheme="minorEastAsia" w:cstheme="minorBidi"/>
      <w:sz w:val="21"/>
      <w:szCs w:val="24"/>
      <w:lang w:eastAsia="zh-CN"/>
    </w:rPr>
  </w:style>
  <w:style w:type="character" w:styleId="636">
    <w:name w:val="Emphasis"/>
    <w:uiPriority w:val="0"/>
    <w:qFormat/>
    <w:rPr>
      <w:i/>
    </w:rPr>
  </w:style>
  <w:style w:type="paragraph" w:styleId="637" w:customStyle="1">
    <w:name w:val="Default"/>
    <w:basedOn w:val="624"/>
    <w:uiPriority w:val="0"/>
    <w:semiHidden/>
    <w:qFormat/>
    <w:pPr>
      <w:jc w:val="left"/>
    </w:pPr>
    <w:rPr>
      <w:rFonts w:ascii="宋体" w:hAnsi="Calibri" w:cs="宋体"/>
      <w:color w:val="000000"/>
      <w:sz w:val="24"/>
    </w:rPr>
  </w:style>
  <w:style w:type="character" w:styleId="638" w:customStyle="1">
    <w:name w:val="页眉 字符"/>
    <w:basedOn w:val="627"/>
    <w:link w:val="633"/>
    <w:uiPriority w:val="0"/>
    <w:qFormat/>
    <w:rPr>
      <w:rFonts w:asciiTheme="minorHAnsi" w:hAnsiTheme="minorHAnsi" w:eastAsiaTheme="minorEastAsia" w:cstheme="minorBidi"/>
      <w:sz w:val="18"/>
      <w:szCs w:val="18"/>
    </w:rPr>
  </w:style>
  <w:style w:type="character" w:styleId="639" w:customStyle="1">
    <w:name w:val="页脚 字符"/>
    <w:basedOn w:val="627"/>
    <w:link w:val="632"/>
    <w:uiPriority w:val="99"/>
    <w:qFormat/>
    <w:rPr>
      <w:rFonts w:asciiTheme="minorHAnsi" w:hAnsiTheme="minorHAnsi" w:eastAsiaTheme="minorEastAsia" w:cstheme="minorBidi"/>
      <w:sz w:val="18"/>
      <w:szCs w:val="18"/>
    </w:rPr>
  </w:style>
  <w:style w:type="paragraph" w:styleId="640" w:customStyle="1">
    <w:name w:val="普通正文"/>
    <w:basedOn w:val="624"/>
    <w:uiPriority w:val="0"/>
    <w:qFormat/>
    <w:pPr>
      <w:ind w:firstLine="480"/>
      <w:jc w:val="left"/>
      <w:spacing w:before="120" w:after="120" w:line="360" w:lineRule="auto"/>
    </w:pPr>
    <w:rPr>
      <w:rFonts w:ascii="Arial" w:hAnsi="Arial" w:eastAsia="等线" w:cs="Arial"/>
      <w:sz w:val="24"/>
    </w:rPr>
  </w:style>
  <w:style w:type="paragraph" w:styleId="641" w:customStyle="1">
    <w:name w:val="正文首行缩进 21"/>
    <w:basedOn w:val="642"/>
    <w:uiPriority w:val="0"/>
    <w:qFormat/>
    <w:pPr>
      <w:ind w:firstLine="420"/>
    </w:pPr>
  </w:style>
  <w:style w:type="paragraph" w:styleId="642" w:customStyle="1">
    <w:name w:val="正文文本缩进1"/>
    <w:basedOn w:val="624"/>
    <w:uiPriority w:val="0"/>
    <w:qFormat/>
    <w:pPr>
      <w:ind w:left="420"/>
      <w:spacing w:after="120"/>
    </w:pPr>
  </w:style>
  <w:style w:type="character" w:styleId="643" w:customStyle="1">
    <w:name w:val="正文文本 字符"/>
    <w:basedOn w:val="627"/>
    <w:link w:val="631"/>
    <w:uiPriority w:val="0"/>
    <w:semiHidden/>
    <w:qFormat/>
    <w:rPr>
      <w:rFonts w:ascii="仿宋" w:hAnsi="仿宋" w:eastAsia="仿宋" w:cs="仿宋"/>
      <w:sz w:val="31"/>
      <w:szCs w:val="31"/>
      <w:lang w:eastAsia="en-US"/>
    </w:rPr>
  </w:style>
  <w:style w:type="character" w:styleId="644" w:customStyle="1">
    <w:name w:val="正文文本首行缩进 字符"/>
    <w:basedOn w:val="643"/>
    <w:link w:val="635"/>
    <w:uiPriority w:val="0"/>
    <w:qFormat/>
    <w:rPr>
      <w:rFonts w:asciiTheme="minorHAnsi" w:hAnsiTheme="minorHAnsi" w:eastAsiaTheme="minorEastAsia" w:cstheme="minorBidi"/>
      <w:sz w:val="21"/>
      <w:szCs w:val="24"/>
      <w:lang w:eastAsia="en-US"/>
    </w:rPr>
  </w:style>
  <w:style w:type="character" w:styleId="645" w:customStyle="1">
    <w:name w:val="标题 1 字符"/>
    <w:basedOn w:val="627"/>
    <w:link w:val="625"/>
    <w:uiPriority w:val="0"/>
    <w:qFormat/>
    <w:rPr>
      <w:rFonts w:asciiTheme="minorHAnsi" w:hAnsiTheme="minorHAnsi" w:eastAsiaTheme="minorEastAsia" w:cstheme="minorBidi"/>
      <w:b/>
      <w:bCs/>
      <w:sz w:val="44"/>
      <w:szCs w:val="44"/>
    </w:rPr>
  </w:style>
  <w:style w:type="paragraph" w:styleId="646">
    <w:name w:val="List Paragraph"/>
    <w:basedOn w:val="624"/>
    <w:uiPriority w:val="99"/>
    <w:unhideWhenUsed/>
    <w:qFormat/>
    <w:pPr>
      <w:ind w:firstLine="420"/>
    </w:pPr>
  </w:style>
  <w:style w:type="table" w:styleId="647" w:customStyle="1">
    <w:name w:val="Table 11"/>
    <w:basedOn w:val="628"/>
    <w:uiPriority w:val="0"/>
    <w:qFormat/>
    <w:pPr>
      <w:jc w:val="center"/>
    </w:pPr>
    <w:rPr>
      <w:rFonts w:eastAsia="仿宋_GB2312"/>
      <w:sz w:val="21"/>
      <w14:ligatures w14:val="standardContextual"/>
    </w:rPr>
    <w:tblPr>
      <w:tblBorders>
        <w:top w:val="single" w:color="000000" w:sz="12" w:space="0"/>
        <w:bottom w:val="single" w:color="000000" w:sz="12" w:space="0"/>
        <w:insideH w:val="single" w:color="000000" w:sz="4" w:space="0"/>
        <w:insideV w:val="single" w:color="000000" w:sz="4" w:space="0"/>
      </w:tblBorders>
    </w:tblPr>
    <w:tcPr>
      <w:vAlign w:val="center"/>
    </w:tcPr>
    <w:tblStylePr w:type="firstRow">
      <w:rPr>
        <w:b/>
      </w:rPr>
    </w:tblStylePr>
  </w:style>
  <w:style w:type="paragraph" w:styleId="648" w:customStyle="1">
    <w:name w:val="表格内容"/>
    <w:basedOn w:val="624"/>
    <w:next w:val="624"/>
    <w:link w:val="649"/>
    <w:uiPriority w:val="0"/>
    <w:qFormat/>
    <w:pPr>
      <w:jc w:val="center"/>
    </w:pPr>
    <w:rPr>
      <w:rFonts w:ascii="Times New Roman" w:hAnsi="Times New Roman" w:eastAsia="宋体" w:cs="Times New Roman"/>
    </w:rPr>
  </w:style>
  <w:style w:type="character" w:styleId="649" w:customStyle="1">
    <w:name w:val="表格内容 Char"/>
    <w:link w:val="648"/>
    <w:uiPriority w:val="0"/>
    <w:qFormat/>
    <w:rPr>
      <w:sz w:val="21"/>
      <w:szCs w:val="24"/>
    </w:rPr>
  </w:style>
  <w:style w:type="numbering" w:styleId="81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李玉莉</cp:lastModifiedBy>
  <cp:revision>104</cp:revision>
  <dcterms:created xsi:type="dcterms:W3CDTF">2026-02-24T07:20:00Z</dcterms:created>
  <dcterms:modified xsi:type="dcterms:W3CDTF">2026-02-27T08:49:04Z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B4370BCA39C3457EADD1683F4E3EAA6F_13</vt:lpwstr>
  </property>
  <property fmtid="{D5CDD505-2E9C-101B-9397-08002B2CF9AE}" pid="4" name="KSOTemplateDocerSaveRecord">
    <vt:lpwstr>eyJoZGlkIjoiZjNkYzY4NWFmZmEyZTkzODc1NzJlNmIzMGM5Zjc5NGQifQ==</vt:lpwstr>
  </property>
</Properties>
</file>