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BCC904">
      <w:pPr>
        <w:pStyle w:val="8"/>
        <w:spacing w:before="120" w:beforeAutospacing="0" w:after="120" w:afterAutospacing="0" w:line="360" w:lineRule="auto"/>
        <w:jc w:val="center"/>
        <w:rPr>
          <w:rFonts w:ascii="Arial" w:hAnsi="Arial" w:cs="Arial"/>
          <w:b/>
          <w:color w:val="auto"/>
          <w:sz w:val="84"/>
          <w:szCs w:val="84"/>
          <w:highlight w:val="none"/>
          <w:shd w:val="clear" w:color="auto" w:fill="auto"/>
        </w:rPr>
      </w:pPr>
    </w:p>
    <w:p w14:paraId="47A00229">
      <w:pPr>
        <w:pStyle w:val="8"/>
        <w:spacing w:before="120" w:beforeAutospacing="0" w:after="120" w:afterAutospacing="0" w:line="360" w:lineRule="auto"/>
        <w:jc w:val="center"/>
        <w:rPr>
          <w:rFonts w:ascii="Arial" w:hAnsi="Arial" w:cs="Arial"/>
          <w:b/>
          <w:color w:val="auto"/>
          <w:sz w:val="28"/>
          <w:szCs w:val="28"/>
          <w:highlight w:val="none"/>
        </w:rPr>
      </w:pPr>
      <w:r>
        <w:rPr>
          <w:rFonts w:ascii="Arial" w:hAnsi="Arial" w:cs="Arial"/>
          <w:b/>
          <w:color w:val="auto"/>
          <w:sz w:val="84"/>
          <w:szCs w:val="84"/>
          <w:highlight w:val="none"/>
          <w:shd w:val="clear" w:color="auto" w:fill="auto"/>
        </w:rPr>
        <w:t>竞争性谈判文件</w:t>
      </w:r>
    </w:p>
    <w:p w14:paraId="36491AAF">
      <w:pPr>
        <w:pStyle w:val="8"/>
        <w:spacing w:before="120" w:beforeAutospacing="0" w:after="120" w:afterAutospacing="0" w:line="360" w:lineRule="auto"/>
        <w:jc w:val="center"/>
        <w:rPr>
          <w:rFonts w:ascii="Arial" w:hAnsi="Arial" w:cs="Arial"/>
          <w:b/>
          <w:color w:val="auto"/>
          <w:sz w:val="28"/>
          <w:szCs w:val="28"/>
          <w:highlight w:val="none"/>
        </w:rPr>
      </w:pPr>
    </w:p>
    <w:p w14:paraId="18DC75D0">
      <w:pPr>
        <w:pStyle w:val="8"/>
        <w:spacing w:before="120" w:beforeAutospacing="0" w:after="120" w:afterAutospacing="0" w:line="360" w:lineRule="auto"/>
        <w:jc w:val="center"/>
        <w:rPr>
          <w:rFonts w:ascii="Arial" w:hAnsi="Arial" w:cs="Arial"/>
          <w:b/>
          <w:color w:val="auto"/>
          <w:sz w:val="28"/>
          <w:szCs w:val="28"/>
          <w:highlight w:val="none"/>
        </w:rPr>
      </w:pPr>
    </w:p>
    <w:p w14:paraId="35BCF7E8">
      <w:pPr>
        <w:pStyle w:val="8"/>
        <w:spacing w:before="120" w:beforeAutospacing="0" w:after="120" w:afterAutospacing="0" w:line="360" w:lineRule="auto"/>
        <w:jc w:val="center"/>
        <w:rPr>
          <w:rFonts w:ascii="Arial" w:hAnsi="Arial" w:cs="Arial"/>
          <w:b/>
          <w:color w:val="auto"/>
          <w:sz w:val="28"/>
          <w:szCs w:val="28"/>
          <w:highlight w:val="none"/>
        </w:rPr>
      </w:pPr>
    </w:p>
    <w:p w14:paraId="56D16601">
      <w:pPr>
        <w:pStyle w:val="8"/>
        <w:spacing w:before="120" w:beforeAutospacing="0" w:after="120" w:afterAutospacing="0" w:line="360" w:lineRule="auto"/>
        <w:jc w:val="center"/>
        <w:rPr>
          <w:rFonts w:ascii="Arial" w:hAnsi="Arial" w:cs="Arial"/>
          <w:b/>
          <w:color w:val="auto"/>
          <w:sz w:val="28"/>
          <w:szCs w:val="28"/>
          <w:highlight w:val="none"/>
        </w:rPr>
      </w:pPr>
    </w:p>
    <w:p w14:paraId="241D73D1">
      <w:pPr>
        <w:pStyle w:val="8"/>
        <w:spacing w:before="120" w:beforeAutospacing="0" w:after="120" w:afterAutospacing="0" w:line="360" w:lineRule="auto"/>
        <w:ind w:firstLine="281"/>
        <w:jc w:val="both"/>
        <w:rPr>
          <w:rFonts w:hint="eastAsia" w:ascii="宋体" w:hAnsi="宋体" w:eastAsia="宋体" w:cs="宋体"/>
          <w:color w:val="0000FF"/>
          <w:sz w:val="22"/>
          <w:szCs w:val="22"/>
          <w:highlight w:val="none"/>
          <w:lang w:eastAsia="zh-CN"/>
        </w:rPr>
      </w:pPr>
      <w:r>
        <w:rPr>
          <w:rFonts w:hint="eastAsia" w:ascii="宋体" w:hAnsi="宋体" w:eastAsia="宋体" w:cs="宋体"/>
          <w:b/>
          <w:color w:val="auto"/>
          <w:sz w:val="28"/>
          <w:szCs w:val="28"/>
          <w:highlight w:val="none"/>
        </w:rPr>
        <w:t>项目名称：</w:t>
      </w:r>
      <w:r>
        <w:rPr>
          <w:rFonts w:hint="eastAsia" w:ascii="宋体" w:hAnsi="宋体" w:eastAsia="宋体" w:cs="宋体"/>
          <w:b/>
          <w:color w:val="0000FF"/>
          <w:sz w:val="28"/>
          <w:szCs w:val="28"/>
          <w:highlight w:val="none"/>
          <w:lang w:eastAsia="zh-CN"/>
        </w:rPr>
        <w:t>滨海县农业综合行政执法大队执法船柴油采购项目</w:t>
      </w:r>
    </w:p>
    <w:p w14:paraId="52F1F82B">
      <w:pPr>
        <w:pStyle w:val="8"/>
        <w:spacing w:beforeAutospacing="0" w:afterAutospacing="0"/>
        <w:ind w:firstLine="281"/>
        <w:jc w:val="both"/>
        <w:rPr>
          <w:rFonts w:hint="eastAsia" w:ascii="宋体" w:hAnsi="宋体" w:eastAsia="宋体" w:cs="宋体"/>
          <w:color w:val="0000FF"/>
          <w:sz w:val="22"/>
          <w:szCs w:val="22"/>
          <w:highlight w:val="none"/>
          <w:lang w:eastAsia="zh-CN"/>
        </w:rPr>
      </w:pPr>
      <w:r>
        <w:rPr>
          <w:rFonts w:hint="eastAsia" w:ascii="宋体" w:hAnsi="宋体" w:eastAsia="宋体" w:cs="宋体"/>
          <w:b/>
          <w:color w:val="auto"/>
          <w:sz w:val="28"/>
          <w:szCs w:val="28"/>
          <w:highlight w:val="none"/>
        </w:rPr>
        <w:t>项目编号：</w:t>
      </w:r>
      <w:r>
        <w:rPr>
          <w:rFonts w:hint="eastAsia" w:ascii="宋体" w:hAnsi="宋体" w:eastAsia="宋体" w:cs="宋体"/>
          <w:b/>
          <w:color w:val="0000FF"/>
          <w:sz w:val="28"/>
          <w:szCs w:val="28"/>
          <w:highlight w:val="none"/>
          <w:u w:val="single"/>
          <w:lang w:eastAsia="zh-CN"/>
        </w:rPr>
        <w:t>JSZC-320922-JZCG-T2026-0011</w:t>
      </w:r>
    </w:p>
    <w:p w14:paraId="18EE618F">
      <w:pPr>
        <w:pStyle w:val="8"/>
        <w:spacing w:beforeAutospacing="0" w:afterAutospacing="0" w:line="360" w:lineRule="auto"/>
        <w:rPr>
          <w:color w:val="auto"/>
          <w:highlight w:val="none"/>
        </w:rPr>
      </w:pPr>
      <w:r>
        <w:rPr>
          <w:color w:val="auto"/>
          <w:highlight w:val="none"/>
        </w:rPr>
        <w:t> </w:t>
      </w:r>
    </w:p>
    <w:p w14:paraId="1C9EF6CD">
      <w:pPr>
        <w:pStyle w:val="8"/>
        <w:spacing w:beforeAutospacing="0" w:afterAutospacing="0" w:line="360" w:lineRule="auto"/>
        <w:rPr>
          <w:color w:val="auto"/>
          <w:highlight w:val="none"/>
        </w:rPr>
      </w:pPr>
      <w:r>
        <w:rPr>
          <w:color w:val="auto"/>
          <w:highlight w:val="none"/>
        </w:rPr>
        <w:t> </w:t>
      </w:r>
    </w:p>
    <w:p w14:paraId="42DA2CDE">
      <w:pPr>
        <w:pStyle w:val="8"/>
        <w:spacing w:beforeAutospacing="0" w:afterAutospacing="0" w:line="360" w:lineRule="auto"/>
        <w:rPr>
          <w:color w:val="auto"/>
          <w:highlight w:val="none"/>
        </w:rPr>
      </w:pPr>
      <w:r>
        <w:rPr>
          <w:color w:val="auto"/>
          <w:highlight w:val="none"/>
        </w:rPr>
        <w:t> </w:t>
      </w:r>
    </w:p>
    <w:p w14:paraId="2E391319">
      <w:pPr>
        <w:pStyle w:val="8"/>
        <w:spacing w:beforeAutospacing="0" w:afterAutospacing="0" w:line="360" w:lineRule="auto"/>
        <w:rPr>
          <w:color w:val="auto"/>
          <w:highlight w:val="none"/>
        </w:rPr>
      </w:pPr>
      <w:r>
        <w:rPr>
          <w:color w:val="auto"/>
          <w:highlight w:val="none"/>
        </w:rPr>
        <w:t> </w:t>
      </w:r>
    </w:p>
    <w:p w14:paraId="34A9AB5D">
      <w:pPr>
        <w:pStyle w:val="8"/>
        <w:spacing w:beforeAutospacing="0" w:afterAutospacing="0" w:line="360" w:lineRule="auto"/>
        <w:rPr>
          <w:color w:val="auto"/>
          <w:highlight w:val="none"/>
        </w:rPr>
      </w:pPr>
    </w:p>
    <w:p w14:paraId="159A4439">
      <w:pPr>
        <w:pStyle w:val="8"/>
        <w:spacing w:beforeAutospacing="0" w:afterAutospacing="0" w:line="360" w:lineRule="auto"/>
        <w:rPr>
          <w:color w:val="auto"/>
          <w:highlight w:val="none"/>
        </w:rPr>
      </w:pPr>
    </w:p>
    <w:p w14:paraId="135616E6">
      <w:pPr>
        <w:pStyle w:val="8"/>
        <w:spacing w:beforeAutospacing="0" w:afterAutospacing="0" w:line="360" w:lineRule="auto"/>
        <w:rPr>
          <w:color w:val="auto"/>
          <w:highlight w:val="none"/>
        </w:rPr>
      </w:pPr>
      <w:r>
        <w:rPr>
          <w:color w:val="auto"/>
          <w:highlight w:val="none"/>
        </w:rPr>
        <w:t>  </w:t>
      </w:r>
    </w:p>
    <w:p w14:paraId="6EC9DD35">
      <w:pPr>
        <w:pStyle w:val="8"/>
        <w:spacing w:before="120" w:beforeAutospacing="0" w:after="120" w:afterAutospacing="0" w:line="360" w:lineRule="auto"/>
        <w:jc w:val="center"/>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采购单位：滨海县农业综合行政执法大队</w:t>
      </w:r>
    </w:p>
    <w:p w14:paraId="3821CF3E">
      <w:pPr>
        <w:pStyle w:val="8"/>
        <w:spacing w:before="120" w:beforeAutospacing="0" w:after="120" w:afterAutospacing="0" w:line="360" w:lineRule="auto"/>
        <w:jc w:val="center"/>
        <w:rPr>
          <w:rFonts w:hint="eastAsia" w:ascii="Arial" w:hAnsi="Arial" w:cs="Arial"/>
          <w:b/>
          <w:color w:val="auto"/>
          <w:sz w:val="32"/>
          <w:szCs w:val="32"/>
          <w:highlight w:val="none"/>
          <w:lang w:val="en-US" w:eastAsia="zh-CN"/>
        </w:rPr>
      </w:pPr>
    </w:p>
    <w:p w14:paraId="22D07560">
      <w:pPr>
        <w:pStyle w:val="8"/>
        <w:spacing w:before="120" w:beforeAutospacing="0" w:after="120" w:afterAutospacing="0" w:line="360" w:lineRule="auto"/>
        <w:jc w:val="center"/>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二〇二六</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九</w:t>
      </w:r>
      <w:r>
        <w:rPr>
          <w:rFonts w:ascii="Arial" w:hAnsi="Arial" w:cs="Arial"/>
          <w:b/>
          <w:color w:val="auto"/>
          <w:sz w:val="32"/>
          <w:szCs w:val="32"/>
          <w:highlight w:val="none"/>
        </w:rPr>
        <w:t>月</w:t>
      </w:r>
    </w:p>
    <w:p w14:paraId="4420408A">
      <w:pPr>
        <w:pStyle w:val="8"/>
        <w:spacing w:before="120" w:beforeAutospacing="0" w:after="120" w:afterAutospacing="0" w:line="360" w:lineRule="auto"/>
        <w:rPr>
          <w:color w:val="auto"/>
          <w:highlight w:val="none"/>
          <w:shd w:val="clear" w:color="auto" w:fill="auto"/>
        </w:rPr>
      </w:pPr>
      <w:r>
        <w:rPr>
          <w:rFonts w:ascii="Arial" w:hAnsi="Arial" w:cs="Arial"/>
          <w:color w:val="auto"/>
          <w:highlight w:val="none"/>
          <w:shd w:val="clear" w:color="auto" w:fill="auto"/>
        </w:rPr>
        <w:t xml:space="preserve">                        </w:t>
      </w:r>
    </w:p>
    <w:p w14:paraId="7054454F">
      <w:pPr>
        <w:pStyle w:val="8"/>
        <w:spacing w:before="120" w:beforeAutospacing="0" w:after="120" w:afterAutospacing="0" w:line="360" w:lineRule="auto"/>
        <w:jc w:val="center"/>
        <w:rPr>
          <w:color w:val="auto"/>
          <w:highlight w:val="none"/>
          <w:shd w:val="clear" w:color="auto" w:fill="auto"/>
        </w:rPr>
      </w:pPr>
      <w:r>
        <w:rPr>
          <w:color w:val="auto"/>
          <w:highlight w:val="none"/>
          <w:shd w:val="clear" w:color="auto" w:fill="auto"/>
        </w:rPr>
        <w:t> </w:t>
      </w:r>
    </w:p>
    <w:p w14:paraId="49DF3383">
      <w:pPr>
        <w:pStyle w:val="8"/>
        <w:keepNext/>
        <w:keepLines w:val="0"/>
        <w:pageBreakBefore w:val="0"/>
        <w:widowControl w:val="0"/>
        <w:spacing w:beforeAutospacing="0" w:afterAutospacing="0" w:line="360" w:lineRule="auto"/>
        <w:jc w:val="center"/>
        <w:outlineLvl w:val="0"/>
        <w:rPr>
          <w:rFonts w:hint="eastAsia" w:ascii="方正小标宋简体" w:hAnsi="方正小标宋简体" w:eastAsia="方正小标宋简体" w:cs="方正小标宋简体"/>
          <w:color w:val="auto"/>
          <w:kern w:val="0"/>
          <w:sz w:val="44"/>
          <w:szCs w:val="44"/>
          <w:highlight w:val="none"/>
          <w:lang w:val="en-US" w:eastAsia="zh-CN"/>
        </w:rPr>
      </w:pPr>
      <w:r>
        <w:rPr>
          <w:rFonts w:hint="eastAsia" w:ascii="方正小标宋简体" w:hAnsi="方正小标宋简体" w:eastAsia="方正小标宋简体" w:cs="方正小标宋简体"/>
          <w:color w:val="auto"/>
          <w:kern w:val="0"/>
          <w:sz w:val="44"/>
          <w:szCs w:val="44"/>
          <w:highlight w:val="none"/>
        </w:rPr>
        <w:t xml:space="preserve"> 第一章  </w:t>
      </w:r>
      <w:r>
        <w:rPr>
          <w:rFonts w:hint="eastAsia" w:ascii="方正小标宋简体" w:hAnsi="方正小标宋简体" w:eastAsia="方正小标宋简体" w:cs="方正小标宋简体"/>
          <w:color w:val="auto"/>
          <w:kern w:val="0"/>
          <w:sz w:val="44"/>
          <w:szCs w:val="44"/>
          <w:highlight w:val="none"/>
          <w:lang w:val="en-US" w:eastAsia="zh-CN"/>
        </w:rPr>
        <w:t>竞争性</w:t>
      </w:r>
      <w:r>
        <w:rPr>
          <w:rFonts w:hint="eastAsia" w:ascii="方正小标宋简体" w:hAnsi="方正小标宋简体" w:eastAsia="方正小标宋简体" w:cs="方正小标宋简体"/>
          <w:color w:val="auto"/>
          <w:kern w:val="0"/>
          <w:sz w:val="44"/>
          <w:szCs w:val="44"/>
          <w:highlight w:val="none"/>
        </w:rPr>
        <w:t>谈判</w:t>
      </w:r>
      <w:r>
        <w:rPr>
          <w:rFonts w:hint="eastAsia" w:ascii="方正小标宋简体" w:hAnsi="方正小标宋简体" w:eastAsia="方正小标宋简体" w:cs="方正小标宋简体"/>
          <w:color w:val="auto"/>
          <w:kern w:val="0"/>
          <w:sz w:val="44"/>
          <w:szCs w:val="44"/>
          <w:highlight w:val="none"/>
          <w:lang w:val="en-US" w:eastAsia="zh-CN"/>
        </w:rPr>
        <w:t>公告</w:t>
      </w:r>
      <w:bookmarkStart w:id="0" w:name="_Toc28359086"/>
    </w:p>
    <w:p w14:paraId="463A6AA7">
      <w:pPr>
        <w:pStyle w:val="8"/>
        <w:pageBreakBefore w:val="0"/>
        <w:pBdr>
          <w:top w:val="single" w:color="000000" w:sz="4" w:space="0"/>
          <w:left w:val="single" w:color="000000" w:sz="4" w:space="0"/>
          <w:bottom w:val="single" w:color="000000" w:sz="4" w:space="0"/>
          <w:right w:val="single" w:color="000000" w:sz="4" w:space="0"/>
        </w:pBdr>
        <w:spacing w:beforeAutospacing="0" w:afterAutospacing="0" w:line="520" w:lineRule="exact"/>
        <w:ind w:firstLine="480"/>
        <w:jc w:val="both"/>
        <w:rPr>
          <w:rFonts w:hint="eastAsia" w:ascii="宋体" w:hAnsi="宋体" w:eastAsia="宋体" w:cs="宋体"/>
          <w:color w:val="auto"/>
          <w:sz w:val="24"/>
          <w:szCs w:val="24"/>
          <w:highlight w:val="none"/>
        </w:rPr>
      </w:pPr>
      <w:bookmarkStart w:id="1" w:name="_Toc38985263"/>
      <w:bookmarkStart w:id="2" w:name="_Toc28359002"/>
      <w:bookmarkStart w:id="3" w:name="_Hlk24379207"/>
      <w:bookmarkStart w:id="4" w:name="_Toc35393621"/>
      <w:bookmarkStart w:id="5" w:name="_Toc28359079"/>
      <w:bookmarkStart w:id="6" w:name="_Toc35393790"/>
      <w:r>
        <w:rPr>
          <w:rFonts w:hint="eastAsia" w:ascii="宋体" w:hAnsi="宋体" w:eastAsia="宋体" w:cs="宋体"/>
          <w:color w:val="auto"/>
          <w:sz w:val="24"/>
          <w:szCs w:val="24"/>
          <w:highlight w:val="none"/>
        </w:rPr>
        <w:t>项目概况</w:t>
      </w:r>
    </w:p>
    <w:p w14:paraId="1EBA8253">
      <w:pPr>
        <w:pStyle w:val="8"/>
        <w:pageBreakBefore w:val="0"/>
        <w:pBdr>
          <w:top w:val="single" w:color="000000" w:sz="4" w:space="0"/>
          <w:left w:val="single" w:color="000000" w:sz="4" w:space="0"/>
          <w:bottom w:val="single" w:color="000000" w:sz="4" w:space="0"/>
          <w:right w:val="single" w:color="000000" w:sz="4" w:space="0"/>
        </w:pBdr>
        <w:spacing w:beforeAutospacing="0" w:afterAutospacing="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 w:val="0"/>
          <w:bCs/>
          <w:color w:val="0000FF"/>
          <w:sz w:val="24"/>
          <w:szCs w:val="24"/>
          <w:highlight w:val="none"/>
          <w:u w:val="single"/>
          <w:lang w:val="en-US" w:eastAsia="zh-CN" w:bidi="ar-SA"/>
        </w:rPr>
        <w:t>滨海县农业综合行政执法大队执法船柴油采购项目</w:t>
      </w:r>
      <w:r>
        <w:rPr>
          <w:rFonts w:hint="eastAsia" w:ascii="宋体" w:hAnsi="宋体" w:eastAsia="宋体" w:cs="宋体"/>
          <w:color w:val="auto"/>
          <w:sz w:val="24"/>
          <w:szCs w:val="24"/>
          <w:highlight w:val="none"/>
        </w:rPr>
        <w:t>招标项目的潜在</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可在</w:t>
      </w:r>
      <w:r>
        <w:rPr>
          <w:rFonts w:hint="eastAsia" w:ascii="宋体" w:hAnsi="宋体" w:eastAsia="宋体" w:cs="宋体"/>
          <w:i w:val="0"/>
          <w:iCs w:val="0"/>
          <w:caps w:val="0"/>
          <w:color w:val="auto"/>
          <w:spacing w:val="0"/>
          <w:sz w:val="24"/>
          <w:szCs w:val="24"/>
          <w:highlight w:val="none"/>
          <w:shd w:val="clear" w:color="auto" w:fill="FFFFFF"/>
        </w:rPr>
        <w:t>“苏采云”系统内免费下载（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投标供应商</w:t>
      </w:r>
      <w:r>
        <w:rPr>
          <w:rFonts w:hint="eastAsia" w:ascii="宋体" w:hAnsi="宋体" w:eastAsia="宋体" w:cs="宋体"/>
          <w:i w:val="0"/>
          <w:iCs w:val="0"/>
          <w:caps w:val="0"/>
          <w:color w:val="auto"/>
          <w:spacing w:val="0"/>
          <w:sz w:val="24"/>
          <w:szCs w:val="24"/>
          <w:highlight w:val="none"/>
          <w:shd w:val="clear" w:color="auto" w:fill="FFFFFF"/>
        </w:rPr>
        <w:t>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0000FF"/>
          <w:sz w:val="24"/>
          <w:szCs w:val="24"/>
          <w:highlight w:val="yellow"/>
          <w:u w:val="single"/>
          <w:lang w:val="en-US" w:eastAsia="zh-CN"/>
        </w:rPr>
        <w:t>2026年9月11日9点00分</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北京时间）前递交投标文件。</w:t>
      </w:r>
    </w:p>
    <w:bookmarkEnd w:id="1"/>
    <w:bookmarkEnd w:id="2"/>
    <w:bookmarkEnd w:id="3"/>
    <w:bookmarkEnd w:id="4"/>
    <w:bookmarkEnd w:id="5"/>
    <w:bookmarkEnd w:id="6"/>
    <w:p w14:paraId="66E1D2FB">
      <w:pPr>
        <w:pStyle w:val="8"/>
        <w:keepNext/>
        <w:keepLines/>
        <w:pageBreakBefore w:val="0"/>
        <w:kinsoku/>
        <w:wordWrap/>
        <w:overflowPunct/>
        <w:topLinePunct w:val="0"/>
        <w:autoSpaceDE/>
        <w:autoSpaceDN/>
        <w:bidi w:val="0"/>
        <w:adjustRightInd w:val="0"/>
        <w:snapToGrid w:val="0"/>
        <w:spacing w:beforeAutospacing="0" w:afterAutospacing="0" w:line="520" w:lineRule="exact"/>
        <w:ind w:right="0" w:firstLine="482" w:firstLineChars="200"/>
        <w:jc w:val="both"/>
        <w:textAlignment w:val="auto"/>
        <w:outlineLvl w:val="0"/>
        <w:rPr>
          <w:rFonts w:hint="eastAsia" w:ascii="宋体" w:hAnsi="宋体" w:eastAsia="宋体" w:cs="宋体"/>
          <w:color w:val="auto"/>
          <w:sz w:val="24"/>
          <w:szCs w:val="24"/>
          <w:highlight w:val="none"/>
        </w:rPr>
      </w:pPr>
      <w:bookmarkStart w:id="7" w:name="_Toc12143"/>
      <w:bookmarkStart w:id="8" w:name="_Toc10391"/>
      <w:bookmarkStart w:id="9" w:name="_Toc28359003"/>
      <w:bookmarkStart w:id="10" w:name="_Toc35393622"/>
      <w:bookmarkStart w:id="11" w:name="_Toc28359080"/>
      <w:bookmarkStart w:id="12" w:name="_Toc35393791"/>
      <w:bookmarkStart w:id="13" w:name="_Toc38985264"/>
      <w:r>
        <w:rPr>
          <w:rFonts w:hint="eastAsia" w:ascii="宋体" w:hAnsi="宋体" w:eastAsia="宋体" w:cs="宋体"/>
          <w:b/>
          <w:color w:val="auto"/>
          <w:sz w:val="24"/>
          <w:szCs w:val="24"/>
          <w:highlight w:val="none"/>
        </w:rPr>
        <w:t>一、项目基本情况</w:t>
      </w:r>
      <w:bookmarkEnd w:id="7"/>
      <w:bookmarkEnd w:id="8"/>
    </w:p>
    <w:p w14:paraId="3B206D86">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eastAsia="宋体" w:cs="宋体"/>
          <w:color w:val="0000FF"/>
          <w:sz w:val="24"/>
          <w:szCs w:val="24"/>
          <w:highlight w:val="none"/>
          <w:u w:val="single"/>
          <w:lang w:eastAsia="zh-CN"/>
        </w:rPr>
        <w:t>JSZC-320922-JZCG-T2026-0011</w:t>
      </w:r>
    </w:p>
    <w:p w14:paraId="20B03019">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w:t>
      </w:r>
      <w:r>
        <w:rPr>
          <w:rFonts w:hint="eastAsia" w:ascii="宋体" w:hAnsi="宋体" w:eastAsia="宋体" w:cs="宋体"/>
          <w:color w:val="0000FF"/>
          <w:sz w:val="24"/>
          <w:szCs w:val="24"/>
          <w:highlight w:val="none"/>
          <w:u w:val="single"/>
          <w:lang w:eastAsia="zh-CN"/>
        </w:rPr>
        <w:t>滨海县农业综合行政执法大队执法船柴油采购项目</w:t>
      </w:r>
    </w:p>
    <w:p w14:paraId="1D76888B">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采购方式：</w:t>
      </w:r>
      <w:r>
        <w:rPr>
          <w:rFonts w:hint="eastAsia" w:ascii="宋体" w:hAnsi="宋体" w:eastAsia="宋体" w:cs="宋体"/>
          <w:i w:val="0"/>
          <w:iCs w:val="0"/>
          <w:caps w:val="0"/>
          <w:color w:val="0000FF"/>
          <w:spacing w:val="0"/>
          <w:sz w:val="24"/>
          <w:szCs w:val="24"/>
          <w:highlight w:val="none"/>
          <w:u w:val="single"/>
          <w:shd w:val="clear" w:color="auto" w:fill="FFFFFF"/>
        </w:rPr>
        <w:t>竞争性谈判</w:t>
      </w:r>
    </w:p>
    <w:p w14:paraId="1CF195AD">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eastAsia="宋体" w:cs="宋体"/>
          <w:color w:val="0000FF"/>
          <w:sz w:val="24"/>
          <w:szCs w:val="24"/>
          <w:highlight w:val="none"/>
          <w:u w:val="single"/>
          <w:lang w:val="en-US" w:eastAsia="zh-CN"/>
        </w:rPr>
        <w:t>119.2</w:t>
      </w:r>
      <w:r>
        <w:rPr>
          <w:rFonts w:hint="eastAsia" w:ascii="宋体" w:hAnsi="宋体" w:eastAsia="宋体" w:cs="宋体"/>
          <w:color w:val="0000FF"/>
          <w:sz w:val="24"/>
          <w:szCs w:val="24"/>
          <w:highlight w:val="none"/>
          <w:u w:val="single"/>
        </w:rPr>
        <w:t>万元（其中</w:t>
      </w:r>
      <w:r>
        <w:rPr>
          <w:rFonts w:hint="eastAsia" w:ascii="宋体" w:hAnsi="宋体" w:eastAsia="宋体" w:cs="宋体"/>
          <w:color w:val="0000FF"/>
          <w:sz w:val="24"/>
          <w:szCs w:val="24"/>
          <w:highlight w:val="none"/>
          <w:u w:val="single"/>
          <w:lang w:val="en-US" w:eastAsia="zh-CN"/>
        </w:rPr>
        <w:t>柴油预算110万元</w:t>
      </w:r>
      <w:r>
        <w:rPr>
          <w:rFonts w:hint="eastAsia" w:ascii="宋体" w:hAnsi="宋体" w:eastAsia="宋体" w:cs="宋体"/>
          <w:color w:val="0000FF"/>
          <w:sz w:val="24"/>
          <w:szCs w:val="24"/>
          <w:highlight w:val="none"/>
          <w:u w:val="single"/>
        </w:rPr>
        <w:t>，</w:t>
      </w:r>
      <w:r>
        <w:rPr>
          <w:rFonts w:hint="eastAsia" w:ascii="宋体" w:hAnsi="宋体" w:eastAsia="宋体" w:cs="宋体"/>
          <w:color w:val="0000FF"/>
          <w:sz w:val="24"/>
          <w:szCs w:val="24"/>
          <w:highlight w:val="none"/>
          <w:u w:val="single"/>
          <w:lang w:val="en-US" w:eastAsia="zh-CN"/>
        </w:rPr>
        <w:t>95号汽油预算9.2万元</w:t>
      </w:r>
      <w:r>
        <w:rPr>
          <w:rFonts w:hint="eastAsia" w:ascii="宋体" w:hAnsi="宋体" w:eastAsia="宋体" w:cs="宋体"/>
          <w:color w:val="0000FF"/>
          <w:sz w:val="24"/>
          <w:szCs w:val="24"/>
          <w:highlight w:val="none"/>
          <w:u w:val="single"/>
        </w:rPr>
        <w:t>）</w:t>
      </w:r>
    </w:p>
    <w:p w14:paraId="4E53FBD7">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w:t>
      </w:r>
      <w:r>
        <w:rPr>
          <w:rFonts w:hint="eastAsia" w:ascii="宋体" w:hAnsi="宋体" w:eastAsia="宋体" w:cs="宋体"/>
          <w:color w:val="0000FF"/>
          <w:sz w:val="24"/>
          <w:szCs w:val="24"/>
          <w:highlight w:val="none"/>
          <w:u w:val="single"/>
          <w:lang w:val="en-US" w:eastAsia="zh-CN"/>
        </w:rPr>
        <w:t>119.2</w:t>
      </w:r>
      <w:r>
        <w:rPr>
          <w:rFonts w:hint="eastAsia" w:ascii="宋体" w:hAnsi="宋体" w:eastAsia="宋体" w:cs="宋体"/>
          <w:color w:val="0000FF"/>
          <w:sz w:val="24"/>
          <w:szCs w:val="24"/>
          <w:highlight w:val="none"/>
          <w:u w:val="single"/>
        </w:rPr>
        <w:t>万元（其中</w:t>
      </w:r>
      <w:r>
        <w:rPr>
          <w:rFonts w:hint="eastAsia" w:ascii="宋体" w:hAnsi="宋体" w:eastAsia="宋体" w:cs="宋体"/>
          <w:color w:val="0000FF"/>
          <w:sz w:val="24"/>
          <w:szCs w:val="24"/>
          <w:highlight w:val="none"/>
          <w:u w:val="single"/>
          <w:lang w:val="en-US" w:eastAsia="zh-CN"/>
        </w:rPr>
        <w:t>柴油预算110万元</w:t>
      </w:r>
      <w:r>
        <w:rPr>
          <w:rFonts w:hint="eastAsia" w:ascii="宋体" w:hAnsi="宋体" w:eastAsia="宋体" w:cs="宋体"/>
          <w:color w:val="0000FF"/>
          <w:sz w:val="24"/>
          <w:szCs w:val="24"/>
          <w:highlight w:val="none"/>
          <w:u w:val="single"/>
        </w:rPr>
        <w:t>，</w:t>
      </w:r>
      <w:r>
        <w:rPr>
          <w:rFonts w:hint="eastAsia" w:ascii="宋体" w:hAnsi="宋体" w:eastAsia="宋体" w:cs="宋体"/>
          <w:color w:val="0000FF"/>
          <w:sz w:val="24"/>
          <w:szCs w:val="24"/>
          <w:highlight w:val="none"/>
          <w:u w:val="single"/>
          <w:lang w:val="en-US" w:eastAsia="zh-CN"/>
        </w:rPr>
        <w:t>95号汽油预算9.2万元</w:t>
      </w:r>
      <w:r>
        <w:rPr>
          <w:rFonts w:hint="eastAsia" w:ascii="宋体" w:hAnsi="宋体" w:eastAsia="宋体" w:cs="宋体"/>
          <w:color w:val="0000FF"/>
          <w:sz w:val="24"/>
          <w:szCs w:val="24"/>
          <w:highlight w:val="none"/>
          <w:u w:val="single"/>
        </w:rPr>
        <w:t>）</w:t>
      </w:r>
    </w:p>
    <w:p w14:paraId="63EBCA19">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0000FF"/>
          <w:sz w:val="24"/>
          <w:szCs w:val="24"/>
          <w:highlight w:val="none"/>
          <w:u w:val="singl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.采购需求（简介）：</w:t>
      </w:r>
      <w:r>
        <w:rPr>
          <w:rFonts w:hint="eastAsia" w:ascii="宋体" w:hAnsi="宋体" w:eastAsia="宋体" w:cs="宋体"/>
          <w:color w:val="0000FF"/>
          <w:sz w:val="24"/>
          <w:szCs w:val="24"/>
          <w:highlight w:val="none"/>
          <w:u w:val="single"/>
        </w:rPr>
        <w:t>本项目为滨海县农业综合行政执法大队执法船只年度用油采购，采购内容包含0号柴油、9</w:t>
      </w:r>
      <w:r>
        <w:rPr>
          <w:rFonts w:hint="eastAsia" w:ascii="宋体" w:hAnsi="宋体" w:eastAsia="宋体" w:cs="宋体"/>
          <w:color w:val="0000FF"/>
          <w:sz w:val="24"/>
          <w:szCs w:val="24"/>
          <w:highlight w:val="none"/>
          <w:u w:val="single"/>
          <w:lang w:val="en-US" w:eastAsia="zh-CN"/>
        </w:rPr>
        <w:t>5</w:t>
      </w:r>
      <w:r>
        <w:rPr>
          <w:rFonts w:hint="eastAsia" w:ascii="宋体" w:hAnsi="宋体" w:eastAsia="宋体" w:cs="宋体"/>
          <w:color w:val="0000FF"/>
          <w:sz w:val="24"/>
          <w:szCs w:val="24"/>
          <w:highlight w:val="none"/>
          <w:u w:val="single"/>
        </w:rPr>
        <w:t>号汽油，根据采购人实际使用需求分批次分别配送至采购人指定地点，提供专业加注服务</w:t>
      </w:r>
      <w:r>
        <w:rPr>
          <w:rFonts w:hint="eastAsia" w:ascii="宋体" w:hAnsi="宋体" w:eastAsia="宋体" w:cs="宋体"/>
          <w:color w:val="0000FF"/>
          <w:sz w:val="24"/>
          <w:szCs w:val="24"/>
          <w:highlight w:val="none"/>
          <w:u w:val="single"/>
          <w:lang w:eastAsia="zh-CN"/>
        </w:rPr>
        <w:t>，</w:t>
      </w:r>
      <w:r>
        <w:rPr>
          <w:rFonts w:hint="eastAsia" w:ascii="宋体" w:hAnsi="宋体" w:eastAsia="宋体" w:cs="宋体"/>
          <w:color w:val="0000FF"/>
          <w:sz w:val="24"/>
          <w:szCs w:val="24"/>
          <w:highlight w:val="none"/>
          <w:u w:val="single"/>
        </w:rPr>
        <w:t>具体技术参数及服务要求详见采购文件。</w:t>
      </w:r>
    </w:p>
    <w:p w14:paraId="4E6202AC">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0000FF"/>
          <w:sz w:val="24"/>
          <w:szCs w:val="24"/>
          <w:highlight w:val="none"/>
          <w:u w:val="single"/>
          <w:lang w:val="en-US" w:eastAsia="zh-CN"/>
        </w:rPr>
      </w:pPr>
      <w:r>
        <w:rPr>
          <w:rFonts w:hint="eastAsia" w:ascii="宋体" w:hAnsi="宋体" w:eastAsia="宋体" w:cs="宋体"/>
          <w:color w:val="0000FF"/>
          <w:sz w:val="24"/>
          <w:szCs w:val="24"/>
          <w:highlight w:val="none"/>
          <w:u w:val="single"/>
          <w:lang w:val="en-US" w:eastAsia="zh-CN"/>
        </w:rPr>
        <w:t>本项目</w:t>
      </w:r>
      <w:r>
        <w:rPr>
          <w:rFonts w:hint="eastAsia" w:ascii="宋体" w:hAnsi="宋体" w:eastAsia="宋体" w:cs="宋体"/>
          <w:color w:val="0000FF"/>
          <w:sz w:val="24"/>
          <w:szCs w:val="24"/>
          <w:highlight w:val="none"/>
          <w:u w:val="single"/>
        </w:rPr>
        <w:t>采用优惠率报价，投标优惠率范围为0-100%，最终结算时按实际发生量据实结算。</w:t>
      </w:r>
    </w:p>
    <w:p w14:paraId="317F4B1F">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0000FF"/>
          <w:sz w:val="24"/>
          <w:szCs w:val="24"/>
          <w:highlight w:val="none"/>
          <w:u w:val="single"/>
          <w:lang w:val="en-US" w:eastAsia="zh-CN"/>
        </w:rPr>
        <w:t>1年（自合同签订之日起）</w:t>
      </w:r>
      <w:r>
        <w:rPr>
          <w:rFonts w:hint="eastAsia" w:ascii="宋体" w:hAnsi="宋体" w:eastAsia="宋体" w:cs="宋体"/>
          <w:color w:val="auto"/>
          <w:sz w:val="24"/>
          <w:szCs w:val="24"/>
          <w:highlight w:val="none"/>
        </w:rPr>
        <w:t>。</w:t>
      </w:r>
    </w:p>
    <w:p w14:paraId="0306419F">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本项目（是/否）接受联合体参与</w:t>
      </w:r>
      <w:r>
        <w:rPr>
          <w:rFonts w:hint="eastAsia" w:ascii="宋体" w:hAnsi="宋体" w:eastAsia="宋体" w:cs="宋体"/>
          <w:i w:val="0"/>
          <w:iCs w:val="0"/>
          <w:caps w:val="0"/>
          <w:color w:val="auto"/>
          <w:spacing w:val="0"/>
          <w:sz w:val="24"/>
          <w:szCs w:val="24"/>
          <w:highlight w:val="none"/>
          <w:shd w:val="clear" w:color="auto" w:fill="auto"/>
          <w:lang w:val="en-US" w:eastAsia="zh-CN"/>
        </w:rPr>
        <w:t>谈判</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否</w:t>
      </w:r>
      <w:r>
        <w:rPr>
          <w:rFonts w:hint="eastAsia" w:ascii="宋体" w:hAnsi="宋体" w:eastAsia="宋体" w:cs="宋体"/>
          <w:color w:val="auto"/>
          <w:sz w:val="24"/>
          <w:szCs w:val="24"/>
          <w:highlight w:val="none"/>
          <w:lang w:val="en-US" w:eastAsia="zh-CN"/>
        </w:rPr>
        <w:t>。</w:t>
      </w:r>
    </w:p>
    <w:bookmarkEnd w:id="9"/>
    <w:bookmarkEnd w:id="10"/>
    <w:bookmarkEnd w:id="11"/>
    <w:bookmarkEnd w:id="12"/>
    <w:bookmarkEnd w:id="13"/>
    <w:p w14:paraId="5AA24828">
      <w:pPr>
        <w:pStyle w:val="8"/>
        <w:keepNext/>
        <w:keepLines/>
        <w:pageBreakBefore w:val="0"/>
        <w:kinsoku/>
        <w:wordWrap/>
        <w:overflowPunct/>
        <w:topLinePunct w:val="0"/>
        <w:autoSpaceDE/>
        <w:autoSpaceDN/>
        <w:bidi w:val="0"/>
        <w:adjustRightInd w:val="0"/>
        <w:snapToGrid w:val="0"/>
        <w:spacing w:beforeAutospacing="0" w:afterAutospacing="0" w:line="520" w:lineRule="exact"/>
        <w:ind w:right="0" w:firstLine="482" w:firstLineChars="200"/>
        <w:jc w:val="both"/>
        <w:textAlignment w:val="auto"/>
        <w:outlineLvl w:val="0"/>
        <w:rPr>
          <w:rFonts w:hint="eastAsia" w:ascii="宋体" w:hAnsi="宋体" w:eastAsia="宋体" w:cs="宋体"/>
          <w:color w:val="auto"/>
          <w:sz w:val="24"/>
          <w:szCs w:val="24"/>
          <w:highlight w:val="none"/>
        </w:rPr>
      </w:pPr>
      <w:bookmarkStart w:id="14" w:name="_Toc10554"/>
      <w:bookmarkStart w:id="15" w:name="_Toc24897"/>
      <w:r>
        <w:rPr>
          <w:rFonts w:hint="eastAsia" w:ascii="宋体" w:hAnsi="宋体" w:eastAsia="宋体" w:cs="宋体"/>
          <w:b/>
          <w:color w:val="auto"/>
          <w:sz w:val="24"/>
          <w:szCs w:val="24"/>
          <w:highlight w:val="none"/>
        </w:rPr>
        <w:t>二、申请人的资格要求：</w:t>
      </w:r>
      <w:bookmarkEnd w:id="14"/>
      <w:bookmarkEnd w:id="15"/>
    </w:p>
    <w:p w14:paraId="7E226A6C">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4865806E">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1.1 法人或者其他组织的营业执照等证明文件，自然人的身份证明；</w:t>
      </w:r>
    </w:p>
    <w:p w14:paraId="3D968EC0">
      <w:pPr>
        <w:pStyle w:val="8"/>
        <w:pageBreakBefore w:val="0"/>
        <w:spacing w:beforeAutospacing="0" w:afterAutospacing="0" w:line="520" w:lineRule="exact"/>
        <w:ind w:firstLine="480"/>
        <w:jc w:val="both"/>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1.2具有良好的商业信誉和健全的财务会计制度（提供声明书）；</w:t>
      </w:r>
    </w:p>
    <w:p w14:paraId="467DBE1E">
      <w:pPr>
        <w:pStyle w:val="8"/>
        <w:pageBreakBefore w:val="0"/>
        <w:spacing w:beforeAutospacing="0" w:afterAutospacing="0" w:line="520" w:lineRule="exact"/>
        <w:ind w:firstLine="480"/>
        <w:jc w:val="both"/>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1.3有依法缴纳税收和社会保障资金的良好记录（提供声明书）；</w:t>
      </w:r>
    </w:p>
    <w:p w14:paraId="7B12D34A">
      <w:pPr>
        <w:pStyle w:val="8"/>
        <w:pageBreakBefore w:val="0"/>
        <w:spacing w:beforeAutospacing="0" w:afterAutospacing="0" w:line="520" w:lineRule="exact"/>
        <w:ind w:firstLine="480"/>
        <w:jc w:val="both"/>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1.4具有履行合同所必需的设备和专业技术能力（提供声明书）；</w:t>
      </w:r>
    </w:p>
    <w:p w14:paraId="61C8D245">
      <w:pPr>
        <w:pStyle w:val="8"/>
        <w:pageBreakBefore w:val="0"/>
        <w:spacing w:beforeAutospacing="0" w:afterAutospacing="0" w:line="520" w:lineRule="exact"/>
        <w:ind w:firstLine="480"/>
        <w:jc w:val="both"/>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1.5参加政府采购活动前三年内，在经营活动中没有重大违法记录（提供书面声明）。</w:t>
      </w:r>
    </w:p>
    <w:p w14:paraId="5A70EE44">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0E027972">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1B0BF84">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1.8单位负责人为同一人或者存在直接控股、管理关系的不同供应商，不得参加同一合同项下的政府采购活动。</w:t>
      </w:r>
    </w:p>
    <w:p w14:paraId="7AF1D683">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u w:val="single"/>
          <w:lang w:val="en-US" w:eastAsia="zh-CN"/>
        </w:rPr>
        <w:t>无</w:t>
      </w:r>
      <w:r>
        <w:rPr>
          <w:rFonts w:hint="eastAsia" w:ascii="宋体" w:hAnsi="宋体" w:eastAsia="宋体" w:cs="宋体"/>
          <w:color w:val="auto"/>
          <w:sz w:val="24"/>
          <w:szCs w:val="24"/>
          <w:highlight w:val="none"/>
        </w:rPr>
        <w:t>。</w:t>
      </w:r>
    </w:p>
    <w:p w14:paraId="5B04B914">
      <w:pPr>
        <w:pageBreakBefore w:val="0"/>
        <w:kinsoku/>
        <w:wordWrap/>
        <w:overflowPunct/>
        <w:topLinePunct w:val="0"/>
        <w:autoSpaceDE/>
        <w:autoSpaceDN/>
        <w:bidi w:val="0"/>
        <w:adjustRightInd w:val="0"/>
        <w:snapToGrid w:val="0"/>
        <w:spacing w:line="520" w:lineRule="exact"/>
        <w:ind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p>
    <w:p w14:paraId="0F7AE8A7">
      <w:pPr>
        <w:pageBreakBefore w:val="0"/>
        <w:spacing w:line="520" w:lineRule="exact"/>
        <w:ind w:firstLine="48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3.1投标供应商具有有效期内的《危险化学品经营许可证》（许可范围包含汽油、柴油）。</w:t>
      </w:r>
    </w:p>
    <w:p w14:paraId="08A105E4">
      <w:pPr>
        <w:pageBreakBefore w:val="0"/>
        <w:spacing w:line="520" w:lineRule="exact"/>
        <w:ind w:firstLine="48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3.2投标供应商具有有效期内的《成品油零售经营批准证书》；</w:t>
      </w:r>
    </w:p>
    <w:p w14:paraId="25883B8D">
      <w:pPr>
        <w:pageBreakBefore w:val="0"/>
        <w:spacing w:line="520" w:lineRule="exact"/>
        <w:ind w:firstLine="480"/>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3.3投标人须具有合规汽油、柴油储存条件的油库，提供以下任一材料：</w:t>
      </w:r>
    </w:p>
    <w:p w14:paraId="062C806F">
      <w:pPr>
        <w:pageBreakBefore w:val="0"/>
        <w:spacing w:line="520" w:lineRule="exact"/>
        <w:ind w:firstLine="480"/>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①自有油库：提供油库为自有且符合危化品仓储规范的相关证明；</w:t>
      </w:r>
    </w:p>
    <w:p w14:paraId="465983E8">
      <w:pPr>
        <w:pageBreakBefore w:val="0"/>
        <w:spacing w:line="520" w:lineRule="exact"/>
        <w:ind w:firstLine="480"/>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②租赁油库：提供租赁协议（租赁协议期限须能完整覆盖本项目服务周期）+出租方油库符合危化品仓储规范的相关证明。</w:t>
      </w:r>
    </w:p>
    <w:p w14:paraId="33A38130">
      <w:pPr>
        <w:pageBreakBefore w:val="0"/>
        <w:spacing w:line="520" w:lineRule="exact"/>
        <w:ind w:firstLine="480"/>
        <w:rPr>
          <w:rFonts w:hint="default"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③其他成品油储存设施使用权：提供</w:t>
      </w:r>
      <w:r>
        <w:rPr>
          <w:rFonts w:hint="default" w:ascii="宋体" w:hAnsi="宋体" w:eastAsia="宋体" w:cs="宋体"/>
          <w:color w:val="0000FF"/>
          <w:sz w:val="24"/>
          <w:szCs w:val="24"/>
          <w:highlight w:val="none"/>
          <w:lang w:val="en-US" w:eastAsia="zh-CN"/>
        </w:rPr>
        <w:t>完整储存设施使用权证明文件</w:t>
      </w:r>
      <w:r>
        <w:rPr>
          <w:rFonts w:hint="eastAsia" w:ascii="宋体" w:hAnsi="宋体" w:eastAsia="宋体" w:cs="宋体"/>
          <w:color w:val="0000FF"/>
          <w:sz w:val="24"/>
          <w:szCs w:val="24"/>
          <w:highlight w:val="none"/>
          <w:lang w:val="en-US" w:eastAsia="zh-CN"/>
        </w:rPr>
        <w:t>及</w:t>
      </w:r>
      <w:r>
        <w:rPr>
          <w:rFonts w:hint="default" w:ascii="宋体" w:hAnsi="宋体" w:eastAsia="宋体" w:cs="宋体"/>
          <w:color w:val="0000FF"/>
          <w:sz w:val="24"/>
          <w:szCs w:val="24"/>
          <w:highlight w:val="none"/>
          <w:lang w:val="en-US" w:eastAsia="zh-CN"/>
        </w:rPr>
        <w:t>对应储存设施</w:t>
      </w:r>
      <w:r>
        <w:rPr>
          <w:rFonts w:hint="eastAsia" w:ascii="宋体" w:hAnsi="宋体" w:eastAsia="宋体" w:cs="宋体"/>
          <w:color w:val="0000FF"/>
          <w:sz w:val="24"/>
          <w:szCs w:val="24"/>
          <w:highlight w:val="none"/>
          <w:lang w:val="en-US" w:eastAsia="zh-CN"/>
        </w:rPr>
        <w:t>符合危化品仓储规范的相关证明</w:t>
      </w:r>
      <w:r>
        <w:rPr>
          <w:rFonts w:hint="default" w:ascii="宋体" w:hAnsi="宋体" w:eastAsia="宋体" w:cs="宋体"/>
          <w:color w:val="0000FF"/>
          <w:sz w:val="24"/>
          <w:szCs w:val="24"/>
          <w:highlight w:val="none"/>
          <w:lang w:val="en-US" w:eastAsia="zh-CN"/>
        </w:rPr>
        <w:t>。</w:t>
      </w:r>
    </w:p>
    <w:p w14:paraId="713B48B0">
      <w:pPr>
        <w:pageBreakBefore w:val="0"/>
        <w:spacing w:line="520" w:lineRule="exact"/>
        <w:ind w:firstLine="48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3.4如供应商自行负责运输，须具有有效的道路危险货物运输许可证或道路运输经营许可证（涵盖危险货物运输）；如供应商委托运输，须提供双方合作协议及运输方须具有有效的道路危险货物运输许可证或道路运输经营许可证（涵盖危险货物运输）。</w:t>
      </w:r>
    </w:p>
    <w:p w14:paraId="343FDBAB">
      <w:pPr>
        <w:pStyle w:val="8"/>
        <w:keepNext/>
        <w:keepLines/>
        <w:pageBreakBefore w:val="0"/>
        <w:kinsoku/>
        <w:wordWrap/>
        <w:overflowPunct/>
        <w:topLinePunct w:val="0"/>
        <w:autoSpaceDE/>
        <w:autoSpaceDN/>
        <w:bidi w:val="0"/>
        <w:adjustRightInd w:val="0"/>
        <w:snapToGrid w:val="0"/>
        <w:spacing w:beforeAutospacing="0" w:afterAutospacing="0" w:line="520" w:lineRule="exact"/>
        <w:ind w:right="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谈判</w:t>
      </w:r>
      <w:r>
        <w:rPr>
          <w:rFonts w:hint="eastAsia" w:ascii="宋体" w:hAnsi="宋体" w:eastAsia="宋体" w:cs="宋体"/>
          <w:b/>
          <w:color w:val="auto"/>
          <w:sz w:val="24"/>
          <w:szCs w:val="24"/>
          <w:highlight w:val="none"/>
          <w:shd w:val="clear" w:color="auto" w:fill="auto"/>
        </w:rPr>
        <w:t>文件</w:t>
      </w:r>
    </w:p>
    <w:p w14:paraId="5BF8724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shd w:val="clear" w:color="auto" w:fill="auto"/>
        </w:rPr>
      </w:pPr>
      <w:bookmarkStart w:id="16" w:name="_Toc38985266"/>
      <w:bookmarkStart w:id="17" w:name="_Toc35393793"/>
      <w:bookmarkStart w:id="18" w:name="_Toc28359082"/>
      <w:bookmarkStart w:id="19" w:name="_Toc35393624"/>
      <w:bookmarkStart w:id="20" w:name="_Toc28359005"/>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kern w:val="0"/>
          <w:sz w:val="24"/>
          <w:szCs w:val="24"/>
          <w:highlight w:val="none"/>
          <w:shd w:val="clear" w:color="auto" w:fill="auto"/>
          <w:lang w:val="en-US" w:eastAsia="zh-CN" w:bidi="ar-SA"/>
        </w:rPr>
        <w:t>自谈判文件公告发布之日起3个工作日。</w:t>
      </w:r>
      <w:bookmarkEnd w:id="16"/>
      <w:bookmarkEnd w:id="17"/>
      <w:bookmarkEnd w:id="18"/>
      <w:bookmarkEnd w:id="19"/>
      <w:bookmarkEnd w:id="20"/>
    </w:p>
    <w:p w14:paraId="3FE7E4A2">
      <w:pPr>
        <w:keepNext w:val="0"/>
        <w:keepLines w:val="0"/>
        <w:pageBreakBefore w:val="0"/>
        <w:widowControl/>
        <w:suppressLineNumbers w:val="0"/>
        <w:kinsoku/>
        <w:wordWrap/>
        <w:overflowPunct/>
        <w:topLinePunct w:val="0"/>
        <w:autoSpaceDE/>
        <w:autoSpaceDN/>
        <w:bidi w:val="0"/>
        <w:adjustRightInd w:val="0"/>
        <w:snapToGrid w:val="0"/>
        <w:spacing w:line="520" w:lineRule="exact"/>
        <w:ind w:righ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2.地点：“苏采云”系统内免费下载（投标人必须在苏采云系统中获取</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文件，方能参与政府采购项目）；</w:t>
      </w:r>
    </w:p>
    <w:p w14:paraId="1CD7F0EF">
      <w:pPr>
        <w:keepNext w:val="0"/>
        <w:keepLines w:val="0"/>
        <w:pageBreakBefore w:val="0"/>
        <w:widowControl/>
        <w:suppressLineNumbers w:val="0"/>
        <w:kinsoku/>
        <w:wordWrap/>
        <w:overflowPunct/>
        <w:topLinePunct w:val="0"/>
        <w:autoSpaceDE/>
        <w:autoSpaceDN/>
        <w:bidi w:val="0"/>
        <w:adjustRightInd w:val="0"/>
        <w:snapToGrid w:val="0"/>
        <w:spacing w:line="520" w:lineRule="exact"/>
        <w:ind w:righ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3.方式：本项目采用网上注册登记方式。 </w:t>
      </w:r>
    </w:p>
    <w:p w14:paraId="1E137E95">
      <w:pPr>
        <w:pageBreakBefore w:val="0"/>
        <w:widowControl/>
        <w:kinsoku/>
        <w:wordWrap/>
        <w:overflowPunct/>
        <w:topLinePunct w:val="0"/>
        <w:autoSpaceDE/>
        <w:autoSpaceDN/>
        <w:bidi w:val="0"/>
        <w:adjustRightInd w:val="0"/>
        <w:snapToGrid w:val="0"/>
        <w:spacing w:line="520" w:lineRule="exact"/>
        <w:ind w:right="0" w:firstLine="480" w:firstLineChars="200"/>
        <w:jc w:val="left"/>
        <w:textAlignment w:val="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4.售价：0元</w:t>
      </w:r>
    </w:p>
    <w:p w14:paraId="22604748">
      <w:pPr>
        <w:pStyle w:val="8"/>
        <w:keepNext/>
        <w:keepLines/>
        <w:pageBreakBefore w:val="0"/>
        <w:kinsoku/>
        <w:wordWrap/>
        <w:overflowPunct/>
        <w:topLinePunct w:val="0"/>
        <w:autoSpaceDE/>
        <w:autoSpaceDN/>
        <w:bidi w:val="0"/>
        <w:adjustRightInd w:val="0"/>
        <w:snapToGrid w:val="0"/>
        <w:spacing w:beforeAutospacing="0" w:afterAutospacing="0" w:line="520" w:lineRule="exact"/>
        <w:ind w:right="0" w:firstLine="482"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53DA11B6">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0000FF"/>
          <w:sz w:val="24"/>
          <w:szCs w:val="24"/>
          <w:highlight w:val="none"/>
          <w:u w:val="single"/>
          <w:shd w:val="clear" w:color="auto" w:fill="auto"/>
          <w:lang w:val="en-US" w:eastAsia="zh-CN"/>
        </w:rPr>
        <w:t>2026年9月11日9点00分</w:t>
      </w:r>
      <w:r>
        <w:rPr>
          <w:rFonts w:hint="eastAsia" w:ascii="宋体" w:hAnsi="宋体" w:eastAsia="宋体" w:cs="宋体"/>
          <w:color w:val="auto"/>
          <w:sz w:val="24"/>
          <w:szCs w:val="24"/>
          <w:highlight w:val="none"/>
          <w:shd w:val="clear" w:color="auto" w:fill="auto"/>
        </w:rPr>
        <w:t>（北京时间）。</w:t>
      </w:r>
    </w:p>
    <w:p w14:paraId="14BDA059">
      <w:pPr>
        <w:pageBreakBefore w:val="0"/>
        <w:widowControl/>
        <w:kinsoku/>
        <w:wordWrap/>
        <w:overflowPunct/>
        <w:topLinePunct w:val="0"/>
        <w:autoSpaceDE/>
        <w:autoSpaceDN/>
        <w:bidi w:val="0"/>
        <w:adjustRightInd w:val="0"/>
        <w:snapToGrid w:val="0"/>
        <w:spacing w:line="520" w:lineRule="exact"/>
        <w:ind w:right="0"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auto"/>
          <w:sz w:val="24"/>
          <w:szCs w:val="24"/>
          <w:highlight w:val="none"/>
          <w:shd w:val="clear" w:color="auto" w:fill="auto"/>
          <w:lang w:val="en-US" w:eastAsia="zh-CN"/>
        </w:rPr>
        <w:t>“苏采云”政府采购交易系统网上开标大厅。</w:t>
      </w:r>
    </w:p>
    <w:p w14:paraId="5192DB20">
      <w:pPr>
        <w:pStyle w:val="8"/>
        <w:keepNext/>
        <w:keepLines/>
        <w:pageBreakBefore w:val="0"/>
        <w:kinsoku/>
        <w:wordWrap/>
        <w:overflowPunct/>
        <w:topLinePunct w:val="0"/>
        <w:autoSpaceDE/>
        <w:autoSpaceDN/>
        <w:bidi w:val="0"/>
        <w:adjustRightInd w:val="0"/>
        <w:snapToGrid w:val="0"/>
        <w:spacing w:beforeAutospacing="0" w:afterAutospacing="0" w:line="520" w:lineRule="exact"/>
        <w:ind w:right="0" w:firstLine="482" w:firstLineChars="200"/>
        <w:jc w:val="both"/>
        <w:textAlignment w:val="auto"/>
        <w:rPr>
          <w:rFonts w:hint="eastAsia" w:ascii="宋体" w:hAnsi="宋体" w:eastAsia="宋体" w:cs="宋体"/>
          <w:b/>
          <w:color w:val="auto"/>
          <w:sz w:val="24"/>
          <w:szCs w:val="24"/>
          <w:highlight w:val="none"/>
          <w:shd w:val="clear" w:color="auto" w:fill="auto"/>
        </w:rPr>
      </w:pPr>
      <w:bookmarkStart w:id="21" w:name="_Toc38985268"/>
      <w:bookmarkStart w:id="22" w:name="_Toc35393795"/>
      <w:bookmarkStart w:id="23" w:name="_Toc35393626"/>
      <w:r>
        <w:rPr>
          <w:rFonts w:hint="eastAsia" w:ascii="宋体" w:hAnsi="宋体" w:eastAsia="宋体" w:cs="宋体"/>
          <w:b/>
          <w:color w:val="auto"/>
          <w:sz w:val="24"/>
          <w:szCs w:val="24"/>
          <w:highlight w:val="none"/>
          <w:shd w:val="clear" w:color="auto" w:fill="auto"/>
        </w:rPr>
        <w:t>五、开启</w:t>
      </w:r>
    </w:p>
    <w:p w14:paraId="1329C78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r>
        <w:rPr>
          <w:rFonts w:hint="eastAsia" w:ascii="宋体" w:hAnsi="宋体" w:eastAsia="宋体" w:cs="宋体"/>
          <w:color w:val="0000FF"/>
          <w:sz w:val="24"/>
          <w:szCs w:val="24"/>
          <w:highlight w:val="none"/>
          <w:u w:val="single"/>
          <w:shd w:val="clear" w:color="auto" w:fill="auto"/>
          <w:lang w:val="en-US" w:eastAsia="zh-CN"/>
        </w:rPr>
        <w:t>2026年9月11日9点00分</w:t>
      </w:r>
      <w:r>
        <w:rPr>
          <w:rFonts w:hint="eastAsia" w:ascii="宋体" w:hAnsi="宋体" w:eastAsia="宋体" w:cs="宋体"/>
          <w:i w:val="0"/>
          <w:iCs w:val="0"/>
          <w:caps w:val="0"/>
          <w:color w:val="auto"/>
          <w:spacing w:val="0"/>
          <w:sz w:val="24"/>
          <w:szCs w:val="24"/>
          <w:highlight w:val="none"/>
          <w:shd w:val="clear" w:color="auto" w:fill="auto"/>
        </w:rPr>
        <w:t>（北京时间）</w:t>
      </w:r>
      <w:r>
        <w:rPr>
          <w:rFonts w:hint="eastAsia" w:ascii="宋体" w:hAnsi="宋体" w:eastAsia="宋体" w:cs="宋体"/>
          <w:color w:val="auto"/>
          <w:sz w:val="24"/>
          <w:szCs w:val="24"/>
          <w:highlight w:val="none"/>
          <w:shd w:val="clear" w:color="auto" w:fill="auto"/>
        </w:rPr>
        <w:t>。</w:t>
      </w:r>
      <w:bookmarkEnd w:id="21"/>
      <w:bookmarkEnd w:id="22"/>
      <w:bookmarkEnd w:id="23"/>
    </w:p>
    <w:p w14:paraId="49F0CE96">
      <w:pPr>
        <w:pStyle w:val="8"/>
        <w:pageBreakBefore w:val="0"/>
        <w:kinsoku/>
        <w:wordWrap/>
        <w:overflowPunct/>
        <w:topLinePunct w:val="0"/>
        <w:autoSpaceDE/>
        <w:autoSpaceDN/>
        <w:bidi w:val="0"/>
        <w:adjustRightInd w:val="0"/>
        <w:snapToGrid w:val="0"/>
        <w:spacing w:beforeAutospacing="0" w:afterAutospacing="0" w:line="52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w:t>
      </w:r>
    </w:p>
    <w:p w14:paraId="169C10C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20" w:lineRule="exact"/>
        <w:ind w:right="0" w:firstLine="482" w:firstLineChars="200"/>
        <w:jc w:val="both"/>
        <w:textAlignment w:val="auto"/>
        <w:rPr>
          <w:rFonts w:hint="eastAsia" w:ascii="宋体" w:hAnsi="宋体" w:eastAsia="宋体" w:cs="宋体"/>
          <w:b/>
          <w:bCs w:val="0"/>
          <w:color w:val="auto"/>
          <w:kern w:val="0"/>
          <w:sz w:val="24"/>
          <w:szCs w:val="24"/>
          <w:highlight w:val="none"/>
          <w:shd w:val="clear" w:color="auto" w:fill="auto"/>
          <w:lang w:val="en-US" w:eastAsia="zh-CN" w:bidi="ar-SA"/>
        </w:rPr>
      </w:pPr>
      <w:bookmarkStart w:id="24" w:name="_Toc28359094"/>
      <w:r>
        <w:rPr>
          <w:rFonts w:hint="eastAsia" w:ascii="宋体" w:hAnsi="宋体" w:eastAsia="宋体" w:cs="宋体"/>
          <w:b/>
          <w:bCs w:val="0"/>
          <w:color w:val="auto"/>
          <w:kern w:val="0"/>
          <w:sz w:val="24"/>
          <w:szCs w:val="24"/>
          <w:highlight w:val="none"/>
          <w:shd w:val="clear" w:color="auto" w:fill="auto"/>
          <w:lang w:val="en-US" w:eastAsia="zh-CN" w:bidi="ar-SA"/>
        </w:rPr>
        <w:t>六、公告期限</w:t>
      </w:r>
      <w:bookmarkEnd w:id="24"/>
    </w:p>
    <w:p w14:paraId="5ACC7F8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Autospacing="0" w:afterAutospacing="0" w:line="5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自本公告发布之日起3个工作日。</w:t>
      </w:r>
    </w:p>
    <w:p w14:paraId="092C367F">
      <w:pPr>
        <w:pStyle w:val="8"/>
        <w:keepNext/>
        <w:keepLines/>
        <w:pageBreakBefore w:val="0"/>
        <w:kinsoku/>
        <w:wordWrap/>
        <w:overflowPunct/>
        <w:topLinePunct w:val="0"/>
        <w:autoSpaceDE/>
        <w:autoSpaceDN/>
        <w:bidi w:val="0"/>
        <w:adjustRightInd w:val="0"/>
        <w:snapToGrid w:val="0"/>
        <w:spacing w:beforeAutospacing="0" w:afterAutospacing="0" w:line="520" w:lineRule="exact"/>
        <w:ind w:right="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0FB9AD9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Autospacing="0" w:afterAutospacing="0" w:line="5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5"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FE02AD1">
      <w:pPr>
        <w:pageBreakBefore w:val="0"/>
        <w:numPr>
          <w:ilvl w:val="0"/>
          <w:numId w:val="0"/>
        </w:numPr>
        <w:kinsoku/>
        <w:wordWrap/>
        <w:overflowPunct/>
        <w:topLinePunct w:val="0"/>
        <w:autoSpaceDE/>
        <w:autoSpaceDN/>
        <w:bidi w:val="0"/>
        <w:adjustRightInd w:val="0"/>
        <w:snapToGrid w:val="0"/>
        <w:spacing w:line="520" w:lineRule="exact"/>
        <w:ind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4C070C05">
      <w:pPr>
        <w:keepNext w:val="0"/>
        <w:keepLines w:val="0"/>
        <w:pageBreakBefore w:val="0"/>
        <w:widowControl/>
        <w:suppressLineNumbers w:val="0"/>
        <w:kinsoku/>
        <w:wordWrap/>
        <w:overflowPunct/>
        <w:topLinePunct w:val="0"/>
        <w:autoSpaceDE/>
        <w:autoSpaceDN/>
        <w:bidi w:val="0"/>
        <w:adjustRightInd w:val="0"/>
        <w:snapToGrid w:val="0"/>
        <w:spacing w:line="520" w:lineRule="exact"/>
        <w:ind w:righ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3.潜在供应商访问电子招标响应交易平台的网络地址和方法： </w:t>
      </w:r>
    </w:p>
    <w:p w14:paraId="47CFBD16">
      <w:pPr>
        <w:keepNext w:val="0"/>
        <w:keepLines w:val="0"/>
        <w:pageBreakBefore w:val="0"/>
        <w:widowControl/>
        <w:suppressLineNumbers w:val="0"/>
        <w:kinsoku/>
        <w:wordWrap/>
        <w:overflowPunct/>
        <w:topLinePunct w:val="0"/>
        <w:autoSpaceDE/>
        <w:autoSpaceDN/>
        <w:bidi w:val="0"/>
        <w:adjustRightInd w:val="0"/>
        <w:snapToGrid w:val="0"/>
        <w:spacing w:line="520" w:lineRule="exact"/>
        <w:ind w:righ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3.1“苏采云”系统用户注册--获取“CA 数字证书”--CA 绑定与登录--参与投标--下载</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文件（后缀名为“.kedt”）--将后缀名为“.kedt”的</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 （手册下载地址：苏采云系统-右侧消息通知栏）。 </w:t>
      </w:r>
    </w:p>
    <w:p w14:paraId="281D8A7A">
      <w:pPr>
        <w:keepNext w:val="0"/>
        <w:keepLines w:val="0"/>
        <w:pageBreakBefore w:val="0"/>
        <w:widowControl/>
        <w:suppressLineNumbers w:val="0"/>
        <w:kinsoku/>
        <w:wordWrap/>
        <w:overflowPunct/>
        <w:topLinePunct w:val="0"/>
        <w:autoSpaceDE/>
        <w:autoSpaceDN/>
        <w:bidi w:val="0"/>
        <w:adjustRightInd w:val="0"/>
        <w:snapToGrid w:val="0"/>
        <w:spacing w:line="520" w:lineRule="exact"/>
        <w:ind w:righ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3.2潜在投标人访问“苏采云”系统方法：江苏省政府采购网首页-“苏采云”链接。 </w:t>
      </w:r>
    </w:p>
    <w:p w14:paraId="489A2E6D">
      <w:pPr>
        <w:keepNext w:val="0"/>
        <w:keepLines w:val="0"/>
        <w:pageBreakBefore w:val="0"/>
        <w:widowControl/>
        <w:suppressLineNumbers w:val="0"/>
        <w:kinsoku/>
        <w:wordWrap/>
        <w:overflowPunct/>
        <w:topLinePunct w:val="0"/>
        <w:autoSpaceDE/>
        <w:autoSpaceDN/>
        <w:bidi w:val="0"/>
        <w:adjustRightInd w:val="0"/>
        <w:snapToGrid w:val="0"/>
        <w:spacing w:line="520" w:lineRule="exact"/>
        <w:ind w:righ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 xml:space="preserve">文件（后缀名为“.kedt”）、供应商操作手册及政府采购客户端 工具可通过“苏采云”系统相应链接进行下载。 </w:t>
      </w:r>
    </w:p>
    <w:p w14:paraId="023F18FC">
      <w:pPr>
        <w:keepNext w:val="0"/>
        <w:keepLines w:val="0"/>
        <w:pageBreakBefore w:val="0"/>
        <w:widowControl/>
        <w:suppressLineNumbers w:val="0"/>
        <w:kinsoku/>
        <w:wordWrap/>
        <w:overflowPunct/>
        <w:topLinePunct w:val="0"/>
        <w:autoSpaceDE/>
        <w:autoSpaceDN/>
        <w:bidi w:val="0"/>
        <w:adjustRightInd w:val="0"/>
        <w:snapToGrid w:val="0"/>
        <w:spacing w:line="520" w:lineRule="exact"/>
        <w:ind w:righ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3.4采购代理机构将数据电文形式的</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 xml:space="preserve">文件加载至“苏采云”系统，供潜在供应商下载或者查阅。 </w:t>
      </w:r>
    </w:p>
    <w:p w14:paraId="14B39A50">
      <w:pPr>
        <w:keepNext w:val="0"/>
        <w:keepLines w:val="0"/>
        <w:pageBreakBefore w:val="0"/>
        <w:widowControl/>
        <w:suppressLineNumbers w:val="0"/>
        <w:kinsoku/>
        <w:wordWrap/>
        <w:overflowPunct/>
        <w:topLinePunct w:val="0"/>
        <w:autoSpaceDE/>
        <w:autoSpaceDN/>
        <w:bidi w:val="0"/>
        <w:adjustRightInd w:val="0"/>
        <w:snapToGrid w:val="0"/>
        <w:spacing w:line="520" w:lineRule="exact"/>
        <w:ind w:righ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3.5请潜在投标单位提前安装相应的控件（详见《“苏采云”系统供应商操作手册》）并使用谷歌浏览器登录“苏采云”系统参与不见面开评标。 </w:t>
      </w:r>
    </w:p>
    <w:p w14:paraId="70D063D4">
      <w:pPr>
        <w:keepNext w:val="0"/>
        <w:keepLines w:val="0"/>
        <w:pageBreakBefore w:val="0"/>
        <w:widowControl/>
        <w:suppressLineNumbers w:val="0"/>
        <w:kinsoku/>
        <w:wordWrap/>
        <w:overflowPunct/>
        <w:topLinePunct w:val="0"/>
        <w:autoSpaceDE/>
        <w:autoSpaceDN/>
        <w:bidi w:val="0"/>
        <w:adjustRightInd w:val="0"/>
        <w:snapToGrid w:val="0"/>
        <w:spacing w:line="520" w:lineRule="exact"/>
        <w:ind w:righ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如潜在投标人未按上述要求操作，将自行承担所产生的风险。</w:t>
      </w:r>
    </w:p>
    <w:p w14:paraId="7E03554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Autospacing="0" w:afterAutospacing="0" w:line="5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4.有关本次谈判的事项若存在变动或修改，敬请及时关注滨海县政府采购中心在“中国政府采购网”“江苏政府采购网”“盐城市政府采购网”“滨海县人民政府网”发布的更正公告。</w:t>
      </w:r>
    </w:p>
    <w:p w14:paraId="2E3D4B2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Autospacing="0" w:afterAutospacing="0" w:line="5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5.本次谈判不收取谈判保证金，不收取质量保证金。</w:t>
      </w:r>
    </w:p>
    <w:p w14:paraId="133DAFA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20" w:lineRule="exact"/>
        <w:ind w:left="0" w:right="0" w:firstLine="482" w:firstLineChars="200"/>
        <w:jc w:val="both"/>
        <w:textAlignment w:val="auto"/>
        <w:rPr>
          <w:rFonts w:hint="eastAsia" w:ascii="宋体" w:hAnsi="宋体" w:eastAsia="宋体" w:cs="宋体"/>
          <w:b/>
          <w:bCs w:val="0"/>
          <w:color w:val="auto"/>
          <w:kern w:val="0"/>
          <w:sz w:val="24"/>
          <w:szCs w:val="24"/>
          <w:highlight w:val="none"/>
          <w:shd w:val="clear" w:color="auto" w:fill="auto"/>
          <w:lang w:val="en-US" w:eastAsia="zh-CN" w:bidi="ar-SA"/>
        </w:rPr>
      </w:pPr>
      <w:r>
        <w:rPr>
          <w:rFonts w:hint="eastAsia" w:ascii="宋体" w:hAnsi="宋体" w:eastAsia="宋体" w:cs="宋体"/>
          <w:b/>
          <w:bCs w:val="0"/>
          <w:color w:val="auto"/>
          <w:kern w:val="0"/>
          <w:sz w:val="24"/>
          <w:szCs w:val="24"/>
          <w:highlight w:val="none"/>
          <w:shd w:val="clear" w:color="auto" w:fill="auto"/>
          <w:lang w:val="en-US" w:eastAsia="zh-CN" w:bidi="ar-SA"/>
        </w:rPr>
        <w:t>八、凡对本次采购提出询问，请按以下方式联系。</w:t>
      </w:r>
      <w:bookmarkEnd w:id="25"/>
    </w:p>
    <w:p w14:paraId="23C329B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520" w:lineRule="exact"/>
        <w:ind w:left="0" w:right="0" w:firstLine="480" w:firstLineChars="200"/>
        <w:jc w:val="both"/>
        <w:textAlignment w:val="auto"/>
        <w:outlineLvl w:val="1"/>
        <w:rPr>
          <w:rFonts w:hint="eastAsia" w:ascii="宋体" w:hAnsi="宋体" w:eastAsia="宋体" w:cs="宋体"/>
          <w:i w:val="0"/>
          <w:iCs w:val="0"/>
          <w:caps w:val="0"/>
          <w:color w:val="auto"/>
          <w:spacing w:val="0"/>
          <w:sz w:val="24"/>
          <w:szCs w:val="24"/>
          <w:highlight w:val="none"/>
          <w:u w:val="none"/>
          <w:shd w:val="clear" w:color="auto" w:fill="FFFFFF"/>
          <w:lang w:val="en-US" w:eastAsia="zh-CN"/>
        </w:rPr>
      </w:pPr>
      <w:bookmarkStart w:id="26" w:name="_Toc29745"/>
      <w:r>
        <w:rPr>
          <w:rFonts w:hint="eastAsia" w:ascii="宋体" w:hAnsi="宋体" w:eastAsia="宋体" w:cs="宋体"/>
          <w:i w:val="0"/>
          <w:iCs w:val="0"/>
          <w:caps w:val="0"/>
          <w:color w:val="auto"/>
          <w:spacing w:val="0"/>
          <w:sz w:val="24"/>
          <w:szCs w:val="24"/>
          <w:highlight w:val="none"/>
          <w:u w:val="none"/>
          <w:shd w:val="clear" w:color="auto" w:fill="FFFFFF"/>
          <w:lang w:val="en-US" w:eastAsia="zh-CN"/>
        </w:rPr>
        <w:t>1.采购人信息</w:t>
      </w:r>
      <w:bookmarkEnd w:id="26"/>
    </w:p>
    <w:p w14:paraId="2BB0242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5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u w:val="none"/>
          <w:shd w:val="clear" w:color="auto" w:fill="FFFFFF"/>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lang w:val="en-US" w:eastAsia="zh-CN"/>
        </w:rPr>
        <w:t>名 称：</w:t>
      </w:r>
      <w:r>
        <w:rPr>
          <w:rFonts w:hint="eastAsia" w:ascii="宋体" w:hAnsi="宋体" w:eastAsia="宋体" w:cs="宋体"/>
          <w:color w:val="auto"/>
          <w:sz w:val="24"/>
          <w:szCs w:val="24"/>
          <w:highlight w:val="none"/>
          <w:u w:val="none"/>
          <w:lang w:eastAsia="zh-CN"/>
        </w:rPr>
        <w:t>滨海县农业综合行政执法大队</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 </w:t>
      </w:r>
    </w:p>
    <w:p w14:paraId="08BA3E1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5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u w:val="none"/>
          <w:shd w:val="clear" w:color="auto" w:fill="FFFFFF"/>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lang w:val="en-US" w:eastAsia="zh-CN"/>
        </w:rPr>
        <w:t>地址：</w:t>
      </w:r>
      <w:r>
        <w:rPr>
          <w:rFonts w:hint="eastAsia" w:ascii="宋体" w:hAnsi="宋体" w:eastAsia="宋体" w:cs="宋体"/>
          <w:color w:val="auto"/>
          <w:sz w:val="24"/>
          <w:szCs w:val="24"/>
          <w:highlight w:val="none"/>
          <w:u w:val="none"/>
          <w:lang w:eastAsia="zh-CN"/>
        </w:rPr>
        <w:t>江苏省盐城市滨海县港城路419号水务大厦二楼</w:t>
      </w:r>
    </w:p>
    <w:p w14:paraId="286AACE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u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联系人：</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祝先生</w:t>
      </w:r>
      <w:r>
        <w:rPr>
          <w:rFonts w:hint="eastAsia" w:ascii="宋体" w:hAnsi="宋体" w:eastAsia="宋体" w:cs="宋体"/>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     </w:t>
      </w:r>
    </w:p>
    <w:p w14:paraId="1935F8C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5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u w:val="none"/>
          <w:shd w:val="clear" w:color="auto" w:fill="FFFFFF"/>
          <w:lang w:val="en-US" w:eastAsia="zh-CN"/>
        </w:rPr>
      </w:pPr>
      <w:r>
        <w:rPr>
          <w:rFonts w:hint="eastAsia" w:ascii="宋体" w:hAnsi="宋体" w:eastAsia="宋体" w:cs="宋体"/>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联系方式：</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15161907777</w:t>
      </w:r>
      <w:r>
        <w:rPr>
          <w:rFonts w:hint="eastAsia" w:ascii="宋体" w:hAnsi="宋体" w:eastAsia="宋体" w:cs="宋体"/>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 </w:t>
      </w:r>
    </w:p>
    <w:p w14:paraId="5F69535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480"/>
        <w:jc w:val="both"/>
        <w:outlineLvl w:val="1"/>
        <w:rPr>
          <w:rFonts w:hint="eastAsia" w:ascii="宋体" w:hAnsi="宋体" w:eastAsia="宋体" w:cs="宋体"/>
          <w:i w:val="0"/>
          <w:iCs w:val="0"/>
          <w:caps w:val="0"/>
          <w:color w:val="auto"/>
          <w:spacing w:val="0"/>
          <w:sz w:val="24"/>
          <w:szCs w:val="24"/>
          <w:highlight w:val="none"/>
          <w:u w:val="none"/>
          <w:shd w:val="clear" w:color="auto" w:fill="FFFFFF"/>
          <w:lang w:val="en-US" w:eastAsia="zh-CN"/>
        </w:rPr>
      </w:pPr>
      <w:bookmarkStart w:id="27" w:name="_Toc1183"/>
      <w:r>
        <w:rPr>
          <w:rFonts w:hint="eastAsia" w:ascii="宋体" w:hAnsi="宋体" w:eastAsia="宋体" w:cs="宋体"/>
          <w:i w:val="0"/>
          <w:iCs w:val="0"/>
          <w:caps w:val="0"/>
          <w:color w:val="auto"/>
          <w:spacing w:val="0"/>
          <w:sz w:val="24"/>
          <w:szCs w:val="24"/>
          <w:highlight w:val="none"/>
          <w:u w:val="none"/>
          <w:shd w:val="clear" w:color="auto" w:fill="FFFFFF"/>
          <w:lang w:val="en-US" w:eastAsia="zh-CN"/>
        </w:rPr>
        <w:t>2.采购代理机构信息</w:t>
      </w:r>
      <w:bookmarkEnd w:id="27"/>
    </w:p>
    <w:p w14:paraId="16B444E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480"/>
        <w:jc w:val="both"/>
        <w:rPr>
          <w:rFonts w:hint="eastAsia" w:ascii="宋体" w:hAnsi="宋体" w:eastAsia="宋体" w:cs="宋体"/>
          <w:i w:val="0"/>
          <w:iCs w:val="0"/>
          <w:caps w:val="0"/>
          <w:color w:val="auto"/>
          <w:spacing w:val="0"/>
          <w:sz w:val="24"/>
          <w:szCs w:val="24"/>
          <w:highlight w:val="none"/>
          <w:u w:val="none"/>
          <w:shd w:val="clear" w:color="auto" w:fill="FFFFFF"/>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lang w:val="en-US" w:eastAsia="zh-CN"/>
        </w:rPr>
        <w:t>名 称：滨海县公共资源交易中心（滨海县政府采购中心）</w:t>
      </w:r>
    </w:p>
    <w:p w14:paraId="0D60F2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480"/>
        <w:jc w:val="both"/>
        <w:rPr>
          <w:rFonts w:hint="eastAsia" w:ascii="宋体" w:hAnsi="宋体" w:eastAsia="宋体" w:cs="宋体"/>
          <w:i w:val="0"/>
          <w:iCs w:val="0"/>
          <w:caps w:val="0"/>
          <w:color w:val="auto"/>
          <w:spacing w:val="0"/>
          <w:sz w:val="24"/>
          <w:szCs w:val="24"/>
          <w:highlight w:val="none"/>
          <w:u w:val="none"/>
          <w:shd w:val="clear" w:color="auto" w:fill="FFFFFF"/>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lang w:val="en-US" w:eastAsia="zh-CN"/>
        </w:rPr>
        <w:t>地 址：滨海县育才路166号滨海县政务服务中心三楼</w:t>
      </w:r>
    </w:p>
    <w:p w14:paraId="018B5A7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480"/>
        <w:jc w:val="both"/>
        <w:rPr>
          <w:rFonts w:hint="eastAsia" w:ascii="宋体" w:hAnsi="宋体" w:eastAsia="宋体" w:cs="宋体"/>
          <w:i w:val="0"/>
          <w:iCs w:val="0"/>
          <w:caps w:val="0"/>
          <w:color w:val="auto"/>
          <w:spacing w:val="0"/>
          <w:sz w:val="24"/>
          <w:szCs w:val="24"/>
          <w:highlight w:val="none"/>
          <w:u w:val="none"/>
          <w:shd w:val="clear" w:color="auto" w:fill="FFFFFF"/>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lang w:val="en-US" w:eastAsia="zh-CN"/>
        </w:rPr>
        <w:t>联系人：</w:t>
      </w:r>
      <w:r>
        <w:rPr>
          <w:rFonts w:hint="eastAsia" w:ascii="宋体" w:hAnsi="宋体" w:eastAsia="宋体" w:cs="宋体"/>
          <w:i w:val="0"/>
          <w:iCs w:val="0"/>
          <w:caps w:val="0"/>
          <w:color w:val="auto"/>
          <w:spacing w:val="0"/>
          <w:sz w:val="24"/>
          <w:szCs w:val="24"/>
          <w:highlight w:val="none"/>
          <w:shd w:val="clear" w:color="auto" w:fill="FFFFFF"/>
          <w:lang w:val="en-US" w:eastAsia="zh-CN"/>
        </w:rPr>
        <w:t>徐先生</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                  </w:t>
      </w:r>
    </w:p>
    <w:p w14:paraId="1B13367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联系方式：15851110809</w:t>
      </w:r>
    </w:p>
    <w:p w14:paraId="16ED9B3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480"/>
        <w:jc w:val="both"/>
        <w:outlineLvl w:val="1"/>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8" w:name="_Toc28359021"/>
      <w:bookmarkStart w:id="29" w:name="_Toc22980"/>
      <w:r>
        <w:rPr>
          <w:rFonts w:hint="eastAsia" w:ascii="宋体" w:hAnsi="宋体" w:eastAsia="宋体" w:cs="宋体"/>
          <w:i w:val="0"/>
          <w:iCs w:val="0"/>
          <w:caps w:val="0"/>
          <w:color w:val="auto"/>
          <w:spacing w:val="0"/>
          <w:sz w:val="24"/>
          <w:szCs w:val="24"/>
          <w:highlight w:val="none"/>
          <w:shd w:val="clear" w:color="auto" w:fill="FFFFFF"/>
          <w:lang w:val="en-US" w:eastAsia="zh-CN"/>
        </w:rPr>
        <w:t>3.</w:t>
      </w:r>
      <w:bookmarkEnd w:id="28"/>
      <w:r>
        <w:rPr>
          <w:rFonts w:hint="eastAsia" w:ascii="宋体" w:hAnsi="宋体" w:eastAsia="宋体" w:cs="宋体"/>
          <w:i w:val="0"/>
          <w:iCs w:val="0"/>
          <w:caps w:val="0"/>
          <w:color w:val="auto"/>
          <w:spacing w:val="0"/>
          <w:sz w:val="24"/>
          <w:szCs w:val="24"/>
          <w:highlight w:val="none"/>
          <w:shd w:val="clear" w:color="auto" w:fill="FFFFFF"/>
          <w:lang w:val="en-US" w:eastAsia="zh-CN"/>
        </w:rPr>
        <w:t>项目联系方式</w:t>
      </w:r>
      <w:bookmarkEnd w:id="29"/>
    </w:p>
    <w:p w14:paraId="4E583AC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项目联系人：徐先生</w:t>
      </w:r>
    </w:p>
    <w:p w14:paraId="06D9144B">
      <w:pPr>
        <w:pStyle w:val="8"/>
        <w:spacing w:beforeAutospacing="0" w:afterAutospacing="0"/>
        <w:ind w:right="840"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FFFFFF"/>
          <w:lang w:val="en-US" w:eastAsia="zh-CN"/>
        </w:rPr>
        <w:t>电　　 话：15851110809</w:t>
      </w:r>
      <w:r>
        <w:rPr>
          <w:rFonts w:hint="eastAsia" w:ascii="宋体" w:hAnsi="宋体" w:eastAsia="宋体" w:cs="宋体"/>
          <w:color w:val="auto"/>
          <w:sz w:val="24"/>
          <w:szCs w:val="24"/>
          <w:highlight w:val="none"/>
          <w:shd w:val="clear" w:color="auto" w:fill="auto"/>
        </w:rPr>
        <w:t> </w:t>
      </w:r>
    </w:p>
    <w:p w14:paraId="67D31B95">
      <w:pPr>
        <w:pStyle w:val="8"/>
        <w:spacing w:beforeAutospacing="0" w:afterAutospacing="0"/>
        <w:ind w:right="84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706D137C">
      <w:pPr>
        <w:pStyle w:val="8"/>
        <w:spacing w:beforeAutospacing="0" w:afterAutospacing="0"/>
        <w:ind w:right="84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7508B9B4">
      <w:pPr>
        <w:pStyle w:val="8"/>
        <w:spacing w:beforeAutospacing="0" w:afterAutospacing="0"/>
        <w:ind w:right="84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6E76DDA8">
      <w:pPr>
        <w:pStyle w:val="8"/>
        <w:spacing w:beforeAutospacing="0" w:afterAutospacing="0"/>
        <w:ind w:right="84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10E31F2E">
      <w:pPr>
        <w:pStyle w:val="8"/>
        <w:spacing w:beforeAutospacing="0" w:afterAutospacing="0"/>
        <w:ind w:right="840"/>
        <w:jc w:val="both"/>
        <w:rPr>
          <w:color w:val="auto"/>
          <w:highlight w:val="none"/>
          <w:shd w:val="clear" w:color="auto" w:fill="auto"/>
        </w:rPr>
      </w:pPr>
      <w:r>
        <w:rPr>
          <w:color w:val="auto"/>
          <w:highlight w:val="none"/>
          <w:shd w:val="clear" w:color="auto" w:fill="auto"/>
        </w:rPr>
        <w:t> </w:t>
      </w:r>
    </w:p>
    <w:p w14:paraId="0284FE9A">
      <w:pPr>
        <w:pStyle w:val="8"/>
        <w:spacing w:beforeAutospacing="0" w:afterAutospacing="0"/>
        <w:ind w:right="840"/>
        <w:jc w:val="both"/>
        <w:rPr>
          <w:color w:val="auto"/>
          <w:highlight w:val="none"/>
          <w:shd w:val="clear" w:color="auto" w:fill="auto"/>
        </w:rPr>
      </w:pPr>
      <w:r>
        <w:rPr>
          <w:color w:val="auto"/>
          <w:highlight w:val="none"/>
          <w:shd w:val="clear" w:color="auto" w:fill="auto"/>
        </w:rPr>
        <w:t> </w:t>
      </w:r>
    </w:p>
    <w:p w14:paraId="5FF5A9C7">
      <w:pPr>
        <w:pStyle w:val="8"/>
        <w:spacing w:beforeAutospacing="0" w:afterAutospacing="0"/>
        <w:ind w:right="840"/>
        <w:jc w:val="both"/>
        <w:rPr>
          <w:color w:val="auto"/>
          <w:highlight w:val="none"/>
          <w:shd w:val="clear" w:color="auto" w:fill="auto"/>
        </w:rPr>
      </w:pPr>
      <w:r>
        <w:rPr>
          <w:color w:val="auto"/>
          <w:highlight w:val="none"/>
          <w:shd w:val="clear" w:color="auto" w:fill="auto"/>
        </w:rPr>
        <w:t> </w:t>
      </w:r>
    </w:p>
    <w:p w14:paraId="143DB787">
      <w:pPr>
        <w:pStyle w:val="8"/>
        <w:spacing w:beforeAutospacing="0" w:afterAutospacing="0"/>
        <w:ind w:right="840"/>
        <w:jc w:val="both"/>
        <w:rPr>
          <w:color w:val="auto"/>
          <w:highlight w:val="none"/>
          <w:shd w:val="clear" w:color="auto" w:fill="auto"/>
        </w:rPr>
      </w:pPr>
      <w:r>
        <w:rPr>
          <w:color w:val="auto"/>
          <w:highlight w:val="none"/>
          <w:shd w:val="clear" w:color="auto" w:fill="auto"/>
        </w:rPr>
        <w:t> </w:t>
      </w:r>
    </w:p>
    <w:p w14:paraId="2A6EBD8D">
      <w:pPr>
        <w:pageBreakBefore w:val="0"/>
        <w:spacing w:line="520" w:lineRule="exact"/>
        <w:jc w:val="center"/>
        <w:rPr>
          <w:rFonts w:hint="eastAsia" w:ascii="方正小标宋简体" w:hAnsi="方正小标宋简体" w:eastAsia="方正小标宋简体" w:cs="方正小标宋简体"/>
          <w:b w:val="0"/>
          <w:bCs w:val="0"/>
          <w:color w:val="auto"/>
          <w:kern w:val="0"/>
          <w:sz w:val="44"/>
          <w:szCs w:val="44"/>
          <w:highlight w:val="none"/>
        </w:rPr>
      </w:pPr>
      <w:bookmarkStart w:id="30" w:name="_Toc120614211"/>
      <w:r>
        <w:rPr>
          <w:rFonts w:hint="eastAsia" w:ascii="方正小标宋简体" w:hAnsi="方正小标宋简体" w:eastAsia="方正小标宋简体" w:cs="方正小标宋简体"/>
          <w:b w:val="0"/>
          <w:bCs w:val="0"/>
          <w:color w:val="auto"/>
          <w:kern w:val="0"/>
          <w:sz w:val="44"/>
          <w:szCs w:val="44"/>
          <w:highlight w:val="none"/>
        </w:rPr>
        <w:t xml:space="preserve">第二章  </w:t>
      </w:r>
      <w:bookmarkEnd w:id="30"/>
      <w:r>
        <w:rPr>
          <w:rFonts w:hint="eastAsia" w:ascii="方正小标宋简体" w:hAnsi="方正小标宋简体" w:eastAsia="方正小标宋简体" w:cs="方正小标宋简体"/>
          <w:b w:val="0"/>
          <w:bCs w:val="0"/>
          <w:color w:val="auto"/>
          <w:kern w:val="0"/>
          <w:sz w:val="44"/>
          <w:szCs w:val="44"/>
          <w:highlight w:val="none"/>
        </w:rPr>
        <w:t>供应商须知</w:t>
      </w:r>
    </w:p>
    <w:p w14:paraId="43EB0322">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31" w:name="_Toc20823275"/>
      <w:bookmarkStart w:id="32" w:name="_Toc16938519"/>
      <w:bookmarkStart w:id="33" w:name="_Toc120614214"/>
      <w:bookmarkStart w:id="34" w:name="_Toc513029203"/>
      <w:r>
        <w:rPr>
          <w:rFonts w:hint="eastAsia" w:ascii="宋体" w:hAnsi="宋体" w:eastAsia="宋体" w:cs="宋体"/>
          <w:b/>
          <w:color w:val="auto"/>
          <w:sz w:val="24"/>
          <w:szCs w:val="24"/>
          <w:highlight w:val="none"/>
          <w:shd w:val="clear" w:color="auto" w:fill="auto"/>
        </w:rPr>
        <w:t>一、总则</w:t>
      </w:r>
      <w:bookmarkEnd w:id="31"/>
      <w:bookmarkEnd w:id="32"/>
      <w:bookmarkEnd w:id="33"/>
      <w:bookmarkEnd w:id="34"/>
    </w:p>
    <w:p w14:paraId="59A0137D">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35" w:name="_Toc20823276"/>
      <w:bookmarkStart w:id="36" w:name="_Toc16938520"/>
      <w:bookmarkStart w:id="37" w:name="_Toc513029204"/>
      <w:bookmarkStart w:id="38" w:name="_Toc458694821"/>
      <w:bookmarkStart w:id="39" w:name="_Hlt16619475"/>
      <w:r>
        <w:rPr>
          <w:rFonts w:hint="eastAsia" w:ascii="宋体" w:hAnsi="宋体" w:eastAsia="宋体" w:cs="宋体"/>
          <w:color w:val="auto"/>
          <w:sz w:val="24"/>
          <w:szCs w:val="24"/>
          <w:highlight w:val="none"/>
          <w:shd w:val="clear" w:color="auto" w:fill="auto"/>
        </w:rPr>
        <w:t>1</w:t>
      </w:r>
      <w:bookmarkEnd w:id="35"/>
      <w:r>
        <w:rPr>
          <w:rFonts w:hint="eastAsia" w:ascii="宋体" w:hAnsi="宋体" w:eastAsia="宋体" w:cs="宋体"/>
          <w:color w:val="auto"/>
          <w:sz w:val="24"/>
          <w:szCs w:val="24"/>
          <w:highlight w:val="none"/>
          <w:shd w:val="clear" w:color="auto" w:fill="auto"/>
        </w:rPr>
        <w:t>、采购方式</w:t>
      </w:r>
      <w:bookmarkEnd w:id="36"/>
      <w:bookmarkEnd w:id="37"/>
      <w:bookmarkEnd w:id="38"/>
    </w:p>
    <w:p w14:paraId="3A87EC93">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本次政府采购活动采取竞争性谈判(以下简称谈判)方式，本谈判文件仅适用于谈判公告中所述项目。</w:t>
      </w:r>
    </w:p>
    <w:p w14:paraId="17C7D8FF">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40" w:name="_Toc16938521"/>
      <w:bookmarkStart w:id="41" w:name="_Toc20823277"/>
      <w:bookmarkStart w:id="42" w:name="_Toc513029205"/>
      <w:r>
        <w:rPr>
          <w:rFonts w:hint="eastAsia" w:ascii="宋体" w:hAnsi="宋体" w:eastAsia="宋体" w:cs="宋体"/>
          <w:color w:val="auto"/>
          <w:sz w:val="24"/>
          <w:szCs w:val="24"/>
          <w:highlight w:val="none"/>
          <w:shd w:val="clear" w:color="auto" w:fill="auto"/>
        </w:rPr>
        <w:t>2、合格的</w:t>
      </w:r>
      <w:bookmarkEnd w:id="40"/>
      <w:bookmarkEnd w:id="41"/>
      <w:bookmarkEnd w:id="42"/>
      <w:r>
        <w:rPr>
          <w:rFonts w:hint="eastAsia" w:ascii="宋体" w:hAnsi="宋体" w:eastAsia="宋体" w:cs="宋体"/>
          <w:color w:val="auto"/>
          <w:sz w:val="24"/>
          <w:szCs w:val="24"/>
          <w:highlight w:val="none"/>
          <w:shd w:val="clear" w:color="auto" w:fill="auto"/>
        </w:rPr>
        <w:t>供应商</w:t>
      </w:r>
    </w:p>
    <w:p w14:paraId="79941B6C">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2.1满足谈判公告中供应商资格要求的规定。</w:t>
      </w:r>
    </w:p>
    <w:p w14:paraId="3DC7C698">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 满足本谈判文件实质性要求和条件的规定。</w:t>
      </w:r>
    </w:p>
    <w:p w14:paraId="4170807A">
      <w:pPr>
        <w:pageBreakBefore w:val="0"/>
        <w:widowControl w:val="0"/>
        <w:kinsoku/>
        <w:wordWrap/>
        <w:overflowPunct/>
        <w:topLinePunct w:val="0"/>
        <w:autoSpaceDE/>
        <w:autoSpaceDN/>
        <w:bidi w:val="0"/>
        <w:adjustRightInd w:val="0"/>
        <w:snapToGrid w:val="0"/>
        <w:spacing w:line="520" w:lineRule="exact"/>
        <w:ind w:left="0" w:firstLine="480" w:firstLineChars="200"/>
        <w:textAlignment w:val="auto"/>
        <w:rPr>
          <w:rFonts w:hint="eastAsia" w:ascii="方正魏碑_GBK" w:hAnsi="方正魏碑_GBK" w:eastAsia="方正魏碑_GBK" w:cs="方正魏碑_GBK"/>
          <w:color w:val="000000" w:themeColor="text1"/>
          <w:sz w:val="24"/>
          <w:szCs w:val="21"/>
          <w14:textFill>
            <w14:solidFill>
              <w14:schemeClr w14:val="tx1"/>
            </w14:solidFill>
          </w14:textFill>
        </w:rPr>
      </w:pPr>
      <w:bookmarkStart w:id="43" w:name="_Toc513029206"/>
      <w:bookmarkStart w:id="44" w:name="_Toc16938522"/>
      <w:bookmarkStart w:id="45" w:name="_Toc20823278"/>
      <w:bookmarkStart w:id="46" w:name="_Toc20823279"/>
      <w:bookmarkStart w:id="47" w:name="_Toc16938523"/>
      <w:bookmarkStart w:id="48" w:name="_Toc462564067"/>
      <w:bookmarkStart w:id="49" w:name="_Toc513029207"/>
      <w:r>
        <w:rPr>
          <w:rFonts w:hint="eastAsia" w:ascii="方正魏碑_GBK" w:hAnsi="方正魏碑_GBK" w:eastAsia="方正魏碑_GBK" w:cs="方正魏碑_GBK"/>
          <w:color w:val="000000" w:themeColor="text1"/>
          <w:sz w:val="24"/>
          <w:szCs w:val="21"/>
          <w14:textFill>
            <w14:solidFill>
              <w14:schemeClr w14:val="tx1"/>
            </w14:solidFill>
          </w14:textFill>
        </w:rPr>
        <w:t>3、适用法律</w:t>
      </w:r>
      <w:bookmarkEnd w:id="43"/>
      <w:bookmarkEnd w:id="44"/>
      <w:bookmarkEnd w:id="45"/>
      <w:r>
        <w:rPr>
          <w:rFonts w:hint="eastAsia" w:ascii="方正魏碑_GBK" w:hAnsi="方正魏碑_GBK" w:eastAsia="方正魏碑_GBK" w:cs="方正魏碑_GBK"/>
          <w:color w:val="000000" w:themeColor="text1"/>
          <w:sz w:val="24"/>
          <w:szCs w:val="21"/>
          <w14:textFill>
            <w14:solidFill>
              <w14:schemeClr w14:val="tx1"/>
            </w14:solidFill>
          </w14:textFill>
        </w:rPr>
        <w:t>和标准</w:t>
      </w:r>
    </w:p>
    <w:p w14:paraId="60757E93">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本次招标及由此产生的合同受中华人民共和国有关的法律法规制约和保护。</w:t>
      </w:r>
    </w:p>
    <w:p w14:paraId="7F9D1500">
      <w:pPr>
        <w:pageBreakBefore w:val="0"/>
        <w:widowControl w:val="0"/>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14:textFill>
            <w14:solidFill>
              <w14:schemeClr w14:val="tx1"/>
            </w14:solidFill>
          </w14:textFill>
        </w:rPr>
        <w:t>3.2 在本项目政府采购活动过程中，如果所执行的标准有更新的，按照最新标准执行。</w:t>
      </w:r>
    </w:p>
    <w:p w14:paraId="5F901C58">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4、谈判费用</w:t>
      </w:r>
      <w:bookmarkEnd w:id="46"/>
      <w:bookmarkEnd w:id="47"/>
      <w:bookmarkEnd w:id="48"/>
      <w:bookmarkEnd w:id="49"/>
    </w:p>
    <w:p w14:paraId="449DE657">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4.1供应商应自行承担所有与参加本次谈判有关的费用，无论谈判过程中的做法和结果如何，</w:t>
      </w:r>
      <w:r>
        <w:rPr>
          <w:rFonts w:hint="eastAsia" w:ascii="宋体" w:hAnsi="宋体" w:eastAsia="宋体" w:cs="宋体"/>
          <w:color w:val="auto"/>
          <w:sz w:val="24"/>
          <w:szCs w:val="24"/>
          <w:highlight w:val="none"/>
          <w:shd w:val="clear" w:color="auto" w:fill="auto"/>
          <w:lang w:eastAsia="zh-CN"/>
        </w:rPr>
        <w:t>滨海县政府采购中心</w:t>
      </w:r>
      <w:r>
        <w:rPr>
          <w:rFonts w:hint="eastAsia" w:ascii="宋体" w:hAnsi="宋体" w:eastAsia="宋体" w:cs="宋体"/>
          <w:color w:val="auto"/>
          <w:sz w:val="24"/>
          <w:szCs w:val="24"/>
          <w:highlight w:val="none"/>
          <w:shd w:val="clear" w:color="auto" w:fill="auto"/>
        </w:rPr>
        <w:t>（以下简称采购中心）在任何情况下均无义务和责任承担这些费用。</w:t>
      </w:r>
    </w:p>
    <w:p w14:paraId="71A606D3">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4.2本次谈判采购中心和采购人不收取标书工本费与成交服务费。</w:t>
      </w:r>
    </w:p>
    <w:p w14:paraId="7FB692C9">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rPr>
        <w:t>谈判文件的约束力</w:t>
      </w:r>
    </w:p>
    <w:p w14:paraId="64F408A6">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5.1供应商一旦参加本项目采购活动，即被认为接受了本谈判文件的规定和约束。</w:t>
      </w:r>
    </w:p>
    <w:p w14:paraId="376D3797">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50" w:name="_Toc513029209"/>
      <w:bookmarkStart w:id="51" w:name="_Toc20823281"/>
      <w:bookmarkStart w:id="52" w:name="_Toc120614215"/>
      <w:bookmarkStart w:id="53" w:name="_Toc16938525"/>
      <w:r>
        <w:rPr>
          <w:rFonts w:hint="eastAsia" w:ascii="宋体" w:hAnsi="宋体" w:eastAsia="宋体" w:cs="宋体"/>
          <w:b/>
          <w:color w:val="auto"/>
          <w:sz w:val="24"/>
          <w:szCs w:val="24"/>
          <w:highlight w:val="none"/>
          <w:shd w:val="clear" w:color="auto" w:fill="auto"/>
        </w:rPr>
        <w:t>二、</w:t>
      </w:r>
      <w:bookmarkEnd w:id="50"/>
      <w:bookmarkEnd w:id="51"/>
      <w:bookmarkEnd w:id="52"/>
      <w:bookmarkEnd w:id="53"/>
      <w:r>
        <w:rPr>
          <w:rFonts w:hint="eastAsia" w:ascii="宋体" w:hAnsi="宋体" w:eastAsia="宋体" w:cs="宋体"/>
          <w:b/>
          <w:color w:val="auto"/>
          <w:sz w:val="24"/>
          <w:szCs w:val="24"/>
          <w:highlight w:val="none"/>
          <w:shd w:val="clear" w:color="auto" w:fill="auto"/>
        </w:rPr>
        <w:t>谈判文件</w:t>
      </w:r>
    </w:p>
    <w:p w14:paraId="083BFD48">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54" w:name="_Toc16938526"/>
      <w:bookmarkStart w:id="55" w:name="_Toc513029210"/>
      <w:bookmarkStart w:id="56" w:name="_Toc20823282"/>
      <w:r>
        <w:rPr>
          <w:rFonts w:hint="eastAsia" w:ascii="宋体" w:hAnsi="宋体" w:eastAsia="宋体" w:cs="宋体"/>
          <w:color w:val="auto"/>
          <w:sz w:val="24"/>
          <w:szCs w:val="24"/>
          <w:highlight w:val="none"/>
          <w:shd w:val="clear" w:color="auto" w:fill="auto"/>
        </w:rPr>
        <w:t>6、谈判文件构成</w:t>
      </w:r>
      <w:bookmarkEnd w:id="54"/>
      <w:bookmarkEnd w:id="55"/>
      <w:bookmarkEnd w:id="56"/>
    </w:p>
    <w:p w14:paraId="410F040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6.1谈判文件由以下部分组成：</w:t>
      </w:r>
    </w:p>
    <w:p w14:paraId="434F0CE1">
      <w:pPr>
        <w:pStyle w:val="8"/>
        <w:pageBreakBefore w:val="0"/>
        <w:widowControl w:val="0"/>
        <w:numPr>
          <w:ilvl w:val="0"/>
          <w:numId w:val="0"/>
        </w:numPr>
        <w:kinsoku/>
        <w:wordWrap/>
        <w:overflowPunct/>
        <w:topLinePunct w:val="0"/>
        <w:autoSpaceDE/>
        <w:autoSpaceDN/>
        <w:bidi w:val="0"/>
        <w:adjustRightInd w:val="0"/>
        <w:snapToGrid w:val="0"/>
        <w:spacing w:beforeAutospacing="0" w:afterAutospacing="0" w:line="520" w:lineRule="exact"/>
        <w:ind w:left="0" w:leftChars="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kern w:val="0"/>
          <w:sz w:val="24"/>
          <w:szCs w:val="24"/>
          <w:shd w:val="clear" w:fill="auto"/>
          <w:lang w:val="en-US" w:eastAsia="zh-CN" w:bidi="ar-SA"/>
        </w:rPr>
        <w:t>（1）</w:t>
      </w:r>
      <w:r>
        <w:rPr>
          <w:rFonts w:hint="eastAsia" w:ascii="宋体" w:hAnsi="宋体" w:eastAsia="宋体" w:cs="宋体"/>
          <w:color w:val="auto"/>
          <w:sz w:val="24"/>
          <w:szCs w:val="24"/>
          <w:highlight w:val="none"/>
          <w:shd w:val="clear" w:color="auto" w:fill="auto"/>
        </w:rPr>
        <w:t>谈判</w:t>
      </w:r>
      <w:r>
        <w:rPr>
          <w:rFonts w:hint="eastAsia" w:ascii="宋体" w:hAnsi="宋体" w:eastAsia="宋体" w:cs="宋体"/>
          <w:color w:val="auto"/>
          <w:sz w:val="24"/>
          <w:szCs w:val="24"/>
          <w:highlight w:val="none"/>
          <w:shd w:val="clear" w:color="auto" w:fill="auto"/>
          <w:lang w:val="en-US" w:eastAsia="zh-CN"/>
        </w:rPr>
        <w:t>公告</w:t>
      </w:r>
    </w:p>
    <w:p w14:paraId="62BE9BF4">
      <w:pPr>
        <w:pStyle w:val="8"/>
        <w:pageBreakBefore w:val="0"/>
        <w:widowControl w:val="0"/>
        <w:numPr>
          <w:ilvl w:val="0"/>
          <w:numId w:val="0"/>
        </w:numPr>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（2）供应商须知</w:t>
      </w:r>
    </w:p>
    <w:p w14:paraId="5AE57DC1">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（3）合同文本</w:t>
      </w:r>
    </w:p>
    <w:p w14:paraId="5F1323D1">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（4）采购需求</w:t>
      </w:r>
    </w:p>
    <w:p w14:paraId="55143C01">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（5）响应文件格式</w:t>
      </w:r>
    </w:p>
    <w:p w14:paraId="61B36C83">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请仔细检查谈判文件是否齐全，如有缺漏请立即与采购中心联系解决。</w:t>
      </w:r>
    </w:p>
    <w:p w14:paraId="2DD6062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7B91CDF4">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57" w:name="_Toc16938527"/>
      <w:bookmarkStart w:id="58" w:name="_Toc20823283"/>
      <w:bookmarkStart w:id="59" w:name="_Toc462564070"/>
      <w:bookmarkStart w:id="60" w:name="_Toc513029211"/>
      <w:r>
        <w:rPr>
          <w:rFonts w:hint="eastAsia" w:ascii="宋体" w:hAnsi="宋体" w:eastAsia="宋体" w:cs="宋体"/>
          <w:color w:val="auto"/>
          <w:sz w:val="24"/>
          <w:szCs w:val="24"/>
          <w:highlight w:val="none"/>
          <w:shd w:val="clear" w:color="auto" w:fill="auto"/>
        </w:rPr>
        <w:t>7、谈判文件的澄清</w:t>
      </w:r>
      <w:bookmarkEnd w:id="57"/>
      <w:bookmarkEnd w:id="58"/>
      <w:bookmarkEnd w:id="59"/>
      <w:bookmarkEnd w:id="60"/>
    </w:p>
    <w:p w14:paraId="38570398">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 任何要求对谈判文件进行澄清的供应商，应在谈判截止期5日前按谈判公告中的通讯地址，以书面形式通知采购中心。</w:t>
      </w:r>
    </w:p>
    <w:p w14:paraId="6713692F">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61" w:name="_Toc20823284"/>
      <w:bookmarkStart w:id="62" w:name="_Toc513029212"/>
      <w:bookmarkStart w:id="63" w:name="_Toc16938528"/>
      <w:bookmarkStart w:id="64" w:name="_Toc462564071"/>
      <w:r>
        <w:rPr>
          <w:rFonts w:hint="eastAsia" w:ascii="宋体" w:hAnsi="宋体" w:eastAsia="宋体" w:cs="宋体"/>
          <w:color w:val="auto"/>
          <w:sz w:val="24"/>
          <w:szCs w:val="24"/>
          <w:highlight w:val="none"/>
          <w:shd w:val="clear" w:color="auto" w:fill="auto"/>
        </w:rPr>
        <w:t>8、谈判文件的澄清和修改</w:t>
      </w:r>
      <w:bookmarkEnd w:id="61"/>
      <w:bookmarkEnd w:id="62"/>
      <w:bookmarkEnd w:id="63"/>
      <w:bookmarkEnd w:id="64"/>
    </w:p>
    <w:p w14:paraId="26FDFFC6">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 在响应文件提交截止时间前，采购中心可以对谈判文件进行澄清和修改, 澄清或者修改的内容作为谈判文件的组成部分。澄清或者修改的内容可能影响响应文件编制的，采购中心将在提交首次响应文件截止时间至少3个工作日前，在</w:t>
      </w:r>
      <w:r>
        <w:rPr>
          <w:rFonts w:hint="eastAsia" w:ascii="宋体" w:hAnsi="宋体" w:eastAsia="宋体" w:cs="宋体"/>
          <w:color w:val="auto"/>
          <w:sz w:val="24"/>
          <w:szCs w:val="24"/>
          <w:highlight w:val="none"/>
          <w:shd w:val="clear" w:color="auto" w:fill="auto"/>
          <w:lang w:val="en-US" w:eastAsia="zh-CN"/>
        </w:rPr>
        <w:t>“中国政府采购网”“江苏政府采购网”“盐城市政府采购网”</w:t>
      </w:r>
      <w:r>
        <w:rPr>
          <w:rFonts w:hint="eastAsia" w:ascii="宋体" w:hAnsi="宋体" w:eastAsia="宋体" w:cs="宋体"/>
          <w:color w:val="auto"/>
          <w:sz w:val="24"/>
          <w:szCs w:val="24"/>
          <w:highlight w:val="none"/>
          <w:shd w:val="clear" w:color="auto" w:fill="auto"/>
        </w:rPr>
        <w:t>上发布书面更正公告形式通知所有获取谈判文件的供应商, 更正公告内容将作为谈判文件的组成部分，并对供应商具有约束力。不足3个工作日的，采购中心将顺延提交首次响应文件截止时间。</w:t>
      </w:r>
    </w:p>
    <w:p w14:paraId="2C42AF4F">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8.2采购中心可以视采购项目的具体情况，组织供应商进行现场考察或召开谈判前答疑会，但不单独或分别组织只有一个供应商参加的现场考察和答疑会。</w:t>
      </w:r>
    </w:p>
    <w:p w14:paraId="761E2B37">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65" w:name="_Toc513029213"/>
      <w:bookmarkStart w:id="66" w:name="_Toc20823285"/>
      <w:bookmarkStart w:id="67" w:name="_Toc16938529"/>
      <w:bookmarkStart w:id="68" w:name="_Toc462564072"/>
      <w:bookmarkStart w:id="69" w:name="_Toc120614216"/>
      <w:r>
        <w:rPr>
          <w:rFonts w:hint="eastAsia" w:ascii="宋体" w:hAnsi="宋体" w:eastAsia="宋体" w:cs="宋体"/>
          <w:b/>
          <w:color w:val="auto"/>
          <w:sz w:val="24"/>
          <w:szCs w:val="24"/>
          <w:highlight w:val="none"/>
          <w:shd w:val="clear" w:color="auto" w:fill="auto"/>
        </w:rPr>
        <w:t>三、响应文件的编制</w:t>
      </w:r>
      <w:bookmarkEnd w:id="65"/>
      <w:bookmarkEnd w:id="66"/>
      <w:bookmarkEnd w:id="67"/>
      <w:bookmarkEnd w:id="68"/>
      <w:bookmarkEnd w:id="69"/>
    </w:p>
    <w:p w14:paraId="7B091B93">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0" w:name="_Toc16938530"/>
      <w:bookmarkStart w:id="71" w:name="_Toc462564073"/>
      <w:bookmarkStart w:id="72" w:name="_Toc20823286"/>
      <w:bookmarkStart w:id="73" w:name="_Toc513029214"/>
      <w:r>
        <w:rPr>
          <w:rFonts w:hint="eastAsia" w:ascii="宋体" w:hAnsi="宋体" w:eastAsia="宋体" w:cs="宋体"/>
          <w:color w:val="auto"/>
          <w:sz w:val="24"/>
          <w:szCs w:val="24"/>
          <w:highlight w:val="none"/>
          <w:shd w:val="clear" w:color="auto" w:fill="auto"/>
        </w:rPr>
        <w:t>9、响应文件的语言及度量衡单位</w:t>
      </w:r>
      <w:bookmarkEnd w:id="70"/>
      <w:bookmarkEnd w:id="71"/>
      <w:bookmarkEnd w:id="72"/>
      <w:bookmarkEnd w:id="73"/>
    </w:p>
    <w:p w14:paraId="1FF49A88">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9.1供应商提交的响应文件以及供应商与采购中心就有关谈判的所有来往通知、函件和文件均应使用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14:paraId="60EBB5B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 除技术性能另有规定外，响应文件所使用的度量衡单位，均须采用国家法定计量单位。</w:t>
      </w:r>
    </w:p>
    <w:p w14:paraId="2FD9382B">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4" w:name="_Toc20823287"/>
      <w:bookmarkStart w:id="75" w:name="_Toc16938531"/>
      <w:bookmarkStart w:id="76" w:name="_Toc462564074"/>
      <w:bookmarkStart w:id="77" w:name="_Toc513029215"/>
      <w:r>
        <w:rPr>
          <w:rFonts w:hint="eastAsia" w:ascii="宋体" w:hAnsi="宋体" w:eastAsia="宋体" w:cs="宋体"/>
          <w:color w:val="auto"/>
          <w:sz w:val="24"/>
          <w:szCs w:val="24"/>
          <w:highlight w:val="none"/>
          <w:shd w:val="clear" w:color="auto" w:fill="auto"/>
        </w:rPr>
        <w:t>10、响应文件构成</w:t>
      </w:r>
      <w:bookmarkEnd w:id="74"/>
      <w:bookmarkEnd w:id="75"/>
      <w:bookmarkEnd w:id="76"/>
      <w:bookmarkEnd w:id="77"/>
    </w:p>
    <w:p w14:paraId="75D11DC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10.1供应商编写的响应文件应包括资格证明文件、符合性证明文件、分项报价表、技术要求响应及偏离表、商务要求响应及偏离表、其他证明文件、谈判响应函等部分。</w:t>
      </w:r>
    </w:p>
    <w:p w14:paraId="5A34496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 如标书制作工具中格式和内容与</w:t>
      </w:r>
      <w:r>
        <w:rPr>
          <w:rFonts w:hint="eastAsia" w:ascii="宋体" w:hAnsi="宋体" w:eastAsia="宋体" w:cs="宋体"/>
          <w:color w:val="auto"/>
          <w:sz w:val="24"/>
          <w:szCs w:val="24"/>
          <w:highlight w:val="none"/>
          <w:shd w:val="clear" w:color="auto" w:fill="auto"/>
          <w:lang w:val="en-US" w:eastAsia="zh-CN"/>
        </w:rPr>
        <w:t>“中国政府采购网”“江苏政府采购网”“盐城市政府采购网”</w:t>
      </w:r>
      <w:r>
        <w:rPr>
          <w:rFonts w:hint="eastAsia" w:ascii="宋体" w:hAnsi="宋体" w:eastAsia="宋体" w:cs="宋体"/>
          <w:color w:val="auto"/>
          <w:sz w:val="24"/>
          <w:szCs w:val="24"/>
          <w:highlight w:val="none"/>
          <w:shd w:val="clear" w:color="auto" w:fill="auto"/>
        </w:rPr>
        <w:t>发布的谈判文件不一致，请以</w:t>
      </w:r>
      <w:r>
        <w:rPr>
          <w:rFonts w:hint="eastAsia" w:ascii="宋体" w:hAnsi="宋体" w:eastAsia="宋体" w:cs="宋体"/>
          <w:color w:val="auto"/>
          <w:sz w:val="24"/>
          <w:szCs w:val="24"/>
          <w:highlight w:val="none"/>
          <w:shd w:val="clear" w:color="auto" w:fill="auto"/>
          <w:lang w:val="en-US" w:eastAsia="zh-CN"/>
        </w:rPr>
        <w:t>“中国政府采购网”“江苏政府采购网”“盐城市政府采购网”</w:t>
      </w:r>
      <w:r>
        <w:rPr>
          <w:rFonts w:hint="eastAsia" w:ascii="宋体" w:hAnsi="宋体" w:eastAsia="宋体" w:cs="宋体"/>
          <w:color w:val="auto"/>
          <w:sz w:val="24"/>
          <w:szCs w:val="24"/>
          <w:highlight w:val="none"/>
          <w:shd w:val="clear" w:color="auto" w:fill="auto"/>
        </w:rPr>
        <w:t>发布的谈判文件为准。</w:t>
      </w:r>
    </w:p>
    <w:p w14:paraId="366FA1CB">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8" w:name="_Toc49090509"/>
      <w:bookmarkStart w:id="79" w:name="_Toc513029216"/>
      <w:bookmarkStart w:id="80" w:name="_Toc513029219"/>
      <w:bookmarkStart w:id="81" w:name="_Toc14577355"/>
      <w:bookmarkStart w:id="82" w:name="_Toc14577354"/>
      <w:bookmarkStart w:id="83" w:name="_Toc14577357"/>
      <w:bookmarkStart w:id="84" w:name="_Toc49090507"/>
      <w:bookmarkStart w:id="85" w:name="_Toc49090508"/>
      <w:bookmarkStart w:id="86" w:name="_Hlt26668975"/>
      <w:bookmarkStart w:id="87" w:name="_Hlt26670360"/>
      <w:bookmarkStart w:id="88" w:name="_Hlt26954838"/>
      <w:r>
        <w:rPr>
          <w:rFonts w:hint="eastAsia" w:ascii="宋体" w:hAnsi="宋体" w:eastAsia="宋体" w:cs="宋体"/>
          <w:color w:val="auto"/>
          <w:sz w:val="24"/>
          <w:szCs w:val="24"/>
          <w:highlight w:val="none"/>
          <w:shd w:val="clear" w:color="auto" w:fill="auto"/>
        </w:rPr>
        <w:t>11、证明谈判响应标的符合谈判文件规定的文件</w:t>
      </w:r>
      <w:bookmarkEnd w:id="78"/>
      <w:bookmarkEnd w:id="79"/>
      <w:bookmarkEnd w:id="80"/>
      <w:bookmarkEnd w:id="81"/>
      <w:bookmarkEnd w:id="82"/>
      <w:bookmarkEnd w:id="83"/>
      <w:bookmarkEnd w:id="84"/>
      <w:bookmarkEnd w:id="85"/>
    </w:p>
    <w:p w14:paraId="60430F2C">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11.1供应商应按照谈判文件要求提交证明文件，证明其及谈判响应标的符合谈判文件规定。</w:t>
      </w:r>
    </w:p>
    <w:p w14:paraId="42CCB310">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11.2谈判文件对证明文件无明确形式要求的，证明文件可以以文字资料、图纸和数据等形式提交。</w:t>
      </w:r>
    </w:p>
    <w:p w14:paraId="2B7654EE">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12、分项报价表</w:t>
      </w:r>
    </w:p>
    <w:p w14:paraId="4D7597A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12.1供应商应按照谈判文件规定格式填报分项报价表。</w:t>
      </w:r>
    </w:p>
    <w:p w14:paraId="383E3B6B">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12.2谈判货币。响应文件中的单价和总价无特殊规定的采用人民币报价，以元为单位标注。谈判文件中另有规定的按规定执行。</w:t>
      </w:r>
    </w:p>
    <w:p w14:paraId="28A5FD27">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89" w:name="_Hlt26670486"/>
      <w:bookmarkStart w:id="90" w:name="_Hlt26670482"/>
      <w:bookmarkStart w:id="91" w:name="_Hlt26954731"/>
      <w:bookmarkStart w:id="92" w:name="_Hlt26954848"/>
      <w:bookmarkStart w:id="93" w:name="_Hlt26954846"/>
      <w:r>
        <w:rPr>
          <w:rFonts w:hint="eastAsia" w:ascii="宋体" w:hAnsi="宋体" w:eastAsia="宋体" w:cs="宋体"/>
          <w:color w:val="auto"/>
          <w:sz w:val="24"/>
          <w:szCs w:val="24"/>
          <w:highlight w:val="none"/>
          <w:shd w:val="clear" w:color="auto" w:fill="auto"/>
        </w:rPr>
        <w:t>13、技术要求响应及偏离表、商务要求响应及偏离表</w:t>
      </w:r>
    </w:p>
    <w:p w14:paraId="5812EC34">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13.1供应商需对谈判文件中的技术要求与商务要求逐项作出响应或偏离，并说明原因。</w:t>
      </w:r>
    </w:p>
    <w:p w14:paraId="05884609">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13.2供应商可在响应文件中提供认为需要的其他技术文件或说明。</w:t>
      </w:r>
    </w:p>
    <w:p w14:paraId="13140B97">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14、服务承诺、培训计划、人员安排及其他</w:t>
      </w:r>
    </w:p>
    <w:p w14:paraId="4654E0B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14.1供应商需根据谈判文件要求提供有关售后服务的管理制度，售后服务机构的分布情况，售后服务人员的数量、素质、技术水平及售后服务的反应能力等。</w:t>
      </w:r>
    </w:p>
    <w:p w14:paraId="2BCFA026">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14.2供应商需根据谈判文件要求提供培训计划。</w:t>
      </w:r>
    </w:p>
    <w:p w14:paraId="546E545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14.3供应商需根据谈判文件要求提供谈判响应标的的主要组成部分、功能设计、实现思路及关键技术等。</w:t>
      </w:r>
    </w:p>
    <w:p w14:paraId="27C204E7">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4" w:name="_Toc14577359"/>
      <w:bookmarkStart w:id="95" w:name="_Toc49090510"/>
      <w:r>
        <w:rPr>
          <w:rFonts w:hint="eastAsia" w:ascii="宋体" w:hAnsi="宋体" w:eastAsia="宋体" w:cs="宋体"/>
          <w:color w:val="auto"/>
          <w:sz w:val="24"/>
          <w:szCs w:val="24"/>
          <w:highlight w:val="none"/>
          <w:shd w:val="clear" w:color="auto" w:fill="auto"/>
        </w:rPr>
        <w:t>15、谈判响应函</w:t>
      </w:r>
      <w:bookmarkEnd w:id="94"/>
      <w:bookmarkEnd w:id="95"/>
    </w:p>
    <w:p w14:paraId="38A4907F">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15.1供应商应按照谈判文件中提供的格式完整、正确填写谈判响应函。</w:t>
      </w:r>
    </w:p>
    <w:p w14:paraId="31D5B473">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6" w:name="_Toc14577360"/>
      <w:bookmarkStart w:id="97" w:name="_Toc49090511"/>
      <w:r>
        <w:rPr>
          <w:rFonts w:hint="eastAsia" w:ascii="宋体" w:hAnsi="宋体" w:eastAsia="宋体" w:cs="宋体"/>
          <w:color w:val="auto"/>
          <w:sz w:val="24"/>
          <w:szCs w:val="24"/>
          <w:highlight w:val="none"/>
          <w:shd w:val="clear" w:color="auto" w:fill="auto"/>
        </w:rPr>
        <w:t>16、谈判有效期</w:t>
      </w:r>
      <w:bookmarkEnd w:id="96"/>
      <w:bookmarkEnd w:id="97"/>
    </w:p>
    <w:p w14:paraId="0982E8E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16.1谈判有效期为采购中心规定的提交响应文件截止之日后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shd w:val="clear" w:color="auto" w:fill="auto"/>
        </w:rPr>
        <w:t>。谈判有效期比规定短的将被视为非实质性响应谈判文件而予以拒绝。</w:t>
      </w:r>
    </w:p>
    <w:p w14:paraId="1CA3446A">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17、谈判有效期的延长</w:t>
      </w:r>
    </w:p>
    <w:p w14:paraId="182BF99B">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p>
    <w:p w14:paraId="3BC3C6DB">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98" w:name="_Toc513029224"/>
      <w:bookmarkStart w:id="99" w:name="_Toc16938540"/>
      <w:bookmarkStart w:id="100" w:name="_Toc120614217"/>
      <w:bookmarkStart w:id="101" w:name="_Toc20823296"/>
      <w:bookmarkStart w:id="102" w:name="_Hlt26954739"/>
      <w:bookmarkStart w:id="103" w:name="_Hlt26954852"/>
      <w:r>
        <w:rPr>
          <w:rFonts w:hint="eastAsia" w:ascii="宋体" w:hAnsi="宋体" w:eastAsia="宋体" w:cs="宋体"/>
          <w:b/>
          <w:color w:val="auto"/>
          <w:sz w:val="24"/>
          <w:szCs w:val="24"/>
          <w:highlight w:val="none"/>
          <w:shd w:val="clear" w:color="auto" w:fill="auto"/>
        </w:rPr>
        <w:t>四、响应文件的递交</w:t>
      </w:r>
      <w:bookmarkEnd w:id="98"/>
      <w:bookmarkEnd w:id="99"/>
      <w:bookmarkEnd w:id="100"/>
      <w:bookmarkEnd w:id="101"/>
    </w:p>
    <w:p w14:paraId="65620D2D">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04" w:name="_Toc16938541"/>
      <w:bookmarkStart w:id="105" w:name="_Toc462564084"/>
      <w:bookmarkStart w:id="106" w:name="_Toc513029225"/>
      <w:bookmarkStart w:id="107" w:name="_Toc20823297"/>
      <w:r>
        <w:rPr>
          <w:rFonts w:hint="eastAsia" w:ascii="宋体" w:hAnsi="宋体" w:eastAsia="宋体" w:cs="宋体"/>
          <w:color w:val="auto"/>
          <w:sz w:val="24"/>
          <w:szCs w:val="24"/>
          <w:highlight w:val="none"/>
          <w:shd w:val="clear" w:color="auto" w:fill="auto"/>
        </w:rPr>
        <w:t>18、电子谈判</w:t>
      </w:r>
      <w:bookmarkEnd w:id="104"/>
      <w:bookmarkEnd w:id="105"/>
      <w:bookmarkEnd w:id="106"/>
      <w:bookmarkEnd w:id="107"/>
      <w:r>
        <w:rPr>
          <w:rFonts w:hint="eastAsia" w:ascii="宋体" w:hAnsi="宋体" w:eastAsia="宋体" w:cs="宋体"/>
          <w:color w:val="auto"/>
          <w:sz w:val="24"/>
          <w:szCs w:val="24"/>
          <w:highlight w:val="none"/>
          <w:shd w:val="clear" w:color="auto" w:fill="auto"/>
        </w:rPr>
        <w:t>响应文件的递交</w:t>
      </w:r>
    </w:p>
    <w:p w14:paraId="3E9C693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18.1供应商应当按照《操作手册》规定，在提交响应文件截止时间前制作并上传电子响应文件。</w:t>
      </w:r>
      <w:bookmarkStart w:id="108" w:name="_Toc20823298"/>
      <w:bookmarkEnd w:id="108"/>
      <w:bookmarkStart w:id="109" w:name="_Toc16938542"/>
      <w:bookmarkEnd w:id="109"/>
      <w:bookmarkStart w:id="110" w:name="_Toc513029226"/>
    </w:p>
    <w:p w14:paraId="094E8FD3">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14:paraId="38A12E1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19.1供应商上传电子响应文件的时间不得迟于谈判公告中规定的提交响应文件截止时间。</w:t>
      </w:r>
    </w:p>
    <w:p w14:paraId="45BEDF0D">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供应商应充分考虑到网络环境、网络带宽等风险因素，如因供应商自身原因造成的电子响应文件上传不成功的按照本谈判文件第二章第26.3.2条规定做无效响应处理。</w:t>
      </w:r>
    </w:p>
    <w:p w14:paraId="6B786264">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19.2 采购中心可以按照规定，通过修改谈判文件酌情延长提交响应文件截止日期，在此情况下，供应商的所有权利和义务以及供应商受制的截止日期均应以延长后新的截止日期为准。</w:t>
      </w:r>
    </w:p>
    <w:p w14:paraId="3289257C">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11" w:name="_Toc20823299"/>
      <w:bookmarkStart w:id="112" w:name="_Toc513029227"/>
      <w:bookmarkStart w:id="113" w:name="_Toc16938543"/>
      <w:r>
        <w:rPr>
          <w:rFonts w:hint="eastAsia" w:ascii="宋体" w:hAnsi="宋体" w:eastAsia="宋体" w:cs="宋体"/>
          <w:color w:val="auto"/>
          <w:sz w:val="24"/>
          <w:szCs w:val="24"/>
          <w:highlight w:val="none"/>
          <w:shd w:val="clear" w:color="auto" w:fill="auto"/>
        </w:rPr>
        <w:t>20、响应文件</w:t>
      </w:r>
      <w:bookmarkEnd w:id="111"/>
      <w:bookmarkEnd w:id="112"/>
      <w:bookmarkEnd w:id="113"/>
      <w:r>
        <w:rPr>
          <w:rFonts w:hint="eastAsia" w:ascii="宋体" w:hAnsi="宋体" w:eastAsia="宋体" w:cs="宋体"/>
          <w:color w:val="auto"/>
          <w:sz w:val="24"/>
          <w:szCs w:val="24"/>
          <w:highlight w:val="none"/>
          <w:shd w:val="clear" w:color="auto" w:fill="auto"/>
        </w:rPr>
        <w:t>的拒收</w:t>
      </w:r>
    </w:p>
    <w:p w14:paraId="3AAB5FD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20.1 采购中心拒绝接收在其规定的提交响应文件截止时间后上传的任何电子响应文件。</w:t>
      </w:r>
    </w:p>
    <w:p w14:paraId="7524FCFF">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14" w:name="_Toc513029228"/>
      <w:bookmarkStart w:id="115" w:name="_Toc20823300"/>
      <w:bookmarkStart w:id="116" w:name="_Toc16938544"/>
      <w:r>
        <w:rPr>
          <w:rFonts w:hint="eastAsia" w:ascii="宋体" w:hAnsi="宋体" w:eastAsia="宋体" w:cs="宋体"/>
          <w:color w:val="auto"/>
          <w:sz w:val="24"/>
          <w:szCs w:val="24"/>
          <w:highlight w:val="none"/>
          <w:shd w:val="clear" w:color="auto" w:fill="auto"/>
        </w:rPr>
        <w:t>21、响应文件的撤回和修改</w:t>
      </w:r>
      <w:bookmarkEnd w:id="114"/>
      <w:bookmarkEnd w:id="115"/>
      <w:bookmarkEnd w:id="116"/>
    </w:p>
    <w:p w14:paraId="4A0ED5D1">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21.1响应文件的撤回</w:t>
      </w:r>
    </w:p>
    <w:p w14:paraId="475E1400">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 电子响应文件的撤回</w:t>
      </w:r>
    </w:p>
    <w:p w14:paraId="0689A0E4">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供应商可在提交响应文件截止时间前，撤回其电子响应文件，具体操作方法见《操作手册》。</w:t>
      </w:r>
    </w:p>
    <w:p w14:paraId="02E22BB3">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21.1.2供应商撤回电子响应文件，则认为其不再参与本项目谈判活动。</w:t>
      </w:r>
    </w:p>
    <w:p w14:paraId="36C7315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21.2响应文件的修改</w:t>
      </w:r>
    </w:p>
    <w:p w14:paraId="71068F94">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供应商可在提交响应文件截止时间前，对其电子响应文件进行修改，具体操作方法见《操作手册》。</w:t>
      </w:r>
    </w:p>
    <w:p w14:paraId="7D1CED62">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 在提交响应文件截止时间之后，供应商不得对其电子响应文件作任何修改。</w:t>
      </w:r>
    </w:p>
    <w:p w14:paraId="7BB1052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 在提交响应文件截止时间至谈判文件中规定的谈判有效期满之间的这段时间内，供应商不得撤回其响应文件。</w:t>
      </w:r>
    </w:p>
    <w:p w14:paraId="081105F9">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17" w:name="_Toc16938545"/>
      <w:bookmarkStart w:id="118" w:name="_Toc120614218"/>
      <w:bookmarkStart w:id="119" w:name="_Toc20823301"/>
      <w:bookmarkStart w:id="120" w:name="_Toc513029229"/>
      <w:r>
        <w:rPr>
          <w:rFonts w:hint="eastAsia" w:ascii="宋体" w:hAnsi="宋体" w:eastAsia="宋体" w:cs="宋体"/>
          <w:b/>
          <w:color w:val="auto"/>
          <w:sz w:val="24"/>
          <w:szCs w:val="24"/>
          <w:highlight w:val="none"/>
          <w:shd w:val="clear" w:color="auto" w:fill="auto"/>
        </w:rPr>
        <w:t>五、响应文件的解密与评审</w:t>
      </w:r>
      <w:bookmarkEnd w:id="117"/>
      <w:bookmarkEnd w:id="118"/>
      <w:bookmarkEnd w:id="119"/>
      <w:bookmarkEnd w:id="120"/>
    </w:p>
    <w:p w14:paraId="1C75B859">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1" w:name="_Toc20823302"/>
      <w:bookmarkStart w:id="122" w:name="_Toc513029230"/>
      <w:bookmarkStart w:id="123" w:name="_Toc16938546"/>
      <w:r>
        <w:rPr>
          <w:rFonts w:hint="eastAsia" w:ascii="宋体" w:hAnsi="宋体" w:eastAsia="宋体" w:cs="宋体"/>
          <w:color w:val="auto"/>
          <w:sz w:val="24"/>
          <w:szCs w:val="24"/>
          <w:highlight w:val="none"/>
          <w:shd w:val="clear" w:color="auto" w:fill="auto"/>
        </w:rPr>
        <w:t>22、</w:t>
      </w:r>
      <w:bookmarkEnd w:id="121"/>
      <w:bookmarkEnd w:id="122"/>
      <w:bookmarkEnd w:id="123"/>
      <w:r>
        <w:rPr>
          <w:rFonts w:hint="eastAsia" w:ascii="宋体" w:hAnsi="宋体" w:eastAsia="宋体" w:cs="宋体"/>
          <w:color w:val="auto"/>
          <w:sz w:val="24"/>
          <w:szCs w:val="24"/>
          <w:highlight w:val="none"/>
          <w:shd w:val="clear" w:color="auto" w:fill="auto"/>
        </w:rPr>
        <w:t>响应文件解密</w:t>
      </w:r>
    </w:p>
    <w:p w14:paraId="7ADD4E0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22.1供应商应当按照《操作手册》规定，在苏采云系统规定的时间内对谈判响应文件进行解密。</w:t>
      </w:r>
    </w:p>
    <w:p w14:paraId="26428EBC">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4" w:name="_Toc513029231"/>
      <w:bookmarkStart w:id="125" w:name="_Toc16938547"/>
      <w:bookmarkStart w:id="126" w:name="_Toc20823303"/>
      <w:r>
        <w:rPr>
          <w:rFonts w:hint="eastAsia" w:ascii="宋体" w:hAnsi="宋体" w:eastAsia="宋体" w:cs="宋体"/>
          <w:color w:val="auto"/>
          <w:sz w:val="24"/>
          <w:szCs w:val="24"/>
          <w:highlight w:val="none"/>
          <w:shd w:val="clear" w:color="auto" w:fill="auto"/>
        </w:rPr>
        <w:t>23、谈判小组</w:t>
      </w:r>
      <w:bookmarkEnd w:id="124"/>
      <w:bookmarkEnd w:id="125"/>
      <w:bookmarkEnd w:id="126"/>
    </w:p>
    <w:p w14:paraId="0DD36BFB">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23.1采购中心将组织谈判小组对响应文件进行评审。谈判小组由采购人代表和有关技术、经济等方面的专家组成，且人员构成符合政府采购有关规定。</w:t>
      </w:r>
    </w:p>
    <w:p w14:paraId="16A6D73F">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23.2谈判小组独立工作，负责评审所有响应文件并确定成交</w:t>
      </w:r>
      <w:r>
        <w:rPr>
          <w:rFonts w:hint="eastAsia" w:ascii="宋体" w:hAnsi="宋体" w:eastAsia="宋体" w:cs="宋体"/>
          <w:color w:val="auto"/>
          <w:sz w:val="24"/>
          <w:szCs w:val="24"/>
          <w:highlight w:val="none"/>
          <w:shd w:val="clear" w:color="auto" w:fill="auto"/>
          <w:lang w:eastAsia="zh-CN"/>
        </w:rPr>
        <w:t>候选人</w:t>
      </w:r>
      <w:r>
        <w:rPr>
          <w:rFonts w:hint="eastAsia" w:ascii="宋体" w:hAnsi="宋体" w:eastAsia="宋体" w:cs="宋体"/>
          <w:color w:val="auto"/>
          <w:sz w:val="24"/>
          <w:szCs w:val="24"/>
          <w:highlight w:val="none"/>
          <w:shd w:val="clear" w:color="auto" w:fill="auto"/>
        </w:rPr>
        <w:t>。</w:t>
      </w:r>
    </w:p>
    <w:p w14:paraId="2D6E2438">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24、评审过程的保密与公正</w:t>
      </w:r>
    </w:p>
    <w:p w14:paraId="4A5310AF">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24.1谈判小组、采购人和采购中心工作人员、相关监督人员等与评审工作有关的人员，对评审情况以及在评审过程中获悉的国家秘密、商业秘密负有保密责任。</w:t>
      </w:r>
    </w:p>
    <w:p w14:paraId="07952E1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视为</w:t>
      </w:r>
      <w:r>
        <w:rPr>
          <w:rFonts w:hint="eastAsia" w:ascii="宋体" w:hAnsi="宋体" w:eastAsia="宋体" w:cs="宋体"/>
          <w:color w:val="auto"/>
          <w:sz w:val="24"/>
          <w:szCs w:val="24"/>
          <w:highlight w:val="none"/>
          <w:shd w:val="clear" w:color="auto" w:fill="auto"/>
        </w:rPr>
        <w:t>无效响应文件。</w:t>
      </w:r>
    </w:p>
    <w:p w14:paraId="0B5E2366">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24.3在项目评审期间，采购中心将设专门人员与供应商联系。</w:t>
      </w:r>
    </w:p>
    <w:p w14:paraId="13C61A76">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24.4 采购中心和谈判小组不向未成交的供应商解释未成交原因，也不公布评审过程中的相关细节。</w:t>
      </w:r>
    </w:p>
    <w:p w14:paraId="04BE1BD0">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7" w:name="_Toc20823304"/>
      <w:bookmarkStart w:id="128" w:name="_Toc513029232"/>
      <w:bookmarkStart w:id="129" w:name="_Toc16938548"/>
      <w:r>
        <w:rPr>
          <w:rFonts w:hint="eastAsia" w:ascii="宋体" w:hAnsi="宋体" w:eastAsia="宋体" w:cs="宋体"/>
          <w:color w:val="auto"/>
          <w:sz w:val="24"/>
          <w:szCs w:val="24"/>
          <w:highlight w:val="none"/>
          <w:shd w:val="clear" w:color="auto" w:fill="auto"/>
        </w:rPr>
        <w:t>25、评审过程中</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澄清</w:t>
      </w:r>
      <w:bookmarkEnd w:id="127"/>
      <w:bookmarkEnd w:id="128"/>
      <w:bookmarkEnd w:id="129"/>
    </w:p>
    <w:p w14:paraId="70DDE50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3A8E87C">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谈判小组并非对每个供应商都作澄清要求。</w:t>
      </w:r>
    </w:p>
    <w:p w14:paraId="21B1DF71">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44CFDB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25.3 接到谈判小组澄清、说明和更正要求的供应商如未按规定做出澄清、说明和 更正，其风险由供应商自行承担。</w:t>
      </w:r>
    </w:p>
    <w:p w14:paraId="2E7E2B18">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0" w:name="_Toc16938549"/>
      <w:bookmarkStart w:id="131" w:name="_Toc20823305"/>
      <w:bookmarkStart w:id="132" w:name="_Toc513029233"/>
      <w:r>
        <w:rPr>
          <w:rFonts w:hint="eastAsia" w:ascii="宋体" w:hAnsi="宋体" w:eastAsia="宋体" w:cs="宋体"/>
          <w:color w:val="auto"/>
          <w:sz w:val="24"/>
          <w:szCs w:val="24"/>
          <w:highlight w:val="none"/>
          <w:shd w:val="clear" w:color="auto" w:fill="auto"/>
        </w:rPr>
        <w:t>26、对响应文件的审</w:t>
      </w:r>
      <w:bookmarkEnd w:id="130"/>
      <w:bookmarkEnd w:id="131"/>
      <w:bookmarkEnd w:id="132"/>
      <w:r>
        <w:rPr>
          <w:rFonts w:hint="eastAsia" w:ascii="宋体" w:hAnsi="宋体" w:eastAsia="宋体" w:cs="宋体"/>
          <w:color w:val="auto"/>
          <w:sz w:val="24"/>
          <w:szCs w:val="24"/>
          <w:highlight w:val="none"/>
          <w:shd w:val="clear" w:color="auto" w:fill="auto"/>
        </w:rPr>
        <w:t>查</w:t>
      </w:r>
    </w:p>
    <w:p w14:paraId="7636B47F">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14:paraId="7D7494C3">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 资格审查：由谈判小组依据法律法规和谈判文件的规定，对响应文件中的资格证明文件进行审查，以确定供应商是否具备参加谈判的资格。</w:t>
      </w:r>
    </w:p>
    <w:p w14:paraId="2DEDB2D4">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谈判小组在进行资格审查的同时，将在“信用中国”网站（www.creditchina.gov.cn）查询供应商的信用记录，以确定供应商是否具备谈判资格,查询结果留存并归档。</w:t>
      </w:r>
    </w:p>
    <w:p w14:paraId="1D928B49">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55D0CB42">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 符合性审查：依据谈判文件的规定，由谈判小组从响应文件的有效性、完整性和对谈判文件的响应程度进行审查，以确定是否对谈判文件的实质性要求作出响应。</w:t>
      </w:r>
    </w:p>
    <w:p w14:paraId="16F69858">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 未通过资格审查或符合性审查的供应商，谈判小组将在苏采云系统中告知未通过资格审查或符合性审查的原因，评审结束后，谈判小组将不再告知未通过资格审查或符合性审查的原因。</w:t>
      </w:r>
    </w:p>
    <w:p w14:paraId="5B97412B">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26.2在详细评审之前，谈判小组将首先审查每份响应文件是否实质性响应了谈判文件的要求。实质性响应的响应文件应该是与谈判文件要求的条款、条件和规格相符，没有重大偏离或保留。</w:t>
      </w:r>
    </w:p>
    <w:p w14:paraId="0824AB0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69E09761">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26.3未实质性响应谈判文件的情形</w:t>
      </w:r>
    </w:p>
    <w:p w14:paraId="4284D092">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14:paraId="746A2BD8">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26.3.2供应商未按照谈判文件要求上传电子响应文件的。</w:t>
      </w:r>
    </w:p>
    <w:p w14:paraId="5A465932">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26.3.3同一供应商提交两个（含两个）以上不同的响应文件或者最后报价的。</w:t>
      </w:r>
    </w:p>
    <w:p w14:paraId="4620F7FD">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26.3.4供应商不具备谈判文件中规定资格要求的。</w:t>
      </w:r>
    </w:p>
    <w:p w14:paraId="31CC429F">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p>
    <w:p w14:paraId="5EA66061">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26.3.6不符合谈判文件中规定的实质性要求和条件的</w:t>
      </w:r>
      <w:r>
        <w:rPr>
          <w:rFonts w:hint="eastAsia" w:ascii="宋体" w:hAnsi="宋体" w:eastAsia="宋体" w:cs="宋体"/>
          <w:i/>
          <w:color w:val="auto"/>
          <w:sz w:val="24"/>
          <w:szCs w:val="24"/>
          <w:highlight w:val="none"/>
          <w:u w:val="single"/>
          <w:shd w:val="clear" w:color="auto" w:fill="auto"/>
        </w:rPr>
        <w:t>（本谈判文件中斜体且有下划线部分为实质性要求和条件）。</w:t>
      </w:r>
    </w:p>
    <w:p w14:paraId="4661457B">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B4958E7">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26.3.8响应文件含有采购人不能接受的附加条件的。</w:t>
      </w:r>
    </w:p>
    <w:p w14:paraId="7CBC3C11">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26.3.9 本项目采购产品被财政部、</w:t>
      </w:r>
      <w:r>
        <w:rPr>
          <w:rFonts w:hint="eastAsia" w:ascii="宋体" w:hAnsi="宋体" w:eastAsia="宋体" w:cs="宋体"/>
          <w:color w:val="auto"/>
          <w:sz w:val="24"/>
          <w:szCs w:val="24"/>
          <w:highlight w:val="none"/>
          <w:shd w:val="clear" w:color="auto" w:fill="auto"/>
          <w:lang w:eastAsia="zh-CN"/>
        </w:rPr>
        <w:t>国家发展改革委</w:t>
      </w:r>
      <w:r>
        <w:rPr>
          <w:rFonts w:hint="eastAsia" w:ascii="宋体" w:hAnsi="宋体" w:eastAsia="宋体" w:cs="宋体"/>
          <w:color w:val="auto"/>
          <w:sz w:val="24"/>
          <w:szCs w:val="24"/>
          <w:highlight w:val="none"/>
          <w:shd w:val="clear" w:color="auto" w:fill="auto"/>
        </w:rPr>
        <w:t>、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532822FF">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26.3.10</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shd w:val="clear" w:color="auto" w:fill="auto"/>
        </w:rPr>
        <w:t>不能证明其报价合理性的，</w:t>
      </w:r>
      <w:r>
        <w:rPr>
          <w:rFonts w:hint="eastAsia" w:ascii="宋体" w:hAnsi="宋体" w:eastAsia="宋体" w:cs="宋体"/>
          <w:color w:val="auto"/>
          <w:sz w:val="24"/>
          <w:szCs w:val="24"/>
          <w:highlight w:val="none"/>
          <w:shd w:val="clear" w:color="auto" w:fill="auto"/>
          <w:lang w:val="en-US" w:eastAsia="zh-CN"/>
        </w:rPr>
        <w:t>谈判小组</w:t>
      </w:r>
      <w:r>
        <w:rPr>
          <w:rFonts w:hint="eastAsia" w:ascii="宋体" w:hAnsi="宋体" w:eastAsia="宋体" w:cs="宋体"/>
          <w:color w:val="auto"/>
          <w:sz w:val="24"/>
          <w:szCs w:val="24"/>
          <w:highlight w:val="none"/>
          <w:shd w:val="clear" w:color="auto" w:fill="auto"/>
        </w:rPr>
        <w:t>应当将其作为无效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处理。</w:t>
      </w:r>
    </w:p>
    <w:p w14:paraId="51721DD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（一）评审过程中出现下列情形之一的，谈判小组应当启动异常低价响应审查程序：</w:t>
      </w:r>
    </w:p>
    <w:p w14:paraId="029D404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6B93ED46">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4BE739D2">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w:t>
      </w:r>
    </w:p>
    <w:p w14:paraId="6E14DBF3">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209516A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6864049C">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26.3.11</w:t>
      </w:r>
      <w:r>
        <w:rPr>
          <w:rFonts w:hint="eastAsia" w:ascii="宋体" w:hAnsi="宋体" w:eastAsia="宋体" w:cs="宋体"/>
          <w:color w:val="auto"/>
          <w:sz w:val="24"/>
          <w:szCs w:val="24"/>
          <w:highlight w:val="none"/>
          <w:shd w:val="clear" w:color="auto" w:fill="auto"/>
        </w:rPr>
        <w:t>响应文件未按照谈判文件要求加盖CA电子公章的。</w:t>
      </w:r>
    </w:p>
    <w:p w14:paraId="254424C9">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26.4未实质性响应谈判文件的响应文件按无效响应处理。</w:t>
      </w:r>
    </w:p>
    <w:p w14:paraId="5649582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26.5如果响应文件实质上没有响应谈判文件的要求，谈判小组将予以拒绝，供应商不得通过修改或撤销</w:t>
      </w:r>
      <w:r>
        <w:rPr>
          <w:rFonts w:hint="eastAsia" w:ascii="宋体" w:hAnsi="宋体" w:eastAsia="宋体" w:cs="宋体"/>
          <w:color w:val="auto"/>
          <w:sz w:val="24"/>
          <w:szCs w:val="24"/>
          <w:highlight w:val="none"/>
          <w:shd w:val="clear" w:color="auto" w:fill="auto"/>
          <w:lang w:eastAsia="zh-CN"/>
        </w:rPr>
        <w:t>不符</w:t>
      </w:r>
      <w:r>
        <w:rPr>
          <w:rFonts w:hint="eastAsia" w:ascii="宋体" w:hAnsi="宋体" w:eastAsia="宋体" w:cs="宋体"/>
          <w:color w:val="auto"/>
          <w:sz w:val="24"/>
          <w:szCs w:val="24"/>
          <w:highlight w:val="none"/>
          <w:shd w:val="clear" w:color="auto" w:fill="auto"/>
        </w:rPr>
        <w:t>合要求的偏离或保留而使其成为实质性响应的文件。</w:t>
      </w:r>
    </w:p>
    <w:p w14:paraId="1D4B1FA9">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3" w:name="_Toc513029234"/>
      <w:bookmarkStart w:id="134" w:name="_Toc20823306"/>
      <w:bookmarkStart w:id="135" w:name="_Toc16938550"/>
      <w:r>
        <w:rPr>
          <w:rFonts w:hint="eastAsia" w:ascii="宋体" w:hAnsi="宋体" w:eastAsia="宋体" w:cs="宋体"/>
          <w:color w:val="auto"/>
          <w:sz w:val="24"/>
          <w:szCs w:val="24"/>
          <w:highlight w:val="none"/>
          <w:shd w:val="clear" w:color="auto" w:fill="auto"/>
        </w:rPr>
        <w:t>26.6供应商在项目评审全过程中应</w:t>
      </w:r>
      <w:r>
        <w:rPr>
          <w:rFonts w:hint="eastAsia" w:ascii="宋体" w:hAnsi="宋体" w:eastAsia="宋体" w:cs="宋体"/>
          <w:color w:val="auto"/>
          <w:sz w:val="24"/>
          <w:szCs w:val="24"/>
          <w:highlight w:val="none"/>
          <w:shd w:val="clear" w:color="auto" w:fill="auto"/>
          <w:lang w:eastAsia="zh-CN"/>
        </w:rPr>
        <w:t>保持通信畅通</w:t>
      </w:r>
      <w:r>
        <w:rPr>
          <w:rFonts w:hint="eastAsia" w:ascii="宋体" w:hAnsi="宋体" w:eastAsia="宋体" w:cs="宋体"/>
          <w:color w:val="auto"/>
          <w:sz w:val="24"/>
          <w:szCs w:val="24"/>
          <w:highlight w:val="none"/>
          <w:shd w:val="clear" w:color="auto" w:fill="auto"/>
        </w:rPr>
        <w:t>，并安排专人与采购中心及谈判小组联系。</w:t>
      </w:r>
      <w:bookmarkEnd w:id="133"/>
      <w:bookmarkEnd w:id="134"/>
      <w:bookmarkEnd w:id="135"/>
    </w:p>
    <w:p w14:paraId="406AF235">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27、谈判程序及成交原则</w:t>
      </w:r>
    </w:p>
    <w:p w14:paraId="6070A445">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27.1谈判程序</w:t>
      </w:r>
    </w:p>
    <w:p w14:paraId="33688DD5">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eastAsia="宋体" w:cs="宋体"/>
          <w:b/>
          <w:bCs/>
          <w:color w:val="auto"/>
          <w:sz w:val="24"/>
          <w:szCs w:val="24"/>
          <w:highlight w:val="none"/>
          <w:shd w:val="clear" w:color="auto" w:fill="auto"/>
        </w:rPr>
        <w:t>（所有邀请等待时间5分钟，5分钟内所邀请供应商无响应，视同放弃谈判的权利，由下一家进行谈判，不再后补）</w:t>
      </w:r>
    </w:p>
    <w:p w14:paraId="780D7FB1">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42578D15">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259BA6C0">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4928DB92">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27.1.3供应商未在谈判小组规定的时间内在苏采云系统中提交最后报价的视为放弃谈判，其响应文件按无效响应处理，</w:t>
      </w:r>
      <w:r>
        <w:rPr>
          <w:rFonts w:hint="eastAsia" w:ascii="宋体" w:hAnsi="宋体" w:eastAsia="宋体" w:cs="宋体"/>
          <w:b/>
          <w:bCs/>
          <w:color w:val="auto"/>
          <w:sz w:val="24"/>
          <w:szCs w:val="24"/>
          <w:highlight w:val="none"/>
          <w:shd w:val="clear" w:color="auto" w:fill="auto"/>
        </w:rPr>
        <w:t>最后报价格式表须加盖CA电子公章,否则视为未提交最后报价。</w:t>
      </w:r>
      <w:r>
        <w:rPr>
          <w:rFonts w:hint="eastAsia" w:ascii="宋体" w:hAnsi="宋体" w:eastAsia="宋体" w:cs="宋体"/>
          <w:color w:val="auto"/>
          <w:sz w:val="24"/>
          <w:szCs w:val="24"/>
          <w:highlight w:val="none"/>
          <w:shd w:val="clear" w:color="auto" w:fill="auto"/>
        </w:rPr>
        <w:t>已提交响应文件的供应商，在提交最后报价之前，可以根据谈判情况退出谈判，并在苏采云系统中提交“退出谈判函”并加盖CA电子公章。</w:t>
      </w:r>
    </w:p>
    <w:p w14:paraId="2895608A">
      <w:pPr>
        <w:spacing w:line="450" w:lineRule="exact"/>
        <w:ind w:left="2" w:firstLine="477"/>
        <w:rPr>
          <w:rFonts w:hint="eastAsia" w:ascii="宋体" w:hAnsi="宋体"/>
          <w:b/>
          <w:bCs/>
          <w:color w:val="auto"/>
          <w:sz w:val="24"/>
          <w:szCs w:val="20"/>
        </w:rPr>
      </w:pPr>
      <w:r>
        <w:rPr>
          <w:rFonts w:hint="eastAsia" w:ascii="宋体" w:hAnsi="宋体"/>
          <w:b/>
          <w:bCs/>
          <w:color w:val="auto"/>
          <w:sz w:val="24"/>
          <w:szCs w:val="20"/>
          <w:lang w:val="en-US" w:eastAsia="zh-CN"/>
        </w:rPr>
        <w:t>27.1.4</w:t>
      </w:r>
      <w:r>
        <w:rPr>
          <w:rFonts w:hint="eastAsia" w:ascii="宋体" w:hAnsi="宋体"/>
          <w:b/>
          <w:bCs/>
          <w:color w:val="auto"/>
          <w:sz w:val="24"/>
          <w:szCs w:val="20"/>
        </w:rPr>
        <w:t>谈判结束后，谈判进入报价环节，谈判小组应当要求所有参加谈判的供应商在20分钟内进行最后报价，二轮报价不得高于首次报价。</w:t>
      </w:r>
      <w:r>
        <w:rPr>
          <w:rFonts w:hint="eastAsia" w:ascii="宋体" w:hAnsi="宋体"/>
          <w:b/>
          <w:bCs/>
          <w:color w:val="auto"/>
          <w:sz w:val="24"/>
          <w:szCs w:val="20"/>
          <w:highlight w:val="yellow"/>
        </w:rPr>
        <w:t>本项目二次报价为最后报价</w:t>
      </w:r>
      <w:r>
        <w:rPr>
          <w:rFonts w:hint="eastAsia" w:ascii="宋体" w:hAnsi="宋体"/>
          <w:b/>
          <w:color w:val="auto"/>
          <w:sz w:val="24"/>
          <w:szCs w:val="20"/>
          <w:highlight w:val="yellow"/>
        </w:rPr>
        <w:t>（具体格式以苏采云系统为准）</w:t>
      </w:r>
      <w:r>
        <w:rPr>
          <w:rFonts w:hint="eastAsia" w:ascii="宋体" w:hAnsi="宋体"/>
          <w:b/>
          <w:bCs/>
          <w:color w:val="auto"/>
          <w:sz w:val="24"/>
          <w:szCs w:val="20"/>
        </w:rPr>
        <w:t>，在规定的时间内未进行最后报价的供应商视为弃权。在规定时间内提交最后报价的供应商不得少于3家。</w:t>
      </w:r>
    </w:p>
    <w:p w14:paraId="7EFA0DEA">
      <w:pPr>
        <w:spacing w:line="450" w:lineRule="exact"/>
        <w:ind w:left="2" w:firstLine="477"/>
        <w:rPr>
          <w:rFonts w:hint="eastAsia" w:ascii="宋体" w:hAnsi="宋体" w:cs="宋体"/>
          <w:b/>
          <w:bCs/>
          <w:color w:val="auto"/>
          <w:sz w:val="24"/>
        </w:rPr>
      </w:pPr>
      <w:r>
        <w:rPr>
          <w:rFonts w:hint="eastAsia" w:ascii="宋体" w:hAnsi="宋体" w:cs="宋体"/>
          <w:b/>
          <w:bCs/>
          <w:color w:val="auto"/>
          <w:sz w:val="24"/>
          <w:lang w:val="en-US" w:eastAsia="zh-CN"/>
        </w:rPr>
        <w:t>27.1.5</w:t>
      </w:r>
      <w:r>
        <w:rPr>
          <w:rFonts w:hint="eastAsia" w:ascii="宋体" w:hAnsi="宋体" w:cs="宋体"/>
          <w:b/>
          <w:bCs/>
          <w:color w:val="auto"/>
          <w:sz w:val="24"/>
        </w:rPr>
        <w:t>采用最低评标价法的，评标结果按投标报价由低到高顺序排列。投标报价相同的并列，投标文件满足</w:t>
      </w:r>
      <w:r>
        <w:rPr>
          <w:rFonts w:hint="eastAsia" w:ascii="宋体" w:hAnsi="宋体" w:cs="宋体"/>
          <w:b/>
          <w:bCs/>
          <w:color w:val="auto"/>
          <w:sz w:val="24"/>
          <w:lang w:eastAsia="zh-CN"/>
        </w:rPr>
        <w:t>谈判</w:t>
      </w:r>
      <w:r>
        <w:rPr>
          <w:rFonts w:hint="eastAsia" w:ascii="宋体" w:hAnsi="宋体" w:cs="宋体"/>
          <w:b/>
          <w:bCs/>
          <w:color w:val="auto"/>
          <w:sz w:val="24"/>
        </w:rPr>
        <w:t>文件全部实质性要求且投标报价最低(二轮报价)的投标人为排名第一的中标候选人。如二轮报价出现相同报价情形，由报价相同的单位进行多轮报价直至出现投标报价最低投标人。</w:t>
      </w:r>
    </w:p>
    <w:p w14:paraId="5DB65E67">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 成交原则</w:t>
      </w:r>
    </w:p>
    <w:p w14:paraId="300847BC">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27.2.1谈判小组将从质量和服务均能满足</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文件实质性响应要求的供应商中，按照最后报价由低到高顺序推荐3名成交候选供应商，并编写评审报告。采购人从评审报告提出的成交候选供应商中，根据质量和服务均能满足</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文件实质性响应要求且最后报价最低的原则确定成交供应商。</w:t>
      </w:r>
    </w:p>
    <w:p w14:paraId="4E7AE661">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 xml:space="preserve"> 采购人确定成交供应商后，采购中心将在</w:t>
      </w:r>
      <w:r>
        <w:rPr>
          <w:rFonts w:hint="eastAsia" w:ascii="宋体" w:hAnsi="宋体" w:eastAsia="宋体" w:cs="宋体"/>
          <w:color w:val="auto"/>
          <w:sz w:val="24"/>
          <w:szCs w:val="24"/>
          <w:highlight w:val="none"/>
          <w:shd w:val="clear" w:color="auto" w:fill="auto"/>
          <w:lang w:val="en-US" w:eastAsia="zh-CN"/>
        </w:rPr>
        <w:t>“中国政府采购网”“江苏政府采购网”“盐城市政府采购网”</w:t>
      </w:r>
      <w:r>
        <w:rPr>
          <w:rFonts w:hint="eastAsia" w:ascii="宋体" w:hAnsi="宋体" w:eastAsia="宋体" w:cs="宋体"/>
          <w:color w:val="auto"/>
          <w:sz w:val="24"/>
          <w:szCs w:val="24"/>
          <w:highlight w:val="none"/>
          <w:shd w:val="clear" w:color="auto" w:fill="auto"/>
        </w:rPr>
        <w:t>发布成交结果公告，公告期限为1个工作日。</w:t>
      </w:r>
    </w:p>
    <w:p w14:paraId="20C70301">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采购活动终止的情况</w:t>
      </w:r>
    </w:p>
    <w:p w14:paraId="36398A0B">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出现下列情形之一的，本次竞争性谈判采购活动将被终止：</w:t>
      </w:r>
    </w:p>
    <w:p w14:paraId="26465A1F">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.1因情况变化，不再符合规定的竞争性谈判采购方式适用情形的。</w:t>
      </w:r>
    </w:p>
    <w:p w14:paraId="0CC8F3E6">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.2出现影响采购公正的违法、违规行为的。</w:t>
      </w:r>
    </w:p>
    <w:p w14:paraId="47022E92">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.3在</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过程中符合要求的供应商或者最后报价未超过采购预算的供应商不足3家的。</w:t>
      </w:r>
    </w:p>
    <w:p w14:paraId="072C5448">
      <w:pPr>
        <w:pStyle w:val="8"/>
        <w:pageBreakBefore w:val="0"/>
        <w:widowControl w:val="0"/>
        <w:tabs>
          <w:tab w:val="left" w:pos="901"/>
        </w:tabs>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27.3.4在苏采云系统规定时间内成功解密电子响应文件的供应商不足3家的。</w:t>
      </w:r>
    </w:p>
    <w:p w14:paraId="26B539DF">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28、成交供应商被取消成交资格情形</w:t>
      </w:r>
    </w:p>
    <w:p w14:paraId="06FA08B9">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若有充分证据证明，成交供应商出现下列情况之一的，一经查实，将被取消成交资格：</w:t>
      </w:r>
    </w:p>
    <w:p w14:paraId="052D427F">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28.1提供虚假材料谋取成交的。</w:t>
      </w:r>
    </w:p>
    <w:p w14:paraId="7FFF815F">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28.2与评审专家、采购人、其他供应商或者采购中心工作人员恶意串通的。</w:t>
      </w:r>
    </w:p>
    <w:p w14:paraId="4812DF7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28.3向评审专家、采购人或采购中心工作人员行贿或者提供其他不正当利益的。</w:t>
      </w:r>
    </w:p>
    <w:p w14:paraId="47771150">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28.4恶意竞争，最后报价明显低于其自身合理成本且又无法提供证明的。</w:t>
      </w:r>
    </w:p>
    <w:p w14:paraId="3591428D">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28.5不满足本谈判文件规定的实质性要求，但在评审过程中又未被谈判小组发现的。</w:t>
      </w:r>
    </w:p>
    <w:p w14:paraId="7AC87FF0">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28.6成交后无正当理由拒不与采购人签订政府采购合同或者未按照谈判文件确定的事项签订政府采购合同的。</w:t>
      </w:r>
    </w:p>
    <w:p w14:paraId="041FBDB2">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28.7将政府采购合同转包的。</w:t>
      </w:r>
    </w:p>
    <w:p w14:paraId="7338A398">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6" w:name="_Toc200451960"/>
      <w:r>
        <w:rPr>
          <w:rFonts w:hint="eastAsia" w:ascii="宋体" w:hAnsi="宋体" w:eastAsia="宋体" w:cs="宋体"/>
          <w:color w:val="auto"/>
          <w:sz w:val="24"/>
          <w:szCs w:val="24"/>
          <w:highlight w:val="none"/>
          <w:shd w:val="clear" w:color="auto" w:fill="auto"/>
        </w:rPr>
        <w:t>29、质疑处理</w:t>
      </w:r>
      <w:bookmarkEnd w:id="136"/>
    </w:p>
    <w:p w14:paraId="6759B640">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 提出质疑的供应商应当是参与所质疑项目采购活动的供应商。潜在供应商依法获取其可质疑的</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文件的，可以对</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文件提出质疑。</w:t>
      </w:r>
    </w:p>
    <w:p w14:paraId="7803D7E4">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29.2供应商认为</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过程和</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结果使自己的权益受到损害的，可以在知道或应知其权益受到损害之日起七个工作日内，以书面形式根据下述29.4条款的规定向采购中心或采购人提出质疑。上述应知其权益受到损害之日，是指：</w:t>
      </w:r>
    </w:p>
    <w:p w14:paraId="24923206">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29.2.1对可以质疑的</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文件提出质疑的，为收到</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文件之日或者</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文件公告期限届满之日。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29.2.2对</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过程提出质疑的，为各采购程序环节结束之日。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29.2.3对成交结果提出质疑的，为成交结果公告期限届满之日。</w:t>
      </w:r>
    </w:p>
    <w:p w14:paraId="1CEB7DCC">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供应商应当在法定质疑期内一次性提出针对同一采购程序环节的质疑。供应商如在法定期限内对同一采购程序环节提出多次质疑的，采购中心、采购人将只对供应商第一次质疑作出答复。</w:t>
      </w:r>
    </w:p>
    <w:p w14:paraId="47195CB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质疑函必须按照本谈判文件中《质疑函范本》要求的格式和内容进行填写。供应商如组成联合体参加谈判，则《质疑函范本》中要求签字、盖章、加盖公章之处，联合体各方均须按要求签字、盖章、加盖公章。</w:t>
      </w:r>
    </w:p>
    <w:p w14:paraId="0925E702">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29.4 供应商（含潜在供应商）对采购方式、采购需求、供应商资格条件、评审方法与评审标准、合同文本的询问、质疑请向采购人提出，由采购人负责答复。供应商对其他事项的询问、质疑请向采购中心提出，由采购中心负责答复。</w:t>
      </w:r>
    </w:p>
    <w:p w14:paraId="26214DD1">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auto"/>
          <w:lang w:val="en-US" w:eastAsia="zh-CN" w:bidi="ar-SA"/>
        </w:rPr>
        <w:t>采购人及采购中心只接收以纸质原件形式送达的质疑,采购人和采购中心不接受未填写快递运单的快件。</w:t>
      </w:r>
      <w:r>
        <w:rPr>
          <w:rFonts w:hint="eastAsia" w:ascii="宋体" w:hAnsi="宋体" w:eastAsia="宋体" w:cs="宋体"/>
          <w:color w:val="auto"/>
          <w:sz w:val="24"/>
          <w:szCs w:val="24"/>
          <w:highlight w:val="none"/>
        </w:rPr>
        <w:t>质疑接收部门为</w:t>
      </w:r>
      <w:r>
        <w:rPr>
          <w:rFonts w:hint="eastAsia" w:ascii="宋体" w:hAnsi="宋体" w:eastAsia="宋体" w:cs="宋体"/>
          <w:color w:val="auto"/>
          <w:sz w:val="24"/>
          <w:szCs w:val="24"/>
          <w:highlight w:val="none"/>
          <w:u w:val="single"/>
          <w:lang w:val="en-US" w:eastAsia="zh-CN"/>
        </w:rPr>
        <w:t>滨海县政府采购中心</w:t>
      </w: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u w:val="single"/>
          <w:lang w:val="en-US" w:eastAsia="zh-CN"/>
        </w:rPr>
        <w:t>滨海县县城育才路 166 号滨海县政务服务中心</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val="en-US" w:eastAsia="zh-CN"/>
        </w:rPr>
        <w:t>15851110809</w:t>
      </w:r>
      <w:r>
        <w:rPr>
          <w:rFonts w:hint="eastAsia" w:ascii="宋体" w:hAnsi="宋体" w:eastAsia="宋体" w:cs="宋体"/>
          <w:color w:val="auto"/>
          <w:sz w:val="24"/>
          <w:szCs w:val="24"/>
          <w:highlight w:val="none"/>
        </w:rPr>
        <w:t>。</w:t>
      </w:r>
    </w:p>
    <w:p w14:paraId="2220C3A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 以下情形的质疑不予受理</w:t>
      </w:r>
    </w:p>
    <w:p w14:paraId="747FB00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 内容不符合《政府采购质疑和投诉办法》第十二条规定的质疑。</w:t>
      </w:r>
    </w:p>
    <w:p w14:paraId="437C0D7D">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 超出政府采购法定期限的质疑。</w:t>
      </w:r>
    </w:p>
    <w:p w14:paraId="580A425B">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 以传真、电子邮件等方式递交的非原件形式的质疑。</w:t>
      </w:r>
    </w:p>
    <w:p w14:paraId="7EC3578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 未参加谈判活动的供应商或在谈判活动中自身权益未受到损害的供应商所提出的质疑。</w:t>
      </w:r>
    </w:p>
    <w:p w14:paraId="6E499DF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29.5.5供应商组成联合体参加谈判，联合体中任何一方或多方未按要求签字、盖章、加盖公章的质疑。</w:t>
      </w:r>
    </w:p>
    <w:p w14:paraId="79CF1B10">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6E965E91">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14:paraId="73BF5B6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BE30546">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6EA864F0">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37" w:name="_Toc20823308"/>
      <w:bookmarkStart w:id="138" w:name="_Toc513029236"/>
      <w:bookmarkStart w:id="139" w:name="_Toc16938552"/>
      <w:bookmarkStart w:id="140" w:name="_Toc120614220"/>
      <w:r>
        <w:rPr>
          <w:rFonts w:hint="eastAsia" w:ascii="宋体" w:hAnsi="宋体" w:eastAsia="宋体" w:cs="宋体"/>
          <w:b/>
          <w:color w:val="auto"/>
          <w:sz w:val="24"/>
          <w:szCs w:val="24"/>
          <w:highlight w:val="none"/>
          <w:shd w:val="clear" w:color="auto" w:fill="auto"/>
        </w:rPr>
        <w:t>七、授予合同</w:t>
      </w:r>
      <w:bookmarkEnd w:id="137"/>
      <w:bookmarkEnd w:id="138"/>
      <w:bookmarkEnd w:id="139"/>
      <w:bookmarkEnd w:id="140"/>
    </w:p>
    <w:p w14:paraId="4227BD4D">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41" w:name="_Toc513029237"/>
      <w:bookmarkStart w:id="142" w:name="_Toc16938553"/>
      <w:bookmarkStart w:id="143" w:name="_Toc20823309"/>
      <w:r>
        <w:rPr>
          <w:rFonts w:hint="eastAsia" w:ascii="宋体" w:hAnsi="宋体" w:eastAsia="宋体" w:cs="宋体"/>
          <w:color w:val="auto"/>
          <w:sz w:val="24"/>
          <w:szCs w:val="24"/>
          <w:highlight w:val="none"/>
          <w:shd w:val="clear" w:color="auto" w:fill="auto"/>
        </w:rPr>
        <w:t>31. 签订合同</w:t>
      </w:r>
      <w:bookmarkEnd w:id="141"/>
      <w:bookmarkEnd w:id="142"/>
      <w:bookmarkEnd w:id="143"/>
    </w:p>
    <w:p w14:paraId="28C12FA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31.l成交供应商应当在成交通知书发出之日起三十日内，按照谈判文件确定的事项与采购人签订政府采购合同。</w:t>
      </w:r>
    </w:p>
    <w:p w14:paraId="273D7FC0">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31.2谈判文件、成交供应商的响应文件及谈判过程中有关澄清、承诺文件均应作为合同附件。</w:t>
      </w:r>
    </w:p>
    <w:p w14:paraId="7162DCD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 签订合同后，</w:t>
      </w:r>
      <w:r>
        <w:rPr>
          <w:rFonts w:hint="eastAsia" w:ascii="宋体" w:hAnsi="宋体" w:eastAsia="宋体" w:cs="宋体"/>
          <w:i/>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04DD2F5B">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32、标的物的追加</w:t>
      </w:r>
    </w:p>
    <w:p w14:paraId="275C9CEF">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8"/>
        <w:pageBreakBefore w:val="0"/>
        <w:widowControl w:val="0"/>
        <w:numPr>
          <w:ilvl w:val="0"/>
          <w:numId w:val="0"/>
        </w:numPr>
        <w:kinsoku/>
        <w:wordWrap/>
        <w:overflowPunct/>
        <w:topLinePunct w:val="0"/>
        <w:autoSpaceDE/>
        <w:autoSpaceDN/>
        <w:bidi w:val="0"/>
        <w:adjustRightInd w:val="0"/>
        <w:snapToGrid w:val="0"/>
        <w:spacing w:beforeAutospacing="0" w:afterAutospacing="0" w:line="520" w:lineRule="exact"/>
        <w:ind w:left="0" w:leftChars="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8"/>
        <w:keepNext/>
        <w:keepLines/>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4C9CBD8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DFC19BD">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.3.7本项目是否专门面向中小企业预留采购份额见第一章《竞争性</w:t>
      </w:r>
      <w:r>
        <w:rPr>
          <w:rFonts w:hint="eastAsia" w:ascii="宋体" w:hAnsi="宋体" w:eastAsia="宋体" w:cs="宋体"/>
          <w:color w:val="auto"/>
          <w:sz w:val="24"/>
          <w:szCs w:val="24"/>
          <w:highlight w:val="none"/>
          <w:shd w:val="clear" w:color="auto" w:fill="auto"/>
          <w:lang w:val="en-US" w:eastAsia="zh-CN"/>
        </w:rPr>
        <w:t>谈判公告</w:t>
      </w:r>
      <w:r>
        <w:rPr>
          <w:rFonts w:hint="eastAsia" w:ascii="宋体" w:hAnsi="宋体" w:eastAsia="宋体" w:cs="宋体"/>
          <w:color w:val="auto"/>
          <w:sz w:val="24"/>
          <w:szCs w:val="24"/>
          <w:highlight w:val="none"/>
          <w:shd w:val="clear" w:color="auto" w:fill="auto"/>
        </w:rPr>
        <w:t>》。</w:t>
      </w:r>
    </w:p>
    <w:p w14:paraId="66321B5E">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3CD37815">
      <w:pPr>
        <w:pStyle w:val="8"/>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w:t>
      </w:r>
      <w:r>
        <w:rPr>
          <w:rFonts w:hint="eastAsia" w:ascii="宋体" w:hAnsi="宋体" w:eastAsia="宋体" w:cs="宋体"/>
          <w:color w:val="auto"/>
          <w:sz w:val="24"/>
          <w:szCs w:val="24"/>
          <w:highlight w:val="none"/>
          <w:shd w:val="clear" w:color="auto" w:fill="auto"/>
          <w:lang w:val="en-US" w:eastAsia="zh-CN"/>
        </w:rPr>
        <w:t>谈判文件要求</w:t>
      </w:r>
      <w:r>
        <w:rPr>
          <w:rFonts w:hint="eastAsia" w:ascii="宋体" w:hAnsi="宋体" w:eastAsia="宋体" w:cs="宋体"/>
          <w:color w:val="auto"/>
          <w:sz w:val="24"/>
          <w:szCs w:val="24"/>
          <w:highlight w:val="none"/>
          <w:shd w:val="clear" w:color="auto" w:fill="auto"/>
        </w:rPr>
        <w:t>。</w:t>
      </w:r>
    </w:p>
    <w:p w14:paraId="24130294">
      <w:pPr>
        <w:pageBreakBefore w:val="0"/>
        <w:widowControl w:val="0"/>
        <w:tabs>
          <w:tab w:val="left" w:pos="1381"/>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520" w:lineRule="exact"/>
        <w:ind w:left="0"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pageBreakBefore w:val="0"/>
        <w:widowControl w:val="0"/>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val="0"/>
        <w:snapToGrid w:val="0"/>
        <w:spacing w:line="520" w:lineRule="exact"/>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33.8实施本国产品标准及相关政策（本项目不适用）</w:t>
      </w:r>
    </w:p>
    <w:p w14:paraId="034807A4">
      <w:pPr>
        <w:pageBreakBefore w:val="0"/>
        <w:widowControl w:val="0"/>
        <w:tabs>
          <w:tab w:val="left" w:pos="1381"/>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33.9履约保证金政策</w:t>
      </w:r>
    </w:p>
    <w:p w14:paraId="40F02B3A">
      <w:pPr>
        <w:pStyle w:val="15"/>
        <w:pageBreakBefore w:val="0"/>
        <w:widowControl w:val="0"/>
        <w:kinsoku/>
        <w:wordWrap/>
        <w:overflowPunct/>
        <w:topLinePunct w:val="0"/>
        <w:autoSpaceDE/>
        <w:autoSpaceDN/>
        <w:bidi w:val="0"/>
        <w:adjustRightInd w:val="0"/>
        <w:snapToGrid w:val="0"/>
        <w:spacing w:after="0"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 预付款制度</w:t>
      </w:r>
    </w:p>
    <w:p w14:paraId="23108FD2">
      <w:pPr>
        <w:pageBreakBefore w:val="0"/>
        <w:widowControl w:val="0"/>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本项目落实预付款制度，预付款比例为30%。在签订合同时，中标、成交供应商明确书面表示无需预付款或者主动要求降低预付款比例的，采购人可就预付款比例作相应调整。</w:t>
      </w:r>
    </w:p>
    <w:p w14:paraId="0747C23B">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r>
    </w:p>
    <w:p w14:paraId="3D1765D0">
      <w:pPr>
        <w:jc w:val="center"/>
        <w:outlineLvl w:val="0"/>
        <w:rPr>
          <w:rFonts w:hint="eastAsia" w:ascii="方正小标宋简体" w:hAnsi="方正小标宋简体" w:eastAsia="方正小标宋简体" w:cs="方正小标宋简体"/>
          <w:color w:val="auto"/>
          <w:kern w:val="0"/>
          <w:sz w:val="44"/>
          <w:szCs w:val="44"/>
          <w:highlight w:val="none"/>
        </w:rPr>
      </w:pPr>
      <w:r>
        <w:rPr>
          <w:rFonts w:hint="eastAsia" w:ascii="方正小标宋简体" w:hAnsi="方正小标宋简体" w:eastAsia="方正小标宋简体" w:cs="方正小标宋简体"/>
          <w:color w:val="auto"/>
          <w:kern w:val="0"/>
          <w:sz w:val="44"/>
          <w:szCs w:val="44"/>
          <w:highlight w:val="none"/>
        </w:rPr>
        <w:t>第三章  合同文本</w:t>
      </w:r>
    </w:p>
    <w:p w14:paraId="0AC41180">
      <w:pPr>
        <w:pStyle w:val="8"/>
        <w:spacing w:beforeAutospacing="0" w:afterAutospacing="0" w:line="0" w:lineRule="atLeast"/>
        <w:ind w:firstLine="480"/>
        <w:jc w:val="both"/>
        <w:rPr>
          <w:color w:val="auto"/>
          <w:highlight w:val="none"/>
          <w:shd w:val="clear" w:color="auto" w:fill="auto"/>
        </w:rPr>
      </w:pPr>
      <w:bookmarkStart w:id="144" w:name="_Toc20823315"/>
      <w:bookmarkStart w:id="145" w:name="_Toc513029243"/>
      <w:bookmarkStart w:id="146" w:name="_Toc16938559"/>
      <w:r>
        <w:rPr>
          <w:rFonts w:hint="eastAsia" w:ascii="宋体" w:hAnsi="宋体" w:eastAsia="宋体" w:cs="宋体"/>
          <w:color w:val="auto"/>
          <w:highlight w:val="none"/>
          <w:shd w:val="clear" w:color="auto" w:fill="auto"/>
        </w:rPr>
        <w:t>以下为成交后</w:t>
      </w:r>
      <w:r>
        <w:rPr>
          <w:rFonts w:hint="eastAsia" w:ascii="宋体" w:hAnsi="宋体" w:eastAsia="宋体" w:cs="宋体"/>
          <w:color w:val="auto"/>
          <w:highlight w:val="none"/>
          <w:shd w:val="clear" w:color="auto" w:fill="auto"/>
          <w:lang w:eastAsia="zh-CN"/>
        </w:rPr>
        <w:t>签订</w:t>
      </w:r>
      <w:r>
        <w:rPr>
          <w:rFonts w:hint="eastAsia" w:ascii="宋体" w:hAnsi="宋体" w:eastAsia="宋体" w:cs="宋体"/>
          <w:color w:val="auto"/>
          <w:highlight w:val="none"/>
          <w:shd w:val="clear" w:color="auto" w:fill="auto"/>
        </w:rPr>
        <w:t>本项目合同的通用条款，成交供应商不得提出实质性的修改。</w:t>
      </w:r>
      <w:bookmarkEnd w:id="144"/>
      <w:bookmarkEnd w:id="145"/>
      <w:bookmarkEnd w:id="146"/>
    </w:p>
    <w:p w14:paraId="4E4F4302">
      <w:pPr>
        <w:jc w:val="center"/>
        <w:rPr>
          <w:rFonts w:hint="eastAsia" w:ascii="宋体" w:hAnsi="宋体" w:cs="宋体"/>
          <w:sz w:val="30"/>
          <w:highlight w:val="none"/>
        </w:rPr>
      </w:pPr>
    </w:p>
    <w:p w14:paraId="762BE4E8">
      <w:pPr>
        <w:jc w:val="center"/>
        <w:rPr>
          <w:rFonts w:hint="eastAsia" w:ascii="宋体" w:hAnsi="宋体" w:cs="宋体"/>
          <w:sz w:val="30"/>
          <w:highlight w:val="none"/>
        </w:rPr>
      </w:pPr>
    </w:p>
    <w:p w14:paraId="1BA3EA80">
      <w:pPr>
        <w:jc w:val="center"/>
        <w:rPr>
          <w:rFonts w:hint="eastAsia" w:ascii="宋体" w:hAnsi="宋体" w:cs="宋体"/>
          <w:sz w:val="30"/>
          <w:highlight w:val="none"/>
        </w:rPr>
      </w:pPr>
    </w:p>
    <w:p w14:paraId="7023E608">
      <w:pPr>
        <w:jc w:val="center"/>
        <w:rPr>
          <w:rFonts w:ascii="宋体" w:hAnsi="宋体" w:cs="宋体"/>
          <w:sz w:val="40"/>
          <w:szCs w:val="36"/>
          <w:highlight w:val="none"/>
        </w:rPr>
      </w:pPr>
      <w:r>
        <w:rPr>
          <w:rFonts w:hint="eastAsia" w:ascii="宋体" w:hAnsi="宋体" w:cs="宋体"/>
          <w:sz w:val="40"/>
          <w:szCs w:val="36"/>
          <w:highlight w:val="none"/>
        </w:rPr>
        <w:t>政府采购</w:t>
      </w:r>
      <w:r>
        <w:rPr>
          <w:rFonts w:hint="eastAsia" w:ascii="宋体" w:hAnsi="宋体" w:cs="宋体"/>
          <w:sz w:val="40"/>
          <w:szCs w:val="36"/>
          <w:highlight w:val="none"/>
          <w:lang w:val="en-US" w:eastAsia="zh-CN"/>
        </w:rPr>
        <w:t>服务</w:t>
      </w:r>
      <w:r>
        <w:rPr>
          <w:rFonts w:hint="eastAsia" w:ascii="宋体" w:hAnsi="宋体" w:cs="宋体"/>
          <w:sz w:val="40"/>
          <w:szCs w:val="36"/>
          <w:highlight w:val="none"/>
        </w:rPr>
        <w:t>合同</w:t>
      </w:r>
    </w:p>
    <w:p w14:paraId="39A221D5">
      <w:pPr>
        <w:jc w:val="center"/>
        <w:rPr>
          <w:rFonts w:ascii="宋体" w:hAnsi="宋体" w:cs="宋体"/>
          <w:sz w:val="30"/>
          <w:highlight w:val="none"/>
        </w:rPr>
      </w:pPr>
    </w:p>
    <w:p w14:paraId="7EE671B2">
      <w:pPr>
        <w:rPr>
          <w:rFonts w:ascii="宋体" w:hAnsi="宋体" w:cs="宋体"/>
          <w:sz w:val="30"/>
          <w:highlight w:val="none"/>
        </w:rPr>
      </w:pPr>
    </w:p>
    <w:p w14:paraId="149DABE6">
      <w:pPr>
        <w:rPr>
          <w:rFonts w:ascii="宋体" w:hAnsi="宋体" w:cs="宋体"/>
          <w:sz w:val="30"/>
          <w:highlight w:val="none"/>
        </w:rPr>
      </w:pPr>
    </w:p>
    <w:p w14:paraId="4F56BDDB">
      <w:pPr>
        <w:rPr>
          <w:rFonts w:ascii="宋体" w:hAnsi="宋体" w:cs="宋体"/>
          <w:sz w:val="30"/>
          <w:highlight w:val="none"/>
        </w:rPr>
      </w:pPr>
    </w:p>
    <w:p w14:paraId="7E7A1F79">
      <w:pPr>
        <w:rPr>
          <w:rFonts w:ascii="宋体" w:hAnsi="宋体" w:cs="宋体"/>
          <w:sz w:val="30"/>
          <w:highlight w:val="none"/>
        </w:rPr>
      </w:pPr>
    </w:p>
    <w:p w14:paraId="7E6C9959">
      <w:pPr>
        <w:rPr>
          <w:rFonts w:ascii="宋体" w:hAnsi="宋体" w:cs="宋体"/>
          <w:sz w:val="30"/>
          <w:highlight w:val="none"/>
        </w:rPr>
      </w:pPr>
    </w:p>
    <w:p w14:paraId="3BB3AA36">
      <w:pPr>
        <w:spacing w:line="360" w:lineRule="auto"/>
        <w:ind w:left="420"/>
        <w:rPr>
          <w:rFonts w:ascii="宋体" w:hAnsi="宋体" w:cs="宋体"/>
          <w:sz w:val="30"/>
          <w:highlight w:val="none"/>
        </w:rPr>
      </w:pPr>
      <w:r>
        <w:rPr>
          <w:rFonts w:hint="eastAsia" w:ascii="宋体" w:hAnsi="宋体" w:cs="宋体"/>
          <w:sz w:val="30"/>
          <w:highlight w:val="none"/>
        </w:rPr>
        <w:t>项目名称：</w:t>
      </w:r>
    </w:p>
    <w:p w14:paraId="11A1D3A4">
      <w:pPr>
        <w:spacing w:line="360" w:lineRule="auto"/>
        <w:ind w:left="420"/>
        <w:rPr>
          <w:rFonts w:ascii="宋体" w:hAnsi="宋体" w:cs="宋体"/>
          <w:sz w:val="30"/>
          <w:highlight w:val="none"/>
        </w:rPr>
      </w:pPr>
      <w:r>
        <w:rPr>
          <w:rFonts w:hint="eastAsia" w:ascii="宋体" w:hAnsi="宋体" w:cs="宋体"/>
          <w:sz w:val="30"/>
          <w:highlight w:val="none"/>
        </w:rPr>
        <w:t>合同编号：</w:t>
      </w:r>
    </w:p>
    <w:p w14:paraId="7691FC79">
      <w:pPr>
        <w:spacing w:line="360" w:lineRule="auto"/>
        <w:ind w:left="420"/>
        <w:rPr>
          <w:rFonts w:ascii="宋体" w:hAnsi="宋体" w:cs="宋体"/>
          <w:sz w:val="30"/>
          <w:highlight w:val="none"/>
        </w:rPr>
      </w:pPr>
      <w:r>
        <w:rPr>
          <w:rFonts w:hint="eastAsia" w:ascii="宋体" w:hAnsi="宋体" w:cs="宋体"/>
          <w:sz w:val="30"/>
          <w:highlight w:val="none"/>
        </w:rPr>
        <w:t>甲    方：</w:t>
      </w:r>
    </w:p>
    <w:p w14:paraId="2F6A467E">
      <w:pPr>
        <w:spacing w:line="360" w:lineRule="auto"/>
        <w:ind w:left="420"/>
        <w:rPr>
          <w:rFonts w:ascii="宋体" w:hAnsi="宋体" w:cs="宋体"/>
          <w:sz w:val="30"/>
          <w:highlight w:val="none"/>
        </w:rPr>
      </w:pPr>
      <w:r>
        <w:rPr>
          <w:rFonts w:hint="eastAsia" w:ascii="宋体" w:hAnsi="宋体" w:cs="宋体"/>
          <w:sz w:val="30"/>
          <w:highlight w:val="none"/>
        </w:rPr>
        <w:t>乙    方：</w:t>
      </w:r>
    </w:p>
    <w:p w14:paraId="2B606E10">
      <w:pPr>
        <w:spacing w:line="360" w:lineRule="auto"/>
        <w:ind w:left="420"/>
        <w:rPr>
          <w:rFonts w:ascii="宋体" w:hAnsi="宋体" w:cs="宋体"/>
          <w:sz w:val="30"/>
          <w:highlight w:val="none"/>
        </w:rPr>
      </w:pPr>
      <w:r>
        <w:rPr>
          <w:rFonts w:hint="eastAsia" w:ascii="宋体" w:hAnsi="宋体" w:cs="宋体"/>
          <w:sz w:val="30"/>
          <w:highlight w:val="none"/>
        </w:rPr>
        <w:t>签订时间：</w:t>
      </w:r>
    </w:p>
    <w:p w14:paraId="212B0DC1">
      <w:pPr>
        <w:rPr>
          <w:rFonts w:hint="eastAsia" w:ascii="宋体" w:hAnsi="宋体" w:eastAsia="宋体" w:cs="宋体"/>
          <w:b/>
          <w:color w:val="auto"/>
          <w:sz w:val="30"/>
          <w:szCs w:val="30"/>
          <w:highlight w:val="none"/>
          <w:shd w:val="clear" w:color="auto" w:fill="auto"/>
        </w:rPr>
      </w:pPr>
    </w:p>
    <w:p w14:paraId="5000675E">
      <w:pP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482A3CD2">
      <w:pPr>
        <w:keepNext w:val="0"/>
        <w:keepLines w:val="0"/>
        <w:pageBreakBefore w:val="0"/>
        <w:widowControl w:val="0"/>
        <w:numPr>
          <w:ilvl w:val="0"/>
          <w:numId w:val="0"/>
        </w:numPr>
        <w:spacing w:line="360" w:lineRule="auto"/>
        <w:ind w:left="0" w:firstLine="720"/>
        <w:jc w:val="center"/>
        <w:rPr>
          <w:rFonts w:hint="eastAsia" w:ascii="方正小标宋简体" w:hAnsi="方正小标宋简体" w:eastAsia="方正小标宋简体" w:cs="方正小标宋简体"/>
          <w:sz w:val="36"/>
          <w:szCs w:val="36"/>
          <w:highlight w:val="none"/>
        </w:rPr>
      </w:pPr>
      <w:bookmarkStart w:id="147" w:name="_Toc479757211"/>
      <w:bookmarkStart w:id="148" w:name="_Toc462564139"/>
      <w:bookmarkStart w:id="149" w:name="_Toc120614244"/>
      <w:bookmarkStart w:id="150" w:name="_Toc20823346"/>
      <w:bookmarkStart w:id="151" w:name="_Toc16938590"/>
      <w:bookmarkStart w:id="152" w:name="_Hlt16619369"/>
      <w:bookmarkStart w:id="153" w:name="_Hlt16619350"/>
      <w:r>
        <w:rPr>
          <w:rFonts w:hint="eastAsia" w:ascii="方正小标宋简体" w:hAnsi="方正小标宋简体" w:eastAsia="方正小标宋简体" w:cs="方正小标宋简体"/>
          <w:sz w:val="36"/>
          <w:szCs w:val="36"/>
          <w:lang w:val="en-US" w:eastAsia="zh-CN" w:bidi="ar-SA"/>
        </w:rPr>
        <w:t xml:space="preserve">第一节 </w:t>
      </w:r>
      <w:r>
        <w:rPr>
          <w:rFonts w:hint="eastAsia" w:ascii="方正小标宋简体" w:hAnsi="方正小标宋简体" w:eastAsia="方正小标宋简体" w:cs="方正小标宋简体"/>
          <w:sz w:val="36"/>
          <w:szCs w:val="36"/>
          <w:highlight w:val="none"/>
        </w:rPr>
        <w:t>政府采购合同协议书</w:t>
      </w:r>
    </w:p>
    <w:p w14:paraId="78A5F39F">
      <w:pPr>
        <w:keepNext w:val="0"/>
        <w:keepLines w:val="0"/>
        <w:pageBreakBefore w:val="0"/>
        <w:numPr>
          <w:ilvl w:val="0"/>
          <w:numId w:val="0"/>
        </w:numPr>
        <w:spacing w:line="520" w:lineRule="exact"/>
        <w:ind w:left="0" w:firstLine="480"/>
        <w:rPr>
          <w:rFonts w:ascii="宋体" w:hAnsi="宋体"/>
          <w:sz w:val="24"/>
          <w:szCs w:val="24"/>
          <w:highlight w:val="none"/>
        </w:rPr>
      </w:pPr>
      <w:r>
        <w:rPr>
          <w:rFonts w:hint="eastAsia" w:ascii="宋体" w:hAnsi="宋体"/>
          <w:sz w:val="24"/>
          <w:szCs w:val="24"/>
          <w:highlight w:val="none"/>
        </w:rPr>
        <w:t>甲方（全称）：</w:t>
      </w:r>
      <w:r>
        <w:rPr>
          <w:rFonts w:hint="eastAsia" w:ascii="宋体" w:hAnsi="宋体"/>
          <w:color w:val="2B2BFF"/>
          <w:sz w:val="24"/>
          <w:szCs w:val="24"/>
          <w:highlight w:val="none"/>
          <w:u w:val="single"/>
        </w:rPr>
        <w:t>滨海县农业综合行政执法大队</w:t>
      </w:r>
    </w:p>
    <w:p w14:paraId="614C9FDC">
      <w:pPr>
        <w:keepNext w:val="0"/>
        <w:keepLines w:val="0"/>
        <w:pageBreakBefore w:val="0"/>
        <w:spacing w:line="520" w:lineRule="exact"/>
        <w:ind w:left="0" w:firstLine="480"/>
        <w:rPr>
          <w:rFonts w:hint="default" w:ascii="宋体" w:hAnsi="宋体"/>
          <w:sz w:val="24"/>
          <w:szCs w:val="24"/>
          <w:highlight w:val="none"/>
          <w:lang w:val="en-US"/>
        </w:rPr>
      </w:pPr>
      <w:r>
        <w:rPr>
          <w:rFonts w:hint="eastAsia" w:ascii="宋体" w:hAnsi="宋体"/>
          <w:sz w:val="24"/>
          <w:szCs w:val="24"/>
          <w:highlight w:val="none"/>
        </w:rPr>
        <w:t>乙方（全称）：</w:t>
      </w:r>
      <w:r>
        <w:rPr>
          <w:rFonts w:hint="eastAsia" w:ascii="宋体" w:hAnsi="宋体"/>
          <w:sz w:val="24"/>
          <w:szCs w:val="24"/>
          <w:highlight w:val="none"/>
          <w:u w:val="single"/>
          <w:lang w:val="en-US" w:eastAsia="zh-CN"/>
        </w:rPr>
        <w:t xml:space="preserve">   （中标供应商名称）     </w:t>
      </w:r>
    </w:p>
    <w:p w14:paraId="397BA17E">
      <w:pPr>
        <w:keepNext w:val="0"/>
        <w:keepLines w:val="0"/>
        <w:pageBreakBefore w:val="0"/>
        <w:spacing w:line="520" w:lineRule="exact"/>
        <w:ind w:left="0" w:firstLine="480"/>
        <w:rPr>
          <w:rFonts w:ascii="宋体" w:hAnsi="宋体"/>
          <w:sz w:val="24"/>
          <w:szCs w:val="24"/>
          <w:highlight w:val="none"/>
        </w:rPr>
      </w:pPr>
      <w:r>
        <w:rPr>
          <w:rFonts w:hint="eastAsia" w:ascii="宋体" w:hAnsi="宋体"/>
          <w:sz w:val="24"/>
          <w:szCs w:val="24"/>
          <w:highlight w:val="none"/>
        </w:rPr>
        <w:t>依据《中华人民共和国民法典</w:t>
      </w:r>
      <w:r>
        <w:rPr>
          <w:rFonts w:hint="eastAsia" w:ascii="宋体" w:hAnsi="宋体"/>
          <w:sz w:val="24"/>
          <w:szCs w:val="24"/>
          <w:highlight w:val="none"/>
          <w:lang w:eastAsia="zh-CN"/>
        </w:rPr>
        <w:t>》《</w:t>
      </w:r>
      <w:r>
        <w:rPr>
          <w:rFonts w:hint="eastAsia" w:ascii="宋体" w:hAnsi="宋体"/>
          <w:sz w:val="24"/>
          <w:szCs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p>
    <w:p w14:paraId="3C39D68F">
      <w:pPr>
        <w:keepNext w:val="0"/>
        <w:keepLines w:val="0"/>
        <w:pageBreakBefore w:val="0"/>
        <w:numPr>
          <w:ilvl w:val="0"/>
          <w:numId w:val="0"/>
        </w:numPr>
        <w:spacing w:line="520" w:lineRule="exact"/>
        <w:ind w:left="0" w:firstLine="480"/>
        <w:rPr>
          <w:rFonts w:ascii="宋体" w:hAnsi="宋体"/>
          <w:b/>
          <w:sz w:val="24"/>
          <w:szCs w:val="24"/>
          <w:highlight w:val="none"/>
        </w:rPr>
      </w:pPr>
      <w:r>
        <w:rPr>
          <w:rFonts w:ascii="宋体" w:hAnsi="宋体" w:eastAsiaTheme="minorEastAsia" w:cstheme="minorBidi"/>
          <w:b/>
          <w:sz w:val="24"/>
          <w:szCs w:val="24"/>
          <w:lang w:val="en-US" w:eastAsia="zh-CN" w:bidi="ar-SA"/>
        </w:rPr>
        <w:t>1.</w:t>
      </w:r>
      <w:r>
        <w:rPr>
          <w:rFonts w:hint="eastAsia" w:ascii="宋体" w:hAnsi="宋体"/>
          <w:b/>
          <w:sz w:val="24"/>
          <w:szCs w:val="24"/>
          <w:highlight w:val="none"/>
        </w:rPr>
        <w:t>项目信息</w:t>
      </w:r>
    </w:p>
    <w:p w14:paraId="6BD91583">
      <w:pPr>
        <w:keepNext w:val="0"/>
        <w:keepLines w:val="0"/>
        <w:pageBreakBefore w:val="0"/>
        <w:numPr>
          <w:ilvl w:val="0"/>
          <w:numId w:val="0"/>
        </w:numPr>
        <w:spacing w:line="520" w:lineRule="exact"/>
        <w:ind w:left="0" w:firstLine="480"/>
        <w:rPr>
          <w:rFonts w:ascii="宋体" w:hAnsi="宋体"/>
          <w:sz w:val="24"/>
          <w:szCs w:val="24"/>
          <w:highlight w:val="none"/>
        </w:rPr>
      </w:pPr>
      <w:r>
        <w:rPr>
          <w:rFonts w:ascii="宋体" w:hAnsi="宋体" w:eastAsiaTheme="minorEastAsia" w:cstheme="minorBidi"/>
          <w:sz w:val="24"/>
          <w:szCs w:val="24"/>
          <w:lang w:val="en-US" w:eastAsia="zh-CN" w:bidi="ar-SA"/>
        </w:rPr>
        <w:t>（1）</w:t>
      </w:r>
      <w:r>
        <w:rPr>
          <w:rFonts w:hint="eastAsia" w:ascii="宋体" w:hAnsi="宋体"/>
          <w:sz w:val="24"/>
          <w:szCs w:val="24"/>
          <w:highlight w:val="none"/>
        </w:rPr>
        <w:t>采购项目名称：</w:t>
      </w:r>
      <w:r>
        <w:rPr>
          <w:rFonts w:hint="eastAsia" w:ascii="宋体" w:hAnsi="宋体"/>
          <w:color w:val="2B2BFF"/>
          <w:sz w:val="24"/>
          <w:szCs w:val="24"/>
          <w:highlight w:val="none"/>
          <w:u w:val="single"/>
        </w:rPr>
        <w:t>滨海县农业综合行政执法大队执法船柴油采购项目</w:t>
      </w:r>
    </w:p>
    <w:p w14:paraId="6A69F802">
      <w:pPr>
        <w:keepNext w:val="0"/>
        <w:keepLines w:val="0"/>
        <w:pageBreakBefore w:val="0"/>
        <w:numPr>
          <w:ilvl w:val="0"/>
          <w:numId w:val="0"/>
        </w:numPr>
        <w:spacing w:line="520" w:lineRule="exact"/>
        <w:ind w:left="0" w:firstLine="480"/>
        <w:rPr>
          <w:rFonts w:hint="eastAsia" w:ascii="宋体" w:hAnsi="宋体" w:eastAsia="宋体"/>
          <w:sz w:val="24"/>
          <w:szCs w:val="24"/>
          <w:highlight w:val="none"/>
          <w:lang w:eastAsia="zh-CN"/>
        </w:rPr>
      </w:pPr>
      <w:r>
        <w:rPr>
          <w:rFonts w:ascii="宋体" w:hAnsi="宋体" w:eastAsiaTheme="minorEastAsia" w:cstheme="minorBidi"/>
          <w:sz w:val="24"/>
          <w:szCs w:val="24"/>
          <w:lang w:val="en-US" w:eastAsia="zh-CN" w:bidi="ar-SA"/>
        </w:rPr>
        <w:t>（2）</w:t>
      </w:r>
      <w:r>
        <w:rPr>
          <w:rFonts w:hint="eastAsia" w:ascii="宋体" w:hAnsi="宋体"/>
          <w:sz w:val="24"/>
          <w:szCs w:val="24"/>
          <w:highlight w:val="none"/>
        </w:rPr>
        <w:t>采购项目编号：</w:t>
      </w:r>
      <w:r>
        <w:rPr>
          <w:rFonts w:hint="eastAsia" w:ascii="宋体" w:hAnsi="宋体" w:eastAsia="宋体"/>
          <w:color w:val="2B2BFF"/>
          <w:sz w:val="24"/>
          <w:szCs w:val="24"/>
          <w:highlight w:val="none"/>
          <w:u w:val="single"/>
          <w:lang w:eastAsia="zh-CN"/>
        </w:rPr>
        <w:t>JSZC-320922-JZCG-G2026-0008</w:t>
      </w:r>
    </w:p>
    <w:p w14:paraId="33648409">
      <w:pPr>
        <w:keepNext w:val="0"/>
        <w:keepLines w:val="0"/>
        <w:pageBreakBefore w:val="0"/>
        <w:spacing w:line="520" w:lineRule="exact"/>
        <w:ind w:left="0" w:firstLine="480"/>
        <w:rPr>
          <w:rFonts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3</w:t>
      </w:r>
      <w:r>
        <w:rPr>
          <w:rFonts w:hint="eastAsia" w:ascii="宋体" w:hAnsi="宋体"/>
          <w:sz w:val="24"/>
          <w:szCs w:val="24"/>
          <w:highlight w:val="none"/>
        </w:rPr>
        <w:t>）采购计划编号：</w:t>
      </w:r>
      <w:r>
        <w:rPr>
          <w:rFonts w:hint="eastAsia" w:ascii="宋体" w:hAnsi="宋体"/>
          <w:sz w:val="24"/>
          <w:szCs w:val="24"/>
          <w:highlight w:val="none"/>
          <w:u w:val="single"/>
          <w:lang w:val="en-US" w:eastAsia="zh-CN"/>
        </w:rPr>
        <w:t xml:space="preserve">                          </w:t>
      </w:r>
    </w:p>
    <w:p w14:paraId="1191A8B5">
      <w:pPr>
        <w:keepNext w:val="0"/>
        <w:keepLines w:val="0"/>
        <w:pageBreakBefore w:val="0"/>
        <w:spacing w:line="520" w:lineRule="exact"/>
        <w:ind w:left="0" w:firstLine="480"/>
        <w:rPr>
          <w:rFonts w:hint="eastAsia" w:ascii="宋体" w:hAnsi="宋体"/>
          <w:color w:val="2B2BFF"/>
          <w:sz w:val="24"/>
          <w:szCs w:val="24"/>
          <w:highlight w:val="none"/>
          <w:u w:val="single"/>
        </w:rPr>
      </w:pPr>
      <w:r>
        <w:rPr>
          <w:rFonts w:hint="eastAsia" w:ascii="宋体" w:hAnsi="宋体"/>
          <w:sz w:val="24"/>
          <w:szCs w:val="24"/>
          <w:highlight w:val="none"/>
        </w:rPr>
        <w:t>（</w:t>
      </w:r>
      <w:r>
        <w:rPr>
          <w:rFonts w:hint="eastAsia" w:ascii="宋体" w:hAnsi="宋体"/>
          <w:sz w:val="24"/>
          <w:szCs w:val="24"/>
          <w:highlight w:val="none"/>
          <w:lang w:val="en-US" w:eastAsia="zh-CN"/>
        </w:rPr>
        <w:t>4</w:t>
      </w:r>
      <w:r>
        <w:rPr>
          <w:rFonts w:hint="eastAsia" w:ascii="宋体" w:hAnsi="宋体"/>
          <w:sz w:val="24"/>
          <w:szCs w:val="24"/>
          <w:highlight w:val="none"/>
        </w:rPr>
        <w:t>）项目内容：</w:t>
      </w:r>
      <w:r>
        <w:rPr>
          <w:rFonts w:hint="eastAsia" w:ascii="宋体" w:hAnsi="宋体"/>
          <w:color w:val="2B2BFF"/>
          <w:sz w:val="24"/>
          <w:szCs w:val="24"/>
          <w:highlight w:val="none"/>
          <w:u w:val="single"/>
        </w:rPr>
        <w:t>采购标的及数量：0号车用柴油、95号车用汽油（按采购人实际用油需求分批次供应）</w:t>
      </w:r>
      <w:r>
        <w:rPr>
          <w:rFonts w:hint="eastAsia" w:ascii="宋体" w:hAnsi="宋体"/>
          <w:color w:val="2B2BFF"/>
          <w:sz w:val="24"/>
          <w:szCs w:val="24"/>
          <w:highlight w:val="none"/>
          <w:u w:val="single"/>
          <w:lang w:eastAsia="zh-CN"/>
        </w:rPr>
        <w:t>。</w:t>
      </w:r>
      <w:r>
        <w:rPr>
          <w:rFonts w:hint="eastAsia" w:ascii="宋体" w:hAnsi="宋体"/>
          <w:color w:val="2B2BFF"/>
          <w:sz w:val="24"/>
          <w:szCs w:val="24"/>
          <w:highlight w:val="none"/>
          <w:u w:val="single"/>
        </w:rPr>
        <w:t>品牌：/规格型号：0号车用柴油（GB 19147-2016）、95号车用汽油（GB 17930-2016）</w:t>
      </w:r>
    </w:p>
    <w:p w14:paraId="61D40038">
      <w:pPr>
        <w:keepNext w:val="0"/>
        <w:keepLines w:val="0"/>
        <w:pageBreakBefore w:val="0"/>
        <w:widowControl/>
        <w:numPr>
          <w:ilvl w:val="255"/>
          <w:numId w:val="0"/>
        </w:numPr>
        <w:spacing w:line="520" w:lineRule="exact"/>
        <w:ind w:left="0" w:firstLine="480"/>
        <w:jc w:val="left"/>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cs="宋体"/>
          <w:sz w:val="24"/>
          <w:szCs w:val="24"/>
          <w:highlight w:val="none"/>
        </w:rPr>
        <w:t>）政府采购组织形式：</w:t>
      </w:r>
      <w:r>
        <w:rPr>
          <w:rFonts w:ascii="Wingdings" w:hAnsi="Wingdings" w:eastAsia="Wingdings" w:cs="Wingdings"/>
          <w:sz w:val="24"/>
          <w:szCs w:val="24"/>
          <w:highlight w:val="none"/>
        </w:rPr>
        <w:t>¨</w:t>
      </w:r>
      <w:r>
        <w:rPr>
          <w:rFonts w:hint="eastAsia" w:ascii="宋体" w:hAnsi="宋体" w:cs="宋体"/>
          <w:sz w:val="24"/>
          <w:szCs w:val="24"/>
          <w:highlight w:val="none"/>
        </w:rPr>
        <w:t>政府集中采购</w:t>
      </w:r>
      <w:r>
        <w:rPr>
          <w:rFonts w:hint="eastAsia" w:ascii="宋体" w:hAnsi="宋体" w:cs="宋体"/>
          <w:sz w:val="24"/>
          <w:szCs w:val="24"/>
          <w:highlight w:val="none"/>
          <w:lang w:val="en-US" w:eastAsia="zh-CN"/>
        </w:rPr>
        <w:t xml:space="preserve">  </w:t>
      </w:r>
      <w:r>
        <w:rPr>
          <w:rFonts w:ascii="Wingdings" w:hAnsi="Wingdings" w:eastAsia="Wingdings" w:cs="Wingdings"/>
          <w:color w:val="0000FF"/>
          <w:sz w:val="24"/>
          <w:szCs w:val="24"/>
          <w:highlight w:val="none"/>
        </w:rPr>
        <w:t>þ</w:t>
      </w:r>
      <w:r>
        <w:rPr>
          <w:rFonts w:hint="eastAsia" w:ascii="宋体" w:hAnsi="宋体" w:cs="宋体"/>
          <w:color w:val="0000FF"/>
          <w:sz w:val="24"/>
          <w:szCs w:val="24"/>
          <w:highlight w:val="none"/>
        </w:rPr>
        <w:t>部门集中采购</w:t>
      </w:r>
      <w:r>
        <w:rPr>
          <w:rFonts w:hint="eastAsia" w:ascii="宋体" w:hAnsi="宋体" w:cs="宋体"/>
          <w:sz w:val="24"/>
          <w:szCs w:val="24"/>
          <w:highlight w:val="none"/>
        </w:rPr>
        <w:t xml:space="preserve">  </w:t>
      </w:r>
      <w:r>
        <w:rPr>
          <w:rFonts w:ascii="Wingdings" w:hAnsi="Wingdings" w:eastAsia="Wingdings" w:cs="Wingdings"/>
          <w:sz w:val="24"/>
          <w:szCs w:val="24"/>
          <w:highlight w:val="none"/>
        </w:rPr>
        <w:t></w:t>
      </w:r>
      <w:r>
        <w:rPr>
          <w:rFonts w:hint="eastAsia" w:ascii="宋体" w:hAnsi="宋体" w:cs="宋体"/>
          <w:sz w:val="24"/>
          <w:szCs w:val="24"/>
          <w:highlight w:val="none"/>
        </w:rPr>
        <w:t>分散采购</w:t>
      </w:r>
    </w:p>
    <w:p w14:paraId="31D13532">
      <w:pPr>
        <w:keepNext w:val="0"/>
        <w:keepLines w:val="0"/>
        <w:pageBreakBefore w:val="0"/>
        <w:widowControl/>
        <w:numPr>
          <w:ilvl w:val="255"/>
          <w:numId w:val="0"/>
        </w:numPr>
        <w:spacing w:line="520" w:lineRule="exact"/>
        <w:ind w:left="0" w:firstLine="480"/>
        <w:jc w:val="left"/>
        <w:rPr>
          <w:rFonts w:hint="eastAsia" w:ascii="宋体" w:hAnsi="宋体" w:cs="宋体" w:eastAsiaTheme="minorEastAsia"/>
          <w:sz w:val="24"/>
          <w:szCs w:val="24"/>
          <w:highlight w:val="none"/>
          <w:u w:val="single"/>
          <w:lang w:eastAsia="zh-CN"/>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cs="宋体"/>
          <w:sz w:val="24"/>
          <w:szCs w:val="24"/>
          <w:highlight w:val="none"/>
        </w:rPr>
        <w:t>）政府采购方式：</w:t>
      </w:r>
      <w:r>
        <w:rPr>
          <w:rFonts w:hint="eastAsia" w:ascii="宋体" w:hAnsi="宋体" w:cs="宋体"/>
          <w:color w:val="0000FF"/>
          <w:sz w:val="24"/>
          <w:szCs w:val="24"/>
          <w:highlight w:val="none"/>
          <w:u w:val="single"/>
        </w:rPr>
        <w:t>公开招标</w:t>
      </w:r>
      <w:r>
        <w:rPr>
          <w:rFonts w:hint="eastAsia" w:ascii="宋体" w:hAnsi="宋体" w:cs="宋体"/>
          <w:sz w:val="24"/>
          <w:szCs w:val="24"/>
          <w:highlight w:val="none"/>
          <w:lang w:eastAsia="zh-CN"/>
        </w:rPr>
        <w:t>。</w:t>
      </w:r>
    </w:p>
    <w:p w14:paraId="03061F07">
      <w:pPr>
        <w:keepNext w:val="0"/>
        <w:keepLines w:val="0"/>
        <w:pageBreakBefore w:val="0"/>
        <w:widowControl/>
        <w:numPr>
          <w:ilvl w:val="255"/>
          <w:numId w:val="0"/>
        </w:numPr>
        <w:spacing w:line="520" w:lineRule="exact"/>
        <w:ind w:left="0" w:firstLine="480"/>
        <w:jc w:val="left"/>
        <w:rPr>
          <w:rFonts w:ascii="宋体" w:hAnsi="宋体"/>
          <w:sz w:val="24"/>
          <w:szCs w:val="24"/>
          <w:highlight w:val="none"/>
        </w:rPr>
      </w:pPr>
      <w:r>
        <w:rPr>
          <w:rFonts w:hint="eastAsia" w:ascii="宋体" w:hAnsi="宋体" w:eastAsia="华文楷体" w:cs="华文楷体"/>
          <w:sz w:val="24"/>
          <w:szCs w:val="24"/>
          <w:highlight w:val="none"/>
        </w:rPr>
        <w:t>（</w:t>
      </w:r>
      <w:r>
        <w:rPr>
          <w:rFonts w:hint="eastAsia" w:ascii="宋体" w:hAnsi="宋体" w:eastAsia="华文楷体" w:cs="华文楷体"/>
          <w:sz w:val="24"/>
          <w:szCs w:val="24"/>
          <w:highlight w:val="none"/>
          <w:lang w:val="en-US" w:eastAsia="zh-CN"/>
        </w:rPr>
        <w:t>7</w:t>
      </w:r>
      <w:r>
        <w:rPr>
          <w:rFonts w:hint="eastAsia" w:ascii="宋体" w:hAnsi="宋体" w:eastAsia="华文楷体" w:cs="华文楷体"/>
          <w:sz w:val="24"/>
          <w:szCs w:val="24"/>
          <w:highlight w:val="none"/>
        </w:rPr>
        <w:t>）</w:t>
      </w:r>
      <w:r>
        <w:rPr>
          <w:rFonts w:hint="eastAsia" w:ascii="宋体" w:hAnsi="宋体"/>
          <w:sz w:val="24"/>
          <w:szCs w:val="24"/>
          <w:highlight w:val="none"/>
        </w:rPr>
        <w:t>中标（成交）采购标的制造商是否为中小企业：</w:t>
      </w:r>
      <w:r>
        <w:rPr>
          <w:rFonts w:ascii="Wingdings" w:hAnsi="Wingdings" w:eastAsia="Wingdings" w:cs="Wingdings"/>
          <w:sz w:val="24"/>
          <w:szCs w:val="24"/>
          <w:highlight w:val="none"/>
        </w:rPr>
        <w:t></w:t>
      </w:r>
      <w:r>
        <w:rPr>
          <w:rFonts w:hint="eastAsia" w:ascii="宋体" w:hAnsi="宋体"/>
          <w:sz w:val="24"/>
          <w:szCs w:val="24"/>
          <w:highlight w:val="none"/>
        </w:rPr>
        <w:t xml:space="preserve">是      </w:t>
      </w:r>
      <w:r>
        <w:rPr>
          <w:rFonts w:ascii="Wingdings" w:hAnsi="Wingdings" w:eastAsia="Wingdings" w:cs="Wingdings"/>
          <w:sz w:val="24"/>
          <w:szCs w:val="24"/>
          <w:highlight w:val="none"/>
        </w:rPr>
        <w:t></w:t>
      </w:r>
      <w:r>
        <w:rPr>
          <w:rFonts w:hint="eastAsia" w:ascii="宋体" w:hAnsi="宋体"/>
          <w:sz w:val="24"/>
          <w:szCs w:val="24"/>
          <w:highlight w:val="none"/>
        </w:rPr>
        <w:t>否</w:t>
      </w:r>
    </w:p>
    <w:p w14:paraId="6C108469">
      <w:pPr>
        <w:keepNext w:val="0"/>
        <w:keepLines w:val="0"/>
        <w:pageBreakBefore w:val="0"/>
        <w:widowControl w:val="0"/>
        <w:numPr>
          <w:ilvl w:val="255"/>
          <w:numId w:val="0"/>
        </w:numPr>
        <w:spacing w:line="520" w:lineRule="exact"/>
        <w:ind w:left="0" w:firstLine="480"/>
        <w:rPr>
          <w:rFonts w:ascii="宋体" w:hAnsi="宋体"/>
          <w:iCs/>
          <w:sz w:val="24"/>
          <w:szCs w:val="24"/>
          <w:highlight w:val="none"/>
        </w:rPr>
      </w:pPr>
      <w:r>
        <w:rPr>
          <w:rFonts w:hint="eastAsia" w:ascii="宋体" w:hAnsi="宋体"/>
          <w:sz w:val="24"/>
          <w:szCs w:val="24"/>
          <w:highlight w:val="none"/>
        </w:rPr>
        <w:t xml:space="preserve"> 本合同是否为专门面向中小企业的采购合同（中小企业预留合同）：</w:t>
      </w:r>
      <w:r>
        <w:rPr>
          <w:rFonts w:ascii="Wingdings" w:hAnsi="Wingdings" w:eastAsia="Wingdings" w:cs="Wingdings"/>
          <w:iCs/>
          <w:sz w:val="24"/>
          <w:szCs w:val="24"/>
          <w:highlight w:val="none"/>
        </w:rPr>
        <w:t></w:t>
      </w:r>
      <w:r>
        <w:rPr>
          <w:rFonts w:hint="eastAsia" w:ascii="宋体" w:hAnsi="宋体"/>
          <w:iCs/>
          <w:sz w:val="24"/>
          <w:szCs w:val="24"/>
          <w:highlight w:val="none"/>
        </w:rPr>
        <w:t>是</w:t>
      </w:r>
      <w:r>
        <w:rPr>
          <w:rFonts w:hint="eastAsia" w:ascii="宋体" w:hAnsi="宋体"/>
          <w:iCs/>
          <w:sz w:val="24"/>
          <w:szCs w:val="24"/>
          <w:highlight w:val="none"/>
          <w:lang w:val="en-US" w:eastAsia="zh-CN"/>
        </w:rPr>
        <w:t xml:space="preserve"> </w:t>
      </w:r>
      <w:r>
        <w:rPr>
          <w:rFonts w:hint="eastAsia" w:ascii="宋体" w:hAnsi="宋体"/>
          <w:iCs/>
          <w:color w:val="0000FF"/>
          <w:sz w:val="24"/>
          <w:szCs w:val="24"/>
          <w:highlight w:val="none"/>
        </w:rPr>
        <w:t xml:space="preserve"> </w:t>
      </w:r>
      <w:r>
        <w:rPr>
          <w:rFonts w:ascii="Wingdings" w:hAnsi="Wingdings" w:eastAsia="Wingdings" w:cs="Wingdings"/>
          <w:iCs/>
          <w:color w:val="0000FF"/>
          <w:sz w:val="24"/>
          <w:szCs w:val="24"/>
          <w:highlight w:val="none"/>
        </w:rPr>
        <w:t>þ</w:t>
      </w:r>
      <w:r>
        <w:rPr>
          <w:rFonts w:hint="eastAsia" w:ascii="宋体" w:hAnsi="宋体"/>
          <w:iCs/>
          <w:color w:val="0000FF"/>
          <w:sz w:val="24"/>
          <w:szCs w:val="24"/>
          <w:highlight w:val="none"/>
        </w:rPr>
        <w:t>否</w:t>
      </w:r>
    </w:p>
    <w:p w14:paraId="01F78762">
      <w:pPr>
        <w:keepNext w:val="0"/>
        <w:keepLines w:val="0"/>
        <w:pageBreakBefore w:val="0"/>
        <w:widowControl w:val="0"/>
        <w:numPr>
          <w:ilvl w:val="255"/>
          <w:numId w:val="0"/>
        </w:numPr>
        <w:spacing w:line="520" w:lineRule="exact"/>
        <w:ind w:left="0" w:firstLine="480"/>
        <w:rPr>
          <w:rFonts w:ascii="宋体" w:hAnsi="宋体"/>
          <w:iCs/>
          <w:sz w:val="24"/>
          <w:szCs w:val="24"/>
          <w:highlight w:val="none"/>
        </w:rPr>
      </w:pPr>
      <w:r>
        <w:rPr>
          <w:rFonts w:hint="eastAsia"/>
          <w:sz w:val="24"/>
          <w:szCs w:val="24"/>
          <w:highlight w:val="none"/>
        </w:rPr>
        <w:t xml:space="preserve"> 若本项目不专门面向中小企业采购，是否给予小微企业评审优惠：</w:t>
      </w:r>
      <w:r>
        <w:rPr>
          <w:rFonts w:ascii="Wingdings" w:hAnsi="Wingdings" w:eastAsia="Wingdings" w:cs="Wingdings"/>
          <w:iCs/>
          <w:color w:val="0000FF"/>
          <w:sz w:val="24"/>
          <w:szCs w:val="24"/>
          <w:highlight w:val="none"/>
        </w:rPr>
        <w:t>þ</w:t>
      </w:r>
      <w:r>
        <w:rPr>
          <w:rFonts w:hint="eastAsia" w:ascii="宋体" w:hAnsi="宋体"/>
          <w:iCs/>
          <w:color w:val="0000FF"/>
          <w:sz w:val="24"/>
          <w:szCs w:val="24"/>
          <w:highlight w:val="none"/>
        </w:rPr>
        <w:t>是</w:t>
      </w:r>
      <w:r>
        <w:rPr>
          <w:rFonts w:hint="eastAsia" w:ascii="宋体" w:hAnsi="宋体"/>
          <w:iCs/>
          <w:sz w:val="24"/>
          <w:szCs w:val="24"/>
          <w:highlight w:val="none"/>
        </w:rPr>
        <w:t xml:space="preserve">  </w:t>
      </w:r>
      <w:r>
        <w:rPr>
          <w:rFonts w:ascii="Wingdings" w:hAnsi="Wingdings" w:eastAsia="Wingdings" w:cs="Wingdings"/>
          <w:iCs/>
          <w:sz w:val="24"/>
          <w:szCs w:val="24"/>
          <w:highlight w:val="none"/>
        </w:rPr>
        <w:t></w:t>
      </w:r>
      <w:r>
        <w:rPr>
          <w:rFonts w:hint="eastAsia" w:ascii="宋体" w:hAnsi="宋体"/>
          <w:iCs/>
          <w:sz w:val="24"/>
          <w:szCs w:val="24"/>
          <w:highlight w:val="none"/>
        </w:rPr>
        <w:t>否</w:t>
      </w:r>
    </w:p>
    <w:p w14:paraId="1CA66861">
      <w:pPr>
        <w:keepNext w:val="0"/>
        <w:keepLines w:val="0"/>
        <w:pageBreakBefore w:val="0"/>
        <w:widowControl w:val="0"/>
        <w:numPr>
          <w:ilvl w:val="255"/>
          <w:numId w:val="0"/>
        </w:numPr>
        <w:spacing w:line="520" w:lineRule="exact"/>
        <w:ind w:left="0" w:firstLine="480"/>
        <w:rPr>
          <w:rFonts w:ascii="宋体" w:hAnsi="宋体"/>
          <w:iCs/>
          <w:sz w:val="24"/>
          <w:szCs w:val="24"/>
          <w:highlight w:val="none"/>
        </w:rPr>
      </w:pPr>
      <w:r>
        <w:rPr>
          <w:rFonts w:hint="eastAsia"/>
          <w:sz w:val="24"/>
          <w:szCs w:val="24"/>
          <w:highlight w:val="none"/>
        </w:rPr>
        <w:t xml:space="preserve"> 中标（成交）采购标的制造商是否为残疾人福利性单位：</w:t>
      </w:r>
      <w:r>
        <w:rPr>
          <w:rFonts w:ascii="Wingdings" w:hAnsi="Wingdings" w:eastAsia="Wingdings" w:cs="Wingdings"/>
          <w:iCs/>
          <w:sz w:val="24"/>
          <w:szCs w:val="24"/>
          <w:highlight w:val="none"/>
        </w:rPr>
        <w:t></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w:t>
      </w:r>
      <w:r>
        <w:rPr>
          <w:rFonts w:hint="eastAsia" w:ascii="宋体" w:hAnsi="宋体"/>
          <w:iCs/>
          <w:sz w:val="24"/>
          <w:szCs w:val="24"/>
          <w:highlight w:val="none"/>
        </w:rPr>
        <w:t>否</w:t>
      </w:r>
    </w:p>
    <w:p w14:paraId="3A5E2B55">
      <w:pPr>
        <w:keepNext w:val="0"/>
        <w:keepLines w:val="0"/>
        <w:pageBreakBefore w:val="0"/>
        <w:widowControl w:val="0"/>
        <w:spacing w:line="520" w:lineRule="exact"/>
        <w:ind w:left="0" w:firstLine="480"/>
        <w:rPr>
          <w:sz w:val="24"/>
          <w:szCs w:val="24"/>
          <w:highlight w:val="none"/>
        </w:rPr>
      </w:pPr>
      <w:r>
        <w:rPr>
          <w:rFonts w:hint="eastAsia"/>
          <w:sz w:val="24"/>
          <w:szCs w:val="24"/>
          <w:highlight w:val="none"/>
        </w:rPr>
        <w:t xml:space="preserve"> 中标（成交）采购标的制造商是否为监狱企业：</w:t>
      </w:r>
      <w:r>
        <w:rPr>
          <w:rFonts w:ascii="Wingdings" w:hAnsi="Wingdings" w:eastAsia="Wingdings" w:cs="Wingdings"/>
          <w:iCs/>
          <w:sz w:val="24"/>
          <w:szCs w:val="24"/>
          <w:highlight w:val="none"/>
        </w:rPr>
        <w:t></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w:t>
      </w:r>
      <w:r>
        <w:rPr>
          <w:rFonts w:hint="eastAsia" w:ascii="宋体" w:hAnsi="宋体"/>
          <w:iCs/>
          <w:sz w:val="24"/>
          <w:szCs w:val="24"/>
          <w:highlight w:val="none"/>
        </w:rPr>
        <w:t>否</w:t>
      </w:r>
    </w:p>
    <w:p w14:paraId="1129F707">
      <w:pPr>
        <w:keepNext w:val="0"/>
        <w:keepLines w:val="0"/>
        <w:pageBreakBefore w:val="0"/>
        <w:spacing w:line="520" w:lineRule="exact"/>
        <w:ind w:left="0" w:firstLine="480"/>
        <w:rPr>
          <w:rFonts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8</w:t>
      </w:r>
      <w:r>
        <w:rPr>
          <w:rFonts w:hint="eastAsia" w:ascii="宋体" w:hAnsi="宋体"/>
          <w:sz w:val="24"/>
          <w:szCs w:val="24"/>
          <w:highlight w:val="none"/>
        </w:rPr>
        <w:t>）合同是否分包：</w:t>
      </w:r>
      <w:r>
        <w:rPr>
          <w:rFonts w:ascii="Wingdings" w:hAnsi="Wingdings" w:eastAsia="Wingdings" w:cs="Wingdings"/>
          <w:iCs/>
          <w:sz w:val="24"/>
          <w:szCs w:val="24"/>
          <w:highlight w:val="none"/>
        </w:rPr>
        <w:t></w:t>
      </w:r>
      <w:r>
        <w:rPr>
          <w:rFonts w:hint="eastAsia" w:ascii="宋体" w:hAnsi="宋体"/>
          <w:iCs/>
          <w:sz w:val="24"/>
          <w:szCs w:val="24"/>
          <w:highlight w:val="none"/>
        </w:rPr>
        <w:t xml:space="preserve">是  </w:t>
      </w:r>
      <w:r>
        <w:rPr>
          <w:rFonts w:ascii="Wingdings" w:hAnsi="Wingdings" w:eastAsia="Wingdings" w:cs="Wingdings"/>
          <w:iCs/>
          <w:color w:val="0000FF"/>
          <w:sz w:val="24"/>
          <w:szCs w:val="24"/>
          <w:highlight w:val="none"/>
        </w:rPr>
        <w:t>þ</w:t>
      </w:r>
      <w:r>
        <w:rPr>
          <w:rFonts w:hint="eastAsia" w:ascii="宋体" w:hAnsi="宋体"/>
          <w:iCs/>
          <w:color w:val="0000FF"/>
          <w:sz w:val="24"/>
          <w:szCs w:val="24"/>
          <w:highlight w:val="none"/>
        </w:rPr>
        <w:t>否</w:t>
      </w:r>
    </w:p>
    <w:p w14:paraId="2A2B8A73">
      <w:pPr>
        <w:keepNext w:val="0"/>
        <w:keepLines w:val="0"/>
        <w:pageBreakBefore w:val="0"/>
        <w:numPr>
          <w:ilvl w:val="255"/>
          <w:numId w:val="0"/>
        </w:numPr>
        <w:spacing w:line="520" w:lineRule="exact"/>
        <w:ind w:left="0" w:firstLine="480"/>
        <w:rPr>
          <w:rFonts w:ascii="宋体" w:hAnsi="宋体" w:cs="宋体"/>
          <w:iCs/>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9</w:t>
      </w:r>
      <w:r>
        <w:rPr>
          <w:rFonts w:hint="eastAsia" w:ascii="宋体" w:hAnsi="宋体" w:cs="宋体"/>
          <w:sz w:val="24"/>
          <w:szCs w:val="24"/>
          <w:highlight w:val="none"/>
        </w:rPr>
        <w:t>）中标（成交）供应商是否为外商投资企业：</w:t>
      </w:r>
      <w:r>
        <w:rPr>
          <w:rFonts w:ascii="Wingdings" w:hAnsi="Wingdings" w:eastAsia="Wingdings" w:cs="Wingdings"/>
          <w:iCs/>
          <w:sz w:val="24"/>
          <w:szCs w:val="24"/>
          <w:highlight w:val="none"/>
        </w:rPr>
        <w:t></w:t>
      </w:r>
      <w:r>
        <w:rPr>
          <w:rFonts w:hint="eastAsia" w:ascii="宋体" w:hAnsi="宋体" w:cs="宋体"/>
          <w:iCs/>
          <w:sz w:val="24"/>
          <w:szCs w:val="24"/>
          <w:highlight w:val="none"/>
        </w:rPr>
        <w:t>是</w:t>
      </w:r>
      <w:r>
        <w:rPr>
          <w:rFonts w:hint="eastAsia" w:ascii="宋体" w:hAnsi="宋体"/>
          <w:iCs/>
          <w:sz w:val="24"/>
          <w:szCs w:val="24"/>
          <w:highlight w:val="none"/>
        </w:rPr>
        <w:t xml:space="preserve">  </w:t>
      </w:r>
      <w:r>
        <w:rPr>
          <w:rFonts w:ascii="Wingdings" w:hAnsi="Wingdings" w:eastAsia="Wingdings" w:cs="Wingdings"/>
          <w:iCs/>
          <w:sz w:val="24"/>
          <w:szCs w:val="24"/>
          <w:highlight w:val="none"/>
        </w:rPr>
        <w:t></w:t>
      </w:r>
      <w:r>
        <w:rPr>
          <w:rFonts w:hint="eastAsia" w:ascii="宋体" w:hAnsi="宋体" w:cs="宋体"/>
          <w:iCs/>
          <w:sz w:val="24"/>
          <w:szCs w:val="24"/>
          <w:highlight w:val="none"/>
        </w:rPr>
        <w:t>否</w:t>
      </w:r>
    </w:p>
    <w:p w14:paraId="23CD5937">
      <w:pPr>
        <w:keepNext w:val="0"/>
        <w:keepLines w:val="0"/>
        <w:pageBreakBefore w:val="0"/>
        <w:widowControl/>
        <w:tabs>
          <w:tab w:val="left" w:pos="1340"/>
        </w:tabs>
        <w:spacing w:line="520" w:lineRule="exact"/>
        <w:ind w:left="0" w:firstLine="480"/>
        <w:jc w:val="left"/>
        <w:rPr>
          <w:rFonts w:ascii="宋体" w:hAnsi="宋体" w:cs="宋体"/>
          <w:sz w:val="24"/>
          <w:szCs w:val="24"/>
          <w:highlight w:val="none"/>
          <w:u w:val="single"/>
        </w:rPr>
      </w:pPr>
      <w:r>
        <w:rPr>
          <w:rFonts w:hint="eastAsia" w:ascii="宋体" w:hAnsi="宋体" w:cs="宋体"/>
          <w:sz w:val="24"/>
          <w:szCs w:val="24"/>
          <w:highlight w:val="none"/>
        </w:rPr>
        <w:t xml:space="preserve">     外商投资企业类型：</w:t>
      </w:r>
      <w:r>
        <w:rPr>
          <w:rFonts w:ascii="Wingdings" w:hAnsi="Wingdings" w:eastAsia="Wingdings" w:cs="Wingdings"/>
          <w:iCs/>
          <w:sz w:val="24"/>
          <w:szCs w:val="24"/>
          <w:highlight w:val="none"/>
        </w:rPr>
        <w:t></w:t>
      </w:r>
      <w:r>
        <w:rPr>
          <w:rFonts w:hint="eastAsia" w:ascii="宋体" w:hAnsi="宋体" w:cs="宋体"/>
          <w:sz w:val="24"/>
          <w:szCs w:val="24"/>
          <w:highlight w:val="none"/>
        </w:rPr>
        <w:t xml:space="preserve">全部由外国投资者投资  </w:t>
      </w:r>
      <w:r>
        <w:rPr>
          <w:rFonts w:ascii="Wingdings" w:hAnsi="Wingdings" w:eastAsia="Wingdings" w:cs="Wingdings"/>
          <w:iCs/>
          <w:sz w:val="24"/>
          <w:szCs w:val="24"/>
          <w:highlight w:val="none"/>
        </w:rPr>
        <w:t></w:t>
      </w:r>
      <w:r>
        <w:rPr>
          <w:rFonts w:hint="eastAsia" w:ascii="宋体" w:hAnsi="宋体" w:cs="宋体"/>
          <w:iCs/>
          <w:sz w:val="24"/>
          <w:szCs w:val="24"/>
          <w:highlight w:val="none"/>
        </w:rPr>
        <w:t>部分由外国投资者投资</w:t>
      </w:r>
    </w:p>
    <w:p w14:paraId="5C811F3A">
      <w:pPr>
        <w:keepNext w:val="0"/>
        <w:keepLines w:val="0"/>
        <w:pageBreakBefore w:val="0"/>
        <w:numPr>
          <w:ilvl w:val="255"/>
          <w:numId w:val="0"/>
        </w:numPr>
        <w:spacing w:line="520" w:lineRule="exact"/>
        <w:ind w:left="0" w:firstLine="480"/>
        <w:rPr>
          <w:rFonts w:ascii="宋体" w:hAnsi="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10</w:t>
      </w:r>
      <w:r>
        <w:rPr>
          <w:rFonts w:hint="eastAsia" w:ascii="宋体" w:hAnsi="宋体" w:cs="宋体"/>
          <w:sz w:val="24"/>
          <w:szCs w:val="24"/>
          <w:highlight w:val="none"/>
        </w:rPr>
        <w:t>）是否涉及进口产品：</w:t>
      </w:r>
      <w:r>
        <w:rPr>
          <w:rFonts w:ascii="Wingdings" w:hAnsi="Wingdings" w:eastAsia="Wingdings" w:cs="Wingdings"/>
          <w:color w:val="0000FF"/>
          <w:sz w:val="24"/>
          <w:szCs w:val="24"/>
          <w:highlight w:val="none"/>
        </w:rPr>
        <w:t>þ</w:t>
      </w:r>
      <w:r>
        <w:rPr>
          <w:rFonts w:hint="eastAsia" w:ascii="宋体" w:hAnsi="宋体"/>
          <w:color w:val="0000FF"/>
          <w:sz w:val="24"/>
          <w:szCs w:val="24"/>
          <w:highlight w:val="none"/>
        </w:rPr>
        <w:t>否</w:t>
      </w:r>
    </w:p>
    <w:p w14:paraId="55C0978B">
      <w:pPr>
        <w:keepNext w:val="0"/>
        <w:keepLines w:val="0"/>
        <w:pageBreakBefore w:val="0"/>
        <w:numPr>
          <w:ilvl w:val="255"/>
          <w:numId w:val="0"/>
        </w:numPr>
        <w:tabs>
          <w:tab w:val="left" w:pos="740"/>
        </w:tabs>
        <w:spacing w:line="520" w:lineRule="exact"/>
        <w:ind w:left="0" w:firstLine="480"/>
        <w:rPr>
          <w:rFonts w:hint="eastAsia" w:ascii="宋体" w:hAnsi="宋体" w:cs="华文楷体" w:eastAsiaTheme="minorEastAsia"/>
          <w:sz w:val="24"/>
          <w:szCs w:val="24"/>
          <w:highlight w:val="none"/>
          <w:lang w:eastAsia="zh-CN"/>
        </w:rPr>
      </w:pPr>
      <w:r>
        <w:rPr>
          <w:rFonts w:hint="eastAsia" w:ascii="宋体" w:hAnsi="宋体"/>
          <w:sz w:val="24"/>
          <w:szCs w:val="24"/>
          <w:highlight w:val="none"/>
        </w:rPr>
        <w:t>（1</w:t>
      </w:r>
      <w:r>
        <w:rPr>
          <w:rFonts w:hint="eastAsia" w:ascii="宋体" w:hAnsi="宋体"/>
          <w:sz w:val="24"/>
          <w:szCs w:val="24"/>
          <w:highlight w:val="none"/>
          <w:lang w:val="en-US" w:eastAsia="zh-CN"/>
        </w:rPr>
        <w:t>1</w:t>
      </w:r>
      <w:r>
        <w:rPr>
          <w:rFonts w:hint="eastAsia" w:ascii="宋体" w:hAnsi="宋体"/>
          <w:sz w:val="24"/>
          <w:szCs w:val="24"/>
          <w:highlight w:val="none"/>
        </w:rPr>
        <w:t>）是否涉及节能产品：</w:t>
      </w:r>
      <w:r>
        <w:rPr>
          <w:rFonts w:ascii="Wingdings" w:hAnsi="Wingdings" w:eastAsia="Wingdings" w:cs="Wingdings"/>
          <w:color w:val="0000FF"/>
          <w:sz w:val="24"/>
          <w:szCs w:val="24"/>
          <w:highlight w:val="none"/>
        </w:rPr>
        <w:t>þ</w:t>
      </w:r>
      <w:r>
        <w:rPr>
          <w:rFonts w:hint="eastAsia" w:ascii="宋体" w:hAnsi="宋体"/>
          <w:color w:val="0000FF"/>
          <w:sz w:val="24"/>
          <w:szCs w:val="24"/>
          <w:highlight w:val="none"/>
        </w:rPr>
        <w:t>否</w:t>
      </w:r>
      <w:r>
        <w:rPr>
          <w:rFonts w:hint="eastAsia" w:ascii="宋体" w:hAnsi="宋体"/>
          <w:sz w:val="24"/>
          <w:szCs w:val="24"/>
          <w:highlight w:val="none"/>
          <w:lang w:eastAsia="zh-CN"/>
        </w:rPr>
        <w:t>；</w:t>
      </w:r>
      <w:r>
        <w:rPr>
          <w:rFonts w:hint="eastAsia" w:ascii="宋体" w:hAnsi="宋体"/>
          <w:sz w:val="24"/>
          <w:szCs w:val="24"/>
          <w:highlight w:val="none"/>
        </w:rPr>
        <w:t>是否涉及环境标志产品：</w:t>
      </w:r>
      <w:r>
        <w:rPr>
          <w:rFonts w:ascii="Wingdings" w:hAnsi="Wingdings" w:eastAsia="Wingdings" w:cs="Wingdings"/>
          <w:color w:val="0000FF"/>
          <w:sz w:val="24"/>
          <w:szCs w:val="24"/>
          <w:highlight w:val="none"/>
        </w:rPr>
        <w:t>þ</w:t>
      </w:r>
      <w:r>
        <w:rPr>
          <w:rFonts w:hint="eastAsia" w:ascii="宋体" w:hAnsi="宋体"/>
          <w:color w:val="0000FF"/>
          <w:sz w:val="24"/>
          <w:szCs w:val="24"/>
          <w:highlight w:val="none"/>
        </w:rPr>
        <w:t>否</w:t>
      </w:r>
      <w:r>
        <w:rPr>
          <w:rFonts w:hint="eastAsia" w:ascii="宋体" w:hAnsi="宋体"/>
          <w:sz w:val="24"/>
          <w:szCs w:val="24"/>
          <w:highlight w:val="none"/>
          <w:lang w:eastAsia="zh-CN"/>
        </w:rPr>
        <w:t>；</w:t>
      </w:r>
      <w:r>
        <w:rPr>
          <w:rFonts w:hint="eastAsia" w:ascii="宋体" w:hAnsi="宋体"/>
          <w:sz w:val="24"/>
          <w:szCs w:val="24"/>
          <w:highlight w:val="none"/>
        </w:rPr>
        <w:t>是否涉及绿色产品</w:t>
      </w:r>
      <w:r>
        <w:rPr>
          <w:rFonts w:hint="eastAsia" w:ascii="宋体" w:hAnsi="宋体"/>
          <w:color w:val="0000FF"/>
          <w:sz w:val="24"/>
          <w:szCs w:val="24"/>
          <w:highlight w:val="none"/>
        </w:rPr>
        <w:t>：</w:t>
      </w:r>
      <w:r>
        <w:rPr>
          <w:rFonts w:ascii="Wingdings" w:hAnsi="Wingdings" w:eastAsia="Wingdings" w:cs="Wingdings"/>
          <w:color w:val="0000FF"/>
          <w:sz w:val="24"/>
          <w:szCs w:val="24"/>
          <w:highlight w:val="none"/>
        </w:rPr>
        <w:t>þ</w:t>
      </w:r>
      <w:r>
        <w:rPr>
          <w:rFonts w:hint="eastAsia" w:ascii="宋体" w:hAnsi="宋体"/>
          <w:color w:val="0000FF"/>
          <w:sz w:val="24"/>
          <w:szCs w:val="24"/>
          <w:highlight w:val="none"/>
        </w:rPr>
        <w:t>否</w:t>
      </w:r>
      <w:r>
        <w:rPr>
          <w:rFonts w:hint="eastAsia" w:ascii="宋体" w:hAnsi="宋体"/>
          <w:sz w:val="24"/>
          <w:szCs w:val="24"/>
          <w:highlight w:val="none"/>
          <w:lang w:eastAsia="zh-CN"/>
        </w:rPr>
        <w:t>。</w:t>
      </w:r>
    </w:p>
    <w:p w14:paraId="62D00D3A">
      <w:pPr>
        <w:keepNext w:val="0"/>
        <w:keepLines w:val="0"/>
        <w:pageBreakBefore w:val="0"/>
        <w:numPr>
          <w:ilvl w:val="255"/>
          <w:numId w:val="0"/>
        </w:numPr>
        <w:spacing w:line="520" w:lineRule="exact"/>
        <w:ind w:left="0" w:firstLine="480"/>
        <w:rPr>
          <w:rFonts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2</w:t>
      </w:r>
      <w:r>
        <w:rPr>
          <w:rFonts w:hint="eastAsia" w:ascii="宋体" w:hAnsi="宋体"/>
          <w:sz w:val="24"/>
          <w:szCs w:val="24"/>
          <w:highlight w:val="none"/>
        </w:rPr>
        <w:t>）涉及商品包装和快递包装的，是否参考《商品包装政府采购需求标准（试行）</w:t>
      </w:r>
      <w:r>
        <w:rPr>
          <w:rFonts w:hint="eastAsia" w:ascii="宋体" w:hAnsi="宋体"/>
          <w:sz w:val="24"/>
          <w:szCs w:val="24"/>
          <w:highlight w:val="none"/>
          <w:lang w:eastAsia="zh-CN"/>
        </w:rPr>
        <w:t>》《</w:t>
      </w:r>
      <w:r>
        <w:rPr>
          <w:rFonts w:hint="eastAsia" w:ascii="宋体" w:hAnsi="宋体"/>
          <w:sz w:val="24"/>
          <w:szCs w:val="24"/>
          <w:highlight w:val="none"/>
        </w:rPr>
        <w:t>快递包装政府采购需求标准（试行）》明确产品及相关快递服务的具体包装要求：</w:t>
      </w:r>
      <w:r>
        <w:rPr>
          <w:rFonts w:ascii="Wingdings" w:hAnsi="Wingdings" w:eastAsia="Wingdings" w:cs="Wingdings"/>
          <w:color w:val="0000FF"/>
          <w:sz w:val="24"/>
          <w:szCs w:val="24"/>
          <w:highlight w:val="none"/>
        </w:rPr>
        <w:t>þ</w:t>
      </w:r>
      <w:r>
        <w:rPr>
          <w:rFonts w:hint="eastAsia" w:ascii="宋体" w:hAnsi="宋体"/>
          <w:color w:val="0000FF"/>
          <w:sz w:val="24"/>
          <w:szCs w:val="24"/>
          <w:highlight w:val="none"/>
        </w:rPr>
        <w:t>不涉及</w:t>
      </w:r>
    </w:p>
    <w:p w14:paraId="1061D117">
      <w:pPr>
        <w:keepNext w:val="0"/>
        <w:keepLines w:val="0"/>
        <w:pageBreakBefore w:val="0"/>
        <w:numPr>
          <w:ilvl w:val="0"/>
          <w:numId w:val="0"/>
        </w:numPr>
        <w:spacing w:line="520" w:lineRule="exact"/>
        <w:ind w:left="0" w:firstLine="480"/>
        <w:rPr>
          <w:rFonts w:ascii="宋体" w:hAnsi="宋体"/>
          <w:b/>
          <w:sz w:val="24"/>
          <w:szCs w:val="24"/>
          <w:highlight w:val="none"/>
        </w:rPr>
      </w:pPr>
      <w:r>
        <w:rPr>
          <w:rFonts w:ascii="宋体" w:hAnsi="宋体" w:eastAsiaTheme="minorEastAsia" w:cstheme="minorBidi"/>
          <w:b/>
          <w:sz w:val="24"/>
          <w:szCs w:val="24"/>
          <w:lang w:val="en-US" w:eastAsia="zh-CN" w:bidi="ar-SA"/>
        </w:rPr>
        <w:t>2.</w:t>
      </w:r>
      <w:r>
        <w:rPr>
          <w:rFonts w:hint="eastAsia" w:ascii="宋体" w:hAnsi="宋体"/>
          <w:b/>
          <w:sz w:val="24"/>
          <w:szCs w:val="24"/>
          <w:highlight w:val="none"/>
        </w:rPr>
        <w:t>合同金额</w:t>
      </w:r>
    </w:p>
    <w:p w14:paraId="0E90C84F">
      <w:pPr>
        <w:keepNext w:val="0"/>
        <w:keepLines w:val="0"/>
        <w:pageBreakBefore w:val="0"/>
        <w:spacing w:line="520" w:lineRule="exact"/>
        <w:ind w:left="0" w:firstLine="480"/>
        <w:rPr>
          <w:rFonts w:ascii="宋体" w:hAnsi="宋体"/>
          <w:color w:val="0000FF"/>
          <w:sz w:val="24"/>
          <w:szCs w:val="24"/>
          <w:highlight w:val="none"/>
          <w:u w:val="single"/>
        </w:rPr>
      </w:pPr>
      <w:r>
        <w:rPr>
          <w:rFonts w:hint="eastAsia" w:ascii="宋体" w:hAnsi="宋体"/>
          <w:sz w:val="24"/>
          <w:szCs w:val="24"/>
          <w:highlight w:val="none"/>
        </w:rPr>
        <w:t>（1）合同金额小写：</w:t>
      </w:r>
      <w:r>
        <w:rPr>
          <w:rFonts w:hint="eastAsia" w:ascii="宋体" w:hAnsi="宋体"/>
          <w:color w:val="0000FF"/>
          <w:sz w:val="24"/>
          <w:szCs w:val="24"/>
          <w:highlight w:val="none"/>
          <w:u w:val="single"/>
          <w:lang w:val="en-US" w:eastAsia="zh-CN"/>
        </w:rPr>
        <w:t>¥1192000.00</w:t>
      </w:r>
      <w:r>
        <w:rPr>
          <w:rFonts w:hint="eastAsia" w:ascii="宋体" w:hAnsi="宋体"/>
          <w:sz w:val="24"/>
          <w:szCs w:val="24"/>
          <w:highlight w:val="none"/>
        </w:rPr>
        <w:t>大写：</w:t>
      </w:r>
      <w:r>
        <w:rPr>
          <w:rFonts w:hint="eastAsia" w:ascii="宋体" w:hAnsi="宋体"/>
          <w:color w:val="0000FF"/>
          <w:sz w:val="24"/>
          <w:szCs w:val="24"/>
          <w:highlight w:val="none"/>
          <w:u w:val="single"/>
          <w:lang w:val="en-US" w:eastAsia="zh-CN"/>
        </w:rPr>
        <w:t>人民币壹佰壹拾玖万贰仟元整；最终结算金额按实际合格供应数量×应结算单价据实核算，项目累计最终结算总额不得高于最高限价。</w:t>
      </w:r>
    </w:p>
    <w:p w14:paraId="3F01059B">
      <w:pPr>
        <w:keepNext w:val="0"/>
        <w:keepLines w:val="0"/>
        <w:pageBreakBefore w:val="0"/>
        <w:spacing w:line="520" w:lineRule="exact"/>
        <w:ind w:left="0" w:firstLine="480"/>
        <w:jc w:val="both"/>
        <w:rPr>
          <w:rFonts w:hint="eastAsia" w:ascii="宋体" w:hAnsi="宋体"/>
          <w:color w:val="2B2BFF"/>
          <w:sz w:val="24"/>
          <w:szCs w:val="24"/>
          <w:highlight w:val="none"/>
          <w:u w:val="single"/>
        </w:rPr>
      </w:pPr>
      <w:r>
        <w:rPr>
          <w:rFonts w:hint="eastAsia" w:ascii="宋体" w:hAnsi="宋体"/>
          <w:sz w:val="24"/>
          <w:szCs w:val="24"/>
          <w:highlight w:val="none"/>
        </w:rPr>
        <w:t>（2）</w:t>
      </w:r>
      <w:r>
        <w:rPr>
          <w:rFonts w:hint="eastAsia" w:ascii="宋体" w:hAnsi="宋体"/>
          <w:color w:val="2B2BFF"/>
          <w:sz w:val="24"/>
          <w:szCs w:val="24"/>
          <w:highlight w:val="none"/>
        </w:rPr>
        <w:t>分期付款：</w:t>
      </w:r>
      <w:r>
        <w:rPr>
          <w:rFonts w:hint="eastAsia" w:ascii="宋体" w:hAnsi="宋体"/>
          <w:color w:val="2B2BFF"/>
          <w:sz w:val="24"/>
          <w:szCs w:val="24"/>
          <w:highlight w:val="none"/>
          <w:u w:val="single"/>
        </w:rPr>
        <w:t>预付款：合同签订且乙方缴纳履约保证金后，甲方支付</w:t>
      </w:r>
      <w:r>
        <w:rPr>
          <w:rFonts w:hint="eastAsia" w:ascii="宋体" w:hAnsi="宋体"/>
          <w:color w:val="2B2BFF"/>
          <w:sz w:val="24"/>
          <w:szCs w:val="24"/>
          <w:highlight w:val="none"/>
          <w:u w:val="single"/>
          <w:lang w:val="en-US" w:eastAsia="zh-CN"/>
        </w:rPr>
        <w:t>合同金额的</w:t>
      </w:r>
      <w:r>
        <w:rPr>
          <w:rFonts w:hint="eastAsia" w:ascii="宋体" w:hAnsi="宋体"/>
          <w:color w:val="2B2BFF"/>
          <w:sz w:val="24"/>
          <w:szCs w:val="24"/>
          <w:highlight w:val="none"/>
          <w:u w:val="single"/>
        </w:rPr>
        <w:t>3</w:t>
      </w:r>
      <w:r>
        <w:rPr>
          <w:rFonts w:hint="eastAsia" w:ascii="宋体" w:hAnsi="宋体"/>
          <w:b w:val="0"/>
          <w:bCs w:val="0"/>
          <w:color w:val="2B2BFF"/>
          <w:sz w:val="24"/>
          <w:szCs w:val="24"/>
          <w:highlight w:val="none"/>
          <w:u w:val="single"/>
        </w:rPr>
        <w:t>0</w:t>
      </w:r>
      <w:r>
        <w:rPr>
          <w:rFonts w:hint="eastAsia" w:ascii="宋体" w:hAnsi="宋体"/>
          <w:color w:val="2B2BFF"/>
          <w:sz w:val="24"/>
          <w:szCs w:val="24"/>
          <w:highlight w:val="none"/>
          <w:u w:val="single"/>
        </w:rPr>
        <w:t>%作为预付款。在签订合同时，中标、成交供应商明确书面表示无需预付款或者主动要求降低预付款比例的，采购人可就预付款比例作相应调整。</w:t>
      </w:r>
    </w:p>
    <w:p w14:paraId="069AB826">
      <w:pPr>
        <w:keepNext w:val="0"/>
        <w:keepLines w:val="0"/>
        <w:pageBreakBefore w:val="0"/>
        <w:spacing w:line="520" w:lineRule="exact"/>
        <w:ind w:left="0" w:firstLine="480"/>
        <w:rPr>
          <w:rFonts w:hint="eastAsia" w:ascii="宋体" w:hAnsi="宋体"/>
          <w:color w:val="2B2BFF"/>
          <w:sz w:val="24"/>
          <w:szCs w:val="24"/>
          <w:highlight w:val="none"/>
          <w:u w:val="single"/>
        </w:rPr>
      </w:pPr>
      <w:r>
        <w:rPr>
          <w:rFonts w:hint="eastAsia" w:ascii="宋体" w:hAnsi="宋体"/>
          <w:color w:val="2B2BFF"/>
          <w:sz w:val="24"/>
          <w:szCs w:val="24"/>
          <w:highlight w:val="none"/>
          <w:u w:val="single"/>
        </w:rPr>
        <w:t>进度款：甲乙双方按月核对当期实际供应油品的数量、金额，甲方按季度支付已核对确认的累计结算款项。</w:t>
      </w:r>
    </w:p>
    <w:p w14:paraId="62D490DA">
      <w:pPr>
        <w:keepNext w:val="0"/>
        <w:keepLines w:val="0"/>
        <w:pageBreakBefore w:val="0"/>
        <w:spacing w:line="520" w:lineRule="exact"/>
        <w:ind w:left="0" w:firstLine="480"/>
        <w:rPr>
          <w:rFonts w:hint="eastAsia" w:ascii="宋体" w:hAnsi="宋体"/>
          <w:color w:val="2B2BFF"/>
          <w:sz w:val="24"/>
          <w:szCs w:val="24"/>
          <w:highlight w:val="none"/>
          <w:u w:val="single"/>
        </w:rPr>
      </w:pPr>
      <w:r>
        <w:rPr>
          <w:rFonts w:hint="eastAsia" w:ascii="宋体" w:hAnsi="宋体"/>
          <w:color w:val="2B2BFF"/>
          <w:sz w:val="24"/>
          <w:szCs w:val="24"/>
          <w:highlight w:val="none"/>
          <w:u w:val="single"/>
        </w:rPr>
        <w:t>尾款：项目最后一次供应完成并验收合格后，甲方从应付结算总金额中一次性扣除已支付预付款，按剩余余额完成最终支付。</w:t>
      </w:r>
    </w:p>
    <w:p w14:paraId="6755896E">
      <w:pPr>
        <w:keepNext w:val="0"/>
        <w:keepLines w:val="0"/>
        <w:pageBreakBefore w:val="0"/>
        <w:spacing w:line="520" w:lineRule="exact"/>
        <w:ind w:left="0" w:firstLine="480"/>
        <w:rPr>
          <w:rFonts w:hint="eastAsia" w:ascii="宋体" w:hAnsi="宋体"/>
          <w:color w:val="2B2BFF"/>
          <w:sz w:val="24"/>
          <w:szCs w:val="24"/>
          <w:highlight w:val="none"/>
          <w:u w:val="single"/>
        </w:rPr>
      </w:pPr>
      <w:r>
        <w:rPr>
          <w:rFonts w:hint="eastAsia" w:ascii="宋体" w:hAnsi="宋体"/>
          <w:color w:val="2B2BFF"/>
          <w:sz w:val="24"/>
          <w:szCs w:val="24"/>
          <w:highlight w:val="none"/>
          <w:u w:val="single"/>
        </w:rPr>
        <w:t>付款要求：乙方每次申请付款前，须向甲方提供合法有效的增值税发票及当期供应验收单、结算单等付款凭证。</w:t>
      </w:r>
    </w:p>
    <w:p w14:paraId="16D7B97D">
      <w:pPr>
        <w:keepNext w:val="0"/>
        <w:keepLines w:val="0"/>
        <w:pageBreakBefore w:val="0"/>
        <w:spacing w:line="520" w:lineRule="exact"/>
        <w:ind w:left="0" w:firstLine="480"/>
        <w:rPr>
          <w:rFonts w:ascii="宋体" w:hAnsi="宋体" w:cs="宋体"/>
          <w:color w:val="auto"/>
          <w:sz w:val="24"/>
          <w:szCs w:val="24"/>
          <w:highlight w:val="none"/>
        </w:rPr>
      </w:pPr>
      <w:r>
        <w:rPr>
          <w:rFonts w:hint="eastAsia" w:ascii="宋体" w:hAnsi="宋体" w:cs="宋体"/>
          <w:color w:val="auto"/>
          <w:sz w:val="24"/>
          <w:szCs w:val="24"/>
          <w:highlight w:val="none"/>
        </w:rPr>
        <w:t>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p>
    <w:p w14:paraId="12CE1458">
      <w:pPr>
        <w:keepNext w:val="0"/>
        <w:keepLines w:val="0"/>
        <w:pageBreakBefore w:val="0"/>
        <w:numPr>
          <w:ilvl w:val="0"/>
          <w:numId w:val="0"/>
        </w:numPr>
        <w:spacing w:line="520" w:lineRule="exact"/>
        <w:ind w:left="0" w:firstLine="480"/>
        <w:rPr>
          <w:rFonts w:ascii="宋体" w:hAnsi="宋体"/>
          <w:b/>
          <w:sz w:val="24"/>
          <w:szCs w:val="24"/>
          <w:highlight w:val="none"/>
          <w:u w:val="single"/>
        </w:rPr>
      </w:pPr>
      <w:r>
        <w:rPr>
          <w:rFonts w:ascii="宋体" w:hAnsi="宋体" w:eastAsiaTheme="minorEastAsia" w:cstheme="minorBidi"/>
          <w:b/>
          <w:sz w:val="24"/>
          <w:szCs w:val="24"/>
          <w:lang w:val="en-US" w:eastAsia="zh-CN" w:bidi="ar-SA"/>
        </w:rPr>
        <w:t>3.</w:t>
      </w:r>
      <w:r>
        <w:rPr>
          <w:rFonts w:hint="eastAsia" w:ascii="宋体" w:hAnsi="宋体"/>
          <w:b/>
          <w:sz w:val="24"/>
          <w:szCs w:val="24"/>
          <w:highlight w:val="none"/>
        </w:rPr>
        <w:t>合同履行</w:t>
      </w:r>
    </w:p>
    <w:p w14:paraId="681B824A">
      <w:pPr>
        <w:keepNext w:val="0"/>
        <w:keepLines w:val="0"/>
        <w:pageBreakBefore w:val="0"/>
        <w:spacing w:line="520" w:lineRule="exact"/>
        <w:ind w:left="0" w:firstLine="480"/>
        <w:rPr>
          <w:rFonts w:ascii="宋体" w:hAnsi="宋体" w:cs="宋体"/>
          <w:sz w:val="24"/>
          <w:szCs w:val="24"/>
          <w:highlight w:val="none"/>
        </w:rPr>
      </w:pPr>
      <w:r>
        <w:rPr>
          <w:rFonts w:hint="eastAsia" w:ascii="宋体" w:hAnsi="宋体" w:cs="宋体"/>
          <w:sz w:val="24"/>
          <w:szCs w:val="24"/>
          <w:highlight w:val="none"/>
        </w:rPr>
        <w:t>（1）起始日期：</w:t>
      </w:r>
      <w:r>
        <w:rPr>
          <w:rFonts w:hint="eastAsia" w:ascii="宋体" w:hAnsi="宋体" w:cs="宋体"/>
          <w:color w:val="2B2BFF"/>
          <w:sz w:val="24"/>
          <w:szCs w:val="24"/>
          <w:highlight w:val="none"/>
          <w:u w:val="single"/>
          <w:lang w:val="en-US" w:eastAsia="zh-CN"/>
        </w:rPr>
        <w:t>2026</w:t>
      </w:r>
      <w:r>
        <w:rPr>
          <w:rFonts w:hint="eastAsia" w:ascii="宋体" w:hAnsi="宋体" w:cs="宋体"/>
          <w:color w:val="2B2BFF"/>
          <w:sz w:val="24"/>
          <w:szCs w:val="24"/>
          <w:highlight w:val="none"/>
        </w:rPr>
        <w:t>年</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月</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日</w:t>
      </w:r>
      <w:r>
        <w:rPr>
          <w:rFonts w:hint="eastAsia" w:ascii="宋体" w:hAnsi="宋体" w:cs="宋体"/>
          <w:sz w:val="24"/>
          <w:szCs w:val="24"/>
          <w:highlight w:val="none"/>
        </w:rPr>
        <w:t>，完成日期：</w:t>
      </w:r>
      <w:r>
        <w:rPr>
          <w:rFonts w:hint="eastAsia" w:ascii="宋体" w:hAnsi="宋体" w:cs="宋体"/>
          <w:color w:val="2B2BFF"/>
          <w:sz w:val="24"/>
          <w:szCs w:val="24"/>
          <w:highlight w:val="none"/>
          <w:u w:val="single"/>
          <w:lang w:val="en-US" w:eastAsia="zh-CN"/>
        </w:rPr>
        <w:t>2026</w:t>
      </w:r>
      <w:r>
        <w:rPr>
          <w:rFonts w:hint="eastAsia" w:ascii="宋体" w:hAnsi="宋体" w:cs="宋体"/>
          <w:color w:val="2B2BFF"/>
          <w:sz w:val="24"/>
          <w:szCs w:val="24"/>
          <w:highlight w:val="none"/>
        </w:rPr>
        <w:t>年</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月</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日</w:t>
      </w:r>
      <w:r>
        <w:rPr>
          <w:rFonts w:hint="eastAsia" w:ascii="宋体" w:hAnsi="宋体" w:cs="宋体"/>
          <w:sz w:val="24"/>
          <w:szCs w:val="24"/>
          <w:highlight w:val="none"/>
        </w:rPr>
        <w:t>。</w:t>
      </w:r>
    </w:p>
    <w:p w14:paraId="2D3BDD24">
      <w:pPr>
        <w:keepNext w:val="0"/>
        <w:keepLines w:val="0"/>
        <w:pageBreakBefore w:val="0"/>
        <w:spacing w:line="520" w:lineRule="exact"/>
        <w:ind w:left="0" w:firstLine="480"/>
        <w:rPr>
          <w:rFonts w:ascii="宋体" w:hAnsi="宋体" w:cs="宋体"/>
          <w:sz w:val="24"/>
          <w:szCs w:val="24"/>
          <w:highlight w:val="none"/>
          <w:u w:val="single"/>
        </w:rPr>
      </w:pPr>
      <w:r>
        <w:rPr>
          <w:rFonts w:hint="eastAsia" w:ascii="宋体" w:hAnsi="宋体" w:cs="宋体"/>
          <w:sz w:val="24"/>
          <w:szCs w:val="24"/>
          <w:highlight w:val="none"/>
        </w:rPr>
        <w:t>（2）履约地点</w:t>
      </w:r>
      <w:r>
        <w:rPr>
          <w:rFonts w:hint="eastAsia" w:ascii="宋体" w:hAnsi="宋体" w:cs="宋体"/>
          <w:bCs/>
          <w:sz w:val="24"/>
          <w:szCs w:val="24"/>
          <w:highlight w:val="none"/>
        </w:rPr>
        <w:t>：</w:t>
      </w:r>
      <w:r>
        <w:rPr>
          <w:rFonts w:hint="eastAsia" w:ascii="宋体" w:hAnsi="宋体" w:cs="宋体"/>
          <w:bCs/>
          <w:color w:val="2B2BFF"/>
          <w:sz w:val="24"/>
          <w:szCs w:val="24"/>
          <w:highlight w:val="none"/>
          <w:u w:val="single"/>
        </w:rPr>
        <w:t>江苏省盐城市滨海县境内（采购人指定地点）</w:t>
      </w:r>
      <w:r>
        <w:rPr>
          <w:rFonts w:hint="eastAsia" w:ascii="宋体" w:hAnsi="宋体" w:cs="宋体"/>
          <w:bCs/>
          <w:sz w:val="24"/>
          <w:szCs w:val="24"/>
          <w:highlight w:val="none"/>
        </w:rPr>
        <w:t xml:space="preserve">  </w:t>
      </w:r>
    </w:p>
    <w:p w14:paraId="63E1B63D">
      <w:pPr>
        <w:keepNext w:val="0"/>
        <w:keepLines w:val="0"/>
        <w:pageBreakBefore w:val="0"/>
        <w:spacing w:line="520" w:lineRule="exact"/>
        <w:ind w:left="0" w:firstLine="480"/>
        <w:rPr>
          <w:rFonts w:ascii="宋体" w:hAnsi="宋体" w:cs="宋体"/>
          <w:sz w:val="24"/>
          <w:szCs w:val="24"/>
          <w:highlight w:val="none"/>
        </w:rPr>
      </w:pPr>
      <w:r>
        <w:rPr>
          <w:rFonts w:hint="eastAsia" w:ascii="宋体" w:hAnsi="宋体" w:cs="宋体"/>
          <w:bCs/>
          <w:sz w:val="24"/>
          <w:szCs w:val="24"/>
          <w:highlight w:val="none"/>
        </w:rPr>
        <w:t>（3）</w:t>
      </w:r>
      <w:r>
        <w:rPr>
          <w:rFonts w:hint="eastAsia" w:ascii="宋体" w:hAnsi="宋体" w:cs="宋体"/>
          <w:sz w:val="24"/>
          <w:szCs w:val="24"/>
          <w:highlight w:val="none"/>
        </w:rPr>
        <w:t>履约担保：履约担保：是否收取履约保证金：</w:t>
      </w:r>
      <w:r>
        <w:rPr>
          <w:rFonts w:ascii="Wingdings" w:hAnsi="Wingdings" w:eastAsia="Wingdings" w:cs="Wingdings"/>
          <w:color w:val="0000FF"/>
          <w:sz w:val="24"/>
          <w:szCs w:val="24"/>
          <w:highlight w:val="none"/>
        </w:rPr>
        <w:t>þ</w:t>
      </w:r>
      <w:r>
        <w:rPr>
          <w:rFonts w:hint="eastAsia" w:ascii="宋体" w:hAnsi="宋体" w:cs="宋体"/>
          <w:color w:val="0000FF"/>
          <w:sz w:val="24"/>
          <w:szCs w:val="24"/>
          <w:highlight w:val="none"/>
        </w:rPr>
        <w:t>是</w:t>
      </w:r>
      <w:r>
        <w:rPr>
          <w:rFonts w:hint="eastAsia" w:ascii="宋体" w:hAnsi="宋体" w:cs="宋体"/>
          <w:sz w:val="24"/>
          <w:szCs w:val="24"/>
          <w:highlight w:val="none"/>
        </w:rPr>
        <w:t xml:space="preserve">    </w:t>
      </w:r>
      <w:r>
        <w:rPr>
          <w:rFonts w:ascii="Wingdings" w:hAnsi="Wingdings" w:eastAsia="Wingdings" w:cs="Wingdings"/>
          <w:sz w:val="24"/>
          <w:szCs w:val="24"/>
          <w:highlight w:val="none"/>
        </w:rPr>
        <w:t>¨</w:t>
      </w:r>
      <w:r>
        <w:rPr>
          <w:rFonts w:hint="eastAsia" w:ascii="宋体" w:hAnsi="宋体" w:cs="宋体"/>
          <w:sz w:val="24"/>
          <w:szCs w:val="24"/>
          <w:highlight w:val="none"/>
        </w:rPr>
        <w:t>否</w:t>
      </w:r>
    </w:p>
    <w:p w14:paraId="7D2FF0B2">
      <w:pPr>
        <w:keepNext w:val="0"/>
        <w:keepLines w:val="0"/>
        <w:pageBreakBefore w:val="0"/>
        <w:spacing w:line="520" w:lineRule="exact"/>
        <w:ind w:left="0" w:firstLine="480"/>
        <w:rPr>
          <w:rFonts w:hint="eastAsia" w:ascii="宋体" w:hAnsi="宋体" w:cs="宋体" w:eastAsiaTheme="minorEastAsia"/>
          <w:bCs/>
          <w:sz w:val="24"/>
          <w:szCs w:val="24"/>
          <w:highlight w:val="none"/>
          <w:u w:val="single"/>
          <w:lang w:eastAsia="zh-CN"/>
        </w:rPr>
      </w:pPr>
      <w:r>
        <w:rPr>
          <w:rFonts w:hint="eastAsia" w:ascii="宋体" w:hAnsi="宋体" w:cs="宋体"/>
          <w:sz w:val="24"/>
          <w:szCs w:val="24"/>
          <w:highlight w:val="none"/>
        </w:rPr>
        <w:t xml:space="preserve">     收取履约保证金形式：</w:t>
      </w:r>
      <w:r>
        <w:rPr>
          <w:rFonts w:hint="eastAsia" w:ascii="宋体" w:hAnsi="宋体" w:cs="宋体"/>
          <w:bCs/>
          <w:color w:val="0000FF"/>
          <w:sz w:val="24"/>
          <w:szCs w:val="24"/>
          <w:highlight w:val="none"/>
          <w:u w:val="single"/>
        </w:rPr>
        <w:t>支票、汇票、本票、金融/担保机构保函</w:t>
      </w:r>
      <w:r>
        <w:rPr>
          <w:rFonts w:hint="eastAsia" w:ascii="宋体" w:hAnsi="宋体" w:cs="宋体"/>
          <w:bCs/>
          <w:color w:val="0000FF"/>
          <w:sz w:val="24"/>
          <w:szCs w:val="24"/>
          <w:highlight w:val="none"/>
          <w:u w:val="single"/>
          <w:lang w:eastAsia="zh-CN"/>
        </w:rPr>
        <w:t>（非现金形式）</w:t>
      </w:r>
    </w:p>
    <w:p w14:paraId="45430941">
      <w:pPr>
        <w:keepNext w:val="0"/>
        <w:keepLines w:val="0"/>
        <w:pageBreakBefore w:val="0"/>
        <w:spacing w:line="520" w:lineRule="exact"/>
        <w:ind w:left="0" w:firstLine="480"/>
        <w:rPr>
          <w:rFonts w:ascii="宋体" w:hAnsi="宋体" w:cs="宋体"/>
          <w:sz w:val="24"/>
          <w:szCs w:val="24"/>
          <w:highlight w:val="none"/>
        </w:rPr>
      </w:pPr>
      <w:r>
        <w:rPr>
          <w:rFonts w:hint="eastAsia" w:ascii="宋体" w:hAnsi="宋体" w:cs="宋体"/>
          <w:sz w:val="24"/>
          <w:szCs w:val="24"/>
          <w:highlight w:val="none"/>
        </w:rPr>
        <w:t xml:space="preserve">     收取履约保证金金额：</w:t>
      </w:r>
      <w:r>
        <w:rPr>
          <w:rFonts w:hint="eastAsia" w:ascii="宋体" w:hAnsi="宋体" w:cs="宋体"/>
          <w:color w:val="0000FF"/>
          <w:sz w:val="24"/>
          <w:szCs w:val="24"/>
          <w:highlight w:val="none"/>
          <w:u w:val="single"/>
          <w:lang w:eastAsia="zh-CN"/>
        </w:rPr>
        <w:t>（</w:t>
      </w:r>
      <w:r>
        <w:rPr>
          <w:rFonts w:hint="eastAsia" w:ascii="宋体" w:hAnsi="宋体" w:cs="宋体"/>
          <w:bCs/>
          <w:color w:val="0000FF"/>
          <w:sz w:val="24"/>
          <w:szCs w:val="24"/>
          <w:highlight w:val="none"/>
          <w:u w:val="single"/>
        </w:rPr>
        <w:t xml:space="preserve">不超过合同金额的10% </w:t>
      </w:r>
      <w:r>
        <w:rPr>
          <w:rFonts w:hint="eastAsia" w:ascii="宋体" w:hAnsi="宋体" w:cs="宋体"/>
          <w:color w:val="0000FF"/>
          <w:sz w:val="24"/>
          <w:szCs w:val="24"/>
          <w:highlight w:val="none"/>
          <w:u w:val="single"/>
          <w:lang w:eastAsia="zh-CN"/>
        </w:rPr>
        <w:t>）</w:t>
      </w:r>
      <w:r>
        <w:rPr>
          <w:rFonts w:hint="eastAsia" w:ascii="宋体" w:hAnsi="宋体" w:cs="宋体"/>
          <w:sz w:val="24"/>
          <w:szCs w:val="24"/>
          <w:highlight w:val="none"/>
        </w:rPr>
        <w:t xml:space="preserve">         </w:t>
      </w:r>
    </w:p>
    <w:p w14:paraId="24FB1968">
      <w:pPr>
        <w:keepNext w:val="0"/>
        <w:keepLines w:val="0"/>
        <w:pageBreakBefore w:val="0"/>
        <w:spacing w:line="520" w:lineRule="exact"/>
        <w:ind w:left="0" w:firstLine="480"/>
        <w:rPr>
          <w:rFonts w:hint="eastAsia" w:ascii="宋体" w:hAnsi="宋体" w:cs="宋体" w:eastAsiaTheme="minorEastAsia"/>
          <w:bCs/>
          <w:sz w:val="24"/>
          <w:szCs w:val="24"/>
          <w:highlight w:val="none"/>
          <w:u w:val="single"/>
          <w:lang w:eastAsia="zh-CN"/>
        </w:rPr>
      </w:pPr>
      <w:r>
        <w:rPr>
          <w:rFonts w:hint="eastAsia" w:ascii="宋体" w:hAnsi="宋体" w:cs="宋体"/>
          <w:sz w:val="24"/>
          <w:szCs w:val="24"/>
          <w:highlight w:val="none"/>
        </w:rPr>
        <w:t xml:space="preserve">     履约担保期限：</w:t>
      </w:r>
      <w:r>
        <w:rPr>
          <w:rFonts w:hint="eastAsia" w:ascii="宋体" w:hAnsi="宋体" w:cs="宋体"/>
          <w:bCs/>
          <w:color w:val="0000FF"/>
          <w:sz w:val="24"/>
          <w:szCs w:val="24"/>
          <w:highlight w:val="none"/>
          <w:u w:val="single"/>
          <w:lang w:eastAsia="zh-CN"/>
        </w:rPr>
        <w:t>（</w:t>
      </w:r>
      <w:r>
        <w:rPr>
          <w:rFonts w:hint="eastAsia" w:ascii="宋体" w:hAnsi="宋体" w:cs="宋体"/>
          <w:bCs/>
          <w:color w:val="0000FF"/>
          <w:sz w:val="24"/>
          <w:szCs w:val="24"/>
          <w:highlight w:val="none"/>
          <w:u w:val="single"/>
          <w:lang w:val="en-US" w:eastAsia="zh-CN"/>
        </w:rPr>
        <w:t>至少覆盖合同履约时间</w:t>
      </w:r>
      <w:r>
        <w:rPr>
          <w:rFonts w:hint="eastAsia" w:ascii="宋体" w:hAnsi="宋体" w:cs="宋体"/>
          <w:bCs/>
          <w:color w:val="0000FF"/>
          <w:sz w:val="24"/>
          <w:szCs w:val="24"/>
          <w:highlight w:val="none"/>
          <w:u w:val="single"/>
          <w:lang w:eastAsia="zh-CN"/>
        </w:rPr>
        <w:t>）</w:t>
      </w:r>
    </w:p>
    <w:p w14:paraId="1619335C">
      <w:pPr>
        <w:keepNext w:val="0"/>
        <w:keepLines w:val="0"/>
        <w:pageBreakBefore w:val="0"/>
        <w:numPr>
          <w:ilvl w:val="0"/>
          <w:numId w:val="0"/>
        </w:numPr>
        <w:spacing w:line="520" w:lineRule="exact"/>
        <w:ind w:left="0" w:firstLine="480"/>
        <w:rPr>
          <w:rFonts w:ascii="宋体" w:hAnsi="宋体" w:cs="宋体"/>
          <w:bCs/>
          <w:color w:val="auto"/>
          <w:sz w:val="24"/>
          <w:szCs w:val="24"/>
          <w:highlight w:val="none"/>
        </w:rPr>
      </w:pPr>
      <w:r>
        <w:rPr>
          <w:rFonts w:ascii="宋体" w:hAnsi="宋体" w:cs="宋体" w:eastAsiaTheme="minorEastAsia"/>
          <w:bCs/>
          <w:color w:val="auto"/>
          <w:sz w:val="24"/>
          <w:szCs w:val="24"/>
          <w:lang w:val="en-US" w:eastAsia="zh-CN" w:bidi="ar-SA"/>
        </w:rPr>
        <w:t>（4）</w:t>
      </w:r>
      <w:r>
        <w:rPr>
          <w:rFonts w:hint="eastAsia" w:ascii="宋体" w:hAnsi="宋体" w:cs="宋体"/>
          <w:bCs/>
          <w:color w:val="auto"/>
          <w:sz w:val="24"/>
          <w:szCs w:val="24"/>
          <w:highlight w:val="none"/>
        </w:rPr>
        <w:t>确需收取履约保证金的，履约保证金的缴纳形式：</w:t>
      </w:r>
    </w:p>
    <w:p w14:paraId="2950B7FD">
      <w:pPr>
        <w:keepNext w:val="0"/>
        <w:keepLines w:val="0"/>
        <w:pageBreakBefore w:val="0"/>
        <w:spacing w:line="520" w:lineRule="exact"/>
        <w:ind w:left="0" w:firstLine="480"/>
        <w:rPr>
          <w:rFonts w:ascii="宋体" w:hAnsi="宋体" w:cs="宋体"/>
          <w:bCs/>
          <w:color w:val="auto"/>
          <w:sz w:val="24"/>
          <w:szCs w:val="24"/>
          <w:highlight w:val="none"/>
        </w:rPr>
      </w:pPr>
      <w:r>
        <w:rPr>
          <w:rFonts w:hint="eastAsia" w:ascii="宋体" w:hAnsi="宋体" w:cs="宋体"/>
          <w:bCs/>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7C0CA2F">
      <w:pPr>
        <w:keepNext w:val="0"/>
        <w:keepLines w:val="0"/>
        <w:pageBreakBefore w:val="0"/>
        <w:spacing w:line="520" w:lineRule="exact"/>
        <w:ind w:left="0" w:firstLine="480"/>
        <w:rPr>
          <w:rFonts w:ascii="宋体" w:hAnsi="宋体" w:cs="宋体"/>
          <w:sz w:val="24"/>
          <w:szCs w:val="24"/>
          <w:highlight w:val="none"/>
        </w:rPr>
      </w:pPr>
      <w:r>
        <w:rPr>
          <w:rFonts w:hint="eastAsia" w:ascii="宋体" w:hAnsi="宋体" w:cs="宋体"/>
          <w:bCs/>
          <w:color w:val="auto"/>
          <w:sz w:val="24"/>
          <w:szCs w:val="24"/>
          <w:highlight w:val="none"/>
        </w:rPr>
        <w:t xml:space="preserve"> 如以履约保函（保险）形式缴纳履约保证金，供应商可通过政府采购电子履约保函（保险）平台（www.jsdzbh.com）在线申请履约保函（保险）。</w:t>
      </w:r>
      <w:r>
        <w:rPr>
          <w:rFonts w:hint="eastAsia" w:ascii="宋体" w:hAnsi="宋体" w:cs="宋体"/>
          <w:color w:val="auto"/>
          <w:sz w:val="24"/>
          <w:szCs w:val="24"/>
          <w:highlight w:val="none"/>
        </w:rPr>
        <w:t xml:space="preserve">  </w:t>
      </w:r>
      <w:r>
        <w:rPr>
          <w:rFonts w:hint="eastAsia" w:ascii="宋体" w:hAnsi="宋体" w:cs="宋体"/>
          <w:sz w:val="24"/>
          <w:szCs w:val="24"/>
          <w:highlight w:val="none"/>
        </w:rPr>
        <w:t xml:space="preserve">                         </w:t>
      </w:r>
    </w:p>
    <w:p w14:paraId="51924324">
      <w:pPr>
        <w:keepNext w:val="0"/>
        <w:keepLines w:val="0"/>
        <w:pageBreakBefore w:val="0"/>
        <w:numPr>
          <w:ilvl w:val="0"/>
          <w:numId w:val="0"/>
        </w:numPr>
        <w:spacing w:line="520" w:lineRule="exact"/>
        <w:ind w:left="0" w:firstLine="480"/>
        <w:rPr>
          <w:rFonts w:ascii="宋体" w:hAnsi="宋体"/>
          <w:b/>
          <w:sz w:val="24"/>
          <w:szCs w:val="24"/>
          <w:highlight w:val="none"/>
        </w:rPr>
      </w:pPr>
      <w:r>
        <w:rPr>
          <w:rFonts w:ascii="宋体" w:hAnsi="宋体" w:eastAsiaTheme="minorEastAsia" w:cstheme="minorBidi"/>
          <w:b/>
          <w:sz w:val="24"/>
          <w:szCs w:val="24"/>
          <w:lang w:val="en-US" w:eastAsia="zh-CN" w:bidi="ar-SA"/>
        </w:rPr>
        <w:t>4.</w:t>
      </w:r>
      <w:r>
        <w:rPr>
          <w:rFonts w:hint="eastAsia" w:ascii="宋体" w:hAnsi="宋体"/>
          <w:b/>
          <w:sz w:val="24"/>
          <w:szCs w:val="24"/>
          <w:highlight w:val="none"/>
        </w:rPr>
        <w:t>合同验收</w:t>
      </w:r>
    </w:p>
    <w:p w14:paraId="2DEE9827">
      <w:pPr>
        <w:keepNext w:val="0"/>
        <w:keepLines w:val="0"/>
        <w:pageBreakBefore w:val="0"/>
        <w:numPr>
          <w:ilvl w:val="0"/>
          <w:numId w:val="1"/>
        </w:numPr>
        <w:spacing w:line="520" w:lineRule="exact"/>
        <w:ind w:left="0" w:firstLine="480"/>
        <w:rPr>
          <w:rFonts w:ascii="宋体" w:hAnsi="宋体"/>
          <w:bCs/>
          <w:sz w:val="24"/>
          <w:szCs w:val="24"/>
          <w:highlight w:val="none"/>
        </w:rPr>
      </w:pPr>
      <w:r>
        <w:rPr>
          <w:rFonts w:hint="eastAsia" w:ascii="宋体" w:hAnsi="宋体"/>
          <w:bCs/>
          <w:sz w:val="24"/>
          <w:szCs w:val="24"/>
          <w:highlight w:val="none"/>
        </w:rPr>
        <w:t>验收组织方式：</w:t>
      </w:r>
      <w:r>
        <w:rPr>
          <w:rFonts w:ascii="Wingdings" w:hAnsi="Wingdings" w:eastAsia="Wingdings" w:cs="Wingdings"/>
          <w:color w:val="0000FF"/>
          <w:sz w:val="24"/>
          <w:szCs w:val="24"/>
          <w:highlight w:val="none"/>
        </w:rPr>
        <w:t>þ</w:t>
      </w:r>
      <w:r>
        <w:rPr>
          <w:rFonts w:hint="eastAsia" w:ascii="宋体" w:hAnsi="宋体"/>
          <w:bCs/>
          <w:color w:val="0000FF"/>
          <w:sz w:val="24"/>
          <w:szCs w:val="24"/>
          <w:highlight w:val="none"/>
        </w:rPr>
        <w:t>自行组织</w:t>
      </w:r>
      <w:r>
        <w:rPr>
          <w:rFonts w:hint="eastAsia" w:ascii="宋体" w:hAnsi="宋体"/>
          <w:bCs/>
          <w:sz w:val="24"/>
          <w:szCs w:val="24"/>
          <w:highlight w:val="none"/>
        </w:rPr>
        <w:t xml:space="preserve"> </w:t>
      </w:r>
      <w:r>
        <w:rPr>
          <w:rFonts w:ascii="Wingdings" w:hAnsi="Wingdings" w:eastAsia="Wingdings" w:cs="Wingdings"/>
          <w:sz w:val="24"/>
          <w:szCs w:val="24"/>
          <w:highlight w:val="none"/>
        </w:rPr>
        <w:t></w:t>
      </w:r>
      <w:r>
        <w:rPr>
          <w:rFonts w:hint="eastAsia" w:ascii="宋体" w:hAnsi="宋体"/>
          <w:bCs/>
          <w:sz w:val="24"/>
          <w:szCs w:val="24"/>
          <w:highlight w:val="none"/>
        </w:rPr>
        <w:t>委托第三方组织</w:t>
      </w:r>
    </w:p>
    <w:p w14:paraId="7E114AA5">
      <w:pPr>
        <w:keepNext w:val="0"/>
        <w:keepLines w:val="0"/>
        <w:pageBreakBefore w:val="0"/>
        <w:spacing w:line="520" w:lineRule="exact"/>
        <w:ind w:left="0" w:firstLine="480"/>
        <w:rPr>
          <w:rFonts w:ascii="宋体" w:hAnsi="宋体" w:cs="宋体"/>
          <w:sz w:val="24"/>
          <w:szCs w:val="24"/>
          <w:highlight w:val="none"/>
        </w:rPr>
      </w:pPr>
      <w:r>
        <w:rPr>
          <w:rFonts w:hint="eastAsia" w:ascii="宋体" w:hAnsi="宋体"/>
          <w:bCs/>
          <w:sz w:val="24"/>
          <w:szCs w:val="24"/>
          <w:highlight w:val="none"/>
        </w:rPr>
        <w:t>验收主体：</w:t>
      </w:r>
      <w:r>
        <w:rPr>
          <w:rFonts w:hint="eastAsia" w:ascii="宋体" w:hAnsi="宋体" w:cs="宋体"/>
          <w:color w:val="0000FF"/>
          <w:sz w:val="24"/>
          <w:szCs w:val="24"/>
          <w:highlight w:val="none"/>
          <w:u w:val="single"/>
        </w:rPr>
        <w:t>滨海县农业综合行政执法大队</w:t>
      </w:r>
      <w:r>
        <w:rPr>
          <w:rFonts w:hint="eastAsia" w:ascii="宋体" w:hAnsi="宋体" w:cs="宋体"/>
          <w:sz w:val="24"/>
          <w:szCs w:val="24"/>
          <w:highlight w:val="none"/>
        </w:rPr>
        <w:t xml:space="preserve"> </w:t>
      </w:r>
    </w:p>
    <w:p w14:paraId="4D79DF75">
      <w:pPr>
        <w:keepNext w:val="0"/>
        <w:keepLines w:val="0"/>
        <w:pageBreakBefore w:val="0"/>
        <w:spacing w:line="520" w:lineRule="exact"/>
        <w:ind w:left="0" w:firstLine="480"/>
        <w:rPr>
          <w:rFonts w:ascii="宋体" w:hAnsi="宋体"/>
          <w:bCs/>
          <w:sz w:val="24"/>
          <w:szCs w:val="24"/>
          <w:highlight w:val="none"/>
        </w:rPr>
      </w:pPr>
      <w:r>
        <w:rPr>
          <w:rFonts w:hint="eastAsia" w:ascii="宋体" w:hAnsi="宋体"/>
          <w:bCs/>
          <w:sz w:val="24"/>
          <w:szCs w:val="24"/>
          <w:highlight w:val="none"/>
        </w:rPr>
        <w:t>是否邀请本项目的其他供应商参加验收：</w:t>
      </w:r>
      <w:r>
        <w:rPr>
          <w:rFonts w:ascii="Wingdings" w:hAnsi="Wingdings" w:eastAsia="Wingdings" w:cs="Wingdings"/>
          <w:sz w:val="24"/>
          <w:szCs w:val="24"/>
          <w:highlight w:val="none"/>
        </w:rPr>
        <w:t></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þ</w:t>
      </w:r>
      <w:r>
        <w:rPr>
          <w:rFonts w:hint="eastAsia" w:ascii="宋体" w:hAnsi="宋体"/>
          <w:bCs/>
          <w:color w:val="0000FF"/>
          <w:sz w:val="24"/>
          <w:szCs w:val="24"/>
          <w:highlight w:val="none"/>
        </w:rPr>
        <w:t>否</w:t>
      </w:r>
    </w:p>
    <w:p w14:paraId="38DA1332">
      <w:pPr>
        <w:keepNext w:val="0"/>
        <w:keepLines w:val="0"/>
        <w:pageBreakBefore w:val="0"/>
        <w:spacing w:line="520" w:lineRule="exact"/>
        <w:ind w:left="0" w:firstLine="480"/>
        <w:rPr>
          <w:rFonts w:ascii="宋体" w:hAnsi="宋体"/>
          <w:bCs/>
          <w:sz w:val="24"/>
          <w:szCs w:val="24"/>
          <w:highlight w:val="none"/>
        </w:rPr>
      </w:pPr>
      <w:r>
        <w:rPr>
          <w:rFonts w:hint="eastAsia" w:ascii="宋体" w:hAnsi="宋体"/>
          <w:bCs/>
          <w:sz w:val="24"/>
          <w:szCs w:val="24"/>
          <w:highlight w:val="none"/>
        </w:rPr>
        <w:t>是否邀请专家参加验收：</w:t>
      </w:r>
      <w:r>
        <w:rPr>
          <w:rFonts w:ascii="Wingdings" w:hAnsi="Wingdings" w:eastAsia="Wingdings" w:cs="Wingdings"/>
          <w:sz w:val="24"/>
          <w:szCs w:val="24"/>
          <w:highlight w:val="none"/>
        </w:rPr>
        <w:t></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þ</w:t>
      </w:r>
      <w:r>
        <w:rPr>
          <w:rFonts w:hint="eastAsia" w:ascii="宋体" w:hAnsi="宋体"/>
          <w:bCs/>
          <w:color w:val="0000FF"/>
          <w:sz w:val="24"/>
          <w:szCs w:val="24"/>
          <w:highlight w:val="none"/>
        </w:rPr>
        <w:t>否</w:t>
      </w:r>
    </w:p>
    <w:p w14:paraId="63A8530B">
      <w:pPr>
        <w:keepNext w:val="0"/>
        <w:keepLines w:val="0"/>
        <w:pageBreakBefore w:val="0"/>
        <w:spacing w:line="520" w:lineRule="exact"/>
        <w:ind w:left="0" w:firstLine="480"/>
        <w:rPr>
          <w:rFonts w:ascii="宋体" w:hAnsi="宋体"/>
          <w:bCs/>
          <w:sz w:val="24"/>
          <w:szCs w:val="24"/>
          <w:highlight w:val="none"/>
        </w:rPr>
      </w:pPr>
      <w:r>
        <w:rPr>
          <w:rFonts w:hint="eastAsia" w:ascii="宋体" w:hAnsi="宋体"/>
          <w:bCs/>
          <w:sz w:val="24"/>
          <w:szCs w:val="24"/>
          <w:highlight w:val="none"/>
        </w:rPr>
        <w:t>是否邀请服务对象参加验收：</w:t>
      </w:r>
      <w:r>
        <w:rPr>
          <w:rFonts w:ascii="Wingdings" w:hAnsi="Wingdings" w:eastAsia="Wingdings" w:cs="Wingdings"/>
          <w:sz w:val="24"/>
          <w:szCs w:val="24"/>
          <w:highlight w:val="none"/>
        </w:rPr>
        <w:t></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þ</w:t>
      </w:r>
      <w:r>
        <w:rPr>
          <w:rFonts w:hint="eastAsia" w:ascii="宋体" w:hAnsi="宋体"/>
          <w:bCs/>
          <w:color w:val="0000FF"/>
          <w:sz w:val="24"/>
          <w:szCs w:val="24"/>
          <w:highlight w:val="none"/>
        </w:rPr>
        <w:t>否</w:t>
      </w:r>
    </w:p>
    <w:p w14:paraId="41FB1DEE">
      <w:pPr>
        <w:keepNext w:val="0"/>
        <w:keepLines w:val="0"/>
        <w:pageBreakBefore w:val="0"/>
        <w:spacing w:line="520" w:lineRule="exact"/>
        <w:ind w:left="0" w:firstLine="480"/>
        <w:rPr>
          <w:rFonts w:ascii="宋体" w:hAnsi="宋体"/>
          <w:bCs/>
          <w:sz w:val="24"/>
          <w:szCs w:val="24"/>
          <w:highlight w:val="none"/>
        </w:rPr>
      </w:pPr>
      <w:r>
        <w:rPr>
          <w:rFonts w:hint="eastAsia" w:ascii="宋体" w:hAnsi="宋体"/>
          <w:bCs/>
          <w:sz w:val="24"/>
          <w:szCs w:val="24"/>
          <w:highlight w:val="none"/>
        </w:rPr>
        <w:t>是否邀请第三方检测机构参加验收：</w:t>
      </w:r>
      <w:r>
        <w:rPr>
          <w:rFonts w:ascii="Wingdings" w:hAnsi="Wingdings" w:eastAsia="Wingdings" w:cs="Wingdings"/>
          <w:sz w:val="24"/>
          <w:szCs w:val="24"/>
          <w:highlight w:val="none"/>
        </w:rPr>
        <w:t></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þ</w:t>
      </w:r>
      <w:r>
        <w:rPr>
          <w:rFonts w:hint="eastAsia" w:ascii="宋体" w:hAnsi="宋体"/>
          <w:bCs/>
          <w:color w:val="0000FF"/>
          <w:sz w:val="24"/>
          <w:szCs w:val="24"/>
          <w:highlight w:val="none"/>
        </w:rPr>
        <w:t>否</w:t>
      </w:r>
    </w:p>
    <w:p w14:paraId="1CD9D125">
      <w:pPr>
        <w:keepNext w:val="0"/>
        <w:keepLines w:val="0"/>
        <w:pageBreakBefore w:val="0"/>
        <w:spacing w:line="520" w:lineRule="exact"/>
        <w:ind w:left="0" w:firstLine="480"/>
        <w:rPr>
          <w:rFonts w:ascii="宋体" w:hAnsi="宋体"/>
          <w:bCs/>
          <w:sz w:val="24"/>
          <w:szCs w:val="24"/>
          <w:highlight w:val="none"/>
        </w:rPr>
      </w:pPr>
      <w:r>
        <w:rPr>
          <w:rFonts w:hint="eastAsia" w:ascii="宋体" w:hAnsi="宋体"/>
          <w:bCs/>
          <w:sz w:val="24"/>
          <w:szCs w:val="24"/>
          <w:highlight w:val="none"/>
        </w:rPr>
        <w:t>是否进行抽查检测：</w:t>
      </w:r>
      <w:r>
        <w:rPr>
          <w:rFonts w:ascii="Wingdings" w:hAnsi="Wingdings" w:eastAsia="Wingdings" w:cs="Wingdings"/>
          <w:color w:val="0000FF"/>
          <w:sz w:val="24"/>
          <w:szCs w:val="24"/>
          <w:highlight w:val="none"/>
        </w:rPr>
        <w:t>þ</w:t>
      </w:r>
      <w:r>
        <w:rPr>
          <w:rFonts w:hint="eastAsia" w:ascii="宋体" w:hAnsi="宋体"/>
          <w:bCs/>
          <w:color w:val="0000FF"/>
          <w:sz w:val="24"/>
          <w:szCs w:val="24"/>
          <w:highlight w:val="none"/>
        </w:rPr>
        <w:t>是</w:t>
      </w:r>
      <w:r>
        <w:rPr>
          <w:rFonts w:hint="eastAsia" w:ascii="宋体" w:hAnsi="宋体"/>
          <w:bCs/>
          <w:sz w:val="24"/>
          <w:szCs w:val="24"/>
          <w:highlight w:val="none"/>
        </w:rPr>
        <w:t>，抽查比例：</w:t>
      </w:r>
      <w:r>
        <w:rPr>
          <w:rFonts w:ascii="Wingdings" w:hAnsi="Wingdings" w:eastAsia="Wingdings" w:cs="Wingdings"/>
          <w:sz w:val="24"/>
          <w:szCs w:val="24"/>
          <w:highlight w:val="none"/>
        </w:rPr>
        <w:t></w:t>
      </w:r>
      <w:r>
        <w:rPr>
          <w:rFonts w:hint="eastAsia" w:ascii="宋体" w:hAnsi="宋体"/>
          <w:bCs/>
          <w:sz w:val="24"/>
          <w:szCs w:val="24"/>
          <w:highlight w:val="none"/>
        </w:rPr>
        <w:t>否</w:t>
      </w:r>
    </w:p>
    <w:p w14:paraId="0EE8BF7D">
      <w:pPr>
        <w:keepNext w:val="0"/>
        <w:keepLines w:val="0"/>
        <w:pageBreakBefore w:val="0"/>
        <w:spacing w:line="520" w:lineRule="exact"/>
        <w:ind w:left="0" w:firstLine="480"/>
        <w:rPr>
          <w:rFonts w:hint="eastAsia" w:ascii="宋体" w:hAnsi="宋体" w:eastAsiaTheme="minorEastAsia"/>
          <w:bCs/>
          <w:sz w:val="24"/>
          <w:szCs w:val="24"/>
          <w:highlight w:val="none"/>
          <w:lang w:eastAsia="zh-CN"/>
        </w:rPr>
      </w:pPr>
      <w:r>
        <w:rPr>
          <w:rFonts w:hint="eastAsia" w:ascii="宋体" w:hAnsi="宋体"/>
          <w:bCs/>
          <w:sz w:val="24"/>
          <w:szCs w:val="24"/>
          <w:highlight w:val="none"/>
        </w:rPr>
        <w:t>是否存在破坏性检测：</w:t>
      </w:r>
      <w:r>
        <w:rPr>
          <w:rFonts w:ascii="Wingdings" w:hAnsi="Wingdings" w:eastAsia="Wingdings" w:cs="Wingdings"/>
          <w:sz w:val="24"/>
          <w:szCs w:val="24"/>
          <w:highlight w:val="none"/>
        </w:rPr>
        <w:t></w:t>
      </w:r>
      <w:r>
        <w:rPr>
          <w:rFonts w:hint="eastAsia" w:ascii="宋体" w:hAnsi="宋体"/>
          <w:bCs/>
          <w:sz w:val="24"/>
          <w:szCs w:val="24"/>
          <w:highlight w:val="none"/>
        </w:rPr>
        <w:t>是</w:t>
      </w:r>
      <w:r>
        <w:rPr>
          <w:rFonts w:hint="eastAsia" w:ascii="宋体" w:hAnsi="宋体"/>
          <w:bCs/>
          <w:sz w:val="24"/>
          <w:szCs w:val="24"/>
          <w:highlight w:val="none"/>
          <w:lang w:val="en-US" w:eastAsia="zh-CN"/>
        </w:rPr>
        <w:t xml:space="preserve">  </w:t>
      </w:r>
      <w:r>
        <w:rPr>
          <w:rFonts w:ascii="Wingdings" w:hAnsi="Wingdings" w:eastAsia="Wingdings" w:cs="Wingdings"/>
          <w:color w:val="0000FF"/>
          <w:sz w:val="24"/>
          <w:szCs w:val="24"/>
          <w:highlight w:val="none"/>
        </w:rPr>
        <w:t>þ</w:t>
      </w:r>
      <w:r>
        <w:rPr>
          <w:rFonts w:hint="eastAsia" w:ascii="宋体" w:hAnsi="宋体"/>
          <w:bCs/>
          <w:color w:val="0000FF"/>
          <w:sz w:val="24"/>
          <w:szCs w:val="24"/>
          <w:highlight w:val="none"/>
        </w:rPr>
        <w:t>否</w:t>
      </w:r>
      <w:r>
        <w:rPr>
          <w:rFonts w:hint="eastAsia" w:ascii="宋体" w:hAnsi="宋体"/>
          <w:bCs/>
          <w:color w:val="0000FF"/>
          <w:sz w:val="24"/>
          <w:szCs w:val="24"/>
          <w:highlight w:val="none"/>
          <w:lang w:eastAsia="zh-CN"/>
        </w:rPr>
        <w:t>（</w:t>
      </w:r>
      <w:r>
        <w:rPr>
          <w:rFonts w:hint="eastAsia" w:ascii="宋体" w:hAnsi="宋体"/>
          <w:bCs/>
          <w:color w:val="0000FF"/>
          <w:sz w:val="24"/>
          <w:szCs w:val="24"/>
          <w:highlight w:val="none"/>
          <w:lang w:val="en-US" w:eastAsia="zh-CN"/>
        </w:rPr>
        <w:t>本项目不涉及</w:t>
      </w:r>
      <w:r>
        <w:rPr>
          <w:rFonts w:hint="eastAsia" w:ascii="宋体" w:hAnsi="宋体"/>
          <w:bCs/>
          <w:color w:val="0000FF"/>
          <w:sz w:val="24"/>
          <w:szCs w:val="24"/>
          <w:highlight w:val="none"/>
          <w:lang w:eastAsia="zh-CN"/>
        </w:rPr>
        <w:t>）</w:t>
      </w:r>
    </w:p>
    <w:p w14:paraId="5FB4F0FC">
      <w:pPr>
        <w:keepNext w:val="0"/>
        <w:keepLines w:val="0"/>
        <w:pageBreakBefore w:val="0"/>
        <w:spacing w:line="520" w:lineRule="exact"/>
        <w:ind w:left="0" w:firstLine="480"/>
        <w:rPr>
          <w:rFonts w:hint="eastAsia" w:ascii="宋体" w:hAnsi="宋体" w:eastAsiaTheme="minorEastAsia"/>
          <w:bCs/>
          <w:sz w:val="24"/>
          <w:szCs w:val="24"/>
          <w:highlight w:val="none"/>
          <w:u w:val="single"/>
          <w:lang w:eastAsia="zh-CN"/>
        </w:rPr>
      </w:pPr>
      <w:r>
        <w:rPr>
          <w:rFonts w:hint="eastAsia" w:ascii="宋体" w:hAnsi="宋体"/>
          <w:bCs/>
          <w:sz w:val="24"/>
          <w:szCs w:val="24"/>
          <w:highlight w:val="none"/>
        </w:rPr>
        <w:t>验收组织的其他事项：</w:t>
      </w:r>
      <w:r>
        <w:rPr>
          <w:rFonts w:hint="eastAsia" w:ascii="宋体" w:hAnsi="宋体"/>
          <w:bCs/>
          <w:color w:val="0000FF"/>
          <w:sz w:val="24"/>
          <w:szCs w:val="24"/>
          <w:highlight w:val="none"/>
          <w:u w:val="single"/>
        </w:rPr>
        <w:t>现场核对油品品类、数量、质量证明文件，抽样检验</w:t>
      </w:r>
      <w:r>
        <w:rPr>
          <w:rFonts w:hint="eastAsia" w:ascii="宋体" w:hAnsi="宋体"/>
          <w:bCs/>
          <w:sz w:val="24"/>
          <w:szCs w:val="24"/>
          <w:highlight w:val="none"/>
          <w:lang w:eastAsia="zh-CN"/>
        </w:rPr>
        <w:t>。</w:t>
      </w:r>
    </w:p>
    <w:p w14:paraId="7B52A1D9">
      <w:pPr>
        <w:keepNext w:val="0"/>
        <w:keepLines w:val="0"/>
        <w:pageBreakBefore w:val="0"/>
        <w:spacing w:line="520" w:lineRule="exact"/>
        <w:ind w:left="0" w:firstLine="480"/>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（2）履约验收时间：</w:t>
      </w:r>
      <w:r>
        <w:rPr>
          <w:rFonts w:hint="eastAsia" w:ascii="宋体" w:hAnsi="宋体"/>
          <w:bCs/>
          <w:color w:val="0000FF"/>
          <w:sz w:val="24"/>
          <w:szCs w:val="24"/>
          <w:highlight w:val="none"/>
          <w:u w:val="single"/>
        </w:rPr>
        <w:t>供应商提出验收申请之日起 3 日内组织验收</w:t>
      </w:r>
      <w:r>
        <w:rPr>
          <w:rFonts w:hint="eastAsia" w:ascii="宋体" w:hAnsi="宋体"/>
          <w:bCs/>
          <w:color w:val="0000FF"/>
          <w:sz w:val="24"/>
          <w:szCs w:val="24"/>
          <w:highlight w:val="none"/>
          <w:u w:val="none"/>
          <w:lang w:eastAsia="zh-CN"/>
        </w:rPr>
        <w:t>。</w:t>
      </w:r>
    </w:p>
    <w:p w14:paraId="34B8E4F1">
      <w:pPr>
        <w:keepNext w:val="0"/>
        <w:keepLines w:val="0"/>
        <w:pageBreakBefore w:val="0"/>
        <w:spacing w:line="520" w:lineRule="exact"/>
        <w:ind w:left="0" w:firstLine="480"/>
        <w:rPr>
          <w:rFonts w:ascii="宋体" w:hAnsi="宋体"/>
          <w:bCs/>
          <w:sz w:val="24"/>
          <w:szCs w:val="24"/>
          <w:highlight w:val="none"/>
        </w:rPr>
      </w:pPr>
      <w:r>
        <w:rPr>
          <w:rFonts w:hint="eastAsia" w:ascii="宋体" w:hAnsi="宋体"/>
          <w:bCs/>
          <w:sz w:val="24"/>
          <w:szCs w:val="24"/>
          <w:highlight w:val="none"/>
        </w:rPr>
        <w:t>（3）履约验收方式：</w:t>
      </w:r>
      <w:r>
        <w:rPr>
          <w:rFonts w:ascii="Wingdings" w:hAnsi="Wingdings" w:eastAsia="Wingdings" w:cs="Wingdings"/>
          <w:color w:val="0000FF"/>
          <w:sz w:val="24"/>
          <w:szCs w:val="24"/>
          <w:highlight w:val="none"/>
        </w:rPr>
        <w:t>þ</w:t>
      </w:r>
      <w:r>
        <w:rPr>
          <w:rFonts w:hint="eastAsia" w:ascii="宋体" w:hAnsi="宋体"/>
          <w:bCs/>
          <w:color w:val="0000FF"/>
          <w:sz w:val="24"/>
          <w:szCs w:val="24"/>
          <w:highlight w:val="none"/>
        </w:rPr>
        <w:t>分期/分项验收：</w:t>
      </w:r>
      <w:r>
        <w:rPr>
          <w:rFonts w:hint="eastAsia" w:ascii="宋体" w:hAnsi="宋体"/>
          <w:bCs/>
          <w:color w:val="0000FF"/>
          <w:sz w:val="24"/>
          <w:szCs w:val="24"/>
          <w:highlight w:val="none"/>
          <w:u w:val="single"/>
        </w:rPr>
        <w:t>（按供货批次验收）</w:t>
      </w:r>
    </w:p>
    <w:p w14:paraId="7AB836FD">
      <w:pPr>
        <w:keepNext w:val="0"/>
        <w:keepLines w:val="0"/>
        <w:pageBreakBefore w:val="0"/>
        <w:spacing w:line="520" w:lineRule="exact"/>
        <w:ind w:left="0" w:firstLine="480"/>
        <w:rPr>
          <w:rFonts w:hint="eastAsia" w:ascii="宋体" w:hAnsi="宋体" w:eastAsiaTheme="minorEastAsia"/>
          <w:bCs/>
          <w:sz w:val="24"/>
          <w:szCs w:val="24"/>
          <w:highlight w:val="none"/>
          <w:lang w:eastAsia="zh-CN"/>
        </w:rPr>
      </w:pPr>
      <w:r>
        <w:rPr>
          <w:rFonts w:hint="eastAsia" w:ascii="宋体" w:hAnsi="宋体"/>
          <w:bCs/>
          <w:sz w:val="24"/>
          <w:szCs w:val="24"/>
          <w:highlight w:val="none"/>
        </w:rPr>
        <w:t>（4）履约验收程序：</w:t>
      </w:r>
      <w:r>
        <w:rPr>
          <w:rFonts w:hint="eastAsia" w:ascii="宋体" w:hAnsi="宋体"/>
          <w:bCs/>
          <w:color w:val="0000FF"/>
          <w:sz w:val="24"/>
          <w:szCs w:val="24"/>
          <w:highlight w:val="none"/>
          <w:u w:val="single"/>
        </w:rPr>
        <w:t>油品送达→现场核对→抽样检验→合格签署供货确认单</w:t>
      </w:r>
      <w:r>
        <w:rPr>
          <w:rFonts w:hint="eastAsia" w:ascii="宋体" w:hAnsi="宋体"/>
          <w:bCs/>
          <w:sz w:val="24"/>
          <w:szCs w:val="24"/>
          <w:highlight w:val="none"/>
          <w:lang w:eastAsia="zh-CN"/>
        </w:rPr>
        <w:t>。</w:t>
      </w:r>
    </w:p>
    <w:p w14:paraId="61236A64">
      <w:pPr>
        <w:keepNext w:val="0"/>
        <w:keepLines w:val="0"/>
        <w:pageBreakBefore w:val="0"/>
        <w:spacing w:line="520" w:lineRule="exact"/>
        <w:ind w:left="0" w:firstLine="480"/>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（5）履约验收的内容：</w:t>
      </w:r>
      <w:r>
        <w:rPr>
          <w:rFonts w:hint="eastAsia" w:ascii="宋体" w:hAnsi="宋体"/>
          <w:bCs/>
          <w:color w:val="0000FF"/>
          <w:sz w:val="24"/>
          <w:szCs w:val="24"/>
          <w:highlight w:val="none"/>
          <w:u w:val="single"/>
        </w:rPr>
        <w:t>油品质量、数量、配送/加注服务、检验报告</w:t>
      </w:r>
      <w:r>
        <w:rPr>
          <w:rFonts w:hint="eastAsia" w:ascii="宋体" w:hAnsi="宋体"/>
          <w:bCs/>
          <w:color w:val="0000FF"/>
          <w:sz w:val="24"/>
          <w:szCs w:val="24"/>
          <w:highlight w:val="none"/>
          <w:u w:val="none"/>
          <w:lang w:eastAsia="zh-CN"/>
        </w:rPr>
        <w:t>。</w:t>
      </w:r>
    </w:p>
    <w:p w14:paraId="2A0F5854">
      <w:pPr>
        <w:keepNext w:val="0"/>
        <w:keepLines w:val="0"/>
        <w:pageBreakBefore w:val="0"/>
        <w:spacing w:line="520" w:lineRule="exact"/>
        <w:ind w:left="0" w:firstLine="480"/>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（6）履约验收标准：</w:t>
      </w:r>
      <w:r>
        <w:rPr>
          <w:rFonts w:hint="eastAsia" w:ascii="宋体" w:hAnsi="宋体"/>
          <w:bCs/>
          <w:color w:val="0000FF"/>
          <w:sz w:val="24"/>
          <w:szCs w:val="24"/>
          <w:highlight w:val="none"/>
          <w:u w:val="single"/>
        </w:rPr>
        <w:t>GB 19147-2016《车用柴油》、GB 17930-2016《车用汽油》</w:t>
      </w:r>
      <w:r>
        <w:rPr>
          <w:rFonts w:hint="eastAsia" w:ascii="宋体" w:hAnsi="宋体"/>
          <w:bCs/>
          <w:sz w:val="24"/>
          <w:szCs w:val="24"/>
          <w:highlight w:val="none"/>
          <w:u w:val="none"/>
          <w:lang w:eastAsia="zh-CN"/>
        </w:rPr>
        <w:t>。</w:t>
      </w:r>
    </w:p>
    <w:p w14:paraId="21F5F393">
      <w:pPr>
        <w:keepNext w:val="0"/>
        <w:keepLines w:val="0"/>
        <w:pageBreakBefore w:val="0"/>
        <w:widowControl/>
        <w:spacing w:line="520" w:lineRule="exact"/>
        <w:ind w:left="0" w:firstLine="480"/>
        <w:jc w:val="left"/>
        <w:rPr>
          <w:rFonts w:hint="eastAsia" w:ascii="宋体" w:hAnsi="宋体" w:cs="宋体" w:eastAsiaTheme="minorEastAsia"/>
          <w:color w:val="0000FF"/>
          <w:sz w:val="24"/>
          <w:szCs w:val="24"/>
          <w:highlight w:val="none"/>
          <w:lang w:eastAsia="zh-CN"/>
        </w:rPr>
      </w:pPr>
      <w:r>
        <w:rPr>
          <w:rFonts w:hint="eastAsia" w:ascii="宋体" w:hAnsi="宋体" w:cs="宋体"/>
          <w:bCs/>
          <w:sz w:val="24"/>
          <w:szCs w:val="24"/>
          <w:highlight w:val="none"/>
        </w:rPr>
        <w:t>（7）是否以采购活动中供应商提供的样品作为参考：</w:t>
      </w:r>
      <w:r>
        <w:rPr>
          <w:rFonts w:ascii="Wingdings" w:hAnsi="Wingdings" w:eastAsia="Wingdings" w:cs="Wingdings"/>
          <w:sz w:val="24"/>
          <w:szCs w:val="24"/>
          <w:highlight w:val="none"/>
        </w:rPr>
        <w:t></w:t>
      </w:r>
      <w:r>
        <w:rPr>
          <w:rFonts w:hint="eastAsia" w:ascii="宋体" w:hAnsi="宋体" w:cs="宋体"/>
          <w:bCs/>
          <w:sz w:val="24"/>
          <w:szCs w:val="24"/>
          <w:highlight w:val="none"/>
        </w:rPr>
        <w:t xml:space="preserve">是 </w:t>
      </w:r>
      <w:r>
        <w:rPr>
          <w:rFonts w:hint="eastAsia" w:ascii="宋体" w:hAnsi="宋体" w:cs="宋体"/>
          <w:bCs/>
          <w:color w:val="0000FF"/>
          <w:sz w:val="24"/>
          <w:szCs w:val="24"/>
          <w:highlight w:val="none"/>
        </w:rPr>
        <w:t xml:space="preserve"> </w:t>
      </w:r>
      <w:r>
        <w:rPr>
          <w:rFonts w:ascii="Wingdings" w:hAnsi="Wingdings" w:eastAsia="Wingdings" w:cs="Wingdings"/>
          <w:color w:val="0000FF"/>
          <w:sz w:val="24"/>
          <w:szCs w:val="24"/>
          <w:highlight w:val="none"/>
        </w:rPr>
        <w:t>þ</w:t>
      </w:r>
      <w:r>
        <w:rPr>
          <w:rFonts w:hint="eastAsia" w:ascii="宋体" w:hAnsi="宋体" w:cs="宋体"/>
          <w:bCs/>
          <w:color w:val="0000FF"/>
          <w:sz w:val="24"/>
          <w:szCs w:val="24"/>
          <w:highlight w:val="none"/>
        </w:rPr>
        <w:t>否</w:t>
      </w:r>
      <w:r>
        <w:rPr>
          <w:rFonts w:hint="eastAsia" w:ascii="宋体" w:hAnsi="宋体" w:cs="宋体"/>
          <w:bCs/>
          <w:color w:val="0000FF"/>
          <w:sz w:val="24"/>
          <w:szCs w:val="24"/>
          <w:highlight w:val="none"/>
          <w:lang w:eastAsia="zh-CN"/>
        </w:rPr>
        <w:t>（</w:t>
      </w:r>
      <w:r>
        <w:rPr>
          <w:rFonts w:hint="eastAsia" w:ascii="宋体" w:hAnsi="宋体" w:cs="宋体"/>
          <w:bCs/>
          <w:color w:val="0000FF"/>
          <w:sz w:val="24"/>
          <w:szCs w:val="24"/>
          <w:highlight w:val="none"/>
          <w:lang w:val="en-US" w:eastAsia="zh-CN"/>
        </w:rPr>
        <w:t>不涉及</w:t>
      </w:r>
      <w:r>
        <w:rPr>
          <w:rFonts w:hint="eastAsia" w:ascii="宋体" w:hAnsi="宋体" w:cs="宋体"/>
          <w:bCs/>
          <w:color w:val="0000FF"/>
          <w:sz w:val="24"/>
          <w:szCs w:val="24"/>
          <w:highlight w:val="none"/>
          <w:lang w:eastAsia="zh-CN"/>
        </w:rPr>
        <w:t>）</w:t>
      </w:r>
    </w:p>
    <w:p w14:paraId="7FCFC395">
      <w:pPr>
        <w:keepNext w:val="0"/>
        <w:keepLines w:val="0"/>
        <w:pageBreakBefore w:val="0"/>
        <w:spacing w:line="520" w:lineRule="exact"/>
        <w:ind w:left="0" w:firstLine="480"/>
        <w:rPr>
          <w:rFonts w:hint="default" w:ascii="宋体" w:hAnsi="宋体" w:cs="宋体" w:eastAsiaTheme="minorEastAsia"/>
          <w:bCs/>
          <w:sz w:val="24"/>
          <w:szCs w:val="24"/>
          <w:highlight w:val="none"/>
          <w:u w:val="single"/>
          <w:lang w:val="en-US" w:eastAsia="zh-CN"/>
        </w:rPr>
      </w:pPr>
      <w:r>
        <w:rPr>
          <w:rFonts w:hint="eastAsia" w:ascii="宋体" w:hAnsi="宋体" w:cs="宋体"/>
          <w:bCs/>
          <w:sz w:val="24"/>
          <w:szCs w:val="24"/>
          <w:highlight w:val="none"/>
        </w:rPr>
        <w:t>（8）履约验收其他事项：</w:t>
      </w:r>
      <w:r>
        <w:rPr>
          <w:rFonts w:hint="eastAsia" w:ascii="宋体" w:hAnsi="宋体" w:cs="宋体"/>
          <w:bCs/>
          <w:color w:val="0000FF"/>
          <w:sz w:val="24"/>
          <w:szCs w:val="24"/>
          <w:highlight w:val="none"/>
          <w:u w:val="single"/>
          <w:lang w:val="en-US" w:eastAsia="zh-CN"/>
        </w:rPr>
        <w:t xml:space="preserve"> 无 </w:t>
      </w:r>
    </w:p>
    <w:p w14:paraId="1E48CC92">
      <w:pPr>
        <w:keepNext w:val="0"/>
        <w:keepLines w:val="0"/>
        <w:pageBreakBefore w:val="0"/>
        <w:numPr>
          <w:ilvl w:val="0"/>
          <w:numId w:val="0"/>
        </w:numPr>
        <w:spacing w:line="520" w:lineRule="exact"/>
        <w:ind w:left="0" w:firstLine="480"/>
        <w:rPr>
          <w:rFonts w:ascii="宋体" w:hAnsi="宋体"/>
          <w:b/>
          <w:sz w:val="24"/>
          <w:szCs w:val="24"/>
          <w:highlight w:val="none"/>
        </w:rPr>
      </w:pPr>
      <w:r>
        <w:rPr>
          <w:rFonts w:ascii="宋体" w:hAnsi="宋体" w:eastAsiaTheme="minorEastAsia" w:cstheme="minorBidi"/>
          <w:b/>
          <w:sz w:val="24"/>
          <w:szCs w:val="24"/>
          <w:lang w:val="en-US" w:eastAsia="zh-CN" w:bidi="ar-SA"/>
        </w:rPr>
        <w:t>5.</w:t>
      </w:r>
      <w:r>
        <w:rPr>
          <w:rFonts w:hint="eastAsia" w:ascii="宋体" w:hAnsi="宋体"/>
          <w:b/>
          <w:sz w:val="24"/>
          <w:szCs w:val="24"/>
          <w:highlight w:val="none"/>
        </w:rPr>
        <w:t>组成合同的文件</w:t>
      </w:r>
    </w:p>
    <w:p w14:paraId="1D7E20E8">
      <w:pPr>
        <w:keepNext w:val="0"/>
        <w:keepLines w:val="0"/>
        <w:pageBreakBefore w:val="0"/>
        <w:spacing w:line="520" w:lineRule="exact"/>
        <w:ind w:left="0" w:firstLine="480"/>
        <w:rPr>
          <w:rFonts w:ascii="宋体" w:hAnsi="宋体"/>
          <w:color w:val="auto"/>
          <w:sz w:val="24"/>
          <w:szCs w:val="24"/>
          <w:highlight w:val="none"/>
        </w:rPr>
      </w:pPr>
      <w:r>
        <w:rPr>
          <w:rFonts w:hint="eastAsia" w:ascii="宋体" w:hAnsi="宋体"/>
          <w:color w:val="auto"/>
          <w:sz w:val="24"/>
          <w:szCs w:val="24"/>
          <w:highlight w:val="none"/>
        </w:rPr>
        <w:t>本协议书与下列文件一起构成合同文件，如下述文件之间有任何抵触、矛盾或歧义，应按以下顺序解释：</w:t>
      </w:r>
    </w:p>
    <w:p w14:paraId="12421375">
      <w:pPr>
        <w:keepNext w:val="0"/>
        <w:keepLines w:val="0"/>
        <w:pageBreakBefore w:val="0"/>
        <w:spacing w:line="520" w:lineRule="exact"/>
        <w:ind w:left="0" w:firstLine="480"/>
        <w:rPr>
          <w:rFonts w:hint="eastAsia" w:ascii="宋体" w:hAnsi="宋体"/>
          <w:color w:val="auto"/>
          <w:sz w:val="24"/>
          <w:szCs w:val="24"/>
          <w:highlight w:val="none"/>
        </w:rPr>
      </w:pPr>
      <w:r>
        <w:rPr>
          <w:rFonts w:hint="eastAsia" w:ascii="宋体" w:hAnsi="宋体"/>
          <w:color w:val="auto"/>
          <w:sz w:val="24"/>
          <w:szCs w:val="24"/>
          <w:highlight w:val="none"/>
        </w:rPr>
        <w:t>（1）政府采购合同协议书及其变更、补充协议</w:t>
      </w:r>
    </w:p>
    <w:p w14:paraId="41A1B209">
      <w:pPr>
        <w:keepNext w:val="0"/>
        <w:keepLines w:val="0"/>
        <w:pageBreakBefore w:val="0"/>
        <w:spacing w:line="520" w:lineRule="exact"/>
        <w:ind w:left="0" w:firstLine="480"/>
        <w:rPr>
          <w:rFonts w:hint="eastAsia" w:ascii="宋体" w:hAnsi="宋体"/>
          <w:color w:val="auto"/>
          <w:sz w:val="24"/>
          <w:szCs w:val="24"/>
          <w:highlight w:val="none"/>
        </w:rPr>
      </w:pPr>
      <w:r>
        <w:rPr>
          <w:rFonts w:hint="eastAsia" w:ascii="宋体" w:hAnsi="宋体"/>
          <w:color w:val="auto"/>
          <w:sz w:val="24"/>
          <w:szCs w:val="24"/>
          <w:highlight w:val="none"/>
        </w:rPr>
        <w:t>（2）政府采购合同专用条款</w:t>
      </w:r>
    </w:p>
    <w:p w14:paraId="1B231BFC">
      <w:pPr>
        <w:keepNext w:val="0"/>
        <w:keepLines w:val="0"/>
        <w:pageBreakBefore w:val="0"/>
        <w:spacing w:line="520" w:lineRule="exact"/>
        <w:ind w:left="0" w:firstLine="480"/>
        <w:rPr>
          <w:rFonts w:hint="eastAsia" w:ascii="宋体" w:hAnsi="宋体"/>
          <w:color w:val="auto"/>
          <w:sz w:val="24"/>
          <w:szCs w:val="24"/>
          <w:highlight w:val="none"/>
        </w:rPr>
      </w:pPr>
      <w:r>
        <w:rPr>
          <w:rFonts w:hint="eastAsia" w:ascii="宋体" w:hAnsi="宋体"/>
          <w:color w:val="auto"/>
          <w:sz w:val="24"/>
          <w:szCs w:val="24"/>
          <w:highlight w:val="none"/>
        </w:rPr>
        <w:t>（3）政府采购合同通用条款</w:t>
      </w:r>
    </w:p>
    <w:p w14:paraId="57B13095">
      <w:pPr>
        <w:keepNext w:val="0"/>
        <w:keepLines w:val="0"/>
        <w:pageBreakBefore w:val="0"/>
        <w:spacing w:line="520" w:lineRule="exact"/>
        <w:ind w:left="0" w:firstLine="480"/>
        <w:rPr>
          <w:rFonts w:hint="eastAsia" w:ascii="宋体" w:hAnsi="宋体"/>
          <w:color w:val="auto"/>
          <w:sz w:val="24"/>
          <w:szCs w:val="24"/>
          <w:highlight w:val="none"/>
        </w:rPr>
      </w:pPr>
      <w:r>
        <w:rPr>
          <w:rFonts w:hint="eastAsia" w:ascii="宋体" w:hAnsi="宋体"/>
          <w:color w:val="auto"/>
          <w:sz w:val="24"/>
          <w:szCs w:val="24"/>
          <w:highlight w:val="none"/>
        </w:rPr>
        <w:t>（4）中标（成交）通知书</w:t>
      </w:r>
    </w:p>
    <w:p w14:paraId="79D892E1">
      <w:pPr>
        <w:keepNext w:val="0"/>
        <w:keepLines w:val="0"/>
        <w:pageBreakBefore w:val="0"/>
        <w:spacing w:line="520" w:lineRule="exact"/>
        <w:ind w:left="0" w:firstLine="480"/>
        <w:rPr>
          <w:rFonts w:hint="eastAsia" w:ascii="宋体" w:hAnsi="宋体"/>
          <w:color w:val="auto"/>
          <w:sz w:val="24"/>
          <w:szCs w:val="24"/>
          <w:highlight w:val="none"/>
        </w:rPr>
      </w:pPr>
      <w:r>
        <w:rPr>
          <w:rFonts w:hint="eastAsia" w:ascii="宋体" w:hAnsi="宋体"/>
          <w:color w:val="auto"/>
          <w:sz w:val="24"/>
          <w:szCs w:val="24"/>
          <w:highlight w:val="none"/>
        </w:rPr>
        <w:t>（5）投标（响应）文件</w:t>
      </w:r>
    </w:p>
    <w:p w14:paraId="28B201E8">
      <w:pPr>
        <w:keepNext w:val="0"/>
        <w:keepLines w:val="0"/>
        <w:pageBreakBefore w:val="0"/>
        <w:spacing w:line="520" w:lineRule="exact"/>
        <w:ind w:left="0" w:firstLine="480"/>
        <w:rPr>
          <w:rFonts w:hint="eastAsia" w:ascii="宋体" w:hAnsi="宋体"/>
          <w:color w:val="auto"/>
          <w:sz w:val="24"/>
          <w:szCs w:val="24"/>
          <w:highlight w:val="none"/>
        </w:rPr>
      </w:pPr>
      <w:r>
        <w:rPr>
          <w:rFonts w:hint="eastAsia" w:ascii="宋体" w:hAnsi="宋体"/>
          <w:color w:val="auto"/>
          <w:sz w:val="24"/>
          <w:szCs w:val="24"/>
          <w:highlight w:val="none"/>
        </w:rPr>
        <w:t>（6）采购文件</w:t>
      </w:r>
    </w:p>
    <w:p w14:paraId="6ECF75B7">
      <w:pPr>
        <w:keepNext w:val="0"/>
        <w:keepLines w:val="0"/>
        <w:pageBreakBefore w:val="0"/>
        <w:spacing w:line="520" w:lineRule="exact"/>
        <w:ind w:left="0" w:firstLine="480"/>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rPr>
        <w:t>（7）有关技术文件，图纸</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如有</w:t>
      </w:r>
      <w:r>
        <w:rPr>
          <w:rFonts w:hint="eastAsia" w:ascii="宋体" w:hAnsi="宋体"/>
          <w:color w:val="auto"/>
          <w:sz w:val="24"/>
          <w:szCs w:val="24"/>
          <w:highlight w:val="none"/>
          <w:lang w:eastAsia="zh-CN"/>
        </w:rPr>
        <w:t>）</w:t>
      </w:r>
    </w:p>
    <w:p w14:paraId="337210C2">
      <w:pPr>
        <w:keepNext w:val="0"/>
        <w:keepLines w:val="0"/>
        <w:pageBreakBefore w:val="0"/>
        <w:spacing w:line="520" w:lineRule="exact"/>
        <w:ind w:left="0" w:firstLine="480"/>
        <w:rPr>
          <w:rFonts w:hint="eastAsia" w:ascii="宋体" w:hAnsi="宋体"/>
          <w:color w:val="auto"/>
          <w:sz w:val="24"/>
          <w:szCs w:val="24"/>
          <w:highlight w:val="none"/>
        </w:rPr>
      </w:pPr>
      <w:r>
        <w:rPr>
          <w:rFonts w:hint="eastAsia" w:ascii="宋体" w:hAnsi="宋体"/>
          <w:color w:val="auto"/>
          <w:sz w:val="24"/>
          <w:szCs w:val="24"/>
          <w:highlight w:val="none"/>
        </w:rPr>
        <w:t>（8）国家法律、行政法规和规章制度规定或合同约定的作为合同组成部分的其他文件</w:t>
      </w:r>
    </w:p>
    <w:p w14:paraId="355CBFCE">
      <w:pPr>
        <w:keepNext w:val="0"/>
        <w:keepLines w:val="0"/>
        <w:pageBreakBefore w:val="0"/>
        <w:spacing w:line="520" w:lineRule="exact"/>
        <w:ind w:left="0" w:firstLine="480"/>
        <w:rPr>
          <w:rFonts w:ascii="宋体" w:hAnsi="宋体"/>
          <w:b/>
          <w:color w:val="auto"/>
          <w:sz w:val="24"/>
          <w:szCs w:val="24"/>
          <w:highlight w:val="none"/>
        </w:rPr>
      </w:pPr>
      <w:r>
        <w:rPr>
          <w:rFonts w:hint="eastAsia" w:ascii="宋体" w:hAnsi="宋体"/>
          <w:b/>
          <w:color w:val="auto"/>
          <w:sz w:val="24"/>
          <w:szCs w:val="24"/>
          <w:highlight w:val="none"/>
        </w:rPr>
        <w:t>6.合同生效</w:t>
      </w:r>
    </w:p>
    <w:p w14:paraId="0D6D5FEC">
      <w:pPr>
        <w:keepNext w:val="0"/>
        <w:keepLines w:val="0"/>
        <w:pageBreakBefore w:val="0"/>
        <w:spacing w:line="520" w:lineRule="exact"/>
        <w:ind w:left="0" w:firstLine="480"/>
        <w:rPr>
          <w:rFonts w:ascii="宋体" w:hAnsi="宋体"/>
          <w:color w:val="auto"/>
          <w:sz w:val="24"/>
          <w:szCs w:val="24"/>
          <w:highlight w:val="none"/>
        </w:rPr>
      </w:pPr>
      <w:r>
        <w:rPr>
          <w:rFonts w:hint="eastAsia" w:ascii="宋体" w:hAnsi="宋体"/>
          <w:color w:val="auto"/>
          <w:sz w:val="24"/>
          <w:szCs w:val="24"/>
          <w:highlight w:val="none"/>
        </w:rPr>
        <w:t>本合同自</w:t>
      </w:r>
      <w:r>
        <w:rPr>
          <w:rFonts w:hint="eastAsia" w:ascii="宋体" w:hAnsi="宋体"/>
          <w:color w:val="auto"/>
          <w:sz w:val="24"/>
          <w:szCs w:val="24"/>
          <w:highlight w:val="none"/>
          <w:u w:val="single"/>
          <w:lang w:val="en-US" w:eastAsia="zh-CN"/>
        </w:rPr>
        <w:t>2026</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日生效。</w:t>
      </w:r>
    </w:p>
    <w:p w14:paraId="17C9E86F">
      <w:pPr>
        <w:keepNext w:val="0"/>
        <w:keepLines w:val="0"/>
        <w:pageBreakBefore w:val="0"/>
        <w:spacing w:line="520" w:lineRule="exact"/>
        <w:ind w:left="0" w:firstLine="480"/>
        <w:rPr>
          <w:rFonts w:ascii="宋体" w:hAnsi="宋体"/>
          <w:b/>
          <w:color w:val="auto"/>
          <w:sz w:val="24"/>
          <w:szCs w:val="24"/>
          <w:highlight w:val="none"/>
        </w:rPr>
      </w:pPr>
      <w:r>
        <w:rPr>
          <w:rFonts w:hint="eastAsia" w:ascii="宋体" w:hAnsi="宋体"/>
          <w:b/>
          <w:color w:val="auto"/>
          <w:sz w:val="24"/>
          <w:szCs w:val="24"/>
          <w:highlight w:val="none"/>
        </w:rPr>
        <w:t>7.合同份数</w:t>
      </w:r>
    </w:p>
    <w:p w14:paraId="1F172058">
      <w:pPr>
        <w:keepNext w:val="0"/>
        <w:keepLines w:val="0"/>
        <w:pageBreakBefore w:val="0"/>
        <w:spacing w:line="520" w:lineRule="exact"/>
        <w:ind w:left="0" w:firstLine="480"/>
        <w:rPr>
          <w:rFonts w:ascii="宋体" w:hAnsi="宋体"/>
          <w:color w:val="auto"/>
          <w:sz w:val="24"/>
          <w:szCs w:val="24"/>
          <w:highlight w:val="none"/>
        </w:rPr>
      </w:pPr>
      <w:r>
        <w:rPr>
          <w:rFonts w:hint="eastAsia" w:ascii="宋体" w:hAnsi="宋体"/>
          <w:color w:val="auto"/>
          <w:sz w:val="24"/>
          <w:szCs w:val="24"/>
          <w:highlight w:val="none"/>
        </w:rPr>
        <w:t>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份，均具有同等法律效力。</w:t>
      </w:r>
    </w:p>
    <w:p w14:paraId="7A7733EC">
      <w:pPr>
        <w:keepNext w:val="0"/>
        <w:keepLines w:val="0"/>
        <w:pageBreakBefore w:val="0"/>
        <w:spacing w:line="520" w:lineRule="exact"/>
        <w:ind w:left="0" w:firstLine="480"/>
        <w:rPr>
          <w:rFonts w:ascii="宋体" w:hAnsi="宋体"/>
          <w:color w:val="auto"/>
          <w:sz w:val="24"/>
          <w:szCs w:val="24"/>
          <w:highlight w:val="none"/>
        </w:rPr>
      </w:pPr>
      <w:r>
        <w:rPr>
          <w:rFonts w:hint="eastAsia" w:ascii="宋体" w:hAnsi="宋体"/>
          <w:color w:val="auto"/>
          <w:sz w:val="24"/>
          <w:szCs w:val="24"/>
          <w:highlight w:val="none"/>
        </w:rPr>
        <w:t>合同订立时间：</w:t>
      </w:r>
      <w:r>
        <w:rPr>
          <w:rFonts w:hint="eastAsia" w:ascii="宋体" w:hAnsi="宋体"/>
          <w:color w:val="auto"/>
          <w:sz w:val="24"/>
          <w:szCs w:val="24"/>
          <w:highlight w:val="none"/>
          <w:u w:val="single"/>
          <w:lang w:val="en-US" w:eastAsia="zh-CN"/>
        </w:rPr>
        <w:t>2026</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7521F17">
      <w:pPr>
        <w:keepNext w:val="0"/>
        <w:keepLines w:val="0"/>
        <w:pageBreakBefore w:val="0"/>
        <w:spacing w:line="520" w:lineRule="exact"/>
        <w:ind w:left="0" w:firstLine="480"/>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rPr>
        <w:t>合同订立地点：</w:t>
      </w:r>
      <w:r>
        <w:rPr>
          <w:rFonts w:hint="eastAsia" w:ascii="宋体" w:hAnsi="宋体"/>
          <w:color w:val="auto"/>
          <w:sz w:val="24"/>
          <w:szCs w:val="24"/>
          <w:highlight w:val="none"/>
          <w:u w:val="single"/>
          <w:lang w:val="en-US" w:eastAsia="zh-CN"/>
        </w:rPr>
        <w:t>江苏省盐城市滨海县</w:t>
      </w:r>
    </w:p>
    <w:p w14:paraId="4614ADB6">
      <w:pPr>
        <w:keepNext w:val="0"/>
        <w:keepLines w:val="0"/>
        <w:pageBreakBefore w:val="0"/>
        <w:spacing w:line="520" w:lineRule="exact"/>
        <w:ind w:left="0" w:firstLine="480"/>
        <w:rPr>
          <w:rFonts w:hint="eastAsia" w:ascii="宋体" w:hAnsi="宋体"/>
          <w:color w:val="auto"/>
          <w:sz w:val="24"/>
          <w:szCs w:val="24"/>
          <w:highlight w:val="none"/>
        </w:rPr>
      </w:pPr>
      <w:r>
        <w:rPr>
          <w:rFonts w:hint="eastAsia" w:ascii="宋体" w:hAnsi="宋体"/>
          <w:color w:val="auto"/>
          <w:sz w:val="24"/>
          <w:szCs w:val="24"/>
          <w:highlight w:val="none"/>
        </w:rPr>
        <w:t>附件：具体标的及其技术要求和商务要求、联合协议、分包意向协议等。</w:t>
      </w:r>
    </w:p>
    <w:p w14:paraId="72541F22">
      <w:pPr>
        <w:keepNext w:val="0"/>
        <w:keepLines w:val="0"/>
        <w:pageBreakBefore w:val="0"/>
        <w:spacing w:line="520" w:lineRule="exact"/>
        <w:ind w:left="0" w:firstLine="48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以下无正文</w:t>
      </w:r>
    </w:p>
    <w:p w14:paraId="7191D78B">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br w:type="page" w:clear="all"/>
      </w:r>
    </w:p>
    <w:tbl>
      <w:tblPr>
        <w:tblStyle w:val="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513"/>
        <w:gridCol w:w="2516"/>
        <w:gridCol w:w="2393"/>
        <w:gridCol w:w="2395"/>
      </w:tblGrid>
      <w:tr w14:paraId="063E80F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jc w:val="center"/>
        </w:trPr>
        <w:tc>
          <w:tcPr>
            <w:tcW w:w="5029" w:type="dxa"/>
            <w:gridSpan w:val="2"/>
            <w:tcBorders>
              <w:bottom w:val="single" w:color="000000" w:sz="2" w:space="0"/>
              <w:right w:val="single" w:color="000000" w:sz="2" w:space="0"/>
            </w:tcBorders>
            <w:noWrap w:val="0"/>
            <w:vAlign w:val="center"/>
          </w:tcPr>
          <w:p w14:paraId="09A21FAC">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甲方（采购人、受采购人委托签订合同的单位或采购文件约定的合同甲方）</w:t>
            </w:r>
          </w:p>
        </w:tc>
        <w:tc>
          <w:tcPr>
            <w:tcW w:w="4788" w:type="dxa"/>
            <w:gridSpan w:val="2"/>
            <w:tcBorders>
              <w:left w:val="single" w:color="000000" w:sz="2" w:space="0"/>
              <w:bottom w:val="single" w:color="000000" w:sz="2" w:space="0"/>
            </w:tcBorders>
            <w:noWrap w:val="0"/>
            <w:vAlign w:val="center"/>
          </w:tcPr>
          <w:p w14:paraId="79924197">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乙方（供应商）</w:t>
            </w:r>
          </w:p>
        </w:tc>
      </w:tr>
      <w:tr w14:paraId="4AC2E6F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jc w:val="center"/>
        </w:trPr>
        <w:tc>
          <w:tcPr>
            <w:tcW w:w="2513" w:type="dxa"/>
            <w:tcBorders>
              <w:top w:val="single" w:color="000000" w:sz="2" w:space="0"/>
              <w:bottom w:val="single" w:color="000000" w:sz="2" w:space="0"/>
              <w:right w:val="single" w:color="000000" w:sz="2" w:space="0"/>
            </w:tcBorders>
            <w:noWrap w:val="0"/>
            <w:vAlign w:val="center"/>
          </w:tcPr>
          <w:p w14:paraId="49080B37">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单位名称（公章或合同章）</w:t>
            </w:r>
          </w:p>
        </w:tc>
        <w:tc>
          <w:tcPr>
            <w:tcW w:w="2516" w:type="dxa"/>
            <w:tcBorders>
              <w:top w:val="single" w:color="000000" w:sz="2" w:space="0"/>
              <w:left w:val="single" w:color="000000" w:sz="2" w:space="0"/>
              <w:bottom w:val="single" w:color="000000" w:sz="2" w:space="0"/>
              <w:right w:val="single" w:color="000000" w:sz="2" w:space="0"/>
            </w:tcBorders>
            <w:noWrap w:val="0"/>
            <w:vAlign w:val="center"/>
          </w:tcPr>
          <w:p w14:paraId="4D80A10E">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4A8F0308">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单位名称（公章或合同章）</w:t>
            </w:r>
          </w:p>
        </w:tc>
        <w:tc>
          <w:tcPr>
            <w:tcW w:w="2395" w:type="dxa"/>
            <w:tcBorders>
              <w:top w:val="single" w:color="000000" w:sz="2" w:space="0"/>
              <w:left w:val="single" w:color="000000" w:sz="2" w:space="0"/>
              <w:bottom w:val="single" w:color="000000" w:sz="2" w:space="0"/>
            </w:tcBorders>
            <w:noWrap w:val="0"/>
            <w:vAlign w:val="center"/>
          </w:tcPr>
          <w:p w14:paraId="6D4B600E">
            <w:pPr>
              <w:jc w:val="center"/>
              <w:rPr>
                <w:spacing w:val="20"/>
                <w:sz w:val="24"/>
                <w:highlight w:val="none"/>
              </w:rPr>
            </w:pPr>
          </w:p>
        </w:tc>
      </w:tr>
      <w:tr w14:paraId="0CDE6AB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786" w:hRule="atLeast"/>
          <w:jc w:val="center"/>
        </w:trPr>
        <w:tc>
          <w:tcPr>
            <w:tcW w:w="2513" w:type="dxa"/>
            <w:vMerge w:val="restart"/>
            <w:tcBorders>
              <w:top w:val="single" w:color="000000" w:sz="2" w:space="0"/>
              <w:right w:val="single" w:color="000000" w:sz="2" w:space="0"/>
            </w:tcBorders>
            <w:noWrap w:val="0"/>
            <w:vAlign w:val="center"/>
          </w:tcPr>
          <w:p w14:paraId="4D74D465">
            <w:pPr>
              <w:keepNext w:val="0"/>
              <w:keepLines w:val="0"/>
              <w:widowControl/>
              <w:suppressLineNumbers w:val="0"/>
              <w:jc w:val="center"/>
              <w:rPr>
                <w:rFonts w:hint="default" w:ascii="Arial" w:hAnsi="Arial" w:eastAsia="宋体" w:cs="Arial"/>
                <w:i w:val="0"/>
                <w:iCs w:val="0"/>
                <w:color w:val="000000"/>
                <w:sz w:val="24"/>
                <w:szCs w:val="24"/>
                <w:u w:val="none"/>
                <w:lang w:val="en-US" w:eastAsia="zh-CN" w:bidi="ar"/>
              </w:rPr>
            </w:pPr>
            <w:r>
              <w:rPr>
                <w:rFonts w:hint="default" w:ascii="Arial" w:hAnsi="Arial" w:eastAsia="宋体" w:cs="Arial"/>
                <w:i w:val="0"/>
                <w:iCs w:val="0"/>
                <w:color w:val="000000"/>
                <w:sz w:val="24"/>
                <w:szCs w:val="24"/>
                <w:u w:val="none"/>
                <w:lang w:val="en-US" w:eastAsia="zh-CN" w:bidi="ar"/>
              </w:rPr>
              <w:t>法定代表人</w:t>
            </w:r>
          </w:p>
          <w:p w14:paraId="729DDCA9">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或其委托代理人（签章）</w:t>
            </w:r>
          </w:p>
        </w:tc>
        <w:tc>
          <w:tcPr>
            <w:tcW w:w="2516" w:type="dxa"/>
            <w:vMerge w:val="restart"/>
            <w:tcBorders>
              <w:top w:val="single" w:color="000000" w:sz="2" w:space="0"/>
              <w:left w:val="single" w:color="000000" w:sz="2" w:space="0"/>
              <w:right w:val="single" w:color="000000" w:sz="2" w:space="0"/>
            </w:tcBorders>
            <w:noWrap w:val="0"/>
            <w:vAlign w:val="center"/>
          </w:tcPr>
          <w:p w14:paraId="0A1CF065">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04359229">
            <w:pPr>
              <w:keepNext w:val="0"/>
              <w:keepLines w:val="0"/>
              <w:widowControl/>
              <w:suppressLineNumbers w:val="0"/>
              <w:jc w:val="center"/>
              <w:rPr>
                <w:rFonts w:hint="default" w:ascii="Arial" w:hAnsi="Arial" w:eastAsia="宋体" w:cs="Arial"/>
                <w:i w:val="0"/>
                <w:iCs w:val="0"/>
                <w:color w:val="000000"/>
                <w:sz w:val="24"/>
                <w:szCs w:val="24"/>
                <w:u w:val="none"/>
                <w:lang w:val="en-US" w:eastAsia="zh-CN" w:bidi="ar"/>
              </w:rPr>
            </w:pPr>
            <w:r>
              <w:rPr>
                <w:rFonts w:hint="default" w:ascii="Arial" w:hAnsi="Arial" w:eastAsia="宋体" w:cs="Arial"/>
                <w:i w:val="0"/>
                <w:iCs w:val="0"/>
                <w:color w:val="000000"/>
                <w:sz w:val="24"/>
                <w:szCs w:val="24"/>
                <w:u w:val="none"/>
                <w:lang w:val="en-US" w:eastAsia="zh-CN" w:bidi="ar"/>
              </w:rPr>
              <w:t>法定代表人</w:t>
            </w:r>
          </w:p>
          <w:p w14:paraId="4C1CAC52">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或其委托代理人（签章）</w:t>
            </w:r>
          </w:p>
        </w:tc>
        <w:tc>
          <w:tcPr>
            <w:tcW w:w="2395" w:type="dxa"/>
            <w:tcBorders>
              <w:top w:val="single" w:color="000000" w:sz="2" w:space="0"/>
              <w:left w:val="single" w:color="000000" w:sz="2" w:space="0"/>
              <w:bottom w:val="single" w:color="000000" w:sz="2" w:space="0"/>
            </w:tcBorders>
            <w:noWrap w:val="0"/>
            <w:vAlign w:val="center"/>
          </w:tcPr>
          <w:p w14:paraId="6696F034">
            <w:pPr>
              <w:jc w:val="center"/>
              <w:rPr>
                <w:sz w:val="24"/>
                <w:highlight w:val="none"/>
              </w:rPr>
            </w:pPr>
          </w:p>
        </w:tc>
      </w:tr>
      <w:tr w14:paraId="24F7BE7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513" w:type="dxa"/>
            <w:vMerge w:val="continue"/>
            <w:tcBorders>
              <w:bottom w:val="single" w:color="000000" w:sz="2" w:space="0"/>
              <w:right w:val="single" w:color="000000" w:sz="2" w:space="0"/>
            </w:tcBorders>
            <w:noWrap w:val="0"/>
            <w:vAlign w:val="center"/>
          </w:tcPr>
          <w:p w14:paraId="586DBB0B">
            <w:pPr>
              <w:jc w:val="center"/>
              <w:rPr>
                <w:sz w:val="24"/>
                <w:highlight w:val="none"/>
              </w:rPr>
            </w:pPr>
          </w:p>
        </w:tc>
        <w:tc>
          <w:tcPr>
            <w:tcW w:w="2516" w:type="dxa"/>
            <w:vMerge w:val="continue"/>
            <w:tcBorders>
              <w:top w:val="single" w:color="000000" w:sz="2" w:space="0"/>
              <w:left w:val="single" w:color="000000" w:sz="2" w:space="0"/>
              <w:bottom w:val="single" w:color="000000" w:sz="2" w:space="0"/>
              <w:right w:val="single" w:color="000000" w:sz="2" w:space="0"/>
            </w:tcBorders>
            <w:noWrap w:val="0"/>
            <w:vAlign w:val="center"/>
          </w:tcPr>
          <w:p w14:paraId="2294605C">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44ABBFC6">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拥有者性别</w:t>
            </w:r>
          </w:p>
        </w:tc>
        <w:tc>
          <w:tcPr>
            <w:tcW w:w="2395" w:type="dxa"/>
            <w:tcBorders>
              <w:top w:val="single" w:color="000000" w:sz="2" w:space="0"/>
              <w:left w:val="single" w:color="000000" w:sz="2" w:space="0"/>
              <w:bottom w:val="single" w:color="000000" w:sz="2" w:space="0"/>
            </w:tcBorders>
            <w:noWrap w:val="0"/>
            <w:vAlign w:val="center"/>
          </w:tcPr>
          <w:p w14:paraId="62572D24">
            <w:pPr>
              <w:jc w:val="center"/>
              <w:rPr>
                <w:spacing w:val="20"/>
                <w:sz w:val="24"/>
                <w:highlight w:val="none"/>
              </w:rPr>
            </w:pPr>
          </w:p>
        </w:tc>
      </w:tr>
      <w:tr w14:paraId="7227257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513" w:type="dxa"/>
            <w:tcBorders>
              <w:top w:val="single" w:color="000000" w:sz="2" w:space="0"/>
              <w:bottom w:val="single" w:color="000000" w:sz="2" w:space="0"/>
              <w:right w:val="single" w:color="000000" w:sz="2" w:space="0"/>
            </w:tcBorders>
            <w:noWrap w:val="0"/>
            <w:vAlign w:val="center"/>
          </w:tcPr>
          <w:p w14:paraId="5BAF4391">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住所</w:t>
            </w:r>
          </w:p>
        </w:tc>
        <w:tc>
          <w:tcPr>
            <w:tcW w:w="2516" w:type="dxa"/>
            <w:tcBorders>
              <w:top w:val="single" w:color="000000" w:sz="2" w:space="0"/>
              <w:left w:val="single" w:color="000000" w:sz="2" w:space="0"/>
              <w:bottom w:val="single" w:color="000000" w:sz="2" w:space="0"/>
              <w:right w:val="single" w:color="000000" w:sz="2" w:space="0"/>
            </w:tcBorders>
            <w:noWrap w:val="0"/>
            <w:vAlign w:val="center"/>
          </w:tcPr>
          <w:p w14:paraId="2D162E59">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6D588B8E">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住所</w:t>
            </w:r>
          </w:p>
        </w:tc>
        <w:tc>
          <w:tcPr>
            <w:tcW w:w="2395" w:type="dxa"/>
            <w:tcBorders>
              <w:top w:val="single" w:color="000000" w:sz="2" w:space="0"/>
              <w:left w:val="single" w:color="000000" w:sz="2" w:space="0"/>
              <w:bottom w:val="single" w:color="000000" w:sz="2" w:space="0"/>
            </w:tcBorders>
            <w:noWrap w:val="0"/>
            <w:vAlign w:val="center"/>
          </w:tcPr>
          <w:p w14:paraId="60EAF26F">
            <w:pPr>
              <w:jc w:val="center"/>
              <w:rPr>
                <w:spacing w:val="20"/>
                <w:sz w:val="24"/>
                <w:highlight w:val="none"/>
              </w:rPr>
            </w:pPr>
          </w:p>
        </w:tc>
      </w:tr>
      <w:tr w14:paraId="10E6643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513" w:type="dxa"/>
            <w:tcBorders>
              <w:top w:val="single" w:color="000000" w:sz="2" w:space="0"/>
              <w:bottom w:val="single" w:color="000000" w:sz="2" w:space="0"/>
              <w:right w:val="single" w:color="000000" w:sz="2" w:space="0"/>
            </w:tcBorders>
            <w:noWrap w:val="0"/>
            <w:vAlign w:val="center"/>
          </w:tcPr>
          <w:p w14:paraId="20DA77FE">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联</w:t>
            </w:r>
            <w:r>
              <w:rPr>
                <w:rStyle w:val="18"/>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系</w:t>
            </w:r>
            <w:r>
              <w:rPr>
                <w:rStyle w:val="18"/>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人</w:t>
            </w:r>
          </w:p>
        </w:tc>
        <w:tc>
          <w:tcPr>
            <w:tcW w:w="2516" w:type="dxa"/>
            <w:tcBorders>
              <w:top w:val="single" w:color="000000" w:sz="2" w:space="0"/>
              <w:left w:val="single" w:color="000000" w:sz="2" w:space="0"/>
              <w:bottom w:val="single" w:color="000000" w:sz="2" w:space="0"/>
              <w:right w:val="single" w:color="000000" w:sz="2" w:space="0"/>
            </w:tcBorders>
            <w:noWrap w:val="0"/>
            <w:vAlign w:val="center"/>
          </w:tcPr>
          <w:p w14:paraId="1B7AF932">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0B6F8C83">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联</w:t>
            </w:r>
            <w:r>
              <w:rPr>
                <w:rStyle w:val="18"/>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系</w:t>
            </w:r>
            <w:r>
              <w:rPr>
                <w:rStyle w:val="18"/>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人</w:t>
            </w:r>
          </w:p>
        </w:tc>
        <w:tc>
          <w:tcPr>
            <w:tcW w:w="2395" w:type="dxa"/>
            <w:tcBorders>
              <w:top w:val="single" w:color="000000" w:sz="2" w:space="0"/>
              <w:left w:val="single" w:color="000000" w:sz="2" w:space="0"/>
              <w:bottom w:val="single" w:color="000000" w:sz="2" w:space="0"/>
            </w:tcBorders>
            <w:noWrap w:val="0"/>
            <w:vAlign w:val="center"/>
          </w:tcPr>
          <w:p w14:paraId="5C069E44">
            <w:pPr>
              <w:jc w:val="center"/>
              <w:rPr>
                <w:spacing w:val="20"/>
                <w:sz w:val="24"/>
                <w:highlight w:val="none"/>
              </w:rPr>
            </w:pPr>
          </w:p>
        </w:tc>
      </w:tr>
      <w:tr w14:paraId="37A17A6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513" w:type="dxa"/>
            <w:tcBorders>
              <w:top w:val="single" w:color="000000" w:sz="2" w:space="0"/>
              <w:bottom w:val="single" w:color="000000" w:sz="2" w:space="0"/>
              <w:right w:val="single" w:color="000000" w:sz="2" w:space="0"/>
            </w:tcBorders>
            <w:noWrap w:val="0"/>
            <w:vAlign w:val="center"/>
          </w:tcPr>
          <w:p w14:paraId="5663D20F">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联系电话</w:t>
            </w:r>
          </w:p>
        </w:tc>
        <w:tc>
          <w:tcPr>
            <w:tcW w:w="2516" w:type="dxa"/>
            <w:tcBorders>
              <w:top w:val="single" w:color="000000" w:sz="2" w:space="0"/>
              <w:left w:val="single" w:color="000000" w:sz="2" w:space="0"/>
              <w:bottom w:val="single" w:color="000000" w:sz="2" w:space="0"/>
              <w:right w:val="single" w:color="000000" w:sz="2" w:space="0"/>
            </w:tcBorders>
            <w:noWrap w:val="0"/>
            <w:vAlign w:val="center"/>
          </w:tcPr>
          <w:p w14:paraId="7687622D">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2276C6A5">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联系电话</w:t>
            </w:r>
          </w:p>
        </w:tc>
        <w:tc>
          <w:tcPr>
            <w:tcW w:w="2395" w:type="dxa"/>
            <w:tcBorders>
              <w:top w:val="single" w:color="000000" w:sz="2" w:space="0"/>
              <w:left w:val="single" w:color="000000" w:sz="2" w:space="0"/>
              <w:bottom w:val="single" w:color="000000" w:sz="2" w:space="0"/>
            </w:tcBorders>
            <w:noWrap w:val="0"/>
            <w:vAlign w:val="center"/>
          </w:tcPr>
          <w:p w14:paraId="7D7A4062">
            <w:pPr>
              <w:jc w:val="center"/>
              <w:rPr>
                <w:spacing w:val="20"/>
                <w:sz w:val="24"/>
                <w:highlight w:val="none"/>
              </w:rPr>
            </w:pPr>
          </w:p>
        </w:tc>
      </w:tr>
      <w:tr w14:paraId="4FC9E91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513" w:type="dxa"/>
            <w:tcBorders>
              <w:top w:val="single" w:color="000000" w:sz="2" w:space="0"/>
              <w:bottom w:val="single" w:color="000000" w:sz="2" w:space="0"/>
              <w:right w:val="single" w:color="000000" w:sz="2" w:space="0"/>
            </w:tcBorders>
            <w:noWrap w:val="0"/>
            <w:vAlign w:val="center"/>
          </w:tcPr>
          <w:p w14:paraId="55C19AAE">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通信地址</w:t>
            </w:r>
          </w:p>
        </w:tc>
        <w:tc>
          <w:tcPr>
            <w:tcW w:w="2516" w:type="dxa"/>
            <w:tcBorders>
              <w:top w:val="single" w:color="000000" w:sz="2" w:space="0"/>
              <w:left w:val="single" w:color="000000" w:sz="2" w:space="0"/>
              <w:bottom w:val="single" w:color="000000" w:sz="2" w:space="0"/>
              <w:right w:val="single" w:color="000000" w:sz="2" w:space="0"/>
            </w:tcBorders>
            <w:noWrap w:val="0"/>
            <w:vAlign w:val="center"/>
          </w:tcPr>
          <w:p w14:paraId="68E49334">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25681C34">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通信地址</w:t>
            </w:r>
          </w:p>
        </w:tc>
        <w:tc>
          <w:tcPr>
            <w:tcW w:w="2395" w:type="dxa"/>
            <w:tcBorders>
              <w:top w:val="single" w:color="000000" w:sz="2" w:space="0"/>
              <w:left w:val="single" w:color="000000" w:sz="2" w:space="0"/>
              <w:bottom w:val="single" w:color="000000" w:sz="2" w:space="0"/>
            </w:tcBorders>
            <w:noWrap w:val="0"/>
            <w:vAlign w:val="center"/>
          </w:tcPr>
          <w:p w14:paraId="3DC35128">
            <w:pPr>
              <w:jc w:val="center"/>
              <w:rPr>
                <w:spacing w:val="20"/>
                <w:sz w:val="24"/>
                <w:highlight w:val="none"/>
              </w:rPr>
            </w:pPr>
          </w:p>
        </w:tc>
      </w:tr>
      <w:tr w14:paraId="2919562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513" w:type="dxa"/>
            <w:tcBorders>
              <w:top w:val="single" w:color="000000" w:sz="2" w:space="0"/>
              <w:bottom w:val="single" w:color="000000" w:sz="2" w:space="0"/>
              <w:right w:val="single" w:color="000000" w:sz="2" w:space="0"/>
            </w:tcBorders>
            <w:noWrap w:val="0"/>
            <w:vAlign w:val="center"/>
          </w:tcPr>
          <w:p w14:paraId="07BEA2B5">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邮政编码</w:t>
            </w:r>
          </w:p>
        </w:tc>
        <w:tc>
          <w:tcPr>
            <w:tcW w:w="2516" w:type="dxa"/>
            <w:tcBorders>
              <w:top w:val="single" w:color="000000" w:sz="2" w:space="0"/>
              <w:left w:val="single" w:color="000000" w:sz="2" w:space="0"/>
              <w:bottom w:val="single" w:color="000000" w:sz="2" w:space="0"/>
              <w:right w:val="single" w:color="000000" w:sz="2" w:space="0"/>
            </w:tcBorders>
            <w:noWrap w:val="0"/>
            <w:vAlign w:val="center"/>
          </w:tcPr>
          <w:p w14:paraId="67F7FFAC">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31A5AE3D">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邮政编码</w:t>
            </w:r>
          </w:p>
        </w:tc>
        <w:tc>
          <w:tcPr>
            <w:tcW w:w="2395" w:type="dxa"/>
            <w:tcBorders>
              <w:top w:val="single" w:color="000000" w:sz="2" w:space="0"/>
              <w:left w:val="single" w:color="000000" w:sz="2" w:space="0"/>
              <w:bottom w:val="single" w:color="000000" w:sz="2" w:space="0"/>
            </w:tcBorders>
            <w:noWrap w:val="0"/>
            <w:vAlign w:val="center"/>
          </w:tcPr>
          <w:p w14:paraId="2E6CE69E">
            <w:pPr>
              <w:jc w:val="center"/>
              <w:rPr>
                <w:spacing w:val="20"/>
                <w:sz w:val="24"/>
                <w:highlight w:val="none"/>
              </w:rPr>
            </w:pPr>
          </w:p>
        </w:tc>
      </w:tr>
      <w:tr w14:paraId="55F8650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513" w:type="dxa"/>
            <w:tcBorders>
              <w:top w:val="single" w:color="000000" w:sz="2" w:space="0"/>
              <w:bottom w:val="single" w:color="000000" w:sz="2" w:space="0"/>
              <w:right w:val="single" w:color="000000" w:sz="2" w:space="0"/>
            </w:tcBorders>
            <w:noWrap w:val="0"/>
            <w:vAlign w:val="center"/>
          </w:tcPr>
          <w:p w14:paraId="294248DF">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电子邮箱</w:t>
            </w:r>
          </w:p>
        </w:tc>
        <w:tc>
          <w:tcPr>
            <w:tcW w:w="2516" w:type="dxa"/>
            <w:tcBorders>
              <w:top w:val="single" w:color="000000" w:sz="2" w:space="0"/>
              <w:left w:val="single" w:color="000000" w:sz="2" w:space="0"/>
              <w:bottom w:val="single" w:color="000000" w:sz="2" w:space="0"/>
              <w:right w:val="single" w:color="000000" w:sz="2" w:space="0"/>
            </w:tcBorders>
            <w:noWrap w:val="0"/>
            <w:vAlign w:val="center"/>
          </w:tcPr>
          <w:p w14:paraId="4E837BD8">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38009096">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电子邮箱</w:t>
            </w:r>
          </w:p>
        </w:tc>
        <w:tc>
          <w:tcPr>
            <w:tcW w:w="2395" w:type="dxa"/>
            <w:tcBorders>
              <w:top w:val="single" w:color="000000" w:sz="2" w:space="0"/>
              <w:left w:val="single" w:color="000000" w:sz="2" w:space="0"/>
              <w:bottom w:val="single" w:color="000000" w:sz="2" w:space="0"/>
            </w:tcBorders>
            <w:noWrap w:val="0"/>
            <w:vAlign w:val="center"/>
          </w:tcPr>
          <w:p w14:paraId="3106994B">
            <w:pPr>
              <w:jc w:val="center"/>
              <w:rPr>
                <w:spacing w:val="20"/>
                <w:sz w:val="24"/>
                <w:highlight w:val="none"/>
              </w:rPr>
            </w:pPr>
          </w:p>
        </w:tc>
      </w:tr>
      <w:tr w14:paraId="618A1E1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513" w:type="dxa"/>
            <w:tcBorders>
              <w:top w:val="single" w:color="000000" w:sz="2" w:space="0"/>
              <w:bottom w:val="single" w:color="000000" w:sz="2" w:space="0"/>
              <w:right w:val="single" w:color="000000" w:sz="2" w:space="0"/>
            </w:tcBorders>
            <w:noWrap w:val="0"/>
            <w:vAlign w:val="center"/>
          </w:tcPr>
          <w:p w14:paraId="0586DC6A">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统一社会信用代码</w:t>
            </w:r>
          </w:p>
        </w:tc>
        <w:tc>
          <w:tcPr>
            <w:tcW w:w="2516" w:type="dxa"/>
            <w:tcBorders>
              <w:top w:val="single" w:color="000000" w:sz="2" w:space="0"/>
              <w:left w:val="single" w:color="000000" w:sz="2" w:space="0"/>
              <w:bottom w:val="single" w:color="000000" w:sz="2" w:space="0"/>
              <w:right w:val="single" w:color="000000" w:sz="2" w:space="0"/>
            </w:tcBorders>
            <w:noWrap w:val="0"/>
            <w:vAlign w:val="center"/>
          </w:tcPr>
          <w:p w14:paraId="4A6A443C">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004E9286">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统一社会信用代码</w:t>
            </w:r>
          </w:p>
        </w:tc>
        <w:tc>
          <w:tcPr>
            <w:tcW w:w="2395" w:type="dxa"/>
            <w:tcBorders>
              <w:top w:val="single" w:color="000000" w:sz="2" w:space="0"/>
              <w:left w:val="single" w:color="000000" w:sz="2" w:space="0"/>
              <w:bottom w:val="single" w:color="000000" w:sz="2" w:space="0"/>
            </w:tcBorders>
            <w:noWrap w:val="0"/>
            <w:vAlign w:val="center"/>
          </w:tcPr>
          <w:p w14:paraId="6E01E5FC">
            <w:pPr>
              <w:jc w:val="center"/>
              <w:rPr>
                <w:spacing w:val="20"/>
                <w:sz w:val="24"/>
                <w:highlight w:val="none"/>
              </w:rPr>
            </w:pPr>
          </w:p>
        </w:tc>
      </w:tr>
      <w:tr w14:paraId="527B171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513" w:type="dxa"/>
            <w:tcBorders>
              <w:top w:val="single" w:color="000000" w:sz="2" w:space="0"/>
              <w:bottom w:val="single" w:color="000000" w:sz="2" w:space="0"/>
              <w:right w:val="single" w:color="000000" w:sz="2" w:space="0"/>
            </w:tcBorders>
            <w:noWrap w:val="0"/>
            <w:vAlign w:val="center"/>
          </w:tcPr>
          <w:p w14:paraId="36B5ECB1">
            <w:pPr>
              <w:jc w:val="center"/>
              <w:rPr>
                <w:sz w:val="24"/>
                <w:highlight w:val="none"/>
              </w:rPr>
            </w:pPr>
          </w:p>
        </w:tc>
        <w:tc>
          <w:tcPr>
            <w:tcW w:w="2516" w:type="dxa"/>
            <w:tcBorders>
              <w:top w:val="single" w:color="000000" w:sz="2" w:space="0"/>
              <w:left w:val="single" w:color="000000" w:sz="2" w:space="0"/>
              <w:bottom w:val="single" w:color="000000" w:sz="2" w:space="0"/>
              <w:right w:val="single" w:color="000000" w:sz="2" w:space="0"/>
            </w:tcBorders>
            <w:noWrap w:val="0"/>
            <w:vAlign w:val="center"/>
          </w:tcPr>
          <w:p w14:paraId="4D8CB342">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7EF97CFD">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开户名称</w:t>
            </w:r>
          </w:p>
        </w:tc>
        <w:tc>
          <w:tcPr>
            <w:tcW w:w="2395" w:type="dxa"/>
            <w:tcBorders>
              <w:top w:val="single" w:color="000000" w:sz="2" w:space="0"/>
              <w:left w:val="single" w:color="000000" w:sz="2" w:space="0"/>
              <w:bottom w:val="single" w:color="000000" w:sz="2" w:space="0"/>
            </w:tcBorders>
            <w:noWrap w:val="0"/>
            <w:vAlign w:val="center"/>
          </w:tcPr>
          <w:p w14:paraId="4C85D0F8">
            <w:pPr>
              <w:jc w:val="center"/>
              <w:rPr>
                <w:spacing w:val="20"/>
                <w:sz w:val="24"/>
                <w:highlight w:val="none"/>
              </w:rPr>
            </w:pPr>
          </w:p>
        </w:tc>
      </w:tr>
      <w:tr w14:paraId="4E88046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513" w:type="dxa"/>
            <w:tcBorders>
              <w:top w:val="single" w:color="000000" w:sz="2" w:space="0"/>
              <w:bottom w:val="single" w:color="000000" w:sz="2" w:space="0"/>
              <w:right w:val="single" w:color="000000" w:sz="2" w:space="0"/>
            </w:tcBorders>
            <w:noWrap w:val="0"/>
            <w:vAlign w:val="center"/>
          </w:tcPr>
          <w:p w14:paraId="157543B6">
            <w:pPr>
              <w:jc w:val="center"/>
              <w:rPr>
                <w:sz w:val="24"/>
                <w:highlight w:val="none"/>
              </w:rPr>
            </w:pPr>
          </w:p>
        </w:tc>
        <w:tc>
          <w:tcPr>
            <w:tcW w:w="2516" w:type="dxa"/>
            <w:tcBorders>
              <w:top w:val="single" w:color="000000" w:sz="2" w:space="0"/>
              <w:left w:val="single" w:color="000000" w:sz="2" w:space="0"/>
              <w:bottom w:val="single" w:color="000000" w:sz="2" w:space="0"/>
              <w:right w:val="single" w:color="000000" w:sz="2" w:space="0"/>
            </w:tcBorders>
            <w:noWrap w:val="0"/>
            <w:vAlign w:val="center"/>
          </w:tcPr>
          <w:p w14:paraId="6A908127">
            <w:pPr>
              <w:jc w:val="center"/>
              <w:rPr>
                <w:sz w:val="24"/>
                <w:highlight w:val="none"/>
              </w:rPr>
            </w:pPr>
          </w:p>
        </w:tc>
        <w:tc>
          <w:tcPr>
            <w:tcW w:w="2393" w:type="dxa"/>
            <w:tcBorders>
              <w:top w:val="single" w:color="000000" w:sz="2" w:space="0"/>
              <w:left w:val="single" w:color="000000" w:sz="2" w:space="0"/>
              <w:bottom w:val="single" w:color="000000" w:sz="2" w:space="0"/>
              <w:right w:val="single" w:color="000000" w:sz="2" w:space="0"/>
            </w:tcBorders>
            <w:noWrap w:val="0"/>
            <w:vAlign w:val="center"/>
          </w:tcPr>
          <w:p w14:paraId="0157BA30">
            <w:pPr>
              <w:keepNext w:val="0"/>
              <w:keepLines w:val="0"/>
              <w:widowControl/>
              <w:suppressLineNumbers w:val="0"/>
              <w:jc w:val="center"/>
              <w:rPr>
                <w:sz w:val="24"/>
                <w:highlight w:val="none"/>
              </w:rPr>
            </w:pPr>
            <w:r>
              <w:rPr>
                <w:rFonts w:hint="default" w:ascii="Arial" w:hAnsi="Arial" w:eastAsia="宋体" w:cs="Arial"/>
                <w:i w:val="0"/>
                <w:iCs w:val="0"/>
                <w:color w:val="000000"/>
                <w:sz w:val="24"/>
                <w:szCs w:val="24"/>
                <w:u w:val="none"/>
                <w:lang w:val="en-US" w:eastAsia="zh-CN" w:bidi="ar"/>
              </w:rPr>
              <w:t>开户银行</w:t>
            </w:r>
          </w:p>
        </w:tc>
        <w:tc>
          <w:tcPr>
            <w:tcW w:w="2395" w:type="dxa"/>
            <w:tcBorders>
              <w:top w:val="single" w:color="000000" w:sz="2" w:space="0"/>
              <w:left w:val="single" w:color="000000" w:sz="2" w:space="0"/>
              <w:bottom w:val="single" w:color="000000" w:sz="2" w:space="0"/>
            </w:tcBorders>
            <w:noWrap w:val="0"/>
            <w:vAlign w:val="center"/>
          </w:tcPr>
          <w:p w14:paraId="4A99CC12">
            <w:pPr>
              <w:jc w:val="center"/>
              <w:rPr>
                <w:spacing w:val="20"/>
                <w:sz w:val="24"/>
                <w:highlight w:val="none"/>
              </w:rPr>
            </w:pPr>
          </w:p>
        </w:tc>
      </w:tr>
      <w:tr w14:paraId="13AD0E6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2513" w:type="dxa"/>
            <w:tcBorders>
              <w:top w:val="single" w:color="000000" w:sz="2" w:space="0"/>
              <w:bottom w:val="single" w:color="000000" w:sz="2" w:space="0"/>
            </w:tcBorders>
            <w:noWrap w:val="0"/>
            <w:vAlign w:val="center"/>
          </w:tcPr>
          <w:p w14:paraId="4A39EE2F">
            <w:pPr>
              <w:jc w:val="center"/>
              <w:rPr>
                <w:spacing w:val="20"/>
                <w:sz w:val="24"/>
                <w:highlight w:val="none"/>
              </w:rPr>
            </w:pPr>
          </w:p>
        </w:tc>
        <w:tc>
          <w:tcPr>
            <w:tcW w:w="2516" w:type="dxa"/>
            <w:tcBorders>
              <w:top w:val="single" w:color="000000" w:sz="2" w:space="0"/>
              <w:bottom w:val="single" w:color="000000" w:sz="2" w:space="0"/>
            </w:tcBorders>
            <w:noWrap w:val="0"/>
            <w:vAlign w:val="center"/>
          </w:tcPr>
          <w:p w14:paraId="62242177">
            <w:pPr>
              <w:jc w:val="center"/>
            </w:pPr>
          </w:p>
        </w:tc>
        <w:tc>
          <w:tcPr>
            <w:tcW w:w="2393" w:type="dxa"/>
            <w:tcBorders>
              <w:top w:val="single" w:color="000000" w:sz="2" w:space="0"/>
              <w:bottom w:val="single" w:color="000000" w:sz="2" w:space="0"/>
            </w:tcBorders>
            <w:noWrap w:val="0"/>
            <w:vAlign w:val="center"/>
          </w:tcPr>
          <w:p w14:paraId="31564274">
            <w:pPr>
              <w:keepNext w:val="0"/>
              <w:keepLines w:val="0"/>
              <w:widowControl/>
              <w:suppressLineNumbers w:val="0"/>
              <w:jc w:val="center"/>
            </w:pPr>
            <w:r>
              <w:rPr>
                <w:rFonts w:hint="default" w:ascii="Arial" w:hAnsi="Arial" w:eastAsia="宋体" w:cs="Arial"/>
                <w:i w:val="0"/>
                <w:iCs w:val="0"/>
                <w:color w:val="000000"/>
                <w:sz w:val="24"/>
                <w:szCs w:val="24"/>
                <w:u w:val="none"/>
                <w:lang w:val="en-US" w:eastAsia="zh-CN" w:bidi="ar"/>
              </w:rPr>
              <w:t>银行账号</w:t>
            </w:r>
          </w:p>
        </w:tc>
        <w:tc>
          <w:tcPr>
            <w:tcW w:w="2395" w:type="dxa"/>
            <w:tcBorders>
              <w:top w:val="single" w:color="000000" w:sz="2" w:space="0"/>
              <w:bottom w:val="single" w:color="000000" w:sz="2" w:space="0"/>
            </w:tcBorders>
            <w:noWrap w:val="0"/>
            <w:vAlign w:val="center"/>
          </w:tcPr>
          <w:p w14:paraId="1D2EDCFD">
            <w:pPr>
              <w:jc w:val="center"/>
            </w:pPr>
          </w:p>
        </w:tc>
      </w:tr>
      <w:tr w14:paraId="7E192ED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9817" w:type="dxa"/>
            <w:gridSpan w:val="4"/>
            <w:tcBorders>
              <w:top w:val="single" w:color="000000" w:sz="2" w:space="0"/>
            </w:tcBorders>
            <w:noWrap w:val="0"/>
            <w:vAlign w:val="center"/>
          </w:tcPr>
          <w:p w14:paraId="5B15FE82">
            <w:pPr>
              <w:jc w:val="center"/>
            </w:pPr>
            <w:r>
              <w:rPr>
                <w:rFonts w:hint="eastAsia" w:ascii="宋体" w:hAnsi="宋体"/>
                <w:sz w:val="24"/>
                <w:highlight w:val="none"/>
              </w:rPr>
              <w:t>注：涉及联合体或其他合同主体的信息应按上表格式加列。</w:t>
            </w:r>
          </w:p>
        </w:tc>
      </w:tr>
    </w:tbl>
    <w:p w14:paraId="7927B754">
      <w:pPr>
        <w:keepNext w:val="0"/>
        <w:keepLines w:val="0"/>
        <w:pageBreakBefore w:val="0"/>
        <w:spacing w:line="520" w:lineRule="exact"/>
        <w:ind w:left="0" w:firstLine="480"/>
        <w:rPr>
          <w:rFonts w:hint="default" w:ascii="宋体" w:hAnsi="宋体" w:eastAsia="宋体"/>
          <w:color w:val="auto"/>
          <w:sz w:val="24"/>
          <w:szCs w:val="24"/>
          <w:highlight w:val="none"/>
          <w:lang w:val="en-US" w:eastAsia="zh-CN"/>
        </w:rPr>
      </w:pPr>
    </w:p>
    <w:p w14:paraId="0CBB941E">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clear="all"/>
      </w:r>
    </w:p>
    <w:p w14:paraId="5961F55F">
      <w:pPr>
        <w:pStyle w:val="8"/>
        <w:keepNext w:val="0"/>
        <w:keepLines w:val="0"/>
        <w:pageBreakBefore w:val="0"/>
        <w:widowControl w:val="0"/>
        <w:numPr>
          <w:ilvl w:val="0"/>
          <w:numId w:val="0"/>
        </w:numPr>
        <w:spacing w:beforeAutospacing="0" w:afterAutospacing="0" w:line="360" w:lineRule="auto"/>
        <w:jc w:val="center"/>
        <w:outlineLvl w:val="0"/>
        <w:rPr>
          <w:rFonts w:hint="eastAsia" w:ascii="方正小标宋简体" w:hAnsi="方正小标宋简体" w:eastAsia="方正小标宋简体" w:cs="方正小标宋简体"/>
          <w:sz w:val="36"/>
          <w:szCs w:val="36"/>
          <w:highlight w:val="none"/>
          <w:lang w:val="en-US" w:eastAsia="zh-CN" w:bidi="ar-SA"/>
        </w:rPr>
      </w:pPr>
      <w:bookmarkStart w:id="154" w:name="_Toc27624"/>
      <w:r>
        <w:rPr>
          <w:rFonts w:hint="eastAsia" w:ascii="方正小标宋简体" w:hAnsi="方正小标宋简体" w:eastAsia="方正小标宋简体" w:cs="方正小标宋简体"/>
          <w:sz w:val="36"/>
          <w:szCs w:val="36"/>
          <w:lang w:val="en-US" w:eastAsia="zh-CN" w:bidi="ar-SA"/>
        </w:rPr>
        <w:t xml:space="preserve">第二节 </w:t>
      </w:r>
      <w:r>
        <w:rPr>
          <w:rFonts w:hint="eastAsia" w:ascii="方正小标宋简体" w:hAnsi="方正小标宋简体" w:eastAsia="方正小标宋简体" w:cs="方正小标宋简体"/>
          <w:sz w:val="36"/>
          <w:szCs w:val="36"/>
          <w:highlight w:val="none"/>
          <w:lang w:val="en-US" w:eastAsia="zh-CN" w:bidi="ar-SA"/>
        </w:rPr>
        <w:t>政府采购合同通用条款</w:t>
      </w:r>
      <w:bookmarkEnd w:id="154"/>
    </w:p>
    <w:p w14:paraId="0678C2D7">
      <w:pPr>
        <w:keepNext w:val="0"/>
        <w:keepLines w:val="0"/>
        <w:pageBreakBefore w:val="0"/>
        <w:tabs>
          <w:tab w:val="left" w:pos="8820"/>
          <w:tab w:val="left" w:pos="9345"/>
          <w:tab w:val="left" w:pos="9765"/>
        </w:tabs>
        <w:spacing w:beforeAutospacing="0" w:afterAutospacing="0" w:line="520" w:lineRule="exact"/>
        <w:jc w:val="left"/>
        <w:rPr>
          <w:rFonts w:hint="eastAsia" w:ascii="宋体" w:hAnsi="宋体" w:eastAsia="宋体" w:cs="宋体"/>
          <w:b/>
          <w:bCs/>
          <w:sz w:val="24"/>
          <w:szCs w:val="24"/>
          <w:highlight w:val="none"/>
        </w:rPr>
      </w:pPr>
      <w:r>
        <w:rPr>
          <w:rFonts w:hint="eastAsia" w:ascii="宋体" w:hAnsi="宋体" w:eastAsia="宋体" w:cs="宋体"/>
          <w:b/>
          <w:sz w:val="24"/>
          <w:szCs w:val="24"/>
          <w:highlight w:val="none"/>
        </w:rPr>
        <w:t>1.</w:t>
      </w:r>
      <w:r>
        <w:rPr>
          <w:rFonts w:hint="eastAsia" w:ascii="宋体" w:hAnsi="宋体" w:eastAsia="宋体" w:cs="宋体"/>
          <w:b/>
          <w:bCs/>
          <w:sz w:val="24"/>
          <w:szCs w:val="24"/>
          <w:highlight w:val="none"/>
        </w:rPr>
        <w:t>定义</w:t>
      </w:r>
    </w:p>
    <w:p w14:paraId="6041FFAE">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1.1合同当事人</w:t>
      </w:r>
    </w:p>
    <w:p w14:paraId="51A66598">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（1）采购人（以下称甲方）是指使用财政性资金，通过政府采购方式向供应商购买货物及其相关服务的国家机关、事业单位、团体组织。</w:t>
      </w:r>
    </w:p>
    <w:p w14:paraId="2D44D264">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（2）供应商（以下称乙方）是指参加政府采购活动并且中标（成交），向采购人提供合同约定的货物及其相关服务的法人、非法人组织或者自然人。</w:t>
      </w:r>
    </w:p>
    <w:p w14:paraId="1E5B3031">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（3）其他合同主体是指除采购人和供应商以外，</w:t>
      </w:r>
      <w:r>
        <w:rPr>
          <w:rFonts w:hint="eastAsia" w:ascii="宋体" w:hAnsi="宋体" w:eastAsia="宋体" w:cs="宋体"/>
          <w:bCs/>
          <w:color w:val="000000" w:themeColor="text1"/>
          <w:sz w:val="24"/>
          <w:szCs w:val="24"/>
          <w:highlight w:val="none"/>
          <w14:textFill>
            <w14:solidFill>
              <w14:schemeClr w14:val="tx1"/>
            </w14:solidFill>
          </w14:textFill>
        </w:rPr>
        <w:t>依法参与合同缔结或履行，享有权利、承担义务的合同当事人</w:t>
      </w:r>
      <w:r>
        <w:rPr>
          <w:rFonts w:hint="eastAsia" w:ascii="宋体" w:hAnsi="宋体" w:eastAsia="宋体" w:cs="宋体"/>
          <w:sz w:val="24"/>
          <w:szCs w:val="24"/>
          <w:highlight w:val="none"/>
        </w:rPr>
        <w:t>。</w:t>
      </w:r>
    </w:p>
    <w:p w14:paraId="72D907AC">
      <w:pPr>
        <w:keepNext w:val="0"/>
        <w:keepLines w:val="0"/>
        <w:pageBreakBefore w:val="0"/>
        <w:tabs>
          <w:tab w:val="left" w:pos="570"/>
          <w:tab w:val="left" w:pos="9240"/>
          <w:tab w:val="left" w:pos="9555"/>
        </w:tabs>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1.2本合同下列术语应解释为：</w:t>
      </w:r>
    </w:p>
    <w:p w14:paraId="09CDCDE7">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（1）“合同”系指</w:t>
      </w:r>
      <w:r>
        <w:rPr>
          <w:rFonts w:hint="eastAsia" w:ascii="宋体" w:hAnsi="宋体" w:eastAsia="宋体" w:cs="宋体"/>
          <w:bCs/>
          <w:color w:val="000000" w:themeColor="text1"/>
          <w:sz w:val="24"/>
          <w:szCs w:val="24"/>
          <w:highlight w:val="none"/>
          <w14:textFill>
            <w14:solidFill>
              <w14:schemeClr w14:val="tx1"/>
            </w14:solidFill>
          </w14:textFill>
        </w:rPr>
        <w:t>合同当事人意思表示达成一致的任何协议，包括签署的</w:t>
      </w:r>
      <w:r>
        <w:rPr>
          <w:rFonts w:hint="eastAsia" w:ascii="宋体" w:hAnsi="宋体" w:eastAsia="宋体" w:cs="宋体"/>
          <w:sz w:val="24"/>
          <w:szCs w:val="24"/>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4"/>
          <w:szCs w:val="24"/>
          <w:highlight w:val="none"/>
          <w14:textFill>
            <w14:solidFill>
              <w14:schemeClr w14:val="tx1"/>
            </w14:solidFill>
          </w14:textFill>
        </w:rPr>
        <w:t>国家法律、行政法规和规章制度规定或合同约定的作为合同组成部分的其他文件</w:t>
      </w:r>
      <w:r>
        <w:rPr>
          <w:rFonts w:hint="eastAsia" w:ascii="宋体" w:hAnsi="宋体" w:eastAsia="宋体" w:cs="宋体"/>
          <w:sz w:val="24"/>
          <w:szCs w:val="24"/>
          <w:highlight w:val="none"/>
        </w:rPr>
        <w:t>。</w:t>
      </w:r>
    </w:p>
    <w:p w14:paraId="6C03A201">
      <w:pPr>
        <w:keepNext w:val="0"/>
        <w:keepLines w:val="0"/>
        <w:pageBreakBefore w:val="0"/>
        <w:tabs>
          <w:tab w:val="left" w:pos="570"/>
          <w:tab w:val="left" w:pos="9240"/>
          <w:tab w:val="left" w:pos="9555"/>
        </w:tabs>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（2）“合同价款”系指根据本合同规定乙方在全面履行合同义务后甲方应支付给乙方的价款。</w:t>
      </w:r>
    </w:p>
    <w:p w14:paraId="48F613C6">
      <w:pPr>
        <w:keepNext w:val="0"/>
        <w:keepLines w:val="0"/>
        <w:pageBreakBefore w:val="0"/>
        <w:tabs>
          <w:tab w:val="left" w:pos="570"/>
          <w:tab w:val="left" w:pos="9240"/>
          <w:tab w:val="left" w:pos="9555"/>
        </w:tabs>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（3）“货物”系指乙方根据本合同规定须向甲方提供的各种形态和种类的物品，包括原材料、设备、产品（</w:t>
      </w:r>
      <w:r>
        <w:rPr>
          <w:rFonts w:hint="eastAsia" w:ascii="宋体" w:hAnsi="宋体" w:eastAsia="宋体" w:cs="宋体"/>
          <w:color w:val="000000" w:themeColor="text1"/>
          <w:sz w:val="24"/>
          <w:szCs w:val="24"/>
          <w:highlight w:val="none"/>
          <w14:textFill>
            <w14:solidFill>
              <w14:schemeClr w14:val="tx1"/>
            </w14:solidFill>
          </w14:textFill>
        </w:rPr>
        <w:t>包括软件）及相关</w:t>
      </w:r>
      <w:r>
        <w:rPr>
          <w:rFonts w:hint="eastAsia" w:ascii="宋体" w:hAnsi="宋体" w:eastAsia="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技术资料和材料等。</w:t>
      </w:r>
    </w:p>
    <w:p w14:paraId="1D0D8FB5">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sz w:val="24"/>
          <w:szCs w:val="24"/>
          <w:highlight w:val="none"/>
        </w:rPr>
        <w:t>相关</w:t>
      </w:r>
      <w:r>
        <w:rPr>
          <w:rFonts w:hint="eastAsia" w:ascii="宋体" w:hAnsi="宋体" w:eastAsia="宋体" w:cs="宋体"/>
          <w:color w:val="000000" w:themeColor="text1"/>
          <w:sz w:val="24"/>
          <w:szCs w:val="24"/>
          <w:highlight w:val="none"/>
          <w14:textFill>
            <w14:solidFill>
              <w14:schemeClr w14:val="tx1"/>
            </w14:solidFill>
          </w14:textFill>
        </w:rPr>
        <w:t>服务”系指根据合同规定，乙方应提供的与货物有关的技术、管理和</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义务。</w:t>
      </w:r>
    </w:p>
    <w:p w14:paraId="211DE350">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57E03A46">
      <w:pPr>
        <w:keepNext w:val="0"/>
        <w:keepLines w:val="0"/>
        <w:pageBreakBefore w:val="0"/>
        <w:tabs>
          <w:tab w:val="left" w:pos="570"/>
          <w:tab w:val="left" w:pos="9240"/>
          <w:tab w:val="left" w:pos="9555"/>
        </w:tabs>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sz w:val="24"/>
          <w:szCs w:val="24"/>
          <w:highlight w:val="none"/>
        </w:rPr>
        <w:t>“联合体”系指由两个以上的自然人、法人或者非法人组织组成，以一个供应商的身份共同参加政府采购的主体</w:t>
      </w:r>
      <w:r>
        <w:rPr>
          <w:rFonts w:hint="eastAsia" w:ascii="宋体" w:hAnsi="宋体" w:eastAsia="宋体" w:cs="宋体"/>
          <w:color w:val="000000" w:themeColor="text1"/>
          <w:sz w:val="24"/>
          <w:szCs w:val="24"/>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189FDBCC">
      <w:pPr>
        <w:keepNext w:val="0"/>
        <w:keepLines w:val="0"/>
        <w:pageBreakBefore w:val="0"/>
        <w:tabs>
          <w:tab w:val="left" w:pos="570"/>
          <w:tab w:val="left" w:pos="9240"/>
          <w:tab w:val="left" w:pos="9555"/>
        </w:tabs>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（7）其他术语解释，见【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4FEE2485">
      <w:pPr>
        <w:keepNext w:val="0"/>
        <w:keepLines w:val="0"/>
        <w:pageBreakBefore w:val="0"/>
        <w:numPr>
          <w:ilvl w:val="0"/>
          <w:numId w:val="0"/>
        </w:numPr>
        <w:spacing w:beforeAutospacing="0" w:afterAutospacing="0" w:line="520" w:lineRule="exact"/>
        <w:ind w:left="0"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合同标的及金额</w:t>
      </w:r>
    </w:p>
    <w:p w14:paraId="2C46EBD7">
      <w:pPr>
        <w:keepNext w:val="0"/>
        <w:keepLines w:val="0"/>
        <w:pageBreakBefore w:val="0"/>
        <w:spacing w:beforeAutospacing="0" w:afterAutospacing="0" w:line="520" w:lineRule="exact"/>
        <w:ind w:firstLine="480"/>
        <w:jc w:val="left"/>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2.1合同标的及金额应与中标（成交）结果一致。乙方为履行本合同而发生的所有费用均应包含在合同价款中，甲方不再另行支付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任何费用。</w:t>
      </w:r>
    </w:p>
    <w:p w14:paraId="7B9C8FB7">
      <w:pPr>
        <w:keepNext w:val="0"/>
        <w:keepLines w:val="0"/>
        <w:pageBreakBefore w:val="0"/>
        <w:spacing w:beforeAutospacing="0" w:afterAutospacing="0" w:line="520" w:lineRule="exact"/>
        <w:ind w:firstLine="482"/>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3.履行合同的时间、地点和方式</w:t>
      </w:r>
    </w:p>
    <w:p w14:paraId="402E8020">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w:t>
      </w:r>
      <w:r>
        <w:rPr>
          <w:rFonts w:hint="eastAsia" w:ascii="宋体" w:hAnsi="宋体" w:eastAsia="宋体" w:cs="宋体"/>
          <w:sz w:val="24"/>
          <w:szCs w:val="24"/>
          <w:highlight w:val="none"/>
        </w:rPr>
        <w:t>乙方应当在约定的时间、地点，按照约定方式履行合同。</w:t>
      </w:r>
    </w:p>
    <w:p w14:paraId="1525BC77">
      <w:pPr>
        <w:keepNext w:val="0"/>
        <w:keepLines w:val="0"/>
        <w:pageBreakBefore w:val="0"/>
        <w:spacing w:beforeAutospacing="0" w:afterAutospacing="0" w:line="520" w:lineRule="exact"/>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4.甲方的权利和义务</w:t>
      </w:r>
    </w:p>
    <w:p w14:paraId="3A4DDB67">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4.1签署合同后，甲方应确定项目负责人（或项目联系人），负责与本合同有关的事务。甲方有权对乙方的履约行为进行检查，并及时确认乙方提交的事项。甲方应当配合乙方完成相关项目实施工作。</w:t>
      </w:r>
    </w:p>
    <w:p w14:paraId="672B76CB">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4.2甲方有权要求乙方按时提交各阶段有关安排计划，并有权定期核对乙方提供货物数量、规格、质量等内容。甲方有权督促乙方工作并要求乙方更换不符合要求的货物。</w:t>
      </w:r>
    </w:p>
    <w:p w14:paraId="753AB003">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4.3甲方有权要求乙方对缺陷部分予以修复，并按合同约定享有货物保修及其他合同约定的权利。</w:t>
      </w:r>
    </w:p>
    <w:p w14:paraId="7C9B491A">
      <w:pPr>
        <w:keepNext w:val="0"/>
        <w:keepLines w:val="0"/>
        <w:pageBreakBefore w:val="0"/>
        <w:spacing w:beforeAutospacing="0" w:afterAutospacing="0" w:line="520" w:lineRule="exact"/>
        <w:ind w:firstLine="480"/>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4.4甲方应当按照合同约定及时对交付的货物进行验收，</w:t>
      </w:r>
      <w:r>
        <w:rPr>
          <w:rFonts w:hint="eastAsia" w:ascii="宋体" w:hAnsi="宋体" w:eastAsia="宋体" w:cs="宋体"/>
          <w:sz w:val="24"/>
          <w:szCs w:val="24"/>
          <w:highlight w:val="none"/>
        </w:rPr>
        <w:t>未</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约定的期限内对乙方履约提出任何异议或者向乙方作出任何说明的，</w:t>
      </w:r>
      <w:r>
        <w:rPr>
          <w:rFonts w:hint="eastAsia" w:ascii="宋体" w:hAnsi="宋体" w:eastAsia="宋体" w:cs="宋体"/>
          <w:color w:val="000000" w:themeColor="text1"/>
          <w:sz w:val="24"/>
          <w:szCs w:val="24"/>
          <w:highlight w:val="none"/>
          <w14:textFill>
            <w14:solidFill>
              <w14:schemeClr w14:val="tx1"/>
            </w14:solidFill>
          </w14:textFill>
        </w:rPr>
        <w:t>视为验收通过。</w:t>
      </w:r>
    </w:p>
    <w:p w14:paraId="04C4EEB6">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4.5甲方应当根据合同约定及时向乙方支付合同价款，不得以内部人员变更、履行内部付款流程等为由，拒绝或迟延支付。</w:t>
      </w:r>
    </w:p>
    <w:p w14:paraId="2F7C2516">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4.6国家法律法规规定及</w:t>
      </w:r>
      <w:r>
        <w:rPr>
          <w:rFonts w:hint="eastAsia" w:ascii="宋体" w:hAnsi="宋体" w:eastAsia="宋体" w:cs="宋体"/>
          <w:b/>
          <w:bCs/>
          <w:sz w:val="24"/>
          <w:szCs w:val="24"/>
          <w:highlight w:val="none"/>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约定应由甲方承担的其他义务和责任。</w:t>
      </w:r>
    </w:p>
    <w:p w14:paraId="4BDF1C8D">
      <w:pPr>
        <w:keepNext w:val="0"/>
        <w:keepLines w:val="0"/>
        <w:pageBreakBefore w:val="0"/>
        <w:spacing w:beforeAutospacing="0" w:afterAutospacing="0" w:line="520" w:lineRule="exact"/>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5.乙方的权利和义务</w:t>
      </w:r>
    </w:p>
    <w:p w14:paraId="07D9C432">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5.1签署合同后，乙方应确定项目负责人（或项目联系人），负责与本合同有关的事务。</w:t>
      </w:r>
    </w:p>
    <w:p w14:paraId="3955E79B">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AA9AA28">
      <w:pPr>
        <w:pStyle w:val="4"/>
        <w:keepNext w:val="0"/>
        <w:keepLines w:val="0"/>
        <w:pageBreakBefore w:val="0"/>
        <w:spacing w:beforeAutospacing="0" w:after="0" w:afterAutospacing="0"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5.3乙方有权根据合同约定向甲方收取合同价款。</w:t>
      </w:r>
    </w:p>
    <w:p w14:paraId="3D205ECD">
      <w:pPr>
        <w:pStyle w:val="4"/>
        <w:keepNext w:val="0"/>
        <w:keepLines w:val="0"/>
        <w:pageBreakBefore w:val="0"/>
        <w:spacing w:beforeAutospacing="0" w:after="0" w:afterAutospacing="0"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5.4国家法律法规规定及</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约定应</w:t>
      </w:r>
      <w:r>
        <w:rPr>
          <w:rFonts w:hint="eastAsia" w:ascii="宋体" w:hAnsi="宋体" w:eastAsia="宋体" w:cs="宋体"/>
          <w:color w:val="000000" w:themeColor="text1"/>
          <w:sz w:val="24"/>
          <w:szCs w:val="24"/>
          <w:highlight w:val="none"/>
          <w14:textFill>
            <w14:solidFill>
              <w14:schemeClr w14:val="tx1"/>
            </w14:solidFill>
          </w14:textFill>
        </w:rPr>
        <w:t>由乙方承担的其他义务和责任。</w:t>
      </w:r>
    </w:p>
    <w:p w14:paraId="79EB22F7">
      <w:pPr>
        <w:keepNext w:val="0"/>
        <w:keepLines w:val="0"/>
        <w:pageBreakBefore w:val="0"/>
        <w:numPr>
          <w:ilvl w:val="0"/>
          <w:numId w:val="0"/>
        </w:numPr>
        <w:spacing w:beforeAutospacing="0" w:afterAutospacing="0" w:line="520" w:lineRule="exact"/>
        <w:ind w:left="0"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合同履行</w:t>
      </w:r>
    </w:p>
    <w:p w14:paraId="15FF8D26">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6.1甲乙双方应当按照</w:t>
      </w:r>
      <w:r>
        <w:rPr>
          <w:rFonts w:hint="eastAsia" w:ascii="宋体" w:hAnsi="宋体" w:eastAsia="宋体" w:cs="宋体"/>
          <w:b/>
          <w:bCs/>
          <w:sz w:val="24"/>
          <w:szCs w:val="24"/>
          <w:highlight w:val="none"/>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约定顺序履行合同义务；如果没有先后顺序的，应当同时履行。</w:t>
      </w:r>
    </w:p>
    <w:p w14:paraId="076AB809">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6.2甲乙双方按照合同约定顺序履行合同义务时，应当先履行一方未履行的，后履行一方有权拒绝其履行请求。先履行一方履行不符合约定的，后履行一方有权拒绝其相应的履行请求。</w:t>
      </w:r>
    </w:p>
    <w:p w14:paraId="7C349D6E">
      <w:pPr>
        <w:keepNext w:val="0"/>
        <w:keepLines w:val="0"/>
        <w:pageBreakBefore w:val="0"/>
        <w:spacing w:beforeAutospacing="0" w:afterAutospacing="0" w:line="520" w:lineRule="exact"/>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7.货物包装、运输、保险和交付要求</w:t>
      </w:r>
    </w:p>
    <w:p w14:paraId="51F7566C">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7.1本合同</w:t>
      </w:r>
      <w:r>
        <w:rPr>
          <w:rFonts w:hint="eastAsia" w:ascii="宋体" w:hAnsi="宋体" w:eastAsia="宋体" w:cs="宋体"/>
          <w:bCs/>
          <w:color w:val="000000" w:themeColor="text1"/>
          <w:sz w:val="24"/>
          <w:szCs w:val="24"/>
          <w:highlight w:val="none"/>
          <w14:textFill>
            <w14:solidFill>
              <w14:schemeClr w14:val="tx1"/>
            </w14:solidFill>
          </w14:textFill>
        </w:rPr>
        <w:t>涉及商品包装、快递包装的，</w:t>
      </w:r>
      <w:r>
        <w:rPr>
          <w:rFonts w:hint="eastAsia" w:ascii="宋体" w:hAnsi="宋体" w:eastAsia="宋体" w:cs="宋体"/>
          <w:color w:val="000000" w:themeColor="text1"/>
          <w:sz w:val="24"/>
          <w:szCs w:val="24"/>
          <w:highlight w:val="none"/>
          <w14:textFill>
            <w14:solidFill>
              <w14:schemeClr w14:val="tx1"/>
            </w14:solidFill>
          </w14:textFill>
        </w:rPr>
        <w:t>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另有约定外，</w:t>
      </w:r>
      <w:r>
        <w:rPr>
          <w:rFonts w:hint="eastAsia" w:ascii="宋体" w:hAnsi="宋体" w:eastAsia="宋体" w:cs="宋体"/>
          <w:color w:val="000000" w:themeColor="text1"/>
          <w:sz w:val="24"/>
          <w:szCs w:val="24"/>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约定的</w:t>
      </w:r>
      <w:r>
        <w:rPr>
          <w:rFonts w:hint="eastAsia" w:ascii="宋体" w:hAnsi="宋体" w:eastAsia="宋体" w:cs="宋体"/>
          <w:color w:val="000000" w:themeColor="text1"/>
          <w:sz w:val="24"/>
          <w:szCs w:val="24"/>
          <w:highlight w:val="none"/>
          <w14:textFill>
            <w14:solidFill>
              <w14:schemeClr w14:val="tx1"/>
            </w14:solidFill>
          </w14:textFill>
        </w:rPr>
        <w:t>指定现场。</w:t>
      </w:r>
    </w:p>
    <w:p w14:paraId="5AD4DEBB">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另有约定外，</w:t>
      </w:r>
      <w:r>
        <w:rPr>
          <w:rFonts w:hint="eastAsia" w:ascii="宋体" w:hAnsi="宋体" w:eastAsia="宋体" w:cs="宋体"/>
          <w:color w:val="000000" w:themeColor="text1"/>
          <w:sz w:val="24"/>
          <w:szCs w:val="24"/>
          <w:highlight w:val="none"/>
          <w14:textFill>
            <w14:solidFill>
              <w14:schemeClr w14:val="tx1"/>
            </w14:solidFill>
          </w14:textFill>
        </w:rPr>
        <w:t>乙方负责办理将货物运抵本合同规定的交货地点，并装卸、交付至甲方的一切运输事项，相关费用应包含在合同价款中。</w:t>
      </w:r>
    </w:p>
    <w:p w14:paraId="0F0F897F">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7.3货物保险要求按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18C078B9">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A974AA6">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w:t>
      </w:r>
      <w:r>
        <w:rPr>
          <w:rFonts w:hint="eastAsia" w:ascii="宋体" w:hAnsi="宋体" w:eastAsia="宋体" w:cs="宋体"/>
          <w:color w:val="000000"/>
          <w:sz w:val="24"/>
          <w:szCs w:val="24"/>
          <w:highlight w:val="none"/>
        </w:rPr>
        <w:t>乙方在运输到达之前应提前通知甲方，并提示货物运输装卸的注意事项，甲方配合乙方做好货物的接收工作。</w:t>
      </w:r>
    </w:p>
    <w:p w14:paraId="53E649E5">
      <w:pPr>
        <w:pStyle w:val="19"/>
        <w:keepNext w:val="0"/>
        <w:keepLines w:val="0"/>
        <w:pageBreakBefore w:val="0"/>
        <w:spacing w:beforeAutospacing="0" w:afterAutospacing="0" w:line="520" w:lineRule="exact"/>
        <w:ind w:firstLine="480"/>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7.6</w:t>
      </w:r>
      <w:r>
        <w:rPr>
          <w:rFonts w:hint="eastAsia" w:ascii="宋体" w:hAnsi="宋体" w:eastAsia="宋体" w:cs="宋体"/>
          <w:color w:val="000000"/>
          <w:sz w:val="24"/>
          <w:szCs w:val="24"/>
          <w:highlight w:val="none"/>
        </w:rPr>
        <w:t>如因包装、运输问题导致货物</w:t>
      </w:r>
      <w:r>
        <w:rPr>
          <w:rFonts w:hint="eastAsia" w:ascii="宋体" w:hAnsi="宋体" w:eastAsia="宋体" w:cs="宋体"/>
          <w:color w:val="000000" w:themeColor="text1"/>
          <w:sz w:val="24"/>
          <w:szCs w:val="24"/>
          <w:highlight w:val="none"/>
          <w14:textFill>
            <w14:solidFill>
              <w14:schemeClr w14:val="tx1"/>
            </w14:solidFill>
          </w14:textFill>
        </w:rPr>
        <w:t>损毁、丢失</w:t>
      </w:r>
      <w:r>
        <w:rPr>
          <w:rFonts w:hint="eastAsia" w:ascii="宋体" w:hAnsi="宋体" w:eastAsia="宋体" w:cs="宋体"/>
          <w:color w:val="000000"/>
          <w:sz w:val="24"/>
          <w:szCs w:val="24"/>
          <w:highlight w:val="none"/>
        </w:rPr>
        <w:t>或者品质下降，甲方有权要求降价、换货、拒收部分或整批货物，由此产生的费用和损失，均由乙方承担。</w:t>
      </w:r>
    </w:p>
    <w:p w14:paraId="563478A0">
      <w:pPr>
        <w:keepNext w:val="0"/>
        <w:keepLines w:val="0"/>
        <w:pageBreakBefore w:val="0"/>
        <w:spacing w:beforeAutospacing="0" w:afterAutospacing="0" w:line="520" w:lineRule="exact"/>
        <w:ind w:firstLine="482"/>
        <w:jc w:val="left"/>
        <w:rPr>
          <w:rFonts w:hint="eastAsia" w:ascii="宋体" w:hAnsi="宋体" w:eastAsia="宋体" w:cs="宋体"/>
          <w:b/>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8.</w:t>
      </w:r>
      <w:r>
        <w:rPr>
          <w:rFonts w:hint="eastAsia" w:ascii="宋体" w:hAnsi="宋体" w:eastAsia="宋体" w:cs="宋体"/>
          <w:b/>
          <w:sz w:val="24"/>
          <w:szCs w:val="24"/>
          <w:highlight w:val="none"/>
        </w:rPr>
        <w:t>质量标准和保证</w:t>
      </w:r>
    </w:p>
    <w:p w14:paraId="53EDC820">
      <w:pPr>
        <w:pStyle w:val="5"/>
        <w:keepNext w:val="0"/>
        <w:keepLines w:val="0"/>
        <w:pageBreakBefore w:val="0"/>
        <w:spacing w:beforeAutospacing="0" w:afterAutospacing="0" w:line="520" w:lineRule="exact"/>
        <w:ind w:firstLine="480"/>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8.1质量标准</w:t>
      </w:r>
    </w:p>
    <w:p w14:paraId="4757206C">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（1）本合同下提供的货物应符合合同</w:t>
      </w:r>
      <w:r>
        <w:rPr>
          <w:rFonts w:hint="eastAsia" w:ascii="宋体" w:hAnsi="宋体" w:eastAsia="宋体" w:cs="宋体"/>
          <w:color w:val="000000"/>
          <w:sz w:val="24"/>
          <w:szCs w:val="24"/>
          <w:highlight w:val="none"/>
        </w:rPr>
        <w:t>约定的</w:t>
      </w:r>
      <w:r>
        <w:rPr>
          <w:rFonts w:hint="eastAsia" w:ascii="宋体" w:hAnsi="宋体" w:eastAsia="宋体" w:cs="宋体"/>
          <w:sz w:val="24"/>
          <w:szCs w:val="24"/>
          <w:highlight w:val="none"/>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1042D81">
      <w:pPr>
        <w:pStyle w:val="5"/>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（2）采用中华人民共和国法定计量单位。</w:t>
      </w:r>
    </w:p>
    <w:p w14:paraId="3B9F6798">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（3）乙方所提供的货物应符合国家有关安全、环保、卫生的规定。</w:t>
      </w:r>
    </w:p>
    <w:p w14:paraId="09068091">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6CBD27DF">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8.2保证</w:t>
      </w:r>
    </w:p>
    <w:p w14:paraId="38411E65">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规定或乙方书面承诺（两者以较长的为准）的质量保证期内，本保证保持有效。</w:t>
      </w:r>
    </w:p>
    <w:p w14:paraId="1911ADFE">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（2）在质量保证期内所发现的缺陷，甲方应尽快以书面形式通知乙方。</w:t>
      </w:r>
    </w:p>
    <w:p w14:paraId="5A2CD238">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（3）乙方收到通知后，应在</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规定的响应时间内以合理的速度免费维修或更换有缺陷的货物或部件。</w:t>
      </w:r>
    </w:p>
    <w:p w14:paraId="43AB3C32">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sz w:val="24"/>
          <w:szCs w:val="24"/>
          <w:highlight w:val="none"/>
        </w:rPr>
        <w:t>.1条规定以书面形式</w:t>
      </w:r>
      <w:r>
        <w:rPr>
          <w:rFonts w:hint="eastAsia" w:ascii="宋体" w:hAnsi="宋体" w:eastAsia="宋体" w:cs="宋体"/>
          <w:color w:val="000000" w:themeColor="text1"/>
          <w:sz w:val="24"/>
          <w:szCs w:val="24"/>
          <w:highlight w:val="none"/>
          <w14:textFill>
            <w14:solidFill>
              <w14:schemeClr w14:val="tx1"/>
            </w14:solidFill>
          </w14:textFill>
        </w:rPr>
        <w:t>追究</w:t>
      </w:r>
      <w:r>
        <w:rPr>
          <w:rFonts w:hint="eastAsia" w:ascii="宋体" w:hAnsi="宋体" w:eastAsia="宋体" w:cs="宋体"/>
          <w:sz w:val="24"/>
          <w:szCs w:val="24"/>
          <w:highlight w:val="none"/>
        </w:rPr>
        <w:t>乙方</w:t>
      </w:r>
      <w:r>
        <w:rPr>
          <w:rFonts w:hint="eastAsia" w:ascii="宋体" w:hAnsi="宋体" w:eastAsia="宋体" w:cs="宋体"/>
          <w:color w:val="000000" w:themeColor="text1"/>
          <w:sz w:val="24"/>
          <w:szCs w:val="24"/>
          <w:highlight w:val="none"/>
          <w14:textFill>
            <w14:solidFill>
              <w14:schemeClr w14:val="tx1"/>
            </w14:solidFill>
          </w14:textFill>
        </w:rPr>
        <w:t>的违约责任</w:t>
      </w:r>
      <w:r>
        <w:rPr>
          <w:rFonts w:hint="eastAsia" w:ascii="宋体" w:hAnsi="宋体" w:eastAsia="宋体" w:cs="宋体"/>
          <w:sz w:val="24"/>
          <w:szCs w:val="24"/>
          <w:highlight w:val="none"/>
        </w:rPr>
        <w:t>。</w:t>
      </w:r>
    </w:p>
    <w:p w14:paraId="06D47B90">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（5）乙方在约定的时间内未能弥补缺陷，甲方可采取必要的补救措施，但其风险和费用将由乙方承担，甲方根据合同约定对乙方行使的其他权利不受影响。</w:t>
      </w:r>
    </w:p>
    <w:p w14:paraId="75AB86B6">
      <w:pPr>
        <w:keepNext w:val="0"/>
        <w:keepLines w:val="0"/>
        <w:pageBreakBefore w:val="0"/>
        <w:spacing w:beforeAutospacing="0" w:afterAutospacing="0" w:line="52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9</w:t>
      </w:r>
      <w:r>
        <w:rPr>
          <w:rFonts w:hint="eastAsia" w:ascii="宋体" w:hAnsi="宋体" w:eastAsia="宋体" w:cs="宋体"/>
          <w:b/>
          <w:bCs/>
          <w:sz w:val="24"/>
          <w:szCs w:val="24"/>
          <w:highlight w:val="none"/>
        </w:rPr>
        <w:t>.权利瑕疵担保</w:t>
      </w:r>
    </w:p>
    <w:p w14:paraId="36ACF746">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9.1乙方保证对其出售的货物享有合法的权利。</w:t>
      </w:r>
    </w:p>
    <w:p w14:paraId="10EB0A4C">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w:t>
      </w:r>
      <w:r>
        <w:rPr>
          <w:rFonts w:hint="eastAsia" w:ascii="宋体" w:hAnsi="宋体" w:eastAsia="宋体" w:cs="宋体"/>
          <w:sz w:val="24"/>
          <w:szCs w:val="24"/>
          <w:highlight w:val="none"/>
        </w:rPr>
        <w:t>乙方保证在交付的货物上不存在抵押权等担保物权。</w:t>
      </w:r>
    </w:p>
    <w:p w14:paraId="3235C261">
      <w:pPr>
        <w:keepNext w:val="0"/>
        <w:keepLines w:val="0"/>
        <w:pageBreakBefore w:val="0"/>
        <w:spacing w:beforeAutospacing="0" w:afterAutospacing="0"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9.3如甲方使用上述货物构成对第三人侵权的，则由乙方承担全部责任。</w:t>
      </w:r>
    </w:p>
    <w:p w14:paraId="71A528E4">
      <w:pPr>
        <w:keepNext w:val="0"/>
        <w:keepLines w:val="0"/>
        <w:pageBreakBefore w:val="0"/>
        <w:spacing w:beforeAutospacing="0" w:afterAutospacing="0" w:line="520" w:lineRule="exact"/>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10.知识产权保护</w:t>
      </w:r>
    </w:p>
    <w:p w14:paraId="14F4F1BA">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10.1乙方对其所销售的货物应当享有知识产权或经权利人合法授权，保证没有侵犯任</w:t>
      </w:r>
      <w:r>
        <w:rPr>
          <w:rFonts w:hint="eastAsia" w:ascii="宋体" w:hAnsi="宋体" w:eastAsia="宋体" w:cs="宋体"/>
          <w:sz w:val="24"/>
          <w:szCs w:val="24"/>
          <w:highlight w:val="none"/>
        </w:rPr>
        <w:t>何第三人的知识产权等权利。</w:t>
      </w:r>
      <w:bookmarkStart w:id="155" w:name="_Hlk163047038"/>
      <w:r>
        <w:rPr>
          <w:rFonts w:hint="eastAsia" w:ascii="宋体" w:hAnsi="宋体" w:eastAsia="宋体" w:cs="宋体"/>
          <w:sz w:val="24"/>
          <w:szCs w:val="24"/>
          <w:highlight w:val="none"/>
        </w:rPr>
        <w:t>因违反前述约定对第三人构成侵权的，应当由乙方向第三人承担法律责任；甲方依法向第三人赔偿后，有权向乙方追偿。甲方有其他损失的，乙方应当赔偿</w:t>
      </w:r>
      <w:bookmarkEnd w:id="155"/>
      <w:r>
        <w:rPr>
          <w:rFonts w:hint="eastAsia" w:ascii="宋体" w:hAnsi="宋体" w:eastAsia="宋体" w:cs="宋体"/>
          <w:sz w:val="24"/>
          <w:szCs w:val="24"/>
          <w:highlight w:val="none"/>
        </w:rPr>
        <w:t>。</w:t>
      </w:r>
    </w:p>
    <w:p w14:paraId="6545C447">
      <w:pPr>
        <w:keepNext w:val="0"/>
        <w:keepLines w:val="0"/>
        <w:pageBreakBefore w:val="0"/>
        <w:spacing w:beforeAutospacing="0" w:afterAutospacing="0" w:line="52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11.保密义务</w:t>
      </w:r>
    </w:p>
    <w:p w14:paraId="458397D1">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中约定。</w:t>
      </w:r>
    </w:p>
    <w:p w14:paraId="37244144">
      <w:pPr>
        <w:keepNext w:val="0"/>
        <w:keepLines w:val="0"/>
        <w:pageBreakBefore w:val="0"/>
        <w:spacing w:beforeAutospacing="0" w:afterAutospacing="0" w:line="52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12.合同价款支付</w:t>
      </w:r>
    </w:p>
    <w:p w14:paraId="1D05FEDF">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12.1合同价款支付按照国库集中支付制度及财政管理相关规定执行。</w:t>
      </w:r>
    </w:p>
    <w:p w14:paraId="4C90EE86">
      <w:pPr>
        <w:pStyle w:val="2"/>
        <w:keepNext w:val="0"/>
        <w:keepLines w:val="0"/>
        <w:pageBreakBefore w:val="0"/>
        <w:spacing w:beforeAutospacing="0" w:afterAutospacing="0" w:line="520" w:lineRule="exact"/>
        <w:ind w:firstLine="480"/>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4"/>
          <w:szCs w:val="24"/>
          <w:highlight w:val="none"/>
        </w:rPr>
        <w:t>政府采购合同专用条款</w:t>
      </w:r>
      <w:r>
        <w:rPr>
          <w:rFonts w:hint="eastAsia" w:ascii="宋体" w:hAnsi="宋体" w:eastAsia="宋体" w:cs="宋体"/>
          <w:b w:val="0"/>
          <w:bCs w:val="0"/>
          <w:sz w:val="24"/>
          <w:szCs w:val="24"/>
          <w:highlight w:val="none"/>
        </w:rPr>
        <w:t>】中约定。</w:t>
      </w:r>
    </w:p>
    <w:p w14:paraId="752FDA65">
      <w:pPr>
        <w:pStyle w:val="4"/>
        <w:keepNext w:val="0"/>
        <w:keepLines w:val="0"/>
        <w:pageBreakBefore w:val="0"/>
        <w:spacing w:beforeAutospacing="0" w:after="0" w:afterAutospacing="0" w:line="52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13.履约保证金</w:t>
      </w:r>
    </w:p>
    <w:p w14:paraId="44ADB887">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13.1乙方应当以支票、汇票、本票或者金融机构、担保机构出具的保函等非现金形式提交。</w:t>
      </w:r>
    </w:p>
    <w:p w14:paraId="68B1DD5C">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13.2如果乙方出现</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7D22BFE7">
      <w:pPr>
        <w:keepNext w:val="0"/>
        <w:keepLines w:val="0"/>
        <w:pageBreakBefore w:val="0"/>
        <w:spacing w:beforeAutospacing="0" w:afterAutospacing="0"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13.3甲方在项目通过验收后按照</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规定的时间内将履约保证金退还乙方；逾期退还的，乙方可要求甲方支付违约金，违约金按照</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规定支付。</w:t>
      </w:r>
    </w:p>
    <w:p w14:paraId="5D88B2FF">
      <w:pPr>
        <w:keepNext w:val="0"/>
        <w:keepLines w:val="0"/>
        <w:pageBreakBefore w:val="0"/>
        <w:spacing w:beforeAutospacing="0" w:afterAutospacing="0" w:line="520" w:lineRule="exact"/>
        <w:ind w:firstLine="482"/>
        <w:jc w:val="left"/>
        <w:rPr>
          <w:rFonts w:hint="eastAsia" w:ascii="宋体" w:hAnsi="宋体" w:eastAsia="宋体" w:cs="宋体"/>
          <w:b/>
          <w:sz w:val="24"/>
          <w:szCs w:val="24"/>
          <w:highlight w:val="none"/>
        </w:rPr>
      </w:pPr>
      <w:r>
        <w:rPr>
          <w:rFonts w:hint="eastAsia" w:ascii="宋体" w:hAnsi="宋体" w:eastAsia="宋体" w:cs="宋体"/>
          <w:b/>
          <w:bCs/>
          <w:sz w:val="24"/>
          <w:szCs w:val="24"/>
          <w:highlight w:val="none"/>
        </w:rPr>
        <w:t>14.</w:t>
      </w:r>
      <w:r>
        <w:rPr>
          <w:rFonts w:hint="eastAsia" w:ascii="宋体" w:hAnsi="宋体" w:eastAsia="宋体" w:cs="宋体"/>
          <w:b/>
          <w:sz w:val="24"/>
          <w:szCs w:val="24"/>
          <w:highlight w:val="none"/>
        </w:rPr>
        <w:t>售后服务</w:t>
      </w:r>
    </w:p>
    <w:p w14:paraId="6AF5E7D1">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14.1除项目不涉及或采购活动中明确约定无须承担外，乙方还应提供下列服务：</w:t>
      </w:r>
    </w:p>
    <w:p w14:paraId="5638B221">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（1）货物的现场移动、安装、调试、启动监督及技术支持；</w:t>
      </w:r>
    </w:p>
    <w:p w14:paraId="332190C0">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（2）提供货物组装和维修所需的专用工具和辅助材料；</w:t>
      </w:r>
    </w:p>
    <w:p w14:paraId="17791481">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约定的期限内对所有的货物实施运行监督、维修，但前提条件是该服务并不能免除乙方在质量保证期内所承担的义务；</w:t>
      </w:r>
    </w:p>
    <w:p w14:paraId="6F4B046E">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（4）在制造商所在地或指定现场就货物的安装、启动、运营、维护、废弃处置等对甲方操作人员进行培训；</w:t>
      </w:r>
    </w:p>
    <w:p w14:paraId="40CB5BB4">
      <w:pPr>
        <w:pStyle w:val="19"/>
        <w:keepNext w:val="0"/>
        <w:keepLines w:val="0"/>
        <w:pageBreakBefore w:val="0"/>
        <w:spacing w:beforeAutospacing="0" w:afterAutospacing="0"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（5）依照法律、行政法规的规定或者按照</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约定，货物在有效使用年限届满后应予回收的，乙方负有自行或者委托第三人对货物予以回收的义务；</w:t>
      </w:r>
    </w:p>
    <w:p w14:paraId="3E5EA7F0">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规定由乙方提供的其他服务。</w:t>
      </w:r>
    </w:p>
    <w:p w14:paraId="70512749">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14.2乙方提供的售后服务的费用已包含在合同价款中，甲方不再另行支付。</w:t>
      </w:r>
    </w:p>
    <w:p w14:paraId="04A085B1">
      <w:pPr>
        <w:keepNext w:val="0"/>
        <w:keepLines w:val="0"/>
        <w:pageBreakBefore w:val="0"/>
        <w:spacing w:beforeAutospacing="0" w:afterAutospacing="0" w:line="52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15.违约责任</w:t>
      </w:r>
    </w:p>
    <w:p w14:paraId="7B6CA826">
      <w:pPr>
        <w:keepNext w:val="0"/>
        <w:keepLines w:val="0"/>
        <w:pageBreakBefore w:val="0"/>
        <w:spacing w:beforeAutospacing="0" w:afterAutospacing="0" w:line="52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15.1质量瑕疵的违约责任</w:t>
      </w:r>
    </w:p>
    <w:p w14:paraId="7A6A0546">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乙方提供的产品不符合合同约定的质量标准或存在产品质量缺陷，甲方有权要求乙方根据</w:t>
      </w:r>
      <w:r>
        <w:rPr>
          <w:rFonts w:hint="eastAsia" w:ascii="宋体" w:hAnsi="宋体" w:eastAsia="宋体" w:cs="宋体"/>
          <w:b/>
          <w:sz w:val="24"/>
          <w:szCs w:val="24"/>
          <w:highlight w:val="none"/>
        </w:rPr>
        <w:t>【政府采购合同专用条款】</w:t>
      </w:r>
      <w:r>
        <w:rPr>
          <w:rFonts w:hint="eastAsia" w:ascii="宋体" w:hAnsi="宋体" w:eastAsia="宋体" w:cs="宋体"/>
          <w:bCs/>
          <w:sz w:val="24"/>
          <w:szCs w:val="24"/>
          <w:highlight w:val="none"/>
        </w:rPr>
        <w:t>要求</w:t>
      </w:r>
      <w:r>
        <w:rPr>
          <w:rFonts w:hint="eastAsia" w:ascii="宋体" w:hAnsi="宋体" w:eastAsia="宋体" w:cs="宋体"/>
          <w:sz w:val="24"/>
          <w:szCs w:val="24"/>
          <w:highlight w:val="none"/>
        </w:rPr>
        <w:t>及时修理、重作、更换，并承担由此给甲方造成的损失。</w:t>
      </w:r>
    </w:p>
    <w:p w14:paraId="09CCAF5C">
      <w:pPr>
        <w:keepNext w:val="0"/>
        <w:keepLines w:val="0"/>
        <w:pageBreakBefore w:val="0"/>
        <w:spacing w:beforeAutospacing="0" w:afterAutospacing="0" w:line="52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15.2迟延交货的违约责任</w:t>
      </w:r>
    </w:p>
    <w:p w14:paraId="3CE453B5">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982D1A7">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规定执行。如果涉及公共利益，且赔偿金额无法弥补公共利益损失，甲方可要求继续履行或者采取其他补救措施。</w:t>
      </w:r>
    </w:p>
    <w:p w14:paraId="7580E297">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15.3迟延支付的违约责任</w:t>
      </w:r>
    </w:p>
    <w:p w14:paraId="6BB49288">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甲方存在迟延支付乙方合同款项的，应当承担</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规定的逾期付款利息。</w:t>
      </w:r>
    </w:p>
    <w:p w14:paraId="28E7BCE5">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15.4其他违约责任根据项目实际需要按</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规定执行。</w:t>
      </w:r>
    </w:p>
    <w:p w14:paraId="47046907">
      <w:pPr>
        <w:keepNext w:val="0"/>
        <w:keepLines w:val="0"/>
        <w:pageBreakBefore w:val="0"/>
        <w:numPr>
          <w:ilvl w:val="0"/>
          <w:numId w:val="2"/>
        </w:numPr>
        <w:spacing w:beforeAutospacing="0" w:afterAutospacing="0" w:line="520" w:lineRule="exact"/>
        <w:ind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合同变更、中止与终止</w:t>
      </w:r>
    </w:p>
    <w:p w14:paraId="17843287">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16.1合同的变更</w:t>
      </w:r>
    </w:p>
    <w:p w14:paraId="1111A7BF">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政府采购合同履行中，在不改变合同其他条款的前提下，甲方可以在合同价款10%的范围内追加与合同标的相同的货物，并就此与乙方协商一致后签订补充协议。</w:t>
      </w:r>
    </w:p>
    <w:p w14:paraId="139A9BD8">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16.2合同的中止</w:t>
      </w:r>
    </w:p>
    <w:p w14:paraId="5CC3FB59">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（1）合同履行过程中因供应商就采购文件、采购过程或结果提起投诉的，甲方认为有必要的，可以中止合同的履行。</w:t>
      </w:r>
    </w:p>
    <w:p w14:paraId="150FCEC9">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DD11E29">
      <w:pPr>
        <w:pStyle w:val="19"/>
        <w:keepNext w:val="0"/>
        <w:keepLines w:val="0"/>
        <w:pageBreakBefore w:val="0"/>
        <w:spacing w:beforeAutospacing="0" w:afterAutospacing="0"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5963E290">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（4）甲方不得以行政区划调整、政府换届、机构或者职能调整以及相关责任人更替为由中止合同。</w:t>
      </w:r>
    </w:p>
    <w:p w14:paraId="49188F3C">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16.3合同的终止</w:t>
      </w:r>
    </w:p>
    <w:p w14:paraId="2473568A">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（1）合同因有效期限届满而终止；</w:t>
      </w:r>
    </w:p>
    <w:p w14:paraId="7072D880">
      <w:pPr>
        <w:keepNext w:val="0"/>
        <w:keepLines w:val="0"/>
        <w:pageBreakBefore w:val="0"/>
        <w:spacing w:beforeAutospacing="0" w:afterAutospacing="0"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（2）乙方未按合同约定履行，构成根本性违约的，甲方有权终止合同，并追究乙方的违约责任。</w:t>
      </w:r>
    </w:p>
    <w:p w14:paraId="01ABF09A">
      <w:pPr>
        <w:pStyle w:val="19"/>
        <w:keepNext w:val="0"/>
        <w:keepLines w:val="0"/>
        <w:pageBreakBefore w:val="0"/>
        <w:spacing w:beforeAutospacing="0" w:afterAutospacing="0"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16.4涉及国家利益、社会公共利益的情形</w:t>
      </w:r>
    </w:p>
    <w:p w14:paraId="2909680B">
      <w:pPr>
        <w:pStyle w:val="19"/>
        <w:keepNext w:val="0"/>
        <w:keepLines w:val="0"/>
        <w:pageBreakBefore w:val="0"/>
        <w:spacing w:beforeAutospacing="0" w:afterAutospacing="0"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7E7FB93B">
      <w:pPr>
        <w:keepNext w:val="0"/>
        <w:keepLines w:val="0"/>
        <w:pageBreakBefore w:val="0"/>
        <w:spacing w:beforeAutospacing="0" w:afterAutospacing="0" w:line="52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17.合同分包</w:t>
      </w:r>
    </w:p>
    <w:p w14:paraId="147050A7">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17.1乙方不得将合同转包给其他供应商。涉及合同分包的，乙方应根据采购文件和投标（响应）文件规定进行合同分包。</w:t>
      </w:r>
    </w:p>
    <w:p w14:paraId="7C4F5EE0">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17.2乙方执行政府采购政策向中小企业依法分包的，乙方应当按采购文件和投标（响应）文件签订分包意向协议，分包意向协议属于本合同组成部分。</w:t>
      </w:r>
    </w:p>
    <w:p w14:paraId="31E476EE">
      <w:pPr>
        <w:keepNext w:val="0"/>
        <w:keepLines w:val="0"/>
        <w:pageBreakBefore w:val="0"/>
        <w:spacing w:beforeAutospacing="0" w:afterAutospacing="0" w:line="52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18.不可抗力</w:t>
      </w:r>
    </w:p>
    <w:p w14:paraId="4EB74A4E">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18.1不可抗力是指合同双方不能预见、不能避免且不能克服的客观情况。</w:t>
      </w:r>
    </w:p>
    <w:p w14:paraId="28AB5EE0">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18.2任何一方对由于不可抗力造成的部分或全部不能履行合同不承担违约责任。但迟延履行后发生不可抗力的，不能免除责任。</w:t>
      </w:r>
    </w:p>
    <w:p w14:paraId="19CBC6D7">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F8C3DA8">
      <w:pPr>
        <w:keepNext w:val="0"/>
        <w:keepLines w:val="0"/>
        <w:pageBreakBefore w:val="0"/>
        <w:spacing w:beforeAutospacing="0" w:afterAutospacing="0" w:line="52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19.解决争议的方法</w:t>
      </w:r>
    </w:p>
    <w:p w14:paraId="373318C8">
      <w:pPr>
        <w:pStyle w:val="19"/>
        <w:keepNext w:val="0"/>
        <w:keepLines w:val="0"/>
        <w:pageBreakBefore w:val="0"/>
        <w:spacing w:beforeAutospacing="0" w:afterAutospacing="0"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19.1因本合同及合同有关事项发生的争议，由甲乙双方友好协商解决。协商不成时，可以向有关组织申请调解。合同一方或双方不愿调解或调解不成的，可以通过仲裁或诉讼的方式解决争议。</w:t>
      </w:r>
    </w:p>
    <w:p w14:paraId="60ED5E9E">
      <w:pPr>
        <w:pStyle w:val="19"/>
        <w:keepNext w:val="0"/>
        <w:keepLines w:val="0"/>
        <w:pageBreakBefore w:val="0"/>
        <w:spacing w:beforeAutospacing="0" w:afterAutospacing="0"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19.2选择仲裁的，应在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中明确仲裁机构及仲裁地；通过诉讼方式解决的，可以在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中进一步约定选择与争议有实际联系的地点的人民法院管辖，但管辖法院的约定不得违反级别管辖和专属管辖的规定。</w:t>
      </w:r>
    </w:p>
    <w:p w14:paraId="326210EE">
      <w:pPr>
        <w:pStyle w:val="19"/>
        <w:keepNext w:val="0"/>
        <w:keepLines w:val="0"/>
        <w:pageBreakBefore w:val="0"/>
        <w:spacing w:beforeAutospacing="0" w:afterAutospacing="0"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19.3如甲乙双方有争议的事项不影响合同其他部分的履行，在争议解决期间，合同其他部分应当继续履行。</w:t>
      </w:r>
    </w:p>
    <w:p w14:paraId="72D27884">
      <w:pPr>
        <w:keepNext w:val="0"/>
        <w:keepLines w:val="0"/>
        <w:pageBreakBefore w:val="0"/>
        <w:spacing w:beforeAutospacing="0" w:afterAutospacing="0" w:line="520" w:lineRule="exact"/>
        <w:ind w:firstLine="482"/>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20.政府采购政策</w:t>
      </w:r>
    </w:p>
    <w:p w14:paraId="09879546">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20.1</w:t>
      </w:r>
      <w:r>
        <w:rPr>
          <w:rFonts w:hint="eastAsia" w:ascii="宋体" w:hAnsi="宋体" w:eastAsia="宋体" w:cs="宋体"/>
          <w:sz w:val="24"/>
          <w:szCs w:val="24"/>
          <w:highlight w:val="none"/>
          <w:lang w:val="en-GB"/>
        </w:rPr>
        <w:t>本合同应当按照规定执行政府采购政策。</w:t>
      </w:r>
    </w:p>
    <w:p w14:paraId="52BE7B7E">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20.2本合同依法执行政府采购政策的方式和内容，属于合同履约验收的范围。甲乙双方</w:t>
      </w:r>
      <w:r>
        <w:rPr>
          <w:rFonts w:hint="eastAsia" w:ascii="宋体" w:hAnsi="宋体" w:eastAsia="宋体" w:cs="宋体"/>
          <w:sz w:val="24"/>
          <w:szCs w:val="24"/>
          <w:highlight w:val="none"/>
          <w:lang w:val="en-GB"/>
        </w:rPr>
        <w:t>未按规定要求执行政府采购政策造成损失的</w:t>
      </w:r>
      <w:r>
        <w:rPr>
          <w:rFonts w:hint="eastAsia" w:ascii="宋体" w:hAnsi="宋体" w:eastAsia="宋体" w:cs="宋体"/>
          <w:sz w:val="24"/>
          <w:szCs w:val="24"/>
          <w:highlight w:val="none"/>
        </w:rPr>
        <w:t>，有过错的一方应当承担赔偿责任，双方都有过错的，各自承担相应的责任。</w:t>
      </w:r>
    </w:p>
    <w:p w14:paraId="7CD1B916">
      <w:pPr>
        <w:pStyle w:val="4"/>
        <w:keepNext w:val="0"/>
        <w:keepLines w:val="0"/>
        <w:pageBreakBefore w:val="0"/>
        <w:spacing w:beforeAutospacing="0" w:after="0" w:afterAutospacing="0"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24393E2">
      <w:pPr>
        <w:keepNext w:val="0"/>
        <w:keepLines w:val="0"/>
        <w:pageBreakBefore w:val="0"/>
        <w:spacing w:beforeAutospacing="0" w:afterAutospacing="0" w:line="520" w:lineRule="exact"/>
        <w:ind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21.法律适用</w:t>
      </w:r>
    </w:p>
    <w:p w14:paraId="5C0FEDA3">
      <w:pPr>
        <w:pStyle w:val="19"/>
        <w:keepNext w:val="0"/>
        <w:keepLines w:val="0"/>
        <w:pageBreakBefore w:val="0"/>
        <w:spacing w:beforeAutospacing="0" w:afterAutospacing="0"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21.1本合同的订立、生效、解释、履行及与本合同有关的争议解决，均适用法律、行政法规。</w:t>
      </w:r>
    </w:p>
    <w:p w14:paraId="1C242B37">
      <w:pPr>
        <w:pStyle w:val="19"/>
        <w:keepNext w:val="0"/>
        <w:keepLines w:val="0"/>
        <w:pageBreakBefore w:val="0"/>
        <w:spacing w:beforeAutospacing="0" w:afterAutospacing="0"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21.2本合同条款与法律、行政法规的强制性规定不一致的，双方当事人应按照法律、行政法规的强制性规定修改本合同的相关条款。</w:t>
      </w:r>
    </w:p>
    <w:p w14:paraId="749B9B6E">
      <w:pPr>
        <w:keepNext w:val="0"/>
        <w:keepLines w:val="0"/>
        <w:pageBreakBefore w:val="0"/>
        <w:spacing w:beforeAutospacing="0" w:afterAutospacing="0" w:line="520" w:lineRule="exact"/>
        <w:ind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22.通知</w:t>
      </w:r>
    </w:p>
    <w:p w14:paraId="0F4E61B8">
      <w:pPr>
        <w:pStyle w:val="19"/>
        <w:keepNext w:val="0"/>
        <w:keepLines w:val="0"/>
        <w:pageBreakBefore w:val="0"/>
        <w:spacing w:beforeAutospacing="0" w:afterAutospacing="0"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22.1本合同任何一方向对方发出的通知、信件、数据电文等，应当发送至本合同第一部分《政府采购合同协议书》所约定的通讯地址、联系人、联系电话或电子邮箱。</w:t>
      </w:r>
    </w:p>
    <w:p w14:paraId="4C525B0D">
      <w:pPr>
        <w:pStyle w:val="19"/>
        <w:keepNext w:val="0"/>
        <w:keepLines w:val="0"/>
        <w:pageBreakBefore w:val="0"/>
        <w:spacing w:beforeAutospacing="0" w:afterAutospacing="0"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22.2一方当事人变更名称、住所、联系人、联系电话或电子邮箱等信息的，应当在变更后3日内及时书面通知对方，对方实际收到变更通知前的送达仍为有效送达。</w:t>
      </w:r>
    </w:p>
    <w:p w14:paraId="49E720EA">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22.3本合同一方给另一方的通知均应采用书面形式，传真或快递送到本合同中规定的对方的地址和办理签收手续。</w:t>
      </w:r>
    </w:p>
    <w:p w14:paraId="62C9B3E7">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22.4通知以送达之日或通知书中规定的生效之日起生效，两者中以较迟之日为准。</w:t>
      </w:r>
    </w:p>
    <w:p w14:paraId="0625B653">
      <w:pPr>
        <w:keepNext w:val="0"/>
        <w:keepLines w:val="0"/>
        <w:pageBreakBefore w:val="0"/>
        <w:numPr>
          <w:ilvl w:val="0"/>
          <w:numId w:val="0"/>
        </w:numPr>
        <w:spacing w:beforeAutospacing="0" w:afterAutospacing="0" w:line="520" w:lineRule="exact"/>
        <w:ind w:left="0"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SA"/>
        </w:rPr>
        <w:t>23.</w:t>
      </w:r>
      <w:r>
        <w:rPr>
          <w:rFonts w:hint="eastAsia" w:ascii="宋体" w:hAnsi="宋体" w:eastAsia="宋体" w:cs="宋体"/>
          <w:b/>
          <w:bCs/>
          <w:sz w:val="24"/>
          <w:szCs w:val="24"/>
          <w:highlight w:val="none"/>
        </w:rPr>
        <w:t>合同未尽事项</w:t>
      </w:r>
    </w:p>
    <w:p w14:paraId="5FCC04BB">
      <w:pPr>
        <w:keepNext w:val="0"/>
        <w:keepLines w:val="0"/>
        <w:pageBreakBefore w:val="0"/>
        <w:spacing w:beforeAutospacing="0" w:afterAutospacing="0" w:line="52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23.1合同未尽事项见</w:t>
      </w:r>
      <w:r>
        <w:rPr>
          <w:rFonts w:hint="eastAsia" w:ascii="宋体" w:hAnsi="宋体" w:eastAsia="宋体" w:cs="宋体"/>
          <w:b/>
          <w:sz w:val="24"/>
          <w:szCs w:val="24"/>
          <w:highlight w:val="none"/>
        </w:rPr>
        <w:t>【政府采购合同专用条款】</w:t>
      </w:r>
      <w:r>
        <w:rPr>
          <w:rFonts w:hint="eastAsia" w:ascii="宋体" w:hAnsi="宋体" w:eastAsia="宋体" w:cs="宋体"/>
          <w:bCs/>
          <w:sz w:val="24"/>
          <w:szCs w:val="24"/>
          <w:highlight w:val="none"/>
        </w:rPr>
        <w:t>。</w:t>
      </w:r>
    </w:p>
    <w:p w14:paraId="6FA8394F">
      <w:pPr>
        <w:keepNext w:val="0"/>
        <w:keepLines w:val="0"/>
        <w:pageBreakBefore w:val="0"/>
        <w:spacing w:beforeAutospacing="0" w:afterAutospacing="0" w:line="520" w:lineRule="exact"/>
        <w:ind w:firstLine="48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23.2合同附件与合同正文具有同等的法律效力。</w:t>
      </w:r>
    </w:p>
    <w:p w14:paraId="14DFE5A1">
      <w:pPr>
        <w:rPr>
          <w:rFonts w:hint="eastAsia" w:ascii="宋体" w:hAnsi="宋体" w:eastAsia="宋体" w:cs="宋体"/>
          <w:sz w:val="24"/>
          <w:szCs w:val="24"/>
        </w:rPr>
      </w:pPr>
    </w:p>
    <w:p w14:paraId="41B7BE65">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clear="all"/>
      </w:r>
    </w:p>
    <w:p w14:paraId="470FD013">
      <w:pPr>
        <w:pStyle w:val="8"/>
        <w:keepNext w:val="0"/>
        <w:keepLines w:val="0"/>
        <w:pageBreakBefore w:val="0"/>
        <w:widowControl w:val="0"/>
        <w:numPr>
          <w:ilvl w:val="0"/>
          <w:numId w:val="0"/>
        </w:numPr>
        <w:spacing w:beforeAutospacing="0" w:afterAutospacing="0" w:line="360" w:lineRule="auto"/>
        <w:jc w:val="center"/>
        <w:outlineLvl w:val="0"/>
        <w:rPr>
          <w:rFonts w:hint="eastAsia" w:ascii="方正小标宋简体" w:hAnsi="方正小标宋简体" w:eastAsia="方正小标宋简体" w:cs="方正小标宋简体"/>
          <w:sz w:val="36"/>
          <w:szCs w:val="36"/>
          <w:lang w:val="en-US" w:eastAsia="zh-CN" w:bidi="ar-SA"/>
        </w:rPr>
      </w:pPr>
      <w:r>
        <w:rPr>
          <w:rFonts w:hint="eastAsia" w:ascii="方正小标宋简体" w:hAnsi="方正小标宋简体" w:eastAsia="方正小标宋简体" w:cs="方正小标宋简体"/>
          <w:sz w:val="36"/>
          <w:szCs w:val="36"/>
          <w:lang w:val="en-US" w:eastAsia="zh-CN" w:bidi="ar-SA"/>
        </w:rPr>
        <w:t>第三节政府采购合同专用条款</w:t>
      </w:r>
    </w:p>
    <w:tbl>
      <w:tblPr>
        <w:tblStyle w:val="9"/>
        <w:tblW w:w="96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62"/>
        <w:gridCol w:w="2133"/>
        <w:gridCol w:w="5812"/>
      </w:tblGrid>
      <w:tr w14:paraId="2DAF0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1A288E">
            <w:pPr>
              <w:keepNext w:val="0"/>
              <w:keepLines w:val="0"/>
              <w:pageBreakBefore w:val="0"/>
              <w:widowControl/>
              <w:suppressLineNumbers w:val="0"/>
              <w:spacing w:line="40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条款号</w:t>
            </w:r>
          </w:p>
        </w:tc>
        <w:tc>
          <w:tcPr>
            <w:tcW w:w="794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64BF1">
            <w:pPr>
              <w:keepNext w:val="0"/>
              <w:keepLines w:val="0"/>
              <w:pageBreakBefore w:val="0"/>
              <w:widowControl/>
              <w:suppressLineNumbers w:val="0"/>
              <w:spacing w:line="40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条款内容</w:t>
            </w:r>
          </w:p>
        </w:tc>
      </w:tr>
      <w:tr w14:paraId="48AF2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3E893D">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第1.2（6）项</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F65D5">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联合体具体要求</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E85C8A">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本项目不涉及</w:t>
            </w:r>
          </w:p>
        </w:tc>
      </w:tr>
      <w:tr w14:paraId="2689E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0E22E8">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第1.2（7）项</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BAA93">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其他术语解释</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96B4A0">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无</w:t>
            </w:r>
          </w:p>
        </w:tc>
      </w:tr>
      <w:tr w14:paraId="68BB7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1EA3D2">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第4.4款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F4010">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验收异议期限</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480BF0">
            <w:pPr>
              <w:keepNext w:val="0"/>
              <w:keepLines w:val="0"/>
              <w:pageBreakBefore w:val="0"/>
              <w:widowControl/>
              <w:suppressLineNumbers w:val="0"/>
              <w:spacing w:line="400" w:lineRule="exact"/>
              <w:jc w:val="left"/>
              <w:rPr>
                <w:rFonts w:hint="default" w:ascii="宋体" w:hAnsi="宋体" w:eastAsia="宋体" w:cs="宋体"/>
                <w:i w:val="0"/>
                <w:iCs w:val="0"/>
                <w:color w:val="0000FF"/>
                <w:sz w:val="21"/>
                <w:szCs w:val="21"/>
                <w:u w:val="none"/>
                <w:lang w:val="en-US"/>
              </w:rPr>
            </w:pPr>
            <w:r>
              <w:rPr>
                <w:rFonts w:hint="eastAsia" w:ascii="宋体" w:hAnsi="宋体" w:eastAsia="宋体" w:cs="宋体"/>
                <w:i w:val="0"/>
                <w:iCs w:val="0"/>
                <w:color w:val="0000FF"/>
                <w:sz w:val="21"/>
                <w:szCs w:val="21"/>
                <w:u w:val="none"/>
                <w:lang w:val="en-US" w:eastAsia="zh-CN" w:bidi="ar"/>
              </w:rPr>
              <w:t>15个工作日内</w:t>
            </w:r>
          </w:p>
        </w:tc>
      </w:tr>
      <w:tr w14:paraId="5DC05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22CC06">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第4.6款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2A0FD1">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甲方其他义务</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3A7DA">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按月核对供应数量金额，按约定及时付款</w:t>
            </w:r>
          </w:p>
        </w:tc>
      </w:tr>
      <w:tr w14:paraId="7A2B7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1D525B">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第5.4款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8E37B6">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乙方其他义务</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C4ACE7">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须具备合规汽油、柴油储存条件的油库（自有或租赁）；危化品运输/储存/加注全流程合规；0 号柴油与 95 号汽油不混装、混运、混加</w:t>
            </w:r>
          </w:p>
        </w:tc>
      </w:tr>
      <w:tr w14:paraId="606C2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81179B">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第6.1款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51540A">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履行顺序</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27A7D9">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乙方缴履约保证金→甲方付预付款→乙方按通知供货→验收→甲方付款</w:t>
            </w:r>
          </w:p>
        </w:tc>
      </w:tr>
      <w:tr w14:paraId="65AE2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160402">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第7.1款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04052C">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包装特殊要求</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3A6E5E">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本项目不涉及</w:t>
            </w:r>
          </w:p>
        </w:tc>
      </w:tr>
      <w:tr w14:paraId="2B9C4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6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3F0CE5">
            <w:pPr>
              <w:keepNext w:val="0"/>
              <w:keepLines w:val="0"/>
              <w:pageBreakBefore w:val="0"/>
              <w:widowControl/>
              <w:spacing w:line="400" w:lineRule="exact"/>
              <w:jc w:val="center"/>
              <w:rPr>
                <w:rFonts w:hint="eastAsia" w:ascii="宋体" w:hAnsi="宋体" w:eastAsia="宋体" w:cs="宋体"/>
                <w:i w:val="0"/>
                <w:iCs w:val="0"/>
                <w:color w:val="000000"/>
                <w:sz w:val="21"/>
                <w:szCs w:val="21"/>
                <w:u w:val="none"/>
              </w:rPr>
            </w:pP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170E4">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指定现场</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91EAFC">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滨海县境内采购人指定地点</w:t>
            </w:r>
          </w:p>
        </w:tc>
      </w:tr>
      <w:tr w14:paraId="51459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F5D45">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第7.2款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4C1517">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运输特殊要求</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8CDAB4">
            <w:pPr>
              <w:keepNext w:val="0"/>
              <w:keepLines w:val="0"/>
              <w:pageBreakBefore w:val="0"/>
              <w:widowControl/>
              <w:numPr>
                <w:ilvl w:val="0"/>
                <w:numId w:val="0"/>
              </w:numPr>
              <w:suppressLineNumbers w:val="0"/>
              <w:spacing w:line="400" w:lineRule="exact"/>
              <w:jc w:val="left"/>
              <w:rPr>
                <w:rFonts w:hint="eastAsia" w:ascii="宋体" w:hAnsi="宋体" w:eastAsia="宋体" w:cs="宋体"/>
                <w:i w:val="0"/>
                <w:iCs w:val="0"/>
                <w:color w:val="0000FF"/>
                <w:sz w:val="21"/>
                <w:szCs w:val="21"/>
                <w:u w:val="none"/>
                <w:lang w:val="en-US" w:eastAsia="zh-CN" w:bidi="ar"/>
              </w:rPr>
            </w:pPr>
            <w:r>
              <w:rPr>
                <w:rFonts w:hint="eastAsia" w:ascii="宋体" w:hAnsi="宋体" w:eastAsia="宋体" w:cs="宋体"/>
                <w:i w:val="0"/>
                <w:iCs w:val="0"/>
                <w:color w:val="0000FF"/>
                <w:sz w:val="21"/>
                <w:szCs w:val="21"/>
                <w:lang w:val="en-US" w:eastAsia="zh-CN" w:bidi="ar"/>
              </w:rPr>
              <w:t>1.</w:t>
            </w:r>
            <w:r>
              <w:rPr>
                <w:rFonts w:hint="eastAsia" w:ascii="宋体" w:hAnsi="宋体" w:eastAsia="宋体" w:cs="宋体"/>
                <w:i w:val="0"/>
                <w:iCs w:val="0"/>
                <w:color w:val="0000FF"/>
                <w:sz w:val="21"/>
                <w:szCs w:val="21"/>
                <w:u w:val="none"/>
                <w:lang w:val="en-US" w:eastAsia="zh-CN" w:bidi="ar"/>
              </w:rPr>
              <w:t>具备危化品道路运输资质，专用车辆，作业人员持证；</w:t>
            </w:r>
          </w:p>
          <w:p w14:paraId="75989ED5">
            <w:pPr>
              <w:keepNext w:val="0"/>
              <w:keepLines w:val="0"/>
              <w:pageBreakBefore w:val="0"/>
              <w:widowControl/>
              <w:numPr>
                <w:ilvl w:val="0"/>
                <w:numId w:val="0"/>
              </w:numPr>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lang w:val="en-US" w:eastAsia="zh-CN" w:bidi="ar-SA"/>
              </w:rPr>
              <w:t>2.</w:t>
            </w:r>
            <w:r>
              <w:rPr>
                <w:rFonts w:hint="eastAsia" w:ascii="宋体" w:hAnsi="宋体" w:eastAsia="宋体" w:cs="宋体"/>
                <w:i w:val="0"/>
                <w:iCs w:val="0"/>
                <w:color w:val="0000FF"/>
                <w:sz w:val="21"/>
                <w:szCs w:val="21"/>
                <w:u w:val="none"/>
                <w:lang w:val="en-US" w:eastAsia="zh-CN" w:bidi="ar"/>
              </w:rPr>
              <w:t>不混装混运；</w:t>
            </w:r>
          </w:p>
          <w:p w14:paraId="39DEE3BE">
            <w:pPr>
              <w:keepNext w:val="0"/>
              <w:keepLines w:val="0"/>
              <w:pageBreakBefore w:val="0"/>
              <w:widowControl/>
              <w:numPr>
                <w:ilvl w:val="0"/>
                <w:numId w:val="0"/>
              </w:numPr>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lang w:val="en-US" w:eastAsia="zh-CN" w:bidi="ar-SA"/>
              </w:rPr>
              <w:t>3.</w:t>
            </w:r>
            <w:r>
              <w:rPr>
                <w:rFonts w:hint="eastAsia" w:ascii="宋体" w:hAnsi="宋体" w:eastAsia="宋体" w:cs="宋体"/>
                <w:i w:val="0"/>
                <w:iCs w:val="0"/>
                <w:color w:val="0000FF"/>
                <w:sz w:val="21"/>
                <w:szCs w:val="21"/>
                <w:u w:val="none"/>
                <w:lang w:val="en-US" w:eastAsia="zh-CN" w:bidi="ar"/>
              </w:rPr>
              <w:t>配送前 24 小时通知甲方；</w:t>
            </w:r>
          </w:p>
          <w:p w14:paraId="6688A515">
            <w:pPr>
              <w:keepNext w:val="0"/>
              <w:keepLines w:val="0"/>
              <w:pageBreakBefore w:val="0"/>
              <w:widowControl/>
              <w:numPr>
                <w:ilvl w:val="0"/>
                <w:numId w:val="0"/>
              </w:numPr>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lang w:val="en-US" w:eastAsia="zh-CN" w:bidi="ar-SA"/>
              </w:rPr>
              <w:t>4.</w:t>
            </w:r>
            <w:r>
              <w:rPr>
                <w:rFonts w:hint="eastAsia" w:ascii="宋体" w:hAnsi="宋体" w:eastAsia="宋体" w:cs="宋体"/>
                <w:i w:val="0"/>
                <w:iCs w:val="0"/>
                <w:color w:val="0000FF"/>
                <w:sz w:val="21"/>
                <w:szCs w:val="21"/>
                <w:u w:val="none"/>
                <w:lang w:val="en-US" w:eastAsia="zh-CN" w:bidi="ar"/>
              </w:rPr>
              <w:t>交付前风险由乙方承担。</w:t>
            </w:r>
          </w:p>
        </w:tc>
      </w:tr>
      <w:tr w14:paraId="2E4D8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98812">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第7.3款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A61DF">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保险要求</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429E0E">
            <w:pPr>
              <w:keepNext w:val="0"/>
              <w:keepLines w:val="0"/>
              <w:pageBreakBefore w:val="0"/>
              <w:widowControl/>
              <w:suppressLineNumbers w:val="0"/>
              <w:spacing w:line="400" w:lineRule="exact"/>
              <w:jc w:val="left"/>
              <w:rPr>
                <w:rFonts w:hint="default" w:ascii="宋体" w:hAnsi="宋体" w:eastAsia="宋体" w:cs="宋体"/>
                <w:i w:val="0"/>
                <w:iCs w:val="0"/>
                <w:color w:val="0000FF"/>
                <w:spacing w:val="0"/>
                <w:sz w:val="21"/>
                <w:szCs w:val="21"/>
                <w:u w:val="none"/>
                <w:lang w:val="en-US" w:eastAsia="zh-CN" w:bidi="ar"/>
              </w:rPr>
            </w:pPr>
            <w:r>
              <w:rPr>
                <w:rFonts w:hint="eastAsia" w:ascii="宋体" w:hAnsi="宋体" w:eastAsia="宋体" w:cs="宋体"/>
                <w:i w:val="0"/>
                <w:iCs w:val="0"/>
                <w:color w:val="0000FF"/>
                <w:spacing w:val="9"/>
                <w:sz w:val="21"/>
                <w:szCs w:val="21"/>
                <w:u w:val="none"/>
                <w:lang w:val="en-US" w:eastAsia="zh-CN" w:bidi="ar"/>
              </w:rPr>
              <w:t xml:space="preserve">乙方承担油品储存、运输、加注全程保险。         </w:t>
            </w:r>
            <w:r>
              <w:rPr>
                <w:rFonts w:hint="eastAsia" w:ascii="宋体" w:hAnsi="宋体" w:eastAsia="宋体" w:cs="宋体"/>
                <w:i w:val="0"/>
                <w:iCs w:val="0"/>
                <w:color w:val="0000FF"/>
                <w:spacing w:val="0"/>
                <w:sz w:val="21"/>
                <w:szCs w:val="21"/>
                <w:u w:val="none"/>
                <w:lang w:val="en-US" w:eastAsia="zh-CN" w:bidi="ar"/>
              </w:rPr>
              <w:t xml:space="preserve"> </w:t>
            </w:r>
          </w:p>
        </w:tc>
      </w:tr>
      <w:tr w14:paraId="51D18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B76BE">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第8.2（1）项</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C01891">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质量保证期</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EE4C44">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lang w:val="en-US" w:eastAsia="zh-CN" w:bidi="ar"/>
              </w:rPr>
            </w:pPr>
            <w:r>
              <w:rPr>
                <w:rFonts w:hint="eastAsia" w:ascii="宋体" w:hAnsi="宋体" w:eastAsia="宋体" w:cs="宋体"/>
                <w:i w:val="0"/>
                <w:iCs w:val="0"/>
                <w:color w:val="0000FF"/>
                <w:sz w:val="21"/>
                <w:szCs w:val="21"/>
                <w:u w:val="none"/>
                <w:lang w:val="en-US" w:eastAsia="zh-CN" w:bidi="ar"/>
              </w:rPr>
              <w:t>本项目不涉及（一次性油品，按国家强制标准验收）</w:t>
            </w:r>
          </w:p>
        </w:tc>
      </w:tr>
      <w:tr w14:paraId="475C4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2D9130">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第8.2（3）项</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0C209">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质量缺陷响应时间</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98157">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油品使用期间出现质量问题，甲方通知乙方后，到场处置时限按如下执行：正常工作时段，乙方接通知后2小时内抵达甲方现场；夜间或突发应急场景，乙方需30分钟内完成远程响应，并于4小时内赶赴现场。乙方到达现场后，应在48 小时内完成问题处置。因恶劣天气、交通管制、危险化学品运输限行等不可抗力致使乙方无法按期到场的，不认定乙方违约，乙方应在障碍消除后第一时间赶赴现场处置。</w:t>
            </w:r>
          </w:p>
        </w:tc>
      </w:tr>
      <w:tr w14:paraId="57974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3DF89E">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第8款补充</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32D9F">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质量保证要求</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5BF3C0">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1.符合GB 19147-2016、GB 17930-2016；</w:t>
            </w:r>
            <w:r>
              <w:rPr>
                <w:rFonts w:hint="eastAsia" w:ascii="宋体" w:hAnsi="宋体" w:eastAsia="宋体" w:cs="宋体"/>
                <w:i w:val="0"/>
                <w:iCs w:val="0"/>
                <w:color w:val="0000FF"/>
                <w:sz w:val="21"/>
                <w:szCs w:val="21"/>
                <w:u w:val="none"/>
                <w:lang w:val="en-US" w:eastAsia="zh-CN" w:bidi="ar"/>
              </w:rPr>
              <w:br w:type="textWrapping"/>
            </w:r>
            <w:r>
              <w:rPr>
                <w:rFonts w:hint="eastAsia" w:ascii="宋体" w:hAnsi="宋体" w:eastAsia="宋体" w:cs="宋体"/>
                <w:i w:val="0"/>
                <w:iCs w:val="0"/>
                <w:color w:val="0000FF"/>
                <w:sz w:val="21"/>
                <w:szCs w:val="21"/>
                <w:u w:val="none"/>
                <w:lang w:val="en-US" w:eastAsia="zh-CN" w:bidi="ar"/>
              </w:rPr>
              <w:t>2.每批次提供出厂检验合格报告；</w:t>
            </w:r>
            <w:r>
              <w:rPr>
                <w:rFonts w:hint="eastAsia" w:ascii="宋体" w:hAnsi="宋体" w:eastAsia="宋体" w:cs="宋体"/>
                <w:i w:val="0"/>
                <w:iCs w:val="0"/>
                <w:color w:val="0000FF"/>
                <w:sz w:val="21"/>
                <w:szCs w:val="21"/>
                <w:u w:val="none"/>
                <w:lang w:val="en-US" w:eastAsia="zh-CN" w:bidi="ar"/>
              </w:rPr>
              <w:br w:type="textWrapping"/>
            </w:r>
            <w:r>
              <w:rPr>
                <w:rFonts w:hint="eastAsia" w:ascii="宋体" w:hAnsi="宋体" w:eastAsia="宋体" w:cs="宋体"/>
                <w:i w:val="0"/>
                <w:iCs w:val="0"/>
                <w:color w:val="0000FF"/>
                <w:sz w:val="21"/>
                <w:szCs w:val="21"/>
                <w:u w:val="none"/>
                <w:lang w:val="en-US" w:eastAsia="zh-CN" w:bidi="ar"/>
              </w:rPr>
              <w:t>3.全新合格正品；</w:t>
            </w:r>
            <w:r>
              <w:rPr>
                <w:rFonts w:hint="eastAsia" w:ascii="宋体" w:hAnsi="宋体" w:eastAsia="宋体" w:cs="宋体"/>
                <w:i w:val="0"/>
                <w:iCs w:val="0"/>
                <w:color w:val="0000FF"/>
                <w:sz w:val="21"/>
                <w:szCs w:val="21"/>
                <w:u w:val="none"/>
                <w:lang w:val="en-US" w:eastAsia="zh-CN" w:bidi="ar"/>
              </w:rPr>
              <w:br w:type="textWrapping"/>
            </w:r>
            <w:r>
              <w:rPr>
                <w:rFonts w:hint="eastAsia" w:ascii="宋体" w:hAnsi="宋体" w:eastAsia="宋体" w:cs="宋体"/>
                <w:i w:val="0"/>
                <w:iCs w:val="0"/>
                <w:color w:val="0000FF"/>
                <w:sz w:val="21"/>
                <w:szCs w:val="21"/>
                <w:u w:val="none"/>
                <w:lang w:val="en-US" w:eastAsia="zh-CN" w:bidi="ar"/>
              </w:rPr>
              <w:t>4.甲方有权抽样检验，不合格拒收。</w:t>
            </w:r>
          </w:p>
        </w:tc>
      </w:tr>
      <w:tr w14:paraId="5A497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EFC57">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第11.1款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134F9B">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其他应当保密的信息</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39DDB">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FF"/>
                <w:sz w:val="21"/>
                <w:szCs w:val="21"/>
                <w:u w:val="none"/>
                <w:lang w:val="en-US" w:eastAsia="zh-CN" w:bidi="ar"/>
              </w:rPr>
              <w:t>采购价格、供应计划、甲方用油信息</w:t>
            </w:r>
          </w:p>
        </w:tc>
      </w:tr>
      <w:tr w14:paraId="38BD4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1A6F0A">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第12.2款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4A99A">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合同价款支付时间及要求</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C52CA8">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预付款：合同签订且乙方缴纳履约保证金后，甲方支付最高限价×30%作为预付款。在签订合同时，中标、成交供应商明确书面表示无需预付款或者主动要求降低预付款比例的，采购人可就预付款比例作相应调整。</w:t>
            </w:r>
            <w:r>
              <w:rPr>
                <w:rFonts w:hint="eastAsia" w:ascii="宋体" w:hAnsi="宋体" w:eastAsia="宋体" w:cs="宋体"/>
                <w:i w:val="0"/>
                <w:iCs w:val="0"/>
                <w:color w:val="0000FF"/>
                <w:sz w:val="21"/>
                <w:szCs w:val="21"/>
                <w:u w:val="none"/>
                <w:lang w:val="en-US" w:eastAsia="zh-CN" w:bidi="ar"/>
              </w:rPr>
              <w:br w:type="textWrapping"/>
            </w:r>
            <w:r>
              <w:rPr>
                <w:rFonts w:hint="eastAsia" w:ascii="宋体" w:hAnsi="宋体" w:eastAsia="宋体" w:cs="宋体"/>
                <w:i w:val="0"/>
                <w:iCs w:val="0"/>
                <w:color w:val="0000FF"/>
                <w:sz w:val="21"/>
                <w:szCs w:val="21"/>
                <w:u w:val="none"/>
                <w:lang w:val="en-US" w:eastAsia="zh-CN" w:bidi="ar"/>
              </w:rPr>
              <w:t>进度款：甲乙双方按月核对当期实际供应油品的数量、金额，甲方按季度支付已核对确认的累计结算款项。</w:t>
            </w:r>
            <w:r>
              <w:rPr>
                <w:rFonts w:hint="eastAsia" w:ascii="宋体" w:hAnsi="宋体" w:eastAsia="宋体" w:cs="宋体"/>
                <w:i w:val="0"/>
                <w:iCs w:val="0"/>
                <w:color w:val="0000FF"/>
                <w:sz w:val="21"/>
                <w:szCs w:val="21"/>
                <w:u w:val="none"/>
                <w:lang w:val="en-US" w:eastAsia="zh-CN" w:bidi="ar"/>
              </w:rPr>
              <w:br w:type="textWrapping"/>
            </w:r>
            <w:r>
              <w:rPr>
                <w:rFonts w:hint="eastAsia" w:ascii="宋体" w:hAnsi="宋体" w:eastAsia="宋体" w:cs="宋体"/>
                <w:i w:val="0"/>
                <w:iCs w:val="0"/>
                <w:color w:val="0000FF"/>
                <w:sz w:val="21"/>
                <w:szCs w:val="21"/>
                <w:u w:val="none"/>
                <w:lang w:val="en-US" w:eastAsia="zh-CN" w:bidi="ar"/>
              </w:rPr>
              <w:t>尾款：项目最后一次供应完成并验收合格后，甲方从应付结算总金额中一次性扣除已支付预付款，按剩余余额完成最终支付。</w:t>
            </w:r>
            <w:r>
              <w:rPr>
                <w:rFonts w:hint="eastAsia" w:ascii="宋体" w:hAnsi="宋体" w:eastAsia="宋体" w:cs="宋体"/>
                <w:i w:val="0"/>
                <w:iCs w:val="0"/>
                <w:color w:val="0000FF"/>
                <w:sz w:val="21"/>
                <w:szCs w:val="21"/>
                <w:u w:val="none"/>
                <w:lang w:val="en-US" w:eastAsia="zh-CN" w:bidi="ar"/>
              </w:rPr>
              <w:br w:type="textWrapping"/>
            </w:r>
            <w:r>
              <w:rPr>
                <w:rFonts w:hint="eastAsia" w:ascii="宋体" w:hAnsi="宋体" w:eastAsia="宋体" w:cs="宋体"/>
                <w:i w:val="0"/>
                <w:iCs w:val="0"/>
                <w:color w:val="0000FF"/>
                <w:sz w:val="21"/>
                <w:szCs w:val="21"/>
                <w:u w:val="none"/>
                <w:lang w:val="en-US" w:eastAsia="zh-CN" w:bidi="ar"/>
              </w:rPr>
              <w:t>结算单价 = 江苏省发改委当日零售价 ×(1-投标优惠率)，据实结算且不超过最高限价。</w:t>
            </w:r>
            <w:r>
              <w:rPr>
                <w:rFonts w:hint="eastAsia" w:ascii="宋体" w:hAnsi="宋体" w:eastAsia="宋体" w:cs="宋体"/>
                <w:i w:val="0"/>
                <w:iCs w:val="0"/>
                <w:color w:val="0000FF"/>
                <w:sz w:val="21"/>
                <w:szCs w:val="21"/>
                <w:u w:val="none"/>
                <w:lang w:val="en-US" w:eastAsia="zh-CN" w:bidi="ar"/>
              </w:rPr>
              <w:br w:type="textWrapping"/>
            </w:r>
            <w:r>
              <w:rPr>
                <w:rFonts w:hint="eastAsia" w:ascii="宋体" w:hAnsi="宋体" w:eastAsia="宋体" w:cs="宋体"/>
                <w:i w:val="0"/>
                <w:iCs w:val="0"/>
                <w:color w:val="0000FF"/>
                <w:sz w:val="21"/>
                <w:szCs w:val="21"/>
                <w:u w:val="none"/>
                <w:lang w:val="en-US" w:eastAsia="zh-CN" w:bidi="ar"/>
              </w:rPr>
              <w:t>付款要求：乙方每次申请付款前，须向甲方提供合法有效的增值税发票及当期供应验收单、结算单等付款凭证。</w:t>
            </w:r>
          </w:p>
        </w:tc>
      </w:tr>
      <w:tr w14:paraId="7BE49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BD6A2">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第13.2款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25522">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履约保证金不予退还的情形</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CC0F6F">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除不可抗力情况外，投标人出现下列情形之一的，其履约保证金，招标人将视情节决定不予退还或部分不予退还。</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（1）中标人无正当理由拒绝签订合同的，或者在签订合同时向采购人提出附加条件或者更改合同实质性内容要求的；</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（2）中标人不履行与采购人订立的合同的；</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（3）中标人所供货物或服务不符合招标文件规定要求的；</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（4）中标人采取欺骗、弄虚作假方式投标的或与其他投标人串通投标的；</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（5）中标人将合同内容转包、违法分包的；</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（6）中标人故意捏造事实或伪造证明材料，进行虚假恶意投诉或反映的。</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（7）</w:t>
            </w:r>
            <w:r>
              <w:rPr>
                <w:rFonts w:hint="eastAsia" w:ascii="宋体" w:hAnsi="宋体" w:eastAsia="宋体" w:cs="宋体"/>
                <w:i w:val="0"/>
                <w:iCs w:val="0"/>
                <w:color w:val="0000FF"/>
                <w:sz w:val="21"/>
                <w:szCs w:val="21"/>
                <w:u w:val="none"/>
                <w:lang w:val="en-US" w:eastAsia="zh-CN" w:bidi="ar"/>
              </w:rPr>
              <w:t>油品质量不合格、混装混运。</w:t>
            </w:r>
          </w:p>
        </w:tc>
      </w:tr>
      <w:tr w14:paraId="5C3CB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7F3571">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第13.3款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5F35F4">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履约保证金退还时间及逾期退还的违约金</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45287D">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1、合同履行结束后，甲方应及时退还交纳的履约保证金。</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2、退还方式：退还至投标人缴纳履约保证金的账户。如为保函，在到期时自行失效。</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3、退还时间：验收合格且甲方收到发票后30日内。</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4、退还条件：按合同要求全部履约完成并经采购人验收合格，且采购人收到中标人出具的发票。</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5、逾期退还的违约责任：采购人逾期无故未退还履约保证金的，按中国人民银行同期贷款基准利率上浮20%后的利率支付超期资金占用费，但因供应商自身原因导致无法及时退还的除外。</w:t>
            </w:r>
          </w:p>
        </w:tc>
      </w:tr>
      <w:tr w14:paraId="68AC6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073978">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第14.1（3）项</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4E0BAA">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运行维修期限</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84B163">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本项目不涉及</w:t>
            </w:r>
          </w:p>
        </w:tc>
      </w:tr>
      <w:tr w14:paraId="13049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C9F9A">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 14.1（5）项</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254D48">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货物回收</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0B29D9">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本项目不涉及</w:t>
            </w:r>
          </w:p>
        </w:tc>
      </w:tr>
      <w:tr w14:paraId="31D05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7C01DF">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 14.1（6）项</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4C4BC">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其他服务</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5F36F">
            <w:pPr>
              <w:keepNext w:val="0"/>
              <w:keepLines w:val="0"/>
              <w:pageBreakBefore w:val="0"/>
              <w:widowControl/>
              <w:suppressLineNumbers w:val="0"/>
              <w:spacing w:line="400" w:lineRule="exact"/>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lang w:val="en-US" w:eastAsia="zh-CN" w:bidi="ar"/>
              </w:rPr>
              <w:t>油品专业加注、安全防护</w:t>
            </w:r>
          </w:p>
        </w:tc>
      </w:tr>
      <w:tr w14:paraId="3AC2A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04CDFE">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 15.1 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D1963">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修理、重做、更换相关具体规定</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BC59C">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1、详见合同通用条款8.2条款、合同专用条款第二节第8款补充条款及合同专用条款中索赔条款。</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3E4A9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865282">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第15.2（2）项</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84CF5">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迟延交货赔偿费</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EE70A4">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1.乙方应按照“开标（报价）一览表”中规定的交货期或承诺交货和提供服务，并交付甲方验收使用。</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2.如果乙方无正当理由拖延交货，将受到以下制裁：加收误期赔偿或终止合同。</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3. 乙方逾期交付货物的，乙方应按逾期交货总额每日0.5‰向甲方支付违约金，由甲方从待付货款中扣除。逾期超过约定日期7  个工作日不能交货的，甲方可解除本合同。乙方因逾期交货或因其他违约行为导致甲方解除合同的，乙方应向甲方支付合同总值</w:t>
            </w:r>
            <w:r>
              <w:rPr>
                <w:rStyle w:val="18"/>
                <w:sz w:val="21"/>
                <w:szCs w:val="21"/>
                <w:u w:val="single"/>
                <w:lang w:val="en-US" w:eastAsia="zh-CN" w:bidi="ar"/>
              </w:rPr>
              <w:t xml:space="preserve">    </w:t>
            </w:r>
            <w:r>
              <w:rPr>
                <w:rStyle w:val="20"/>
                <w:sz w:val="21"/>
                <w:szCs w:val="21"/>
                <w:u w:val="single"/>
                <w:lang w:val="en-US" w:eastAsia="zh-CN" w:bidi="ar"/>
              </w:rPr>
              <w:t xml:space="preserve"> </w:t>
            </w:r>
            <w:r>
              <w:rPr>
                <w:rStyle w:val="20"/>
                <w:sz w:val="21"/>
                <w:szCs w:val="21"/>
                <w:lang w:val="en-US" w:eastAsia="zh-CN" w:bidi="ar"/>
              </w:rPr>
              <w:t xml:space="preserve">的违约金，如造成甲方损失超过违约金的，超出部分由乙方继续承担赔偿责任。 </w:t>
            </w:r>
            <w:r>
              <w:rPr>
                <w:rStyle w:val="20"/>
                <w:sz w:val="21"/>
                <w:szCs w:val="21"/>
                <w:lang w:val="en-US" w:eastAsia="zh-CN" w:bidi="ar"/>
              </w:rPr>
              <w:br w:type="textWrapping"/>
            </w:r>
            <w:r>
              <w:rPr>
                <w:rStyle w:val="20"/>
                <w:sz w:val="21"/>
                <w:szCs w:val="21"/>
                <w:lang w:val="en-US" w:eastAsia="zh-CN" w:bidi="ar"/>
              </w:rPr>
              <w:t>4.如乙方不能交付货物，或者有违法转包他人情形，乙方应向甲方支付合同总价</w:t>
            </w:r>
            <w:r>
              <w:rPr>
                <w:rStyle w:val="18"/>
                <w:sz w:val="21"/>
                <w:szCs w:val="21"/>
                <w:u w:val="single"/>
                <w:lang w:val="en-US" w:eastAsia="zh-CN" w:bidi="ar"/>
              </w:rPr>
              <w:t xml:space="preserve">    </w:t>
            </w:r>
            <w:r>
              <w:rPr>
                <w:rStyle w:val="20"/>
                <w:sz w:val="21"/>
                <w:szCs w:val="21"/>
                <w:u w:val="single"/>
                <w:lang w:val="en-US" w:eastAsia="zh-CN" w:bidi="ar"/>
              </w:rPr>
              <w:t xml:space="preserve"> </w:t>
            </w:r>
            <w:r>
              <w:rPr>
                <w:rStyle w:val="20"/>
                <w:sz w:val="21"/>
                <w:szCs w:val="21"/>
                <w:lang w:val="en-US" w:eastAsia="zh-CN" w:bidi="ar"/>
              </w:rPr>
              <w:t>的滞纳金。</w:t>
            </w:r>
          </w:p>
        </w:tc>
      </w:tr>
      <w:tr w14:paraId="19FA3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40FB4">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 15.3 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D76499">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逾期付款利息</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2885F">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1.甲方无正当理由拒收货物的，甲方向乙方偿付拒收货款总值</w:t>
            </w:r>
            <w:r>
              <w:rPr>
                <w:rFonts w:hint="eastAsia" w:ascii="宋体" w:hAnsi="宋体" w:eastAsia="宋体" w:cs="宋体"/>
                <w:i w:val="0"/>
                <w:iCs w:val="0"/>
                <w:color w:val="0000FF"/>
                <w:sz w:val="21"/>
                <w:szCs w:val="21"/>
                <w:u w:val="single"/>
                <w:lang w:val="en-US" w:eastAsia="zh-CN" w:bidi="ar"/>
              </w:rPr>
              <w:t>0.5‰</w:t>
            </w:r>
            <w:r>
              <w:rPr>
                <w:rFonts w:hint="eastAsia" w:ascii="宋体" w:hAnsi="宋体" w:eastAsia="宋体" w:cs="宋体"/>
                <w:i w:val="0"/>
                <w:iCs w:val="0"/>
                <w:color w:val="000000"/>
                <w:sz w:val="21"/>
                <w:szCs w:val="21"/>
                <w:u w:val="none"/>
                <w:lang w:val="en-US" w:eastAsia="zh-CN" w:bidi="ar"/>
              </w:rPr>
              <w:t>的违约金。</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2.甲方无故逾期验收和办理货款支付手续的,甲方应按逾期付款总额每日</w:t>
            </w:r>
            <w:r>
              <w:rPr>
                <w:rFonts w:hint="eastAsia" w:ascii="宋体" w:hAnsi="宋体" w:eastAsia="宋体" w:cs="宋体"/>
                <w:i w:val="0"/>
                <w:iCs w:val="0"/>
                <w:color w:val="0000FF"/>
                <w:sz w:val="21"/>
                <w:szCs w:val="21"/>
                <w:u w:val="single"/>
                <w:lang w:val="en-US" w:eastAsia="zh-CN" w:bidi="ar"/>
              </w:rPr>
              <w:t>0.5‰</w:t>
            </w:r>
            <w:r>
              <w:rPr>
                <w:rFonts w:hint="eastAsia" w:ascii="宋体" w:hAnsi="宋体" w:eastAsia="宋体" w:cs="宋体"/>
                <w:i w:val="0"/>
                <w:iCs w:val="0"/>
                <w:color w:val="000000"/>
                <w:sz w:val="21"/>
                <w:szCs w:val="21"/>
                <w:u w:val="none"/>
                <w:lang w:val="en-US" w:eastAsia="zh-CN" w:bidi="ar"/>
              </w:rPr>
              <w:t>向乙方支付违约金。</w:t>
            </w:r>
          </w:p>
        </w:tc>
      </w:tr>
      <w:tr w14:paraId="602D3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07582">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第15.4款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321E35">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其他违约责任</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2A60F">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w:t>
            </w:r>
          </w:p>
        </w:tc>
      </w:tr>
      <w:tr w14:paraId="46354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572BD">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第二节</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第 19.2 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87A2A">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争议解决</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D61D2">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1.因本合同及合同有关事项发生的争议，由双方协商解决，协商不成时，按下列第 2 种方式解决：</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 xml:space="preserve">（1）向仲裁委员会申请仲裁，仲裁地点为 </w:t>
            </w:r>
            <w:r>
              <w:rPr>
                <w:rFonts w:hint="eastAsia" w:ascii="宋体" w:hAnsi="宋体" w:eastAsia="宋体" w:cs="宋体"/>
                <w:i w:val="0"/>
                <w:iCs w:val="0"/>
                <w:color w:val="000000"/>
                <w:sz w:val="21"/>
                <w:szCs w:val="21"/>
                <w:u w:val="single"/>
                <w:lang w:val="en-US" w:eastAsia="zh-CN" w:bidi="ar"/>
              </w:rPr>
              <w:t xml:space="preserve">  /  </w:t>
            </w:r>
            <w:r>
              <w:rPr>
                <w:rFonts w:hint="eastAsia" w:ascii="宋体" w:hAnsi="宋体" w:eastAsia="宋体" w:cs="宋体"/>
                <w:i w:val="0"/>
                <w:iCs w:val="0"/>
                <w:color w:val="000000"/>
                <w:sz w:val="21"/>
                <w:szCs w:val="21"/>
                <w:u w:val="none"/>
                <w:lang w:val="en-US" w:eastAsia="zh-CN" w:bidi="ar"/>
              </w:rPr>
              <w:t>；</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（2）向甲方所在地人民法院起诉。</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2. 纠纷解决办法</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2.1因货物的质量问题发生争议的，应当邀请国家认可的质量检测机构对货物质量进行鉴定。货物符合标准的，鉴定费由甲方承担；货物不符合质量标准的，鉴定费由乙方承担，并更换问题货物。</w:t>
            </w:r>
          </w:p>
        </w:tc>
      </w:tr>
      <w:tr w14:paraId="0F069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D28BF">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第 23.1 款</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3B211B">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其他专用条款</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64CB7">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FF"/>
                <w:sz w:val="21"/>
                <w:szCs w:val="21"/>
                <w:u w:val="none"/>
                <w:lang w:val="en-US" w:eastAsia="zh-CN" w:bidi="ar"/>
              </w:rPr>
              <w:t>1.结算总额不超过最高限价；</w:t>
            </w:r>
            <w:r>
              <w:rPr>
                <w:rFonts w:hint="eastAsia" w:ascii="宋体" w:hAnsi="宋体" w:eastAsia="宋体" w:cs="宋体"/>
                <w:i w:val="0"/>
                <w:iCs w:val="0"/>
                <w:color w:val="0000FF"/>
                <w:sz w:val="21"/>
                <w:szCs w:val="21"/>
                <w:u w:val="none"/>
                <w:lang w:val="en-US" w:eastAsia="zh-CN" w:bidi="ar"/>
              </w:rPr>
              <w:br w:type="textWrapping"/>
            </w:r>
            <w:r>
              <w:rPr>
                <w:rFonts w:hint="eastAsia" w:ascii="宋体" w:hAnsi="宋体" w:eastAsia="宋体" w:cs="宋体"/>
                <w:i w:val="0"/>
                <w:iCs w:val="0"/>
                <w:color w:val="0000FF"/>
                <w:sz w:val="21"/>
                <w:szCs w:val="21"/>
                <w:u w:val="none"/>
                <w:lang w:val="en-US" w:eastAsia="zh-CN" w:bidi="ar"/>
              </w:rPr>
              <w:t>2.油品运输、加注期间乙方承担安全事故全部责任；</w:t>
            </w:r>
            <w:r>
              <w:rPr>
                <w:rFonts w:hint="eastAsia" w:ascii="宋体" w:hAnsi="宋体" w:eastAsia="宋体" w:cs="宋体"/>
                <w:i w:val="0"/>
                <w:iCs w:val="0"/>
                <w:color w:val="0000FF"/>
                <w:sz w:val="21"/>
                <w:szCs w:val="21"/>
                <w:u w:val="none"/>
                <w:lang w:val="en-US" w:eastAsia="zh-CN" w:bidi="ar"/>
              </w:rPr>
              <w:br w:type="textWrapping"/>
            </w:r>
            <w:r>
              <w:rPr>
                <w:rFonts w:hint="eastAsia" w:ascii="宋体" w:hAnsi="宋体" w:eastAsia="宋体" w:cs="宋体"/>
                <w:i w:val="0"/>
                <w:iCs w:val="0"/>
                <w:color w:val="0000FF"/>
                <w:sz w:val="21"/>
                <w:szCs w:val="21"/>
                <w:u w:val="none"/>
                <w:lang w:val="en-US" w:eastAsia="zh-CN" w:bidi="ar"/>
              </w:rPr>
              <w:t>3. 验收不合格 3 日内更换，逾期按违约处理</w:t>
            </w:r>
          </w:p>
        </w:tc>
      </w:tr>
      <w:tr w14:paraId="056F6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3F6709">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A1CBEA">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税费</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98163A">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1.中国政府根据现行税法规定对甲方征收的与本合同有关的一切税费均由甲方负担（免税部分除外），招标文件另有规定的除外。</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2.中国政府根据现行税法规定对乙方征收的与本合同有关的一切税费均由乙方负担（免税部分除外）。</w:t>
            </w:r>
          </w:p>
        </w:tc>
      </w:tr>
      <w:tr w14:paraId="3212F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3CF010">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BD4EBB">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伴随服务</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8C52AC">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油品配送、加注、安全防护</w:t>
            </w:r>
          </w:p>
        </w:tc>
      </w:tr>
      <w:tr w14:paraId="71567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202F43">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881C16">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索赔</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5E57A4">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油品不合格乙方退货、降价或更换，承担全部损失</w:t>
            </w:r>
          </w:p>
        </w:tc>
      </w:tr>
      <w:tr w14:paraId="64C61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D7080">
            <w:pPr>
              <w:keepNext w:val="0"/>
              <w:keepLines w:val="0"/>
              <w:pageBreakBefore w:val="0"/>
              <w:widowControl/>
              <w:suppressLineNumbers w:val="0"/>
              <w:spacing w:line="40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w:t>
            </w:r>
          </w:p>
        </w:tc>
        <w:tc>
          <w:tcPr>
            <w:tcW w:w="21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D5FD83">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合同生效</w:t>
            </w:r>
          </w:p>
        </w:tc>
        <w:tc>
          <w:tcPr>
            <w:tcW w:w="5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7E470">
            <w:pPr>
              <w:keepNext w:val="0"/>
              <w:keepLines w:val="0"/>
              <w:pageBreakBefore w:val="0"/>
              <w:widowControl/>
              <w:suppressLineNumbers w:val="0"/>
              <w:spacing w:line="40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 合同经甲方、乙方盖章后生效。</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2. 货物交付使用后所发生的合同纠纷，由甲方与乙方协商处理。</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4.本合同应按照中华人民共和国的现行法律进行解释。本合同未尽事宜，遵照《中华人民共和国民法典》、《中华人民共和国政府采购法》等有关条文执行。</w:t>
            </w:r>
          </w:p>
        </w:tc>
      </w:tr>
    </w:tbl>
    <w:p w14:paraId="2281FFB8">
      <w:pPr>
        <w:pStyle w:val="8"/>
        <w:spacing w:before="120" w:beforeAutospacing="0" w:after="120" w:afterAutospacing="0" w:line="0" w:lineRule="atLeast"/>
        <w:jc w:val="center"/>
        <w:rPr>
          <w:color w:val="auto"/>
          <w:highlight w:val="none"/>
          <w:shd w:val="clear" w:color="auto" w:fill="auto"/>
        </w:rPr>
      </w:pPr>
      <w:r>
        <w:rPr>
          <w:rFonts w:hint="eastAsia" w:ascii="黑体" w:hAnsi="宋体" w:eastAsia="黑体" w:cs="黑体"/>
          <w:color w:val="auto"/>
          <w:sz w:val="44"/>
          <w:szCs w:val="44"/>
          <w:highlight w:val="none"/>
          <w:shd w:val="clear" w:color="auto" w:fill="auto"/>
        </w:rPr>
        <w:br w:type="page"/>
      </w:r>
      <w:r>
        <w:rPr>
          <w:rFonts w:hint="eastAsia" w:ascii="黑体" w:hAnsi="宋体" w:eastAsia="黑体" w:cs="黑体"/>
          <w:color w:val="auto"/>
          <w:sz w:val="44"/>
          <w:szCs w:val="44"/>
          <w:highlight w:val="none"/>
          <w:shd w:val="clear" w:color="auto" w:fill="auto"/>
        </w:rPr>
        <w:t> 第</w:t>
      </w:r>
      <w:bookmarkEnd w:id="147"/>
      <w:r>
        <w:rPr>
          <w:rFonts w:hint="eastAsia" w:ascii="黑体" w:hAnsi="宋体" w:eastAsia="黑体" w:cs="黑体"/>
          <w:color w:val="auto"/>
          <w:sz w:val="44"/>
          <w:szCs w:val="44"/>
          <w:highlight w:val="none"/>
          <w:shd w:val="clear" w:color="auto" w:fill="auto"/>
        </w:rPr>
        <w:t>四章 采购需求</w:t>
      </w:r>
      <w:bookmarkEnd w:id="148"/>
      <w:bookmarkEnd w:id="149"/>
      <w:bookmarkEnd w:id="150"/>
      <w:bookmarkEnd w:id="151"/>
      <w:bookmarkStart w:id="156" w:name="_Toc26554093"/>
      <w:bookmarkEnd w:id="156"/>
      <w:bookmarkStart w:id="157" w:name="_Toc49090575"/>
      <w:bookmarkEnd w:id="157"/>
    </w:p>
    <w:p w14:paraId="2E80B832">
      <w:pPr>
        <w:keepNext w:val="0"/>
        <w:keepLines w:val="0"/>
        <w:pageBreakBefore w:val="0"/>
        <w:spacing w:before="0" w:after="0" w:line="520" w:lineRule="exact"/>
        <w:ind w:left="0" w:firstLine="482"/>
        <w:jc w:val="center"/>
        <w:outlineLvl w:val="1"/>
        <w:rPr>
          <w:rFonts w:hint="eastAsia" w:ascii="仿宋" w:hAnsi="仿宋" w:eastAsia="仿宋" w:cs="仿宋"/>
          <w:b/>
          <w:bCs/>
          <w:color w:val="auto"/>
          <w:sz w:val="24"/>
          <w:szCs w:val="24"/>
          <w:highlight w:val="none"/>
          <w:lang w:val="en-US" w:eastAsia="zh-CN" w:bidi="ar-SA"/>
        </w:rPr>
      </w:pPr>
      <w:bookmarkStart w:id="158" w:name="_Toc3556"/>
      <w:r>
        <w:rPr>
          <w:rFonts w:hint="eastAsia" w:ascii="仿宋" w:hAnsi="仿宋" w:eastAsia="仿宋" w:cs="仿宋"/>
          <w:b/>
          <w:bCs/>
          <w:color w:val="auto"/>
          <w:sz w:val="24"/>
          <w:szCs w:val="24"/>
          <w:highlight w:val="none"/>
          <w:lang w:val="en-US" w:eastAsia="zh-CN" w:bidi="ar-SA"/>
        </w:rPr>
        <w:t>项目属性:</w:t>
      </w:r>
      <w:bookmarkEnd w:id="158"/>
      <w:r>
        <w:rPr>
          <w:rFonts w:hint="eastAsia" w:ascii="仿宋" w:hAnsi="仿宋" w:eastAsia="仿宋" w:cs="仿宋"/>
          <w:b/>
          <w:bCs/>
          <w:color w:val="auto"/>
          <w:sz w:val="24"/>
          <w:szCs w:val="24"/>
          <w:highlight w:val="none"/>
          <w:lang w:val="en-US" w:eastAsia="zh-CN" w:bidi="ar-SA"/>
        </w:rPr>
        <w:t>服务类项目（加注服务）</w:t>
      </w:r>
    </w:p>
    <w:p w14:paraId="224A860B">
      <w:pPr>
        <w:keepNext w:val="0"/>
        <w:keepLines w:val="0"/>
        <w:pageBreakBefore w:val="0"/>
        <w:widowControl w:val="0"/>
        <w:spacing w:line="480" w:lineRule="exact"/>
        <w:ind w:left="0" w:firstLine="482"/>
        <w:rPr>
          <w:rFonts w:hint="eastAsia" w:ascii="仿宋" w:hAnsi="仿宋" w:eastAsia="仿宋" w:cs="仿宋"/>
          <w:b/>
          <w:bCs/>
          <w:color w:val="auto"/>
          <w:sz w:val="24"/>
          <w:szCs w:val="24"/>
          <w:highlight w:val="none"/>
        </w:rPr>
      </w:pPr>
      <w:bookmarkStart w:id="159" w:name="_Toc12569"/>
      <w:r>
        <w:rPr>
          <w:rFonts w:hint="eastAsia" w:ascii="仿宋" w:hAnsi="仿宋" w:eastAsia="仿宋" w:cs="仿宋"/>
          <w:b/>
          <w:bCs/>
          <w:color w:val="auto"/>
          <w:sz w:val="24"/>
          <w:szCs w:val="24"/>
          <w:highlight w:val="none"/>
        </w:rPr>
        <w:t>一、项目基本信息</w:t>
      </w:r>
    </w:p>
    <w:p w14:paraId="2D93D6E4">
      <w:pPr>
        <w:keepNext w:val="0"/>
        <w:keepLines w:val="0"/>
        <w:pageBreakBefore w:val="0"/>
        <w:widowControl w:val="0"/>
        <w:spacing w:line="480" w:lineRule="exact"/>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1.项目名称：</w:t>
      </w:r>
      <w:r>
        <w:rPr>
          <w:rFonts w:hint="eastAsia" w:ascii="仿宋" w:hAnsi="仿宋" w:eastAsia="仿宋" w:cs="仿宋"/>
          <w:color w:val="0000FF"/>
          <w:sz w:val="24"/>
          <w:szCs w:val="24"/>
          <w:highlight w:val="none"/>
          <w:u w:val="single"/>
          <w:lang w:eastAsia="zh-CN"/>
        </w:rPr>
        <w:t>滨海县农业综合行政执法大队执法船柴油采购项目</w:t>
      </w:r>
    </w:p>
    <w:p w14:paraId="74124FA2">
      <w:pPr>
        <w:keepNext w:val="0"/>
        <w:keepLines w:val="0"/>
        <w:pageBreakBefore w:val="0"/>
        <w:widowControl w:val="0"/>
        <w:spacing w:line="480" w:lineRule="exact"/>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2.采购标的项目简述</w:t>
      </w:r>
      <w:r>
        <w:rPr>
          <w:rFonts w:hint="eastAsia" w:ascii="仿宋" w:hAnsi="仿宋" w:eastAsia="仿宋" w:cs="仿宋"/>
          <w:color w:val="auto"/>
          <w:sz w:val="24"/>
          <w:szCs w:val="24"/>
          <w:highlight w:val="none"/>
          <w:lang w:eastAsia="zh-CN"/>
        </w:rPr>
        <w:t>：</w:t>
      </w:r>
      <w:r>
        <w:rPr>
          <w:rFonts w:hint="eastAsia" w:ascii="仿宋" w:hAnsi="仿宋" w:eastAsia="仿宋" w:cs="仿宋"/>
          <w:color w:val="0000FF"/>
          <w:sz w:val="24"/>
          <w:szCs w:val="24"/>
          <w:highlight w:val="none"/>
          <w:u w:val="single"/>
          <w:lang w:val="en-US" w:eastAsia="zh-CN"/>
        </w:rPr>
        <w:t>本项目为滨海县农业综合行政执法大队执法船只年度用油采购，采购内容包含0号柴油、95号汽油，根据采购人实际使用需求分批次分别配送至采购人指定地点，提供专业加注服务。</w:t>
      </w:r>
    </w:p>
    <w:p w14:paraId="508D6672">
      <w:pPr>
        <w:keepNext w:val="0"/>
        <w:keepLines w:val="0"/>
        <w:pageBreakBefore w:val="0"/>
        <w:widowControl w:val="0"/>
        <w:spacing w:line="480" w:lineRule="exact"/>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预算金额：</w:t>
      </w:r>
      <w:r>
        <w:rPr>
          <w:rFonts w:hint="eastAsia" w:ascii="仿宋" w:hAnsi="仿宋" w:eastAsia="仿宋" w:cs="仿宋"/>
          <w:color w:val="0000FF"/>
          <w:sz w:val="24"/>
          <w:szCs w:val="24"/>
          <w:highlight w:val="none"/>
          <w:lang w:val="en-US" w:eastAsia="zh-CN"/>
        </w:rPr>
        <w:t>119.2</w:t>
      </w:r>
      <w:r>
        <w:rPr>
          <w:rFonts w:hint="eastAsia" w:ascii="仿宋" w:hAnsi="仿宋" w:eastAsia="仿宋" w:cs="仿宋"/>
          <w:color w:val="0000FF"/>
          <w:sz w:val="24"/>
          <w:szCs w:val="24"/>
          <w:highlight w:val="none"/>
        </w:rPr>
        <w:t>万元（其中</w:t>
      </w:r>
      <w:r>
        <w:rPr>
          <w:rFonts w:hint="eastAsia" w:ascii="仿宋" w:hAnsi="仿宋" w:eastAsia="仿宋" w:cs="仿宋"/>
          <w:color w:val="0000FF"/>
          <w:sz w:val="24"/>
          <w:szCs w:val="24"/>
          <w:highlight w:val="none"/>
          <w:lang w:val="en-US" w:eastAsia="zh-CN"/>
        </w:rPr>
        <w:t>柴油预算110万元</w:t>
      </w:r>
      <w:r>
        <w:rPr>
          <w:rFonts w:hint="eastAsia" w:ascii="仿宋" w:hAnsi="仿宋" w:eastAsia="仿宋" w:cs="仿宋"/>
          <w:color w:val="0000FF"/>
          <w:sz w:val="24"/>
          <w:szCs w:val="24"/>
          <w:highlight w:val="none"/>
        </w:rPr>
        <w:t>，</w:t>
      </w:r>
      <w:r>
        <w:rPr>
          <w:rFonts w:hint="eastAsia" w:ascii="仿宋" w:hAnsi="仿宋" w:eastAsia="仿宋" w:cs="仿宋"/>
          <w:color w:val="0000FF"/>
          <w:sz w:val="24"/>
          <w:szCs w:val="24"/>
          <w:highlight w:val="none"/>
          <w:lang w:val="en-US" w:eastAsia="zh-CN"/>
        </w:rPr>
        <w:t>95号汽油预算9.2万元</w:t>
      </w:r>
      <w:r>
        <w:rPr>
          <w:rFonts w:hint="eastAsia" w:ascii="仿宋" w:hAnsi="仿宋" w:eastAsia="仿宋" w:cs="仿宋"/>
          <w:color w:val="0000FF"/>
          <w:sz w:val="24"/>
          <w:szCs w:val="24"/>
          <w:highlight w:val="none"/>
        </w:rPr>
        <w:t>）</w:t>
      </w:r>
    </w:p>
    <w:p w14:paraId="4A5B7EEF">
      <w:pPr>
        <w:keepNext w:val="0"/>
        <w:keepLines w:val="0"/>
        <w:pageBreakBefore w:val="0"/>
        <w:widowControl w:val="0"/>
        <w:spacing w:line="480" w:lineRule="exact"/>
        <w:ind w:left="0"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.项目地点：滨海县境内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采购人指定地点</w:t>
      </w:r>
      <w:r>
        <w:rPr>
          <w:rFonts w:hint="eastAsia" w:ascii="仿宋" w:hAnsi="仿宋" w:eastAsia="仿宋" w:cs="仿宋"/>
          <w:color w:val="auto"/>
          <w:sz w:val="24"/>
          <w:szCs w:val="24"/>
          <w:highlight w:val="none"/>
          <w:lang w:eastAsia="zh-CN"/>
        </w:rPr>
        <w:t>）</w:t>
      </w:r>
    </w:p>
    <w:p w14:paraId="719FEFA1">
      <w:pPr>
        <w:keepNext w:val="0"/>
        <w:keepLines w:val="0"/>
        <w:pageBreakBefore w:val="0"/>
        <w:widowControl w:val="0"/>
        <w:spacing w:line="480" w:lineRule="exact"/>
        <w:ind w:left="0" w:firstLine="480"/>
        <w:rPr>
          <w:rFonts w:hint="default" w:ascii="仿宋" w:hAnsi="仿宋" w:eastAsia="仿宋" w:cs="仿宋"/>
          <w:color w:val="0000FF"/>
          <w:sz w:val="24"/>
          <w:szCs w:val="24"/>
          <w:highlight w:val="none"/>
          <w:u w:val="single"/>
          <w:lang w:val="en-US" w:eastAsia="zh-CN"/>
        </w:rPr>
      </w:pPr>
      <w:r>
        <w:rPr>
          <w:rFonts w:hint="eastAsia" w:ascii="仿宋" w:hAnsi="仿宋" w:eastAsia="仿宋" w:cs="仿宋"/>
          <w:color w:val="auto"/>
          <w:sz w:val="24"/>
          <w:szCs w:val="24"/>
          <w:highlight w:val="none"/>
          <w:lang w:val="en-US" w:eastAsia="zh-CN"/>
        </w:rPr>
        <w:t>5.采购标的服务期要求：</w:t>
      </w:r>
      <w:r>
        <w:rPr>
          <w:rFonts w:hint="eastAsia" w:ascii="仿宋" w:hAnsi="仿宋" w:eastAsia="仿宋" w:cs="仿宋"/>
          <w:color w:val="0000FF"/>
          <w:sz w:val="24"/>
          <w:szCs w:val="24"/>
          <w:highlight w:val="none"/>
          <w:u w:val="single"/>
          <w:lang w:val="en-US" w:eastAsia="zh-CN"/>
        </w:rPr>
        <w:t>一年（自合同签订之日起）</w:t>
      </w:r>
    </w:p>
    <w:p w14:paraId="25BA9CDC">
      <w:pPr>
        <w:keepNext w:val="0"/>
        <w:keepLines w:val="0"/>
        <w:pageBreakBefore w:val="0"/>
        <w:widowControl w:val="0"/>
        <w:spacing w:line="520" w:lineRule="exact"/>
        <w:ind w:left="0" w:firstLine="480"/>
        <w:outlineLvl w:val="0"/>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auto"/>
          <w:sz w:val="24"/>
          <w:szCs w:val="24"/>
          <w:highlight w:val="none"/>
          <w:lang w:val="en-US" w:eastAsia="zh-CN"/>
        </w:rPr>
        <w:t>6.付款方式：</w:t>
      </w:r>
      <w:r>
        <w:rPr>
          <w:rFonts w:hint="eastAsia" w:ascii="仿宋" w:hAnsi="仿宋" w:eastAsia="仿宋" w:cs="仿宋"/>
          <w:color w:val="0000FF"/>
          <w:sz w:val="24"/>
          <w:szCs w:val="24"/>
          <w:highlight w:val="none"/>
          <w:u w:val="single"/>
          <w:lang w:val="en-US" w:eastAsia="zh-CN"/>
        </w:rPr>
        <w:t>预付款：合同签订且乙方缴纳履约保证金后，甲方支付合同金额的30%作为预付款。在签订合同时，中标、成交供应商明确书面表示无需预付款或者主动要求降低预付款比例的，采购人可就预付款比例作相应调整。</w:t>
      </w:r>
    </w:p>
    <w:p w14:paraId="15B8A441">
      <w:pPr>
        <w:keepNext w:val="0"/>
        <w:keepLines w:val="0"/>
        <w:pageBreakBefore w:val="0"/>
        <w:widowControl w:val="0"/>
        <w:spacing w:line="520" w:lineRule="exact"/>
        <w:ind w:left="0" w:firstLine="480"/>
        <w:outlineLvl w:val="0"/>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进度款：甲乙双方按月核对当期实际供应油品的数量、金额，甲方按季度支付已核对确认的累计结算款项。</w:t>
      </w:r>
    </w:p>
    <w:p w14:paraId="549EB304">
      <w:pPr>
        <w:keepNext w:val="0"/>
        <w:keepLines w:val="0"/>
        <w:pageBreakBefore w:val="0"/>
        <w:widowControl w:val="0"/>
        <w:spacing w:line="520" w:lineRule="exact"/>
        <w:ind w:left="0" w:firstLine="480"/>
        <w:outlineLvl w:val="0"/>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尾款：项目最后一次供应完成并验收合格后，甲方从应付结算总金额中一次性扣除已支付预付款，按剩余余额完成最终支付。</w:t>
      </w:r>
    </w:p>
    <w:p w14:paraId="4DC2677D">
      <w:pPr>
        <w:keepNext w:val="0"/>
        <w:keepLines w:val="0"/>
        <w:pageBreakBefore w:val="0"/>
        <w:widowControl w:val="0"/>
        <w:spacing w:line="520" w:lineRule="exact"/>
        <w:ind w:left="0" w:firstLine="480"/>
        <w:outlineLvl w:val="0"/>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付款要求：乙方每次申请付款前，须向甲方提供合法有效的增值税发票及当期供应验收单、结算单等付款凭证。</w:t>
      </w:r>
    </w:p>
    <w:p w14:paraId="497D807C">
      <w:pPr>
        <w:keepNext w:val="0"/>
        <w:keepLines w:val="0"/>
        <w:pageBreakBefore w:val="0"/>
        <w:widowControl w:val="0"/>
        <w:spacing w:line="520" w:lineRule="exact"/>
        <w:ind w:left="0" w:firstLine="480"/>
        <w:outlineLvl w:val="0"/>
        <w:rPr>
          <w:rFonts w:hint="default" w:ascii="仿宋" w:hAnsi="仿宋" w:eastAsia="仿宋" w:cs="仿宋"/>
          <w:color w:val="0000FF"/>
          <w:sz w:val="24"/>
          <w:szCs w:val="24"/>
          <w:highlight w:val="none"/>
          <w:u w:val="single"/>
          <w:lang w:val="en-US" w:eastAsia="zh-CN"/>
        </w:rPr>
      </w:pPr>
      <w:r>
        <w:rPr>
          <w:rFonts w:hint="default" w:ascii="仿宋" w:hAnsi="仿宋" w:eastAsia="仿宋" w:cs="仿宋"/>
          <w:color w:val="0000FF"/>
          <w:sz w:val="24"/>
          <w:szCs w:val="24"/>
          <w:highlight w:val="none"/>
          <w:u w:val="single"/>
          <w:lang w:val="en-US" w:eastAsia="zh-CN"/>
        </w:rPr>
        <w:t>结算单价 = 江苏省发改委当日零售价×(1-投标优惠率)，据实结算且不超过最高限价。</w:t>
      </w:r>
    </w:p>
    <w:p w14:paraId="418A04CE">
      <w:pPr>
        <w:keepNext w:val="0"/>
        <w:keepLines w:val="0"/>
        <w:pageBreakBefore w:val="0"/>
        <w:widowControl w:val="0"/>
        <w:spacing w:line="520" w:lineRule="exact"/>
        <w:ind w:left="0" w:firstLine="482"/>
        <w:outlineLvl w:val="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二、质量标准</w:t>
      </w:r>
    </w:p>
    <w:p w14:paraId="0295691A">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1.0号车用柴油：执行GB 19147-2016《车用柴油》（国家强制性标准）</w:t>
      </w:r>
    </w:p>
    <w:p w14:paraId="35555FDB">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2.95号车用汽油：执行GB 17930-2016《车用汽油》（国家强制性标准）</w:t>
      </w:r>
    </w:p>
    <w:p w14:paraId="55C241BF">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3.供应商须保证所供油品为合格正品，每批次供货随车提供产品出厂检验合格报告。</w:t>
      </w:r>
    </w:p>
    <w:p w14:paraId="6EB2C0C9">
      <w:pPr>
        <w:keepNext w:val="0"/>
        <w:keepLines w:val="0"/>
        <w:pageBreakBefore w:val="0"/>
        <w:widowControl w:val="0"/>
        <w:spacing w:line="520" w:lineRule="exact"/>
        <w:ind w:left="0" w:firstLine="482"/>
        <w:outlineLvl w:val="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三、供货与配送要求</w:t>
      </w:r>
    </w:p>
    <w:p w14:paraId="75CF1391">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1.采购人根据执法船实际用油需求，通知供应商供应油品的品类、数量、配送时间、指定地点。</w:t>
      </w:r>
    </w:p>
    <w:p w14:paraId="22B08D6F">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2.供应商须按通知要求分品类、分批次配送，0号柴油与 95号汽油不得混装、混运、混加。</w:t>
      </w:r>
    </w:p>
    <w:p w14:paraId="6A4155FB">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3.供应商须按时将油品配送至采购人指定地点，并完成加注服务。</w:t>
      </w:r>
    </w:p>
    <w:p w14:paraId="0B14D08D">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4.供应过程须符合危险化学品安全管理、环境保护相关规定。</w:t>
      </w:r>
    </w:p>
    <w:p w14:paraId="3031AFCA">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供应商在成品油零售网点以外开展成品油运输、加注等经营活动的，应严格遵守国家及地方相关管理规定；按照规定需向有关主管部门办理报备或审批手续的，由供应商自行负责办理，相关费用与责任由供应商自行承担；未按要求办理相关手续所产生的一切不良后果，均由供应商自行承担。</w:t>
      </w:r>
    </w:p>
    <w:p w14:paraId="0511A50D">
      <w:pPr>
        <w:keepNext w:val="0"/>
        <w:keepLines w:val="0"/>
        <w:pageBreakBefore w:val="0"/>
        <w:widowControl w:val="0"/>
        <w:spacing w:line="520" w:lineRule="exact"/>
        <w:ind w:left="0" w:firstLine="482"/>
        <w:outlineLvl w:val="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四、仓储要求</w:t>
      </w:r>
    </w:p>
    <w:p w14:paraId="27975B3B">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1.供应商须具备合规汽油、柴油储存条件的油库（自有或租赁）。</w:t>
      </w:r>
    </w:p>
    <w:p w14:paraId="72A7E423">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2.油库须符合危险化学品仓储管理相关规定，具备合规的油品储存条件。</w:t>
      </w:r>
    </w:p>
    <w:p w14:paraId="6AB0F871">
      <w:pPr>
        <w:keepNext w:val="0"/>
        <w:keepLines w:val="0"/>
        <w:pageBreakBefore w:val="0"/>
        <w:widowControl w:val="0"/>
        <w:spacing w:line="520" w:lineRule="exact"/>
        <w:ind w:left="0" w:firstLine="482"/>
        <w:outlineLvl w:val="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五、运输要求</w:t>
      </w:r>
    </w:p>
    <w:p w14:paraId="1B72F144">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1.供应商自行运输或委托第三方运输的，须具备危险货物道路运输相关资质。</w:t>
      </w:r>
    </w:p>
    <w:p w14:paraId="37AC30B6">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2.运输车辆为危险货物专用运输车辆，符合汽油、柴油运输安全要求。</w:t>
      </w:r>
    </w:p>
    <w:p w14:paraId="4CC07740">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3.运输作业人员须具备相应的危险货物运输从业资格。</w:t>
      </w:r>
    </w:p>
    <w:p w14:paraId="269B5A38">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4.运输过程严格遵守国家危险货物道路运输管理规定。</w:t>
      </w:r>
    </w:p>
    <w:p w14:paraId="36CED8D3">
      <w:pPr>
        <w:keepNext w:val="0"/>
        <w:keepLines w:val="0"/>
        <w:pageBreakBefore w:val="0"/>
        <w:widowControl w:val="0"/>
        <w:spacing w:line="520" w:lineRule="exact"/>
        <w:ind w:left="0" w:firstLine="482"/>
        <w:outlineLvl w:val="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六、验收要求</w:t>
      </w:r>
    </w:p>
    <w:p w14:paraId="04B86041">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1.供应商配送油品到达指定地点后，采购人现场核对供应品类、数量、质量证明文件。</w:t>
      </w:r>
    </w:p>
    <w:p w14:paraId="7F28BA79">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2.采购人有权对油品进行抽样检验，检验结果作为验收依据。</w:t>
      </w:r>
    </w:p>
    <w:p w14:paraId="71333D0F">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3.油品质量不符合国家现行标准的，采购人有权拒收，供应商承担全部责任。</w:t>
      </w:r>
    </w:p>
    <w:p w14:paraId="1D94B10E">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4.验收合格后，双方签署供货确认单据，作为结算依据。</w:t>
      </w:r>
    </w:p>
    <w:p w14:paraId="2D1132B2">
      <w:pPr>
        <w:keepNext w:val="0"/>
        <w:keepLines w:val="0"/>
        <w:pageBreakBefore w:val="0"/>
        <w:widowControl w:val="0"/>
        <w:spacing w:line="520" w:lineRule="exact"/>
        <w:ind w:left="0" w:firstLine="482"/>
        <w:outlineLvl w:val="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七、结算</w:t>
      </w:r>
    </w:p>
    <w:p w14:paraId="474D4FAA">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1.本项目采用投标优惠率方式计价，合同基准价计算公式：合同基准价=最高限价×（1-投标优惠率）；项目最终结算总价不得超过本项目设定的最高限价。</w:t>
      </w:r>
    </w:p>
    <w:p w14:paraId="36B762EF">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2.本项目0号柴油、95号汽油结算单价统一按下列公式计算：</w:t>
      </w:r>
    </w:p>
    <w:p w14:paraId="3A82127F">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结算单价=采购当日中午12时，江苏省发展和改革委员会公布的江苏省成品油最高零售价格表中对应0号柴油/95号汽油最高零售价格×（1-投标优惠率）。</w:t>
      </w:r>
    </w:p>
    <w:p w14:paraId="5F52C482">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3.本项目预算金额：人民币119.2万元；最高限价：人民币119.2万元。最终结算金额按实际合格供应数量×应结算单价据实核算，项目累计最终结算总额不得突破最高限价。</w:t>
      </w:r>
    </w:p>
    <w:p w14:paraId="47E4BE37">
      <w:pPr>
        <w:keepNext w:val="0"/>
        <w:keepLines w:val="0"/>
        <w:pageBreakBefore w:val="0"/>
        <w:widowControl w:val="0"/>
        <w:spacing w:line="520" w:lineRule="exact"/>
        <w:ind w:left="0" w:firstLine="482"/>
        <w:outlineLvl w:val="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4.结算单价包含油品价款、运输费、装卸费、加注费、税费、安全防护、保险、人工等完成本项目全部服务的所有费用，甲方无需另行支付其他费用。</w:t>
      </w:r>
    </w:p>
    <w:p w14:paraId="1F75E7BB">
      <w:pPr>
        <w:keepNext w:val="0"/>
        <w:keepLines w:val="0"/>
        <w:pageBreakBefore w:val="0"/>
        <w:widowControl w:val="0"/>
        <w:spacing w:line="520" w:lineRule="exact"/>
        <w:ind w:left="0" w:firstLine="482"/>
        <w:outlineLvl w:val="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八、服务保障</w:t>
      </w:r>
      <w:bookmarkEnd w:id="159"/>
    </w:p>
    <w:p w14:paraId="183721DA">
      <w:pPr>
        <w:keepNext w:val="0"/>
        <w:keepLines w:val="0"/>
        <w:pageBreakBefore w:val="0"/>
        <w:widowControl w:val="0"/>
        <w:spacing w:line="520" w:lineRule="exact"/>
        <w:ind w:left="0" w:firstLine="480"/>
        <w:jc w:val="both"/>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1、供应商应对照采购文件要求，说明所提供已对采购人的需求做出了实质性的响应，或申明与需求的偏差和例外。</w:t>
      </w:r>
    </w:p>
    <w:p w14:paraId="1FD52322">
      <w:pPr>
        <w:keepNext w:val="0"/>
        <w:keepLines w:val="0"/>
        <w:pageBreakBefore w:val="0"/>
        <w:widowControl w:val="0"/>
        <w:spacing w:line="520" w:lineRule="exact"/>
        <w:ind w:left="0" w:firstLine="480"/>
        <w:jc w:val="both"/>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2、供应商可以在投标文件中提出不同的服务标准和保障承诺，使评标委员会相信替代服务相同于或优于原需求，对于具体参数要求的指标，供应商必须提供具体参数值。</w:t>
      </w:r>
    </w:p>
    <w:p w14:paraId="199B0841">
      <w:pPr>
        <w:keepNext w:val="0"/>
        <w:keepLines w:val="0"/>
        <w:pageBreakBefore w:val="0"/>
        <w:widowControl w:val="0"/>
        <w:spacing w:line="520" w:lineRule="exact"/>
        <w:ind w:left="0" w:firstLine="480"/>
        <w:jc w:val="both"/>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3、如果发生因供应商工作失职造成安全事故或其他财产损失和人身伤害，均由供应商承担相关经济和法律责任。</w:t>
      </w:r>
      <w:bookmarkStart w:id="160" w:name="_Toc28510"/>
      <w:bookmarkEnd w:id="160"/>
      <w:bookmarkStart w:id="161" w:name="_Toc48143584"/>
      <w:bookmarkEnd w:id="161"/>
      <w:bookmarkStart w:id="162" w:name="_Toc28983"/>
      <w:bookmarkEnd w:id="162"/>
    </w:p>
    <w:p w14:paraId="5F442327">
      <w:pPr>
        <w:keepNext w:val="0"/>
        <w:keepLines w:val="0"/>
        <w:pageBreakBefore w:val="0"/>
        <w:widowControl w:val="0"/>
        <w:spacing w:line="520" w:lineRule="exact"/>
        <w:ind w:left="0" w:firstLine="482"/>
        <w:outlineLvl w:val="0"/>
        <w:rPr>
          <w:rFonts w:hint="eastAsia" w:ascii="仿宋" w:hAnsi="仿宋" w:eastAsia="仿宋" w:cs="仿宋"/>
          <w:b/>
          <w:bCs/>
          <w:color w:val="auto"/>
          <w:sz w:val="24"/>
          <w:szCs w:val="24"/>
          <w:highlight w:val="none"/>
          <w:lang w:val="en-US" w:eastAsia="zh-CN"/>
        </w:rPr>
      </w:pPr>
      <w:bookmarkStart w:id="163" w:name="_Toc20520"/>
      <w:bookmarkStart w:id="164" w:name="_Toc24142"/>
      <w:r>
        <w:rPr>
          <w:rFonts w:hint="eastAsia" w:ascii="仿宋" w:hAnsi="仿宋" w:eastAsia="仿宋" w:cs="仿宋"/>
          <w:b/>
          <w:bCs/>
          <w:color w:val="auto"/>
          <w:sz w:val="24"/>
          <w:szCs w:val="24"/>
          <w:highlight w:val="none"/>
          <w:lang w:val="en-US" w:eastAsia="zh-CN"/>
        </w:rPr>
        <w:t>九、补充说明</w:t>
      </w:r>
      <w:bookmarkEnd w:id="163"/>
      <w:bookmarkEnd w:id="164"/>
    </w:p>
    <w:p w14:paraId="024CDA64">
      <w:pPr>
        <w:keepNext w:val="0"/>
        <w:keepLines w:val="0"/>
        <w:pageBreakBefore w:val="0"/>
        <w:widowControl w:val="0"/>
        <w:spacing w:before="0" w:after="0" w:line="520" w:lineRule="exact"/>
        <w:ind w:left="0" w:firstLine="480"/>
        <w:jc w:val="left"/>
        <w:outlineLvl w:val="9"/>
        <w:rPr>
          <w:rFonts w:hint="eastAsia" w:ascii="仿宋" w:hAnsi="仿宋" w:eastAsia="仿宋" w:cs="仿宋"/>
          <w:color w:val="auto"/>
          <w:sz w:val="24"/>
          <w:szCs w:val="24"/>
          <w:highlight w:val="none"/>
          <w:lang w:val="en-US" w:eastAsia="zh-CN" w:bidi="ar-SA"/>
        </w:rPr>
      </w:pPr>
      <w:bookmarkStart w:id="165" w:name="_Toc16232"/>
      <w:bookmarkStart w:id="166" w:name="_Toc18832"/>
      <w:bookmarkStart w:id="167" w:name="_Toc18027"/>
      <w:bookmarkStart w:id="168" w:name="_Toc24608"/>
      <w:r>
        <w:rPr>
          <w:rFonts w:hint="eastAsia" w:ascii="仿宋" w:hAnsi="仿宋" w:eastAsia="仿宋" w:cs="仿宋"/>
          <w:color w:val="auto"/>
          <w:sz w:val="24"/>
          <w:szCs w:val="24"/>
          <w:highlight w:val="none"/>
          <w:lang w:val="en-US" w:eastAsia="zh-CN" w:bidi="ar-SA"/>
        </w:rPr>
        <w:t>投标供应商应当充分利用自身服务水平、技术力量、市场资源等为本项目投标采用合适的硬件设备、软件系统等，并提供合理科学的服务实施方案。投标供应商不应当因市场信息了解缺失、自身实力不足、自身市场资源不够丰富等自身因素而向采购人或采购代理机构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失信供应商黑名单》并追偿各类损失直至移交司法机关处置。</w:t>
      </w:r>
      <w:bookmarkEnd w:id="165"/>
      <w:bookmarkEnd w:id="166"/>
      <w:bookmarkEnd w:id="167"/>
      <w:bookmarkEnd w:id="168"/>
      <w:r>
        <w:rPr>
          <w:rFonts w:hint="eastAsia" w:ascii="仿宋" w:hAnsi="仿宋" w:eastAsia="仿宋" w:cs="仿宋"/>
          <w:color w:val="auto"/>
          <w:sz w:val="24"/>
          <w:szCs w:val="24"/>
          <w:highlight w:val="none"/>
          <w:lang w:val="en-US" w:eastAsia="zh-CN" w:bidi="ar-SA"/>
        </w:rPr>
        <w:t xml:space="preserve"> </w:t>
      </w:r>
    </w:p>
    <w:p w14:paraId="06143F70">
      <w:pPr>
        <w:pStyle w:val="8"/>
        <w:spacing w:before="120" w:beforeAutospacing="0" w:after="120" w:afterAutospacing="0" w:line="360" w:lineRule="auto"/>
        <w:ind w:firstLine="441"/>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十、政府采购政策功能落实</w:t>
      </w:r>
    </w:p>
    <w:p w14:paraId="73B48649">
      <w:pPr>
        <w:pStyle w:val="8"/>
        <w:spacing w:before="120" w:beforeAutospacing="0" w:after="120" w:afterAutospacing="0" w:line="0" w:lineRule="atLeast"/>
        <w:ind w:firstLine="48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1、小微型企业价格扣除</w:t>
      </w:r>
    </w:p>
    <w:p w14:paraId="048464B0">
      <w:pPr>
        <w:pStyle w:val="14"/>
        <w:ind w:firstLine="360" w:firstLineChars="15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①本项目若不专门面向中小企业采购，对符合规定的小型和微型企业报价给予20%的扣除价格，用扣除后的价格参与评审；若专门面向中小企业采购，不再对小型和微型企业报价给予价格扣除。</w:t>
      </w:r>
    </w:p>
    <w:p w14:paraId="67FCA016">
      <w:pPr>
        <w:pStyle w:val="8"/>
        <w:spacing w:before="120" w:beforeAutospacing="0" w:after="120" w:afterAutospacing="0" w:line="0" w:lineRule="atLeast"/>
        <w:ind w:firstLine="36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（2）供应商需按照谈判文件的要求提供相应的《中小企业声明函》。</w:t>
      </w:r>
    </w:p>
    <w:p w14:paraId="33692BC0">
      <w:pPr>
        <w:pStyle w:val="8"/>
        <w:spacing w:before="120" w:beforeAutospacing="0" w:after="120" w:afterAutospacing="0" w:line="0" w:lineRule="atLeast"/>
        <w:ind w:firstLine="36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（3）企业标准请参照《关于印发中小企业划型标准规定的通知》（工信部联企业〔2011〕300号）文件规定自行填写。</w:t>
      </w:r>
    </w:p>
    <w:p w14:paraId="64C67A6A">
      <w:pPr>
        <w:pStyle w:val="8"/>
        <w:spacing w:before="120" w:beforeAutospacing="0" w:after="120" w:afterAutospacing="0" w:line="0" w:lineRule="atLeast"/>
        <w:ind w:firstLine="48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2、残疾人福利单位价格扣除</w:t>
      </w:r>
    </w:p>
    <w:p w14:paraId="2CA55D03">
      <w:pPr>
        <w:pStyle w:val="8"/>
        <w:spacing w:before="120" w:beforeAutospacing="0" w:after="120" w:afterAutospacing="0" w:line="0" w:lineRule="atLeast"/>
        <w:ind w:left="120" w:firstLine="36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（1）本项目对残疾人福利性单位视同小型、微型企业，给予20%的价格扣除。</w:t>
      </w:r>
    </w:p>
    <w:p w14:paraId="4CBCF04B">
      <w:pPr>
        <w:pStyle w:val="8"/>
        <w:spacing w:before="120" w:beforeAutospacing="0" w:after="120" w:afterAutospacing="0" w:line="0" w:lineRule="atLeast"/>
        <w:ind w:left="120" w:firstLine="36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（2）残疾人福利单位需按照谈判文件的要求提供《残疾人福利性单位声明函》。</w:t>
      </w:r>
    </w:p>
    <w:p w14:paraId="3DB0CB3E">
      <w:pPr>
        <w:pStyle w:val="8"/>
        <w:spacing w:before="120" w:beforeAutospacing="0" w:after="120" w:afterAutospacing="0" w:line="0" w:lineRule="atLeast"/>
        <w:ind w:left="120" w:firstLine="36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（3）残疾人福利单位标准请参照《关于促进残疾人就业政府采购政策的通知》（财库〔2017〕141号）。</w:t>
      </w:r>
    </w:p>
    <w:p w14:paraId="3AEC72A8">
      <w:pPr>
        <w:pStyle w:val="8"/>
        <w:spacing w:before="120" w:beforeAutospacing="0" w:after="120" w:afterAutospacing="0" w:line="0" w:lineRule="atLeast"/>
        <w:ind w:firstLine="48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3、监狱和戒毒企业价格扣除</w:t>
      </w:r>
    </w:p>
    <w:p w14:paraId="58CA788F">
      <w:pPr>
        <w:pStyle w:val="8"/>
        <w:spacing w:before="120" w:beforeAutospacing="0" w:after="120" w:afterAutospacing="0" w:line="0" w:lineRule="atLeast"/>
        <w:ind w:left="120" w:firstLine="36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（1）本项目对监狱和戒毒企业（简称监狱企业）视同小型、微型企业，给予20%的价格扣除。</w:t>
      </w:r>
    </w:p>
    <w:p w14:paraId="40FCB29A">
      <w:pPr>
        <w:pStyle w:val="8"/>
        <w:spacing w:before="120" w:beforeAutospacing="0" w:after="120" w:afterAutospacing="0" w:line="0" w:lineRule="atLeast"/>
        <w:ind w:firstLine="48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05D0B311">
      <w:pPr>
        <w:pStyle w:val="8"/>
        <w:spacing w:before="120" w:beforeAutospacing="0" w:after="120" w:afterAutospacing="0" w:line="0" w:lineRule="atLeast"/>
        <w:ind w:firstLine="48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（3）监狱企业标准请参照《关于政府采购支持监狱企业发展有关问题的通知》（财库〔2014〕68号）。</w:t>
      </w:r>
    </w:p>
    <w:p w14:paraId="7E264896">
      <w:pPr>
        <w:pStyle w:val="8"/>
        <w:spacing w:before="120" w:beforeAutospacing="0" w:after="120" w:afterAutospacing="0" w:line="0" w:lineRule="atLeast"/>
        <w:ind w:firstLine="48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4、残疾人福利单位、监狱企业属于小型、微型企业的，不重复享受政策。</w:t>
      </w:r>
    </w:p>
    <w:p w14:paraId="465C58EF">
      <w:pPr>
        <w:pStyle w:val="8"/>
        <w:spacing w:before="120" w:beforeAutospacing="0" w:after="120" w:afterAutospacing="0" w:line="0" w:lineRule="atLeast"/>
        <w:ind w:firstLine="48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496704F">
      <w:pPr>
        <w:pStyle w:val="8"/>
        <w:spacing w:before="120" w:beforeAutospacing="0" w:after="120" w:afterAutospacing="0" w:line="0" w:lineRule="atLeast"/>
        <w:ind w:left="120" w:firstLine="36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6、联合体各方均为小型、微型企业（残疾人福利单位、监狱企业）的，联合体享受20%的价格扣除。</w:t>
      </w:r>
    </w:p>
    <w:p w14:paraId="1A04B13A">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lang w:val="en-US" w:eastAsia="zh-CN"/>
        </w:rPr>
        <w:t>7</w:t>
      </w:r>
      <w:r>
        <w:rPr>
          <w:rFonts w:hint="eastAsia" w:ascii="仿宋" w:hAnsi="仿宋" w:eastAsia="仿宋" w:cs="仿宋"/>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仿宋" w:hAnsi="仿宋" w:eastAsia="仿宋" w:cs="仿宋"/>
          <w:i/>
          <w:color w:val="auto"/>
          <w:kern w:val="0"/>
          <w:sz w:val="24"/>
          <w:szCs w:val="24"/>
          <w:highlight w:val="none"/>
          <w:shd w:val="clear" w:color="auto" w:fill="auto"/>
        </w:rPr>
        <w:t>。</w:t>
      </w:r>
      <w:r>
        <w:rPr>
          <w:rFonts w:hint="eastAsia" w:ascii="仿宋" w:hAnsi="仿宋" w:eastAsia="仿宋" w:cs="仿宋"/>
          <w:color w:val="auto"/>
          <w:kern w:val="0"/>
          <w:sz w:val="24"/>
          <w:szCs w:val="24"/>
          <w:highlight w:val="none"/>
          <w:shd w:val="clear" w:color="auto" w:fill="auto"/>
        </w:rPr>
        <w:t>其他条件相同情况下，应当优先采购节能产品、环境标志产品。</w:t>
      </w:r>
    </w:p>
    <w:p w14:paraId="53286850">
      <w:pPr>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480" w:firstLineChars="20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8、采购标的对应的中小企业划分标准所属行业一览表</w:t>
      </w:r>
    </w:p>
    <w:tbl>
      <w:tblPr>
        <w:tblStyle w:val="9"/>
        <w:tblW w:w="9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9"/>
        <w:gridCol w:w="4569"/>
        <w:gridCol w:w="4640"/>
      </w:tblGrid>
      <w:tr w14:paraId="749DD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27250">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序号</w:t>
            </w:r>
          </w:p>
        </w:tc>
        <w:tc>
          <w:tcPr>
            <w:tcW w:w="45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4A30BB">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采购标的</w:t>
            </w:r>
          </w:p>
        </w:tc>
        <w:tc>
          <w:tcPr>
            <w:tcW w:w="46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6323A7">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对应中小企业划分标准所属行业</w:t>
            </w:r>
          </w:p>
        </w:tc>
      </w:tr>
      <w:tr w14:paraId="01958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1"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EC691">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45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482396">
            <w:pPr>
              <w:jc w:val="center"/>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柴油、汽油</w:t>
            </w:r>
          </w:p>
        </w:tc>
        <w:tc>
          <w:tcPr>
            <w:tcW w:w="4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ABD94">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批发业（石油及制品批发）</w:t>
            </w:r>
          </w:p>
        </w:tc>
      </w:tr>
    </w:tbl>
    <w:p w14:paraId="19ED1089">
      <w:pPr>
        <w:pStyle w:val="8"/>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6035CB1E">
      <w:pPr>
        <w:pStyle w:val="8"/>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20EA87A1">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7F5B1DB">
      <w:pPr>
        <w:pStyle w:val="8"/>
        <w:spacing w:beforeAutospacing="0" w:afterAutospacing="0"/>
        <w:ind w:firstLine="602"/>
        <w:jc w:val="both"/>
        <w:rPr>
          <w:color w:val="auto"/>
          <w:highlight w:val="none"/>
          <w:shd w:val="clear" w:color="auto" w:fill="auto"/>
        </w:rPr>
      </w:pPr>
      <w:r>
        <w:rPr>
          <w:color w:val="auto"/>
          <w:highlight w:val="none"/>
          <w:shd w:val="clear" w:color="auto" w:fill="auto"/>
        </w:rPr>
        <w:t> </w:t>
      </w:r>
    </w:p>
    <w:p w14:paraId="2FC01AE0">
      <w:pPr>
        <w:pStyle w:val="8"/>
        <w:spacing w:beforeAutospacing="0" w:afterAutospacing="0"/>
        <w:jc w:val="both"/>
        <w:rPr>
          <w:color w:val="auto"/>
          <w:highlight w:val="none"/>
          <w:shd w:val="clear" w:color="auto" w:fill="auto"/>
        </w:rPr>
      </w:pPr>
      <w:r>
        <w:rPr>
          <w:color w:val="auto"/>
          <w:highlight w:val="none"/>
          <w:shd w:val="clear" w:color="auto" w:fill="auto"/>
        </w:rPr>
        <w:t> </w:t>
      </w:r>
    </w:p>
    <w:p w14:paraId="4510AF9C">
      <w:pPr>
        <w:pStyle w:val="8"/>
        <w:spacing w:beforeAutospacing="0" w:afterAutospacing="0"/>
        <w:jc w:val="both"/>
        <w:rPr>
          <w:color w:val="auto"/>
          <w:highlight w:val="none"/>
          <w:shd w:val="clear" w:color="auto" w:fill="auto"/>
        </w:rPr>
      </w:pPr>
      <w:r>
        <w:rPr>
          <w:color w:val="auto"/>
          <w:highlight w:val="none"/>
          <w:shd w:val="clear" w:color="auto" w:fill="auto"/>
        </w:rPr>
        <w:t> </w:t>
      </w:r>
    </w:p>
    <w:p w14:paraId="5AE69628">
      <w:pPr>
        <w:pStyle w:val="8"/>
        <w:spacing w:beforeAutospacing="0" w:afterAutospacing="0"/>
        <w:jc w:val="both"/>
        <w:rPr>
          <w:color w:val="auto"/>
          <w:highlight w:val="none"/>
          <w:shd w:val="clear" w:color="auto" w:fill="auto"/>
        </w:rPr>
      </w:pPr>
      <w:r>
        <w:rPr>
          <w:color w:val="auto"/>
          <w:highlight w:val="none"/>
          <w:shd w:val="clear" w:color="auto" w:fill="auto"/>
        </w:rPr>
        <w:t> </w:t>
      </w:r>
    </w:p>
    <w:p w14:paraId="712D5F4B">
      <w:pPr>
        <w:pStyle w:val="8"/>
        <w:spacing w:beforeAutospacing="0" w:afterAutospacing="0"/>
        <w:jc w:val="both"/>
        <w:rPr>
          <w:color w:val="auto"/>
          <w:highlight w:val="none"/>
          <w:shd w:val="clear" w:color="auto" w:fill="auto"/>
        </w:rPr>
      </w:pPr>
      <w:r>
        <w:rPr>
          <w:color w:val="auto"/>
          <w:highlight w:val="none"/>
          <w:shd w:val="clear" w:color="auto" w:fill="auto"/>
        </w:rPr>
        <w:t> </w:t>
      </w:r>
    </w:p>
    <w:p w14:paraId="167B60F7">
      <w:pPr>
        <w:pStyle w:val="8"/>
        <w:spacing w:beforeAutospacing="0" w:afterAutospacing="0"/>
        <w:jc w:val="both"/>
        <w:rPr>
          <w:color w:val="auto"/>
          <w:highlight w:val="none"/>
          <w:shd w:val="clear" w:color="auto" w:fill="auto"/>
        </w:rPr>
      </w:pPr>
      <w:r>
        <w:rPr>
          <w:color w:val="auto"/>
          <w:highlight w:val="none"/>
          <w:shd w:val="clear" w:color="auto" w:fill="auto"/>
        </w:rPr>
        <w:t> </w:t>
      </w:r>
    </w:p>
    <w:p w14:paraId="2FCB842A">
      <w:pPr>
        <w:pStyle w:val="8"/>
        <w:spacing w:beforeAutospacing="0" w:afterAutospacing="0"/>
        <w:jc w:val="both"/>
        <w:rPr>
          <w:color w:val="auto"/>
          <w:highlight w:val="none"/>
          <w:shd w:val="clear" w:color="auto" w:fill="auto"/>
        </w:rPr>
      </w:pPr>
      <w:r>
        <w:rPr>
          <w:color w:val="auto"/>
          <w:highlight w:val="none"/>
          <w:shd w:val="clear" w:color="auto" w:fill="auto"/>
        </w:rPr>
        <w:t> </w:t>
      </w:r>
    </w:p>
    <w:p w14:paraId="2CEDD409">
      <w:pPr>
        <w:pStyle w:val="8"/>
        <w:spacing w:beforeAutospacing="0" w:afterAutospacing="0"/>
        <w:jc w:val="both"/>
        <w:rPr>
          <w:color w:val="auto"/>
          <w:highlight w:val="none"/>
          <w:shd w:val="clear" w:color="auto" w:fill="auto"/>
        </w:rPr>
      </w:pPr>
      <w:r>
        <w:rPr>
          <w:color w:val="auto"/>
          <w:highlight w:val="none"/>
          <w:shd w:val="clear" w:color="auto" w:fill="auto"/>
        </w:rPr>
        <w:t> </w:t>
      </w:r>
    </w:p>
    <w:p w14:paraId="7984BDBF">
      <w:pPr>
        <w:rPr>
          <w:rFonts w:hint="eastAsia" w:ascii="黑体" w:hAnsi="宋体" w:eastAsia="黑体" w:cs="黑体"/>
          <w:color w:val="auto"/>
          <w:sz w:val="44"/>
          <w:szCs w:val="44"/>
          <w:highlight w:val="none"/>
          <w:shd w:val="clear" w:color="auto" w:fill="auto"/>
        </w:rPr>
      </w:pPr>
      <w:r>
        <w:rPr>
          <w:color w:val="auto"/>
          <w:highlight w:val="none"/>
          <w:shd w:val="clear" w:color="auto" w:fill="auto"/>
        </w:rPr>
        <w:t> </w:t>
      </w:r>
      <w:bookmarkStart w:id="169" w:name="_Toc120614281"/>
    </w:p>
    <w:p w14:paraId="0626C9CB">
      <w:pPr>
        <w:pStyle w:val="8"/>
        <w:spacing w:beforeAutospacing="0" w:afterAutospacing="0"/>
        <w:ind w:firstLine="1084"/>
        <w:jc w:val="both"/>
        <w:rPr>
          <w:color w:val="auto"/>
          <w:highlight w:val="none"/>
          <w:shd w:val="clear" w:color="auto" w:fill="auto"/>
        </w:rPr>
      </w:pPr>
      <w:bookmarkStart w:id="170" w:name="_Toc26554094"/>
      <w:bookmarkStart w:id="171" w:name="_Hlt26955039"/>
      <w:bookmarkStart w:id="172" w:name="_Hlt26671244"/>
    </w:p>
    <w:p w14:paraId="6CA59C70">
      <w:pPr>
        <w:pStyle w:val="8"/>
        <w:spacing w:beforeAutospacing="0" w:afterAutospacing="0" w:line="0" w:lineRule="atLeast"/>
        <w:jc w:val="center"/>
        <w:rPr>
          <w:rFonts w:hint="eastAsia" w:ascii="宋体" w:hAnsi="宋体" w:eastAsia="宋体" w:cs="宋体"/>
          <w:b/>
          <w:color w:val="auto"/>
          <w:sz w:val="32"/>
          <w:szCs w:val="32"/>
          <w:highlight w:val="none"/>
          <w:shd w:val="clear" w:color="auto" w:fill="auto"/>
        </w:rPr>
      </w:pPr>
    </w:p>
    <w:p w14:paraId="7E317082">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r>
    </w:p>
    <w:p w14:paraId="356C4116">
      <w:pPr>
        <w:pStyle w:val="8"/>
        <w:keepNext/>
        <w:spacing w:beforeAutospacing="0" w:afterAutospacing="0"/>
        <w:jc w:val="center"/>
        <w:outlineLvl w:val="0"/>
        <w:rPr>
          <w:color w:val="auto"/>
          <w:highlight w:val="none"/>
        </w:rPr>
      </w:pPr>
      <w:bookmarkStart w:id="173" w:name="_Toc18305"/>
      <w:r>
        <w:rPr>
          <w:rFonts w:hint="eastAsia" w:ascii="黑体" w:hAnsi="宋体" w:eastAsia="黑体" w:cs="黑体"/>
          <w:color w:val="auto"/>
          <w:sz w:val="44"/>
          <w:szCs w:val="44"/>
          <w:highlight w:val="none"/>
        </w:rPr>
        <w:t>第六章  投标文件格式</w:t>
      </w:r>
      <w:bookmarkEnd w:id="173"/>
      <w:r>
        <w:rPr>
          <w:rFonts w:hint="eastAsia" w:ascii="黑体" w:hAnsi="宋体" w:eastAsia="黑体" w:cs="黑体"/>
          <w:color w:val="auto"/>
          <w:sz w:val="44"/>
          <w:szCs w:val="44"/>
          <w:highlight w:val="none"/>
        </w:rPr>
        <w:t xml:space="preserve"> </w:t>
      </w:r>
    </w:p>
    <w:p w14:paraId="43AE93DC">
      <w:pPr>
        <w:pStyle w:val="8"/>
        <w:spacing w:beforeAutospacing="0" w:afterAutospacing="0"/>
        <w:jc w:val="center"/>
        <w:rPr>
          <w:rFonts w:hint="eastAsia" w:ascii="宋体" w:hAnsi="宋体" w:eastAsia="宋体" w:cs="宋体"/>
          <w:b/>
          <w:color w:val="auto"/>
          <w:sz w:val="72"/>
          <w:szCs w:val="72"/>
          <w:highlight w:val="none"/>
        </w:rPr>
      </w:pPr>
    </w:p>
    <w:p w14:paraId="5DE2CEDB">
      <w:pPr>
        <w:pStyle w:val="8"/>
        <w:spacing w:beforeAutospacing="0" w:afterAutospacing="0"/>
        <w:jc w:val="center"/>
        <w:rPr>
          <w:rFonts w:hint="eastAsia" w:ascii="宋体" w:hAnsi="宋体" w:eastAsia="宋体" w:cs="宋体"/>
          <w:b/>
          <w:color w:val="auto"/>
          <w:sz w:val="72"/>
          <w:szCs w:val="72"/>
          <w:highlight w:val="none"/>
        </w:rPr>
      </w:pPr>
      <w:bookmarkStart w:id="190" w:name="_GoBack"/>
    </w:p>
    <w:p w14:paraId="3BB5D227">
      <w:pPr>
        <w:pStyle w:val="8"/>
        <w:spacing w:beforeAutospacing="0" w:afterAutospacing="0"/>
        <w:jc w:val="center"/>
        <w:rPr>
          <w:rFonts w:hint="eastAsia" w:ascii="宋体" w:hAnsi="宋体" w:eastAsia="宋体" w:cs="宋体"/>
          <w:b/>
          <w:color w:val="auto"/>
          <w:sz w:val="72"/>
          <w:szCs w:val="72"/>
          <w:highlight w:val="none"/>
        </w:rPr>
      </w:pPr>
    </w:p>
    <w:p w14:paraId="1C9DA85E">
      <w:pPr>
        <w:pStyle w:val="8"/>
        <w:spacing w:beforeAutospacing="0" w:afterAutospacing="0"/>
        <w:jc w:val="center"/>
        <w:rPr>
          <w:rFonts w:hint="eastAsia" w:ascii="宋体" w:hAnsi="宋体" w:eastAsia="宋体" w:cs="宋体"/>
          <w:b/>
          <w:color w:val="auto"/>
          <w:sz w:val="72"/>
          <w:szCs w:val="72"/>
          <w:highlight w:val="none"/>
        </w:rPr>
      </w:pPr>
    </w:p>
    <w:p w14:paraId="2AF460CB">
      <w:pPr>
        <w:pStyle w:val="8"/>
        <w:spacing w:beforeAutospacing="0" w:afterAutospacing="0"/>
        <w:jc w:val="center"/>
        <w:outlineLvl w:val="0"/>
        <w:rPr>
          <w:color w:val="auto"/>
          <w:highlight w:val="none"/>
        </w:rPr>
      </w:pPr>
      <w:bookmarkStart w:id="174" w:name="_Toc2196"/>
      <w:bookmarkStart w:id="175" w:name="_Toc31039"/>
      <w:r>
        <w:rPr>
          <w:rFonts w:hint="eastAsia" w:ascii="宋体" w:hAnsi="宋体" w:eastAsia="宋体" w:cs="宋体"/>
          <w:b/>
          <w:color w:val="auto"/>
          <w:sz w:val="72"/>
          <w:szCs w:val="72"/>
          <w:highlight w:val="none"/>
        </w:rPr>
        <w:t>投  标  文  件</w:t>
      </w:r>
      <w:bookmarkEnd w:id="174"/>
      <w:bookmarkEnd w:id="175"/>
    </w:p>
    <w:p w14:paraId="3AF0FE3E">
      <w:pPr>
        <w:pStyle w:val="8"/>
        <w:spacing w:beforeAutospacing="0" w:afterAutospacing="0"/>
        <w:jc w:val="center"/>
        <w:rPr>
          <w:color w:val="auto"/>
          <w:highlight w:val="none"/>
        </w:rPr>
      </w:pPr>
      <w:r>
        <w:rPr>
          <w:color w:val="auto"/>
          <w:highlight w:val="none"/>
        </w:rPr>
        <w:t> </w:t>
      </w:r>
    </w:p>
    <w:p w14:paraId="75ACD67E">
      <w:pPr>
        <w:pStyle w:val="8"/>
        <w:spacing w:beforeAutospacing="0" w:afterAutospacing="0"/>
        <w:jc w:val="center"/>
        <w:rPr>
          <w:color w:val="auto"/>
          <w:highlight w:val="none"/>
        </w:rPr>
      </w:pPr>
      <w:r>
        <w:rPr>
          <w:color w:val="auto"/>
          <w:highlight w:val="none"/>
        </w:rPr>
        <w:t> </w:t>
      </w:r>
    </w:p>
    <w:p w14:paraId="22A1106D">
      <w:pPr>
        <w:pStyle w:val="8"/>
        <w:spacing w:beforeAutospacing="0" w:afterAutospacing="0"/>
        <w:jc w:val="center"/>
        <w:rPr>
          <w:color w:val="auto"/>
          <w:highlight w:val="none"/>
        </w:rPr>
      </w:pPr>
      <w:r>
        <w:rPr>
          <w:color w:val="auto"/>
          <w:highlight w:val="none"/>
        </w:rPr>
        <w:t> </w:t>
      </w:r>
    </w:p>
    <w:p w14:paraId="633761AD">
      <w:pPr>
        <w:pStyle w:val="8"/>
        <w:spacing w:beforeAutospacing="0" w:afterAutospacing="0"/>
        <w:jc w:val="center"/>
        <w:rPr>
          <w:color w:val="auto"/>
          <w:highlight w:val="none"/>
        </w:rPr>
      </w:pPr>
      <w:r>
        <w:rPr>
          <w:color w:val="auto"/>
          <w:highlight w:val="none"/>
        </w:rPr>
        <w:t> </w:t>
      </w:r>
    </w:p>
    <w:p w14:paraId="235D43BC">
      <w:pPr>
        <w:pStyle w:val="8"/>
        <w:spacing w:beforeAutospacing="0" w:afterAutospacing="0"/>
        <w:jc w:val="center"/>
        <w:rPr>
          <w:color w:val="auto"/>
          <w:highlight w:val="none"/>
        </w:rPr>
      </w:pPr>
      <w:r>
        <w:rPr>
          <w:color w:val="auto"/>
          <w:highlight w:val="none"/>
        </w:rPr>
        <w:t> </w:t>
      </w:r>
    </w:p>
    <w:p w14:paraId="16008CF4">
      <w:pPr>
        <w:pStyle w:val="8"/>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26A120EE">
      <w:pPr>
        <w:pStyle w:val="8"/>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62E90B3E">
      <w:pPr>
        <w:pStyle w:val="8"/>
        <w:spacing w:beforeAutospacing="0" w:afterAutospacing="0"/>
        <w:jc w:val="both"/>
        <w:rPr>
          <w:color w:val="auto"/>
          <w:highlight w:val="none"/>
        </w:rPr>
      </w:pPr>
      <w:r>
        <w:rPr>
          <w:rFonts w:hint="eastAsia" w:ascii="宋体" w:hAnsi="宋体" w:eastAsia="宋体" w:cs="宋体"/>
          <w:b/>
          <w:color w:val="auto"/>
          <w:sz w:val="36"/>
          <w:szCs w:val="36"/>
          <w:highlight w:val="none"/>
        </w:rPr>
        <w:t>   </w:t>
      </w:r>
      <w:r>
        <w:rPr>
          <w:rFonts w:hint="eastAsia" w:ascii="宋体" w:hAnsi="宋体" w:eastAsia="宋体" w:cs="宋体"/>
          <w:b/>
          <w:color w:val="auto"/>
          <w:sz w:val="36"/>
          <w:szCs w:val="36"/>
          <w:highlight w:val="none"/>
          <w:lang w:eastAsia="zh-CN"/>
        </w:rPr>
        <w:t>投标供应商</w:t>
      </w:r>
      <w:r>
        <w:rPr>
          <w:rFonts w:hint="eastAsia" w:ascii="宋体" w:hAnsi="宋体" w:eastAsia="宋体" w:cs="宋体"/>
          <w:b/>
          <w:color w:val="auto"/>
          <w:sz w:val="36"/>
          <w:szCs w:val="36"/>
          <w:highlight w:val="none"/>
        </w:rPr>
        <w:t>名称 ：</w:t>
      </w:r>
      <w:r>
        <w:rPr>
          <w:rFonts w:hint="eastAsia" w:ascii="宋体" w:hAnsi="宋体" w:eastAsia="宋体" w:cs="宋体"/>
          <w:b/>
          <w:color w:val="auto"/>
          <w:sz w:val="36"/>
          <w:szCs w:val="36"/>
          <w:highlight w:val="none"/>
          <w:u w:val="single"/>
        </w:rPr>
        <w:t xml:space="preserve">（加盖CA电子公章）        </w:t>
      </w:r>
    </w:p>
    <w:p w14:paraId="29E01CEE">
      <w:pPr>
        <w:pStyle w:val="8"/>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bookmarkEnd w:id="190"/>
    <w:p w14:paraId="160CFFAA">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r>
    </w:p>
    <w:p w14:paraId="21383EFB">
      <w:pPr>
        <w:pStyle w:val="8"/>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14:paraId="1757030D">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pPr>
      <w:r>
        <w:rPr>
          <w:rFonts w:ascii="宋体" w:hAnsi="宋体" w:eastAsia="宋体" w:cs="宋体"/>
          <w:color w:val="000000"/>
          <w:sz w:val="24"/>
          <w:szCs w:val="24"/>
        </w:rPr>
        <w:t>一、法人或者其他组织的营业执照等证明文件，自然人的身份证明</w:t>
      </w:r>
    </w:p>
    <w:p w14:paraId="23E91B26">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pPr>
      <w:r>
        <w:rPr>
          <w:rFonts w:ascii="宋体" w:hAnsi="宋体" w:eastAsia="宋体" w:cs="宋体"/>
          <w:color w:val="000000"/>
          <w:sz w:val="24"/>
          <w:szCs w:val="24"/>
        </w:rPr>
        <w:t>二、</w:t>
      </w:r>
      <w:r>
        <w:rPr>
          <w:rFonts w:hint="eastAsia" w:ascii="宋体" w:hAnsi="宋体" w:eastAsia="宋体" w:cs="宋体"/>
          <w:color w:val="000000"/>
          <w:sz w:val="24"/>
          <w:szCs w:val="24"/>
        </w:rPr>
        <w:t>投标书面声明（承诺）书</w:t>
      </w:r>
    </w:p>
    <w:p w14:paraId="41CAB2E9">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pPr>
      <w:r>
        <w:rPr>
          <w:rFonts w:hint="eastAsia" w:ascii="宋体" w:hAnsi="宋体" w:eastAsia="宋体" w:cs="宋体"/>
          <w:color w:val="000000"/>
          <w:sz w:val="24"/>
          <w:szCs w:val="24"/>
          <w:lang w:val="en-US" w:eastAsia="zh-CN"/>
        </w:rPr>
        <w:t>三</w:t>
      </w:r>
      <w:r>
        <w:rPr>
          <w:rFonts w:ascii="宋体" w:hAnsi="宋体" w:eastAsia="宋体" w:cs="宋体"/>
          <w:color w:val="000000"/>
          <w:sz w:val="24"/>
          <w:szCs w:val="24"/>
        </w:rPr>
        <w:t>、特定资格要求的证明文件</w:t>
      </w:r>
    </w:p>
    <w:p w14:paraId="0C4D2565">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pPr>
      <w:r>
        <w:rPr>
          <w:rFonts w:hint="eastAsia" w:ascii="宋体" w:hAnsi="宋体" w:eastAsia="宋体" w:cs="宋体"/>
          <w:color w:val="000000"/>
          <w:sz w:val="24"/>
          <w:szCs w:val="24"/>
          <w:lang w:eastAsia="zh-CN"/>
        </w:rPr>
        <w:t>四</w:t>
      </w:r>
      <w:r>
        <w:rPr>
          <w:rFonts w:ascii="宋体" w:hAnsi="宋体" w:eastAsia="宋体" w:cs="宋体"/>
          <w:color w:val="000000"/>
          <w:sz w:val="24"/>
          <w:szCs w:val="24"/>
        </w:rPr>
        <w:t>、法人授权书</w:t>
      </w:r>
    </w:p>
    <w:p w14:paraId="5C1807BD">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pPr>
      <w:r>
        <w:rPr>
          <w:rFonts w:hint="eastAsia" w:ascii="宋体" w:hAnsi="宋体" w:eastAsia="宋体" w:cs="宋体"/>
          <w:color w:val="000000"/>
          <w:sz w:val="24"/>
          <w:szCs w:val="24"/>
          <w:lang w:val="en-US" w:eastAsia="zh-CN"/>
        </w:rPr>
        <w:t>五</w:t>
      </w:r>
      <w:r>
        <w:rPr>
          <w:rFonts w:ascii="宋体" w:hAnsi="宋体" w:eastAsia="宋体" w:cs="宋体"/>
          <w:color w:val="000000"/>
          <w:sz w:val="24"/>
          <w:szCs w:val="24"/>
        </w:rPr>
        <w:t>、投标函</w:t>
      </w:r>
    </w:p>
    <w:p w14:paraId="49B75DBA">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pPr>
      <w:r>
        <w:rPr>
          <w:rFonts w:hint="eastAsia" w:ascii="宋体" w:hAnsi="宋体" w:eastAsia="宋体" w:cs="宋体"/>
          <w:color w:val="000000"/>
          <w:sz w:val="24"/>
          <w:szCs w:val="24"/>
          <w:lang w:val="en-US" w:eastAsia="zh-CN"/>
        </w:rPr>
        <w:t>六</w:t>
      </w:r>
      <w:r>
        <w:rPr>
          <w:rFonts w:ascii="宋体" w:hAnsi="宋体" w:eastAsia="宋体" w:cs="宋体"/>
          <w:color w:val="000000"/>
          <w:sz w:val="24"/>
          <w:szCs w:val="24"/>
        </w:rPr>
        <w:t>、中小企业声明函</w:t>
      </w:r>
    </w:p>
    <w:p w14:paraId="7822BACF">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pPr>
      <w:r>
        <w:rPr>
          <w:rFonts w:hint="eastAsia" w:ascii="宋体" w:hAnsi="宋体" w:eastAsia="宋体" w:cs="宋体"/>
          <w:color w:val="000000"/>
          <w:sz w:val="24"/>
          <w:szCs w:val="24"/>
          <w:lang w:eastAsia="zh-CN"/>
        </w:rPr>
        <w:t>七</w:t>
      </w:r>
      <w:r>
        <w:rPr>
          <w:rFonts w:ascii="宋体" w:hAnsi="宋体" w:eastAsia="宋体" w:cs="宋体"/>
          <w:color w:val="000000"/>
          <w:sz w:val="24"/>
          <w:szCs w:val="24"/>
        </w:rPr>
        <w:t>、残疾人福利性单位声明函</w:t>
      </w:r>
    </w:p>
    <w:p w14:paraId="69EB5B3F">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pPr>
      <w:r>
        <w:rPr>
          <w:rFonts w:hint="eastAsia" w:ascii="宋体" w:hAnsi="宋体" w:eastAsia="宋体" w:cs="宋体"/>
          <w:color w:val="000000"/>
          <w:sz w:val="24"/>
          <w:szCs w:val="24"/>
          <w:lang w:val="en-US" w:eastAsia="zh-CN"/>
        </w:rPr>
        <w:t>八</w:t>
      </w:r>
      <w:r>
        <w:rPr>
          <w:rFonts w:ascii="宋体" w:hAnsi="宋体" w:eastAsia="宋体" w:cs="宋体"/>
          <w:color w:val="000000"/>
          <w:sz w:val="24"/>
          <w:szCs w:val="24"/>
        </w:rPr>
        <w:t>、商务要求响应及偏离表</w:t>
      </w:r>
    </w:p>
    <w:p w14:paraId="741ED56C">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pPr>
      <w:r>
        <w:rPr>
          <w:rFonts w:hint="eastAsia" w:ascii="宋体" w:hAnsi="宋体" w:eastAsia="宋体" w:cs="宋体"/>
          <w:color w:val="000000"/>
          <w:sz w:val="24"/>
          <w:szCs w:val="24"/>
          <w:lang w:val="en-US" w:eastAsia="zh-CN"/>
        </w:rPr>
        <w:t>九</w:t>
      </w:r>
      <w:r>
        <w:rPr>
          <w:rFonts w:ascii="宋体" w:hAnsi="宋体" w:eastAsia="宋体" w:cs="宋体"/>
          <w:color w:val="000000"/>
          <w:sz w:val="24"/>
          <w:szCs w:val="24"/>
        </w:rPr>
        <w:t>、开标一览表</w:t>
      </w:r>
    </w:p>
    <w:p w14:paraId="7E768178">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pPr>
      <w:r>
        <w:rPr>
          <w:rFonts w:ascii="宋体" w:hAnsi="宋体" w:eastAsia="宋体" w:cs="宋体"/>
          <w:color w:val="000000"/>
          <w:sz w:val="24"/>
          <w:szCs w:val="24"/>
        </w:rPr>
        <w:t>十、承诺书</w:t>
      </w:r>
    </w:p>
    <w:p w14:paraId="2A99DAB3">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rPr>
          <w:rFonts w:ascii="宋体" w:hAnsi="宋体" w:eastAsia="宋体" w:cs="宋体"/>
          <w:color w:val="000000"/>
          <w:sz w:val="24"/>
          <w:szCs w:val="24"/>
        </w:rPr>
      </w:pPr>
      <w:r>
        <w:rPr>
          <w:rFonts w:ascii="宋体" w:hAnsi="宋体" w:eastAsia="宋体" w:cs="宋体"/>
          <w:color w:val="000000"/>
          <w:sz w:val="24"/>
          <w:szCs w:val="24"/>
        </w:rPr>
        <w:t>十</w:t>
      </w:r>
      <w:r>
        <w:rPr>
          <w:rFonts w:hint="eastAsia" w:ascii="宋体" w:hAnsi="宋体" w:eastAsia="宋体" w:cs="宋体"/>
          <w:color w:val="000000"/>
          <w:sz w:val="24"/>
          <w:szCs w:val="24"/>
          <w:lang w:val="en-US" w:eastAsia="zh-CN"/>
        </w:rPr>
        <w:t>一</w:t>
      </w:r>
      <w:r>
        <w:rPr>
          <w:rFonts w:ascii="宋体" w:hAnsi="宋体" w:eastAsia="宋体" w:cs="宋体"/>
          <w:color w:val="000000"/>
          <w:sz w:val="24"/>
          <w:szCs w:val="24"/>
        </w:rPr>
        <w:t>、盐城市政府采购事前信用承诺书</w:t>
      </w:r>
    </w:p>
    <w:p w14:paraId="57C4341A">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firstLine="480"/>
        <w:jc w:val="both"/>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十二、承诺函</w:t>
      </w:r>
    </w:p>
    <w:p w14:paraId="14535530">
      <w:pPr>
        <w:pStyle w:val="8"/>
        <w:spacing w:beforeAutospacing="0" w:afterAutospacing="0" w:line="0" w:lineRule="atLeast"/>
        <w:ind w:firstLine="480"/>
        <w:jc w:val="both"/>
        <w:rPr>
          <w:color w:val="auto"/>
          <w:highlight w:val="none"/>
          <w:shd w:val="clear" w:color="auto" w:fill="auto"/>
        </w:rPr>
      </w:pPr>
    </w:p>
    <w:p w14:paraId="62C85F47">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4848A77">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6FCB6073">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563D446A">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89238DC">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591CB10">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589F30F6">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4ECBD33">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6DFA658">
      <w:pPr>
        <w:rPr>
          <w:color w:val="auto"/>
          <w:highlight w:val="none"/>
          <w:shd w:val="clear" w:color="auto" w:fill="auto"/>
        </w:rPr>
      </w:pPr>
      <w:r>
        <w:rPr>
          <w:color w:val="auto"/>
          <w:highlight w:val="none"/>
          <w:shd w:val="clear" w:color="auto" w:fill="auto"/>
        </w:rPr>
        <w:br w:type="page"/>
      </w:r>
    </w:p>
    <w:p w14:paraId="1CF1C2FD">
      <w:pPr>
        <w:pStyle w:val="8"/>
        <w:spacing w:beforeAutospacing="0" w:afterAutospacing="0" w:line="0" w:lineRule="atLeast"/>
        <w:ind w:firstLine="480"/>
        <w:jc w:val="both"/>
        <w:rPr>
          <w:color w:val="auto"/>
          <w:highlight w:val="none"/>
          <w:shd w:val="clear" w:color="auto" w:fill="auto"/>
        </w:rPr>
      </w:pPr>
    </w:p>
    <w:p w14:paraId="6FBD6D3F">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5D1DA631">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4964AAA">
      <w:pPr>
        <w:rPr>
          <w:rFonts w:hint="eastAsia" w:ascii="黑体" w:hAnsi="宋体" w:eastAsia="黑体" w:cs="黑体"/>
          <w:i/>
          <w:color w:val="auto"/>
          <w:sz w:val="32"/>
          <w:szCs w:val="32"/>
          <w:highlight w:val="none"/>
          <w:u w:val="single"/>
        </w:rPr>
      </w:pPr>
      <w:bookmarkStart w:id="176" w:name="_Toc13269"/>
      <w:bookmarkStart w:id="177" w:name="_Toc11362"/>
      <w:r>
        <w:rPr>
          <w:rFonts w:hint="eastAsia" w:ascii="黑体" w:hAnsi="宋体" w:eastAsia="黑体" w:cs="黑体"/>
          <w:i/>
          <w:color w:val="auto"/>
          <w:sz w:val="32"/>
          <w:szCs w:val="32"/>
          <w:highlight w:val="none"/>
          <w:u w:val="single"/>
        </w:rPr>
        <w:br w:type="page"/>
      </w:r>
    </w:p>
    <w:p w14:paraId="78CFD2CB">
      <w:pPr>
        <w:keepNext w:val="0"/>
        <w:keepLines w:val="0"/>
        <w:pageBreakBefore w:val="0"/>
        <w:widowControl w:val="0"/>
        <w:kinsoku/>
        <w:wordWrap w:val="0"/>
        <w:overflowPunct/>
        <w:topLinePunct w:val="0"/>
        <w:autoSpaceDE/>
        <w:autoSpaceDN/>
        <w:bidi w:val="0"/>
        <w:adjustRightInd w:val="0"/>
        <w:snapToGrid w:val="0"/>
        <w:spacing w:line="240" w:lineRule="auto"/>
        <w:jc w:val="center"/>
        <w:textAlignment w:val="auto"/>
        <w:outlineLvl w:val="1"/>
        <w:rPr>
          <w:rFonts w:hint="default"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rPr>
        <w:t>二、</w:t>
      </w:r>
      <w:bookmarkEnd w:id="176"/>
      <w:bookmarkEnd w:id="177"/>
      <w:r>
        <w:rPr>
          <w:rFonts w:hint="eastAsia" w:ascii="黑体" w:hAnsi="宋体" w:eastAsia="黑体" w:cs="黑体"/>
          <w:i/>
          <w:color w:val="auto"/>
          <w:sz w:val="32"/>
          <w:szCs w:val="32"/>
          <w:highlight w:val="none"/>
          <w:u w:val="single"/>
          <w:lang w:val="en-US" w:eastAsia="zh-CN"/>
        </w:rPr>
        <w:t>投标书面声明（承诺）书</w:t>
      </w:r>
    </w:p>
    <w:p w14:paraId="63B8243D">
      <w:pPr>
        <w:keepNext w:val="0"/>
        <w:keepLines w:val="0"/>
        <w:pageBreakBefore w:val="0"/>
        <w:widowControl w:val="0"/>
        <w:kinsoku/>
        <w:wordWrap w:val="0"/>
        <w:overflowPunct/>
        <w:topLinePunct w:val="0"/>
        <w:autoSpaceDE/>
        <w:autoSpaceDN/>
        <w:bidi w:val="0"/>
        <w:adjustRightInd w:val="0"/>
        <w:snapToGrid w:val="0"/>
        <w:spacing w:line="240" w:lineRule="auto"/>
        <w:jc w:val="center"/>
        <w:textAlignment w:val="auto"/>
        <w:outlineLvl w:val="1"/>
        <w:rPr>
          <w:rFonts w:hint="default" w:ascii="Times New Roman" w:hAnsi="Times New Roman" w:eastAsia="宋体" w:cs="Times New Roman"/>
          <w:b/>
          <w:bCs/>
          <w:i w:val="0"/>
          <w:iCs/>
          <w:color w:val="auto"/>
          <w:kern w:val="28"/>
          <w:sz w:val="32"/>
          <w:szCs w:val="32"/>
          <w:highlight w:val="none"/>
          <w:u w:val="single"/>
          <w:lang w:val="en-US" w:eastAsia="zh-CN" w:bidi="ar-SA"/>
        </w:rPr>
      </w:pPr>
    </w:p>
    <w:p w14:paraId="7DCA55E8">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textAlignment w:val="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lang w:val="en-US" w:eastAsia="zh-CN"/>
        </w:rPr>
        <w:t xml:space="preserve">               </w:t>
      </w:r>
    </w:p>
    <w:p w14:paraId="1C7E3A4C">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投标人名称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就参与</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采购项目名称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采购项目投标事宜，郑重作出如下书面声明：</w:t>
      </w:r>
    </w:p>
    <w:p w14:paraId="5C854992">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单位具有良好的商业信誉和健全的财务会计制度。本单位经营状况良好，无商业信誉不良记录（如无被列入经营异常名录、严重违法失信企业名单等情形）；已按照国家统一的会计制度规定建立健全财务会计制度，能够规范进行会计核算与财务管理，可依法提供真实、完整的财务会计资料，符合政府采购对投标人商业信誉及财务会计制度的要求。</w:t>
      </w:r>
    </w:p>
    <w:p w14:paraId="5625220B">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本单位有依法缴纳税收和社会保障资金的良好记录。近一年内，本单位已依照国家税收法律法规及社会保险相关规定，按时、足额缴纳各项应缴税收（包括但不限于增值税、企业所得税等）和社会保障资金（包括但不限于基本养老保险、基本医疗保险、失业保险、工伤保险、生育保险等），无欠缴、漏缴记录，符合政府采购相关要求。</w:t>
      </w:r>
    </w:p>
    <w:p w14:paraId="285033A1">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三、本单位具有履行合同所必需的设备和专业技术能力。本单位已配备与本项目履约相匹配的专业设备，</w:t>
      </w:r>
      <w:r>
        <w:rPr>
          <w:rFonts w:hint="eastAsia" w:ascii="宋体" w:hAnsi="宋体" w:eastAsia="宋体" w:cs="宋体"/>
          <w:color w:val="auto"/>
          <w:sz w:val="21"/>
          <w:szCs w:val="21"/>
          <w:highlight w:val="none"/>
          <w:lang w:eastAsia="zh-CN"/>
        </w:rPr>
        <w:t>且有</w:t>
      </w:r>
      <w:r>
        <w:rPr>
          <w:rFonts w:hint="eastAsia" w:ascii="宋体" w:hAnsi="宋体" w:eastAsia="宋体" w:cs="宋体"/>
          <w:color w:val="auto"/>
          <w:sz w:val="21"/>
          <w:szCs w:val="21"/>
          <w:highlight w:val="none"/>
        </w:rPr>
        <w:t>相应专业资质和丰富实践经验的专业技术团队，能够有效保障本项目合同的顺利履行，满足项目各项技术及服务要求。</w:t>
      </w:r>
    </w:p>
    <w:p w14:paraId="48399181">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本单位参加政府采购活动前三年内，在经营活动中没有重大违法记录。本单位在此期间未因违法经营受到刑事处罚或者责令停产停业、吊销许可证或者执照、较大数额罚款等行政处罚；未被列入失信被执行人名单、重大税收违法失信主体、政府采购严重违法失信行为记录名单，符合《中华人民共和国政府采购法》及相关法规对投标人违法记录的要求。</w:t>
      </w:r>
    </w:p>
    <w:p w14:paraId="04238E86">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承诺：上述声明内容真实、准确、完整，不存在任何虚假记载、误导性陈述或重大遗漏。若本声明内容与事实不符，本单位愿意承担由此产生的一切法律责任，包括但不限于取消投标资格、中标资格，没收投标保证金（若有），并接受相关行政监督部门的处罚；给采购单位或其他相关方造成损失的，本单位将依法承担赔偿责任。</w:t>
      </w:r>
    </w:p>
    <w:p w14:paraId="15119126">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特此声明！</w:t>
      </w:r>
    </w:p>
    <w:p w14:paraId="49E98B24">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jc w:val="righ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投标人（盖章）：</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单位名称</w:t>
      </w:r>
      <w:r>
        <w:rPr>
          <w:rFonts w:hint="eastAsia" w:ascii="宋体" w:hAnsi="宋体" w:eastAsia="宋体" w:cs="宋体"/>
          <w:color w:val="auto"/>
          <w:sz w:val="21"/>
          <w:szCs w:val="21"/>
          <w:highlight w:val="none"/>
          <w:u w:val="single"/>
          <w:lang w:eastAsia="zh-CN"/>
        </w:rPr>
        <w:t>）</w:t>
      </w:r>
    </w:p>
    <w:p w14:paraId="69FFF46C">
      <w:pPr>
        <w:keepNext w:val="0"/>
        <w:keepLines w:val="0"/>
        <w:pageBreakBefore w:val="0"/>
        <w:widowControl w:val="0"/>
        <w:kinsoku/>
        <w:wordWrap w:val="0"/>
        <w:overflowPunct/>
        <w:topLinePunct w:val="0"/>
        <w:autoSpaceDE/>
        <w:autoSpaceDN/>
        <w:bidi w:val="0"/>
        <w:adjustRightInd w:val="0"/>
        <w:snapToGrid w:val="0"/>
        <w:spacing w:line="480" w:lineRule="exact"/>
        <w:ind w:firstLine="420" w:firstLineChars="200"/>
        <w:jc w:val="righ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法定代表人（或</w:t>
      </w:r>
      <w:r>
        <w:rPr>
          <w:rFonts w:hint="eastAsia" w:ascii="宋体" w:hAnsi="宋体" w:eastAsia="宋体" w:cs="宋体"/>
          <w:color w:val="auto"/>
          <w:sz w:val="21"/>
          <w:szCs w:val="21"/>
          <w:highlight w:val="none"/>
          <w:lang w:val="en-US" w:eastAsia="zh-CN"/>
        </w:rPr>
        <w:t>代理人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val="en-US" w:eastAsia="zh-CN"/>
        </w:rPr>
        <w:t>或盖章</w:t>
      </w:r>
      <w:r>
        <w:rPr>
          <w:rFonts w:hint="eastAsia" w:ascii="宋体" w:hAnsi="宋体" w:eastAsia="宋体" w:cs="宋体"/>
          <w:color w:val="auto"/>
          <w:sz w:val="21"/>
          <w:szCs w:val="21"/>
          <w:highlight w:val="none"/>
        </w:rPr>
        <w:t>）</w:t>
      </w:r>
    </w:p>
    <w:p w14:paraId="03EE4BD8">
      <w:pPr>
        <w:widowControl w:val="0"/>
        <w:spacing w:beforeAutospacing="0" w:afterAutospacing="0"/>
        <w:jc w:val="righ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日期：    年    月    日</w:t>
      </w:r>
    </w:p>
    <w:p w14:paraId="4877AD7B">
      <w:pPr>
        <w:pStyle w:val="8"/>
        <w:spacing w:beforeAutospacing="0" w:afterAutospacing="0"/>
        <w:jc w:val="both"/>
        <w:rPr>
          <w:color w:val="auto"/>
          <w:highlight w:val="none"/>
          <w:shd w:val="clear" w:color="auto" w:fill="auto"/>
        </w:rPr>
      </w:pPr>
      <w:r>
        <w:rPr>
          <w:color w:val="auto"/>
          <w:highlight w:val="none"/>
          <w:shd w:val="clear" w:color="auto" w:fill="auto"/>
        </w:rPr>
        <w:t> </w:t>
      </w:r>
    </w:p>
    <w:p w14:paraId="78F2B014">
      <w:pPr>
        <w:pStyle w:val="8"/>
        <w:spacing w:beforeAutospacing="0" w:afterAutospacing="0"/>
        <w:jc w:val="both"/>
        <w:rPr>
          <w:color w:val="auto"/>
          <w:highlight w:val="none"/>
          <w:shd w:val="clear" w:color="auto" w:fill="auto"/>
        </w:rPr>
      </w:pPr>
      <w:r>
        <w:rPr>
          <w:color w:val="auto"/>
          <w:highlight w:val="none"/>
          <w:shd w:val="clear" w:color="auto" w:fill="auto"/>
        </w:rPr>
        <w:t> </w:t>
      </w:r>
    </w:p>
    <w:p w14:paraId="129A6B60">
      <w:pPr>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lang w:val="en-US" w:eastAsia="zh-CN"/>
        </w:rPr>
        <w:br w:type="page"/>
      </w:r>
    </w:p>
    <w:p w14:paraId="181018F1">
      <w:pPr>
        <w:pStyle w:val="8"/>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三</w:t>
      </w:r>
      <w:r>
        <w:rPr>
          <w:rFonts w:hint="eastAsia" w:ascii="黑体" w:hAnsi="宋体" w:eastAsia="黑体" w:cs="黑体"/>
          <w:i/>
          <w:color w:val="auto"/>
          <w:sz w:val="32"/>
          <w:szCs w:val="32"/>
          <w:highlight w:val="none"/>
          <w:u w:val="single"/>
          <w:shd w:val="clear" w:color="auto" w:fill="auto"/>
        </w:rPr>
        <w:t>、特定资格要求的证明文件</w:t>
      </w:r>
    </w:p>
    <w:p w14:paraId="37E709FA">
      <w:pPr>
        <w:pStyle w:val="8"/>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14:paraId="64344148">
      <w:pPr>
        <w:rPr>
          <w:rFonts w:hint="eastAsia" w:ascii="黑体" w:hAnsi="宋体" w:eastAsia="黑体" w:cs="黑体"/>
          <w:i/>
          <w:color w:val="auto"/>
          <w:sz w:val="32"/>
          <w:szCs w:val="32"/>
          <w:highlight w:val="none"/>
          <w:u w:val="single"/>
          <w:shd w:val="clear" w:color="auto" w:fill="auto"/>
          <w:lang w:val="en-US" w:eastAsia="zh-CN"/>
        </w:rPr>
      </w:pPr>
      <w:bookmarkStart w:id="178" w:name="_Toc120614284"/>
      <w:r>
        <w:rPr>
          <w:rFonts w:hint="eastAsia" w:ascii="黑体" w:hAnsi="宋体" w:eastAsia="黑体" w:cs="黑体"/>
          <w:i/>
          <w:color w:val="auto"/>
          <w:sz w:val="32"/>
          <w:szCs w:val="32"/>
          <w:highlight w:val="none"/>
          <w:u w:val="single"/>
          <w:shd w:val="clear" w:color="auto" w:fill="auto"/>
          <w:lang w:val="en-US" w:eastAsia="zh-CN"/>
        </w:rPr>
        <w:br w:type="page"/>
      </w:r>
    </w:p>
    <w:p w14:paraId="00BCE898">
      <w:pPr>
        <w:pStyle w:val="8"/>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、法人授权书</w:t>
      </w:r>
    </w:p>
    <w:p w14:paraId="043E29C0">
      <w:pPr>
        <w:pStyle w:val="8"/>
        <w:keepNext w:val="0"/>
        <w:keepLines w:val="0"/>
        <w:pageBreakBefore w:val="0"/>
        <w:widowControl w:val="0"/>
        <w:tabs>
          <w:tab w:val="left" w:pos="360"/>
        </w:tabs>
        <w:spacing w:beforeAutospacing="0" w:afterAutospacing="0" w:line="360" w:lineRule="auto"/>
        <w:ind w:firstLine="560"/>
        <w:jc w:val="both"/>
        <w:rPr>
          <w:color w:val="auto"/>
          <w:sz w:val="28"/>
          <w:szCs w:val="28"/>
          <w:highlight w:val="none"/>
        </w:rPr>
      </w:pPr>
      <w:bookmarkStart w:id="179" w:name="_格式3__银行出具的资信证明"/>
      <w:bookmarkStart w:id="180" w:name="_Hlt26671380"/>
      <w:bookmarkStart w:id="181" w:name="_Hlt26955070"/>
      <w:r>
        <w:rPr>
          <w:rFonts w:ascii="Times New Roman" w:hAnsi="Times New Roman"/>
          <w:color w:val="auto"/>
          <w:sz w:val="28"/>
          <w:szCs w:val="28"/>
          <w:highlight w:val="none"/>
        </w:rPr>
        <w:t>本授权书声明：____________（</w:t>
      </w:r>
      <w:r>
        <w:rPr>
          <w:rFonts w:hint="eastAsia" w:ascii="Times New Roman" w:hAnsi="Times New Roman"/>
          <w:color w:val="auto"/>
          <w:sz w:val="28"/>
          <w:szCs w:val="28"/>
          <w:highlight w:val="none"/>
          <w:lang w:eastAsia="zh-CN"/>
        </w:rPr>
        <w:t>投标供应商</w:t>
      </w:r>
      <w:r>
        <w:rPr>
          <w:rFonts w:ascii="Times New Roman" w:hAnsi="Times New Roman"/>
          <w:color w:val="auto"/>
          <w:sz w:val="28"/>
          <w:szCs w:val="28"/>
          <w:highlight w:val="none"/>
        </w:rPr>
        <w:t>名称）授权________________（被授权人的姓名）为我方就JSZC-</w:t>
      </w:r>
      <w:r>
        <w:rPr>
          <w:rFonts w:ascii="Times New Roman" w:hAnsi="Times New Roman"/>
          <w:color w:val="auto"/>
          <w:sz w:val="28"/>
          <w:szCs w:val="28"/>
          <w:highlight w:val="none"/>
          <w:u w:val="single"/>
        </w:rPr>
        <w:t xml:space="preserve">        </w:t>
      </w:r>
      <w:r>
        <w:rPr>
          <w:rFonts w:ascii="Times New Roman" w:hAnsi="Times New Roman"/>
          <w:color w:val="auto"/>
          <w:sz w:val="28"/>
          <w:szCs w:val="28"/>
          <w:highlight w:val="none"/>
        </w:rPr>
        <w:t>号项目采购活动的合法代理人，以本单位名义全权处理一切与该项目采购有关的事务。</w:t>
      </w:r>
    </w:p>
    <w:p w14:paraId="5030D111">
      <w:pPr>
        <w:pStyle w:val="8"/>
        <w:keepNext w:val="0"/>
        <w:keepLines w:val="0"/>
        <w:pageBreakBefore w:val="0"/>
        <w:widowControl w:val="0"/>
        <w:tabs>
          <w:tab w:val="left" w:pos="360"/>
        </w:tabs>
        <w:spacing w:beforeAutospacing="0" w:afterAutospacing="0" w:line="360" w:lineRule="auto"/>
        <w:ind w:firstLine="560"/>
        <w:jc w:val="both"/>
        <w:rPr>
          <w:color w:val="auto"/>
          <w:sz w:val="28"/>
          <w:szCs w:val="28"/>
          <w:highlight w:val="none"/>
        </w:rPr>
      </w:pPr>
      <w:r>
        <w:rPr>
          <w:rFonts w:ascii="Times New Roman" w:hAnsi="Times New Roman"/>
          <w:color w:val="auto"/>
          <w:sz w:val="28"/>
          <w:szCs w:val="28"/>
          <w:highlight w:val="none"/>
        </w:rPr>
        <w:t>本授权书于______年____月____日起生效，特此声明。</w:t>
      </w:r>
    </w:p>
    <w:p w14:paraId="4A38FB5C">
      <w:pPr>
        <w:pStyle w:val="8"/>
        <w:keepNext w:val="0"/>
        <w:keepLines w:val="0"/>
        <w:pageBreakBefore w:val="0"/>
        <w:widowControl w:val="0"/>
        <w:tabs>
          <w:tab w:val="left" w:pos="360"/>
        </w:tabs>
        <w:spacing w:beforeAutospacing="0" w:afterAutospacing="0" w:line="360" w:lineRule="auto"/>
        <w:ind w:firstLine="560"/>
        <w:jc w:val="both"/>
        <w:rPr>
          <w:color w:val="auto"/>
          <w:sz w:val="28"/>
          <w:szCs w:val="28"/>
          <w:highlight w:val="none"/>
        </w:rPr>
      </w:pPr>
      <w:r>
        <w:rPr>
          <w:rFonts w:ascii="Times New Roman" w:hAnsi="Times New Roman"/>
          <w:color w:val="auto"/>
          <w:sz w:val="28"/>
          <w:szCs w:val="28"/>
          <w:highlight w:val="none"/>
        </w:rPr>
        <w:t> 被授权人身份证号码：</w:t>
      </w:r>
      <w:r>
        <w:rPr>
          <w:rFonts w:ascii="Times New Roman" w:hAnsi="Times New Roman"/>
          <w:color w:val="auto"/>
          <w:sz w:val="28"/>
          <w:szCs w:val="28"/>
          <w:highlight w:val="none"/>
          <w:u w:val="single"/>
        </w:rPr>
        <w:t xml:space="preserve">                              </w:t>
      </w:r>
    </w:p>
    <w:p w14:paraId="4419547C">
      <w:pPr>
        <w:pStyle w:val="8"/>
        <w:keepNext w:val="0"/>
        <w:keepLines w:val="0"/>
        <w:pageBreakBefore w:val="0"/>
        <w:widowControl w:val="0"/>
        <w:tabs>
          <w:tab w:val="left" w:pos="360"/>
        </w:tabs>
        <w:spacing w:beforeAutospacing="0" w:afterAutospacing="0" w:line="360" w:lineRule="auto"/>
        <w:ind w:firstLine="560"/>
        <w:jc w:val="both"/>
        <w:rPr>
          <w:color w:val="auto"/>
          <w:sz w:val="28"/>
          <w:szCs w:val="28"/>
          <w:highlight w:val="none"/>
        </w:rPr>
      </w:pPr>
      <w:r>
        <w:rPr>
          <w:rFonts w:ascii="Times New Roman" w:hAnsi="Times New Roman"/>
          <w:color w:val="auto"/>
          <w:sz w:val="28"/>
          <w:szCs w:val="28"/>
          <w:highlight w:val="none"/>
        </w:rPr>
        <w:t> 被授权人联系电话：（手机）</w:t>
      </w:r>
      <w:r>
        <w:rPr>
          <w:rFonts w:ascii="Times New Roman" w:hAnsi="Times New Roman"/>
          <w:color w:val="auto"/>
          <w:sz w:val="28"/>
          <w:szCs w:val="28"/>
          <w:highlight w:val="none"/>
          <w:u w:val="single"/>
        </w:rPr>
        <w:t xml:space="preserve">                          </w:t>
      </w:r>
    </w:p>
    <w:p w14:paraId="21EA8B90">
      <w:pPr>
        <w:pStyle w:val="8"/>
        <w:keepNext w:val="0"/>
        <w:keepLines w:val="0"/>
        <w:pageBreakBefore w:val="0"/>
        <w:widowControl w:val="0"/>
        <w:tabs>
          <w:tab w:val="left" w:pos="360"/>
        </w:tabs>
        <w:spacing w:beforeAutospacing="0" w:afterAutospacing="0" w:line="360" w:lineRule="auto"/>
        <w:ind w:firstLine="560"/>
        <w:jc w:val="right"/>
        <w:rPr>
          <w:rFonts w:ascii="Times New Roman" w:hAnsi="Times New Roman"/>
          <w:color w:val="auto"/>
          <w:sz w:val="28"/>
          <w:szCs w:val="28"/>
          <w:highlight w:val="none"/>
        </w:rPr>
      </w:pPr>
    </w:p>
    <w:p w14:paraId="03CBD85A">
      <w:pPr>
        <w:pStyle w:val="8"/>
        <w:keepNext w:val="0"/>
        <w:keepLines w:val="0"/>
        <w:pageBreakBefore w:val="0"/>
        <w:widowControl w:val="0"/>
        <w:tabs>
          <w:tab w:val="left" w:pos="360"/>
        </w:tabs>
        <w:spacing w:beforeAutospacing="0" w:afterAutospacing="0" w:line="360" w:lineRule="auto"/>
        <w:ind w:firstLine="560"/>
        <w:jc w:val="right"/>
        <w:rPr>
          <w:rFonts w:ascii="Times New Roman" w:hAnsi="Times New Roman"/>
          <w:color w:val="auto"/>
          <w:sz w:val="28"/>
          <w:szCs w:val="28"/>
          <w:highlight w:val="none"/>
        </w:rPr>
      </w:pPr>
    </w:p>
    <w:p w14:paraId="37531507">
      <w:pPr>
        <w:pStyle w:val="8"/>
        <w:keepNext w:val="0"/>
        <w:keepLines w:val="0"/>
        <w:pageBreakBefore w:val="0"/>
        <w:widowControl w:val="0"/>
        <w:tabs>
          <w:tab w:val="left" w:pos="360"/>
        </w:tabs>
        <w:spacing w:beforeAutospacing="0" w:afterAutospacing="0" w:line="360" w:lineRule="auto"/>
        <w:ind w:firstLine="560"/>
        <w:jc w:val="right"/>
        <w:rPr>
          <w:color w:val="auto"/>
          <w:sz w:val="28"/>
          <w:szCs w:val="28"/>
          <w:highlight w:val="none"/>
        </w:rPr>
      </w:pPr>
      <w:r>
        <w:rPr>
          <w:rFonts w:ascii="Times New Roman" w:hAnsi="Times New Roman"/>
          <w:color w:val="auto"/>
          <w:sz w:val="28"/>
          <w:szCs w:val="28"/>
          <w:highlight w:val="none"/>
        </w:rPr>
        <w:t>授权单位名称：</w:t>
      </w:r>
      <w:r>
        <w:rPr>
          <w:rFonts w:ascii="Times New Roman" w:hAnsi="Times New Roman"/>
          <w:color w:val="auto"/>
          <w:sz w:val="28"/>
          <w:szCs w:val="28"/>
          <w:highlight w:val="none"/>
          <w:u w:val="single"/>
        </w:rPr>
        <w:t>（加盖CA电子公章）</w:t>
      </w:r>
    </w:p>
    <w:p w14:paraId="233BC206">
      <w:pPr>
        <w:pStyle w:val="8"/>
        <w:keepNext w:val="0"/>
        <w:keepLines w:val="0"/>
        <w:pageBreakBefore w:val="0"/>
        <w:widowControl w:val="0"/>
        <w:tabs>
          <w:tab w:val="left" w:pos="360"/>
        </w:tabs>
        <w:spacing w:beforeAutospacing="0" w:afterAutospacing="0" w:line="360" w:lineRule="auto"/>
        <w:ind w:firstLine="560"/>
        <w:jc w:val="right"/>
        <w:rPr>
          <w:color w:val="auto"/>
          <w:sz w:val="28"/>
          <w:szCs w:val="28"/>
          <w:highlight w:val="none"/>
        </w:rPr>
      </w:pPr>
      <w:r>
        <w:rPr>
          <w:rFonts w:ascii="Times New Roman" w:hAnsi="Times New Roman"/>
          <w:color w:val="auto"/>
          <w:sz w:val="28"/>
          <w:szCs w:val="28"/>
          <w:highlight w:val="none"/>
        </w:rPr>
        <w:t>      单位地址：</w:t>
      </w:r>
      <w:r>
        <w:rPr>
          <w:rFonts w:ascii="Times New Roman" w:hAnsi="Times New Roman"/>
          <w:color w:val="auto"/>
          <w:sz w:val="28"/>
          <w:szCs w:val="28"/>
          <w:highlight w:val="none"/>
          <w:u w:val="single"/>
        </w:rPr>
        <w:t xml:space="preserve">                                         </w:t>
      </w:r>
    </w:p>
    <w:p w14:paraId="66CA3896">
      <w:pPr>
        <w:pStyle w:val="8"/>
        <w:keepNext w:val="0"/>
        <w:keepLines w:val="0"/>
        <w:pageBreakBefore w:val="0"/>
        <w:widowControl w:val="0"/>
        <w:tabs>
          <w:tab w:val="left" w:pos="360"/>
        </w:tabs>
        <w:spacing w:beforeAutospacing="0" w:afterAutospacing="0" w:line="360" w:lineRule="auto"/>
        <w:ind w:firstLine="560"/>
        <w:jc w:val="right"/>
        <w:rPr>
          <w:color w:val="auto"/>
          <w:sz w:val="28"/>
          <w:szCs w:val="28"/>
          <w:highlight w:val="none"/>
        </w:rPr>
      </w:pPr>
      <w:r>
        <w:rPr>
          <w:rFonts w:ascii="Times New Roman" w:hAnsi="Times New Roman"/>
          <w:color w:val="auto"/>
          <w:sz w:val="28"/>
          <w:szCs w:val="28"/>
          <w:highlight w:val="none"/>
        </w:rPr>
        <w:t>      日期：</w:t>
      </w:r>
      <w:r>
        <w:rPr>
          <w:rFonts w:ascii="Times New Roman" w:hAnsi="Times New Roman"/>
          <w:color w:val="auto"/>
          <w:sz w:val="28"/>
          <w:szCs w:val="28"/>
          <w:highlight w:val="none"/>
          <w:u w:val="single"/>
        </w:rPr>
        <w:t xml:space="preserve">                                         </w:t>
      </w:r>
    </w:p>
    <w:p w14:paraId="4521B976">
      <w:pPr>
        <w:pStyle w:val="8"/>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48D9C339">
      <w:pPr>
        <w:pStyle w:val="8"/>
        <w:spacing w:beforeAutospacing="0" w:afterAutospacing="0"/>
        <w:ind w:firstLine="420"/>
        <w:jc w:val="both"/>
        <w:rPr>
          <w:color w:val="auto"/>
          <w:highlight w:val="none"/>
          <w:shd w:val="clear" w:color="auto" w:fill="auto"/>
        </w:rPr>
      </w:pPr>
      <w:r>
        <w:rPr>
          <w:color w:val="auto"/>
          <w:highlight w:val="none"/>
          <w:shd w:val="clear" w:color="auto" w:fill="auto"/>
        </w:rPr>
        <w:t> </w:t>
      </w:r>
    </w:p>
    <w:p w14:paraId="5A186D85">
      <w:pPr>
        <w:pStyle w:val="8"/>
        <w:spacing w:beforeAutospacing="0" w:afterAutospacing="0"/>
        <w:jc w:val="both"/>
        <w:rPr>
          <w:color w:val="auto"/>
          <w:highlight w:val="none"/>
          <w:shd w:val="clear" w:color="auto" w:fill="auto"/>
        </w:rPr>
      </w:pPr>
      <w:r>
        <w:rPr>
          <w:color w:val="auto"/>
          <w:highlight w:val="none"/>
          <w:shd w:val="clear" w:color="auto" w:fill="auto"/>
        </w:rPr>
        <w:t> </w:t>
      </w:r>
    </w:p>
    <w:p w14:paraId="776D54F5">
      <w:pPr>
        <w:pStyle w:val="8"/>
        <w:keepNext/>
        <w:keepLines/>
        <w:spacing w:before="260" w:beforeAutospacing="0" w:after="260" w:afterAutospacing="0" w:line="415" w:lineRule="auto"/>
        <w:ind w:firstLine="3390"/>
        <w:jc w:val="both"/>
        <w:rPr>
          <w:color w:val="auto"/>
          <w:highlight w:val="none"/>
          <w:shd w:val="clear" w:color="auto" w:fill="auto"/>
        </w:rPr>
      </w:pPr>
      <w:r>
        <w:rPr>
          <w:rFonts w:hint="eastAsia" w:ascii="宋体" w:hAnsi="宋体" w:eastAsia="宋体" w:cs="宋体"/>
          <w:b/>
          <w:color w:val="auto"/>
          <w:highlight w:val="none"/>
          <w:shd w:val="clear" w:color="auto" w:fill="auto"/>
        </w:rPr>
        <w:br w:type="page"/>
      </w:r>
      <w:r>
        <w:rPr>
          <w:rFonts w:hint="eastAsia" w:ascii="宋体" w:hAnsi="宋体" w:eastAsia="宋体" w:cs="宋体"/>
          <w:b/>
          <w:color w:val="auto"/>
          <w:highlight w:val="none"/>
          <w:shd w:val="clear" w:color="auto" w:fill="auto"/>
        </w:rPr>
        <w:t> </w:t>
      </w:r>
      <w:r>
        <w:rPr>
          <w:rFonts w:hint="eastAsia" w:ascii="黑体" w:hAnsi="宋体" w:eastAsia="黑体" w:cs="黑体"/>
          <w:b/>
          <w:i/>
          <w:color w:val="auto"/>
          <w:sz w:val="32"/>
          <w:szCs w:val="32"/>
          <w:highlight w:val="none"/>
          <w:u w:val="single"/>
          <w:shd w:val="clear" w:color="auto" w:fill="auto"/>
          <w:lang w:val="en-US" w:eastAsia="zh-CN"/>
        </w:rPr>
        <w:t>五</w:t>
      </w:r>
      <w:r>
        <w:rPr>
          <w:rFonts w:hint="eastAsia" w:ascii="黑体" w:hAnsi="宋体" w:eastAsia="黑体" w:cs="黑体"/>
          <w:b/>
          <w:i/>
          <w:color w:val="auto"/>
          <w:sz w:val="32"/>
          <w:szCs w:val="32"/>
          <w:highlight w:val="none"/>
          <w:u w:val="single"/>
          <w:shd w:val="clear" w:color="auto" w:fill="auto"/>
        </w:rPr>
        <w:t>、谈判响应函</w:t>
      </w:r>
    </w:p>
    <w:p w14:paraId="1375E4B5">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致：</w:t>
      </w:r>
      <w:r>
        <w:rPr>
          <w:rFonts w:hint="eastAsia" w:ascii="宋体" w:hAnsi="宋体" w:eastAsia="宋体" w:cs="宋体"/>
          <w:color w:val="auto"/>
          <w:sz w:val="28"/>
          <w:szCs w:val="28"/>
          <w:highlight w:val="none"/>
          <w:u w:val="single"/>
          <w:shd w:val="clear" w:color="auto" w:fill="auto"/>
          <w:lang w:val="en-US" w:eastAsia="zh-CN"/>
        </w:rPr>
        <w:t>滨海县</w:t>
      </w:r>
      <w:r>
        <w:rPr>
          <w:rFonts w:hint="eastAsia" w:ascii="宋体" w:hAnsi="宋体" w:eastAsia="宋体" w:cs="宋体"/>
          <w:color w:val="auto"/>
          <w:sz w:val="28"/>
          <w:szCs w:val="28"/>
          <w:highlight w:val="none"/>
          <w:u w:val="single"/>
          <w:shd w:val="clear" w:color="auto" w:fill="auto"/>
        </w:rPr>
        <w:t>政府采购中心</w:t>
      </w:r>
    </w:p>
    <w:p w14:paraId="2B64EDFD">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根据贵方的</w:t>
      </w:r>
      <w:r>
        <w:rPr>
          <w:rFonts w:hint="eastAsia" w:ascii="宋体" w:hAnsi="宋体" w:eastAsia="宋体" w:cs="宋体"/>
          <w:color w:val="0000FF"/>
          <w:sz w:val="28"/>
          <w:szCs w:val="28"/>
          <w:highlight w:val="none"/>
          <w:u w:val="single"/>
          <w:shd w:val="clear" w:color="auto" w:fill="auto"/>
        </w:rPr>
        <w:t>JSZC-320900-***</w:t>
      </w:r>
      <w:r>
        <w:rPr>
          <w:rFonts w:hint="eastAsia" w:ascii="宋体" w:hAnsi="宋体" w:eastAsia="宋体" w:cs="宋体"/>
          <w:b/>
          <w:color w:val="0000FF"/>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号谈判文件，正式授权下述签字人______(姓名)代表我方______________（供应商的名称），全权处理本次项目谈判的有关事宜。</w:t>
      </w:r>
    </w:p>
    <w:p w14:paraId="3BA65F6F">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据此函，__________签字人兹宣布同意如下：</w:t>
      </w:r>
    </w:p>
    <w:p w14:paraId="2A55258E">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1.按谈判文件规定的各项要求，向买方提供所需货物、服务（包含与货物相关的服务及与服务相关的货物）。</w:t>
      </w:r>
    </w:p>
    <w:p w14:paraId="42F290A6">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2.我们已详细审核全部谈判文件及其有效补充文件，我们知道必须放弃提出含糊不清或误解问题的权利。</w:t>
      </w:r>
    </w:p>
    <w:p w14:paraId="2572B84E">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3.我们同意从规定的开标日期起遵循本响应文件，并在规定的谈判有效期期满之前均具有约束力。</w:t>
      </w:r>
    </w:p>
    <w:p w14:paraId="4BC9EA82">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4.同意向贵方提供贵方可能另外要求的与谈判有关的任何证据或资料，并保证我方已提供和将要提供的文件是真实的、准确的。</w:t>
      </w:r>
    </w:p>
    <w:p w14:paraId="50411431">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5.一旦我方成交,我方将根据谈判文件的规定，严格履行合同的责任和义务,并保证在谈判文件规定的时间完成项目，交付买方验收、使用。</w:t>
      </w:r>
    </w:p>
    <w:p w14:paraId="19811E12">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6.我方与</w:t>
      </w:r>
      <w:r>
        <w:rPr>
          <w:rFonts w:hint="eastAsia" w:ascii="宋体" w:hAnsi="宋体" w:eastAsia="宋体" w:cs="宋体"/>
          <w:color w:val="auto"/>
          <w:sz w:val="28"/>
          <w:szCs w:val="28"/>
          <w:highlight w:val="none"/>
          <w:shd w:val="clear" w:color="auto" w:fill="auto"/>
          <w:lang w:eastAsia="zh-CN"/>
        </w:rPr>
        <w:t>本次</w:t>
      </w:r>
      <w:r>
        <w:rPr>
          <w:rFonts w:hint="eastAsia" w:ascii="宋体" w:hAnsi="宋体" w:eastAsia="宋体" w:cs="宋体"/>
          <w:color w:val="auto"/>
          <w:sz w:val="28"/>
          <w:szCs w:val="28"/>
          <w:highlight w:val="none"/>
          <w:shd w:val="clear" w:color="auto" w:fill="auto"/>
        </w:rPr>
        <w:t>谈判有关的正式通讯地址为：</w:t>
      </w:r>
    </w:p>
    <w:p w14:paraId="7C78A471">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地          址：</w:t>
      </w:r>
    </w:p>
    <w:p w14:paraId="7A74BA3D">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邮          编：</w:t>
      </w:r>
    </w:p>
    <w:p w14:paraId="3C749CE9">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p>
    <w:p w14:paraId="50030496">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传          真：</w:t>
      </w:r>
    </w:p>
    <w:p w14:paraId="7AF64C28">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供应商开户行：</w:t>
      </w:r>
    </w:p>
    <w:p w14:paraId="295DCD56">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账          号： </w:t>
      </w:r>
    </w:p>
    <w:p w14:paraId="57DD37DC">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textAlignment w:val="auto"/>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日           期：________年____月____日</w:t>
      </w:r>
    </w:p>
    <w:p w14:paraId="084429FA">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left="0" w:firstLine="560" w:firstLineChars="200"/>
        <w:jc w:val="center"/>
        <w:textAlignment w:val="auto"/>
        <w:rPr>
          <w:color w:val="auto"/>
          <w:sz w:val="28"/>
          <w:szCs w:val="28"/>
          <w:highlight w:val="none"/>
          <w:shd w:val="clear" w:color="auto" w:fill="auto"/>
        </w:rPr>
      </w:pPr>
      <w:r>
        <w:rPr>
          <w:color w:val="auto"/>
          <w:sz w:val="28"/>
          <w:szCs w:val="28"/>
          <w:highlight w:val="none"/>
          <w:shd w:val="clear" w:color="auto" w:fill="auto"/>
        </w:rPr>
        <w:t> </w:t>
      </w:r>
    </w:p>
    <w:p w14:paraId="4152E617">
      <w:pPr>
        <w:pStyle w:val="8"/>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76E9D5C9">
      <w:pPr>
        <w:pStyle w:val="8"/>
        <w:spacing w:beforeAutospacing="0" w:afterAutospacing="0" w:line="0" w:lineRule="atLeast"/>
        <w:jc w:val="center"/>
        <w:rPr>
          <w:color w:val="auto"/>
          <w:highlight w:val="none"/>
        </w:rPr>
      </w:pPr>
      <w:r>
        <w:rPr>
          <w:color w:val="auto"/>
          <w:highlight w:val="none"/>
        </w:rPr>
        <w:t> </w:t>
      </w:r>
      <w:r>
        <w:rPr>
          <w:rFonts w:hint="eastAsia" w:ascii="黑体" w:hAnsi="宋体" w:eastAsia="黑体" w:cs="黑体"/>
          <w:b/>
          <w:color w:val="auto"/>
          <w:sz w:val="32"/>
          <w:szCs w:val="32"/>
          <w:highlight w:val="none"/>
          <w:lang w:val="en-US" w:eastAsia="zh-CN"/>
        </w:rPr>
        <w:t>六</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p>
    <w:p w14:paraId="1DCF832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both"/>
        <w:textAlignment w:val="auto"/>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eastAsia="zh-CN"/>
        </w:rPr>
        <w:t>滨海县政府采购中心</w:t>
      </w:r>
      <w:r>
        <w:rPr>
          <w:rFonts w:hint="eastAsia"/>
          <w:color w:val="auto"/>
          <w:sz w:val="24"/>
          <w:highlight w:val="none"/>
        </w:rPr>
        <w:t>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keepNext w:val="0"/>
        <w:keepLines w:val="0"/>
        <w:pageBreakBefore w:val="0"/>
        <w:widowControl w:val="0"/>
        <w:numPr>
          <w:ilvl w:val="0"/>
          <w:numId w:val="3"/>
        </w:numPr>
        <w:kinsoku/>
        <w:wordWrap/>
        <w:overflowPunct/>
        <w:topLinePunct w:val="0"/>
        <w:autoSpaceDE/>
        <w:autoSpaceDN/>
        <w:bidi w:val="0"/>
        <w:adjustRightInd w:val="0"/>
        <w:snapToGrid w:val="0"/>
        <w:spacing w:line="520" w:lineRule="exact"/>
        <w:ind w:firstLine="480" w:firstLineChars="200"/>
        <w:jc w:val="both"/>
        <w:textAlignment w:val="auto"/>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val="en-US" w:eastAsia="zh-CN"/>
        </w:rPr>
        <w:t>谈判</w:t>
      </w:r>
      <w:r>
        <w:rPr>
          <w:rFonts w:hint="eastAsia"/>
          <w:i/>
          <w:iCs/>
          <w:color w:val="auto"/>
          <w:sz w:val="24"/>
          <w:highlight w:val="none"/>
          <w:u w:val="single"/>
        </w:rPr>
        <w:t>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keepNext w:val="0"/>
        <w:keepLines w:val="0"/>
        <w:pageBreakBefore w:val="0"/>
        <w:widowControl w:val="0"/>
        <w:numPr>
          <w:ilvl w:val="0"/>
          <w:numId w:val="3"/>
        </w:numPr>
        <w:kinsoku/>
        <w:wordWrap/>
        <w:overflowPunct/>
        <w:topLinePunct w:val="0"/>
        <w:autoSpaceDE/>
        <w:autoSpaceDN/>
        <w:bidi w:val="0"/>
        <w:adjustRightInd w:val="0"/>
        <w:snapToGrid w:val="0"/>
        <w:spacing w:line="520" w:lineRule="exact"/>
        <w:ind w:left="0" w:leftChars="0" w:firstLine="480" w:firstLineChars="200"/>
        <w:jc w:val="both"/>
        <w:textAlignment w:val="auto"/>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lang w:val="en-US" w:eastAsia="zh-CN"/>
        </w:rPr>
        <w:t>（谈判文件中明确的所属行</w:t>
      </w:r>
      <w:r>
        <w:rPr>
          <w:rFonts w:hint="eastAsia"/>
          <w:i/>
          <w:iCs/>
          <w:color w:val="auto"/>
          <w:sz w:val="24"/>
          <w:highlight w:val="none"/>
          <w:u w:val="single"/>
        </w:rPr>
        <w:t>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jc w:val="both"/>
        <w:textAlignment w:val="auto"/>
        <w:rPr>
          <w:rFonts w:hint="eastAsia"/>
          <w:color w:val="auto"/>
          <w:sz w:val="24"/>
          <w:highlight w:val="none"/>
        </w:rPr>
      </w:pPr>
      <w:r>
        <w:rPr>
          <w:rFonts w:hint="eastAsia"/>
          <w:color w:val="auto"/>
          <w:sz w:val="24"/>
          <w:highlight w:val="none"/>
        </w:rPr>
        <w:t>……</w:t>
      </w:r>
    </w:p>
    <w:p w14:paraId="34FA3AC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jc w:val="both"/>
        <w:textAlignment w:val="auto"/>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jc w:val="both"/>
        <w:textAlignment w:val="auto"/>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right="720" w:firstLine="480" w:firstLineChars="200"/>
        <w:jc w:val="both"/>
        <w:textAlignment w:val="auto"/>
        <w:rPr>
          <w:color w:val="auto"/>
          <w:highlight w:val="none"/>
        </w:rPr>
      </w:pPr>
      <w:r>
        <w:rPr>
          <w:color w:val="auto"/>
          <w:highlight w:val="none"/>
        </w:rPr>
        <w:t> </w:t>
      </w:r>
    </w:p>
    <w:p w14:paraId="6CD49601">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right="180" w:firstLine="480" w:firstLineChars="200"/>
        <w:jc w:val="right"/>
        <w:textAlignment w:val="auto"/>
        <w:rPr>
          <w:color w:val="auto"/>
          <w:highlight w:val="none"/>
        </w:rPr>
      </w:pPr>
      <w:r>
        <w:rPr>
          <w:rFonts w:hint="eastAsia" w:ascii="宋体" w:hAnsi="宋体" w:eastAsia="宋体" w:cs="宋体"/>
          <w:color w:val="auto"/>
          <w:highlight w:val="none"/>
        </w:rPr>
        <w:t>企业名称（加盖CA电子公章）：</w:t>
      </w:r>
    </w:p>
    <w:p w14:paraId="19405A62">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right="480" w:firstLine="480" w:firstLineChars="200"/>
        <w:jc w:val="both"/>
        <w:textAlignment w:val="auto"/>
        <w:rPr>
          <w:color w:val="auto"/>
          <w:highlight w:val="none"/>
        </w:rPr>
      </w:pPr>
      <w:r>
        <w:rPr>
          <w:rFonts w:hint="eastAsia" w:ascii="宋体" w:hAnsi="宋体" w:eastAsia="宋体" w:cs="宋体"/>
          <w:color w:val="auto"/>
          <w:highlight w:val="none"/>
        </w:rPr>
        <w:t>日  期：</w:t>
      </w:r>
    </w:p>
    <w:p w14:paraId="09B20EFD">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firstLine="480" w:firstLineChars="200"/>
        <w:jc w:val="both"/>
        <w:textAlignment w:val="auto"/>
        <w:rPr>
          <w:color w:val="auto"/>
          <w:highlight w:val="none"/>
        </w:rPr>
      </w:pPr>
      <w:r>
        <w:rPr>
          <w:color w:val="auto"/>
          <w:highlight w:val="none"/>
        </w:rPr>
        <w:t> </w:t>
      </w:r>
    </w:p>
    <w:p w14:paraId="5FD8B9FE">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firstLine="480" w:firstLineChars="200"/>
        <w:jc w:val="both"/>
        <w:textAlignment w:val="auto"/>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8"/>
        <w:keepNext w:val="0"/>
        <w:keepLines w:val="0"/>
        <w:pageBreakBefore w:val="0"/>
        <w:widowControl w:val="0"/>
        <w:kinsoku/>
        <w:wordWrap/>
        <w:overflowPunct/>
        <w:topLinePunct w:val="0"/>
        <w:autoSpaceDE/>
        <w:autoSpaceDN/>
        <w:bidi w:val="0"/>
        <w:adjustRightInd w:val="0"/>
        <w:snapToGrid w:val="0"/>
        <w:spacing w:beforeAutospacing="0" w:afterAutospacing="0" w:line="520" w:lineRule="exact"/>
        <w:ind w:firstLine="480" w:firstLineChars="200"/>
        <w:jc w:val="both"/>
        <w:textAlignment w:val="auto"/>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F2E642E">
      <w:pPr>
        <w:pStyle w:val="8"/>
        <w:spacing w:beforeAutospacing="0" w:afterAutospacing="0" w:line="0" w:lineRule="atLeast"/>
        <w:jc w:val="center"/>
        <w:rPr>
          <w:color w:val="auto"/>
          <w:highlight w:val="none"/>
          <w:shd w:val="clear" w:color="auto" w:fill="auto"/>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shd w:val="clear" w:color="auto" w:fill="auto"/>
        </w:rPr>
        <w:t> </w:t>
      </w:r>
      <w:r>
        <w:rPr>
          <w:rFonts w:hint="eastAsia" w:ascii="黑体" w:hAnsi="宋体" w:eastAsia="黑体" w:cs="黑体"/>
          <w:b/>
          <w:color w:val="auto"/>
          <w:sz w:val="32"/>
          <w:szCs w:val="32"/>
          <w:highlight w:val="none"/>
          <w:shd w:val="clear" w:color="auto" w:fill="auto"/>
          <w:lang w:val="en-US" w:eastAsia="zh-CN"/>
        </w:rPr>
        <w:t>七</w:t>
      </w:r>
      <w:r>
        <w:rPr>
          <w:rFonts w:hint="eastAsia" w:ascii="黑体" w:hAnsi="宋体" w:eastAsia="黑体" w:cs="黑体"/>
          <w:b/>
          <w:color w:val="auto"/>
          <w:sz w:val="32"/>
          <w:szCs w:val="32"/>
          <w:highlight w:val="none"/>
          <w:shd w:val="clear" w:color="auto" w:fill="auto"/>
        </w:rPr>
        <w:t>、残疾人福利性单位声明函（分包号：**）</w:t>
      </w:r>
    </w:p>
    <w:p w14:paraId="402AAA86">
      <w:pPr>
        <w:pStyle w:val="8"/>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〔2017〕141号</w:t>
      </w:r>
      <w:r>
        <w:rPr>
          <w:rFonts w:hint="eastAsia" w:ascii="宋体" w:hAnsi="宋体" w:eastAsia="宋体" w:cs="宋体"/>
          <w:color w:val="auto"/>
          <w:highlight w:val="none"/>
          <w:shd w:val="clear" w:color="auto" w:fill="auto"/>
        </w:rPr>
        <w:t>）的规定，本单位为符合条件的残疾人福利性单位，且本单位参加______单位的</w:t>
      </w:r>
      <w:r>
        <w:rPr>
          <w:rFonts w:hint="eastAsia" w:ascii="Times New Roman" w:hAnsi="Times New Roman"/>
          <w:color w:val="auto"/>
          <w:highlight w:val="none"/>
          <w:shd w:val="clear" w:color="auto" w:fill="auto"/>
          <w:lang w:val="en-US" w:eastAsia="zh-CN"/>
        </w:rPr>
        <w:t>谈判</w:t>
      </w:r>
      <w:r>
        <w:rPr>
          <w:rFonts w:hint="eastAsia" w:ascii="宋体" w:hAnsi="宋体" w:eastAsia="宋体" w:cs="宋体"/>
          <w:color w:val="auto"/>
          <w:highlight w:val="none"/>
          <w:shd w:val="clear" w:color="auto" w:fill="auto"/>
        </w:rPr>
        <w:t>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项目（分包号：**）采购活动提供本单位制造的货物，或者提供其他残疾人福利性单位制造的货物（不包括使用非残疾人福利性单位注册商标的货物）。</w:t>
      </w:r>
    </w:p>
    <w:p w14:paraId="1E67CD83">
      <w:pPr>
        <w:pStyle w:val="8"/>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本单位对上述声明的真实性负责。如有虚假，将依法承担相应责任。</w:t>
      </w:r>
    </w:p>
    <w:p w14:paraId="1EF29CC3">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95653F0">
      <w:pPr>
        <w:pStyle w:val="8"/>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备注：1、供应商如不提供此声明函，价格将不做相应扣除</w:t>
      </w:r>
      <w:r>
        <w:rPr>
          <w:rFonts w:hint="eastAsia" w:ascii="宋体" w:hAnsi="宋体" w:eastAsia="宋体" w:cs="宋体"/>
          <w:color w:val="auto"/>
          <w:highlight w:val="none"/>
          <w:shd w:val="clear" w:color="auto" w:fill="auto"/>
          <w:lang w:eastAsia="zh-CN"/>
        </w:rPr>
        <w:t>（如项目全面面向中小企业，则资格审查不通过）</w:t>
      </w:r>
      <w:r>
        <w:rPr>
          <w:rFonts w:hint="eastAsia" w:ascii="宋体" w:hAnsi="宋体" w:eastAsia="宋体" w:cs="宋体"/>
          <w:color w:val="auto"/>
          <w:highlight w:val="none"/>
          <w:shd w:val="clear" w:color="auto" w:fill="auto"/>
        </w:rPr>
        <w:t>。2、成交供应商为残疾人福利单位的，此声明函将随成交结果同时公告，接受社会监督</w:t>
      </w:r>
    </w:p>
    <w:p w14:paraId="0D231464">
      <w:pPr>
        <w:pStyle w:val="8"/>
        <w:spacing w:beforeAutospacing="0" w:afterAutospacing="0" w:line="0" w:lineRule="atLeast"/>
        <w:ind w:firstLine="624"/>
        <w:jc w:val="both"/>
        <w:rPr>
          <w:color w:val="auto"/>
          <w:highlight w:val="none"/>
          <w:shd w:val="clear" w:color="auto" w:fill="auto"/>
        </w:rPr>
      </w:pPr>
      <w:r>
        <w:rPr>
          <w:color w:val="auto"/>
          <w:highlight w:val="none"/>
          <w:shd w:val="clear" w:color="auto" w:fill="auto"/>
        </w:rPr>
        <w:t> </w:t>
      </w:r>
    </w:p>
    <w:p w14:paraId="340C6919">
      <w:pPr>
        <w:pStyle w:val="8"/>
        <w:tabs>
          <w:tab w:val="left" w:pos="4864"/>
        </w:tabs>
        <w:spacing w:beforeAutospacing="0" w:afterAutospacing="0" w:line="0" w:lineRule="atLeast"/>
        <w:ind w:right="1560" w:firstLine="624"/>
        <w:jc w:val="center"/>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供应商全称（加盖CA电子公章）：</w:t>
      </w:r>
    </w:p>
    <w:p w14:paraId="00BCB88B">
      <w:pPr>
        <w:pStyle w:val="8"/>
        <w:tabs>
          <w:tab w:val="left" w:pos="4864"/>
        </w:tabs>
        <w:spacing w:beforeAutospacing="0" w:afterAutospacing="0" w:line="0" w:lineRule="atLeast"/>
        <w:ind w:right="1560" w:firstLine="480"/>
        <w:jc w:val="center"/>
        <w:rPr>
          <w:color w:val="auto"/>
          <w:highlight w:val="none"/>
          <w:shd w:val="clear" w:color="auto" w:fill="auto"/>
        </w:rPr>
      </w:pPr>
      <w:r>
        <w:rPr>
          <w:rFonts w:hint="eastAsia" w:ascii="宋体" w:hAnsi="宋体" w:eastAsia="宋体" w:cs="宋体"/>
          <w:color w:val="auto"/>
          <w:highlight w:val="none"/>
          <w:shd w:val="clear" w:color="auto" w:fill="auto"/>
        </w:rPr>
        <w:t>        日  期：</w:t>
      </w:r>
    </w:p>
    <w:p w14:paraId="179ED266">
      <w:pPr>
        <w:pStyle w:val="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697AEC65">
      <w:pPr>
        <w:rPr>
          <w:color w:val="auto"/>
          <w:highlight w:val="none"/>
          <w:shd w:val="clear" w:color="auto" w:fill="auto"/>
        </w:rPr>
      </w:pPr>
      <w:r>
        <w:rPr>
          <w:color w:val="auto"/>
          <w:highlight w:val="none"/>
          <w:shd w:val="clear" w:color="auto" w:fill="auto"/>
        </w:rPr>
        <w:br w:type="page"/>
      </w:r>
    </w:p>
    <w:p w14:paraId="37FD024D">
      <w:pPr>
        <w:pStyle w:val="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515B67B5">
      <w:pPr>
        <w:pStyle w:val="8"/>
        <w:spacing w:beforeAutospacing="0" w:afterAutospacing="0"/>
        <w:jc w:val="center"/>
        <w:rPr>
          <w:rFonts w:hint="eastAsia" w:eastAsia="黑体"/>
          <w:color w:val="auto"/>
          <w:highlight w:val="none"/>
          <w:shd w:val="clear" w:color="auto" w:fill="auto"/>
          <w:lang w:eastAsia="zh-CN"/>
        </w:rPr>
      </w:pPr>
      <w:r>
        <w:rPr>
          <w:rFonts w:hint="eastAsia" w:ascii="黑体" w:hAnsi="宋体" w:eastAsia="黑体" w:cs="黑体"/>
          <w:b/>
          <w:bCs/>
          <w:color w:val="FF0000"/>
          <w:sz w:val="32"/>
          <w:szCs w:val="32"/>
          <w:lang w:val="en-US" w:eastAsia="zh-CN"/>
        </w:rPr>
        <w:t>八</w:t>
      </w:r>
      <w:r>
        <w:rPr>
          <w:rFonts w:ascii="黑体" w:hAnsi="宋体" w:eastAsia="黑体" w:cs="黑体"/>
          <w:b/>
          <w:bCs/>
          <w:color w:val="FF0000"/>
          <w:sz w:val="32"/>
          <w:szCs w:val="32"/>
        </w:rPr>
        <w:t>、关于符合本国产品标准的声明函</w:t>
      </w:r>
      <w:r>
        <w:rPr>
          <w:rFonts w:hint="eastAsia" w:ascii="黑体" w:hAnsi="宋体" w:eastAsia="黑体" w:cs="黑体"/>
          <w:b/>
          <w:bCs/>
          <w:color w:val="FF0000"/>
          <w:sz w:val="32"/>
          <w:szCs w:val="32"/>
          <w:lang w:eastAsia="zh-CN"/>
        </w:rPr>
        <w:t>（</w:t>
      </w:r>
      <w:r>
        <w:rPr>
          <w:rFonts w:hint="eastAsia" w:ascii="黑体" w:hAnsi="宋体" w:eastAsia="黑体" w:cs="黑体"/>
          <w:b/>
          <w:bCs/>
          <w:color w:val="FF0000"/>
          <w:sz w:val="32"/>
          <w:szCs w:val="32"/>
          <w:lang w:val="en-US" w:eastAsia="zh-CN"/>
        </w:rPr>
        <w:t>本项目无需提供</w:t>
      </w:r>
      <w:r>
        <w:rPr>
          <w:rFonts w:hint="eastAsia" w:ascii="黑体" w:hAnsi="宋体" w:eastAsia="黑体" w:cs="黑体"/>
          <w:b/>
          <w:bCs/>
          <w:color w:val="FF0000"/>
          <w:sz w:val="32"/>
          <w:szCs w:val="32"/>
          <w:lang w:eastAsia="zh-CN"/>
        </w:rPr>
        <w:t>）</w:t>
      </w:r>
    </w:p>
    <w:p w14:paraId="495C50C8">
      <w:pPr>
        <w:pStyle w:val="8"/>
        <w:spacing w:beforeAutospacing="0" w:afterAutospacing="0"/>
        <w:jc w:val="both"/>
        <w:rPr>
          <w:color w:val="auto"/>
          <w:highlight w:val="none"/>
          <w:shd w:val="clear" w:color="auto" w:fill="auto"/>
        </w:rPr>
      </w:pPr>
      <w:r>
        <w:rPr>
          <w:color w:val="auto"/>
          <w:highlight w:val="none"/>
          <w:shd w:val="clear" w:color="auto" w:fill="auto"/>
        </w:rPr>
        <w:t> </w:t>
      </w:r>
    </w:p>
    <w:p w14:paraId="663B5A53">
      <w:pPr>
        <w:pStyle w:val="8"/>
        <w:spacing w:beforeAutospacing="0" w:afterAutospacing="0"/>
        <w:jc w:val="both"/>
        <w:rPr>
          <w:color w:val="auto"/>
          <w:highlight w:val="none"/>
          <w:shd w:val="clear" w:color="auto" w:fill="auto"/>
        </w:rPr>
      </w:pPr>
      <w:r>
        <w:rPr>
          <w:color w:val="auto"/>
          <w:highlight w:val="none"/>
          <w:shd w:val="clear" w:color="auto" w:fill="auto"/>
        </w:rPr>
        <w:t> </w:t>
      </w:r>
    </w:p>
    <w:p w14:paraId="310A0E28">
      <w:pPr>
        <w:pStyle w:val="8"/>
        <w:spacing w:beforeAutospacing="0" w:afterAutospacing="0"/>
        <w:jc w:val="both"/>
        <w:rPr>
          <w:color w:val="auto"/>
          <w:highlight w:val="none"/>
          <w:shd w:val="clear" w:color="auto" w:fill="auto"/>
        </w:rPr>
      </w:pPr>
    </w:p>
    <w:p w14:paraId="70F10A74">
      <w:pPr>
        <w:pStyle w:val="8"/>
        <w:spacing w:beforeAutospacing="0" w:afterAutospacing="0"/>
        <w:jc w:val="both"/>
        <w:rPr>
          <w:color w:val="auto"/>
          <w:highlight w:val="none"/>
          <w:shd w:val="clear" w:color="auto" w:fill="auto"/>
        </w:rPr>
      </w:pPr>
    </w:p>
    <w:p w14:paraId="289C4C81">
      <w:pPr>
        <w:pStyle w:val="8"/>
        <w:spacing w:beforeAutospacing="0" w:afterAutospacing="0"/>
        <w:jc w:val="both"/>
        <w:rPr>
          <w:color w:val="auto"/>
          <w:highlight w:val="none"/>
          <w:shd w:val="clear" w:color="auto" w:fill="auto"/>
        </w:rPr>
      </w:pPr>
    </w:p>
    <w:p w14:paraId="08EC4266">
      <w:pPr>
        <w:pStyle w:val="8"/>
        <w:spacing w:beforeAutospacing="0" w:afterAutospacing="0"/>
        <w:jc w:val="both"/>
        <w:rPr>
          <w:color w:val="auto"/>
          <w:highlight w:val="none"/>
          <w:shd w:val="clear" w:color="auto" w:fill="auto"/>
        </w:rPr>
      </w:pPr>
    </w:p>
    <w:p w14:paraId="223F07D2">
      <w:pPr>
        <w:pStyle w:val="8"/>
        <w:spacing w:beforeAutospacing="0" w:afterAutospacing="0"/>
        <w:jc w:val="both"/>
        <w:rPr>
          <w:color w:val="auto"/>
          <w:highlight w:val="none"/>
          <w:shd w:val="clear" w:color="auto" w:fill="auto"/>
        </w:rPr>
      </w:pPr>
    </w:p>
    <w:p w14:paraId="4CA41EC5">
      <w:pPr>
        <w:pStyle w:val="8"/>
        <w:spacing w:beforeAutospacing="0" w:afterAutospacing="0"/>
        <w:jc w:val="both"/>
        <w:rPr>
          <w:color w:val="auto"/>
          <w:highlight w:val="none"/>
          <w:shd w:val="clear" w:color="auto" w:fill="auto"/>
        </w:rPr>
      </w:pPr>
      <w:r>
        <w:rPr>
          <w:color w:val="auto"/>
          <w:highlight w:val="none"/>
          <w:shd w:val="clear" w:color="auto" w:fill="auto"/>
        </w:rPr>
        <w:t> </w:t>
      </w:r>
    </w:p>
    <w:p w14:paraId="38646341">
      <w:pPr>
        <w:pStyle w:val="8"/>
        <w:spacing w:beforeAutospacing="0" w:afterAutospacing="0"/>
        <w:jc w:val="both"/>
        <w:rPr>
          <w:color w:val="auto"/>
          <w:highlight w:val="none"/>
          <w:shd w:val="clear" w:color="auto" w:fill="auto"/>
        </w:rPr>
      </w:pPr>
      <w:r>
        <w:rPr>
          <w:color w:val="auto"/>
          <w:highlight w:val="none"/>
          <w:shd w:val="clear" w:color="auto" w:fill="auto"/>
        </w:rPr>
        <w:t> </w:t>
      </w:r>
    </w:p>
    <w:p w14:paraId="557D37E6">
      <w:pPr>
        <w:pStyle w:val="8"/>
        <w:spacing w:beforeAutospacing="0" w:afterAutospacing="0"/>
        <w:jc w:val="both"/>
        <w:rPr>
          <w:color w:val="auto"/>
          <w:highlight w:val="none"/>
          <w:shd w:val="clear" w:color="auto" w:fill="auto"/>
        </w:rPr>
      </w:pPr>
      <w:r>
        <w:rPr>
          <w:color w:val="auto"/>
          <w:highlight w:val="none"/>
          <w:shd w:val="clear" w:color="auto" w:fill="auto"/>
        </w:rPr>
        <w:t> </w:t>
      </w:r>
    </w:p>
    <w:p w14:paraId="6D291F92">
      <w:pPr>
        <w:pStyle w:val="8"/>
        <w:spacing w:beforeAutospacing="0" w:afterAutospacing="0"/>
        <w:jc w:val="center"/>
        <w:rPr>
          <w:color w:val="auto"/>
          <w:highlight w:val="none"/>
          <w:shd w:val="clear" w:color="auto" w:fill="auto"/>
        </w:rPr>
      </w:pPr>
      <w:r>
        <w:rPr>
          <w:color w:val="auto"/>
          <w:highlight w:val="none"/>
          <w:shd w:val="clear" w:color="auto" w:fill="auto"/>
        </w:rPr>
        <w:t> </w:t>
      </w:r>
    </w:p>
    <w:p w14:paraId="206C536E">
      <w:pPr>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br w:type="page"/>
      </w:r>
    </w:p>
    <w:p w14:paraId="68AF5E3B">
      <w:pPr>
        <w:pStyle w:val="8"/>
        <w:spacing w:beforeAutospacing="0" w:afterAutospacing="0"/>
        <w:jc w:val="center"/>
        <w:rPr>
          <w:color w:val="auto"/>
          <w:highlight w:val="none"/>
        </w:rPr>
      </w:pPr>
      <w:r>
        <w:rPr>
          <w:rFonts w:hint="eastAsia" w:ascii="黑体" w:hAnsi="宋体" w:eastAsia="黑体" w:cs="黑体"/>
          <w:b/>
          <w:color w:val="auto"/>
          <w:sz w:val="32"/>
          <w:szCs w:val="32"/>
          <w:highlight w:val="none"/>
          <w:lang w:val="en-US" w:eastAsia="zh-CN"/>
        </w:rPr>
        <w:t>九</w:t>
      </w:r>
      <w:r>
        <w:rPr>
          <w:rFonts w:hint="eastAsia" w:ascii="黑体" w:hAnsi="宋体" w:eastAsia="黑体" w:cs="黑体"/>
          <w:b/>
          <w:color w:val="auto"/>
          <w:sz w:val="32"/>
          <w:szCs w:val="32"/>
          <w:highlight w:val="none"/>
        </w:rPr>
        <w:t>、商务要求响应及偏离表（分包号：**）</w:t>
      </w:r>
    </w:p>
    <w:tbl>
      <w:tblPr>
        <w:tblStyle w:val="9"/>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08058AB9">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898E">
            <w:pPr>
              <w:pStyle w:val="8"/>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CD9C">
            <w:pPr>
              <w:pStyle w:val="8"/>
              <w:spacing w:beforeAutospacing="0" w:afterAutospacing="0"/>
              <w:jc w:val="center"/>
              <w:rPr>
                <w:color w:val="auto"/>
                <w:highlight w:val="none"/>
              </w:rPr>
            </w:pPr>
            <w:r>
              <w:rPr>
                <w:rFonts w:hint="eastAsia" w:ascii="宋体" w:hAnsi="宋体" w:eastAsia="宋体" w:cs="宋体"/>
                <w:color w:val="auto"/>
                <w:highlight w:val="none"/>
                <w:lang w:val="en-US" w:eastAsia="zh-CN"/>
              </w:rPr>
              <w:t>谈判</w:t>
            </w:r>
            <w:r>
              <w:rPr>
                <w:rFonts w:hint="eastAsia" w:ascii="宋体" w:hAnsi="宋体" w:eastAsia="宋体" w:cs="宋体"/>
                <w:color w:val="auto"/>
                <w:highlight w:val="none"/>
              </w:rPr>
              <w:t>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6FE1">
            <w:pPr>
              <w:pStyle w:val="8"/>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894B">
            <w:pPr>
              <w:pStyle w:val="8"/>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C910">
            <w:pPr>
              <w:pStyle w:val="8"/>
              <w:spacing w:beforeAutospacing="0" w:afterAutospacing="0"/>
              <w:jc w:val="center"/>
              <w:rPr>
                <w:color w:val="auto"/>
                <w:highlight w:val="none"/>
              </w:rPr>
            </w:pPr>
            <w:r>
              <w:rPr>
                <w:rFonts w:hint="eastAsia" w:ascii="宋体" w:hAnsi="宋体" w:eastAsia="宋体" w:cs="宋体"/>
                <w:color w:val="auto"/>
                <w:highlight w:val="none"/>
              </w:rPr>
              <w:t>证明</w:t>
            </w:r>
          </w:p>
          <w:p w14:paraId="66CF6DB2">
            <w:pPr>
              <w:pStyle w:val="8"/>
              <w:spacing w:beforeAutospacing="0" w:afterAutospacing="0"/>
              <w:jc w:val="center"/>
              <w:rPr>
                <w:color w:val="auto"/>
                <w:highlight w:val="none"/>
              </w:rPr>
            </w:pPr>
            <w:r>
              <w:rPr>
                <w:rFonts w:hint="eastAsia" w:ascii="宋体" w:hAnsi="宋体" w:eastAsia="宋体" w:cs="宋体"/>
                <w:color w:val="auto"/>
                <w:highlight w:val="none"/>
              </w:rPr>
              <w:t>材料</w:t>
            </w:r>
          </w:p>
        </w:tc>
      </w:tr>
      <w:tr w14:paraId="6E5E01BF">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F97B">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A9D1">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751F">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660A5">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9843">
            <w:pPr>
              <w:pStyle w:val="8"/>
              <w:spacing w:beforeAutospacing="0" w:afterAutospacing="0"/>
              <w:jc w:val="center"/>
              <w:rPr>
                <w:color w:val="auto"/>
                <w:highlight w:val="none"/>
              </w:rPr>
            </w:pPr>
            <w:r>
              <w:rPr>
                <w:color w:val="auto"/>
                <w:highlight w:val="none"/>
              </w:rPr>
              <w:t> </w:t>
            </w:r>
          </w:p>
        </w:tc>
      </w:tr>
      <w:tr w14:paraId="3155E029">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17AC">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F53E">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3764">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C1DF">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71C9">
            <w:pPr>
              <w:pStyle w:val="8"/>
              <w:spacing w:beforeAutospacing="0" w:afterAutospacing="0"/>
              <w:jc w:val="center"/>
              <w:rPr>
                <w:color w:val="auto"/>
                <w:highlight w:val="none"/>
              </w:rPr>
            </w:pPr>
            <w:r>
              <w:rPr>
                <w:color w:val="auto"/>
                <w:highlight w:val="none"/>
              </w:rPr>
              <w:t> </w:t>
            </w:r>
          </w:p>
        </w:tc>
      </w:tr>
      <w:tr w14:paraId="2AD25048">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85D8A">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A69C">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2F39">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1291">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BDD5">
            <w:pPr>
              <w:pStyle w:val="8"/>
              <w:spacing w:beforeAutospacing="0" w:afterAutospacing="0"/>
              <w:jc w:val="center"/>
              <w:rPr>
                <w:color w:val="auto"/>
                <w:highlight w:val="none"/>
              </w:rPr>
            </w:pPr>
            <w:r>
              <w:rPr>
                <w:color w:val="auto"/>
                <w:highlight w:val="none"/>
              </w:rPr>
              <w:t> </w:t>
            </w:r>
          </w:p>
        </w:tc>
      </w:tr>
      <w:tr w14:paraId="2EF259FC">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B757">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0B01">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57E5">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76B2">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8749">
            <w:pPr>
              <w:pStyle w:val="8"/>
              <w:spacing w:beforeAutospacing="0" w:afterAutospacing="0"/>
              <w:jc w:val="center"/>
              <w:rPr>
                <w:color w:val="auto"/>
                <w:highlight w:val="none"/>
              </w:rPr>
            </w:pPr>
            <w:r>
              <w:rPr>
                <w:color w:val="auto"/>
                <w:highlight w:val="none"/>
              </w:rPr>
              <w:t> </w:t>
            </w:r>
          </w:p>
        </w:tc>
      </w:tr>
      <w:tr w14:paraId="1A4630F6">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C6C3">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EA79">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58EF">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98C6">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878BC">
            <w:pPr>
              <w:pStyle w:val="8"/>
              <w:spacing w:beforeAutospacing="0" w:afterAutospacing="0"/>
              <w:jc w:val="center"/>
              <w:rPr>
                <w:color w:val="auto"/>
                <w:highlight w:val="none"/>
              </w:rPr>
            </w:pPr>
            <w:r>
              <w:rPr>
                <w:color w:val="auto"/>
                <w:highlight w:val="none"/>
              </w:rPr>
              <w:t> </w:t>
            </w:r>
          </w:p>
        </w:tc>
      </w:tr>
      <w:tr w14:paraId="13228C3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5321">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9CC5">
            <w:pPr>
              <w:pStyle w:val="8"/>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7602">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C649">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33D5">
            <w:pPr>
              <w:pStyle w:val="8"/>
              <w:spacing w:beforeAutospacing="0" w:afterAutospacing="0"/>
              <w:jc w:val="center"/>
              <w:rPr>
                <w:color w:val="auto"/>
                <w:highlight w:val="none"/>
              </w:rPr>
            </w:pPr>
            <w:r>
              <w:rPr>
                <w:color w:val="auto"/>
                <w:highlight w:val="none"/>
              </w:rPr>
              <w:t> </w:t>
            </w:r>
          </w:p>
        </w:tc>
      </w:tr>
    </w:tbl>
    <w:p w14:paraId="728C6C08">
      <w:pPr>
        <w:pStyle w:val="8"/>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C610688">
      <w:pPr>
        <w:pStyle w:val="8"/>
        <w:spacing w:beforeAutospacing="0" w:afterAutospacing="0"/>
        <w:jc w:val="both"/>
        <w:rPr>
          <w:color w:val="auto"/>
          <w:highlight w:val="none"/>
        </w:rPr>
      </w:pPr>
      <w:r>
        <w:rPr>
          <w:color w:val="auto"/>
          <w:highlight w:val="none"/>
        </w:rPr>
        <w:t> </w:t>
      </w:r>
    </w:p>
    <w:p w14:paraId="55C95B43">
      <w:pPr>
        <w:rPr>
          <w:color w:val="auto"/>
          <w:highlight w:val="none"/>
        </w:rPr>
      </w:pPr>
      <w:r>
        <w:rPr>
          <w:color w:val="auto"/>
          <w:highlight w:val="none"/>
        </w:rPr>
        <w:br w:type="page"/>
      </w:r>
    </w:p>
    <w:p w14:paraId="1C0ED0E5">
      <w:pPr>
        <w:pStyle w:val="8"/>
        <w:spacing w:beforeAutospacing="0" w:afterAutospacing="0"/>
        <w:ind w:firstLine="480"/>
        <w:jc w:val="both"/>
        <w:rPr>
          <w:rFonts w:hint="eastAsia" w:ascii="宋体" w:hAnsi="宋体" w:eastAsia="宋体" w:cs="宋体"/>
          <w:color w:val="000000"/>
          <w:highlight w:val="none"/>
          <w:lang w:val="en-US" w:eastAsia="zh-CN"/>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000000"/>
          <w:sz w:val="32"/>
          <w:szCs w:val="32"/>
          <w:highlight w:val="none"/>
          <w:u w:val="single"/>
        </w:rPr>
        <w:t>开标一览表</w:t>
      </w:r>
    </w:p>
    <w:p w14:paraId="12F8BC6F">
      <w:pPr>
        <w:pStyle w:val="8"/>
        <w:spacing w:beforeAutospacing="0" w:afterAutospacing="0"/>
        <w:ind w:firstLine="480"/>
        <w:jc w:val="both"/>
        <w:rPr>
          <w:highlight w:val="none"/>
        </w:rPr>
      </w:pPr>
      <w:r>
        <w:rPr>
          <w:rFonts w:hint="eastAsia" w:ascii="宋体" w:hAnsi="宋体" w:eastAsia="宋体" w:cs="宋体"/>
          <w:color w:val="000000"/>
          <w:highlight w:val="none"/>
        </w:rPr>
        <w:t>投标人全称（加盖CA电子签章）：</w:t>
      </w:r>
    </w:p>
    <w:p w14:paraId="02FC99E2">
      <w:pPr>
        <w:pStyle w:val="8"/>
        <w:spacing w:beforeAutospacing="0" w:afterAutospacing="0"/>
        <w:ind w:firstLine="480"/>
        <w:jc w:val="both"/>
        <w:rPr>
          <w:highlight w:val="none"/>
        </w:rPr>
      </w:pPr>
      <w:r>
        <w:rPr>
          <w:rFonts w:hint="eastAsia" w:ascii="宋体" w:hAnsi="宋体" w:eastAsia="宋体" w:cs="宋体"/>
          <w:color w:val="000000"/>
          <w:highlight w:val="none"/>
        </w:rPr>
        <w:t>项目名称：</w:t>
      </w:r>
    </w:p>
    <w:p w14:paraId="58887934">
      <w:pPr>
        <w:pStyle w:val="8"/>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000000"/>
          <w:highlight w:val="none"/>
        </w:rPr>
        <w:t>编号：</w:t>
      </w:r>
    </w:p>
    <w:p w14:paraId="6A15C08B">
      <w:pPr>
        <w:pStyle w:val="8"/>
        <w:spacing w:beforeAutospacing="0" w:afterAutospacing="0"/>
        <w:ind w:firstLine="480"/>
        <w:jc w:val="both"/>
        <w:rPr>
          <w:highlight w:val="none"/>
        </w:rPr>
      </w:pPr>
      <w:r>
        <w:rPr>
          <w:rFonts w:hint="eastAsia" w:ascii="宋体" w:hAnsi="宋体" w:eastAsia="宋体" w:cs="宋体"/>
          <w:color w:val="000000"/>
          <w:highlight w:val="none"/>
        </w:rPr>
        <w:t>分包号：</w:t>
      </w:r>
    </w:p>
    <w:tbl>
      <w:tblPr>
        <w:tblStyle w:val="9"/>
        <w:tblW w:w="8220" w:type="dxa"/>
        <w:jc w:val="center"/>
        <w:tblCellSpacing w:w="0" w:type="dxa"/>
        <w:tblLayout w:type="fixed"/>
        <w:tblCellMar>
          <w:top w:w="0" w:type="dxa"/>
          <w:left w:w="108" w:type="dxa"/>
          <w:bottom w:w="0" w:type="dxa"/>
          <w:right w:w="108" w:type="dxa"/>
        </w:tblCellMar>
      </w:tblPr>
      <w:tblGrid>
        <w:gridCol w:w="8220"/>
      </w:tblGrid>
      <w:tr w14:paraId="32441D89">
        <w:tblPrEx>
          <w:tblCellMar>
            <w:top w:w="0" w:type="dxa"/>
            <w:left w:w="108" w:type="dxa"/>
            <w:bottom w:w="0" w:type="dxa"/>
            <w:right w:w="108" w:type="dxa"/>
          </w:tblCellMar>
        </w:tblPrEx>
        <w:trPr>
          <w:trHeight w:val="725" w:hRule="atLeast"/>
          <w:tblCellSpacing w:w="0" w:type="dxa"/>
          <w:jc w:val="center"/>
        </w:trPr>
        <w:tc>
          <w:tcPr>
            <w:tcW w:w="8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C13AF">
            <w:pPr>
              <w:pStyle w:val="8"/>
              <w:spacing w:beforeAutospacing="0" w:afterAutospacing="0"/>
              <w:jc w:val="center"/>
              <w:rPr>
                <w:highlight w:val="none"/>
              </w:rPr>
            </w:pPr>
            <w:r>
              <w:rPr>
                <w:rFonts w:hint="eastAsia" w:ascii="宋体" w:hAnsi="宋体" w:eastAsia="宋体" w:cs="宋体"/>
                <w:color w:val="000000"/>
                <w:highlight w:val="none"/>
                <w:lang w:val="en-US" w:eastAsia="zh-CN"/>
              </w:rPr>
              <w:t>投标优惠率</w:t>
            </w:r>
          </w:p>
        </w:tc>
      </w:tr>
      <w:tr w14:paraId="6615FFA0">
        <w:tblPrEx>
          <w:tblCellMar>
            <w:top w:w="0" w:type="dxa"/>
            <w:left w:w="108" w:type="dxa"/>
            <w:bottom w:w="0" w:type="dxa"/>
            <w:right w:w="108" w:type="dxa"/>
          </w:tblCellMar>
        </w:tblPrEx>
        <w:trPr>
          <w:trHeight w:val="612" w:hRule="atLeast"/>
          <w:tblCellSpacing w:w="0" w:type="dxa"/>
          <w:jc w:val="center"/>
        </w:trPr>
        <w:tc>
          <w:tcPr>
            <w:tcW w:w="8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FB97">
            <w:pPr>
              <w:pStyle w:val="8"/>
              <w:spacing w:beforeAutospacing="0" w:afterAutospacing="0" w:line="0" w:lineRule="atLeast"/>
              <w:rPr>
                <w:highlight w:val="none"/>
              </w:rPr>
            </w:pPr>
            <w:r>
              <w:rPr>
                <w:rFonts w:hint="eastAsia" w:ascii="宋体" w:hAnsi="宋体" w:eastAsia="宋体" w:cs="宋体"/>
                <w:color w:val="000000"/>
                <w:highlight w:val="none"/>
              </w:rPr>
              <w:t>小写：                             （%）</w:t>
            </w:r>
          </w:p>
        </w:tc>
      </w:tr>
      <w:tr w14:paraId="7C06940F">
        <w:tblPrEx>
          <w:tblCellMar>
            <w:top w:w="0" w:type="dxa"/>
            <w:left w:w="108" w:type="dxa"/>
            <w:bottom w:w="0" w:type="dxa"/>
            <w:right w:w="108" w:type="dxa"/>
          </w:tblCellMar>
        </w:tblPrEx>
        <w:trPr>
          <w:trHeight w:val="612" w:hRule="atLeast"/>
          <w:tblCellSpacing w:w="0" w:type="dxa"/>
          <w:jc w:val="center"/>
        </w:trPr>
        <w:tc>
          <w:tcPr>
            <w:tcW w:w="8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0C07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1.本项目采用投标优惠率方式计价；项目最终结算总价不得超过本项目设定的最高限价。</w:t>
            </w:r>
          </w:p>
          <w:p w14:paraId="2B23ABC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2.本项目0号柴油、95号汽油结算单价统一按下列公式计算：</w:t>
            </w:r>
          </w:p>
          <w:p w14:paraId="6651AD4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结算单价=采购当日中午12时，江苏省发展和改革委员会公布的江苏省成品油最高零售价格表中对应0号柴油/95号汽油最高零售价格×（1-投标优惠率）。</w:t>
            </w:r>
          </w:p>
          <w:p w14:paraId="4D5190A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3.本项目预算金额：人民币119.2万元；最高限价：人民币119.2万元。最终结算金额按实际合格供应数量×应结算单价据实核算，项目累计最终结算总额不得</w:t>
            </w:r>
            <w:r>
              <w:rPr>
                <w:rFonts w:hint="eastAsia" w:ascii="宋体" w:hAnsi="宋体" w:eastAsia="宋体" w:cs="宋体"/>
                <w:color w:val="auto"/>
                <w:sz w:val="24"/>
                <w:szCs w:val="24"/>
                <w:highlight w:val="none"/>
                <w:lang w:val="en-US" w:eastAsia="zh-CN"/>
              </w:rPr>
              <w:t>高于</w:t>
            </w:r>
            <w:r>
              <w:rPr>
                <w:rFonts w:hint="eastAsia" w:ascii="宋体" w:hAnsi="宋体" w:eastAsia="宋体" w:cs="宋体"/>
                <w:color w:val="auto"/>
                <w:sz w:val="24"/>
                <w:szCs w:val="24"/>
                <w:highlight w:val="none"/>
              </w:rPr>
              <w:t>最高限价。</w:t>
            </w:r>
          </w:p>
          <w:p w14:paraId="4504FC7C">
            <w:pPr>
              <w:pStyle w:val="8"/>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sz w:val="24"/>
                <w:szCs w:val="24"/>
                <w:highlight w:val="none"/>
              </w:rPr>
              <w:t>4.结算单价包含油品价款、运输费、装卸费、加注费、税费、安全防护、保险、人工等完成本项目全部服务的所有费用，甲方无需另行支付其他费用。</w:t>
            </w:r>
          </w:p>
        </w:tc>
      </w:tr>
    </w:tbl>
    <w:p w14:paraId="04CF836E">
      <w:pPr>
        <w:pStyle w:val="8"/>
        <w:spacing w:beforeAutospacing="0" w:afterAutospacing="0"/>
        <w:jc w:val="both"/>
        <w:rPr>
          <w:highlight w:val="none"/>
        </w:rPr>
      </w:pPr>
      <w:r>
        <w:rPr>
          <w:highlight w:val="none"/>
        </w:rPr>
        <w:t> </w:t>
      </w:r>
    </w:p>
    <w:p w14:paraId="02D55E84">
      <w:pPr>
        <w:pStyle w:val="8"/>
        <w:spacing w:beforeAutospacing="0" w:afterAutospacing="0"/>
        <w:ind w:firstLine="480"/>
        <w:jc w:val="right"/>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3C08FD8E">
      <w:pPr>
        <w:pStyle w:val="8"/>
        <w:spacing w:beforeAutospacing="0" w:afterAutospacing="0"/>
        <w:jc w:val="both"/>
        <w:rPr>
          <w:rFonts w:hint="eastAsia" w:ascii="宋体" w:hAnsi="宋体" w:eastAsia="宋体" w:cs="宋体"/>
          <w:color w:val="auto"/>
          <w:highlight w:val="none"/>
          <w:lang w:val="en-US" w:eastAsia="zh-CN"/>
        </w:rPr>
      </w:pPr>
    </w:p>
    <w:p w14:paraId="1F689643">
      <w:pPr>
        <w:pStyle w:val="8"/>
        <w:spacing w:beforeAutospacing="0" w:afterAutospacing="0"/>
        <w:jc w:val="both"/>
        <w:rPr>
          <w:rFonts w:hint="eastAsia" w:ascii="宋体" w:hAnsi="宋体" w:eastAsia="宋体" w:cs="宋体"/>
          <w:color w:val="auto"/>
          <w:highlight w:val="none"/>
          <w:lang w:val="en-US" w:eastAsia="zh-CN"/>
        </w:rPr>
      </w:pPr>
    </w:p>
    <w:p w14:paraId="11E04E65">
      <w:pPr>
        <w:pStyle w:val="8"/>
        <w:spacing w:beforeAutospacing="0" w:afterAutospacing="0"/>
        <w:jc w:val="both"/>
        <w:rPr>
          <w:rFonts w:hint="eastAsia" w:ascii="宋体" w:hAnsi="宋体" w:eastAsia="宋体" w:cs="宋体"/>
          <w:color w:val="auto"/>
          <w:highlight w:val="none"/>
          <w:lang w:val="en-US" w:eastAsia="zh-CN"/>
        </w:rPr>
      </w:pPr>
    </w:p>
    <w:p w14:paraId="2C4C9355">
      <w:pPr>
        <w:pStyle w:val="8"/>
        <w:spacing w:beforeAutospacing="0" w:afterAutospacing="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注：开标一览表与苏采云系统中不一致的，以系统中生成的固定格式为准。</w:t>
      </w:r>
    </w:p>
    <w:p w14:paraId="462BA719">
      <w:pPr>
        <w:pStyle w:val="8"/>
        <w:spacing w:beforeAutospacing="0" w:afterAutospacing="0" w:line="0" w:lineRule="atLeast"/>
        <w:ind w:firstLine="480"/>
        <w:jc w:val="both"/>
        <w:rPr>
          <w:rFonts w:hint="eastAsia" w:ascii="宋体" w:hAnsi="宋体" w:eastAsia="宋体" w:cs="宋体"/>
          <w:color w:val="000000"/>
          <w:highlight w:val="none"/>
          <w:lang w:val="en-US" w:eastAsia="zh-CN"/>
        </w:rPr>
      </w:pPr>
    </w:p>
    <w:p w14:paraId="3491E623">
      <w:pPr>
        <w:pStyle w:val="8"/>
        <w:spacing w:beforeAutospacing="0" w:afterAutospacing="0"/>
        <w:jc w:val="both"/>
        <w:rPr>
          <w:color w:val="auto"/>
          <w:highlight w:val="none"/>
          <w:shd w:val="clear" w:color="auto" w:fill="auto"/>
        </w:rPr>
      </w:pPr>
    </w:p>
    <w:p w14:paraId="6F080B09">
      <w:pPr>
        <w:pStyle w:val="8"/>
        <w:spacing w:beforeAutospacing="0" w:afterAutospacing="0"/>
        <w:jc w:val="both"/>
        <w:rPr>
          <w:color w:val="auto"/>
          <w:highlight w:val="none"/>
          <w:shd w:val="clear" w:color="auto" w:fill="auto"/>
        </w:rPr>
      </w:pPr>
      <w:r>
        <w:rPr>
          <w:color w:val="auto"/>
          <w:highlight w:val="none"/>
          <w:shd w:val="clear" w:color="auto" w:fill="auto"/>
        </w:rPr>
        <w:t> </w:t>
      </w:r>
    </w:p>
    <w:p w14:paraId="1C554FE5">
      <w:pPr>
        <w:pStyle w:val="8"/>
        <w:spacing w:beforeAutospacing="0" w:afterAutospacing="0"/>
        <w:jc w:val="both"/>
        <w:rPr>
          <w:color w:val="auto"/>
          <w:highlight w:val="none"/>
          <w:shd w:val="clear" w:color="auto" w:fill="auto"/>
        </w:rPr>
      </w:pPr>
      <w:r>
        <w:rPr>
          <w:color w:val="auto"/>
          <w:highlight w:val="none"/>
          <w:shd w:val="clear" w:color="auto" w:fill="auto"/>
        </w:rPr>
        <w:t> </w:t>
      </w:r>
    </w:p>
    <w:p w14:paraId="66C5080F">
      <w:pPr>
        <w:pStyle w:val="8"/>
        <w:spacing w:beforeAutospacing="0" w:afterAutospacing="0"/>
        <w:jc w:val="both"/>
        <w:rPr>
          <w:color w:val="auto"/>
          <w:highlight w:val="none"/>
          <w:shd w:val="clear" w:color="auto" w:fill="auto"/>
        </w:rPr>
      </w:pPr>
      <w:r>
        <w:rPr>
          <w:color w:val="auto"/>
          <w:highlight w:val="none"/>
          <w:shd w:val="clear" w:color="auto" w:fill="auto"/>
        </w:rPr>
        <w:t> </w:t>
      </w:r>
    </w:p>
    <w:p w14:paraId="4E1087EC">
      <w:pPr>
        <w:pStyle w:val="8"/>
        <w:spacing w:beforeAutospacing="0" w:afterAutospacing="0"/>
        <w:jc w:val="both"/>
        <w:rPr>
          <w:color w:val="auto"/>
          <w:highlight w:val="none"/>
          <w:shd w:val="clear" w:color="auto" w:fill="auto"/>
        </w:rPr>
      </w:pPr>
      <w:r>
        <w:rPr>
          <w:color w:val="auto"/>
          <w:highlight w:val="none"/>
          <w:shd w:val="clear" w:color="auto" w:fill="auto"/>
        </w:rPr>
        <w:t> </w:t>
      </w:r>
    </w:p>
    <w:p w14:paraId="25B8AF87">
      <w:pPr>
        <w:pStyle w:val="8"/>
        <w:spacing w:beforeAutospacing="0" w:afterAutospacing="0"/>
        <w:jc w:val="both"/>
        <w:rPr>
          <w:color w:val="auto"/>
          <w:highlight w:val="none"/>
          <w:shd w:val="clear" w:color="auto" w:fill="auto"/>
        </w:rPr>
      </w:pPr>
      <w:r>
        <w:rPr>
          <w:color w:val="auto"/>
          <w:highlight w:val="none"/>
          <w:shd w:val="clear" w:color="auto" w:fill="auto"/>
        </w:rPr>
        <w:t> </w:t>
      </w:r>
    </w:p>
    <w:p w14:paraId="28DFDB12">
      <w:pPr>
        <w:pStyle w:val="8"/>
        <w:spacing w:beforeAutospacing="0" w:afterAutospacing="0"/>
        <w:jc w:val="both"/>
        <w:rPr>
          <w:color w:val="auto"/>
          <w:highlight w:val="none"/>
          <w:shd w:val="clear" w:color="auto" w:fill="auto"/>
        </w:rPr>
      </w:pPr>
      <w:r>
        <w:rPr>
          <w:color w:val="auto"/>
          <w:highlight w:val="none"/>
          <w:shd w:val="clear" w:color="auto" w:fill="auto"/>
        </w:rPr>
        <w:t> </w:t>
      </w:r>
    </w:p>
    <w:p w14:paraId="4B616B93">
      <w:pPr>
        <w:widowControl/>
        <w:spacing w:before="50" w:after="50"/>
        <w:jc w:val="center"/>
        <w:rPr>
          <w:rFonts w:hint="eastAsia" w:ascii="宋体" w:hAnsi="宋体" w:eastAsia="宋体" w:cs="宋体"/>
          <w:color w:val="auto"/>
          <w:sz w:val="32"/>
          <w:szCs w:val="32"/>
          <w:highlight w:val="none"/>
          <w:shd w:val="clear" w:color="auto" w:fill="auto"/>
        </w:rPr>
      </w:pPr>
      <w:bookmarkStart w:id="182" w:name="_Hlt26955054"/>
    </w:p>
    <w:p w14:paraId="2F57D340">
      <w:pPr>
        <w:widowControl/>
        <w:spacing w:line="499" w:lineRule="atLeast"/>
        <w:ind w:firstLine="1600"/>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一</w:t>
      </w:r>
      <w:r>
        <w:rPr>
          <w:rFonts w:hint="eastAsia" w:ascii="宋体" w:hAnsi="宋体" w:eastAsia="宋体" w:cs="宋体"/>
          <w:b/>
          <w:bCs/>
          <w:color w:val="auto"/>
          <w:sz w:val="32"/>
          <w:szCs w:val="32"/>
          <w:highlight w:val="none"/>
          <w:shd w:val="clear" w:color="auto" w:fill="auto"/>
        </w:rPr>
        <w:t>、盐城市政府采购事前信用承诺书</w:t>
      </w:r>
    </w:p>
    <w:p w14:paraId="36B8625F">
      <w:pPr>
        <w:widowControl/>
        <w:spacing w:line="499" w:lineRule="atLeast"/>
        <w:ind w:firstLine="640"/>
        <w:jc w:val="left"/>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w:t>
      </w:r>
    </w:p>
    <w:p w14:paraId="0238CE17">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72E0D704">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76E709EE">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C7CA836">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76FE440E">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69373E29">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57B87F1">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62704496">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C33F8A8">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6B6D0EE8">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法定代表人签名：</w:t>
      </w:r>
    </w:p>
    <w:p w14:paraId="0DA26D03">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357F22BD">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年月日</w:t>
      </w:r>
    </w:p>
    <w:p w14:paraId="4A648011">
      <w:pPr>
        <w:pStyle w:val="8"/>
        <w:spacing w:beforeAutospacing="0" w:afterAutospacing="0" w:line="480" w:lineRule="auto"/>
        <w:jc w:val="both"/>
        <w:rPr>
          <w:color w:val="auto"/>
          <w:highlight w:val="none"/>
          <w:shd w:val="clear" w:color="auto" w:fill="auto"/>
        </w:rPr>
      </w:pPr>
      <w:bookmarkStart w:id="183" w:name="_Hlt26955066"/>
      <w:bookmarkStart w:id="184" w:name="_格式2__法定代表人授权书"/>
      <w:bookmarkStart w:id="185" w:name="_Hlt26671374"/>
      <w:bookmarkStart w:id="186" w:name="_Toc462564146"/>
      <w:bookmarkStart w:id="187" w:name="_Hlt26609389"/>
    </w:p>
    <w:p w14:paraId="34BCF745">
      <w:pPr>
        <w:pStyle w:val="8"/>
        <w:spacing w:beforeAutospacing="0" w:afterAutospacing="0"/>
        <w:jc w:val="both"/>
        <w:rPr>
          <w:color w:val="auto"/>
          <w:highlight w:val="none"/>
          <w:shd w:val="clear" w:color="auto" w:fill="auto"/>
        </w:rPr>
      </w:pPr>
      <w:r>
        <w:rPr>
          <w:color w:val="auto"/>
          <w:highlight w:val="none"/>
          <w:shd w:val="clear" w:color="auto" w:fill="auto"/>
        </w:rPr>
        <w:t> </w:t>
      </w:r>
    </w:p>
    <w:bookmarkEnd w:id="0"/>
    <w:bookmarkEnd w:id="39"/>
    <w:bookmarkEnd w:id="86"/>
    <w:bookmarkEnd w:id="87"/>
    <w:bookmarkEnd w:id="88"/>
    <w:bookmarkEnd w:id="89"/>
    <w:bookmarkEnd w:id="90"/>
    <w:bookmarkEnd w:id="91"/>
    <w:bookmarkEnd w:id="92"/>
    <w:bookmarkEnd w:id="93"/>
    <w:bookmarkEnd w:id="102"/>
    <w:bookmarkEnd w:id="103"/>
    <w:bookmarkEnd w:id="110"/>
    <w:bookmarkEnd w:id="152"/>
    <w:bookmarkEnd w:id="153"/>
    <w:bookmarkEnd w:id="169"/>
    <w:bookmarkEnd w:id="170"/>
    <w:bookmarkEnd w:id="171"/>
    <w:bookmarkEnd w:id="172"/>
    <w:bookmarkEnd w:id="178"/>
    <w:bookmarkEnd w:id="179"/>
    <w:bookmarkEnd w:id="180"/>
    <w:bookmarkEnd w:id="181"/>
    <w:bookmarkEnd w:id="182"/>
    <w:bookmarkEnd w:id="183"/>
    <w:bookmarkEnd w:id="184"/>
    <w:bookmarkEnd w:id="185"/>
    <w:bookmarkEnd w:id="186"/>
    <w:bookmarkEnd w:id="187"/>
    <w:p w14:paraId="513F48A0">
      <w:pPr>
        <w:jc w:val="center"/>
        <w:rPr>
          <w:rFonts w:hint="eastAsia"/>
          <w:sz w:val="40"/>
          <w:szCs w:val="48"/>
        </w:rPr>
      </w:pPr>
      <w:bookmarkStart w:id="188" w:name="_Toc10118"/>
      <w:bookmarkStart w:id="189" w:name="_Toc28642"/>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二</w:t>
      </w:r>
      <w:r>
        <w:rPr>
          <w:rFonts w:hint="eastAsia" w:ascii="宋体" w:hAnsi="宋体" w:eastAsia="宋体" w:cs="宋体"/>
          <w:b/>
          <w:bCs/>
          <w:color w:val="auto"/>
          <w:sz w:val="32"/>
          <w:szCs w:val="32"/>
          <w:highlight w:val="none"/>
        </w:rPr>
        <w:t>、</w:t>
      </w:r>
      <w:bookmarkEnd w:id="188"/>
      <w:bookmarkEnd w:id="189"/>
      <w:r>
        <w:rPr>
          <w:rFonts w:hint="eastAsia" w:ascii="宋体" w:hAnsi="宋体" w:eastAsia="宋体" w:cs="宋体"/>
          <w:b/>
          <w:bCs/>
          <w:color w:val="auto"/>
          <w:sz w:val="32"/>
          <w:szCs w:val="32"/>
          <w:highlight w:val="none"/>
        </w:rPr>
        <w:t>承诺函</w:t>
      </w:r>
    </w:p>
    <w:p w14:paraId="390D169E">
      <w:pPr>
        <w:keepNext w:val="0"/>
        <w:keepLines w:val="0"/>
        <w:pageBreakBefore w:val="0"/>
        <w:widowControl w:val="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w:t>
      </w:r>
    </w:p>
    <w:p w14:paraId="32031C18">
      <w:pPr>
        <w:keepNext w:val="0"/>
        <w:keepLines w:val="0"/>
        <w:pageBreakBefore w:val="0"/>
        <w:widowControl w:val="0"/>
        <w:spacing w:line="52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本单位作为本次项目的投标</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，针对本项目成品油运输、加注等服务事项，郑重作出如下承诺：</w:t>
      </w:r>
    </w:p>
    <w:p w14:paraId="05D8723F">
      <w:pPr>
        <w:keepNext w:val="0"/>
        <w:keepLines w:val="0"/>
        <w:pageBreakBefore w:val="0"/>
        <w:widowControl w:val="0"/>
        <w:spacing w:line="52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本单位承诺严格按照国家及地方现行相关法律法规、监管规定，开展成品油经营、运输及加注等全部服务活动。</w:t>
      </w:r>
    </w:p>
    <w:p w14:paraId="31EBF759">
      <w:pPr>
        <w:keepNext w:val="0"/>
        <w:keepLines w:val="0"/>
        <w:pageBreakBefore w:val="0"/>
        <w:widowControl w:val="0"/>
        <w:spacing w:line="52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如在成品油零售网点以外开展运输、加注等经营活动，按规定需向有关主管部门报备或审批的，本单位将严格遵守各项管理要求，自行办理相关手续，并承担由此产生的全部费用与责</w:t>
      </w:r>
      <w:r>
        <w:rPr>
          <w:rFonts w:hint="eastAsia" w:ascii="宋体" w:hAnsi="宋体" w:eastAsia="宋体" w:cs="宋体"/>
          <w:color w:val="auto"/>
          <w:sz w:val="24"/>
          <w:szCs w:val="24"/>
          <w:lang w:val="en-US" w:eastAsia="zh-CN"/>
        </w:rPr>
        <w:t>任</w:t>
      </w:r>
      <w:r>
        <w:rPr>
          <w:rFonts w:hint="eastAsia" w:ascii="宋体" w:hAnsi="宋体" w:eastAsia="宋体" w:cs="宋体"/>
          <w:color w:val="auto"/>
          <w:sz w:val="24"/>
          <w:szCs w:val="24"/>
        </w:rPr>
        <w:t>。</w:t>
      </w:r>
    </w:p>
    <w:p w14:paraId="5B9C639F">
      <w:pPr>
        <w:keepNext w:val="0"/>
        <w:keepLines w:val="0"/>
        <w:pageBreakBefore w:val="0"/>
        <w:widowControl w:val="0"/>
        <w:spacing w:line="52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若本单位违反上述承诺，未遵守相关管理规定，或未按要求完成报备、审批等手续擅自开展业务，由此产生的全部风险、行政处罚（包括但不限于罚款、责令整改等）、经济损失、法律责任及各类不良后果，均由本单位自行承担。</w:t>
      </w:r>
    </w:p>
    <w:p w14:paraId="3BD24AD4">
      <w:pPr>
        <w:keepNext w:val="0"/>
        <w:keepLines w:val="0"/>
        <w:pageBreakBefore w:val="0"/>
        <w:widowControl w:val="0"/>
        <w:spacing w:line="52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本承诺函内容真实有效，为本投标文件不可分割的组成部分。</w:t>
      </w:r>
    </w:p>
    <w:p w14:paraId="41DF0E31">
      <w:pPr>
        <w:keepNext w:val="0"/>
        <w:keepLines w:val="0"/>
        <w:pageBreakBefore w:val="0"/>
        <w:widowControl w:val="0"/>
        <w:spacing w:line="520" w:lineRule="exact"/>
        <w:ind w:firstLine="480"/>
        <w:jc w:val="right"/>
        <w:rPr>
          <w:rFonts w:hint="eastAsia"/>
          <w:sz w:val="24"/>
          <w:szCs w:val="24"/>
        </w:rPr>
      </w:pPr>
    </w:p>
    <w:p w14:paraId="32B98A10">
      <w:pPr>
        <w:keepNext w:val="0"/>
        <w:keepLines w:val="0"/>
        <w:pageBreakBefore w:val="0"/>
        <w:widowControl w:val="0"/>
        <w:spacing w:line="520" w:lineRule="exact"/>
        <w:ind w:firstLine="480"/>
        <w:jc w:val="right"/>
        <w:rPr>
          <w:rFonts w:hint="eastAsia"/>
          <w:sz w:val="24"/>
          <w:szCs w:val="24"/>
        </w:rPr>
      </w:pPr>
    </w:p>
    <w:p w14:paraId="37C38C33">
      <w:pPr>
        <w:keepNext w:val="0"/>
        <w:keepLines w:val="0"/>
        <w:pageBreakBefore w:val="0"/>
        <w:widowControl w:val="0"/>
        <w:spacing w:line="520" w:lineRule="exact"/>
        <w:ind w:firstLine="480"/>
        <w:jc w:val="right"/>
        <w:rPr>
          <w:rFonts w:hint="eastAsia"/>
          <w:sz w:val="24"/>
          <w:szCs w:val="24"/>
        </w:rPr>
      </w:pPr>
      <w:r>
        <w:rPr>
          <w:rFonts w:hint="eastAsia"/>
          <w:sz w:val="24"/>
          <w:szCs w:val="24"/>
        </w:rPr>
        <w:t>承诺单位（加盖单位公章）：____________________</w:t>
      </w:r>
    </w:p>
    <w:p w14:paraId="2D273FAC">
      <w:pPr>
        <w:keepNext w:val="0"/>
        <w:keepLines w:val="0"/>
        <w:pageBreakBefore w:val="0"/>
        <w:widowControl w:val="0"/>
        <w:spacing w:line="520" w:lineRule="exact"/>
        <w:ind w:firstLine="480"/>
        <w:jc w:val="right"/>
        <w:rPr>
          <w:rFonts w:hint="eastAsia"/>
          <w:sz w:val="24"/>
          <w:szCs w:val="24"/>
        </w:rPr>
      </w:pPr>
      <w:r>
        <w:rPr>
          <w:rFonts w:hint="eastAsia"/>
          <w:sz w:val="24"/>
          <w:szCs w:val="24"/>
        </w:rPr>
        <w:t>法定代表 /授权委托人（签字或盖章）：____________________</w:t>
      </w:r>
    </w:p>
    <w:p w14:paraId="423C1EEA">
      <w:pPr>
        <w:keepNext w:val="0"/>
        <w:keepLines w:val="0"/>
        <w:pageBreakBefore w:val="0"/>
        <w:widowControl w:val="0"/>
        <w:spacing w:line="520" w:lineRule="exact"/>
        <w:ind w:firstLine="480"/>
        <w:jc w:val="right"/>
        <w:rPr>
          <w:sz w:val="24"/>
          <w:szCs w:val="24"/>
        </w:rPr>
      </w:pPr>
      <w:r>
        <w:rPr>
          <w:rFonts w:hint="eastAsia"/>
          <w:sz w:val="24"/>
          <w:szCs w:val="24"/>
        </w:rPr>
        <w:t>日 期：______年____月____日</w:t>
      </w:r>
    </w:p>
    <w:p w14:paraId="207652B8">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r>
    </w:p>
    <w:p w14:paraId="6A1D110E">
      <w:pPr>
        <w:pStyle w:val="8"/>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4C1711FD">
      <w:pPr>
        <w:pStyle w:val="8"/>
        <w:spacing w:before="290"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2AE58BDE">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30C8F35">
      <w:pPr>
        <w:pStyle w:val="8"/>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1A829F68">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ADAC549">
      <w:pPr>
        <w:pStyle w:val="8"/>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6EFC14D8">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43AAF981">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9ABB9A7">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B175B6B">
      <w:pPr>
        <w:pStyle w:val="8"/>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B53DE1F">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41312EDB">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6CBBA5AB">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64B6DEAA">
      <w:pPr>
        <w:pStyle w:val="8"/>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54F99D55">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4036617">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424894A4">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Times New Roman" w:hAnsi="Times New Roman"/>
          <w:color w:val="auto"/>
          <w:highlight w:val="none"/>
          <w:shd w:val="clear" w:color="auto" w:fill="auto"/>
          <w:lang w:val="en-US" w:eastAsia="zh-CN"/>
        </w:rPr>
        <w:t>谈判</w:t>
      </w:r>
      <w:r>
        <w:rPr>
          <w:rFonts w:hint="eastAsia" w:ascii="宋体" w:hAnsi="宋体" w:eastAsia="宋体" w:cs="宋体"/>
          <w:color w:val="auto"/>
          <w:highlight w:val="none"/>
          <w:shd w:val="clear" w:color="auto" w:fill="auto"/>
        </w:rPr>
        <w:t>文件获取日期：</w:t>
      </w:r>
      <w:r>
        <w:rPr>
          <w:rFonts w:hint="eastAsia" w:ascii="宋体" w:hAnsi="宋体" w:eastAsia="宋体" w:cs="宋体"/>
          <w:color w:val="auto"/>
          <w:highlight w:val="none"/>
          <w:u w:val="single"/>
          <w:shd w:val="clear" w:color="auto" w:fill="auto"/>
        </w:rPr>
        <w:t xml:space="preserve">                             </w:t>
      </w:r>
    </w:p>
    <w:p w14:paraId="3B3CA785">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746DFF7B">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45B4ACD8">
      <w:pPr>
        <w:pStyle w:val="8"/>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53C36663">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1CD498CD">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69EC93B0">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64220FAE">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48DA4A95">
      <w:pPr>
        <w:pStyle w:val="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249B39B2">
      <w:pPr>
        <w:pStyle w:val="8"/>
        <w:spacing w:beforeAutospacing="0" w:afterAutospacing="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66BFF45B">
      <w:pPr>
        <w:pStyle w:val="8"/>
        <w:spacing w:beforeAutospacing="0" w:afterAutospacing="0" w:line="0" w:lineRule="atLeast"/>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427E3DE3">
      <w:pPr>
        <w:pStyle w:val="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185EFBED">
      <w:pPr>
        <w:pStyle w:val="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946D509">
      <w:pPr>
        <w:pStyle w:val="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258D3E4E">
      <w:pPr>
        <w:pStyle w:val="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6DE960CB">
      <w:pPr>
        <w:pStyle w:val="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61E3C5A2">
      <w:pPr>
        <w:pStyle w:val="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2BE85B9B">
      <w:pPr>
        <w:pStyle w:val="8"/>
        <w:spacing w:beforeAutospacing="0" w:afterAutospacing="0"/>
        <w:jc w:val="center"/>
        <w:rPr>
          <w:color w:val="auto"/>
          <w:highlight w:val="none"/>
          <w:shd w:val="clear" w:color="auto" w:fill="auto"/>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方正小标宋简体">
    <w:panose1 w:val="02000000000000000000"/>
    <w:charset w:val="86"/>
    <w:family w:val="auto"/>
    <w:pitch w:val="default"/>
    <w:sig w:usb0="00000001" w:usb1="08000000" w:usb2="00000000" w:usb3="00000000" w:csb0="00040000" w:csb1="00000000"/>
  </w:font>
  <w:font w:name="方正魏碑_GBK">
    <w:altName w:val="宋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4D35ED"/>
    <w:multiLevelType w:val="multilevel"/>
    <w:tmpl w:val="C34D35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4A334848"/>
    <w:multiLevelType w:val="multilevel"/>
    <w:tmpl w:val="4A334848"/>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lvlOverride w:ilvl="0">
      <w:startOverride w:val="16"/>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172A27"/>
    <w:rsid w:val="001C53D9"/>
    <w:rsid w:val="003D1E79"/>
    <w:rsid w:val="003E2887"/>
    <w:rsid w:val="00430B72"/>
    <w:rsid w:val="004529E6"/>
    <w:rsid w:val="004C25C0"/>
    <w:rsid w:val="00546600"/>
    <w:rsid w:val="005A16C7"/>
    <w:rsid w:val="00651680"/>
    <w:rsid w:val="00653C3D"/>
    <w:rsid w:val="007673F3"/>
    <w:rsid w:val="0080466F"/>
    <w:rsid w:val="008426F7"/>
    <w:rsid w:val="00863B1D"/>
    <w:rsid w:val="00995051"/>
    <w:rsid w:val="00997BAB"/>
    <w:rsid w:val="009C6D74"/>
    <w:rsid w:val="00AE67EC"/>
    <w:rsid w:val="00BE10DC"/>
    <w:rsid w:val="00C62684"/>
    <w:rsid w:val="00D550E3"/>
    <w:rsid w:val="00DD2C10"/>
    <w:rsid w:val="00E7422E"/>
    <w:rsid w:val="00EA3B82"/>
    <w:rsid w:val="00EF0636"/>
    <w:rsid w:val="00F11CE8"/>
    <w:rsid w:val="00F671FA"/>
    <w:rsid w:val="00F7044F"/>
    <w:rsid w:val="00FA7D96"/>
    <w:rsid w:val="00FC05FC"/>
    <w:rsid w:val="014036E0"/>
    <w:rsid w:val="015C3D17"/>
    <w:rsid w:val="021B011D"/>
    <w:rsid w:val="02851591"/>
    <w:rsid w:val="02BD5381"/>
    <w:rsid w:val="02D505AD"/>
    <w:rsid w:val="034E4AD1"/>
    <w:rsid w:val="037E0789"/>
    <w:rsid w:val="0414147C"/>
    <w:rsid w:val="04CF1FA6"/>
    <w:rsid w:val="056E5657"/>
    <w:rsid w:val="0617736A"/>
    <w:rsid w:val="062C42CE"/>
    <w:rsid w:val="068A6E34"/>
    <w:rsid w:val="072C2BD2"/>
    <w:rsid w:val="07994E3B"/>
    <w:rsid w:val="07A02A3F"/>
    <w:rsid w:val="07A40F48"/>
    <w:rsid w:val="08206100"/>
    <w:rsid w:val="0854758E"/>
    <w:rsid w:val="08992D34"/>
    <w:rsid w:val="08B103F5"/>
    <w:rsid w:val="09132265"/>
    <w:rsid w:val="0ABC363A"/>
    <w:rsid w:val="0AD8294B"/>
    <w:rsid w:val="0AE76A9C"/>
    <w:rsid w:val="0B1A753E"/>
    <w:rsid w:val="0B4B3B00"/>
    <w:rsid w:val="0B8A23C1"/>
    <w:rsid w:val="0BAE3813"/>
    <w:rsid w:val="0BCE65FD"/>
    <w:rsid w:val="0C1D6EF9"/>
    <w:rsid w:val="0D371605"/>
    <w:rsid w:val="0D470B14"/>
    <w:rsid w:val="0D4D2FC1"/>
    <w:rsid w:val="0DEB2085"/>
    <w:rsid w:val="0E0362D5"/>
    <w:rsid w:val="0E966A8C"/>
    <w:rsid w:val="0EE61CD2"/>
    <w:rsid w:val="0EEA373E"/>
    <w:rsid w:val="0F243E52"/>
    <w:rsid w:val="0F6D24BC"/>
    <w:rsid w:val="0F7D537E"/>
    <w:rsid w:val="0F933B9D"/>
    <w:rsid w:val="0FB51D65"/>
    <w:rsid w:val="10007707"/>
    <w:rsid w:val="11191FC7"/>
    <w:rsid w:val="11AB711C"/>
    <w:rsid w:val="11F750CB"/>
    <w:rsid w:val="123C7DAA"/>
    <w:rsid w:val="12F015A0"/>
    <w:rsid w:val="13B3480E"/>
    <w:rsid w:val="14477BA7"/>
    <w:rsid w:val="164107F7"/>
    <w:rsid w:val="16562B75"/>
    <w:rsid w:val="16774218"/>
    <w:rsid w:val="169263C8"/>
    <w:rsid w:val="16A61788"/>
    <w:rsid w:val="17377504"/>
    <w:rsid w:val="17666D47"/>
    <w:rsid w:val="181852C2"/>
    <w:rsid w:val="182022D9"/>
    <w:rsid w:val="18BC4109"/>
    <w:rsid w:val="19137AFC"/>
    <w:rsid w:val="193260E4"/>
    <w:rsid w:val="19554F0B"/>
    <w:rsid w:val="19835197"/>
    <w:rsid w:val="1A4F2C83"/>
    <w:rsid w:val="1AD2708F"/>
    <w:rsid w:val="1AE26B83"/>
    <w:rsid w:val="1B5F5046"/>
    <w:rsid w:val="1B9509DF"/>
    <w:rsid w:val="1BA002D8"/>
    <w:rsid w:val="1CAA2FF5"/>
    <w:rsid w:val="1CAC4347"/>
    <w:rsid w:val="1CDB72D5"/>
    <w:rsid w:val="1D0D31E0"/>
    <w:rsid w:val="1D1C1092"/>
    <w:rsid w:val="1D2552A1"/>
    <w:rsid w:val="1D605A5A"/>
    <w:rsid w:val="1D9923DC"/>
    <w:rsid w:val="1DF73B0C"/>
    <w:rsid w:val="1DFD1285"/>
    <w:rsid w:val="1E0851C2"/>
    <w:rsid w:val="1E4F5A7B"/>
    <w:rsid w:val="1EC70509"/>
    <w:rsid w:val="1ECC152F"/>
    <w:rsid w:val="1F0D396C"/>
    <w:rsid w:val="1F326608"/>
    <w:rsid w:val="1F4A0271"/>
    <w:rsid w:val="1FC7762D"/>
    <w:rsid w:val="1FF57F5C"/>
    <w:rsid w:val="203F1734"/>
    <w:rsid w:val="20733730"/>
    <w:rsid w:val="20A83FAF"/>
    <w:rsid w:val="215025DE"/>
    <w:rsid w:val="2193714F"/>
    <w:rsid w:val="21CC717D"/>
    <w:rsid w:val="220821C8"/>
    <w:rsid w:val="22424AA4"/>
    <w:rsid w:val="22F62B8A"/>
    <w:rsid w:val="23254D08"/>
    <w:rsid w:val="23534E2B"/>
    <w:rsid w:val="23C93BD9"/>
    <w:rsid w:val="23F073B8"/>
    <w:rsid w:val="242C02D7"/>
    <w:rsid w:val="24533DC2"/>
    <w:rsid w:val="2532334D"/>
    <w:rsid w:val="26750FF7"/>
    <w:rsid w:val="26C80178"/>
    <w:rsid w:val="27043311"/>
    <w:rsid w:val="27194423"/>
    <w:rsid w:val="27290FC5"/>
    <w:rsid w:val="27E56B08"/>
    <w:rsid w:val="28FE41FC"/>
    <w:rsid w:val="29345C52"/>
    <w:rsid w:val="293B7327"/>
    <w:rsid w:val="295B52D4"/>
    <w:rsid w:val="2996274E"/>
    <w:rsid w:val="2A280D5F"/>
    <w:rsid w:val="2A4648B7"/>
    <w:rsid w:val="2A807E7C"/>
    <w:rsid w:val="2AEF13B8"/>
    <w:rsid w:val="2B005440"/>
    <w:rsid w:val="2B3929B8"/>
    <w:rsid w:val="2C03574A"/>
    <w:rsid w:val="2C7B3B05"/>
    <w:rsid w:val="2CC277F5"/>
    <w:rsid w:val="2D100116"/>
    <w:rsid w:val="2D66719C"/>
    <w:rsid w:val="2E5E7AF7"/>
    <w:rsid w:val="2EB30CD5"/>
    <w:rsid w:val="2EE73822"/>
    <w:rsid w:val="2FAD4FD9"/>
    <w:rsid w:val="2FB346FB"/>
    <w:rsid w:val="2FFA5778"/>
    <w:rsid w:val="300A1200"/>
    <w:rsid w:val="30204B81"/>
    <w:rsid w:val="30495C84"/>
    <w:rsid w:val="30650005"/>
    <w:rsid w:val="310333AD"/>
    <w:rsid w:val="31522189"/>
    <w:rsid w:val="31557FC2"/>
    <w:rsid w:val="3172742B"/>
    <w:rsid w:val="32294795"/>
    <w:rsid w:val="326302C6"/>
    <w:rsid w:val="329E6CD8"/>
    <w:rsid w:val="33440753"/>
    <w:rsid w:val="33773E42"/>
    <w:rsid w:val="338B2C59"/>
    <w:rsid w:val="33CF2B46"/>
    <w:rsid w:val="34532AD1"/>
    <w:rsid w:val="34E14EA2"/>
    <w:rsid w:val="34E346A0"/>
    <w:rsid w:val="3533516F"/>
    <w:rsid w:val="3573565B"/>
    <w:rsid w:val="35910B1D"/>
    <w:rsid w:val="359B1151"/>
    <w:rsid w:val="35AD49A2"/>
    <w:rsid w:val="35B53A9E"/>
    <w:rsid w:val="36172BC3"/>
    <w:rsid w:val="36795ABE"/>
    <w:rsid w:val="36CC7C95"/>
    <w:rsid w:val="36EB650A"/>
    <w:rsid w:val="378133A9"/>
    <w:rsid w:val="37F72F80"/>
    <w:rsid w:val="383A233E"/>
    <w:rsid w:val="39101F1B"/>
    <w:rsid w:val="392C67CD"/>
    <w:rsid w:val="392D7EB3"/>
    <w:rsid w:val="39720FC7"/>
    <w:rsid w:val="39CD52E9"/>
    <w:rsid w:val="3A64388F"/>
    <w:rsid w:val="3AAA1C17"/>
    <w:rsid w:val="3B0B043D"/>
    <w:rsid w:val="3BA25628"/>
    <w:rsid w:val="3BDF2457"/>
    <w:rsid w:val="3C447E49"/>
    <w:rsid w:val="3D23372C"/>
    <w:rsid w:val="3DF80C94"/>
    <w:rsid w:val="3DFA2EB5"/>
    <w:rsid w:val="3E064F5A"/>
    <w:rsid w:val="3E161B6B"/>
    <w:rsid w:val="3E2E5B1F"/>
    <w:rsid w:val="3E6D279D"/>
    <w:rsid w:val="3E7F5998"/>
    <w:rsid w:val="3F0056DB"/>
    <w:rsid w:val="3F1A3023"/>
    <w:rsid w:val="3F243A9D"/>
    <w:rsid w:val="3F6D3234"/>
    <w:rsid w:val="40350295"/>
    <w:rsid w:val="406E1D8D"/>
    <w:rsid w:val="411F2AA4"/>
    <w:rsid w:val="41F145CF"/>
    <w:rsid w:val="42053C57"/>
    <w:rsid w:val="42214BD9"/>
    <w:rsid w:val="422B44D2"/>
    <w:rsid w:val="42324DFA"/>
    <w:rsid w:val="431353F3"/>
    <w:rsid w:val="433F136A"/>
    <w:rsid w:val="43455446"/>
    <w:rsid w:val="4407489E"/>
    <w:rsid w:val="4464552C"/>
    <w:rsid w:val="44652848"/>
    <w:rsid w:val="447A0B16"/>
    <w:rsid w:val="44DA072F"/>
    <w:rsid w:val="454D0F8E"/>
    <w:rsid w:val="45FC0A54"/>
    <w:rsid w:val="461D469A"/>
    <w:rsid w:val="466976E6"/>
    <w:rsid w:val="466F3D57"/>
    <w:rsid w:val="46C70E8D"/>
    <w:rsid w:val="46EA0CE7"/>
    <w:rsid w:val="470D4256"/>
    <w:rsid w:val="472208AE"/>
    <w:rsid w:val="47704C41"/>
    <w:rsid w:val="47B925F3"/>
    <w:rsid w:val="48910AEC"/>
    <w:rsid w:val="48B3170D"/>
    <w:rsid w:val="493C7DE9"/>
    <w:rsid w:val="49804BB7"/>
    <w:rsid w:val="4A1E13B4"/>
    <w:rsid w:val="4A2C49B0"/>
    <w:rsid w:val="4A7D1B0F"/>
    <w:rsid w:val="4AAC50D1"/>
    <w:rsid w:val="4ACF7478"/>
    <w:rsid w:val="4B0709C0"/>
    <w:rsid w:val="4C0513A3"/>
    <w:rsid w:val="4C5A2B74"/>
    <w:rsid w:val="4CCE79E7"/>
    <w:rsid w:val="4CEB3171"/>
    <w:rsid w:val="4CF46CCF"/>
    <w:rsid w:val="4D2D20D9"/>
    <w:rsid w:val="4DA074F7"/>
    <w:rsid w:val="4DA33F07"/>
    <w:rsid w:val="4DDE52C0"/>
    <w:rsid w:val="4E265601"/>
    <w:rsid w:val="4E704ACE"/>
    <w:rsid w:val="4EA03605"/>
    <w:rsid w:val="4ED774FF"/>
    <w:rsid w:val="4FC7122F"/>
    <w:rsid w:val="50695CCD"/>
    <w:rsid w:val="50A1397F"/>
    <w:rsid w:val="50D86B92"/>
    <w:rsid w:val="50DE2BDB"/>
    <w:rsid w:val="51C75DFE"/>
    <w:rsid w:val="51CB0152"/>
    <w:rsid w:val="522120BB"/>
    <w:rsid w:val="52741FCB"/>
    <w:rsid w:val="52D06B10"/>
    <w:rsid w:val="53536515"/>
    <w:rsid w:val="536B21BA"/>
    <w:rsid w:val="53A862CC"/>
    <w:rsid w:val="542A0FDA"/>
    <w:rsid w:val="54705828"/>
    <w:rsid w:val="54ED53D0"/>
    <w:rsid w:val="55091CCC"/>
    <w:rsid w:val="55E1316A"/>
    <w:rsid w:val="55F542D4"/>
    <w:rsid w:val="56220DA3"/>
    <w:rsid w:val="56307253"/>
    <w:rsid w:val="56453199"/>
    <w:rsid w:val="56D134F3"/>
    <w:rsid w:val="56D90F7A"/>
    <w:rsid w:val="57CD3D13"/>
    <w:rsid w:val="582F6DAB"/>
    <w:rsid w:val="58561098"/>
    <w:rsid w:val="5881717A"/>
    <w:rsid w:val="58AD45AF"/>
    <w:rsid w:val="58D4718C"/>
    <w:rsid w:val="59A82CA5"/>
    <w:rsid w:val="59DB51C5"/>
    <w:rsid w:val="5A0E1D6B"/>
    <w:rsid w:val="5A8B4F15"/>
    <w:rsid w:val="5AD536B4"/>
    <w:rsid w:val="5AEA4CCC"/>
    <w:rsid w:val="5AFE4C55"/>
    <w:rsid w:val="5B031B11"/>
    <w:rsid w:val="5B96574B"/>
    <w:rsid w:val="5B9F7FFF"/>
    <w:rsid w:val="5C59473E"/>
    <w:rsid w:val="5C5A652B"/>
    <w:rsid w:val="5C6D1103"/>
    <w:rsid w:val="5CB36BF9"/>
    <w:rsid w:val="5DB12C03"/>
    <w:rsid w:val="5DCE1149"/>
    <w:rsid w:val="5DE138D8"/>
    <w:rsid w:val="5E1921ED"/>
    <w:rsid w:val="5F7D5E8E"/>
    <w:rsid w:val="5F7F522A"/>
    <w:rsid w:val="5FFE462F"/>
    <w:rsid w:val="601337BB"/>
    <w:rsid w:val="618D7A19"/>
    <w:rsid w:val="62843C67"/>
    <w:rsid w:val="62A87E16"/>
    <w:rsid w:val="62CA561A"/>
    <w:rsid w:val="6313315F"/>
    <w:rsid w:val="635A1398"/>
    <w:rsid w:val="63CD6C1F"/>
    <w:rsid w:val="649534F1"/>
    <w:rsid w:val="64A56430"/>
    <w:rsid w:val="65BB2793"/>
    <w:rsid w:val="667027CF"/>
    <w:rsid w:val="6688694C"/>
    <w:rsid w:val="67271327"/>
    <w:rsid w:val="67A74CF5"/>
    <w:rsid w:val="68245589"/>
    <w:rsid w:val="68777DD2"/>
    <w:rsid w:val="69983CE0"/>
    <w:rsid w:val="69BA1B83"/>
    <w:rsid w:val="6A1C1694"/>
    <w:rsid w:val="6A751DB0"/>
    <w:rsid w:val="6AB95533"/>
    <w:rsid w:val="6B037E0E"/>
    <w:rsid w:val="6BDE41BB"/>
    <w:rsid w:val="6C5462A8"/>
    <w:rsid w:val="6C917FD7"/>
    <w:rsid w:val="6D6535F8"/>
    <w:rsid w:val="6FFE7D34"/>
    <w:rsid w:val="70D15130"/>
    <w:rsid w:val="71104E0E"/>
    <w:rsid w:val="71BB7860"/>
    <w:rsid w:val="72440385"/>
    <w:rsid w:val="72EB0A43"/>
    <w:rsid w:val="730438B3"/>
    <w:rsid w:val="73761484"/>
    <w:rsid w:val="74371336"/>
    <w:rsid w:val="743F3C99"/>
    <w:rsid w:val="74835482"/>
    <w:rsid w:val="74877DC7"/>
    <w:rsid w:val="75890D8F"/>
    <w:rsid w:val="75B043EA"/>
    <w:rsid w:val="766A6375"/>
    <w:rsid w:val="76D90F68"/>
    <w:rsid w:val="779748E5"/>
    <w:rsid w:val="77C1540B"/>
    <w:rsid w:val="77E43CB3"/>
    <w:rsid w:val="783E7320"/>
    <w:rsid w:val="789E42EB"/>
    <w:rsid w:val="78AC657F"/>
    <w:rsid w:val="78CB19C0"/>
    <w:rsid w:val="78F35EFE"/>
    <w:rsid w:val="78FF5669"/>
    <w:rsid w:val="793275BA"/>
    <w:rsid w:val="79A724F1"/>
    <w:rsid w:val="79B33A44"/>
    <w:rsid w:val="7A4B7878"/>
    <w:rsid w:val="7A6D100D"/>
    <w:rsid w:val="7B69409E"/>
    <w:rsid w:val="7B924948"/>
    <w:rsid w:val="7C207C3B"/>
    <w:rsid w:val="7C5F16F8"/>
    <w:rsid w:val="7C9D3E10"/>
    <w:rsid w:val="7CA83501"/>
    <w:rsid w:val="7CAF2E48"/>
    <w:rsid w:val="7CB122FF"/>
    <w:rsid w:val="7CED0E28"/>
    <w:rsid w:val="7D841F96"/>
    <w:rsid w:val="7DAE3DC6"/>
    <w:rsid w:val="7DB61C4E"/>
    <w:rsid w:val="7DBA67DE"/>
    <w:rsid w:val="7DF53ACA"/>
    <w:rsid w:val="7E753CBB"/>
    <w:rsid w:val="7E9C6AB3"/>
    <w:rsid w:val="7EB4296F"/>
    <w:rsid w:val="7F0E4C61"/>
    <w:rsid w:val="7F3322E1"/>
    <w:rsid w:val="7F7F4C0B"/>
    <w:rsid w:val="7F8F6BFA"/>
    <w:rsid w:val="7FA75CF2"/>
    <w:rsid w:val="7FD36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autoRedefine/>
    <w:qFormat/>
    <w:uiPriority w:val="0"/>
    <w:pPr>
      <w:jc w:val="left"/>
    </w:pPr>
  </w:style>
  <w:style w:type="paragraph" w:styleId="4">
    <w:name w:val="Body Text"/>
    <w:basedOn w:val="1"/>
    <w:semiHidden/>
    <w:qFormat/>
    <w:uiPriority w:val="0"/>
    <w:rPr>
      <w:rFonts w:ascii="仿宋" w:hAnsi="仿宋" w:eastAsia="仿宋" w:cs="仿宋"/>
      <w:sz w:val="31"/>
      <w:szCs w:val="31"/>
      <w:lang w:val="en-US" w:eastAsia="en-US" w:bidi="ar-SA"/>
    </w:rPr>
  </w:style>
  <w:style w:type="paragraph" w:styleId="5">
    <w:name w:val="Plain Text"/>
    <w:basedOn w:val="1"/>
    <w:unhideWhenUsed/>
    <w:qFormat/>
    <w:uiPriority w:val="0"/>
    <w:rPr>
      <w:rFonts w:ascii="宋体" w:hAnsi="Courier New" w:cs="Courier New"/>
      <w:kern w:val="2"/>
      <w:szCs w:val="21"/>
    </w:rPr>
  </w:style>
  <w:style w:type="paragraph" w:styleId="6">
    <w:name w:val="footer"/>
    <w:basedOn w:val="1"/>
    <w:link w:val="13"/>
    <w:autoRedefine/>
    <w:qFormat/>
    <w:uiPriority w:val="0"/>
    <w:pPr>
      <w:tabs>
        <w:tab w:val="center" w:pos="4153"/>
        <w:tab w:val="right" w:pos="8306"/>
      </w:tabs>
      <w:snapToGrid w:val="0"/>
      <w:jc w:val="left"/>
    </w:pPr>
    <w:rPr>
      <w:sz w:val="18"/>
      <w:szCs w:val="18"/>
    </w:rPr>
  </w:style>
  <w:style w:type="paragraph" w:styleId="7">
    <w:name w:val="header"/>
    <w:basedOn w:val="1"/>
    <w:link w:val="12"/>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qFormat/>
    <w:uiPriority w:val="0"/>
    <w:pPr>
      <w:spacing w:beforeAutospacing="1" w:afterAutospacing="1"/>
      <w:jc w:val="left"/>
    </w:pPr>
    <w:rPr>
      <w:rFonts w:cs="Times New Roman"/>
      <w:kern w:val="0"/>
      <w:sz w:val="24"/>
    </w:rPr>
  </w:style>
  <w:style w:type="character" w:styleId="11">
    <w:name w:val="Emphasis"/>
    <w:qFormat/>
    <w:uiPriority w:val="0"/>
    <w:rPr>
      <w:i/>
    </w:rPr>
  </w:style>
  <w:style w:type="character" w:customStyle="1" w:styleId="12">
    <w:name w:val="页眉 Char"/>
    <w:basedOn w:val="10"/>
    <w:link w:val="7"/>
    <w:autoRedefine/>
    <w:qFormat/>
    <w:uiPriority w:val="0"/>
    <w:rPr>
      <w:rFonts w:asciiTheme="minorHAnsi" w:hAnsiTheme="minorHAnsi" w:eastAsiaTheme="minorEastAsia" w:cstheme="minorBidi"/>
      <w:kern w:val="2"/>
      <w:sz w:val="18"/>
      <w:szCs w:val="18"/>
    </w:rPr>
  </w:style>
  <w:style w:type="character" w:customStyle="1" w:styleId="13">
    <w:name w:val="页脚 Char"/>
    <w:basedOn w:val="10"/>
    <w:link w:val="6"/>
    <w:autoRedefine/>
    <w:qFormat/>
    <w:uiPriority w:val="0"/>
    <w:rPr>
      <w:rFonts w:asciiTheme="minorHAnsi" w:hAnsiTheme="minorHAnsi" w:eastAsiaTheme="minorEastAsia" w:cstheme="minorBidi"/>
      <w:kern w:val="2"/>
      <w:sz w:val="18"/>
      <w:szCs w:val="18"/>
    </w:rPr>
  </w:style>
  <w:style w:type="paragraph" w:customStyle="1" w:styleId="14">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5">
    <w:name w:val="正文首行缩进 21"/>
    <w:basedOn w:val="16"/>
    <w:qFormat/>
    <w:uiPriority w:val="0"/>
    <w:pPr>
      <w:ind w:firstLine="420"/>
    </w:pPr>
  </w:style>
  <w:style w:type="paragraph" w:customStyle="1" w:styleId="16">
    <w:name w:val="正文文本缩进1"/>
    <w:basedOn w:val="1"/>
    <w:qFormat/>
    <w:uiPriority w:val="0"/>
    <w:pPr>
      <w:spacing w:after="120"/>
      <w:ind w:left="420"/>
    </w:pPr>
  </w:style>
  <w:style w:type="paragraph" w:customStyle="1" w:styleId="17">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8">
    <w:name w:val="font21"/>
    <w:basedOn w:val="10"/>
    <w:qFormat/>
    <w:uiPriority w:val="0"/>
    <w:rPr>
      <w:rFonts w:hint="default" w:ascii="Calibri" w:hAnsi="Calibri" w:cs="Calibri"/>
      <w:color w:val="000000"/>
      <w:sz w:val="24"/>
      <w:szCs w:val="24"/>
      <w:u w:val="none"/>
    </w:rPr>
  </w:style>
  <w:style w:type="paragraph" w:customStyle="1" w:styleId="19">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20">
    <w:name w:val="font01"/>
    <w:basedOn w:val="10"/>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61</Pages>
  <Words>22333</Words>
  <Characters>23637</Characters>
  <Lines>178</Lines>
  <Paragraphs>50</Paragraphs>
  <TotalTime>0</TotalTime>
  <ScaleCrop>false</ScaleCrop>
  <LinksUpToDate>false</LinksUpToDate>
  <CharactersWithSpaces>23999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DEATH</cp:lastModifiedBy>
  <dcterms:modified xsi:type="dcterms:W3CDTF">2026-09-07T06:39:35Z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E190B0D870474DA7959344EF55B06D0A_13</vt:lpwstr>
  </property>
  <property fmtid="{D5CDD505-2E9C-101B-9397-08002B2CF9AE}" pid="4" name="KSOTemplateDocerSaveRecord">
    <vt:lpwstr>eyJoZGlkIjoiNDAwNmNkMTgxNjY3MTE2MGZmZGNkMjYyNGUxYjI4YmIiLCJ1c2VySWQiOiI1MjgzNDY3MDQifQ==</vt:lpwstr>
  </property>
</Properties>
</file>